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垫江县群众工作服务中心</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华文中宋" w:eastAsia="方正小标宋_GBK" w:cs="华文中宋"/>
          <w:sz w:val="44"/>
          <w:szCs w:val="44"/>
        </w:rPr>
      </w:pPr>
      <w:r>
        <w:rPr>
          <w:rFonts w:hint="default" w:ascii="Times New Roman" w:hAnsi="Times New Roman" w:eastAsia="方正小标宋_GBK" w:cs="Times New Roman"/>
          <w:sz w:val="44"/>
          <w:szCs w:val="44"/>
        </w:rPr>
        <w:t>2024</w:t>
      </w:r>
      <w:r>
        <w:rPr>
          <w:rFonts w:hint="eastAsia" w:ascii="方正小标宋_GBK" w:hAnsi="华文中宋" w:eastAsia="方正小标宋_GBK" w:cs="华文中宋"/>
          <w:sz w:val="44"/>
          <w:szCs w:val="44"/>
        </w:rPr>
        <w:t>年单位预算情况说明</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1.负责县级行政服务中心场地标准化、流程标准化和服务标准化建设的技术服务和日常管理； </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2.负责县行政服务中心综合窗口审批服务事项的受理、协调服务，负责统一发件窗口审批结果发件工作，负责咨询服务台咨询接待引导等服务工作；</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3.负责受理群众反映事项，为群众提供服务；</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4.对乡镇（街道）、部门群工系统的运行情况进行统计分析上报；</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5.负责网审平台使用、维护和管理，负责推进“互联网+政务服务”工作；</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6.协助县行政审批制度改革工作联席会议办公室做好联席会议的有关工作。</w:t>
      </w:r>
    </w:p>
    <w:p>
      <w:pPr>
        <w:pStyle w:val="11"/>
        <w:keepNext w:val="0"/>
        <w:keepLines w:val="0"/>
        <w:pageBreakBefore w:val="0"/>
        <w:widowControl w:val="0"/>
        <w:tabs>
          <w:tab w:val="center" w:pos="4153"/>
          <w:tab w:val="left" w:pos="7275"/>
        </w:tabs>
        <w:kinsoku/>
        <w:wordWrap/>
        <w:overflowPunct/>
        <w:topLinePunct w:val="0"/>
        <w:autoSpaceDE/>
        <w:autoSpaceDN/>
        <w:bidi w:val="0"/>
        <w:spacing w:line="594" w:lineRule="exact"/>
        <w:ind w:left="640" w:firstLine="0" w:firstLineChars="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垫江县群众工作服务中心根据上述职能职责，设置综合科、协调指导科、窗口建设科、基层指导科、群众工作科5个内设机构，核定内设机构领导职数5名。</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2023年年末编制数10人，年末实有在职人数6人，购买服从员17人。</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pPr>
        <w:keepNext w:val="0"/>
        <w:keepLines w:val="0"/>
        <w:pageBreakBefore w:val="0"/>
        <w:widowControl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sz w:val="32"/>
        </w:rPr>
        <w:t>（一）收入预算</w:t>
      </w:r>
      <w:r>
        <w:rPr>
          <w:rFonts w:hint="eastAsia" w:ascii="方正仿宋_GBK" w:hAnsi="方正仿宋_GBK" w:eastAsia="方正仿宋_GBK" w:cs="方正仿宋_GBK"/>
          <w:sz w:val="32"/>
        </w:rPr>
        <w:t>：</w:t>
      </w:r>
      <w:r>
        <w:rPr>
          <w:rFonts w:hint="eastAsia" w:ascii="Times New Roman" w:hAnsi="Times New Roman" w:eastAsia="方正仿宋_GBK" w:cs="Times New Roman"/>
          <w:sz w:val="32"/>
          <w:szCs w:val="32"/>
        </w:rPr>
        <w:t>2024年年初预算数413.48万元，其中：一般公共预算拨款413.48万元，政府性基金预算拨款0万元，国有资本经营预算收入0万元，事业收入0万元，事业单位经营收入0万元，其他收入0万元；收入较去年增加99.49万元，主要是2024年年初预算时在职人员6人，比2023年同期增加1人；同时2024年将政务服务大厅购买服务人员劳务费全部纳入年初预算。</w:t>
      </w:r>
    </w:p>
    <w:p>
      <w:pPr>
        <w:keepNext w:val="0"/>
        <w:keepLines w:val="0"/>
        <w:pageBreakBefore w:val="0"/>
        <w:widowControl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sz w:val="32"/>
        </w:rPr>
        <w:t>（二）支出预算</w:t>
      </w:r>
      <w:r>
        <w:rPr>
          <w:rFonts w:hint="eastAsia" w:ascii="方正仿宋_GBK" w:hAnsi="方正仿宋_GBK" w:eastAsia="方正仿宋_GBK" w:cs="方正仿宋_GBK"/>
          <w:sz w:val="32"/>
        </w:rPr>
        <w:t>：</w:t>
      </w:r>
      <w:r>
        <w:rPr>
          <w:rFonts w:hint="eastAsia" w:ascii="Times New Roman" w:hAnsi="Times New Roman" w:eastAsia="方正仿宋_GBK" w:cs="Times New Roman"/>
          <w:sz w:val="32"/>
          <w:szCs w:val="32"/>
        </w:rPr>
        <w:t>2024年年初预算数413.48万元，其中：一般公共服务支出389.43万元，教育支出</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rPr>
        <w:t>3</w:t>
      </w: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万元，社会保障和就业支出12.35万元，卫生健康支出5.14万元，住房保障支出6.17万元；支出较去年增加99.49万元，主要是基本支出减少9.66万元，项目支出增加109.15万元，主要原因是2024年年初将政务服务大厅购买服务人员劳务费全部纳入项目预算。</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一般公共预算财政拨款收入413.48万元，一般公共预算财政拨款支出413.48万元，比2023年增加99.49万元。其中：基本支出132.03万元，比2023年减少9.66万元，主要原因是2024年将政务服务大厅购买服务人员劳务费全部纳入项目预算，主要用于保障垫江县群众工作服务中心在职人员工资福利及社会保险缴费、离休人员离休费、退休人员补助等，保障部门正常运转的各项商品服务支出；项目支出281.45万元，比2023年增加109.15万元，主要原因是2024年年初将政务服务大厅购买服务人员劳务费全部纳入项目支出预算。主要用于政务服务大厅运行维护、政务改革、大厅入驻人员及管理人员后勤保障等重点工作。</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2024年政府性基金预算收入0万元，政府性基金预算支出0万元，比2023年增加0万元，主要原因是我中心2024年无使用政府性基金预算拨款安排的支出。</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三公”经费预算0万元，比2023年增加0万元。其中：因公出国（境）费用0万元，比2023年增加0万元，主要原因是我中心2024年未作预算安排；公务接待费0万元，比2023年增加0万元，主要原因是我中心2024年未作预算安排；公务用车运行维护费0万元，比2023年增加0万元，主要原因是我中心属事业单位，未保留公务车辆；公务用车购置费0万元，比2023年增加0万元，主要原因是我中心2024年未作预算安排。</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（一）我中心不在机关运行经费统计范围之内。</w:t>
      </w:r>
    </w:p>
    <w:p>
      <w:pPr>
        <w:keepNext w:val="0"/>
        <w:keepLines w:val="0"/>
        <w:pageBreakBefore w:val="0"/>
        <w:widowControl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sz w:val="32"/>
        </w:rPr>
        <w:t>（二）政府采购情况</w:t>
      </w:r>
      <w:r>
        <w:rPr>
          <w:rFonts w:hint="eastAsia" w:ascii="方正仿宋_GBK" w:hAnsi="方正仿宋_GBK" w:eastAsia="方正仿宋_GBK" w:cs="方正仿宋_GBK"/>
          <w:sz w:val="32"/>
        </w:rPr>
        <w:t>。</w:t>
      </w:r>
      <w:r>
        <w:rPr>
          <w:rFonts w:hint="eastAsia" w:ascii="Times New Roman" w:hAnsi="Times New Roman" w:eastAsia="方正仿宋_GBK" w:cs="Times New Roman"/>
          <w:sz w:val="32"/>
          <w:szCs w:val="32"/>
        </w:rPr>
        <w:t>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sz w:val="32"/>
        </w:rPr>
        <w:t>（三）绩效目标设置情况</w:t>
      </w:r>
      <w:r>
        <w:rPr>
          <w:rFonts w:hint="eastAsia" w:ascii="方正仿宋_GBK" w:hAnsi="方正仿宋_GBK" w:eastAsia="方正仿宋_GBK" w:cs="方正仿宋_GBK"/>
          <w:sz w:val="32"/>
        </w:rPr>
        <w:t>。</w:t>
      </w:r>
      <w:r>
        <w:rPr>
          <w:rFonts w:hint="eastAsia" w:ascii="Times New Roman" w:hAnsi="Times New Roman" w:eastAsia="方正仿宋_GBK" w:cs="Times New Roman"/>
          <w:sz w:val="32"/>
          <w:szCs w:val="32"/>
        </w:rPr>
        <w:t>2024年项目支出均实行了绩效目标管理，涉及一般公共预算当年财政拨款281.45万元。</w:t>
      </w:r>
    </w:p>
    <w:p>
      <w:pPr>
        <w:keepNext w:val="0"/>
        <w:keepLines w:val="0"/>
        <w:pageBreakBefore w:val="0"/>
        <w:widowControl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b/>
          <w:sz w:val="32"/>
        </w:rPr>
        <w:t>（四）国有资产占有使用情况</w:t>
      </w:r>
      <w:r>
        <w:rPr>
          <w:rFonts w:hint="eastAsia" w:ascii="方正仿宋_GBK" w:hAnsi="方正仿宋_GBK" w:eastAsia="方正仿宋_GBK" w:cs="方正仿宋_GBK"/>
          <w:sz w:val="32"/>
        </w:rPr>
        <w:t>。</w:t>
      </w:r>
      <w:bookmarkStart w:id="0" w:name="_GoBack"/>
      <w:bookmarkEnd w:id="0"/>
      <w:r>
        <w:rPr>
          <w:rFonts w:hint="eastAsia"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eastAsia="zh-CN"/>
        </w:rPr>
        <w:t>至</w:t>
      </w:r>
      <w:r>
        <w:rPr>
          <w:rFonts w:hint="eastAsia" w:ascii="Times New Roman" w:hAnsi="Times New Roman" w:eastAsia="方正仿宋_GBK" w:cs="Times New Roman"/>
          <w:sz w:val="32"/>
          <w:szCs w:val="32"/>
        </w:rPr>
        <w:t>2023年12月，所属各预算单位共有车辆0辆，其中一般公务用车0辆、执勤执法用车 0辆。2024年一般公共预算安排购置车辆0辆，其中一般公务用车 0辆、执勤执法用车0辆。</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94" w:lineRule="exact"/>
        <w:ind w:right="71" w:firstLine="800" w:firstLineChars="25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rPr>
        <w:t>单位预算公开联系人：皮老师    联系方式：</w:t>
      </w:r>
      <w:r>
        <w:rPr>
          <w:rFonts w:hint="eastAsia" w:ascii="Times New Roman" w:hAnsi="Times New Roman" w:eastAsia="方正仿宋_GBK" w:cs="Times New Roman"/>
          <w:sz w:val="32"/>
          <w:szCs w:val="32"/>
        </w:rPr>
        <w:t>023-74522003</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附表：</w:t>
      </w:r>
      <w:r>
        <w:rPr>
          <w:rFonts w:hint="eastAsia" w:ascii="Times New Roman" w:hAnsi="Times New Roman" w:eastAsia="方正仿宋_GBK" w:cs="Times New Roman"/>
          <w:sz w:val="32"/>
          <w:szCs w:val="32"/>
        </w:rPr>
        <w:t>1.</w:t>
      </w:r>
      <w:r>
        <w:rPr>
          <w:rFonts w:hint="eastAsia" w:ascii="方正仿宋_GBK" w:eastAsia="方正仿宋_GBK" w:cs="仿宋_GB2312"/>
          <w:color w:val="000000"/>
          <w:kern w:val="0"/>
          <w:sz w:val="32"/>
          <w:szCs w:val="32"/>
        </w:rPr>
        <w:t>垫江县群众工作服务中心财政拨款收支总表</w:t>
      </w:r>
    </w:p>
    <w:p>
      <w:pPr>
        <w:keepNext w:val="0"/>
        <w:keepLines w:val="0"/>
        <w:pageBreakBefore w:val="0"/>
        <w:widowControl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2.</w:t>
      </w:r>
      <w:r>
        <w:rPr>
          <w:rFonts w:hint="eastAsia" w:ascii="方正仿宋_GBK" w:eastAsia="方正仿宋_GBK" w:cs="仿宋_GB2312"/>
          <w:color w:val="000000"/>
          <w:kern w:val="0"/>
          <w:sz w:val="32"/>
          <w:szCs w:val="32"/>
        </w:rPr>
        <w:t>垫江县群众工作服务中心一般公共预算财政拨款支出预算表</w:t>
      </w:r>
    </w:p>
    <w:p>
      <w:pPr>
        <w:keepNext w:val="0"/>
        <w:keepLines w:val="0"/>
        <w:pageBreakBefore w:val="0"/>
        <w:widowControl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 xml:space="preserve"> 3.</w:t>
      </w:r>
      <w:r>
        <w:rPr>
          <w:rFonts w:hint="eastAsia" w:ascii="方正仿宋_GBK" w:eastAsia="方正仿宋_GBK" w:cs="仿宋_GB2312"/>
          <w:color w:val="000000"/>
          <w:kern w:val="0"/>
          <w:sz w:val="32"/>
          <w:szCs w:val="32"/>
        </w:rPr>
        <w:t>垫江县群众工作服务中心一般公共预算财政拨款基本支出预算表</w:t>
      </w:r>
    </w:p>
    <w:p>
      <w:pPr>
        <w:keepNext w:val="0"/>
        <w:keepLines w:val="0"/>
        <w:pageBreakBefore w:val="0"/>
        <w:widowControl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 xml:space="preserve"> 4.</w:t>
      </w:r>
      <w:r>
        <w:rPr>
          <w:rFonts w:hint="eastAsia" w:ascii="方正仿宋_GBK" w:eastAsia="方正仿宋_GBK" w:cs="仿宋_GB2312"/>
          <w:color w:val="000000"/>
          <w:kern w:val="0"/>
          <w:sz w:val="32"/>
          <w:szCs w:val="32"/>
        </w:rPr>
        <w:t>垫江县群众工作服务中心一般公共预算“三公”经费支出表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 xml:space="preserve"> 5.</w:t>
      </w:r>
      <w:r>
        <w:rPr>
          <w:rFonts w:hint="eastAsia" w:ascii="方正仿宋_GBK" w:eastAsia="方正仿宋_GBK" w:cs="仿宋_GB2312"/>
          <w:color w:val="000000"/>
          <w:kern w:val="0"/>
          <w:sz w:val="32"/>
          <w:szCs w:val="32"/>
        </w:rPr>
        <w:t>垫江县群众工作服务中心政府性基金预算支出表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 xml:space="preserve"> 6.</w:t>
      </w:r>
      <w:r>
        <w:rPr>
          <w:rFonts w:hint="eastAsia" w:ascii="方正仿宋_GBK" w:eastAsia="方正仿宋_GBK" w:cs="仿宋_GB2312"/>
          <w:color w:val="000000"/>
          <w:kern w:val="0"/>
          <w:sz w:val="32"/>
          <w:szCs w:val="32"/>
        </w:rPr>
        <w:t>垫江县群众工作服务中心收支总表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 xml:space="preserve"> 7.</w:t>
      </w:r>
      <w:r>
        <w:rPr>
          <w:rFonts w:hint="eastAsia" w:ascii="方正仿宋_GBK" w:eastAsia="方正仿宋_GBK" w:cs="仿宋_GB2312"/>
          <w:color w:val="000000"/>
          <w:kern w:val="0"/>
          <w:sz w:val="32"/>
          <w:szCs w:val="32"/>
        </w:rPr>
        <w:t>垫江县群众工作服务中心收入总表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sz w:val="32"/>
          <w:szCs w:val="32"/>
        </w:rPr>
        <w:t>8.</w:t>
      </w:r>
      <w:r>
        <w:rPr>
          <w:rFonts w:hint="eastAsia" w:ascii="方正仿宋_GBK" w:eastAsia="方正仿宋_GBK" w:cs="仿宋_GB2312"/>
          <w:color w:val="000000"/>
          <w:kern w:val="0"/>
          <w:sz w:val="32"/>
          <w:szCs w:val="32"/>
        </w:rPr>
        <w:t>垫江县群众工作服务中心支出总表</w:t>
      </w: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r>
        <w:rPr>
          <w:rFonts w:hint="eastAsia" w:ascii="Times New Roman" w:hAnsi="Times New Roman" w:eastAsia="方正仿宋_GBK" w:cs="Times New Roman"/>
          <w:sz w:val="32"/>
          <w:szCs w:val="32"/>
        </w:rPr>
        <w:t>9.</w:t>
      </w:r>
      <w:r>
        <w:rPr>
          <w:rFonts w:hint="eastAsia" w:ascii="方正仿宋_GBK" w:eastAsia="方正仿宋_GBK" w:cs="仿宋_GB2312"/>
          <w:color w:val="000000"/>
          <w:kern w:val="0"/>
          <w:sz w:val="32"/>
          <w:szCs w:val="32"/>
        </w:rPr>
        <w:t>垫江县群众工作服务中心政府采购明细表</w:t>
      </w: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r>
        <w:rPr>
          <w:rFonts w:hint="eastAsia" w:ascii="Times New Roman" w:hAnsi="Times New Roman" w:eastAsia="方正仿宋_GBK" w:cs="Times New Roman"/>
          <w:sz w:val="32"/>
          <w:szCs w:val="32"/>
        </w:rPr>
        <w:t>10.</w:t>
      </w:r>
      <w:r>
        <w:rPr>
          <w:rFonts w:hint="eastAsia" w:ascii="方正仿宋_GBK" w:eastAsia="方正仿宋_GBK" w:cs="仿宋_GB2312"/>
          <w:color w:val="000000"/>
          <w:kern w:val="0"/>
          <w:sz w:val="32"/>
          <w:szCs w:val="32"/>
        </w:rPr>
        <w:t>垫江县群众工作服务中心2024年项目绩效目标表</w:t>
      </w: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keepNext w:val="0"/>
        <w:keepLines w:val="0"/>
        <w:pageBreakBefore w:val="0"/>
        <w:widowControl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p>
    <w:p>
      <w:pPr>
        <w:spacing w:line="240" w:lineRule="auto"/>
        <w:rPr>
          <w:rFonts w:hint="eastAsia" w:ascii="方正仿宋_GBK" w:eastAsia="方正仿宋_GBK" w:cs="仿宋_GB2312"/>
          <w:color w:val="000000"/>
          <w:kern w:val="0"/>
          <w:sz w:val="32"/>
          <w:szCs w:val="32"/>
          <w:lang w:eastAsia="zh-CN"/>
        </w:rPr>
      </w:pPr>
      <w:r>
        <w:rPr>
          <w:rFonts w:hint="eastAsia" w:ascii="方正仿宋_GBK" w:eastAsia="方正仿宋_GBK" w:cs="仿宋_GB2312"/>
          <w:color w:val="000000"/>
          <w:kern w:val="0"/>
          <w:sz w:val="32"/>
          <w:szCs w:val="32"/>
          <w:lang w:eastAsia="zh-CN"/>
        </w:rPr>
        <w:drawing>
          <wp:inline distT="0" distB="0" distL="114300" distR="114300">
            <wp:extent cx="5723255" cy="3235325"/>
            <wp:effectExtent l="0" t="0" r="10795" b="3175"/>
            <wp:docPr id="1" name="图片 1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2" descr="1"/>
                    <pic:cNvPicPr>
                      <a:picLocks noChangeAspect="true"/>
                    </pic:cNvPicPr>
                  </pic:nvPicPr>
                  <pic:blipFill>
                    <a:blip r:embed="rId4"/>
                    <a:stretch>
                      <a:fillRect/>
                    </a:stretch>
                  </pic:blipFill>
                  <pic:spPr>
                    <a:xfrm>
                      <a:off x="0" y="0"/>
                      <a:ext cx="5723255" cy="323532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8970" cy="5643880"/>
            <wp:effectExtent l="0" t="0" r="5080" b="13970"/>
            <wp:docPr id="2" name="图片 11"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1" descr="2"/>
                    <pic:cNvPicPr>
                      <a:picLocks noChangeAspect="true"/>
                    </pic:cNvPicPr>
                  </pic:nvPicPr>
                  <pic:blipFill>
                    <a:blip r:embed="rId5"/>
                    <a:stretch>
                      <a:fillRect/>
                    </a:stretch>
                  </pic:blipFill>
                  <pic:spPr>
                    <a:xfrm>
                      <a:off x="0" y="0"/>
                      <a:ext cx="5728970" cy="564388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4890770"/>
            <wp:effectExtent l="0" t="0" r="10160" b="5080"/>
            <wp:docPr id="3" name="图片 10"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0" descr="3"/>
                    <pic:cNvPicPr>
                      <a:picLocks noChangeAspect="true"/>
                    </pic:cNvPicPr>
                  </pic:nvPicPr>
                  <pic:blipFill>
                    <a:blip r:embed="rId6"/>
                    <a:stretch>
                      <a:fillRect/>
                    </a:stretch>
                  </pic:blipFill>
                  <pic:spPr>
                    <a:xfrm>
                      <a:off x="0" y="0"/>
                      <a:ext cx="5723890" cy="489077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795" cy="1421765"/>
            <wp:effectExtent l="0" t="0" r="8255" b="6985"/>
            <wp:docPr id="4" name="图片 9"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9" descr="4"/>
                    <pic:cNvPicPr>
                      <a:picLocks noChangeAspect="true"/>
                    </pic:cNvPicPr>
                  </pic:nvPicPr>
                  <pic:blipFill>
                    <a:blip r:embed="rId7"/>
                    <a:stretch>
                      <a:fillRect/>
                    </a:stretch>
                  </pic:blipFill>
                  <pic:spPr>
                    <a:xfrm>
                      <a:off x="0" y="0"/>
                      <a:ext cx="5725795" cy="14217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7700" cy="1955165"/>
            <wp:effectExtent l="0" t="0" r="6350" b="6985"/>
            <wp:docPr id="5" name="图片 8"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8" descr="5"/>
                    <pic:cNvPicPr>
                      <a:picLocks noChangeAspect="true"/>
                    </pic:cNvPicPr>
                  </pic:nvPicPr>
                  <pic:blipFill>
                    <a:blip r:embed="rId8"/>
                    <a:stretch>
                      <a:fillRect/>
                    </a:stretch>
                  </pic:blipFill>
                  <pic:spPr>
                    <a:xfrm>
                      <a:off x="0" y="0"/>
                      <a:ext cx="5727700" cy="19551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9605" cy="4613275"/>
            <wp:effectExtent l="0" t="0" r="4445" b="15875"/>
            <wp:docPr id="6" name="图片 7"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descr="6"/>
                    <pic:cNvPicPr>
                      <a:picLocks noChangeAspect="true"/>
                    </pic:cNvPicPr>
                  </pic:nvPicPr>
                  <pic:blipFill>
                    <a:blip r:embed="rId9"/>
                    <a:stretch>
                      <a:fillRect/>
                    </a:stretch>
                  </pic:blipFill>
                  <pic:spPr>
                    <a:xfrm>
                      <a:off x="0" y="0"/>
                      <a:ext cx="5729605" cy="461327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4525" cy="3096895"/>
            <wp:effectExtent l="0" t="0" r="9525" b="8255"/>
            <wp:docPr id="7" name="图片 6"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7"/>
                    <pic:cNvPicPr>
                      <a:picLocks noChangeAspect="true"/>
                    </pic:cNvPicPr>
                  </pic:nvPicPr>
                  <pic:blipFill>
                    <a:blip r:embed="rId10"/>
                    <a:stretch>
                      <a:fillRect/>
                    </a:stretch>
                  </pic:blipFill>
                  <pic:spPr>
                    <a:xfrm>
                      <a:off x="0" y="0"/>
                      <a:ext cx="5724525" cy="309689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7700" cy="3548380"/>
            <wp:effectExtent l="0" t="0" r="6350" b="13970"/>
            <wp:docPr id="8" name="图片 5" descr="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descr="8"/>
                    <pic:cNvPicPr>
                      <a:picLocks noChangeAspect="true"/>
                    </pic:cNvPicPr>
                  </pic:nvPicPr>
                  <pic:blipFill>
                    <a:blip r:embed="rId11"/>
                    <a:stretch>
                      <a:fillRect/>
                    </a:stretch>
                  </pic:blipFill>
                  <pic:spPr>
                    <a:xfrm>
                      <a:off x="0" y="0"/>
                      <a:ext cx="5727700" cy="354838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202555" cy="1497330"/>
            <wp:effectExtent l="0" t="0" r="17145" b="7620"/>
            <wp:docPr id="9" name="图片 4" descr="E:\2024预算公开\群工中心\9.png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4" descr="E:\2024预算公开\群工中心\9.png9"/>
                    <pic:cNvPicPr>
                      <a:picLocks noChangeAspect="true"/>
                    </pic:cNvPicPr>
                  </pic:nvPicPr>
                  <pic:blipFill>
                    <a:blip r:embed="rId12"/>
                    <a:stretch>
                      <a:fillRect/>
                    </a:stretch>
                  </pic:blipFill>
                  <pic:spPr>
                    <a:xfrm>
                      <a:off x="0" y="0"/>
                      <a:ext cx="5202555" cy="149733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7503160"/>
            <wp:effectExtent l="0" t="0" r="10160" b="2540"/>
            <wp:docPr id="10" name="图片 3" descr="1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 descr="10-1"/>
                    <pic:cNvPicPr>
                      <a:picLocks noChangeAspect="true"/>
                    </pic:cNvPicPr>
                  </pic:nvPicPr>
                  <pic:blipFill>
                    <a:blip r:embed="rId13"/>
                    <a:stretch>
                      <a:fillRect/>
                    </a:stretch>
                  </pic:blipFill>
                  <pic:spPr>
                    <a:xfrm>
                      <a:off x="0" y="0"/>
                      <a:ext cx="5723890" cy="750316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6689725"/>
            <wp:effectExtent l="0" t="0" r="10160" b="15875"/>
            <wp:docPr id="11" name="图片 2" descr="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descr="10-2"/>
                    <pic:cNvPicPr>
                      <a:picLocks noChangeAspect="true"/>
                    </pic:cNvPicPr>
                  </pic:nvPicPr>
                  <pic:blipFill>
                    <a:blip r:embed="rId14"/>
                    <a:stretch>
                      <a:fillRect/>
                    </a:stretch>
                  </pic:blipFill>
                  <pic:spPr>
                    <a:xfrm>
                      <a:off x="0" y="0"/>
                      <a:ext cx="5723890" cy="668972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3418205"/>
            <wp:effectExtent l="0" t="0" r="10160" b="10795"/>
            <wp:docPr id="12" name="图片 1" descr="1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 descr="10-3"/>
                    <pic:cNvPicPr>
                      <a:picLocks noChangeAspect="true"/>
                    </pic:cNvPicPr>
                  </pic:nvPicPr>
                  <pic:blipFill>
                    <a:blip r:embed="rId15"/>
                    <a:stretch>
                      <a:fillRect/>
                    </a:stretch>
                  </pic:blipFill>
                  <pic:spPr>
                    <a:xfrm>
                      <a:off x="0" y="0"/>
                      <a:ext cx="5723890" cy="3418205"/>
                    </a:xfrm>
                    <a:prstGeom prst="rect">
                      <a:avLst/>
                    </a:prstGeom>
                    <a:noFill/>
                    <a:ln>
                      <a:noFill/>
                    </a:ln>
                  </pic:spPr>
                </pic:pic>
              </a:graphicData>
            </a:graphic>
          </wp:inline>
        </w:drawing>
      </w:r>
    </w:p>
    <w:p>
      <w:pPr>
        <w:ind w:firstLine="642" w:firstLineChars="200"/>
        <w:rPr>
          <w:rFonts w:hint="eastAsia"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07419"/>
    <w:rsid w:val="00125C07"/>
    <w:rsid w:val="0014404E"/>
    <w:rsid w:val="001525DD"/>
    <w:rsid w:val="00161474"/>
    <w:rsid w:val="00165A74"/>
    <w:rsid w:val="00191ADC"/>
    <w:rsid w:val="001957F9"/>
    <w:rsid w:val="001C0A7C"/>
    <w:rsid w:val="001D0CAA"/>
    <w:rsid w:val="001D4937"/>
    <w:rsid w:val="001D5ED9"/>
    <w:rsid w:val="001E1AED"/>
    <w:rsid w:val="001E31D9"/>
    <w:rsid w:val="00202E0A"/>
    <w:rsid w:val="002132E9"/>
    <w:rsid w:val="00213635"/>
    <w:rsid w:val="00225A6C"/>
    <w:rsid w:val="00226F1D"/>
    <w:rsid w:val="00242727"/>
    <w:rsid w:val="00246006"/>
    <w:rsid w:val="00246AA4"/>
    <w:rsid w:val="002504A9"/>
    <w:rsid w:val="00252849"/>
    <w:rsid w:val="002605A5"/>
    <w:rsid w:val="0026529F"/>
    <w:rsid w:val="0027005A"/>
    <w:rsid w:val="00273CB0"/>
    <w:rsid w:val="002773F0"/>
    <w:rsid w:val="00280A93"/>
    <w:rsid w:val="00286440"/>
    <w:rsid w:val="002959B6"/>
    <w:rsid w:val="002B41F1"/>
    <w:rsid w:val="002C4122"/>
    <w:rsid w:val="002D2335"/>
    <w:rsid w:val="002D2A88"/>
    <w:rsid w:val="002E46A9"/>
    <w:rsid w:val="0030024E"/>
    <w:rsid w:val="003019D9"/>
    <w:rsid w:val="00336725"/>
    <w:rsid w:val="00341606"/>
    <w:rsid w:val="00346387"/>
    <w:rsid w:val="0034700C"/>
    <w:rsid w:val="00357A28"/>
    <w:rsid w:val="00362C12"/>
    <w:rsid w:val="00367516"/>
    <w:rsid w:val="00375FC9"/>
    <w:rsid w:val="00383298"/>
    <w:rsid w:val="003872D5"/>
    <w:rsid w:val="0039559F"/>
    <w:rsid w:val="003B11A5"/>
    <w:rsid w:val="003B33C4"/>
    <w:rsid w:val="003B35CD"/>
    <w:rsid w:val="003B36C2"/>
    <w:rsid w:val="003D14F0"/>
    <w:rsid w:val="003D7234"/>
    <w:rsid w:val="003D7504"/>
    <w:rsid w:val="003E4EB6"/>
    <w:rsid w:val="003F6450"/>
    <w:rsid w:val="00425D3A"/>
    <w:rsid w:val="00430B72"/>
    <w:rsid w:val="00437D88"/>
    <w:rsid w:val="004417DC"/>
    <w:rsid w:val="00445520"/>
    <w:rsid w:val="00462595"/>
    <w:rsid w:val="004756B4"/>
    <w:rsid w:val="0049017F"/>
    <w:rsid w:val="00492E3D"/>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E18A6"/>
    <w:rsid w:val="005F1960"/>
    <w:rsid w:val="006115F1"/>
    <w:rsid w:val="00620BCE"/>
    <w:rsid w:val="00623B79"/>
    <w:rsid w:val="00627F7E"/>
    <w:rsid w:val="006443F2"/>
    <w:rsid w:val="0066585E"/>
    <w:rsid w:val="006809FA"/>
    <w:rsid w:val="0068674B"/>
    <w:rsid w:val="006C01C3"/>
    <w:rsid w:val="006D0C33"/>
    <w:rsid w:val="006D1609"/>
    <w:rsid w:val="006E0BEC"/>
    <w:rsid w:val="006E455F"/>
    <w:rsid w:val="006F7539"/>
    <w:rsid w:val="006F7F5F"/>
    <w:rsid w:val="00714828"/>
    <w:rsid w:val="007158F8"/>
    <w:rsid w:val="0071734A"/>
    <w:rsid w:val="007252E3"/>
    <w:rsid w:val="00742C4D"/>
    <w:rsid w:val="007476D5"/>
    <w:rsid w:val="007620B8"/>
    <w:rsid w:val="00762CF8"/>
    <w:rsid w:val="00765DF5"/>
    <w:rsid w:val="007713EB"/>
    <w:rsid w:val="00791CE4"/>
    <w:rsid w:val="0079504A"/>
    <w:rsid w:val="00797AA6"/>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30D6"/>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21BA"/>
    <w:rsid w:val="00983001"/>
    <w:rsid w:val="0098712E"/>
    <w:rsid w:val="009B5CA5"/>
    <w:rsid w:val="009B77D4"/>
    <w:rsid w:val="009E5EEF"/>
    <w:rsid w:val="009E6734"/>
    <w:rsid w:val="009F01A9"/>
    <w:rsid w:val="009F4F1B"/>
    <w:rsid w:val="00A05F72"/>
    <w:rsid w:val="00A07288"/>
    <w:rsid w:val="00A174AB"/>
    <w:rsid w:val="00A21DCD"/>
    <w:rsid w:val="00A33F5E"/>
    <w:rsid w:val="00A35F07"/>
    <w:rsid w:val="00A3721F"/>
    <w:rsid w:val="00A45A23"/>
    <w:rsid w:val="00A52D34"/>
    <w:rsid w:val="00A712EA"/>
    <w:rsid w:val="00A8020D"/>
    <w:rsid w:val="00A802E9"/>
    <w:rsid w:val="00A80B6C"/>
    <w:rsid w:val="00AA07EB"/>
    <w:rsid w:val="00AA324B"/>
    <w:rsid w:val="00AB1695"/>
    <w:rsid w:val="00AB25DF"/>
    <w:rsid w:val="00AC6F85"/>
    <w:rsid w:val="00AD7000"/>
    <w:rsid w:val="00AE0A20"/>
    <w:rsid w:val="00AE4156"/>
    <w:rsid w:val="00AF49E6"/>
    <w:rsid w:val="00B1352B"/>
    <w:rsid w:val="00B24FA7"/>
    <w:rsid w:val="00B257E3"/>
    <w:rsid w:val="00B54CE7"/>
    <w:rsid w:val="00B558CC"/>
    <w:rsid w:val="00B56688"/>
    <w:rsid w:val="00B65450"/>
    <w:rsid w:val="00B7213B"/>
    <w:rsid w:val="00B72347"/>
    <w:rsid w:val="00B86388"/>
    <w:rsid w:val="00BB3B39"/>
    <w:rsid w:val="00BB6F22"/>
    <w:rsid w:val="00BC2C3D"/>
    <w:rsid w:val="00BD0BB9"/>
    <w:rsid w:val="00BD5FA5"/>
    <w:rsid w:val="00BE573E"/>
    <w:rsid w:val="00BF67E7"/>
    <w:rsid w:val="00C2696C"/>
    <w:rsid w:val="00C34A07"/>
    <w:rsid w:val="00C36A7E"/>
    <w:rsid w:val="00C427D3"/>
    <w:rsid w:val="00C47446"/>
    <w:rsid w:val="00C5758E"/>
    <w:rsid w:val="00C601F9"/>
    <w:rsid w:val="00C7602D"/>
    <w:rsid w:val="00C827DC"/>
    <w:rsid w:val="00C95346"/>
    <w:rsid w:val="00C97BB4"/>
    <w:rsid w:val="00CA4340"/>
    <w:rsid w:val="00CB0296"/>
    <w:rsid w:val="00CB06DA"/>
    <w:rsid w:val="00CC4A96"/>
    <w:rsid w:val="00CD1C4A"/>
    <w:rsid w:val="00CD1D6E"/>
    <w:rsid w:val="00CD2617"/>
    <w:rsid w:val="00CE1014"/>
    <w:rsid w:val="00CF42ED"/>
    <w:rsid w:val="00D0143D"/>
    <w:rsid w:val="00D10AB7"/>
    <w:rsid w:val="00D160DD"/>
    <w:rsid w:val="00D21CDE"/>
    <w:rsid w:val="00D40ADE"/>
    <w:rsid w:val="00D411DD"/>
    <w:rsid w:val="00D46486"/>
    <w:rsid w:val="00D64C2C"/>
    <w:rsid w:val="00D66063"/>
    <w:rsid w:val="00D74395"/>
    <w:rsid w:val="00D77D37"/>
    <w:rsid w:val="00D80BC2"/>
    <w:rsid w:val="00D8620E"/>
    <w:rsid w:val="00DA2A22"/>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58CE"/>
    <w:rsid w:val="00F51454"/>
    <w:rsid w:val="00F605C0"/>
    <w:rsid w:val="00F66710"/>
    <w:rsid w:val="00F67DDB"/>
    <w:rsid w:val="00F84112"/>
    <w:rsid w:val="00F84AC6"/>
    <w:rsid w:val="00F86A3C"/>
    <w:rsid w:val="00F90464"/>
    <w:rsid w:val="00F9492F"/>
    <w:rsid w:val="00FC2169"/>
    <w:rsid w:val="00FC2267"/>
    <w:rsid w:val="00FE12C3"/>
    <w:rsid w:val="00FE28C5"/>
    <w:rsid w:val="03A37B7C"/>
    <w:rsid w:val="180E3F6F"/>
    <w:rsid w:val="18CC21E2"/>
    <w:rsid w:val="19D75DEA"/>
    <w:rsid w:val="1C951C13"/>
    <w:rsid w:val="28E042C1"/>
    <w:rsid w:val="2EA357C9"/>
    <w:rsid w:val="3BC5739B"/>
    <w:rsid w:val="46393421"/>
    <w:rsid w:val="48310C7F"/>
    <w:rsid w:val="49356421"/>
    <w:rsid w:val="50BF262E"/>
    <w:rsid w:val="5FAE5678"/>
    <w:rsid w:val="6BA31180"/>
    <w:rsid w:val="7A872CB4"/>
    <w:rsid w:val="7FF1FF66"/>
    <w:rsid w:val="DDBF50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364</Words>
  <Characters>2079</Characters>
  <Lines>17</Lines>
  <Paragraphs>4</Paragraphs>
  <TotalTime>5.33333333333333</TotalTime>
  <ScaleCrop>false</ScaleCrop>
  <LinksUpToDate>false</LinksUpToDate>
  <CharactersWithSpaces>2439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2018-12-17T22:47:00Z</dcterms:created>
  <dc:creator>Administrator</dc:creator>
  <cp:lastModifiedBy>一生何求</cp:lastModifiedBy>
  <cp:lastPrinted>2018-01-03T00:11:00Z</cp:lastPrinted>
  <dcterms:modified xsi:type="dcterms:W3CDTF">2024-03-01T13:15:07Z</dcterms:modified>
  <dc:title>XXXXX（单位全称）2021年单位预算情况说明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