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0D9" w:rsidRDefault="00745144">
      <w:pPr>
        <w:pStyle w:val="a6"/>
        <w:spacing w:before="0" w:beforeAutospacing="0"/>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垫江县群众工作服务中心</w:t>
      </w:r>
    </w:p>
    <w:p w:rsidR="008B00D9" w:rsidRDefault="00745144">
      <w:pPr>
        <w:pStyle w:val="a6"/>
        <w:spacing w:before="0" w:beforeAutospacing="0"/>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2023年度决算公开说明</w:t>
      </w:r>
    </w:p>
    <w:p w:rsidR="008B00D9" w:rsidRDefault="00745144">
      <w:pPr>
        <w:pStyle w:val="a6"/>
        <w:shd w:val="clear" w:color="auto" w:fill="FFFFFF"/>
        <w:spacing w:after="0" w:afterAutospacing="0" w:line="594" w:lineRule="exact"/>
        <w:jc w:val="both"/>
        <w:rPr>
          <w:rFonts w:ascii="方正仿宋_GBK" w:eastAsia="方正仿宋_GBK" w:hAnsi="黑体" w:cs="黑体" w:hint="default"/>
          <w:sz w:val="32"/>
          <w:szCs w:val="32"/>
        </w:rPr>
      </w:pPr>
      <w:r>
        <w:rPr>
          <w:rStyle w:val="a7"/>
          <w:rFonts w:ascii="方正仿宋_GBK" w:eastAsia="方正仿宋_GBK" w:hAnsi="黑体" w:cs="黑体"/>
          <w:sz w:val="32"/>
          <w:szCs w:val="32"/>
          <w:shd w:val="clear" w:color="auto" w:fill="FFFFFF"/>
        </w:rPr>
        <w:t>一、单位基本情况</w:t>
      </w:r>
    </w:p>
    <w:p w:rsidR="008B00D9" w:rsidRDefault="00745144">
      <w:pPr>
        <w:pStyle w:val="a6"/>
        <w:shd w:val="clear" w:color="auto" w:fill="FFFFFF"/>
        <w:spacing w:before="0" w:beforeAutospacing="0" w:after="0" w:afterAutospacing="0" w:line="594" w:lineRule="exact"/>
        <w:ind w:firstLine="420"/>
        <w:jc w:val="both"/>
        <w:rPr>
          <w:rStyle w:val="a7"/>
          <w:rFonts w:ascii="方正仿宋_GBK" w:eastAsia="方正仿宋_GBK" w:hAnsi="楷体" w:cs="楷体" w:hint="default"/>
          <w:sz w:val="32"/>
          <w:szCs w:val="32"/>
          <w:shd w:val="clear" w:color="auto" w:fill="FFFFFF"/>
        </w:rPr>
      </w:pPr>
      <w:r>
        <w:rPr>
          <w:rStyle w:val="a7"/>
          <w:rFonts w:ascii="方正仿宋_GBK" w:eastAsia="方正仿宋_GBK" w:hAnsi="楷体" w:cs="楷体"/>
          <w:sz w:val="32"/>
          <w:szCs w:val="32"/>
          <w:shd w:val="clear" w:color="auto" w:fill="FFFFFF"/>
        </w:rPr>
        <w:t>（一）职能职责</w:t>
      </w:r>
    </w:p>
    <w:p w:rsidR="008B00D9" w:rsidRDefault="00745144">
      <w:pPr>
        <w:pStyle w:val="a6"/>
        <w:shd w:val="clear" w:color="auto" w:fill="FFFFFF"/>
        <w:adjustRightInd w:val="0"/>
        <w:snapToGrid w:val="0"/>
        <w:spacing w:before="0" w:beforeAutospacing="0" w:after="0" w:afterAutospacing="0" w:line="594" w:lineRule="exact"/>
        <w:ind w:firstLineChars="196" w:firstLine="627"/>
        <w:jc w:val="both"/>
        <w:rPr>
          <w:rFonts w:ascii="方正仿宋_GBK" w:eastAsia="方正仿宋_GBK" w:hAnsi="Times New Roman" w:hint="default"/>
          <w:sz w:val="32"/>
          <w:szCs w:val="32"/>
        </w:rPr>
      </w:pPr>
      <w:r>
        <w:rPr>
          <w:rFonts w:ascii="方正仿宋_GBK" w:eastAsia="方正仿宋_GBK" w:hAnsi="Times New Roman"/>
          <w:sz w:val="32"/>
          <w:szCs w:val="32"/>
        </w:rPr>
        <w:t>负责县级行政服务中心场地标准化、流程标准化和服务标准化建设的技术服务和日常管理；负责县行政服务中心综合窗口审批服务事项的受理、协调服务，负责统一发件窗口审批结果发件工作，负责咨询服务台咨询接待引导等服务工作；负责受理群众反映事项，为群众提供服务；对乡镇（街道）、部门群工系统的运行情况进行统计分析上报；负责网审平台使用、维护和管理，负责推进“互联网+政务服务”工作；协助县行政审批制度改革工作联席会议办公室做好联席会议的有关工作。</w:t>
      </w:r>
    </w:p>
    <w:p w:rsidR="008B00D9" w:rsidRDefault="00745144">
      <w:pPr>
        <w:pStyle w:val="a6"/>
        <w:shd w:val="clear" w:color="auto" w:fill="FFFFFF"/>
        <w:spacing w:before="0" w:beforeAutospacing="0" w:after="0" w:afterAutospacing="0" w:line="594" w:lineRule="exact"/>
        <w:ind w:firstLine="420"/>
        <w:jc w:val="both"/>
        <w:rPr>
          <w:rStyle w:val="a7"/>
          <w:rFonts w:ascii="方正仿宋_GBK" w:eastAsia="方正仿宋_GBK" w:hAnsi="楷体" w:cs="楷体" w:hint="default"/>
          <w:sz w:val="32"/>
          <w:szCs w:val="32"/>
          <w:shd w:val="clear" w:color="auto" w:fill="FFFFFF"/>
        </w:rPr>
      </w:pPr>
      <w:r>
        <w:rPr>
          <w:rStyle w:val="a7"/>
          <w:rFonts w:ascii="方正仿宋_GBK" w:eastAsia="方正仿宋_GBK" w:hAnsi="楷体" w:cs="楷体"/>
          <w:sz w:val="32"/>
          <w:szCs w:val="32"/>
          <w:shd w:val="clear" w:color="auto" w:fill="FFFFFF"/>
        </w:rPr>
        <w:t>（二）机构设置</w:t>
      </w:r>
    </w:p>
    <w:p w:rsidR="008B00D9" w:rsidRDefault="00745144">
      <w:pPr>
        <w:adjustRightInd w:val="0"/>
        <w:snapToGrid w:val="0"/>
        <w:spacing w:line="594" w:lineRule="exact"/>
        <w:ind w:firstLineChars="200" w:firstLine="640"/>
        <w:jc w:val="both"/>
        <w:rPr>
          <w:rFonts w:ascii="方正仿宋_GBK" w:eastAsia="方正仿宋_GBK" w:hAnsi="Times New Roman" w:hint="default"/>
          <w:sz w:val="32"/>
          <w:szCs w:val="32"/>
        </w:rPr>
      </w:pPr>
      <w:r>
        <w:rPr>
          <w:rFonts w:ascii="方正仿宋_GBK" w:eastAsia="方正仿宋_GBK" w:hAnsi="Times New Roman"/>
          <w:sz w:val="32"/>
          <w:szCs w:val="32"/>
        </w:rPr>
        <w:t>垫江县群众工作服务中心根据上述职能职责，设置综合科、协调指导科、窗口建设科、基层指导科、群众工作科5个内设机构，核定内设机构领导职数5名。</w:t>
      </w:r>
    </w:p>
    <w:p w:rsidR="008B00D9" w:rsidRDefault="00745144">
      <w:pPr>
        <w:adjustRightInd w:val="0"/>
        <w:snapToGrid w:val="0"/>
        <w:spacing w:line="594" w:lineRule="exact"/>
        <w:ind w:firstLineChars="200" w:firstLine="640"/>
        <w:jc w:val="both"/>
        <w:rPr>
          <w:rFonts w:ascii="方正仿宋_GBK" w:eastAsia="方正仿宋_GBK" w:hAnsi="Times New Roman" w:hint="default"/>
          <w:sz w:val="32"/>
          <w:szCs w:val="32"/>
        </w:rPr>
      </w:pPr>
      <w:r>
        <w:rPr>
          <w:rFonts w:ascii="方正仿宋_GBK" w:eastAsia="方正仿宋_GBK" w:hAnsi="Times New Roman"/>
          <w:bCs/>
          <w:color w:val="000000"/>
          <w:sz w:val="32"/>
          <w:szCs w:val="32"/>
        </w:rPr>
        <w:t>2023年年末编制数10人，年末实有在职人数7人，购买服务人员17人。</w:t>
      </w:r>
    </w:p>
    <w:p w:rsidR="008B00D9" w:rsidRDefault="00745144">
      <w:pPr>
        <w:pStyle w:val="a6"/>
        <w:shd w:val="clear" w:color="auto" w:fill="FFFFFF"/>
        <w:spacing w:before="0" w:beforeAutospacing="0" w:after="0" w:afterAutospacing="0" w:line="594" w:lineRule="exact"/>
        <w:jc w:val="both"/>
        <w:rPr>
          <w:rStyle w:val="a7"/>
          <w:rFonts w:ascii="方正仿宋_GBK" w:eastAsia="方正仿宋_GBK" w:hAnsi="黑体" w:cs="黑体" w:hint="default"/>
          <w:sz w:val="32"/>
          <w:szCs w:val="32"/>
          <w:shd w:val="clear" w:color="auto" w:fill="FFFFFF"/>
        </w:rPr>
      </w:pPr>
      <w:r>
        <w:rPr>
          <w:rStyle w:val="a7"/>
          <w:rFonts w:ascii="方正仿宋_GBK" w:eastAsia="方正仿宋_GBK" w:hAnsi="黑体" w:cs="黑体"/>
          <w:sz w:val="32"/>
          <w:szCs w:val="32"/>
          <w:shd w:val="clear" w:color="auto" w:fill="FFFFFF"/>
        </w:rPr>
        <w:t>二、部门决算情况说明</w:t>
      </w:r>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（一）收入支出决算总体情况说明。</w:t>
      </w:r>
    </w:p>
    <w:p w:rsidR="008B00D9" w:rsidRDefault="00745144">
      <w:pPr>
        <w:adjustRightInd w:val="0"/>
        <w:snapToGrid w:val="0"/>
        <w:spacing w:line="594" w:lineRule="exact"/>
        <w:ind w:firstLineChars="196" w:firstLine="630"/>
        <w:jc w:val="both"/>
        <w:rPr>
          <w:rFonts w:ascii="方正仿宋_GBK" w:eastAsia="方正仿宋_GBK" w:hAnsi="Times New Roman" w:hint="default"/>
          <w:sz w:val="32"/>
          <w:szCs w:val="32"/>
        </w:rPr>
      </w:pPr>
      <w:r>
        <w:rPr>
          <w:rStyle w:val="a7"/>
          <w:rFonts w:ascii="方正仿宋_GBK" w:eastAsia="方正仿宋_GBK" w:hAnsi="方正仿宋_GBK" w:cs="方正仿宋_GBK"/>
          <w:sz w:val="32"/>
          <w:szCs w:val="32"/>
          <w:shd w:val="clear" w:color="auto" w:fill="FFFFFF"/>
        </w:rPr>
        <w:lastRenderedPageBreak/>
        <w:t>1.总体情况。</w:t>
      </w:r>
      <w:r>
        <w:rPr>
          <w:rFonts w:ascii="方正仿宋_GBK" w:eastAsia="方正仿宋_GBK" w:hAnsi="方正仿宋_GBK" w:cs="方正仿宋_GBK"/>
          <w:sz w:val="32"/>
          <w:szCs w:val="32"/>
          <w:shd w:val="clear" w:color="auto" w:fill="FFFFFF"/>
        </w:rPr>
        <w:t>2023年度收入总计383.93万元，支出总计</w:t>
      </w:r>
      <w:r>
        <w:rPr>
          <w:rFonts w:ascii="方正仿宋_GBK" w:eastAsia="方正仿宋_GBK" w:hAnsi="方正仿宋_GBK" w:cs="方正仿宋_GBK"/>
          <w:sz w:val="32"/>
          <w:szCs w:val="32"/>
        </w:rPr>
        <w:t>383.93</w:t>
      </w:r>
      <w:r>
        <w:rPr>
          <w:rFonts w:ascii="方正仿宋_GBK" w:eastAsia="方正仿宋_GBK" w:hAnsi="方正仿宋_GBK" w:cs="方正仿宋_GBK"/>
          <w:sz w:val="32"/>
          <w:szCs w:val="32"/>
          <w:shd w:val="clear" w:color="auto" w:fill="FFFFFF"/>
        </w:rPr>
        <w:t>万元。收支较上年决算数增加183.65万元，增长91.70%，主要原因一是</w:t>
      </w:r>
      <w:r>
        <w:rPr>
          <w:rFonts w:ascii="方正仿宋_GBK" w:eastAsia="方正仿宋_GBK" w:hAnsi="方正仿宋_GBK"/>
          <w:sz w:val="32"/>
          <w:szCs w:val="32"/>
        </w:rPr>
        <w:t>机构调整，原行政服务管理办公室于</w:t>
      </w:r>
      <w:r>
        <w:rPr>
          <w:rFonts w:ascii="方正仿宋_GBK" w:eastAsia="方正仿宋_GBK" w:hAnsi="Times New Roman"/>
          <w:sz w:val="32"/>
          <w:szCs w:val="32"/>
        </w:rPr>
        <w:t>2022</w:t>
      </w:r>
      <w:r>
        <w:rPr>
          <w:rFonts w:ascii="方正仿宋_GBK" w:eastAsia="方正仿宋_GBK" w:hAnsi="方正仿宋_GBK"/>
          <w:sz w:val="32"/>
          <w:szCs w:val="32"/>
        </w:rPr>
        <w:t>年</w:t>
      </w:r>
      <w:r>
        <w:rPr>
          <w:rFonts w:ascii="方正仿宋_GBK" w:eastAsia="方正仿宋_GBK" w:hAnsi="Times New Roman"/>
          <w:sz w:val="32"/>
          <w:szCs w:val="32"/>
        </w:rPr>
        <w:t>8</w:t>
      </w:r>
      <w:r>
        <w:rPr>
          <w:rFonts w:ascii="方正仿宋_GBK" w:eastAsia="方正仿宋_GBK" w:hAnsi="方正仿宋_GBK"/>
          <w:sz w:val="32"/>
          <w:szCs w:val="32"/>
        </w:rPr>
        <w:t>月划归垫江县东部新区，我中心</w:t>
      </w:r>
      <w:r>
        <w:rPr>
          <w:rFonts w:ascii="方正仿宋_GBK" w:eastAsia="方正仿宋_GBK" w:hAnsi="Times New Roman"/>
          <w:sz w:val="32"/>
          <w:szCs w:val="32"/>
        </w:rPr>
        <w:t>2022</w:t>
      </w:r>
      <w:r>
        <w:rPr>
          <w:rFonts w:ascii="方正仿宋_GBK" w:eastAsia="方正仿宋_GBK" w:hAnsi="方正仿宋_GBK"/>
          <w:sz w:val="32"/>
          <w:szCs w:val="32"/>
        </w:rPr>
        <w:t>年度只将基本支出纳入决算编制，2023年全口径纳入决算编制；二是本年度调入2人，增加经费支出；三是对职工2021年、2022年超额绩效精算补发。</w:t>
      </w:r>
    </w:p>
    <w:p w:rsidR="008B00D9" w:rsidRDefault="00745144">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2023年度收入合计373.93万元，较上年决算数增加263.92万元，增长239.91%，主要原因一是</w:t>
      </w:r>
      <w:r>
        <w:rPr>
          <w:rFonts w:ascii="方正仿宋_GBK" w:eastAsia="方正仿宋_GBK" w:hAnsi="方正仿宋_GBK"/>
          <w:sz w:val="32"/>
          <w:szCs w:val="32"/>
        </w:rPr>
        <w:t>机构调整，原行政服务管理办公室于</w:t>
      </w:r>
      <w:r>
        <w:rPr>
          <w:rFonts w:ascii="方正仿宋_GBK" w:eastAsia="方正仿宋_GBK" w:hAnsi="Times New Roman"/>
          <w:sz w:val="32"/>
          <w:szCs w:val="32"/>
        </w:rPr>
        <w:t>2022</w:t>
      </w:r>
      <w:r>
        <w:rPr>
          <w:rFonts w:ascii="方正仿宋_GBK" w:eastAsia="方正仿宋_GBK" w:hAnsi="方正仿宋_GBK"/>
          <w:sz w:val="32"/>
          <w:szCs w:val="32"/>
        </w:rPr>
        <w:t>年</w:t>
      </w:r>
      <w:r>
        <w:rPr>
          <w:rFonts w:ascii="方正仿宋_GBK" w:eastAsia="方正仿宋_GBK" w:hAnsi="Times New Roman"/>
          <w:sz w:val="32"/>
          <w:szCs w:val="32"/>
        </w:rPr>
        <w:t>8</w:t>
      </w:r>
      <w:r>
        <w:rPr>
          <w:rFonts w:ascii="方正仿宋_GBK" w:eastAsia="方正仿宋_GBK" w:hAnsi="方正仿宋_GBK"/>
          <w:sz w:val="32"/>
          <w:szCs w:val="32"/>
        </w:rPr>
        <w:t>月划归垫江县东部新区，我中心</w:t>
      </w:r>
      <w:r>
        <w:rPr>
          <w:rFonts w:ascii="方正仿宋_GBK" w:eastAsia="方正仿宋_GBK" w:hAnsi="Times New Roman"/>
          <w:sz w:val="32"/>
          <w:szCs w:val="32"/>
        </w:rPr>
        <w:t>2022</w:t>
      </w:r>
      <w:r>
        <w:rPr>
          <w:rFonts w:ascii="方正仿宋_GBK" w:eastAsia="方正仿宋_GBK" w:hAnsi="方正仿宋_GBK"/>
          <w:sz w:val="32"/>
          <w:szCs w:val="32"/>
        </w:rPr>
        <w:t>年度只将基本支出纳入决算编制，2023年全口径纳入决算编制；二是本年度调入2人，增加经费支出；三是对职工2021年、2022年超额绩效精算补发。</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373.93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万元。</w:t>
      </w:r>
    </w:p>
    <w:p w:rsidR="008B00D9" w:rsidRDefault="00745144">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383.93</w:t>
      </w:r>
      <w:r>
        <w:rPr>
          <w:rFonts w:ascii="方正仿宋_GBK" w:eastAsia="方正仿宋_GBK" w:hAnsi="方正仿宋_GBK" w:cs="方正仿宋_GBK"/>
          <w:sz w:val="32"/>
          <w:szCs w:val="32"/>
          <w:shd w:val="clear" w:color="auto" w:fill="FFFFFF"/>
        </w:rPr>
        <w:t>万元，较上年决算数增加183.65万元，增长91.70%，主要原因一是</w:t>
      </w:r>
      <w:r>
        <w:rPr>
          <w:rFonts w:ascii="方正仿宋_GBK" w:eastAsia="方正仿宋_GBK" w:hAnsi="方正仿宋_GBK"/>
          <w:sz w:val="32"/>
          <w:szCs w:val="32"/>
        </w:rPr>
        <w:t>机构调整，原行政服务管理办公室于</w:t>
      </w:r>
      <w:r>
        <w:rPr>
          <w:rFonts w:ascii="方正仿宋_GBK" w:eastAsia="方正仿宋_GBK" w:hAnsi="Times New Roman"/>
          <w:sz w:val="32"/>
          <w:szCs w:val="32"/>
        </w:rPr>
        <w:t>2022</w:t>
      </w:r>
      <w:r>
        <w:rPr>
          <w:rFonts w:ascii="方正仿宋_GBK" w:eastAsia="方正仿宋_GBK" w:hAnsi="方正仿宋_GBK"/>
          <w:sz w:val="32"/>
          <w:szCs w:val="32"/>
        </w:rPr>
        <w:t>年</w:t>
      </w:r>
      <w:r>
        <w:rPr>
          <w:rFonts w:ascii="方正仿宋_GBK" w:eastAsia="方正仿宋_GBK" w:hAnsi="Times New Roman"/>
          <w:sz w:val="32"/>
          <w:szCs w:val="32"/>
        </w:rPr>
        <w:t>8</w:t>
      </w:r>
      <w:r>
        <w:rPr>
          <w:rFonts w:ascii="方正仿宋_GBK" w:eastAsia="方正仿宋_GBK" w:hAnsi="方正仿宋_GBK"/>
          <w:sz w:val="32"/>
          <w:szCs w:val="32"/>
        </w:rPr>
        <w:t>月划归垫江县东部新区，我中心</w:t>
      </w:r>
      <w:r>
        <w:rPr>
          <w:rFonts w:ascii="方正仿宋_GBK" w:eastAsia="方正仿宋_GBK" w:hAnsi="Times New Roman"/>
          <w:sz w:val="32"/>
          <w:szCs w:val="32"/>
        </w:rPr>
        <w:t>2022</w:t>
      </w:r>
      <w:r>
        <w:rPr>
          <w:rFonts w:ascii="方正仿宋_GBK" w:eastAsia="方正仿宋_GBK" w:hAnsi="方正仿宋_GBK"/>
          <w:sz w:val="32"/>
          <w:szCs w:val="32"/>
        </w:rPr>
        <w:t>年度只将基本支出纳入决算编制，2023年全口径纳入决算编制；二是本年度调入2人，增加经费支出；三是对职工2021年、2022年超额绩效精算补发。</w:t>
      </w:r>
      <w:r>
        <w:rPr>
          <w:rFonts w:ascii="方正仿宋_GBK" w:eastAsia="方正仿宋_GBK" w:hAnsi="方正仿宋_GBK" w:cs="方正仿宋_GBK"/>
          <w:sz w:val="32"/>
          <w:szCs w:val="32"/>
          <w:shd w:val="clear" w:color="auto" w:fill="FFFFFF"/>
        </w:rPr>
        <w:t>其中：基</w:t>
      </w:r>
      <w:r>
        <w:rPr>
          <w:rFonts w:ascii="方正仿宋_GBK" w:eastAsia="方正仿宋_GBK" w:hAnsi="方正仿宋_GBK" w:cs="方正仿宋_GBK"/>
          <w:sz w:val="32"/>
          <w:szCs w:val="32"/>
          <w:shd w:val="clear" w:color="auto" w:fill="FFFFFF"/>
        </w:rPr>
        <w:lastRenderedPageBreak/>
        <w:t>本支出</w:t>
      </w:r>
      <w:r>
        <w:rPr>
          <w:rFonts w:ascii="方正仿宋_GBK" w:eastAsia="方正仿宋_GBK" w:hAnsi="方正仿宋_GBK" w:cs="方正仿宋_GBK"/>
          <w:sz w:val="32"/>
          <w:szCs w:val="32"/>
        </w:rPr>
        <w:t>167.58</w:t>
      </w:r>
      <w:r>
        <w:rPr>
          <w:rFonts w:ascii="方正仿宋_GBK" w:eastAsia="方正仿宋_GBK" w:hAnsi="方正仿宋_GBK" w:cs="方正仿宋_GBK"/>
          <w:sz w:val="32"/>
          <w:szCs w:val="32"/>
          <w:shd w:val="clear" w:color="auto" w:fill="FFFFFF"/>
        </w:rPr>
        <w:t>万元，占43.65%；项目支出</w:t>
      </w:r>
      <w:r>
        <w:rPr>
          <w:rFonts w:ascii="方正仿宋_GBK" w:eastAsia="方正仿宋_GBK" w:hAnsi="方正仿宋_GBK" w:cs="方正仿宋_GBK"/>
          <w:sz w:val="32"/>
          <w:szCs w:val="32"/>
        </w:rPr>
        <w:t>216.35</w:t>
      </w:r>
      <w:r>
        <w:rPr>
          <w:rFonts w:ascii="方正仿宋_GBK" w:eastAsia="方正仿宋_GBK" w:hAnsi="方正仿宋_GBK" w:cs="方正仿宋_GBK"/>
          <w:sz w:val="32"/>
          <w:szCs w:val="32"/>
          <w:shd w:val="clear" w:color="auto" w:fill="FFFFFF"/>
        </w:rPr>
        <w:t>万元，占56.35%；经营支出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8B00D9" w:rsidRDefault="00745144">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Times New Roman" w:eastAsia="方正仿宋_GBK" w:hAnsi="Times New Roman"/>
          <w:sz w:val="32"/>
          <w:szCs w:val="32"/>
          <w:shd w:val="clear" w:color="auto" w:fill="FFFFFF"/>
        </w:rPr>
        <w:t>主要原因是</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（二）财政拨款收入支出决算总体情况说明</w:t>
      </w:r>
    </w:p>
    <w:p w:rsidR="008B00D9" w:rsidRDefault="00745144">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2023年度财政拨款收、支总计383.93万元。与2022年相比，财政拨款收、支总计各增加183.65万元，增长91.70%。主要原因一是</w:t>
      </w:r>
      <w:r>
        <w:rPr>
          <w:rFonts w:ascii="方正仿宋_GBK" w:eastAsia="方正仿宋_GBK" w:hAnsi="方正仿宋_GBK"/>
          <w:sz w:val="32"/>
          <w:szCs w:val="32"/>
        </w:rPr>
        <w:t>机构调整，原行政服务管理办公室于</w:t>
      </w:r>
      <w:r>
        <w:rPr>
          <w:rFonts w:ascii="方正仿宋_GBK" w:eastAsia="方正仿宋_GBK" w:hAnsi="Times New Roman"/>
          <w:sz w:val="32"/>
          <w:szCs w:val="32"/>
        </w:rPr>
        <w:t>2022</w:t>
      </w:r>
      <w:r>
        <w:rPr>
          <w:rFonts w:ascii="方正仿宋_GBK" w:eastAsia="方正仿宋_GBK" w:hAnsi="方正仿宋_GBK"/>
          <w:sz w:val="32"/>
          <w:szCs w:val="32"/>
        </w:rPr>
        <w:t>年</w:t>
      </w:r>
      <w:r>
        <w:rPr>
          <w:rFonts w:ascii="方正仿宋_GBK" w:eastAsia="方正仿宋_GBK" w:hAnsi="Times New Roman"/>
          <w:sz w:val="32"/>
          <w:szCs w:val="32"/>
        </w:rPr>
        <w:t>8</w:t>
      </w:r>
      <w:r>
        <w:rPr>
          <w:rFonts w:ascii="方正仿宋_GBK" w:eastAsia="方正仿宋_GBK" w:hAnsi="方正仿宋_GBK"/>
          <w:sz w:val="32"/>
          <w:szCs w:val="32"/>
        </w:rPr>
        <w:t>月划归垫江县东部新区，我中心</w:t>
      </w:r>
      <w:r>
        <w:rPr>
          <w:rFonts w:ascii="方正仿宋_GBK" w:eastAsia="方正仿宋_GBK" w:hAnsi="Times New Roman"/>
          <w:sz w:val="32"/>
          <w:szCs w:val="32"/>
        </w:rPr>
        <w:t>2022</w:t>
      </w:r>
      <w:r>
        <w:rPr>
          <w:rFonts w:ascii="方正仿宋_GBK" w:eastAsia="方正仿宋_GBK" w:hAnsi="方正仿宋_GBK"/>
          <w:sz w:val="32"/>
          <w:szCs w:val="32"/>
        </w:rPr>
        <w:t>年度只将基本支出纳入决算编制，2023年全口径纳入决算编制；二是本年度调入2人，增加经费支出；三是对职工2021年、2022年超额绩效精算补发。</w:t>
      </w:r>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（三）一般公共预算财政拨款收入支出决算情况说明</w:t>
      </w:r>
    </w:p>
    <w:p w:rsidR="008B00D9" w:rsidRDefault="00745144">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373.93</w:t>
      </w:r>
      <w:r>
        <w:rPr>
          <w:rFonts w:ascii="方正仿宋_GBK" w:eastAsia="方正仿宋_GBK" w:hAnsi="方正仿宋_GBK" w:cs="方正仿宋_GBK"/>
          <w:sz w:val="32"/>
          <w:szCs w:val="32"/>
          <w:shd w:val="clear" w:color="auto" w:fill="FFFFFF"/>
        </w:rPr>
        <w:t>万元，较上年决算数增加263.92万元，增长239.91%。主要原因一是</w:t>
      </w:r>
      <w:r>
        <w:rPr>
          <w:rFonts w:ascii="方正仿宋_GBK" w:eastAsia="方正仿宋_GBK" w:hAnsi="方正仿宋_GBK"/>
          <w:sz w:val="32"/>
          <w:szCs w:val="32"/>
        </w:rPr>
        <w:t>机构调整，原行政服务管理办公室于</w:t>
      </w:r>
      <w:r>
        <w:rPr>
          <w:rFonts w:ascii="方正仿宋_GBK" w:eastAsia="方正仿宋_GBK" w:hAnsi="Times New Roman"/>
          <w:sz w:val="32"/>
          <w:szCs w:val="32"/>
        </w:rPr>
        <w:t>2022</w:t>
      </w:r>
      <w:r>
        <w:rPr>
          <w:rFonts w:ascii="方正仿宋_GBK" w:eastAsia="方正仿宋_GBK" w:hAnsi="方正仿宋_GBK"/>
          <w:sz w:val="32"/>
          <w:szCs w:val="32"/>
        </w:rPr>
        <w:t>年</w:t>
      </w:r>
      <w:r>
        <w:rPr>
          <w:rFonts w:ascii="方正仿宋_GBK" w:eastAsia="方正仿宋_GBK" w:hAnsi="Times New Roman"/>
          <w:sz w:val="32"/>
          <w:szCs w:val="32"/>
        </w:rPr>
        <w:t>8</w:t>
      </w:r>
      <w:r>
        <w:rPr>
          <w:rFonts w:ascii="方正仿宋_GBK" w:eastAsia="方正仿宋_GBK" w:hAnsi="方正仿宋_GBK"/>
          <w:sz w:val="32"/>
          <w:szCs w:val="32"/>
        </w:rPr>
        <w:t>月划归垫江县东部新区，我中心</w:t>
      </w:r>
      <w:r>
        <w:rPr>
          <w:rFonts w:ascii="方正仿宋_GBK" w:eastAsia="方正仿宋_GBK" w:hAnsi="Times New Roman"/>
          <w:sz w:val="32"/>
          <w:szCs w:val="32"/>
        </w:rPr>
        <w:t>2022</w:t>
      </w:r>
      <w:r>
        <w:rPr>
          <w:rFonts w:ascii="方正仿宋_GBK" w:eastAsia="方正仿宋_GBK" w:hAnsi="方正仿宋_GBK"/>
          <w:sz w:val="32"/>
          <w:szCs w:val="32"/>
        </w:rPr>
        <w:t>年度只将基本支出纳入决算编制，2023年全口径纳入决算编制；二是本年度调入2人，增加经费支出；三是对职工2021年、2022年超额绩效精算补发。</w:t>
      </w:r>
      <w:r>
        <w:rPr>
          <w:rFonts w:ascii="方正仿宋_GBK" w:eastAsia="方正仿宋_GBK" w:hAnsi="方正仿宋_GBK" w:cs="方正仿宋_GBK"/>
          <w:sz w:val="32"/>
          <w:szCs w:val="32"/>
          <w:shd w:val="clear" w:color="auto" w:fill="FFFFFF"/>
        </w:rPr>
        <w:t>较年初预算数增加59.94万元，增长19.09%。主要原因是一是</w:t>
      </w:r>
      <w:r>
        <w:rPr>
          <w:rFonts w:ascii="方正仿宋_GBK" w:eastAsia="方正仿宋_GBK" w:hAnsi="方正仿宋_GBK"/>
          <w:sz w:val="32"/>
          <w:szCs w:val="32"/>
        </w:rPr>
        <w:t>机构调整，原行政服务管理办公室于</w:t>
      </w:r>
      <w:r>
        <w:rPr>
          <w:rFonts w:ascii="方正仿宋_GBK" w:eastAsia="方正仿宋_GBK" w:hAnsi="Times New Roman"/>
          <w:sz w:val="32"/>
          <w:szCs w:val="32"/>
        </w:rPr>
        <w:t>2022</w:t>
      </w:r>
      <w:r>
        <w:rPr>
          <w:rFonts w:ascii="方正仿宋_GBK" w:eastAsia="方正仿宋_GBK" w:hAnsi="方正仿宋_GBK"/>
          <w:sz w:val="32"/>
          <w:szCs w:val="32"/>
        </w:rPr>
        <w:t>年</w:t>
      </w:r>
      <w:r>
        <w:rPr>
          <w:rFonts w:ascii="方正仿宋_GBK" w:eastAsia="方正仿宋_GBK" w:hAnsi="Times New Roman"/>
          <w:sz w:val="32"/>
          <w:szCs w:val="32"/>
        </w:rPr>
        <w:t>8</w:t>
      </w:r>
      <w:r>
        <w:rPr>
          <w:rFonts w:ascii="方正仿宋_GBK" w:eastAsia="方正仿宋_GBK" w:hAnsi="方正仿宋_GBK"/>
          <w:sz w:val="32"/>
          <w:szCs w:val="32"/>
        </w:rPr>
        <w:lastRenderedPageBreak/>
        <w:t>月划归垫江县东部新区，我中心</w:t>
      </w:r>
      <w:r>
        <w:rPr>
          <w:rFonts w:ascii="方正仿宋_GBK" w:eastAsia="方正仿宋_GBK" w:hAnsi="Times New Roman"/>
          <w:sz w:val="32"/>
          <w:szCs w:val="32"/>
        </w:rPr>
        <w:t>2022</w:t>
      </w:r>
      <w:r>
        <w:rPr>
          <w:rFonts w:ascii="方正仿宋_GBK" w:eastAsia="方正仿宋_GBK" w:hAnsi="方正仿宋_GBK"/>
          <w:sz w:val="32"/>
          <w:szCs w:val="32"/>
        </w:rPr>
        <w:t>年度只将基本支出纳入决算编制，2023年全口径纳入决算编制；二是本年度调入2人，增加经费支出；三是对职工2021年、2022年超额绩效精算补发。</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万元。</w:t>
      </w:r>
    </w:p>
    <w:p w:rsidR="008B00D9" w:rsidRDefault="00745144">
      <w:pPr>
        <w:pStyle w:val="a6"/>
        <w:snapToGrid w:val="0"/>
        <w:spacing w:before="0" w:beforeAutospacing="0" w:after="0" w:afterAutospacing="0" w:line="594" w:lineRule="exact"/>
        <w:ind w:firstLineChars="200" w:firstLine="643"/>
        <w:jc w:val="both"/>
        <w:rPr>
          <w:rFonts w:ascii="方正仿宋_GBK" w:eastAsia="方正仿宋_GBK" w:hAnsi="方正仿宋_GBK" w:hint="default"/>
          <w:sz w:val="32"/>
          <w:szCs w:val="32"/>
        </w:rPr>
      </w:pPr>
      <w:r>
        <w:rPr>
          <w:rStyle w:val="a7"/>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383.93</w:t>
      </w:r>
      <w:r>
        <w:rPr>
          <w:rFonts w:ascii="方正仿宋_GBK" w:eastAsia="方正仿宋_GBK" w:hAnsi="方正仿宋_GBK" w:cs="方正仿宋_GBK"/>
          <w:sz w:val="32"/>
          <w:szCs w:val="32"/>
          <w:shd w:val="clear" w:color="auto" w:fill="FFFFFF"/>
        </w:rPr>
        <w:t>万元，较上年决算数增加183.65万元，增长91.70%。主要原因一是</w:t>
      </w:r>
      <w:r>
        <w:rPr>
          <w:rFonts w:ascii="方正仿宋_GBK" w:eastAsia="方正仿宋_GBK" w:hAnsi="方正仿宋_GBK"/>
          <w:sz w:val="32"/>
          <w:szCs w:val="32"/>
        </w:rPr>
        <w:t>机构调整，原行政服务管理办公室于</w:t>
      </w:r>
      <w:r>
        <w:rPr>
          <w:rFonts w:ascii="方正仿宋_GBK" w:eastAsia="方正仿宋_GBK" w:hAnsi="Times New Roman"/>
          <w:sz w:val="32"/>
          <w:szCs w:val="32"/>
        </w:rPr>
        <w:t>2022</w:t>
      </w:r>
      <w:r>
        <w:rPr>
          <w:rFonts w:ascii="方正仿宋_GBK" w:eastAsia="方正仿宋_GBK" w:hAnsi="方正仿宋_GBK"/>
          <w:sz w:val="32"/>
          <w:szCs w:val="32"/>
        </w:rPr>
        <w:t>年</w:t>
      </w:r>
      <w:r>
        <w:rPr>
          <w:rFonts w:ascii="方正仿宋_GBK" w:eastAsia="方正仿宋_GBK" w:hAnsi="Times New Roman"/>
          <w:sz w:val="32"/>
          <w:szCs w:val="32"/>
        </w:rPr>
        <w:t>8</w:t>
      </w:r>
      <w:r>
        <w:rPr>
          <w:rFonts w:ascii="方正仿宋_GBK" w:eastAsia="方正仿宋_GBK" w:hAnsi="方正仿宋_GBK"/>
          <w:sz w:val="32"/>
          <w:szCs w:val="32"/>
        </w:rPr>
        <w:t>月划归垫江县东部新区，我中心</w:t>
      </w:r>
      <w:r>
        <w:rPr>
          <w:rFonts w:ascii="方正仿宋_GBK" w:eastAsia="方正仿宋_GBK" w:hAnsi="Times New Roman"/>
          <w:sz w:val="32"/>
          <w:szCs w:val="32"/>
        </w:rPr>
        <w:t>2022</w:t>
      </w:r>
      <w:r>
        <w:rPr>
          <w:rFonts w:ascii="方正仿宋_GBK" w:eastAsia="方正仿宋_GBK" w:hAnsi="方正仿宋_GBK"/>
          <w:sz w:val="32"/>
          <w:szCs w:val="32"/>
        </w:rPr>
        <w:t>年度只将基本支出纳入决算编制，2023年全口径纳入决算编制；二是本年度调入2人，增加经费支出；三是对职工2021年、2022年超额绩效精算补发。</w:t>
      </w:r>
      <w:r>
        <w:rPr>
          <w:rFonts w:ascii="方正仿宋_GBK" w:eastAsia="方正仿宋_GBK" w:hAnsi="方正仿宋_GBK" w:cs="方正仿宋_GBK"/>
          <w:sz w:val="32"/>
          <w:szCs w:val="32"/>
          <w:shd w:val="clear" w:color="auto" w:fill="FFFFFF"/>
        </w:rPr>
        <w:t>较年初预算数增加69.94万元，增长22.27%。主要原因一是</w:t>
      </w:r>
      <w:r>
        <w:rPr>
          <w:rFonts w:ascii="方正仿宋_GBK" w:eastAsia="方正仿宋_GBK" w:hAnsi="方正仿宋_GBK"/>
          <w:sz w:val="32"/>
          <w:szCs w:val="32"/>
        </w:rPr>
        <w:t>机构调整，原行政服务管理办公室于</w:t>
      </w:r>
      <w:r>
        <w:rPr>
          <w:rFonts w:ascii="方正仿宋_GBK" w:eastAsia="方正仿宋_GBK" w:hAnsi="Times New Roman"/>
          <w:sz w:val="32"/>
          <w:szCs w:val="32"/>
        </w:rPr>
        <w:t>2022</w:t>
      </w:r>
      <w:r>
        <w:rPr>
          <w:rFonts w:ascii="方正仿宋_GBK" w:eastAsia="方正仿宋_GBK" w:hAnsi="方正仿宋_GBK"/>
          <w:sz w:val="32"/>
          <w:szCs w:val="32"/>
        </w:rPr>
        <w:t>年</w:t>
      </w:r>
      <w:r>
        <w:rPr>
          <w:rFonts w:ascii="方正仿宋_GBK" w:eastAsia="方正仿宋_GBK" w:hAnsi="Times New Roman"/>
          <w:sz w:val="32"/>
          <w:szCs w:val="32"/>
        </w:rPr>
        <w:t>8</w:t>
      </w:r>
      <w:r>
        <w:rPr>
          <w:rFonts w:ascii="方正仿宋_GBK" w:eastAsia="方正仿宋_GBK" w:hAnsi="方正仿宋_GBK"/>
          <w:sz w:val="32"/>
          <w:szCs w:val="32"/>
        </w:rPr>
        <w:t>月划归垫江县东部新区，我中心</w:t>
      </w:r>
      <w:r>
        <w:rPr>
          <w:rFonts w:ascii="方正仿宋_GBK" w:eastAsia="方正仿宋_GBK" w:hAnsi="Times New Roman"/>
          <w:sz w:val="32"/>
          <w:szCs w:val="32"/>
        </w:rPr>
        <w:t>2022</w:t>
      </w:r>
      <w:r>
        <w:rPr>
          <w:rFonts w:ascii="方正仿宋_GBK" w:eastAsia="方正仿宋_GBK" w:hAnsi="方正仿宋_GBK"/>
          <w:sz w:val="32"/>
          <w:szCs w:val="32"/>
        </w:rPr>
        <w:t>年度只将基本支出纳入编制决算，2023年全口径纳入决算编制；二是本年度调入2人，增加经费支出；三是对职工2021年、2022年超额绩效精算补发。</w:t>
      </w:r>
    </w:p>
    <w:p w:rsidR="008B00D9" w:rsidRDefault="00745144">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Times New Roman" w:eastAsia="方正仿宋_GBK" w:hAnsi="Times New Roman"/>
          <w:sz w:val="32"/>
          <w:szCs w:val="32"/>
          <w:shd w:val="clear" w:color="auto" w:fill="FFFFFF"/>
        </w:rPr>
        <w:t>主要原因是</w:t>
      </w:r>
      <w:r w:rsidRPr="009A5496">
        <w:rPr>
          <w:rFonts w:ascii="Times New Roman" w:eastAsia="方正仿宋_GBK" w:hAnsi="Times New Roman"/>
          <w:sz w:val="32"/>
          <w:szCs w:val="32"/>
          <w:shd w:val="clear" w:color="auto" w:fill="FFFFFF"/>
        </w:rPr>
        <w:t>本年度与上年度均无结转结余</w:t>
      </w:r>
      <w:r>
        <w:rPr>
          <w:rFonts w:ascii="方正仿宋_GBK" w:eastAsia="方正仿宋_GBK" w:hAnsi="方正仿宋_GBK" w:cs="方正仿宋_GBK"/>
          <w:sz w:val="32"/>
          <w:szCs w:val="32"/>
          <w:shd w:val="clear" w:color="auto" w:fill="FFFFFF"/>
        </w:rPr>
        <w:t>。</w:t>
      </w:r>
    </w:p>
    <w:p w:rsidR="008B00D9" w:rsidRDefault="00745144">
      <w:pPr>
        <w:pStyle w:val="a6"/>
        <w:snapToGrid w:val="0"/>
        <w:spacing w:before="0" w:beforeAutospacing="0" w:after="0" w:afterAutospacing="0" w:line="594"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本部门2023年度一般公共预算财政拨款支出主要用于以下几个方面：</w:t>
      </w:r>
    </w:p>
    <w:p w:rsidR="008B00D9" w:rsidRDefault="00745144">
      <w:pPr>
        <w:pStyle w:val="a6"/>
        <w:snapToGrid w:val="0"/>
        <w:spacing w:before="0" w:beforeAutospacing="0" w:after="0" w:afterAutospacing="0" w:line="594" w:lineRule="exact"/>
        <w:ind w:firstLineChars="200" w:firstLine="640"/>
        <w:jc w:val="both"/>
        <w:rPr>
          <w:rFonts w:ascii="方正仿宋_GBK" w:eastAsia="方正仿宋_GBK" w:hAnsi="方正仿宋_GBK" w:hint="default"/>
          <w:sz w:val="32"/>
          <w:szCs w:val="32"/>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362.50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94.42</w:t>
      </w:r>
      <w:r>
        <w:rPr>
          <w:rFonts w:ascii="方正仿宋_GBK" w:eastAsia="方正仿宋_GBK" w:hAnsi="方正仿宋_GBK" w:cs="方正仿宋_GBK"/>
          <w:sz w:val="32"/>
          <w:szCs w:val="32"/>
          <w:shd w:val="clear" w:color="auto" w:fill="FFFFFF"/>
        </w:rPr>
        <w:t>%，较年初预算数增加66.19万元，增长22.34%，主要原因一是</w:t>
      </w:r>
      <w:r>
        <w:rPr>
          <w:rFonts w:ascii="方正仿宋_GBK" w:eastAsia="方正仿宋_GBK" w:hAnsi="方正仿宋_GBK"/>
          <w:sz w:val="32"/>
          <w:szCs w:val="32"/>
        </w:rPr>
        <w:t>机构</w:t>
      </w:r>
      <w:r>
        <w:rPr>
          <w:rFonts w:ascii="方正仿宋_GBK" w:eastAsia="方正仿宋_GBK" w:hAnsi="方正仿宋_GBK"/>
          <w:sz w:val="32"/>
          <w:szCs w:val="32"/>
        </w:rPr>
        <w:lastRenderedPageBreak/>
        <w:t>调整，原行政服务管理办公室于</w:t>
      </w:r>
      <w:r>
        <w:rPr>
          <w:rFonts w:ascii="方正仿宋_GBK" w:eastAsia="方正仿宋_GBK" w:hAnsi="Times New Roman"/>
          <w:sz w:val="32"/>
          <w:szCs w:val="32"/>
        </w:rPr>
        <w:t>2022</w:t>
      </w:r>
      <w:r>
        <w:rPr>
          <w:rFonts w:ascii="方正仿宋_GBK" w:eastAsia="方正仿宋_GBK" w:hAnsi="方正仿宋_GBK"/>
          <w:sz w:val="32"/>
          <w:szCs w:val="32"/>
        </w:rPr>
        <w:t>年</w:t>
      </w:r>
      <w:r>
        <w:rPr>
          <w:rFonts w:ascii="方正仿宋_GBK" w:eastAsia="方正仿宋_GBK" w:hAnsi="Times New Roman"/>
          <w:sz w:val="32"/>
          <w:szCs w:val="32"/>
        </w:rPr>
        <w:t>8</w:t>
      </w:r>
      <w:r>
        <w:rPr>
          <w:rFonts w:ascii="方正仿宋_GBK" w:eastAsia="方正仿宋_GBK" w:hAnsi="方正仿宋_GBK"/>
          <w:sz w:val="32"/>
          <w:szCs w:val="32"/>
        </w:rPr>
        <w:t>月划归垫江县东部新区，我中心</w:t>
      </w:r>
      <w:r>
        <w:rPr>
          <w:rFonts w:ascii="方正仿宋_GBK" w:eastAsia="方正仿宋_GBK" w:hAnsi="Times New Roman"/>
          <w:sz w:val="32"/>
          <w:szCs w:val="32"/>
        </w:rPr>
        <w:t>2022</w:t>
      </w:r>
      <w:r>
        <w:rPr>
          <w:rFonts w:ascii="方正仿宋_GBK" w:eastAsia="方正仿宋_GBK" w:hAnsi="方正仿宋_GBK"/>
          <w:sz w:val="32"/>
          <w:szCs w:val="32"/>
        </w:rPr>
        <w:t>年度只将基本支出纳入决算编制，2023年全口径纳入决算编制；二是本年度调入2人，增加经费支出；三是对职工2021年、2022年超额绩效精算补发。</w:t>
      </w:r>
    </w:p>
    <w:p w:rsidR="008B00D9" w:rsidRDefault="00745144">
      <w:pPr>
        <w:pStyle w:val="a6"/>
        <w:spacing w:before="0" w:beforeAutospacing="0" w:after="0" w:afterAutospacing="0" w:line="594" w:lineRule="exact"/>
        <w:ind w:firstLineChars="150" w:firstLine="480"/>
        <w:contextualSpacing/>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（2）教育支出</w:t>
      </w:r>
      <w:r>
        <w:rPr>
          <w:rFonts w:ascii="方正仿宋_GBK" w:eastAsia="方正仿宋_GBK" w:hAnsi="方正仿宋_GBK" w:cs="方正仿宋_GBK"/>
          <w:sz w:val="32"/>
          <w:szCs w:val="32"/>
        </w:rPr>
        <w:t>0.20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0.05</w:t>
      </w:r>
      <w:r>
        <w:rPr>
          <w:rFonts w:ascii="方正仿宋_GBK" w:eastAsia="方正仿宋_GBK" w:hAnsi="方正仿宋_GBK" w:cs="方正仿宋_GBK"/>
          <w:sz w:val="32"/>
          <w:szCs w:val="32"/>
          <w:shd w:val="clear" w:color="auto" w:fill="FFFFFF"/>
        </w:rPr>
        <w:t>%，较年初预算数减少0.09万元，下降31.03%，主要原因是根据工作安排，本中心本年度组织及参加培训的次数减少。</w:t>
      </w:r>
    </w:p>
    <w:p w:rsidR="008B00D9" w:rsidRDefault="00745144">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（3）社会保障与就业支出</w:t>
      </w:r>
      <w:r>
        <w:rPr>
          <w:rFonts w:ascii="方正仿宋_GBK" w:eastAsia="方正仿宋_GBK" w:hAnsi="方正仿宋_GBK" w:cs="方正仿宋_GBK"/>
          <w:sz w:val="32"/>
          <w:szCs w:val="32"/>
        </w:rPr>
        <w:t>10.06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2.62</w:t>
      </w:r>
      <w:r>
        <w:rPr>
          <w:rFonts w:ascii="方正仿宋_GBK" w:eastAsia="方正仿宋_GBK" w:hAnsi="方正仿宋_GBK" w:cs="方正仿宋_GBK"/>
          <w:sz w:val="32"/>
          <w:szCs w:val="32"/>
          <w:shd w:val="clear" w:color="auto" w:fill="FFFFFF"/>
        </w:rPr>
        <w:t>%，较年初预算数增加0.98万元，增长10.79%，主要原因是本中心本年度调入1人，招录1人。</w:t>
      </w:r>
    </w:p>
    <w:p w:rsidR="008B00D9" w:rsidRDefault="00745144">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（4）卫生健康支出</w:t>
      </w:r>
      <w:r>
        <w:rPr>
          <w:rFonts w:ascii="方正仿宋_GBK" w:eastAsia="方正仿宋_GBK" w:hAnsi="方正仿宋_GBK" w:cs="方正仿宋_GBK"/>
          <w:sz w:val="32"/>
          <w:szCs w:val="32"/>
        </w:rPr>
        <w:t>4.19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1.09</w:t>
      </w:r>
      <w:r>
        <w:rPr>
          <w:rFonts w:ascii="方正仿宋_GBK" w:eastAsia="方正仿宋_GBK" w:hAnsi="方正仿宋_GBK" w:cs="方正仿宋_GBK"/>
          <w:sz w:val="32"/>
          <w:szCs w:val="32"/>
          <w:shd w:val="clear" w:color="auto" w:fill="FFFFFF"/>
        </w:rPr>
        <w:t>%，较年初预算数增加0.41万元，增长10.85%，主要原因是本中心本年度调入1人，招录1人。</w:t>
      </w:r>
    </w:p>
    <w:p w:rsidR="008B00D9" w:rsidRDefault="00745144">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eastAsia="方正仿宋_GBK" w:cs="宋体"/>
          <w:sz w:val="32"/>
          <w:szCs w:val="32"/>
          <w:shd w:val="clear" w:color="auto" w:fill="FFFFFF"/>
        </w:rPr>
        <w:t> </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住房保障支出6.97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1.82</w:t>
      </w:r>
      <w:r>
        <w:rPr>
          <w:rFonts w:ascii="方正仿宋_GBK" w:eastAsia="方正仿宋_GBK" w:hAnsi="方正仿宋_GBK" w:cs="方正仿宋_GBK"/>
          <w:sz w:val="32"/>
          <w:szCs w:val="32"/>
          <w:shd w:val="clear" w:color="auto" w:fill="FFFFFF"/>
        </w:rPr>
        <w:t>%，较年初预算数增加2.43万元，增长53.52%，主要原因是本中心本年度调入1人，招录1人。</w:t>
      </w:r>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（四）一般公共预算财政拨款基本支出决算情况说明</w:t>
      </w:r>
    </w:p>
    <w:p w:rsidR="008B00D9" w:rsidRDefault="00745144">
      <w:pPr>
        <w:pStyle w:val="a6"/>
        <w:shd w:val="clear" w:color="auto" w:fill="FFFFFF"/>
        <w:adjustRightInd w:val="0"/>
        <w:snapToGrid w:val="0"/>
        <w:spacing w:before="0" w:beforeAutospacing="0" w:after="0" w:afterAutospacing="0" w:line="594" w:lineRule="exact"/>
        <w:ind w:firstLineChars="200" w:firstLine="640"/>
        <w:jc w:val="both"/>
        <w:rPr>
          <w:rFonts w:ascii="方正仿宋_GBK" w:eastAsia="方正仿宋_GBK" w:hAnsi="Times New Roman" w:hint="default"/>
          <w:sz w:val="32"/>
          <w:szCs w:val="32"/>
        </w:rPr>
      </w:pPr>
      <w:r>
        <w:rPr>
          <w:rFonts w:ascii="方正仿宋_GBK" w:eastAsia="方正仿宋_GBK" w:hAnsi="方正仿宋_GBK" w:cs="方正仿宋_GBK"/>
          <w:sz w:val="32"/>
          <w:szCs w:val="32"/>
          <w:shd w:val="clear" w:color="auto" w:fill="FFFFFF"/>
        </w:rPr>
        <w:t> 2023年度一般公共财政拨款基本支出</w:t>
      </w:r>
      <w:r>
        <w:rPr>
          <w:rFonts w:ascii="方正仿宋_GBK" w:eastAsia="方正仿宋_GBK" w:hAnsi="方正仿宋_GBK" w:cs="方正仿宋_GBK"/>
          <w:sz w:val="32"/>
          <w:szCs w:val="32"/>
        </w:rPr>
        <w:t>167.58</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154.98</w:t>
      </w:r>
      <w:r>
        <w:rPr>
          <w:rFonts w:ascii="方正仿宋_GBK" w:eastAsia="方正仿宋_GBK" w:hAnsi="方正仿宋_GBK" w:cs="方正仿宋_GBK"/>
          <w:sz w:val="32"/>
          <w:szCs w:val="32"/>
          <w:shd w:val="clear" w:color="auto" w:fill="FFFFFF"/>
        </w:rPr>
        <w:t>万元，较上年决算数增加50.07万元，增长47.73%，主要原因一是本中心本年度调入1人，招录1人，经费支出增加；二是对职工2021年、2022年超额绩效精算补发。人员经费用途主要包括</w:t>
      </w:r>
      <w:r>
        <w:rPr>
          <w:rFonts w:ascii="方正仿宋_GBK" w:eastAsia="方正仿宋_GBK" w:hAnsi="Times New Roman"/>
          <w:sz w:val="32"/>
          <w:szCs w:val="32"/>
        </w:rPr>
        <w:t>基本工资、津贴补贴、奖金、伙食补助费、绩效工资、社会保障缴费、住房公积金、</w:t>
      </w:r>
      <w:r>
        <w:rPr>
          <w:rFonts w:ascii="方正仿宋_GBK" w:eastAsia="方正仿宋_GBK" w:hAnsi="Times New Roman"/>
          <w:sz w:val="32"/>
          <w:szCs w:val="32"/>
        </w:rPr>
        <w:lastRenderedPageBreak/>
        <w:t>其他工资福利、对个人和家庭补助支出。</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12.60</w:t>
      </w:r>
      <w:r>
        <w:rPr>
          <w:rFonts w:ascii="方正仿宋_GBK" w:eastAsia="方正仿宋_GBK" w:hAnsi="方正仿宋_GBK" w:cs="方正仿宋_GBK"/>
          <w:sz w:val="32"/>
          <w:szCs w:val="32"/>
          <w:shd w:val="clear" w:color="auto" w:fill="FFFFFF"/>
        </w:rPr>
        <w:t>万元，较上年决算数减少82.77万元，下降86.79%，主要原因是本中心严格落实政府过“紧日子”的要求，压减预算，控制经费支出。公用经费用途主要包括</w:t>
      </w:r>
      <w:r>
        <w:rPr>
          <w:rFonts w:ascii="方正仿宋_GBK" w:eastAsia="方正仿宋_GBK" w:hAnsi="Times New Roman"/>
          <w:sz w:val="32"/>
          <w:szCs w:val="32"/>
        </w:rPr>
        <w:t>办公费、印刷费、邮电费、差旅费、因公出国（境）、公务接待费、劳务费、其他交通费、其他商品服务支出。</w:t>
      </w:r>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（五）政府性基金预算收支决算情况说明</w:t>
      </w:r>
    </w:p>
    <w:p w:rsidR="008B00D9" w:rsidRDefault="00745144">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（六）国有资本经营预算财政拨款支出决算情况说明</w:t>
      </w:r>
    </w:p>
    <w:p w:rsidR="008B00D9" w:rsidRDefault="00745144">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本中心2023年度无国有资本经营预算财政拨款支出。</w:t>
      </w:r>
    </w:p>
    <w:p w:rsidR="008B00D9" w:rsidRDefault="00745144">
      <w:pPr>
        <w:pStyle w:val="a6"/>
        <w:shd w:val="clear" w:color="auto" w:fill="FFFFFF"/>
        <w:spacing w:before="0" w:beforeAutospacing="0" w:after="0" w:afterAutospacing="0" w:line="594" w:lineRule="exact"/>
        <w:jc w:val="both"/>
        <w:rPr>
          <w:rStyle w:val="a7"/>
          <w:rFonts w:ascii="方正仿宋_GBK" w:eastAsia="方正仿宋_GBK" w:hAnsi="黑体" w:cs="黑体" w:hint="default"/>
          <w:sz w:val="32"/>
          <w:szCs w:val="32"/>
          <w:shd w:val="clear" w:color="auto" w:fill="FFFFFF"/>
        </w:rPr>
      </w:pPr>
      <w:r>
        <w:rPr>
          <w:rStyle w:val="a7"/>
          <w:rFonts w:ascii="方正仿宋_GBK" w:eastAsia="方正仿宋_GBK" w:hAnsi="黑体" w:cs="黑体"/>
          <w:sz w:val="32"/>
          <w:szCs w:val="32"/>
          <w:shd w:val="clear" w:color="auto" w:fill="FFFFFF"/>
        </w:rPr>
        <w:t>三、“三公”经费情况说明</w:t>
      </w:r>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（一）“三公”经费支出总体情况说明</w:t>
      </w:r>
    </w:p>
    <w:p w:rsidR="008B00D9" w:rsidRDefault="00745144">
      <w:pPr>
        <w:pStyle w:val="a6"/>
        <w:shd w:val="clear" w:color="auto" w:fill="FFFFFF"/>
        <w:adjustRightInd w:val="0"/>
        <w:snapToGrid w:val="0"/>
        <w:spacing w:before="0" w:beforeAutospacing="0" w:after="0" w:afterAutospacing="0" w:line="594" w:lineRule="exact"/>
        <w:ind w:firstLineChars="200" w:firstLine="640"/>
        <w:jc w:val="both"/>
        <w:rPr>
          <w:rFonts w:ascii="方正仿宋_GBK" w:eastAsia="方正仿宋_GBK" w:hAnsi="Times New Roman" w:hint="default"/>
          <w:color w:val="FF0000"/>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万元，较年初预算数无增减，与年初预算数持平。较上年支出数无增减，与上年持平。较年初预算和上年决算持平的主要原因是</w:t>
      </w:r>
      <w:r>
        <w:rPr>
          <w:rFonts w:ascii="方正仿宋_GBK" w:eastAsia="方正仿宋_GBK" w:hAnsi="Times New Roman"/>
          <w:sz w:val="32"/>
          <w:szCs w:val="32"/>
        </w:rPr>
        <w:t>本中心2023年度未发生“三公”经费支出。</w:t>
      </w:r>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（二）“三公”经费分项支出情况</w:t>
      </w:r>
    </w:p>
    <w:p w:rsidR="006122EF" w:rsidRPr="002528F8" w:rsidRDefault="006122EF" w:rsidP="006122EF">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lastRenderedPageBreak/>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6122EF" w:rsidRPr="002528F8" w:rsidRDefault="006122EF" w:rsidP="006122EF">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6122EF" w:rsidRPr="002528F8" w:rsidRDefault="006122EF" w:rsidP="006122EF">
      <w:pPr>
        <w:adjustRightInd w:val="0"/>
        <w:snapToGrid w:val="0"/>
        <w:spacing w:line="600" w:lineRule="exact"/>
        <w:ind w:firstLineChars="200" w:firstLine="640"/>
        <w:rPr>
          <w:rFonts w:ascii="方正仿宋_GBK" w:eastAsia="方正仿宋_GBK" w:hAnsi="方正仿宋_GBK" w:cs="方正仿宋_GBK" w:hint="default"/>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rsidR="008B00D9" w:rsidRDefault="006122EF" w:rsidP="006122EF">
      <w:pPr>
        <w:pStyle w:val="a6"/>
        <w:shd w:val="clear" w:color="auto" w:fill="FFFFFF"/>
        <w:adjustRightInd w:val="0"/>
        <w:snapToGrid w:val="0"/>
        <w:spacing w:before="0" w:beforeAutospacing="0" w:after="0" w:afterAutospacing="0" w:line="594" w:lineRule="exact"/>
        <w:ind w:firstLineChars="200" w:firstLine="640"/>
        <w:jc w:val="both"/>
        <w:rPr>
          <w:rFonts w:ascii="方正仿宋_GBK" w:eastAsia="方正仿宋_GBK" w:hAnsi="Times New Roman" w:hint="default"/>
          <w:color w:val="FF0000"/>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8B00D9" w:rsidRDefault="00745144">
      <w:pPr>
        <w:pStyle w:val="a6"/>
        <w:shd w:val="clear" w:color="auto" w:fill="FFFFFF"/>
        <w:adjustRightInd w:val="0"/>
        <w:snapToGrid w:val="0"/>
        <w:spacing w:before="0" w:beforeAutospacing="0" w:after="0" w:afterAutospacing="0" w:line="594" w:lineRule="exact"/>
        <w:ind w:firstLineChars="200" w:firstLine="643"/>
        <w:jc w:val="both"/>
        <w:rPr>
          <w:rFonts w:ascii="方正仿宋_GBK" w:eastAsia="方正仿宋_GBK" w:hAnsi="楷体" w:cs="楷体" w:hint="default"/>
          <w:b/>
          <w:bCs/>
          <w:sz w:val="32"/>
          <w:szCs w:val="32"/>
          <w:shd w:val="clear" w:color="auto" w:fill="FFFFFF"/>
        </w:rPr>
      </w:pPr>
      <w:r>
        <w:rPr>
          <w:rFonts w:ascii="方正仿宋_GBK" w:eastAsia="方正仿宋_GBK" w:hAnsi="楷体" w:cs="楷体"/>
          <w:b/>
          <w:bCs/>
          <w:sz w:val="32"/>
          <w:szCs w:val="32"/>
          <w:shd w:val="clear" w:color="auto" w:fill="FFFFFF"/>
        </w:rPr>
        <w:t>（三）“三公”经费实物量情况</w:t>
      </w:r>
    </w:p>
    <w:p w:rsidR="008B00D9" w:rsidRDefault="00745144">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人。2023年本部门人均接待费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8B00D9" w:rsidRDefault="00745144">
      <w:pPr>
        <w:pStyle w:val="a6"/>
        <w:shd w:val="clear" w:color="auto" w:fill="FFFFFF"/>
        <w:spacing w:before="0" w:beforeAutospacing="0" w:after="0" w:afterAutospacing="0" w:line="594" w:lineRule="exact"/>
        <w:jc w:val="both"/>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黑体" w:cs="黑体"/>
          <w:sz w:val="32"/>
          <w:szCs w:val="32"/>
          <w:shd w:val="clear" w:color="auto" w:fill="FFFFFF"/>
        </w:rPr>
        <w:lastRenderedPageBreak/>
        <w:t>四、其他需要说明的事项</w:t>
      </w:r>
    </w:p>
    <w:p w:rsidR="008B00D9" w:rsidRDefault="00745144">
      <w:pPr>
        <w:pStyle w:val="1"/>
        <w:autoSpaceDE w:val="0"/>
        <w:spacing w:line="594" w:lineRule="exact"/>
        <w:ind w:firstLineChars="130" w:firstLine="418"/>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（一）财政拨款会议费和培训费情况说明</w:t>
      </w:r>
    </w:p>
    <w:p w:rsidR="008B00D9" w:rsidRDefault="00745144">
      <w:pPr>
        <w:pStyle w:val="a6"/>
        <w:spacing w:before="0" w:beforeAutospacing="0" w:after="0" w:afterAutospacing="0" w:line="594" w:lineRule="exact"/>
        <w:ind w:firstLineChars="200" w:firstLine="640"/>
        <w:contextualSpacing/>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0.19</w:t>
      </w:r>
      <w:r>
        <w:rPr>
          <w:rFonts w:ascii="方正仿宋_GBK" w:eastAsia="方正仿宋_GBK" w:hAnsi="方正仿宋_GBK" w:cs="方正仿宋_GBK"/>
          <w:sz w:val="32"/>
          <w:szCs w:val="32"/>
          <w:shd w:val="clear" w:color="auto" w:fill="FFFFFF"/>
        </w:rPr>
        <w:t>万元，较上年决算数增加0.19万元，增长100.00%，主要原因是本中心根据工作安排召开政务服务“一窗综办”推进会费用。本年度培训费支出</w:t>
      </w:r>
      <w:r>
        <w:rPr>
          <w:rFonts w:ascii="方正仿宋_GBK" w:eastAsia="方正仿宋_GBK" w:hAnsi="方正仿宋_GBK" w:cs="方正仿宋_GBK"/>
          <w:sz w:val="32"/>
          <w:szCs w:val="32"/>
        </w:rPr>
        <w:t>0.20</w:t>
      </w:r>
      <w:r>
        <w:rPr>
          <w:rFonts w:ascii="方正仿宋_GBK" w:eastAsia="方正仿宋_GBK" w:hAnsi="方正仿宋_GBK" w:cs="方正仿宋_GBK"/>
          <w:sz w:val="32"/>
          <w:szCs w:val="32"/>
          <w:shd w:val="clear" w:color="auto" w:fill="FFFFFF"/>
        </w:rPr>
        <w:t>万元，较上年决算数减少0.42万元，下降67.74%，主要原因是根据工作安排，本中心本年度组织及参加培训的次数减少。</w:t>
      </w:r>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（二）机关运行经费情况说明</w:t>
      </w:r>
    </w:p>
    <w:p w:rsidR="008B00D9" w:rsidRDefault="006122EF">
      <w:pPr>
        <w:pStyle w:val="a6"/>
        <w:shd w:val="clear" w:color="auto" w:fill="FFFFFF"/>
        <w:adjustRightInd w:val="0"/>
        <w:snapToGrid w:val="0"/>
        <w:spacing w:before="0" w:beforeAutospacing="0" w:after="0" w:afterAutospacing="0" w:line="594" w:lineRule="exact"/>
        <w:ind w:firstLineChars="200" w:firstLine="640"/>
        <w:jc w:val="both"/>
        <w:rPr>
          <w:rFonts w:ascii="方正仿宋_GBK" w:eastAsia="方正仿宋_GBK" w:hAnsi="Times New Roman" w:hint="default"/>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bookmarkStart w:id="0" w:name="_GoBack"/>
      <w:bookmarkEnd w:id="0"/>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（三）国有资产占用情况说明</w:t>
      </w:r>
    </w:p>
    <w:p w:rsidR="008B00D9" w:rsidRDefault="00745144">
      <w:pPr>
        <w:pStyle w:val="a6"/>
        <w:snapToGrid w:val="0"/>
        <w:spacing w:before="0" w:beforeAutospacing="0" w:after="0" w:afterAutospacing="0" w:line="594"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（四）政府采购支出情况说明</w:t>
      </w:r>
    </w:p>
    <w:p w:rsidR="008B00D9" w:rsidRDefault="00745144">
      <w:pPr>
        <w:pStyle w:val="a6"/>
        <w:shd w:val="clear" w:color="auto" w:fill="FFFFFF"/>
        <w:adjustRightInd w:val="0"/>
        <w:snapToGrid w:val="0"/>
        <w:spacing w:before="0" w:beforeAutospacing="0" w:after="0" w:afterAutospacing="0" w:line="594" w:lineRule="exact"/>
        <w:ind w:firstLineChars="200" w:firstLine="640"/>
        <w:jc w:val="both"/>
        <w:rPr>
          <w:rFonts w:ascii="方正仿宋_GBK" w:eastAsia="方正仿宋_GBK" w:hAnsi="Times New Roman" w:hint="default"/>
          <w:sz w:val="32"/>
          <w:szCs w:val="32"/>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lastRenderedPageBreak/>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%。主要原因是</w:t>
      </w:r>
      <w:r>
        <w:rPr>
          <w:rFonts w:ascii="方正仿宋_GBK" w:eastAsia="方正仿宋_GBK" w:hAnsi="Times New Roman"/>
          <w:sz w:val="32"/>
          <w:szCs w:val="32"/>
        </w:rPr>
        <w:t>2023年度我中心未发生政府采购事项，无相关经费支出。</w:t>
      </w:r>
    </w:p>
    <w:p w:rsidR="008B00D9" w:rsidRDefault="00745144">
      <w:pPr>
        <w:pStyle w:val="a6"/>
        <w:numPr>
          <w:ilvl w:val="0"/>
          <w:numId w:val="1"/>
        </w:numPr>
        <w:shd w:val="clear" w:color="auto" w:fill="FFFFFF"/>
        <w:spacing w:before="0" w:beforeAutospacing="0" w:after="0" w:afterAutospacing="0" w:line="594" w:lineRule="exact"/>
        <w:jc w:val="both"/>
        <w:rPr>
          <w:rStyle w:val="a7"/>
          <w:rFonts w:ascii="方正仿宋_GBK" w:eastAsia="方正仿宋_GBK" w:hAnsi="黑体" w:cs="黑体" w:hint="default"/>
          <w:sz w:val="32"/>
          <w:szCs w:val="32"/>
          <w:shd w:val="clear" w:color="auto" w:fill="FFFFFF"/>
        </w:rPr>
      </w:pPr>
      <w:r>
        <w:rPr>
          <w:rStyle w:val="a7"/>
          <w:rFonts w:ascii="方正仿宋_GBK" w:eastAsia="方正仿宋_GBK" w:hAnsi="黑体" w:cs="黑体"/>
          <w:sz w:val="32"/>
          <w:szCs w:val="32"/>
          <w:shd w:val="clear" w:color="auto" w:fill="FFFFFF"/>
        </w:rPr>
        <w:t>预算绩效管理情况说明</w:t>
      </w:r>
    </w:p>
    <w:p w:rsidR="008B00D9" w:rsidRDefault="00745144">
      <w:pPr>
        <w:pStyle w:val="1"/>
        <w:autoSpaceDE w:val="0"/>
        <w:spacing w:line="594" w:lineRule="exact"/>
        <w:ind w:firstLine="643"/>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（一）单位自评情况</w:t>
      </w:r>
    </w:p>
    <w:p w:rsidR="008B00D9" w:rsidRDefault="00745144">
      <w:pPr>
        <w:pStyle w:val="Char1"/>
        <w:autoSpaceDE w:val="0"/>
        <w:spacing w:before="0" w:beforeAutospacing="0" w:after="0" w:afterAutospacing="0" w:line="594" w:lineRule="exact"/>
        <w:ind w:firstLineChars="150" w:firstLine="480"/>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noProof/>
          <w:sz w:val="32"/>
          <w:szCs w:val="32"/>
        </w:rPr>
        <w:drawing>
          <wp:anchor distT="0" distB="0" distL="114300" distR="114300" simplePos="0" relativeHeight="251658240" behindDoc="0" locked="0" layoutInCell="1" allowOverlap="1">
            <wp:simplePos x="0" y="0"/>
            <wp:positionH relativeFrom="column">
              <wp:posOffset>-69215</wp:posOffset>
            </wp:positionH>
            <wp:positionV relativeFrom="paragraph">
              <wp:posOffset>786765</wp:posOffset>
            </wp:positionV>
            <wp:extent cx="5506085" cy="5757545"/>
            <wp:effectExtent l="19050" t="0" r="0" b="0"/>
            <wp:wrapTopAndBottom/>
            <wp:docPr id="2" name="图片 1" descr="2023政务服务改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23政务服务改革.png"/>
                    <pic:cNvPicPr>
                      <a:picLocks noChangeAspect="1"/>
                    </pic:cNvPicPr>
                  </pic:nvPicPr>
                  <pic:blipFill>
                    <a:blip r:embed="rId8"/>
                    <a:stretch>
                      <a:fillRect/>
                    </a:stretch>
                  </pic:blipFill>
                  <pic:spPr>
                    <a:xfrm>
                      <a:off x="0" y="0"/>
                      <a:ext cx="5506085" cy="5757545"/>
                    </a:xfrm>
                    <a:prstGeom prst="rect">
                      <a:avLst/>
                    </a:prstGeom>
                  </pic:spPr>
                </pic:pic>
              </a:graphicData>
            </a:graphic>
          </wp:anchor>
        </w:drawing>
      </w:r>
      <w:r>
        <w:rPr>
          <w:rFonts w:ascii="方正仿宋_GBK" w:eastAsia="方正仿宋_GBK" w:hAnsi="方正仿宋_GBK" w:cs="方正仿宋_GBK" w:hint="eastAsia"/>
          <w:sz w:val="32"/>
          <w:szCs w:val="32"/>
          <w:shd w:val="clear" w:color="auto" w:fill="FFFFFF"/>
        </w:rPr>
        <w:t>根据预算绩效管理要求，我中心3个二级项目开展了绩效自评，涉及财政拨款项目支出资金216.35万元。</w:t>
      </w:r>
    </w:p>
    <w:p w:rsidR="008B00D9" w:rsidRDefault="008B00D9">
      <w:pPr>
        <w:pStyle w:val="Char1"/>
        <w:autoSpaceDE w:val="0"/>
        <w:spacing w:before="0" w:beforeAutospacing="0" w:after="0" w:afterAutospacing="0" w:line="594" w:lineRule="exact"/>
        <w:jc w:val="both"/>
        <w:rPr>
          <w:rFonts w:ascii="方正仿宋_GBK" w:eastAsia="方正仿宋_GBK" w:hAnsi="楷体" w:cs="楷体"/>
          <w:b/>
          <w:bCs/>
          <w:sz w:val="32"/>
          <w:szCs w:val="32"/>
          <w:shd w:val="clear" w:color="auto" w:fill="FFFFFF"/>
        </w:rPr>
      </w:pPr>
    </w:p>
    <w:p w:rsidR="008B00D9" w:rsidRDefault="008B00D9">
      <w:pPr>
        <w:pStyle w:val="Char1"/>
        <w:autoSpaceDE w:val="0"/>
        <w:spacing w:before="0" w:beforeAutospacing="0" w:after="0" w:afterAutospacing="0" w:line="594" w:lineRule="exact"/>
        <w:jc w:val="both"/>
        <w:rPr>
          <w:rFonts w:ascii="方正仿宋_GBK" w:eastAsia="方正仿宋_GBK" w:hAnsi="楷体" w:cs="楷体"/>
          <w:b/>
          <w:bCs/>
          <w:sz w:val="32"/>
          <w:szCs w:val="32"/>
          <w:shd w:val="clear" w:color="auto" w:fill="FFFFFF"/>
        </w:rPr>
      </w:pPr>
    </w:p>
    <w:p w:rsidR="008B00D9" w:rsidRDefault="008B00D9">
      <w:pPr>
        <w:pStyle w:val="Char1"/>
        <w:autoSpaceDE w:val="0"/>
        <w:spacing w:before="0" w:beforeAutospacing="0" w:after="0" w:afterAutospacing="0" w:line="594" w:lineRule="exact"/>
        <w:jc w:val="both"/>
        <w:rPr>
          <w:rFonts w:ascii="方正仿宋_GBK" w:eastAsia="方正仿宋_GBK" w:hAnsi="楷体" w:cs="楷体"/>
          <w:b/>
          <w:bCs/>
          <w:sz w:val="32"/>
          <w:szCs w:val="32"/>
          <w:shd w:val="clear" w:color="auto" w:fill="FFFFFF"/>
        </w:rPr>
      </w:pPr>
    </w:p>
    <w:p w:rsidR="008B00D9" w:rsidRDefault="008B00D9">
      <w:pPr>
        <w:pStyle w:val="Char1"/>
        <w:autoSpaceDE w:val="0"/>
        <w:spacing w:before="0" w:beforeAutospacing="0" w:after="0" w:afterAutospacing="0" w:line="594" w:lineRule="exact"/>
        <w:jc w:val="both"/>
        <w:rPr>
          <w:rFonts w:ascii="方正仿宋_GBK" w:eastAsia="方正仿宋_GBK" w:hAnsi="楷体" w:cs="楷体"/>
          <w:b/>
          <w:bCs/>
          <w:sz w:val="32"/>
          <w:szCs w:val="32"/>
          <w:shd w:val="clear" w:color="auto" w:fill="FFFFFF"/>
        </w:rPr>
      </w:pPr>
    </w:p>
    <w:p w:rsidR="008B00D9" w:rsidRDefault="008B00D9">
      <w:pPr>
        <w:pStyle w:val="Char1"/>
        <w:autoSpaceDE w:val="0"/>
        <w:spacing w:before="0" w:beforeAutospacing="0" w:after="0" w:afterAutospacing="0" w:line="594" w:lineRule="exact"/>
        <w:jc w:val="both"/>
        <w:rPr>
          <w:rFonts w:ascii="方正仿宋_GBK" w:eastAsia="方正仿宋_GBK" w:hAnsi="楷体" w:cs="楷体"/>
          <w:b/>
          <w:bCs/>
          <w:sz w:val="32"/>
          <w:szCs w:val="32"/>
          <w:shd w:val="clear" w:color="auto" w:fill="FFFFFF"/>
        </w:rPr>
      </w:pPr>
    </w:p>
    <w:p w:rsidR="008B00D9" w:rsidRDefault="008B00D9">
      <w:pPr>
        <w:pStyle w:val="Char1"/>
        <w:autoSpaceDE w:val="0"/>
        <w:spacing w:before="0" w:beforeAutospacing="0" w:after="0" w:afterAutospacing="0" w:line="594" w:lineRule="exact"/>
        <w:jc w:val="both"/>
        <w:rPr>
          <w:rFonts w:ascii="方正仿宋_GBK" w:eastAsia="方正仿宋_GBK" w:hAnsi="楷体" w:cs="楷体"/>
          <w:b/>
          <w:bCs/>
          <w:sz w:val="32"/>
          <w:szCs w:val="32"/>
          <w:shd w:val="clear" w:color="auto" w:fill="FFFFFF"/>
        </w:rPr>
      </w:pPr>
    </w:p>
    <w:p w:rsidR="008B00D9" w:rsidRDefault="00745144">
      <w:pPr>
        <w:pStyle w:val="Char1"/>
        <w:autoSpaceDE w:val="0"/>
        <w:spacing w:before="0" w:beforeAutospacing="0" w:after="0" w:afterAutospacing="0" w:line="594" w:lineRule="exact"/>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noProof/>
          <w:sz w:val="32"/>
          <w:szCs w:val="32"/>
        </w:rPr>
        <w:drawing>
          <wp:anchor distT="0" distB="0" distL="114300" distR="114300" simplePos="0" relativeHeight="251659264" behindDoc="0" locked="0" layoutInCell="1" allowOverlap="1">
            <wp:simplePos x="0" y="0"/>
            <wp:positionH relativeFrom="column">
              <wp:posOffset>-89535</wp:posOffset>
            </wp:positionH>
            <wp:positionV relativeFrom="paragraph">
              <wp:posOffset>-540385</wp:posOffset>
            </wp:positionV>
            <wp:extent cx="5708015" cy="5787390"/>
            <wp:effectExtent l="19050" t="0" r="6985" b="0"/>
            <wp:wrapTopAndBottom/>
            <wp:docPr id="3" name="图片 2" descr="2023政务大厅支行维护.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23政务大厅支行维护.png"/>
                    <pic:cNvPicPr>
                      <a:picLocks noChangeAspect="1"/>
                    </pic:cNvPicPr>
                  </pic:nvPicPr>
                  <pic:blipFill>
                    <a:blip r:embed="rId9"/>
                    <a:stretch>
                      <a:fillRect/>
                    </a:stretch>
                  </pic:blipFill>
                  <pic:spPr>
                    <a:xfrm>
                      <a:off x="0" y="0"/>
                      <a:ext cx="5708015" cy="5787390"/>
                    </a:xfrm>
                    <a:prstGeom prst="rect">
                      <a:avLst/>
                    </a:prstGeom>
                  </pic:spPr>
                </pic:pic>
              </a:graphicData>
            </a:graphic>
          </wp:anchor>
        </w:drawing>
      </w:r>
    </w:p>
    <w:p w:rsidR="008B00D9" w:rsidRDefault="00745144">
      <w:pPr>
        <w:pStyle w:val="Char1"/>
        <w:autoSpaceDE w:val="0"/>
        <w:spacing w:before="0" w:beforeAutospacing="0" w:after="0" w:afterAutospacing="0" w:line="594" w:lineRule="exact"/>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t>（二）单位绩效评价情况</w:t>
      </w:r>
    </w:p>
    <w:p w:rsidR="008B00D9" w:rsidRDefault="00745144">
      <w:pPr>
        <w:pStyle w:val="2"/>
        <w:autoSpaceDE w:val="0"/>
        <w:spacing w:line="594" w:lineRule="exact"/>
        <w:ind w:firstLineChars="131" w:firstLine="419"/>
        <w:contextualSpacing/>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本年度本单位未组织开展绩效评价。</w:t>
      </w:r>
    </w:p>
    <w:p w:rsidR="008B00D9" w:rsidRDefault="00745144">
      <w:pPr>
        <w:pStyle w:val="2"/>
        <w:autoSpaceDE w:val="0"/>
        <w:spacing w:line="594" w:lineRule="exact"/>
        <w:ind w:firstLineChars="0" w:firstLine="0"/>
        <w:jc w:val="both"/>
        <w:rPr>
          <w:rFonts w:ascii="方正仿宋_GBK" w:eastAsia="方正仿宋_GBK" w:hAnsi="楷体" w:cs="楷体"/>
          <w:b/>
          <w:bCs/>
          <w:sz w:val="32"/>
          <w:szCs w:val="32"/>
          <w:shd w:val="clear" w:color="auto" w:fill="FFFFFF"/>
        </w:rPr>
      </w:pPr>
      <w:r>
        <w:rPr>
          <w:rFonts w:ascii="方正仿宋_GBK" w:eastAsia="方正仿宋_GBK" w:hAnsi="楷体" w:cs="楷体" w:hint="eastAsia"/>
          <w:b/>
          <w:bCs/>
          <w:sz w:val="32"/>
          <w:szCs w:val="32"/>
          <w:shd w:val="clear" w:color="auto" w:fill="FFFFFF"/>
        </w:rPr>
        <w:lastRenderedPageBreak/>
        <w:t>（三）财政绩效评价情况</w:t>
      </w:r>
    </w:p>
    <w:p w:rsidR="008B00D9" w:rsidRDefault="00745144">
      <w:pPr>
        <w:pStyle w:val="2"/>
        <w:autoSpaceDE w:val="0"/>
        <w:spacing w:line="594" w:lineRule="exact"/>
        <w:ind w:firstLineChars="131" w:firstLine="419"/>
        <w:contextualSpacing/>
        <w:jc w:val="both"/>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本年度县财政局未委托第三方对我单位开展绩效评价。</w:t>
      </w:r>
    </w:p>
    <w:p w:rsidR="008B00D9" w:rsidRDefault="00745144">
      <w:pPr>
        <w:pStyle w:val="a6"/>
        <w:shd w:val="clear" w:color="auto" w:fill="FFFFFF"/>
        <w:spacing w:before="0" w:beforeAutospacing="0" w:line="594" w:lineRule="exact"/>
        <w:jc w:val="both"/>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黑体" w:cs="黑体"/>
          <w:sz w:val="32"/>
          <w:szCs w:val="32"/>
          <w:shd w:val="clear" w:color="auto" w:fill="FFFFFF"/>
        </w:rPr>
        <w:t>六、专业名词解释</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Fonts w:ascii="方正仿宋_GBK" w:eastAsia="方正仿宋_GBK"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（二）事业收入</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（三）经营收入</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（四）其他收入</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（五）使用非财政拨款结余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lastRenderedPageBreak/>
        <w:t>（六）年初结转和结余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（七）结余分配</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（八）年末结转和结余</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（九）基本支出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（十）项目支出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（十一）经营支出</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（十二）“三公”经费</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w:t>
      </w:r>
      <w:r>
        <w:rPr>
          <w:rFonts w:ascii="方正仿宋_GBK" w:eastAsia="方正仿宋_GBK" w:hAnsi="方正仿宋_GBK" w:cs="方正仿宋_GBK"/>
          <w:sz w:val="32"/>
          <w:szCs w:val="32"/>
          <w:shd w:val="clear" w:color="auto" w:fill="FFFFFF"/>
        </w:rPr>
        <w:lastRenderedPageBreak/>
        <w:t>奖励费用等支出；公务接待费反映单位按规定开支的各类公务接待（含外宾接待）支出。</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（十三）机关运行经费</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（十四）工资福利支出（支出经济分类科目类级）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（十五）商品和服务支出（支出经济分类科目类级）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（十六）对个人和家庭的补助（支出经济分类科目类级）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8B00D9" w:rsidRDefault="00745144">
      <w:pPr>
        <w:pStyle w:val="a6"/>
        <w:snapToGrid w:val="0"/>
        <w:spacing w:before="0" w:beforeAutospacing="0" w:after="0" w:afterAutospacing="0" w:line="594" w:lineRule="exact"/>
        <w:jc w:val="both"/>
        <w:rPr>
          <w:rFonts w:ascii="方正仿宋_GBK" w:eastAsia="方正仿宋_GBK" w:hAnsi="方正仿宋_GBK" w:cs="方正仿宋_GBK" w:hint="default"/>
          <w:sz w:val="32"/>
          <w:szCs w:val="32"/>
        </w:rPr>
      </w:pPr>
      <w:r>
        <w:rPr>
          <w:rStyle w:val="a7"/>
          <w:rFonts w:ascii="方正仿宋_GBK" w:eastAsia="方正仿宋_GBK" w:hAnsi="楷体" w:cs="楷体"/>
          <w:sz w:val="32"/>
          <w:szCs w:val="32"/>
          <w:shd w:val="clear" w:color="auto" w:fill="FFFFFF"/>
        </w:rPr>
        <w:t>（十七）其他资本性支出（支出经济分类科目类级）</w:t>
      </w:r>
      <w:r>
        <w:rPr>
          <w:rFonts w:ascii="方正仿宋_GBK" w:eastAsia="方正仿宋_GBK"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8B00D9" w:rsidRDefault="00745144">
      <w:pPr>
        <w:pStyle w:val="a6"/>
        <w:shd w:val="clear" w:color="auto" w:fill="FFFFFF"/>
        <w:spacing w:before="0" w:beforeAutospacing="0" w:after="0" w:afterAutospacing="0" w:line="594" w:lineRule="exact"/>
        <w:jc w:val="both"/>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黑体" w:cs="黑体"/>
          <w:sz w:val="32"/>
          <w:szCs w:val="32"/>
          <w:shd w:val="clear" w:color="auto" w:fill="FFFFFF"/>
        </w:rPr>
        <w:t>七、决算公开联系方式及信息反馈渠道</w:t>
      </w:r>
    </w:p>
    <w:p w:rsidR="008B00D9" w:rsidRDefault="00745144">
      <w:pPr>
        <w:pStyle w:val="a6"/>
        <w:snapToGrid w:val="0"/>
        <w:spacing w:before="0" w:beforeAutospacing="0" w:after="0" w:afterAutospacing="0" w:line="594" w:lineRule="exact"/>
        <w:ind w:firstLineChars="200" w:firstLine="640"/>
        <w:jc w:val="both"/>
        <w:rPr>
          <w:rStyle w:val="a7"/>
          <w:rFonts w:ascii="方正仿宋_GBK" w:eastAsia="方正仿宋_GBK" w:hAnsi="方正仿宋_GBK" w:cs="方正仿宋_GBK" w:hint="default"/>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w:t>
      </w:r>
    </w:p>
    <w:p w:rsidR="008B00D9" w:rsidRDefault="00745144">
      <w:pPr>
        <w:pStyle w:val="a6"/>
        <w:shd w:val="clear" w:color="auto" w:fill="FFFFFF"/>
        <w:adjustRightInd w:val="0"/>
        <w:snapToGrid w:val="0"/>
        <w:spacing w:before="0" w:beforeAutospacing="0" w:after="0" w:afterAutospacing="0" w:line="594"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sz w:val="32"/>
          <w:szCs w:val="32"/>
        </w:rPr>
        <w:t>联系人：皮老师联系电话：</w:t>
      </w:r>
      <w:r>
        <w:rPr>
          <w:rFonts w:ascii="Times New Roman" w:eastAsia="方正仿宋_GBK" w:hAnsi="Times New Roman"/>
          <w:sz w:val="32"/>
          <w:szCs w:val="32"/>
        </w:rPr>
        <w:t>023-74522003</w:t>
      </w:r>
    </w:p>
    <w:p w:rsidR="008B00D9" w:rsidRDefault="008B00D9">
      <w:pPr>
        <w:pStyle w:val="1"/>
        <w:autoSpaceDE w:val="0"/>
        <w:ind w:firstLineChars="0" w:firstLine="0"/>
        <w:rPr>
          <w:rStyle w:val="a7"/>
          <w:rFonts w:ascii="方正仿宋_GBK" w:eastAsia="方正仿宋_GBK" w:hAnsi="方正仿宋_GBK" w:cs="方正仿宋_GBK"/>
          <w:sz w:val="32"/>
          <w:szCs w:val="32"/>
          <w:shd w:val="clear" w:color="auto" w:fill="FFFF00"/>
        </w:rPr>
        <w:sectPr w:rsidR="008B00D9">
          <w:footerReference w:type="default" r:id="rId10"/>
          <w:pgSz w:w="11915" w:h="16840"/>
          <w:pgMar w:top="1440" w:right="1800" w:bottom="1440" w:left="1800" w:header="851" w:footer="992" w:gutter="0"/>
          <w:pgNumType w:fmt="numberInDash"/>
          <w:cols w:space="720"/>
          <w:docGrid w:type="lines" w:linePitch="312"/>
        </w:sectPr>
      </w:pPr>
    </w:p>
    <w:p w:rsidR="008B00D9" w:rsidRDefault="008B00D9">
      <w:pPr>
        <w:rPr>
          <w:rFonts w:cs="宋体" w:hint="default"/>
          <w:sz w:val="21"/>
          <w:szCs w:val="21"/>
        </w:rPr>
      </w:pPr>
    </w:p>
    <w:tbl>
      <w:tblPr>
        <w:tblW w:w="22292" w:type="dxa"/>
        <w:tblLayout w:type="fixed"/>
        <w:tblCellMar>
          <w:left w:w="0" w:type="dxa"/>
          <w:right w:w="0" w:type="dxa"/>
        </w:tblCellMar>
        <w:tblLook w:val="04A0"/>
      </w:tblPr>
      <w:tblGrid>
        <w:gridCol w:w="6581"/>
        <w:gridCol w:w="4358"/>
        <w:gridCol w:w="7536"/>
        <w:gridCol w:w="3817"/>
      </w:tblGrid>
      <w:tr w:rsidR="008B00D9">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8B00D9" w:rsidRDefault="00745144">
            <w:pPr>
              <w:jc w:val="center"/>
              <w:textAlignment w:val="bottom"/>
              <w:rPr>
                <w:rFonts w:cs="宋体" w:hint="default"/>
                <w:b/>
                <w:color w:val="000000"/>
                <w:sz w:val="40"/>
                <w:szCs w:val="40"/>
              </w:rPr>
            </w:pPr>
            <w:r>
              <w:rPr>
                <w:rFonts w:cs="宋体"/>
                <w:b/>
                <w:color w:val="000000"/>
                <w:sz w:val="44"/>
                <w:szCs w:val="44"/>
              </w:rPr>
              <w:t>收入支出决算总表</w:t>
            </w:r>
          </w:p>
        </w:tc>
      </w:tr>
      <w:tr w:rsidR="008B00D9">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8B00D9" w:rsidRDefault="008B00D9">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公开01表</w:t>
            </w:r>
          </w:p>
        </w:tc>
      </w:tr>
      <w:tr w:rsidR="008B00D9">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8B00D9" w:rsidRDefault="00745144">
            <w:pPr>
              <w:textAlignment w:val="bottom"/>
              <w:rPr>
                <w:rFonts w:cs="宋体" w:hint="default"/>
                <w:color w:val="000000"/>
              </w:rPr>
            </w:pPr>
            <w:r>
              <w:rPr>
                <w:rFonts w:cs="宋体"/>
              </w:rPr>
              <w:t>公开单位：垫江县群众工作服务中心</w:t>
            </w:r>
          </w:p>
        </w:tc>
        <w:tc>
          <w:tcPr>
            <w:tcW w:w="4358" w:type="dxa"/>
            <w:tcBorders>
              <w:top w:val="nil"/>
              <w:left w:val="nil"/>
              <w:bottom w:val="nil"/>
              <w:right w:val="nil"/>
            </w:tcBorders>
            <w:shd w:val="clear" w:color="auto" w:fill="auto"/>
            <w:tcMar>
              <w:top w:w="15" w:type="dxa"/>
              <w:left w:w="15" w:type="dxa"/>
              <w:right w:w="15" w:type="dxa"/>
            </w:tcMar>
            <w:vAlign w:val="bottom"/>
          </w:tcPr>
          <w:p w:rsidR="008B00D9" w:rsidRDefault="008B00D9">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单位：</w:t>
            </w:r>
            <w:r>
              <w:rPr>
                <w:rFonts w:cs="宋体"/>
              </w:rPr>
              <w:t>万元</w:t>
            </w:r>
          </w:p>
        </w:tc>
      </w:tr>
      <w:tr w:rsidR="008B00D9">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支出</w:t>
            </w: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决算数</w:t>
            </w: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373.93</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362.50</w:t>
            </w: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0.20</w:t>
            </w: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10.06</w:t>
            </w: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4.19</w:t>
            </w: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6.97</w:t>
            </w: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373.93</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383.93</w:t>
            </w: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10.00</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383.93</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0"/>
                <w:szCs w:val="20"/>
              </w:rPr>
            </w:pPr>
            <w:r>
              <w:rPr>
                <w:rFonts w:cs="宋体"/>
                <w:color w:val="000000"/>
                <w:sz w:val="21"/>
                <w:szCs w:val="21"/>
              </w:rPr>
              <w:t>383.93</w:t>
            </w:r>
          </w:p>
        </w:tc>
      </w:tr>
    </w:tbl>
    <w:p w:rsidR="008B00D9" w:rsidRDefault="00745144">
      <w:pPr>
        <w:rPr>
          <w:rFonts w:cs="宋体" w:hint="default"/>
          <w:sz w:val="21"/>
          <w:szCs w:val="21"/>
        </w:rPr>
      </w:pPr>
      <w:r>
        <w:rPr>
          <w:rFonts w:cs="宋体"/>
          <w:sz w:val="21"/>
          <w:szCs w:val="21"/>
        </w:rPr>
        <w:t>备注：1.本表反映单位本年度的总收支和年末结转结余情况。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8B00D9" w:rsidRDefault="00745144">
      <w:pPr>
        <w:rPr>
          <w:rFonts w:cs="宋体" w:hint="default"/>
          <w:sz w:val="21"/>
          <w:szCs w:val="21"/>
        </w:rPr>
      </w:pPr>
      <w:r>
        <w:rPr>
          <w:rFonts w:cs="宋体"/>
          <w:sz w:val="21"/>
          <w:szCs w:val="21"/>
        </w:rPr>
        <w:br w:type="page"/>
      </w:r>
    </w:p>
    <w:p w:rsidR="008B00D9" w:rsidRDefault="008B00D9">
      <w:pPr>
        <w:rPr>
          <w:rFonts w:cs="宋体" w:hint="default"/>
          <w:sz w:val="21"/>
          <w:szCs w:val="21"/>
        </w:rPr>
      </w:pPr>
    </w:p>
    <w:tbl>
      <w:tblPr>
        <w:tblW w:w="22220" w:type="dxa"/>
        <w:tblLayout w:type="fixed"/>
        <w:tblCellMar>
          <w:left w:w="0" w:type="dxa"/>
          <w:right w:w="0" w:type="dxa"/>
        </w:tblCellMar>
        <w:tblLook w:val="04A0"/>
      </w:tblPr>
      <w:tblGrid>
        <w:gridCol w:w="1941"/>
        <w:gridCol w:w="3317"/>
        <w:gridCol w:w="2412"/>
        <w:gridCol w:w="2399"/>
        <w:gridCol w:w="1963"/>
        <w:gridCol w:w="1963"/>
        <w:gridCol w:w="1963"/>
        <w:gridCol w:w="1963"/>
        <w:gridCol w:w="1963"/>
        <w:gridCol w:w="2336"/>
      </w:tblGrid>
      <w:tr w:rsidR="008B00D9">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8B00D9" w:rsidRDefault="00745144">
            <w:pPr>
              <w:jc w:val="center"/>
              <w:textAlignment w:val="bottom"/>
              <w:rPr>
                <w:rFonts w:cs="宋体" w:hint="default"/>
                <w:b/>
                <w:color w:val="000000"/>
                <w:sz w:val="40"/>
                <w:szCs w:val="40"/>
              </w:rPr>
            </w:pPr>
            <w:r>
              <w:rPr>
                <w:rFonts w:cs="宋体"/>
                <w:b/>
                <w:color w:val="000000"/>
                <w:sz w:val="44"/>
                <w:szCs w:val="44"/>
              </w:rPr>
              <w:t>收入决算表</w:t>
            </w:r>
          </w:p>
        </w:tc>
      </w:tr>
      <w:tr w:rsidR="008B00D9">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8B00D9" w:rsidRDefault="00745144">
            <w:pPr>
              <w:rPr>
                <w:rFonts w:ascii="Arial" w:hAnsi="Arial" w:cs="Arial" w:hint="default"/>
                <w:color w:val="000000"/>
                <w:sz w:val="22"/>
                <w:szCs w:val="22"/>
              </w:rPr>
            </w:pPr>
            <w:r>
              <w:rPr>
                <w:rFonts w:cs="宋体"/>
              </w:rPr>
              <w:t>公开单位：垫江县群众工作服务中心</w:t>
            </w:r>
          </w:p>
        </w:tc>
        <w:tc>
          <w:tcPr>
            <w:tcW w:w="241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公开02表</w:t>
            </w:r>
          </w:p>
        </w:tc>
      </w:tr>
      <w:tr w:rsidR="008B00D9">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单位：</w:t>
            </w:r>
            <w:r>
              <w:rPr>
                <w:rFonts w:cs="宋体"/>
              </w:rPr>
              <w:t>万元</w:t>
            </w:r>
          </w:p>
        </w:tc>
      </w:tr>
      <w:tr w:rsidR="008B00D9">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8B00D9" w:rsidRDefault="00745144">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B00D9" w:rsidRDefault="00745144">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其他收入</w:t>
            </w:r>
          </w:p>
        </w:tc>
      </w:tr>
      <w:tr w:rsidR="008B00D9">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bCs/>
                <w:color w:val="000000"/>
                <w:sz w:val="21"/>
                <w:szCs w:val="21"/>
              </w:rPr>
              <w:t>373.93</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bCs/>
                <w:color w:val="000000"/>
                <w:sz w:val="21"/>
                <w:szCs w:val="21"/>
              </w:rPr>
              <w:t>373.93</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352.50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352.50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20103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政府办公厅（室）及相关机构事务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352.50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352.50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2010350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事业运行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146.16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146.16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2010399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其他政府办公厅（室）及相关机构事务支出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206.35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206.35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教育支出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0.20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0.20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20508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进修及培训</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0.20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0.20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2050803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培训支出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0.20</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0.20</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10.06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10.06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10.06</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10.06</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6.71</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6.71</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3.35</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3.35</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4.19</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4.19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4.19</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4.19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4.19</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4.19</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6.97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6.97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6.97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6.97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6.97</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6.97</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bl>
    <w:p w:rsidR="008B00D9" w:rsidRDefault="00745144">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8B00D9" w:rsidRDefault="00745144">
      <w:pPr>
        <w:rPr>
          <w:rFonts w:cs="宋体" w:hint="default"/>
          <w:sz w:val="21"/>
          <w:szCs w:val="21"/>
        </w:rPr>
      </w:pPr>
      <w:r>
        <w:rPr>
          <w:rFonts w:cs="宋体"/>
          <w:sz w:val="21"/>
          <w:szCs w:val="21"/>
        </w:rPr>
        <w:br w:type="page"/>
      </w:r>
    </w:p>
    <w:p w:rsidR="008B00D9" w:rsidRDefault="008B00D9">
      <w:pPr>
        <w:ind w:left="630" w:hangingChars="300" w:hanging="630"/>
        <w:rPr>
          <w:rFonts w:cs="宋体" w:hint="default"/>
          <w:sz w:val="21"/>
          <w:szCs w:val="21"/>
        </w:rPr>
      </w:pPr>
    </w:p>
    <w:tbl>
      <w:tblPr>
        <w:tblW w:w="22180" w:type="dxa"/>
        <w:tblLayout w:type="fixed"/>
        <w:tblCellMar>
          <w:left w:w="0" w:type="dxa"/>
          <w:right w:w="0" w:type="dxa"/>
        </w:tblCellMar>
        <w:tblLook w:val="04A0"/>
      </w:tblPr>
      <w:tblGrid>
        <w:gridCol w:w="2082"/>
        <w:gridCol w:w="3528"/>
        <w:gridCol w:w="2760"/>
        <w:gridCol w:w="2760"/>
        <w:gridCol w:w="2760"/>
        <w:gridCol w:w="2760"/>
        <w:gridCol w:w="2760"/>
        <w:gridCol w:w="2770"/>
      </w:tblGrid>
      <w:tr w:rsidR="008B00D9">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8B00D9" w:rsidRDefault="00745144">
            <w:pPr>
              <w:jc w:val="center"/>
              <w:textAlignment w:val="bottom"/>
              <w:rPr>
                <w:rFonts w:cs="宋体" w:hint="default"/>
                <w:b/>
                <w:color w:val="000000"/>
                <w:sz w:val="40"/>
                <w:szCs w:val="40"/>
              </w:rPr>
            </w:pPr>
            <w:r>
              <w:rPr>
                <w:rFonts w:cs="宋体"/>
                <w:b/>
                <w:color w:val="000000"/>
                <w:sz w:val="44"/>
                <w:szCs w:val="44"/>
              </w:rPr>
              <w:t>支出决算表</w:t>
            </w:r>
          </w:p>
        </w:tc>
      </w:tr>
      <w:tr w:rsidR="008B00D9">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8B00D9" w:rsidRDefault="0074514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垫江县群众工作服务中心</w:t>
            </w:r>
          </w:p>
        </w:tc>
        <w:tc>
          <w:tcPr>
            <w:tcW w:w="276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公开03表</w:t>
            </w:r>
          </w:p>
        </w:tc>
      </w:tr>
      <w:tr w:rsidR="008B00D9">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单位：</w:t>
            </w:r>
            <w:r>
              <w:rPr>
                <w:rFonts w:cs="宋体"/>
              </w:rPr>
              <w:t>万元</w:t>
            </w:r>
          </w:p>
        </w:tc>
      </w:tr>
      <w:tr w:rsidR="008B00D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B00D9" w:rsidRDefault="00745144">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对附属单位补助支出</w:t>
            </w:r>
          </w:p>
        </w:tc>
      </w:tr>
      <w:tr w:rsidR="008B00D9">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bCs/>
                <w:color w:val="000000"/>
                <w:sz w:val="21"/>
                <w:szCs w:val="21"/>
              </w:rPr>
              <w:t>383.93</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bCs/>
                <w:color w:val="000000"/>
                <w:sz w:val="21"/>
                <w:szCs w:val="21"/>
              </w:rPr>
              <w:t>167.58</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bCs/>
                <w:color w:val="000000"/>
                <w:sz w:val="21"/>
                <w:szCs w:val="21"/>
              </w:rPr>
              <w:t>216.35</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362.50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146.16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216.35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20103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政府办公厅（室）及相关机构事务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362.50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146.16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216.35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2010350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事业运行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146.16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146.16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2010399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其他政府办公厅（室）及相关机构事务支出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216.35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216.35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教育支出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20508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进修及培训</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2050803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培训支出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0.20</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10.06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10.06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10.06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10.06</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6.71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6.71</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3.35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3.35</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4.19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4.19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4.19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4.19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4.19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4.19</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6.97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6.97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6.97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b/>
                <w:color w:val="000000"/>
                <w:sz w:val="21"/>
                <w:szCs w:val="21"/>
              </w:rPr>
              <w:t>6.97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r w:rsidR="008B00D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6.97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18"/>
                <w:szCs w:val="18"/>
              </w:rPr>
            </w:pPr>
            <w:r>
              <w:rPr>
                <w:rFonts w:cs="宋体"/>
                <w:color w:val="000000"/>
                <w:sz w:val="21"/>
                <w:szCs w:val="21"/>
              </w:rPr>
              <w:t>6.97</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18"/>
                <w:szCs w:val="18"/>
              </w:rPr>
            </w:pPr>
          </w:p>
        </w:tc>
      </w:tr>
    </w:tbl>
    <w:p w:rsidR="008B00D9" w:rsidRDefault="00745144">
      <w:pPr>
        <w:rPr>
          <w:rFonts w:cs="宋体" w:hint="default"/>
          <w:sz w:val="21"/>
          <w:szCs w:val="21"/>
        </w:rPr>
      </w:pPr>
      <w:r>
        <w:rPr>
          <w:rFonts w:cs="宋体"/>
          <w:sz w:val="21"/>
          <w:szCs w:val="21"/>
        </w:rPr>
        <w:t>备注：1.本表反映单位本年度各项支出情况。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8B00D9" w:rsidRDefault="00745144">
      <w:pPr>
        <w:rPr>
          <w:rFonts w:cs="宋体" w:hint="default"/>
          <w:sz w:val="21"/>
          <w:szCs w:val="21"/>
        </w:rPr>
      </w:pPr>
      <w:r>
        <w:rPr>
          <w:rFonts w:cs="宋体"/>
          <w:sz w:val="21"/>
          <w:szCs w:val="21"/>
        </w:rPr>
        <w:br w:type="page"/>
      </w:r>
    </w:p>
    <w:p w:rsidR="008B00D9" w:rsidRDefault="008B00D9">
      <w:pPr>
        <w:rPr>
          <w:rFonts w:cs="宋体" w:hint="default"/>
          <w:sz w:val="21"/>
          <w:szCs w:val="21"/>
        </w:rPr>
      </w:pPr>
    </w:p>
    <w:tbl>
      <w:tblPr>
        <w:tblW w:w="22360" w:type="dxa"/>
        <w:tblLayout w:type="fixed"/>
        <w:tblCellMar>
          <w:left w:w="0" w:type="dxa"/>
          <w:right w:w="0" w:type="dxa"/>
        </w:tblCellMar>
        <w:tblLook w:val="04A0"/>
      </w:tblPr>
      <w:tblGrid>
        <w:gridCol w:w="4068"/>
        <w:gridCol w:w="2674"/>
        <w:gridCol w:w="3752"/>
        <w:gridCol w:w="2952"/>
        <w:gridCol w:w="2952"/>
        <w:gridCol w:w="2952"/>
        <w:gridCol w:w="3010"/>
      </w:tblGrid>
      <w:tr w:rsidR="008B00D9">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8B00D9" w:rsidRDefault="00745144">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8B00D9">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8B00D9" w:rsidRDefault="0074514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垫江县群众工作服务中心</w:t>
            </w:r>
          </w:p>
        </w:tc>
        <w:tc>
          <w:tcPr>
            <w:tcW w:w="375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公开04表</w:t>
            </w:r>
          </w:p>
        </w:tc>
      </w:tr>
      <w:tr w:rsidR="008B00D9">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单位：</w:t>
            </w:r>
            <w:r>
              <w:rPr>
                <w:rFonts w:cs="宋体"/>
              </w:rPr>
              <w:t>万元</w:t>
            </w:r>
          </w:p>
        </w:tc>
      </w:tr>
      <w:tr w:rsidR="008B00D9">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支     出</w:t>
            </w:r>
          </w:p>
        </w:tc>
      </w:tr>
      <w:tr w:rsidR="008B00D9">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决算数</w:t>
            </w:r>
          </w:p>
        </w:tc>
      </w:tr>
      <w:tr w:rsidR="008B00D9">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373.93</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362.50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362.50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0.20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0.20</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10.06</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10.06</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4.19</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4.19</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6.97</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6.97</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373.93</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383.93</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383.93</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10.00</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10.00</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r>
      <w:tr w:rsidR="008B00D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383.93</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0"/>
                <w:szCs w:val="20"/>
              </w:rPr>
            </w:pPr>
            <w:r>
              <w:rPr>
                <w:rFonts w:cs="宋体"/>
                <w:color w:val="000000"/>
                <w:sz w:val="21"/>
                <w:szCs w:val="21"/>
              </w:rPr>
              <w:t>383.93</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0"/>
                <w:szCs w:val="20"/>
              </w:rPr>
            </w:pPr>
            <w:r>
              <w:rPr>
                <w:rFonts w:cs="宋体"/>
                <w:color w:val="000000"/>
                <w:sz w:val="21"/>
                <w:szCs w:val="21"/>
              </w:rPr>
              <w:t>383.93</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bl>
    <w:p w:rsidR="008B00D9" w:rsidRDefault="00745144">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8B00D9" w:rsidRDefault="00745144">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tblPr>
      <w:tblGrid>
        <w:gridCol w:w="2694"/>
        <w:gridCol w:w="5151"/>
        <w:gridCol w:w="4817"/>
        <w:gridCol w:w="4817"/>
        <w:gridCol w:w="4821"/>
      </w:tblGrid>
      <w:tr w:rsidR="008B00D9">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8B00D9" w:rsidRDefault="00745144">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8B00D9">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8B00D9" w:rsidRDefault="0074514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垫江县群众工作服务中心</w:t>
            </w:r>
          </w:p>
        </w:tc>
        <w:tc>
          <w:tcPr>
            <w:tcW w:w="4817"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公开05表</w:t>
            </w:r>
          </w:p>
        </w:tc>
      </w:tr>
      <w:tr w:rsidR="008B00D9">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单位：</w:t>
            </w:r>
            <w:r>
              <w:rPr>
                <w:rFonts w:cs="宋体"/>
              </w:rPr>
              <w:t>万元</w:t>
            </w:r>
          </w:p>
        </w:tc>
      </w:tr>
      <w:tr w:rsidR="008B00D9">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本年支出</w:t>
            </w:r>
          </w:p>
        </w:tc>
      </w:tr>
      <w:tr w:rsidR="008B00D9">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项目支出</w:t>
            </w:r>
          </w:p>
        </w:tc>
      </w:tr>
      <w:tr w:rsidR="008B00D9">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bCs/>
                <w:color w:val="000000"/>
                <w:sz w:val="21"/>
                <w:szCs w:val="21"/>
              </w:rPr>
              <w:t>383.93</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bCs/>
                <w:color w:val="000000"/>
                <w:sz w:val="21"/>
                <w:szCs w:val="21"/>
              </w:rPr>
              <w:t>167.58</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bCs/>
                <w:color w:val="000000"/>
                <w:sz w:val="21"/>
                <w:szCs w:val="21"/>
              </w:rPr>
              <w:t>216.35</w:t>
            </w: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362.50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146.16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216.35</w:t>
            </w: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20103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政府办公厅（室）及相关机构事务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362.50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146.16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216.35</w:t>
            </w: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2010350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事业运行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146.16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146.16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2010399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其他政府办公厅（室）及相关机构事务支出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216.35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216.35</w:t>
            </w: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教育支出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0.20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0.20</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20508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进修及培训</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0.20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0.20</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2050803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培训支出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0.20</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0.20</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10.06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10.06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10.06</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10.06</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6.71</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6.71</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3.35</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3.35</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4.19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4.19</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4.19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4.19</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4.19</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4.19</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6.97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6.97</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6.97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b/>
                <w:color w:val="000000"/>
                <w:sz w:val="21"/>
                <w:szCs w:val="21"/>
              </w:rPr>
              <w:t>6.97</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r w:rsidR="008B00D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6.97</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b/>
                <w:color w:val="000000"/>
                <w:sz w:val="22"/>
                <w:szCs w:val="22"/>
              </w:rPr>
            </w:pPr>
            <w:r>
              <w:rPr>
                <w:rFonts w:cs="宋体"/>
                <w:color w:val="000000"/>
                <w:sz w:val="21"/>
                <w:szCs w:val="21"/>
              </w:rPr>
              <w:t>6.97</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bl>
    <w:p w:rsidR="008B00D9" w:rsidRDefault="00745144">
      <w:pPr>
        <w:rPr>
          <w:rFonts w:cs="宋体" w:hint="default"/>
          <w:sz w:val="21"/>
          <w:szCs w:val="21"/>
        </w:rPr>
      </w:pPr>
      <w:r>
        <w:rPr>
          <w:rFonts w:cs="宋体"/>
          <w:sz w:val="21"/>
          <w:szCs w:val="21"/>
        </w:rPr>
        <w:t>备注：1.本表反映单位本年度一般公共预算财政拨款支出情况。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8B00D9" w:rsidRDefault="00745144">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tblPr>
      <w:tblGrid>
        <w:gridCol w:w="1289"/>
        <w:gridCol w:w="3495"/>
        <w:gridCol w:w="2829"/>
        <w:gridCol w:w="1122"/>
        <w:gridCol w:w="2330"/>
        <w:gridCol w:w="2747"/>
        <w:gridCol w:w="1509"/>
        <w:gridCol w:w="4465"/>
        <w:gridCol w:w="2494"/>
      </w:tblGrid>
      <w:tr w:rsidR="008B00D9">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8B00D9" w:rsidRDefault="00745144">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8B00D9">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8B00D9" w:rsidRDefault="00745144">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垫江县群众工作服务中心</w:t>
            </w:r>
          </w:p>
        </w:tc>
        <w:tc>
          <w:tcPr>
            <w:tcW w:w="2829"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公开06表</w:t>
            </w:r>
          </w:p>
        </w:tc>
      </w:tr>
      <w:tr w:rsidR="008B00D9">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单位：</w:t>
            </w:r>
            <w:r>
              <w:rPr>
                <w:rFonts w:cs="宋体"/>
              </w:rPr>
              <w:t>万元</w:t>
            </w:r>
          </w:p>
        </w:tc>
      </w:tr>
      <w:tr w:rsidR="008B00D9">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公用经费</w:t>
            </w:r>
          </w:p>
        </w:tc>
      </w:tr>
      <w:tr w:rsidR="008B00D9">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金额</w:t>
            </w:r>
          </w:p>
        </w:tc>
      </w:tr>
      <w:tr w:rsidR="008B00D9">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154.98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12.60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25.25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1.90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0.97</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0.04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0.07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63.20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6.71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3.35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0.33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4.19</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1.63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0.11</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4.90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6.97</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0.80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0.02</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43.42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0.04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0.20</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1.53</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0.45</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0.57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0.91</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r>
      <w:tr w:rsidR="008B00D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color w:val="000000"/>
                <w:sz w:val="22"/>
                <w:szCs w:val="22"/>
              </w:rPr>
            </w:pPr>
          </w:p>
        </w:tc>
      </w:tr>
      <w:tr w:rsidR="008B00D9">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745144">
            <w:pPr>
              <w:wordWrap w:val="0"/>
              <w:jc w:val="right"/>
              <w:textAlignment w:val="bottom"/>
              <w:rPr>
                <w:rFonts w:ascii="Arial" w:hAnsi="Arial" w:cs="Arial" w:hint="default"/>
                <w:color w:val="000000"/>
                <w:sz w:val="20"/>
                <w:szCs w:val="20"/>
              </w:rPr>
            </w:pPr>
            <w:r>
              <w:rPr>
                <w:rFonts w:cs="宋体"/>
                <w:color w:val="000000"/>
                <w:sz w:val="21"/>
                <w:szCs w:val="21"/>
              </w:rPr>
              <w:t>154.98</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wordWrap w:val="0"/>
              <w:jc w:val="right"/>
              <w:textAlignment w:val="center"/>
              <w:rPr>
                <w:rFonts w:cs="宋体" w:hint="default"/>
                <w:color w:val="000000"/>
                <w:sz w:val="22"/>
                <w:szCs w:val="22"/>
              </w:rPr>
            </w:pPr>
            <w:r>
              <w:rPr>
                <w:rFonts w:cs="宋体"/>
                <w:color w:val="000000"/>
                <w:sz w:val="21"/>
                <w:szCs w:val="21"/>
              </w:rPr>
              <w:t>12.60</w:t>
            </w:r>
          </w:p>
        </w:tc>
      </w:tr>
    </w:tbl>
    <w:p w:rsidR="008B00D9" w:rsidRDefault="00745144">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8B00D9" w:rsidRDefault="008B00D9">
      <w:pPr>
        <w:rPr>
          <w:rFonts w:cs="宋体" w:hint="default"/>
          <w:sz w:val="21"/>
          <w:szCs w:val="21"/>
        </w:rPr>
      </w:pPr>
    </w:p>
    <w:tbl>
      <w:tblPr>
        <w:tblW w:w="22240" w:type="dxa"/>
        <w:tblLayout w:type="fixed"/>
        <w:tblCellMar>
          <w:left w:w="0" w:type="dxa"/>
          <w:right w:w="0" w:type="dxa"/>
        </w:tblCellMar>
        <w:tblLook w:val="04A0"/>
      </w:tblPr>
      <w:tblGrid>
        <w:gridCol w:w="2686"/>
        <w:gridCol w:w="4465"/>
        <w:gridCol w:w="2473"/>
        <w:gridCol w:w="2473"/>
        <w:gridCol w:w="2473"/>
        <w:gridCol w:w="2473"/>
        <w:gridCol w:w="2558"/>
        <w:gridCol w:w="2639"/>
      </w:tblGrid>
      <w:tr w:rsidR="008B00D9">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8B00D9" w:rsidRDefault="00745144">
            <w:pPr>
              <w:jc w:val="center"/>
              <w:textAlignment w:val="bottom"/>
              <w:rPr>
                <w:rFonts w:cs="宋体" w:hint="default"/>
                <w:b/>
                <w:color w:val="000000"/>
                <w:sz w:val="40"/>
                <w:szCs w:val="40"/>
              </w:rPr>
            </w:pPr>
            <w:r>
              <w:rPr>
                <w:rFonts w:cs="宋体"/>
                <w:b/>
                <w:color w:val="000000"/>
                <w:sz w:val="44"/>
                <w:szCs w:val="44"/>
              </w:rPr>
              <w:t>政府性基金预算财政拨款收入支出决算表</w:t>
            </w:r>
          </w:p>
        </w:tc>
      </w:tr>
      <w:tr w:rsidR="008B00D9">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8B00D9" w:rsidRDefault="0074514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垫江县群众工作服务中心</w:t>
            </w:r>
          </w:p>
        </w:tc>
        <w:tc>
          <w:tcPr>
            <w:tcW w:w="247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公开07表</w:t>
            </w:r>
          </w:p>
        </w:tc>
      </w:tr>
      <w:tr w:rsidR="008B00D9">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单位：</w:t>
            </w:r>
            <w:r>
              <w:rPr>
                <w:rFonts w:cs="宋体"/>
              </w:rPr>
              <w:t>万元</w:t>
            </w:r>
          </w:p>
        </w:tc>
      </w:tr>
      <w:tr w:rsidR="008B00D9">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年末结转和结余</w:t>
            </w:r>
          </w:p>
        </w:tc>
      </w:tr>
      <w:tr w:rsidR="008B00D9">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bl>
    <w:p w:rsidR="008B00D9" w:rsidRDefault="00745144">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8B00D9" w:rsidRDefault="008B00D9">
      <w:pPr>
        <w:rPr>
          <w:rFonts w:cs="宋体" w:hint="default"/>
          <w:sz w:val="21"/>
          <w:szCs w:val="21"/>
        </w:rPr>
      </w:pPr>
    </w:p>
    <w:tbl>
      <w:tblPr>
        <w:tblW w:w="22220" w:type="dxa"/>
        <w:tblLayout w:type="fixed"/>
        <w:tblCellMar>
          <w:left w:w="0" w:type="dxa"/>
          <w:right w:w="0" w:type="dxa"/>
        </w:tblCellMar>
        <w:tblLook w:val="04A0"/>
      </w:tblPr>
      <w:tblGrid>
        <w:gridCol w:w="2729"/>
        <w:gridCol w:w="4420"/>
        <w:gridCol w:w="4736"/>
        <w:gridCol w:w="5423"/>
        <w:gridCol w:w="4912"/>
      </w:tblGrid>
      <w:tr w:rsidR="008B00D9">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8B00D9" w:rsidRDefault="00745144">
            <w:pPr>
              <w:jc w:val="center"/>
              <w:textAlignment w:val="bottom"/>
              <w:rPr>
                <w:rFonts w:cs="宋体" w:hint="default"/>
                <w:b/>
                <w:color w:val="000000"/>
                <w:sz w:val="40"/>
                <w:szCs w:val="40"/>
              </w:rPr>
            </w:pPr>
            <w:r>
              <w:rPr>
                <w:rFonts w:cs="宋体"/>
                <w:b/>
                <w:color w:val="000000"/>
                <w:sz w:val="44"/>
                <w:szCs w:val="44"/>
              </w:rPr>
              <w:t>国有资本经营预算财政拨款支出决算表</w:t>
            </w:r>
          </w:p>
        </w:tc>
      </w:tr>
      <w:tr w:rsidR="008B00D9">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8B00D9" w:rsidRDefault="00745144">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垫江县群众工作服务中心</w:t>
            </w:r>
          </w:p>
        </w:tc>
        <w:tc>
          <w:tcPr>
            <w:tcW w:w="4736"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公开08表</w:t>
            </w:r>
          </w:p>
        </w:tc>
      </w:tr>
      <w:tr w:rsidR="008B00D9">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单位：</w:t>
            </w:r>
            <w:r>
              <w:rPr>
                <w:rFonts w:cs="宋体"/>
              </w:rPr>
              <w:t>万元</w:t>
            </w:r>
          </w:p>
        </w:tc>
      </w:tr>
      <w:tr w:rsidR="008B00D9">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B00D9" w:rsidRDefault="00745144">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8B00D9" w:rsidRDefault="00745144">
            <w:pPr>
              <w:jc w:val="center"/>
              <w:textAlignment w:val="bottom"/>
              <w:rPr>
                <w:rFonts w:cs="宋体" w:hint="default"/>
                <w:b/>
                <w:color w:val="000000"/>
                <w:sz w:val="22"/>
                <w:szCs w:val="22"/>
              </w:rPr>
            </w:pPr>
            <w:r>
              <w:rPr>
                <w:rFonts w:cs="宋体"/>
                <w:b/>
                <w:color w:val="000000"/>
                <w:sz w:val="22"/>
                <w:szCs w:val="22"/>
              </w:rPr>
              <w:t>本年支出</w:t>
            </w:r>
          </w:p>
        </w:tc>
      </w:tr>
      <w:tr w:rsidR="008B00D9">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项目支出</w:t>
            </w:r>
          </w:p>
        </w:tc>
      </w:tr>
      <w:tr w:rsidR="008B00D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jc w:val="center"/>
              <w:rPr>
                <w:rFonts w:cs="宋体" w:hint="default"/>
                <w:b/>
                <w:color w:val="000000"/>
                <w:sz w:val="22"/>
                <w:szCs w:val="22"/>
              </w:rPr>
            </w:pPr>
          </w:p>
        </w:tc>
      </w:tr>
      <w:tr w:rsidR="008B00D9">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8B00D9">
            <w:pPr>
              <w:wordWrap w:val="0"/>
              <w:jc w:val="right"/>
              <w:textAlignment w:val="center"/>
              <w:rPr>
                <w:rFonts w:cs="宋体" w:hint="default"/>
                <w:b/>
                <w:color w:val="000000"/>
                <w:sz w:val="22"/>
                <w:szCs w:val="22"/>
              </w:rPr>
            </w:pPr>
          </w:p>
        </w:tc>
      </w:tr>
    </w:tbl>
    <w:p w:rsidR="008B00D9" w:rsidRDefault="00745144">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8B00D9" w:rsidRDefault="00745144">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tblPr>
      <w:tblGrid>
        <w:gridCol w:w="5159"/>
        <w:gridCol w:w="3822"/>
        <w:gridCol w:w="3281"/>
        <w:gridCol w:w="6581"/>
        <w:gridCol w:w="3325"/>
      </w:tblGrid>
      <w:tr w:rsidR="008B00D9">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8B00D9" w:rsidRDefault="00745144">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8B00D9">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8B00D9" w:rsidRDefault="008B00D9">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8B00D9" w:rsidRDefault="008B00D9">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公开09表</w:t>
            </w:r>
          </w:p>
        </w:tc>
      </w:tr>
      <w:tr w:rsidR="008B00D9">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8B00D9" w:rsidRDefault="00745144">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垫江县群众工作服务中心</w:t>
            </w:r>
          </w:p>
        </w:tc>
        <w:tc>
          <w:tcPr>
            <w:tcW w:w="3822" w:type="dxa"/>
            <w:tcBorders>
              <w:top w:val="nil"/>
              <w:left w:val="nil"/>
              <w:bottom w:val="nil"/>
              <w:right w:val="nil"/>
            </w:tcBorders>
            <w:shd w:val="clear" w:color="auto" w:fill="auto"/>
            <w:tcMar>
              <w:top w:w="15" w:type="dxa"/>
              <w:left w:w="15" w:type="dxa"/>
              <w:right w:w="15" w:type="dxa"/>
            </w:tcMar>
            <w:vAlign w:val="bottom"/>
          </w:tcPr>
          <w:p w:rsidR="008B00D9" w:rsidRDefault="008B00D9">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8B00D9" w:rsidRDefault="008B00D9">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8B00D9" w:rsidRDefault="008B00D9">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8B00D9" w:rsidRDefault="00745144">
            <w:pPr>
              <w:jc w:val="right"/>
              <w:textAlignment w:val="bottom"/>
              <w:rPr>
                <w:rFonts w:cs="宋体" w:hint="default"/>
                <w:color w:val="000000"/>
              </w:rPr>
            </w:pPr>
            <w:r>
              <w:rPr>
                <w:rFonts w:cs="宋体"/>
                <w:color w:val="000000"/>
              </w:rPr>
              <w:t>单位：</w:t>
            </w:r>
            <w:r>
              <w:rPr>
                <w:rFonts w:cs="宋体"/>
              </w:rPr>
              <w:t>万元</w:t>
            </w:r>
          </w:p>
        </w:tc>
      </w:tr>
      <w:tr w:rsidR="008B00D9">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8B00D9" w:rsidRDefault="00745144">
            <w:pPr>
              <w:jc w:val="center"/>
              <w:textAlignment w:val="center"/>
              <w:rPr>
                <w:rFonts w:cs="宋体" w:hint="default"/>
                <w:b/>
                <w:color w:val="000000"/>
                <w:sz w:val="22"/>
                <w:szCs w:val="22"/>
              </w:rPr>
            </w:pPr>
            <w:r>
              <w:rPr>
                <w:rFonts w:cs="宋体"/>
                <w:b/>
                <w:color w:val="000000"/>
                <w:sz w:val="22"/>
                <w:szCs w:val="22"/>
              </w:rPr>
              <w:t>决算数</w:t>
            </w: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r>
      <w:tr w:rsidR="008B00D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wordWrap w:val="0"/>
              <w:jc w:val="right"/>
              <w:textAlignment w:val="bottom"/>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745144">
            <w:pPr>
              <w:wordWrap w:val="0"/>
              <w:jc w:val="right"/>
              <w:textAlignment w:val="bottom"/>
              <w:rPr>
                <w:rFonts w:ascii="Arial" w:hAnsi="Arial" w:cs="Arial" w:hint="default"/>
                <w:color w:val="000000"/>
                <w:sz w:val="20"/>
                <w:szCs w:val="20"/>
              </w:rPr>
            </w:pPr>
            <w:r>
              <w:rPr>
                <w:rFonts w:cs="宋体"/>
                <w:color w:val="000000"/>
                <w:sz w:val="21"/>
                <w:szCs w:val="21"/>
              </w:rPr>
              <w:t>0.19</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jc w:val="right"/>
              <w:rPr>
                <w:rFonts w:ascii="Arial" w:hAnsi="Arial" w:cs="Arial" w:hint="default"/>
                <w:color w:val="000000"/>
                <w:sz w:val="20"/>
                <w:szCs w:val="20"/>
              </w:rPr>
            </w:pPr>
          </w:p>
        </w:tc>
      </w:tr>
      <w:tr w:rsidR="008B00D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8B00D9" w:rsidRDefault="00745144">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B00D9" w:rsidRDefault="00745144">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8B00D9" w:rsidRDefault="00745144">
            <w:pPr>
              <w:wordWrap w:val="0"/>
              <w:jc w:val="right"/>
              <w:textAlignment w:val="bottom"/>
              <w:rPr>
                <w:rFonts w:ascii="Arial" w:hAnsi="Arial" w:cs="Arial" w:hint="default"/>
                <w:color w:val="000000"/>
                <w:sz w:val="20"/>
                <w:szCs w:val="20"/>
              </w:rPr>
            </w:pPr>
            <w:r>
              <w:rPr>
                <w:rFonts w:cs="宋体"/>
                <w:color w:val="000000"/>
                <w:sz w:val="21"/>
                <w:szCs w:val="21"/>
              </w:rPr>
              <w:t>0.20</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8B00D9" w:rsidRDefault="008B00D9">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8B00D9" w:rsidRDefault="008B00D9">
            <w:pPr>
              <w:jc w:val="right"/>
              <w:rPr>
                <w:rFonts w:ascii="Arial" w:hAnsi="Arial" w:cs="Arial" w:hint="default"/>
                <w:color w:val="000000"/>
                <w:sz w:val="20"/>
                <w:szCs w:val="20"/>
              </w:rPr>
            </w:pPr>
          </w:p>
        </w:tc>
      </w:tr>
    </w:tbl>
    <w:p w:rsidR="008B00D9" w:rsidRDefault="00745144">
      <w:pPr>
        <w:rPr>
          <w:rFonts w:cs="宋体" w:hint="default"/>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8B00D9" w:rsidRDefault="008B00D9">
      <w:pPr>
        <w:rPr>
          <w:rFonts w:cs="宋体" w:hint="default"/>
          <w:color w:val="000000"/>
          <w:sz w:val="21"/>
          <w:szCs w:val="21"/>
        </w:rPr>
      </w:pPr>
    </w:p>
    <w:p w:rsidR="008B00D9" w:rsidRDefault="008B00D9">
      <w:pPr>
        <w:rPr>
          <w:rFonts w:cs="宋体" w:hint="default"/>
          <w:color w:val="000000"/>
          <w:sz w:val="21"/>
          <w:szCs w:val="21"/>
        </w:rPr>
      </w:pPr>
    </w:p>
    <w:p w:rsidR="008B00D9" w:rsidRDefault="008B00D9">
      <w:pPr>
        <w:rPr>
          <w:rFonts w:cs="宋体" w:hint="default"/>
          <w:color w:val="000000"/>
          <w:sz w:val="21"/>
          <w:szCs w:val="21"/>
        </w:rPr>
      </w:pPr>
    </w:p>
    <w:p w:rsidR="008B00D9" w:rsidRDefault="008B00D9">
      <w:pPr>
        <w:rPr>
          <w:rFonts w:cs="宋体" w:hint="default"/>
          <w:color w:val="000000"/>
          <w:sz w:val="21"/>
          <w:szCs w:val="21"/>
        </w:rPr>
      </w:pPr>
    </w:p>
    <w:p w:rsidR="008B00D9" w:rsidRDefault="008B00D9">
      <w:pPr>
        <w:rPr>
          <w:rFonts w:cs="宋体" w:hint="default"/>
          <w:color w:val="000000"/>
          <w:sz w:val="21"/>
          <w:szCs w:val="21"/>
        </w:rPr>
      </w:pPr>
    </w:p>
    <w:p w:rsidR="008B00D9" w:rsidRDefault="008B00D9">
      <w:pPr>
        <w:rPr>
          <w:rFonts w:cs="宋体" w:hint="default"/>
          <w:color w:val="000000"/>
          <w:sz w:val="21"/>
          <w:szCs w:val="21"/>
        </w:rPr>
      </w:pPr>
    </w:p>
    <w:p w:rsidR="008B00D9" w:rsidRDefault="008B00D9">
      <w:pPr>
        <w:rPr>
          <w:rFonts w:cs="宋体" w:hint="default"/>
          <w:color w:val="000000"/>
          <w:sz w:val="21"/>
          <w:szCs w:val="21"/>
        </w:rPr>
      </w:pPr>
    </w:p>
    <w:p w:rsidR="008B00D9" w:rsidRDefault="008B00D9">
      <w:pPr>
        <w:rPr>
          <w:rFonts w:cs="宋体" w:hint="default"/>
          <w:color w:val="000000"/>
          <w:sz w:val="21"/>
          <w:szCs w:val="21"/>
        </w:rPr>
      </w:pPr>
    </w:p>
    <w:p w:rsidR="008B00D9" w:rsidRDefault="008B00D9">
      <w:pPr>
        <w:rPr>
          <w:rFonts w:cs="宋体" w:hint="default"/>
          <w:color w:val="000000"/>
          <w:sz w:val="21"/>
          <w:szCs w:val="21"/>
        </w:rPr>
      </w:pPr>
    </w:p>
    <w:p w:rsidR="008B00D9" w:rsidRDefault="008B00D9">
      <w:pPr>
        <w:pStyle w:val="1"/>
        <w:autoSpaceDE w:val="0"/>
        <w:ind w:firstLineChars="0" w:firstLine="0"/>
        <w:rPr>
          <w:rFonts w:cs="宋体"/>
          <w:sz w:val="21"/>
          <w:szCs w:val="21"/>
        </w:rPr>
      </w:pPr>
    </w:p>
    <w:sectPr w:rsidR="008B00D9" w:rsidSect="00A53CF1">
      <w:headerReference w:type="default" r:id="rId11"/>
      <w:footerReference w:type="default" r:id="rId12"/>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D49" w:rsidRDefault="006F7D49">
      <w:pPr>
        <w:rPr>
          <w:rFonts w:hint="default"/>
        </w:rPr>
      </w:pPr>
      <w:r>
        <w:separator/>
      </w:r>
    </w:p>
  </w:endnote>
  <w:endnote w:type="continuationSeparator" w:id="1">
    <w:p w:rsidR="006F7D49" w:rsidRDefault="006F7D49">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44" w:rsidRDefault="00A53CF1">
    <w:pPr>
      <w:pStyle w:val="a4"/>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5pt">
          <v:textbox style="mso-fit-shape-to-text:t" inset="0,0,0,0">
            <w:txbxContent>
              <w:p w:rsidR="00745144" w:rsidRDefault="00A53CF1">
                <w:pPr>
                  <w:pStyle w:val="a4"/>
                  <w:rPr>
                    <w:rFonts w:hint="default"/>
                  </w:rPr>
                </w:pPr>
                <w:r>
                  <w:rPr>
                    <w:rFonts w:hint="default"/>
                  </w:rPr>
                  <w:fldChar w:fldCharType="begin"/>
                </w:r>
                <w:r w:rsidR="00745144">
                  <w:instrText xml:space="preserve"> PAGE  \* MERGEFORMAT </w:instrText>
                </w:r>
                <w:r>
                  <w:rPr>
                    <w:rFonts w:hint="default"/>
                  </w:rPr>
                  <w:fldChar w:fldCharType="separate"/>
                </w:r>
                <w:r w:rsidR="004770B1">
                  <w:rPr>
                    <w:rFonts w:hint="default"/>
                    <w:noProof/>
                  </w:rPr>
                  <w:t>- 13 -</w:t>
                </w:r>
                <w:r>
                  <w:rPr>
                    <w:rFonts w:hint="default"/>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44" w:rsidRDefault="00A53CF1">
    <w:pPr>
      <w:pStyle w:val="a4"/>
      <w:jc w:val="both"/>
      <w:rPr>
        <w:rFonts w:hint="default"/>
      </w:rPr>
    </w:pPr>
    <w:r>
      <w:rPr>
        <w:rFonts w:hint="default"/>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745144" w:rsidRDefault="00A53CF1">
                <w:pPr>
                  <w:pStyle w:val="a4"/>
                  <w:rPr>
                    <w:rFonts w:hint="default"/>
                  </w:rPr>
                </w:pPr>
                <w:r>
                  <w:rPr>
                    <w:rFonts w:hint="default"/>
                  </w:rPr>
                  <w:fldChar w:fldCharType="begin"/>
                </w:r>
                <w:r w:rsidR="00745144">
                  <w:instrText>PAGE   \* MERGEFORMAT</w:instrText>
                </w:r>
                <w:r>
                  <w:rPr>
                    <w:rFonts w:hint="default"/>
                  </w:rPr>
                  <w:fldChar w:fldCharType="separate"/>
                </w:r>
                <w:r w:rsidR="004770B1" w:rsidRPr="004770B1">
                  <w:rPr>
                    <w:rFonts w:hint="default"/>
                    <w:noProof/>
                    <w:lang w:val="zh-CN"/>
                  </w:rPr>
                  <w:t>-</w:t>
                </w:r>
                <w:r w:rsidR="004770B1">
                  <w:rPr>
                    <w:rFonts w:hint="default"/>
                    <w:noProof/>
                  </w:rPr>
                  <w:t xml:space="preserve"> 14 -</w:t>
                </w:r>
                <w:r>
                  <w:rPr>
                    <w:rFonts w:hint="default"/>
                  </w:rPr>
                  <w:fldChar w:fldCharType="end"/>
                </w:r>
              </w:p>
            </w:txbxContent>
          </v:textbox>
          <w10:wrap anchorx="margin"/>
        </v:shape>
      </w:pict>
    </w:r>
    <w:r>
      <w:rPr>
        <w:rFonts w:hint="default"/>
      </w:rPr>
      <w:pict>
        <v:shape id="_x0000_s2051"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745144" w:rsidRDefault="00745144">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D49" w:rsidRDefault="006F7D49">
      <w:pPr>
        <w:rPr>
          <w:rFonts w:hint="default"/>
        </w:rPr>
      </w:pPr>
      <w:r>
        <w:separator/>
      </w:r>
    </w:p>
  </w:footnote>
  <w:footnote w:type="continuationSeparator" w:id="1">
    <w:p w:rsidR="006F7D49" w:rsidRDefault="006F7D49">
      <w:pPr>
        <w:rPr>
          <w:rFonts w:hint="default"/>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44" w:rsidRDefault="00745144">
    <w:pPr>
      <w:pStyle w:val="a5"/>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QwYWQ1YTE0ZDA0NjgxYzlhMjZlMDExNTFmMWI3MmEifQ=="/>
  </w:docVars>
  <w:rsids>
    <w:rsidRoot w:val="00B03CCD"/>
    <w:rsid w:val="000037E5"/>
    <w:rsid w:val="000E1110"/>
    <w:rsid w:val="000E3B3E"/>
    <w:rsid w:val="00107874"/>
    <w:rsid w:val="00111B9E"/>
    <w:rsid w:val="001A7105"/>
    <w:rsid w:val="00233393"/>
    <w:rsid w:val="002919BE"/>
    <w:rsid w:val="002C5C38"/>
    <w:rsid w:val="0045387A"/>
    <w:rsid w:val="004770B1"/>
    <w:rsid w:val="00497028"/>
    <w:rsid w:val="004B0D8E"/>
    <w:rsid w:val="004E18D7"/>
    <w:rsid w:val="004F7044"/>
    <w:rsid w:val="00550ABE"/>
    <w:rsid w:val="005555E4"/>
    <w:rsid w:val="00563AA1"/>
    <w:rsid w:val="005C5334"/>
    <w:rsid w:val="006122EF"/>
    <w:rsid w:val="006872C7"/>
    <w:rsid w:val="006972C3"/>
    <w:rsid w:val="006B3466"/>
    <w:rsid w:val="006F7D49"/>
    <w:rsid w:val="007153C5"/>
    <w:rsid w:val="00745144"/>
    <w:rsid w:val="00771341"/>
    <w:rsid w:val="007B419D"/>
    <w:rsid w:val="007B6CF5"/>
    <w:rsid w:val="00814D33"/>
    <w:rsid w:val="008304CB"/>
    <w:rsid w:val="00863B2B"/>
    <w:rsid w:val="00866BEC"/>
    <w:rsid w:val="00867467"/>
    <w:rsid w:val="008940FC"/>
    <w:rsid w:val="008B00D9"/>
    <w:rsid w:val="008C3CDE"/>
    <w:rsid w:val="00942AAA"/>
    <w:rsid w:val="00945672"/>
    <w:rsid w:val="0097089A"/>
    <w:rsid w:val="009B67B8"/>
    <w:rsid w:val="00A11CCD"/>
    <w:rsid w:val="00A331BD"/>
    <w:rsid w:val="00A53CF1"/>
    <w:rsid w:val="00A95DC3"/>
    <w:rsid w:val="00AC0404"/>
    <w:rsid w:val="00B03CCD"/>
    <w:rsid w:val="00B11744"/>
    <w:rsid w:val="00B131D0"/>
    <w:rsid w:val="00CD0D76"/>
    <w:rsid w:val="00D202C9"/>
    <w:rsid w:val="00D9735D"/>
    <w:rsid w:val="00DA7752"/>
    <w:rsid w:val="00DC3385"/>
    <w:rsid w:val="00DC363E"/>
    <w:rsid w:val="00E20667"/>
    <w:rsid w:val="00E75D09"/>
    <w:rsid w:val="00E92B9E"/>
    <w:rsid w:val="00EA0E14"/>
    <w:rsid w:val="00EE779D"/>
    <w:rsid w:val="00EE783B"/>
    <w:rsid w:val="00EF37F9"/>
    <w:rsid w:val="00F36A30"/>
    <w:rsid w:val="00F630AE"/>
    <w:rsid w:val="00F73F90"/>
    <w:rsid w:val="00F83B3A"/>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8E4F81"/>
    <w:rsid w:val="1FBB35CD"/>
    <w:rsid w:val="1FCD26AF"/>
    <w:rsid w:val="1FF809D0"/>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sid w:val="00A53CF1"/>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A53CF1"/>
    <w:rPr>
      <w:sz w:val="18"/>
      <w:szCs w:val="18"/>
    </w:rPr>
  </w:style>
  <w:style w:type="paragraph" w:styleId="a4">
    <w:name w:val="footer"/>
    <w:basedOn w:val="a"/>
    <w:qFormat/>
    <w:rsid w:val="00A53CF1"/>
    <w:pPr>
      <w:tabs>
        <w:tab w:val="center" w:pos="4153"/>
        <w:tab w:val="right" w:pos="8306"/>
      </w:tabs>
      <w:snapToGrid w:val="0"/>
    </w:pPr>
    <w:rPr>
      <w:sz w:val="18"/>
      <w:szCs w:val="18"/>
    </w:rPr>
  </w:style>
  <w:style w:type="paragraph" w:styleId="a5">
    <w:name w:val="header"/>
    <w:basedOn w:val="a"/>
    <w:link w:val="Char0"/>
    <w:uiPriority w:val="99"/>
    <w:qFormat/>
    <w:rsid w:val="00A53CF1"/>
    <w:pPr>
      <w:tabs>
        <w:tab w:val="center" w:pos="4153"/>
        <w:tab w:val="right" w:pos="8306"/>
      </w:tabs>
      <w:snapToGrid w:val="0"/>
      <w:jc w:val="center"/>
    </w:pPr>
    <w:rPr>
      <w:sz w:val="18"/>
      <w:szCs w:val="18"/>
    </w:rPr>
  </w:style>
  <w:style w:type="paragraph" w:styleId="HTML">
    <w:name w:val="HTML Preformatted"/>
    <w:basedOn w:val="a"/>
    <w:qFormat/>
    <w:rsid w:val="00A53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iPriority w:val="99"/>
    <w:unhideWhenUsed/>
    <w:qFormat/>
    <w:rsid w:val="00A53CF1"/>
    <w:pPr>
      <w:spacing w:before="100" w:beforeAutospacing="1" w:after="100" w:afterAutospacing="1"/>
    </w:pPr>
  </w:style>
  <w:style w:type="character" w:styleId="a7">
    <w:name w:val="Strong"/>
    <w:uiPriority w:val="22"/>
    <w:qFormat/>
    <w:rsid w:val="00A53CF1"/>
    <w:rPr>
      <w:b/>
    </w:rPr>
  </w:style>
  <w:style w:type="table" w:styleId="a8">
    <w:name w:val="Table Grid"/>
    <w:basedOn w:val="a1"/>
    <w:qFormat/>
    <w:rsid w:val="00A53CF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rsid w:val="00A53CF1"/>
    <w:pPr>
      <w:ind w:firstLineChars="200" w:firstLine="420"/>
    </w:pPr>
    <w:rPr>
      <w:rFonts w:hint="default"/>
    </w:rPr>
  </w:style>
  <w:style w:type="paragraph" w:customStyle="1" w:styleId="Char1">
    <w:name w:val="普通(网站) Char"/>
    <w:qFormat/>
    <w:rsid w:val="00A53CF1"/>
    <w:pPr>
      <w:spacing w:before="100" w:beforeAutospacing="1" w:after="100" w:afterAutospacing="1"/>
    </w:pPr>
    <w:rPr>
      <w:rFonts w:ascii="宋体" w:hAnsi="宋体"/>
      <w:sz w:val="24"/>
      <w:szCs w:val="24"/>
    </w:rPr>
  </w:style>
  <w:style w:type="character" w:customStyle="1" w:styleId="21">
    <w:name w:val="21"/>
    <w:qFormat/>
    <w:rsid w:val="00A53CF1"/>
    <w:rPr>
      <w:rFonts w:ascii="Wingdings" w:hAnsi="Wingdings" w:cs="Wingdings" w:hint="default"/>
      <w:b/>
      <w:bCs/>
    </w:rPr>
  </w:style>
  <w:style w:type="paragraph" w:customStyle="1" w:styleId="2">
    <w:name w:val="列出段落2"/>
    <w:uiPriority w:val="99"/>
    <w:qFormat/>
    <w:rsid w:val="00A53CF1"/>
    <w:pPr>
      <w:ind w:firstLineChars="200" w:firstLine="420"/>
    </w:pPr>
    <w:rPr>
      <w:rFonts w:ascii="宋体" w:hAnsi="宋体"/>
      <w:sz w:val="24"/>
      <w:szCs w:val="24"/>
    </w:rPr>
  </w:style>
  <w:style w:type="character" w:customStyle="1" w:styleId="Char">
    <w:name w:val="批注框文本 Char"/>
    <w:basedOn w:val="a0"/>
    <w:link w:val="a3"/>
    <w:rsid w:val="00A53CF1"/>
    <w:rPr>
      <w:rFonts w:ascii="宋体" w:hAnsi="宋体"/>
      <w:sz w:val="18"/>
      <w:szCs w:val="18"/>
    </w:rPr>
  </w:style>
  <w:style w:type="character" w:customStyle="1" w:styleId="Char0">
    <w:name w:val="页眉 Char"/>
    <w:basedOn w:val="a0"/>
    <w:link w:val="a5"/>
    <w:uiPriority w:val="99"/>
    <w:rsid w:val="006122EF"/>
    <w:rPr>
      <w:rFonts w:ascii="宋体" w:hAnsi="宋体"/>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1999</Words>
  <Characters>11397</Characters>
  <Application>Microsoft Office Word</Application>
  <DocSecurity>0</DocSecurity>
  <Lines>94</Lines>
  <Paragraphs>26</Paragraphs>
  <ScaleCrop>false</ScaleCrop>
  <Company>Microsoft</Company>
  <LinksUpToDate>false</LinksUpToDate>
  <CharactersWithSpaces>13370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垫江县群众工作服务中心</dc:title>
  <dc:creator>Administrator</dc:creator>
  <cp:lastModifiedBy>AutoBVT</cp:lastModifiedBy>
  <cp:revision>45</cp:revision>
  <dcterms:created xsi:type="dcterms:W3CDTF">2024-07-11T02:00:00Z</dcterms:created>
  <dcterms:modified xsi:type="dcterms:W3CDTF">2024-09-09T08:25:00Z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