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870EE0">
      <w:pPr>
        <w:autoSpaceDE w:val="0"/>
        <w:autoSpaceDN w:val="0"/>
        <w:adjustRightInd w:val="0"/>
        <w:snapToGrid w:val="0"/>
        <w:spacing w:line="360" w:lineRule="auto"/>
        <w:jc w:val="center"/>
        <w:rPr>
          <w:rFonts w:hint="eastAsia" w:ascii="宋体" w:hAnsi="宋体" w:cs="宋体"/>
          <w:b/>
          <w:spacing w:val="1"/>
          <w:w w:val="99"/>
          <w:sz w:val="36"/>
          <w:szCs w:val="36"/>
          <w:highlight w:val="none"/>
          <w:lang w:eastAsia="zh-CN"/>
        </w:rPr>
      </w:pPr>
      <w:r>
        <w:rPr>
          <w:rFonts w:hint="eastAsia" w:ascii="宋体" w:hAnsi="宋体" w:cs="宋体"/>
          <w:b/>
          <w:spacing w:val="1"/>
          <w:w w:val="99"/>
          <w:sz w:val="36"/>
          <w:szCs w:val="36"/>
          <w:highlight w:val="none"/>
          <w:lang w:eastAsia="zh-CN"/>
        </w:rPr>
        <w:t>国网垫江供电公司职工服务中心空调采购及智能化</w:t>
      </w:r>
      <w:r>
        <w:rPr>
          <w:rFonts w:hint="eastAsia" w:ascii="宋体" w:hAnsi="宋体" w:cs="宋体"/>
          <w:b/>
          <w:spacing w:val="1"/>
          <w:w w:val="99"/>
          <w:sz w:val="36"/>
          <w:szCs w:val="36"/>
          <w:highlight w:val="none"/>
          <w:lang w:val="en-US" w:eastAsia="zh-CN"/>
        </w:rPr>
        <w:t>专业分包</w:t>
      </w:r>
    </w:p>
    <w:p w14:paraId="35AD7BF5">
      <w:pPr>
        <w:pStyle w:val="19"/>
        <w:rPr>
          <w:rFonts w:hint="eastAsia"/>
          <w:highlight w:val="none"/>
        </w:rPr>
      </w:pPr>
    </w:p>
    <w:p w14:paraId="5F762C2E">
      <w:pPr>
        <w:autoSpaceDE w:val="0"/>
        <w:autoSpaceDN w:val="0"/>
        <w:adjustRightInd w:val="0"/>
        <w:snapToGrid w:val="0"/>
        <w:spacing w:line="360" w:lineRule="auto"/>
        <w:jc w:val="center"/>
        <w:rPr>
          <w:rFonts w:hint="eastAsia" w:ascii="宋体" w:hAnsi="宋体" w:cs="宋体"/>
          <w:b/>
          <w:kern w:val="0"/>
          <w:sz w:val="28"/>
          <w:szCs w:val="28"/>
          <w:highlight w:val="none"/>
        </w:rPr>
      </w:pPr>
    </w:p>
    <w:p w14:paraId="097FEC22">
      <w:pPr>
        <w:autoSpaceDE w:val="0"/>
        <w:autoSpaceDN w:val="0"/>
        <w:adjustRightInd w:val="0"/>
        <w:snapToGrid w:val="0"/>
        <w:spacing w:line="360" w:lineRule="auto"/>
        <w:jc w:val="both"/>
        <w:rPr>
          <w:rFonts w:hint="eastAsia" w:ascii="宋体" w:hAnsi="宋体" w:cs="宋体"/>
          <w:b/>
          <w:kern w:val="0"/>
          <w:sz w:val="28"/>
          <w:szCs w:val="28"/>
          <w:highlight w:val="none"/>
        </w:rPr>
      </w:pPr>
    </w:p>
    <w:p w14:paraId="6CFB0BF4">
      <w:pPr>
        <w:autoSpaceDE w:val="0"/>
        <w:autoSpaceDN w:val="0"/>
        <w:adjustRightInd w:val="0"/>
        <w:snapToGrid w:val="0"/>
        <w:spacing w:line="360" w:lineRule="auto"/>
        <w:jc w:val="center"/>
        <w:rPr>
          <w:rFonts w:hint="eastAsia" w:ascii="宋体" w:hAnsi="宋体" w:cs="宋体"/>
          <w:b/>
          <w:kern w:val="0"/>
          <w:sz w:val="28"/>
          <w:szCs w:val="28"/>
          <w:highlight w:val="none"/>
        </w:rPr>
      </w:pPr>
    </w:p>
    <w:p w14:paraId="0B421E96">
      <w:pPr>
        <w:pStyle w:val="19"/>
        <w:rPr>
          <w:rFonts w:hint="eastAsia" w:ascii="宋体" w:hAnsi="宋体" w:cs="宋体"/>
          <w:b/>
          <w:kern w:val="0"/>
          <w:sz w:val="84"/>
          <w:szCs w:val="44"/>
          <w:highlight w:val="none"/>
        </w:rPr>
      </w:pPr>
    </w:p>
    <w:p w14:paraId="025A5DBA">
      <w:pPr>
        <w:rPr>
          <w:rFonts w:hint="eastAsia"/>
          <w:highlight w:val="none"/>
        </w:rPr>
      </w:pPr>
    </w:p>
    <w:p w14:paraId="03D250FC">
      <w:pPr>
        <w:autoSpaceDE w:val="0"/>
        <w:autoSpaceDN w:val="0"/>
        <w:adjustRightInd w:val="0"/>
        <w:snapToGrid w:val="0"/>
        <w:spacing w:line="360" w:lineRule="auto"/>
        <w:jc w:val="center"/>
        <w:rPr>
          <w:rFonts w:hint="eastAsia" w:ascii="宋体" w:hAnsi="宋体" w:cs="宋体"/>
          <w:b/>
          <w:kern w:val="0"/>
          <w:sz w:val="84"/>
          <w:szCs w:val="44"/>
          <w:highlight w:val="none"/>
        </w:rPr>
      </w:pPr>
      <w:bookmarkStart w:id="542" w:name="_GoBack"/>
      <w:r>
        <w:rPr>
          <w:rFonts w:hint="eastAsia" w:ascii="宋体" w:hAnsi="宋体" w:cs="宋体"/>
          <w:b/>
          <w:kern w:val="0"/>
          <w:sz w:val="84"/>
          <w:szCs w:val="44"/>
          <w:highlight w:val="none"/>
        </w:rPr>
        <w:t>竞争性比选文件</w:t>
      </w:r>
    </w:p>
    <w:bookmarkEnd w:id="542"/>
    <w:p w14:paraId="6B6CA210">
      <w:pPr>
        <w:pStyle w:val="35"/>
        <w:rPr>
          <w:rFonts w:hint="eastAsia" w:ascii="宋体" w:hAnsi="宋体" w:cs="宋体"/>
          <w:highlight w:val="none"/>
        </w:rPr>
      </w:pPr>
    </w:p>
    <w:p w14:paraId="730BDAF2">
      <w:pPr>
        <w:tabs>
          <w:tab w:val="left" w:pos="6219"/>
        </w:tabs>
        <w:spacing w:line="360" w:lineRule="auto"/>
        <w:ind w:firstLine="825" w:firstLineChars="298"/>
        <w:jc w:val="left"/>
        <w:rPr>
          <w:rFonts w:hint="eastAsia" w:ascii="宋体" w:hAnsi="宋体" w:cs="宋体"/>
          <w:b/>
          <w:w w:val="99"/>
          <w:sz w:val="28"/>
          <w:szCs w:val="28"/>
          <w:highlight w:val="none"/>
        </w:rPr>
      </w:pPr>
    </w:p>
    <w:p w14:paraId="6F670169">
      <w:pPr>
        <w:tabs>
          <w:tab w:val="left" w:pos="6219"/>
        </w:tabs>
        <w:spacing w:line="360" w:lineRule="auto"/>
        <w:ind w:firstLine="825" w:firstLineChars="298"/>
        <w:jc w:val="left"/>
        <w:rPr>
          <w:rFonts w:hint="eastAsia" w:ascii="宋体" w:hAnsi="宋体" w:cs="宋体"/>
          <w:b/>
          <w:w w:val="99"/>
          <w:sz w:val="28"/>
          <w:szCs w:val="28"/>
          <w:highlight w:val="none"/>
        </w:rPr>
      </w:pPr>
    </w:p>
    <w:p w14:paraId="4190B42E">
      <w:pPr>
        <w:pStyle w:val="19"/>
        <w:rPr>
          <w:rFonts w:hint="eastAsia" w:ascii="宋体" w:hAnsi="宋体" w:cs="宋体"/>
          <w:b/>
          <w:w w:val="99"/>
          <w:sz w:val="28"/>
          <w:szCs w:val="28"/>
          <w:highlight w:val="none"/>
        </w:rPr>
      </w:pPr>
    </w:p>
    <w:p w14:paraId="028CC8DF">
      <w:pPr>
        <w:rPr>
          <w:rFonts w:hint="eastAsia"/>
          <w:highlight w:val="none"/>
        </w:rPr>
      </w:pPr>
    </w:p>
    <w:p w14:paraId="42BCA7F5">
      <w:pPr>
        <w:rPr>
          <w:rFonts w:hint="eastAsia"/>
          <w:highlight w:val="none"/>
        </w:rPr>
      </w:pPr>
    </w:p>
    <w:p w14:paraId="56D601C8">
      <w:pPr>
        <w:tabs>
          <w:tab w:val="left" w:pos="6219"/>
        </w:tabs>
        <w:spacing w:line="360" w:lineRule="auto"/>
        <w:ind w:firstLine="825" w:firstLineChars="298"/>
        <w:jc w:val="center"/>
        <w:rPr>
          <w:rFonts w:hint="eastAsia" w:ascii="宋体" w:hAnsi="宋体" w:cs="宋体"/>
          <w:b/>
          <w:w w:val="99"/>
          <w:sz w:val="28"/>
          <w:szCs w:val="28"/>
          <w:highlight w:val="none"/>
        </w:rPr>
      </w:pPr>
      <w:r>
        <w:rPr>
          <w:rFonts w:hint="eastAsia" w:ascii="宋体" w:hAnsi="宋体" w:cs="宋体"/>
          <w:b/>
          <w:w w:val="99"/>
          <w:sz w:val="28"/>
          <w:szCs w:val="28"/>
          <w:highlight w:val="none"/>
        </w:rPr>
        <w:t>比选人：</w:t>
      </w:r>
      <w:r>
        <w:rPr>
          <w:rFonts w:hint="eastAsia" w:ascii="宋体" w:hAnsi="宋体" w:cs="宋体"/>
          <w:b/>
          <w:w w:val="99"/>
          <w:sz w:val="28"/>
          <w:szCs w:val="28"/>
          <w:highlight w:val="none"/>
          <w:u w:val="single"/>
          <w:lang w:eastAsia="zh-CN"/>
        </w:rPr>
        <w:t>垫江县小厦建筑有限公司</w:t>
      </w:r>
      <w:r>
        <w:rPr>
          <w:rFonts w:hint="eastAsia" w:ascii="宋体" w:hAnsi="宋体" w:cs="宋体"/>
          <w:b/>
          <w:sz w:val="28"/>
          <w:szCs w:val="28"/>
          <w:highlight w:val="none"/>
        </w:rPr>
        <w:t>(</w:t>
      </w:r>
      <w:r>
        <w:rPr>
          <w:rFonts w:hint="eastAsia" w:ascii="宋体" w:hAnsi="宋体" w:cs="宋体"/>
          <w:b/>
          <w:w w:val="99"/>
          <w:sz w:val="28"/>
          <w:szCs w:val="28"/>
          <w:highlight w:val="none"/>
        </w:rPr>
        <w:t>盖单位法人章</w:t>
      </w:r>
      <w:r>
        <w:rPr>
          <w:rFonts w:hint="eastAsia" w:ascii="宋体" w:hAnsi="宋体" w:cs="宋体"/>
          <w:b/>
          <w:sz w:val="28"/>
          <w:szCs w:val="28"/>
          <w:highlight w:val="none"/>
        </w:rPr>
        <w:t>）</w:t>
      </w:r>
    </w:p>
    <w:p w14:paraId="211F32B4">
      <w:pPr>
        <w:tabs>
          <w:tab w:val="left" w:pos="6219"/>
        </w:tabs>
        <w:spacing w:line="360" w:lineRule="auto"/>
        <w:ind w:firstLine="882" w:firstLineChars="298"/>
        <w:jc w:val="left"/>
        <w:rPr>
          <w:rFonts w:hint="eastAsia" w:ascii="宋体" w:hAnsi="宋体" w:cs="宋体"/>
          <w:b/>
          <w:w w:val="99"/>
          <w:sz w:val="28"/>
          <w:szCs w:val="28"/>
          <w:highlight w:val="none"/>
        </w:rPr>
      </w:pPr>
      <w:r>
        <w:rPr>
          <w:rFonts w:hint="eastAsia" w:ascii="宋体" w:hAnsi="宋体" w:cs="宋体"/>
          <w:b/>
          <w:spacing w:val="8"/>
          <w:sz w:val="28"/>
          <w:szCs w:val="28"/>
          <w:highlight w:val="none"/>
        </w:rPr>
        <w:t>比选代理机构：</w:t>
      </w:r>
      <w:r>
        <w:rPr>
          <w:rFonts w:hint="eastAsia" w:ascii="宋体" w:hAnsi="宋体" w:cs="宋体"/>
          <w:b/>
          <w:sz w:val="28"/>
          <w:szCs w:val="28"/>
          <w:highlight w:val="none"/>
          <w:u w:val="single"/>
          <w:lang w:eastAsia="zh-CN"/>
        </w:rPr>
        <w:t>重庆夔杨工程项目管理咨询有限公司</w:t>
      </w:r>
      <w:r>
        <w:rPr>
          <w:rFonts w:hint="eastAsia" w:ascii="宋体" w:hAnsi="宋体" w:cs="宋体"/>
          <w:b/>
          <w:w w:val="99"/>
          <w:sz w:val="28"/>
          <w:szCs w:val="28"/>
          <w:highlight w:val="none"/>
        </w:rPr>
        <w:t>（盖单位法人章）</w:t>
      </w:r>
    </w:p>
    <w:p w14:paraId="02B20D67">
      <w:pPr>
        <w:widowControl/>
        <w:snapToGrid w:val="0"/>
        <w:spacing w:line="360" w:lineRule="auto"/>
        <w:jc w:val="both"/>
        <w:rPr>
          <w:rFonts w:hint="eastAsia" w:ascii="宋体" w:hAnsi="宋体" w:cs="宋体"/>
          <w:b/>
          <w:w w:val="99"/>
          <w:sz w:val="32"/>
          <w:szCs w:val="32"/>
          <w:highlight w:val="none"/>
        </w:rPr>
      </w:pPr>
    </w:p>
    <w:p w14:paraId="6C03F19B">
      <w:pPr>
        <w:widowControl/>
        <w:snapToGrid w:val="0"/>
        <w:spacing w:line="360" w:lineRule="auto"/>
        <w:jc w:val="center"/>
        <w:rPr>
          <w:rFonts w:hint="eastAsia" w:ascii="宋体" w:hAnsi="宋体" w:cs="宋体"/>
          <w:b/>
          <w:w w:val="99"/>
          <w:sz w:val="32"/>
          <w:szCs w:val="32"/>
          <w:highlight w:val="none"/>
        </w:rPr>
      </w:pPr>
    </w:p>
    <w:p w14:paraId="175E1AFD">
      <w:pPr>
        <w:widowControl/>
        <w:snapToGrid w:val="0"/>
        <w:spacing w:line="360" w:lineRule="auto"/>
        <w:jc w:val="center"/>
        <w:rPr>
          <w:rFonts w:hint="eastAsia" w:ascii="宋体" w:hAnsi="宋体" w:cs="宋体"/>
          <w:b/>
          <w:kern w:val="0"/>
          <w:sz w:val="72"/>
          <w:szCs w:val="72"/>
          <w:highlight w:val="none"/>
        </w:rPr>
      </w:pPr>
      <w:r>
        <w:rPr>
          <w:rFonts w:hint="eastAsia" w:ascii="宋体" w:hAnsi="宋体" w:cs="宋体"/>
          <w:b/>
          <w:w w:val="99"/>
          <w:sz w:val="32"/>
          <w:szCs w:val="32"/>
          <w:highlight w:val="none"/>
          <w:lang w:val="en-US" w:eastAsia="zh-CN"/>
        </w:rPr>
        <w:t>2024</w:t>
      </w:r>
      <w:r>
        <w:rPr>
          <w:rFonts w:hint="eastAsia" w:ascii="宋体" w:hAnsi="宋体" w:cs="宋体"/>
          <w:b/>
          <w:w w:val="99"/>
          <w:sz w:val="32"/>
          <w:szCs w:val="32"/>
          <w:highlight w:val="none"/>
        </w:rPr>
        <w:t>年</w:t>
      </w:r>
      <w:r>
        <w:rPr>
          <w:rFonts w:hint="eastAsia" w:ascii="宋体" w:hAnsi="宋体" w:cs="宋体"/>
          <w:b/>
          <w:w w:val="99"/>
          <w:sz w:val="32"/>
          <w:szCs w:val="32"/>
          <w:highlight w:val="none"/>
          <w:lang w:val="en-US" w:eastAsia="zh-CN"/>
        </w:rPr>
        <w:t>7</w:t>
      </w:r>
      <w:r>
        <w:rPr>
          <w:rFonts w:hint="eastAsia" w:ascii="宋体" w:hAnsi="宋体" w:cs="宋体"/>
          <w:b/>
          <w:w w:val="99"/>
          <w:sz w:val="32"/>
          <w:szCs w:val="32"/>
          <w:highlight w:val="none"/>
        </w:rPr>
        <w:t>月</w:t>
      </w:r>
    </w:p>
    <w:p w14:paraId="0446C789">
      <w:pPr>
        <w:tabs>
          <w:tab w:val="left" w:pos="3200"/>
          <w:tab w:val="left" w:pos="4320"/>
          <w:tab w:val="left" w:pos="5420"/>
        </w:tabs>
        <w:autoSpaceDE w:val="0"/>
        <w:autoSpaceDN w:val="0"/>
        <w:adjustRightInd w:val="0"/>
        <w:spacing w:line="300" w:lineRule="exact"/>
        <w:ind w:right="-20"/>
        <w:jc w:val="center"/>
        <w:rPr>
          <w:rFonts w:hint="eastAsia" w:ascii="宋体" w:hAnsi="宋体" w:cs="宋体"/>
          <w:b/>
          <w:kern w:val="0"/>
          <w:position w:val="-2"/>
          <w:sz w:val="32"/>
          <w:szCs w:val="32"/>
          <w:highlight w:val="none"/>
        </w:rPr>
        <w:sectPr>
          <w:footerReference r:id="rId3" w:type="default"/>
          <w:pgSz w:w="11906" w:h="16838"/>
          <w:pgMar w:top="1440" w:right="1080" w:bottom="1440" w:left="1080" w:header="851" w:footer="992" w:gutter="0"/>
          <w:pgNumType w:start="6"/>
          <w:cols w:space="720" w:num="1"/>
          <w:titlePg/>
          <w:docGrid w:type="linesAndChars" w:linePitch="312" w:charSpace="0"/>
        </w:sectPr>
      </w:pPr>
    </w:p>
    <w:p w14:paraId="3FA5288E">
      <w:pPr>
        <w:tabs>
          <w:tab w:val="left" w:pos="3200"/>
          <w:tab w:val="left" w:pos="4320"/>
          <w:tab w:val="left" w:pos="5420"/>
        </w:tabs>
        <w:autoSpaceDE w:val="0"/>
        <w:autoSpaceDN w:val="0"/>
        <w:adjustRightInd w:val="0"/>
        <w:spacing w:line="300" w:lineRule="exact"/>
        <w:ind w:right="-20"/>
        <w:jc w:val="center"/>
        <w:rPr>
          <w:rFonts w:hint="eastAsia" w:ascii="宋体" w:hAnsi="宋体" w:cs="宋体"/>
          <w:b/>
          <w:kern w:val="0"/>
          <w:position w:val="-2"/>
          <w:sz w:val="32"/>
          <w:szCs w:val="32"/>
          <w:highlight w:val="none"/>
        </w:rPr>
      </w:pPr>
    </w:p>
    <w:p w14:paraId="26E614FB">
      <w:pPr>
        <w:tabs>
          <w:tab w:val="left" w:pos="3200"/>
          <w:tab w:val="left" w:pos="4320"/>
          <w:tab w:val="left" w:pos="5420"/>
        </w:tabs>
        <w:autoSpaceDE w:val="0"/>
        <w:autoSpaceDN w:val="0"/>
        <w:adjustRightInd w:val="0"/>
        <w:spacing w:line="480" w:lineRule="auto"/>
        <w:ind w:right="-20"/>
        <w:jc w:val="center"/>
        <w:rPr>
          <w:rFonts w:hint="eastAsia" w:ascii="宋体" w:hAnsi="宋体" w:cs="宋体"/>
          <w:b/>
          <w:spacing w:val="1"/>
          <w:kern w:val="0"/>
          <w:position w:val="-2"/>
          <w:sz w:val="32"/>
          <w:szCs w:val="32"/>
          <w:highlight w:val="none"/>
        </w:rPr>
      </w:pPr>
      <w:r>
        <w:rPr>
          <w:rFonts w:hint="eastAsia" w:ascii="宋体" w:hAnsi="宋体" w:cs="宋体"/>
          <w:b/>
          <w:kern w:val="0"/>
          <w:position w:val="-2"/>
          <w:sz w:val="32"/>
          <w:szCs w:val="32"/>
          <w:highlight w:val="none"/>
        </w:rPr>
        <w:t xml:space="preserve">目   </w:t>
      </w:r>
      <w:r>
        <w:rPr>
          <w:rFonts w:hint="eastAsia" w:ascii="宋体" w:hAnsi="宋体" w:cs="宋体"/>
          <w:b/>
          <w:spacing w:val="1"/>
          <w:kern w:val="0"/>
          <w:position w:val="-2"/>
          <w:sz w:val="32"/>
          <w:szCs w:val="32"/>
          <w:highlight w:val="none"/>
        </w:rPr>
        <w:t>录</w:t>
      </w:r>
    </w:p>
    <w:p w14:paraId="28440B91">
      <w:pPr>
        <w:pStyle w:val="35"/>
        <w:tabs>
          <w:tab w:val="right" w:leader="dot" w:pos="9746"/>
        </w:tabs>
        <w:spacing w:line="480" w:lineRule="auto"/>
        <w:rPr>
          <w:highlight w:val="none"/>
        </w:rPr>
      </w:pPr>
      <w:bookmarkStart w:id="0" w:name="_Toc7645"/>
      <w:bookmarkStart w:id="1" w:name="_Toc199124756"/>
      <w:r>
        <w:rPr>
          <w:rFonts w:hint="eastAsia" w:ascii="宋体" w:hAnsi="宋体" w:cs="宋体"/>
          <w:highlight w:val="none"/>
        </w:rPr>
        <w:fldChar w:fldCharType="begin"/>
      </w:r>
      <w:r>
        <w:rPr>
          <w:rFonts w:hint="eastAsia" w:ascii="宋体" w:hAnsi="宋体" w:cs="宋体"/>
          <w:highlight w:val="none"/>
        </w:rPr>
        <w:instrText xml:space="preserve">TOC \o "1-1" \h \u </w:instrText>
      </w:r>
      <w:r>
        <w:rPr>
          <w:rFonts w:hint="eastAsia" w:ascii="宋体" w:hAnsi="宋体" w:cs="宋体"/>
          <w:highlight w:val="none"/>
        </w:rPr>
        <w:fldChar w:fldCharType="separate"/>
      </w:r>
      <w:r>
        <w:rPr>
          <w:rFonts w:hint="eastAsia" w:ascii="宋体" w:hAnsi="宋体" w:cs="宋体"/>
          <w:highlight w:val="none"/>
        </w:rPr>
        <w:fldChar w:fldCharType="begin"/>
      </w:r>
      <w:r>
        <w:rPr>
          <w:rFonts w:hint="eastAsia" w:ascii="宋体" w:hAnsi="宋体" w:cs="宋体"/>
          <w:highlight w:val="none"/>
        </w:rPr>
        <w:instrText xml:space="preserve"> HYPERLINK \l _Toc31760 </w:instrText>
      </w:r>
      <w:r>
        <w:rPr>
          <w:rFonts w:hint="eastAsia" w:ascii="宋体" w:hAnsi="宋体" w:cs="宋体"/>
          <w:highlight w:val="none"/>
        </w:rPr>
        <w:fldChar w:fldCharType="separate"/>
      </w:r>
      <w:r>
        <w:rPr>
          <w:rFonts w:hint="eastAsia" w:ascii="宋体" w:hAnsi="宋体" w:cs="宋体"/>
          <w:kern w:val="0"/>
          <w:szCs w:val="32"/>
          <w:highlight w:val="none"/>
        </w:rPr>
        <w:t>第一章  竞争性比选公告</w:t>
      </w:r>
      <w:r>
        <w:rPr>
          <w:highlight w:val="none"/>
        </w:rPr>
        <w:tab/>
      </w:r>
      <w:r>
        <w:rPr>
          <w:highlight w:val="none"/>
        </w:rPr>
        <w:fldChar w:fldCharType="begin"/>
      </w:r>
      <w:r>
        <w:rPr>
          <w:highlight w:val="none"/>
        </w:rPr>
        <w:instrText xml:space="preserve"> PAGEREF _Toc31760 \h </w:instrText>
      </w:r>
      <w:r>
        <w:rPr>
          <w:highlight w:val="none"/>
        </w:rPr>
        <w:fldChar w:fldCharType="separate"/>
      </w:r>
      <w:r>
        <w:rPr>
          <w:highlight w:val="none"/>
        </w:rPr>
        <w:t>1</w:t>
      </w:r>
      <w:r>
        <w:rPr>
          <w:highlight w:val="none"/>
        </w:rPr>
        <w:fldChar w:fldCharType="end"/>
      </w:r>
      <w:r>
        <w:rPr>
          <w:rFonts w:hint="eastAsia" w:ascii="宋体" w:hAnsi="宋体" w:cs="宋体"/>
          <w:highlight w:val="none"/>
        </w:rPr>
        <w:fldChar w:fldCharType="end"/>
      </w:r>
    </w:p>
    <w:p w14:paraId="663567C2">
      <w:pPr>
        <w:pStyle w:val="35"/>
        <w:tabs>
          <w:tab w:val="right" w:leader="dot" w:pos="9746"/>
        </w:tabs>
        <w:spacing w:line="480" w:lineRule="auto"/>
        <w:rPr>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_Toc18399 </w:instrText>
      </w:r>
      <w:r>
        <w:rPr>
          <w:rFonts w:hint="eastAsia" w:ascii="宋体" w:hAnsi="宋体" w:cs="宋体"/>
          <w:highlight w:val="none"/>
        </w:rPr>
        <w:fldChar w:fldCharType="separate"/>
      </w:r>
      <w:r>
        <w:rPr>
          <w:rFonts w:hint="eastAsia" w:ascii="宋体" w:hAnsi="宋体" w:cs="宋体"/>
          <w:kern w:val="0"/>
          <w:szCs w:val="32"/>
          <w:highlight w:val="none"/>
        </w:rPr>
        <w:t>第二章  比选申请人须知</w:t>
      </w:r>
      <w:r>
        <w:rPr>
          <w:highlight w:val="none"/>
        </w:rPr>
        <w:tab/>
      </w:r>
      <w:r>
        <w:rPr>
          <w:highlight w:val="none"/>
        </w:rPr>
        <w:fldChar w:fldCharType="begin"/>
      </w:r>
      <w:r>
        <w:rPr>
          <w:highlight w:val="none"/>
        </w:rPr>
        <w:instrText xml:space="preserve"> PAGEREF _Toc18399 \h </w:instrText>
      </w:r>
      <w:r>
        <w:rPr>
          <w:highlight w:val="none"/>
        </w:rPr>
        <w:fldChar w:fldCharType="separate"/>
      </w:r>
      <w:r>
        <w:rPr>
          <w:highlight w:val="none"/>
        </w:rPr>
        <w:t>3</w:t>
      </w:r>
      <w:r>
        <w:rPr>
          <w:highlight w:val="none"/>
        </w:rPr>
        <w:fldChar w:fldCharType="end"/>
      </w:r>
      <w:r>
        <w:rPr>
          <w:rFonts w:hint="eastAsia" w:ascii="宋体" w:hAnsi="宋体" w:cs="宋体"/>
          <w:highlight w:val="none"/>
        </w:rPr>
        <w:fldChar w:fldCharType="end"/>
      </w:r>
    </w:p>
    <w:p w14:paraId="0C3941D0">
      <w:pPr>
        <w:pStyle w:val="35"/>
        <w:tabs>
          <w:tab w:val="right" w:leader="dot" w:pos="9746"/>
        </w:tabs>
        <w:spacing w:line="480" w:lineRule="auto"/>
        <w:rPr>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_Toc27886 </w:instrText>
      </w:r>
      <w:r>
        <w:rPr>
          <w:rFonts w:hint="eastAsia" w:ascii="宋体" w:hAnsi="宋体" w:cs="宋体"/>
          <w:highlight w:val="none"/>
        </w:rPr>
        <w:fldChar w:fldCharType="separate"/>
      </w:r>
      <w:r>
        <w:rPr>
          <w:rFonts w:hint="eastAsia" w:ascii="宋体" w:hAnsi="宋体" w:cs="宋体"/>
          <w:highlight w:val="none"/>
        </w:rPr>
        <w:t xml:space="preserve">第三章 </w:t>
      </w:r>
      <w:r>
        <w:rPr>
          <w:rFonts w:hint="eastAsia" w:ascii="宋体" w:hAnsi="宋体" w:cs="宋体"/>
          <w:highlight w:val="none"/>
          <w:lang w:val="en-US" w:eastAsia="zh-CN"/>
        </w:rPr>
        <w:t xml:space="preserve"> </w:t>
      </w:r>
      <w:r>
        <w:rPr>
          <w:rFonts w:hint="eastAsia" w:ascii="宋体" w:hAnsi="宋体" w:cs="宋体"/>
          <w:highlight w:val="none"/>
        </w:rPr>
        <w:t>评标办法(</w:t>
      </w:r>
      <w:r>
        <w:rPr>
          <w:rFonts w:hint="eastAsia" w:ascii="宋体" w:hAnsi="宋体"/>
          <w:snapToGrid w:val="0"/>
          <w:kern w:val="0"/>
          <w:highlight w:val="none"/>
        </w:rPr>
        <w:t>经评审的最低投标价法</w:t>
      </w:r>
      <w:r>
        <w:rPr>
          <w:rFonts w:hint="eastAsia" w:ascii="宋体" w:hAnsi="宋体" w:cs="宋体"/>
          <w:highlight w:val="none"/>
        </w:rPr>
        <w:t>)</w:t>
      </w:r>
      <w:r>
        <w:rPr>
          <w:highlight w:val="none"/>
        </w:rPr>
        <w:tab/>
      </w:r>
      <w:r>
        <w:rPr>
          <w:highlight w:val="none"/>
        </w:rPr>
        <w:fldChar w:fldCharType="begin"/>
      </w:r>
      <w:r>
        <w:rPr>
          <w:highlight w:val="none"/>
        </w:rPr>
        <w:instrText xml:space="preserve"> PAGEREF _Toc27886 \h </w:instrText>
      </w:r>
      <w:r>
        <w:rPr>
          <w:highlight w:val="none"/>
        </w:rPr>
        <w:fldChar w:fldCharType="separate"/>
      </w:r>
      <w:r>
        <w:rPr>
          <w:highlight w:val="none"/>
        </w:rPr>
        <w:t>24</w:t>
      </w:r>
      <w:r>
        <w:rPr>
          <w:highlight w:val="none"/>
        </w:rPr>
        <w:fldChar w:fldCharType="end"/>
      </w:r>
      <w:r>
        <w:rPr>
          <w:rFonts w:hint="eastAsia" w:ascii="宋体" w:hAnsi="宋体" w:cs="宋体"/>
          <w:highlight w:val="none"/>
        </w:rPr>
        <w:fldChar w:fldCharType="end"/>
      </w:r>
    </w:p>
    <w:p w14:paraId="335854E4">
      <w:pPr>
        <w:pStyle w:val="35"/>
        <w:tabs>
          <w:tab w:val="right" w:leader="dot" w:pos="9746"/>
        </w:tabs>
        <w:spacing w:line="480" w:lineRule="auto"/>
        <w:rPr>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_Toc10177 </w:instrText>
      </w:r>
      <w:r>
        <w:rPr>
          <w:rFonts w:hint="eastAsia" w:ascii="宋体" w:hAnsi="宋体" w:cs="宋体"/>
          <w:highlight w:val="none"/>
        </w:rPr>
        <w:fldChar w:fldCharType="separate"/>
      </w:r>
      <w:r>
        <w:rPr>
          <w:rFonts w:hint="eastAsia" w:ascii="宋体" w:hAnsi="宋体" w:cs="宋体"/>
          <w:kern w:val="0"/>
          <w:highlight w:val="none"/>
        </w:rPr>
        <w:t>第四章</w:t>
      </w:r>
      <w:r>
        <w:rPr>
          <w:rFonts w:hint="eastAsia" w:ascii="宋体" w:hAnsi="宋体" w:cs="宋体"/>
          <w:kern w:val="0"/>
          <w:highlight w:val="none"/>
          <w:lang w:val="en-US" w:eastAsia="zh-CN"/>
        </w:rPr>
        <w:t xml:space="preserve">  </w:t>
      </w:r>
      <w:r>
        <w:rPr>
          <w:rFonts w:hint="eastAsia" w:ascii="宋体" w:hAnsi="宋体" w:cs="宋体"/>
          <w:kern w:val="0"/>
          <w:highlight w:val="none"/>
        </w:rPr>
        <w:t>合同条款及格式</w:t>
      </w:r>
      <w:r>
        <w:rPr>
          <w:highlight w:val="none"/>
        </w:rPr>
        <w:tab/>
      </w:r>
      <w:r>
        <w:rPr>
          <w:highlight w:val="none"/>
        </w:rPr>
        <w:fldChar w:fldCharType="begin"/>
      </w:r>
      <w:r>
        <w:rPr>
          <w:highlight w:val="none"/>
        </w:rPr>
        <w:instrText xml:space="preserve"> PAGEREF _Toc10177 \h </w:instrText>
      </w:r>
      <w:r>
        <w:rPr>
          <w:highlight w:val="none"/>
        </w:rPr>
        <w:fldChar w:fldCharType="separate"/>
      </w:r>
      <w:r>
        <w:rPr>
          <w:highlight w:val="none"/>
        </w:rPr>
        <w:t>31</w:t>
      </w:r>
      <w:r>
        <w:rPr>
          <w:highlight w:val="none"/>
        </w:rPr>
        <w:fldChar w:fldCharType="end"/>
      </w:r>
      <w:r>
        <w:rPr>
          <w:rFonts w:hint="eastAsia" w:ascii="宋体" w:hAnsi="宋体" w:cs="宋体"/>
          <w:highlight w:val="none"/>
        </w:rPr>
        <w:fldChar w:fldCharType="end"/>
      </w:r>
    </w:p>
    <w:p w14:paraId="04E81AB8">
      <w:pPr>
        <w:pStyle w:val="35"/>
        <w:tabs>
          <w:tab w:val="right" w:leader="dot" w:pos="9746"/>
        </w:tabs>
        <w:spacing w:line="480" w:lineRule="auto"/>
        <w:rPr>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_Toc28402 </w:instrText>
      </w:r>
      <w:r>
        <w:rPr>
          <w:rFonts w:hint="eastAsia" w:ascii="宋体" w:hAnsi="宋体" w:cs="宋体"/>
          <w:highlight w:val="none"/>
        </w:rPr>
        <w:fldChar w:fldCharType="separate"/>
      </w:r>
      <w:r>
        <w:rPr>
          <w:rFonts w:hint="eastAsia" w:ascii="宋体" w:hAnsi="宋体" w:cs="宋体"/>
          <w:kern w:val="0"/>
          <w:szCs w:val="30"/>
          <w:highlight w:val="none"/>
        </w:rPr>
        <w:t>第五章  工程量清单</w:t>
      </w:r>
      <w:r>
        <w:rPr>
          <w:highlight w:val="none"/>
        </w:rPr>
        <w:tab/>
      </w:r>
      <w:r>
        <w:rPr>
          <w:highlight w:val="none"/>
        </w:rPr>
        <w:fldChar w:fldCharType="begin"/>
      </w:r>
      <w:r>
        <w:rPr>
          <w:highlight w:val="none"/>
        </w:rPr>
        <w:instrText xml:space="preserve"> PAGEREF _Toc28402 \h </w:instrText>
      </w:r>
      <w:r>
        <w:rPr>
          <w:highlight w:val="none"/>
        </w:rPr>
        <w:fldChar w:fldCharType="separate"/>
      </w:r>
      <w:r>
        <w:rPr>
          <w:highlight w:val="none"/>
        </w:rPr>
        <w:t>42</w:t>
      </w:r>
      <w:r>
        <w:rPr>
          <w:highlight w:val="none"/>
        </w:rPr>
        <w:fldChar w:fldCharType="end"/>
      </w:r>
      <w:r>
        <w:rPr>
          <w:rFonts w:hint="eastAsia" w:ascii="宋体" w:hAnsi="宋体" w:cs="宋体"/>
          <w:highlight w:val="none"/>
        </w:rPr>
        <w:fldChar w:fldCharType="end"/>
      </w:r>
    </w:p>
    <w:p w14:paraId="619D56FA">
      <w:pPr>
        <w:pStyle w:val="35"/>
        <w:tabs>
          <w:tab w:val="right" w:leader="dot" w:pos="9746"/>
        </w:tabs>
        <w:spacing w:line="480" w:lineRule="auto"/>
        <w:rPr>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_Toc4432 </w:instrText>
      </w:r>
      <w:r>
        <w:rPr>
          <w:rFonts w:hint="eastAsia" w:ascii="宋体" w:hAnsi="宋体" w:cs="宋体"/>
          <w:highlight w:val="none"/>
        </w:rPr>
        <w:fldChar w:fldCharType="separate"/>
      </w:r>
      <w:r>
        <w:rPr>
          <w:rFonts w:hint="eastAsia" w:ascii="宋体" w:hAnsi="宋体" w:cs="宋体"/>
          <w:kern w:val="0"/>
          <w:szCs w:val="30"/>
          <w:highlight w:val="none"/>
        </w:rPr>
        <w:t>第六章  图纸</w:t>
      </w:r>
      <w:r>
        <w:rPr>
          <w:highlight w:val="none"/>
        </w:rPr>
        <w:tab/>
      </w:r>
      <w:r>
        <w:rPr>
          <w:highlight w:val="none"/>
        </w:rPr>
        <w:fldChar w:fldCharType="begin"/>
      </w:r>
      <w:r>
        <w:rPr>
          <w:highlight w:val="none"/>
        </w:rPr>
        <w:instrText xml:space="preserve"> PAGEREF _Toc4432 \h </w:instrText>
      </w:r>
      <w:r>
        <w:rPr>
          <w:highlight w:val="none"/>
        </w:rPr>
        <w:fldChar w:fldCharType="separate"/>
      </w:r>
      <w:r>
        <w:rPr>
          <w:highlight w:val="none"/>
        </w:rPr>
        <w:t>43</w:t>
      </w:r>
      <w:r>
        <w:rPr>
          <w:highlight w:val="none"/>
        </w:rPr>
        <w:fldChar w:fldCharType="end"/>
      </w:r>
      <w:r>
        <w:rPr>
          <w:rFonts w:hint="eastAsia" w:ascii="宋体" w:hAnsi="宋体" w:cs="宋体"/>
          <w:highlight w:val="none"/>
        </w:rPr>
        <w:fldChar w:fldCharType="end"/>
      </w:r>
    </w:p>
    <w:p w14:paraId="1D8CA7CC">
      <w:pPr>
        <w:pStyle w:val="35"/>
        <w:tabs>
          <w:tab w:val="right" w:leader="dot" w:pos="9746"/>
        </w:tabs>
        <w:spacing w:line="480" w:lineRule="auto"/>
        <w:rPr>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_Toc26008 </w:instrText>
      </w:r>
      <w:r>
        <w:rPr>
          <w:rFonts w:hint="eastAsia" w:ascii="宋体" w:hAnsi="宋体" w:cs="宋体"/>
          <w:highlight w:val="none"/>
        </w:rPr>
        <w:fldChar w:fldCharType="separate"/>
      </w:r>
      <w:r>
        <w:rPr>
          <w:rFonts w:hint="eastAsia" w:ascii="宋体" w:hAnsi="宋体" w:cs="宋体"/>
          <w:kern w:val="0"/>
          <w:szCs w:val="30"/>
          <w:highlight w:val="none"/>
        </w:rPr>
        <w:t>第七章</w:t>
      </w:r>
      <w:r>
        <w:rPr>
          <w:rFonts w:hint="eastAsia" w:ascii="宋体" w:hAnsi="宋体" w:cs="宋体"/>
          <w:kern w:val="0"/>
          <w:szCs w:val="30"/>
          <w:highlight w:val="none"/>
          <w:lang w:val="en-US" w:eastAsia="zh-CN"/>
        </w:rPr>
        <w:t xml:space="preserve"> </w:t>
      </w:r>
      <w:r>
        <w:rPr>
          <w:rFonts w:hint="eastAsia" w:ascii="宋体" w:hAnsi="宋体" w:cs="宋体"/>
          <w:kern w:val="0"/>
          <w:szCs w:val="30"/>
          <w:highlight w:val="none"/>
        </w:rPr>
        <w:t xml:space="preserve"> 技术标准和要求</w:t>
      </w:r>
      <w:r>
        <w:rPr>
          <w:highlight w:val="none"/>
        </w:rPr>
        <w:tab/>
      </w:r>
      <w:r>
        <w:rPr>
          <w:highlight w:val="none"/>
        </w:rPr>
        <w:fldChar w:fldCharType="begin"/>
      </w:r>
      <w:r>
        <w:rPr>
          <w:highlight w:val="none"/>
        </w:rPr>
        <w:instrText xml:space="preserve"> PAGEREF _Toc26008 \h </w:instrText>
      </w:r>
      <w:r>
        <w:rPr>
          <w:highlight w:val="none"/>
        </w:rPr>
        <w:fldChar w:fldCharType="separate"/>
      </w:r>
      <w:r>
        <w:rPr>
          <w:highlight w:val="none"/>
        </w:rPr>
        <w:t>44</w:t>
      </w:r>
      <w:r>
        <w:rPr>
          <w:highlight w:val="none"/>
        </w:rPr>
        <w:fldChar w:fldCharType="end"/>
      </w:r>
      <w:r>
        <w:rPr>
          <w:rFonts w:hint="eastAsia" w:ascii="宋体" w:hAnsi="宋体" w:cs="宋体"/>
          <w:highlight w:val="none"/>
        </w:rPr>
        <w:fldChar w:fldCharType="end"/>
      </w:r>
    </w:p>
    <w:p w14:paraId="07AF7542">
      <w:pPr>
        <w:pStyle w:val="35"/>
        <w:tabs>
          <w:tab w:val="right" w:leader="dot" w:pos="9746"/>
        </w:tabs>
        <w:spacing w:line="480" w:lineRule="auto"/>
        <w:rPr>
          <w:highlight w:val="none"/>
        </w:rPr>
      </w:pPr>
      <w:r>
        <w:rPr>
          <w:rFonts w:hint="eastAsia" w:ascii="宋体" w:hAnsi="宋体" w:cs="宋体"/>
          <w:highlight w:val="none"/>
        </w:rPr>
        <w:fldChar w:fldCharType="begin"/>
      </w:r>
      <w:r>
        <w:rPr>
          <w:rFonts w:hint="eastAsia" w:ascii="宋体" w:hAnsi="宋体" w:cs="宋体"/>
          <w:highlight w:val="none"/>
        </w:rPr>
        <w:instrText xml:space="preserve"> HYPERLINK \l _Toc3336 </w:instrText>
      </w:r>
      <w:r>
        <w:rPr>
          <w:rFonts w:hint="eastAsia" w:ascii="宋体" w:hAnsi="宋体" w:cs="宋体"/>
          <w:highlight w:val="none"/>
        </w:rPr>
        <w:fldChar w:fldCharType="separate"/>
      </w:r>
      <w:r>
        <w:rPr>
          <w:rFonts w:hint="eastAsia" w:ascii="宋体" w:hAnsi="宋体" w:cs="宋体"/>
          <w:kern w:val="0"/>
          <w:szCs w:val="30"/>
          <w:highlight w:val="none"/>
        </w:rPr>
        <w:t>第八章  比选申请文件格式</w:t>
      </w:r>
      <w:r>
        <w:rPr>
          <w:highlight w:val="none"/>
        </w:rPr>
        <w:tab/>
      </w:r>
      <w:r>
        <w:rPr>
          <w:highlight w:val="none"/>
        </w:rPr>
        <w:fldChar w:fldCharType="begin"/>
      </w:r>
      <w:r>
        <w:rPr>
          <w:highlight w:val="none"/>
        </w:rPr>
        <w:instrText xml:space="preserve"> PAGEREF _Toc3336 \h </w:instrText>
      </w:r>
      <w:r>
        <w:rPr>
          <w:highlight w:val="none"/>
        </w:rPr>
        <w:fldChar w:fldCharType="separate"/>
      </w:r>
      <w:r>
        <w:rPr>
          <w:highlight w:val="none"/>
        </w:rPr>
        <w:t>45</w:t>
      </w:r>
      <w:r>
        <w:rPr>
          <w:highlight w:val="none"/>
        </w:rPr>
        <w:fldChar w:fldCharType="end"/>
      </w:r>
      <w:r>
        <w:rPr>
          <w:rFonts w:hint="eastAsia" w:ascii="宋体" w:hAnsi="宋体" w:cs="宋体"/>
          <w:highlight w:val="none"/>
        </w:rPr>
        <w:fldChar w:fldCharType="end"/>
      </w:r>
    </w:p>
    <w:p w14:paraId="6AE7C358">
      <w:pPr>
        <w:pStyle w:val="35"/>
        <w:tabs>
          <w:tab w:val="right" w:leader="dot" w:pos="9746"/>
        </w:tabs>
        <w:spacing w:line="480" w:lineRule="auto"/>
        <w:rPr>
          <w:highlight w:val="none"/>
        </w:rPr>
      </w:pPr>
    </w:p>
    <w:p w14:paraId="493A7934">
      <w:pPr>
        <w:spacing w:line="480" w:lineRule="auto"/>
        <w:rPr>
          <w:rFonts w:hint="eastAsia" w:ascii="宋体" w:hAnsi="宋体" w:cs="宋体"/>
          <w:highlight w:val="none"/>
        </w:rPr>
      </w:pPr>
      <w:r>
        <w:rPr>
          <w:rFonts w:hint="eastAsia" w:ascii="宋体" w:hAnsi="宋体" w:cs="宋体"/>
          <w:highlight w:val="none"/>
        </w:rPr>
        <w:fldChar w:fldCharType="end"/>
      </w:r>
    </w:p>
    <w:p w14:paraId="2FEDFFC9">
      <w:pPr>
        <w:spacing w:line="360" w:lineRule="auto"/>
        <w:rPr>
          <w:rFonts w:hint="eastAsia" w:ascii="宋体" w:hAnsi="宋体" w:cs="宋体"/>
          <w:kern w:val="0"/>
          <w:sz w:val="32"/>
          <w:szCs w:val="32"/>
          <w:highlight w:val="none"/>
        </w:rPr>
      </w:pPr>
    </w:p>
    <w:p w14:paraId="058EB95A">
      <w:pPr>
        <w:rPr>
          <w:rFonts w:hint="eastAsia" w:ascii="宋体" w:hAnsi="宋体" w:cs="宋体"/>
          <w:kern w:val="0"/>
          <w:sz w:val="32"/>
          <w:szCs w:val="32"/>
          <w:highlight w:val="none"/>
        </w:rPr>
      </w:pPr>
    </w:p>
    <w:p w14:paraId="53E8D70C">
      <w:pPr>
        <w:pStyle w:val="4"/>
        <w:numPr>
          <w:ilvl w:val="0"/>
          <w:numId w:val="0"/>
        </w:numPr>
        <w:rPr>
          <w:rFonts w:hint="eastAsia" w:ascii="宋体" w:hAnsi="宋体" w:eastAsia="宋体" w:cs="宋体"/>
          <w:highlight w:val="none"/>
        </w:rPr>
      </w:pPr>
    </w:p>
    <w:p w14:paraId="07A19D4A">
      <w:pPr>
        <w:rPr>
          <w:rFonts w:hint="eastAsia" w:ascii="宋体" w:hAnsi="宋体" w:cs="宋体"/>
          <w:highlight w:val="none"/>
        </w:rPr>
      </w:pPr>
    </w:p>
    <w:p w14:paraId="0166AC71">
      <w:pPr>
        <w:pStyle w:val="2"/>
        <w:spacing w:before="120" w:after="120"/>
        <w:jc w:val="center"/>
        <w:rPr>
          <w:rFonts w:hint="eastAsia" w:ascii="宋体" w:hAnsi="宋体" w:cs="宋体"/>
          <w:kern w:val="0"/>
          <w:sz w:val="32"/>
          <w:szCs w:val="32"/>
          <w:highlight w:val="none"/>
        </w:rPr>
      </w:pPr>
    </w:p>
    <w:p w14:paraId="19DEA4BF">
      <w:pPr>
        <w:pStyle w:val="2"/>
        <w:spacing w:before="120" w:after="120"/>
        <w:jc w:val="center"/>
        <w:rPr>
          <w:rFonts w:hint="eastAsia" w:ascii="宋体" w:hAnsi="宋体" w:cs="宋体"/>
          <w:kern w:val="0"/>
          <w:sz w:val="32"/>
          <w:szCs w:val="32"/>
          <w:highlight w:val="none"/>
        </w:rPr>
      </w:pPr>
    </w:p>
    <w:p w14:paraId="7179569D">
      <w:pPr>
        <w:pStyle w:val="2"/>
        <w:spacing w:before="120" w:after="120"/>
        <w:jc w:val="center"/>
        <w:rPr>
          <w:rFonts w:hint="eastAsia" w:ascii="宋体" w:hAnsi="宋体" w:cs="宋体"/>
          <w:kern w:val="0"/>
          <w:sz w:val="32"/>
          <w:szCs w:val="32"/>
          <w:highlight w:val="none"/>
        </w:rPr>
      </w:pPr>
    </w:p>
    <w:p w14:paraId="3064172E">
      <w:pPr>
        <w:rPr>
          <w:rFonts w:hint="eastAsia" w:ascii="宋体" w:hAnsi="宋体" w:cs="宋体"/>
          <w:kern w:val="0"/>
          <w:sz w:val="32"/>
          <w:szCs w:val="32"/>
          <w:highlight w:val="none"/>
        </w:rPr>
      </w:pPr>
    </w:p>
    <w:p w14:paraId="6EC9D46A">
      <w:pPr>
        <w:pStyle w:val="4"/>
        <w:numPr>
          <w:ilvl w:val="0"/>
          <w:numId w:val="0"/>
        </w:numPr>
        <w:rPr>
          <w:rFonts w:hint="eastAsia" w:ascii="宋体" w:hAnsi="宋体" w:eastAsia="宋体" w:cs="宋体"/>
          <w:highlight w:val="none"/>
        </w:rPr>
      </w:pPr>
    </w:p>
    <w:p w14:paraId="33FDB10B">
      <w:pPr>
        <w:rPr>
          <w:rFonts w:hint="eastAsia" w:ascii="宋体" w:hAnsi="宋体" w:cs="宋体"/>
          <w:highlight w:val="none"/>
        </w:rPr>
      </w:pPr>
    </w:p>
    <w:p w14:paraId="249BEEC5">
      <w:pPr>
        <w:pStyle w:val="2"/>
        <w:spacing w:before="120" w:after="120"/>
        <w:jc w:val="center"/>
        <w:rPr>
          <w:rFonts w:hint="eastAsia" w:ascii="宋体" w:hAnsi="宋体" w:cs="宋体"/>
          <w:color w:val="auto"/>
          <w:kern w:val="0"/>
          <w:sz w:val="32"/>
          <w:szCs w:val="32"/>
          <w:highlight w:val="none"/>
        </w:rPr>
        <w:sectPr>
          <w:footerReference r:id="rId5" w:type="first"/>
          <w:footerReference r:id="rId4" w:type="default"/>
          <w:pgSz w:w="11906" w:h="16838"/>
          <w:pgMar w:top="1440" w:right="1080" w:bottom="1440" w:left="1080" w:header="851" w:footer="992" w:gutter="0"/>
          <w:pgNumType w:start="1"/>
          <w:cols w:space="720" w:num="1"/>
          <w:titlePg/>
          <w:docGrid w:type="linesAndChars" w:linePitch="312" w:charSpace="0"/>
        </w:sectPr>
      </w:pPr>
    </w:p>
    <w:p w14:paraId="5BD43E6F">
      <w:pPr>
        <w:pStyle w:val="2"/>
        <w:spacing w:before="120" w:after="120"/>
        <w:jc w:val="center"/>
        <w:rPr>
          <w:rFonts w:hint="eastAsia" w:ascii="宋体" w:hAnsi="宋体" w:cs="宋体"/>
          <w:color w:val="auto"/>
          <w:kern w:val="0"/>
          <w:sz w:val="32"/>
          <w:szCs w:val="32"/>
          <w:highlight w:val="none"/>
        </w:rPr>
      </w:pPr>
      <w:bookmarkStart w:id="2" w:name="_Toc31760"/>
      <w:r>
        <w:rPr>
          <w:rFonts w:hint="eastAsia" w:ascii="宋体" w:hAnsi="宋体" w:cs="宋体"/>
          <w:color w:val="auto"/>
          <w:kern w:val="0"/>
          <w:sz w:val="32"/>
          <w:szCs w:val="32"/>
          <w:highlight w:val="none"/>
        </w:rPr>
        <w:t>第一章  竞争性比选公告</w:t>
      </w:r>
      <w:bookmarkEnd w:id="0"/>
      <w:bookmarkEnd w:id="2"/>
    </w:p>
    <w:p w14:paraId="18854255">
      <w:pPr>
        <w:pStyle w:val="43"/>
        <w:spacing w:line="360" w:lineRule="exact"/>
        <w:jc w:val="center"/>
        <w:rPr>
          <w:rFonts w:hint="eastAsia" w:ascii="宋体" w:hAnsi="宋体" w:eastAsia="宋体" w:cs="宋体"/>
          <w:b/>
          <w:i w:val="0"/>
          <w:iCs w:val="0"/>
          <w:color w:val="auto"/>
          <w:sz w:val="28"/>
          <w:szCs w:val="28"/>
          <w:highlight w:val="none"/>
          <w:lang w:eastAsia="zh-CN"/>
        </w:rPr>
      </w:pPr>
      <w:r>
        <w:rPr>
          <w:rFonts w:hint="eastAsia" w:ascii="宋体" w:hAnsi="宋体" w:cs="宋体"/>
          <w:b/>
          <w:i w:val="0"/>
          <w:iCs w:val="0"/>
          <w:color w:val="auto"/>
          <w:sz w:val="28"/>
          <w:szCs w:val="28"/>
          <w:highlight w:val="none"/>
          <w:lang w:eastAsia="zh-CN"/>
        </w:rPr>
        <w:t>国网垫江供电公司职工服务中心空调采购及智能化专业分包</w:t>
      </w:r>
      <w:r>
        <w:rPr>
          <w:rFonts w:hint="eastAsia" w:ascii="宋体" w:hAnsi="宋体" w:eastAsia="宋体" w:cs="宋体"/>
          <w:b/>
          <w:i w:val="0"/>
          <w:iCs w:val="0"/>
          <w:color w:val="auto"/>
          <w:sz w:val="28"/>
          <w:szCs w:val="28"/>
          <w:highlight w:val="none"/>
          <w:lang w:eastAsia="zh-CN"/>
        </w:rPr>
        <w:t xml:space="preserve"> </w:t>
      </w:r>
    </w:p>
    <w:p w14:paraId="0A4B2668">
      <w:pPr>
        <w:pStyle w:val="43"/>
        <w:spacing w:line="360" w:lineRule="exact"/>
        <w:jc w:val="center"/>
        <w:rPr>
          <w:rFonts w:hint="eastAsia" w:ascii="宋体" w:hAnsi="宋体" w:cs="宋体"/>
          <w:b/>
          <w:i w:val="0"/>
          <w:color w:val="auto"/>
          <w:sz w:val="28"/>
          <w:szCs w:val="28"/>
          <w:highlight w:val="none"/>
        </w:rPr>
      </w:pPr>
      <w:r>
        <w:rPr>
          <w:rFonts w:hint="eastAsia" w:ascii="宋体" w:hAnsi="宋体" w:cs="宋体"/>
          <w:b/>
          <w:i w:val="0"/>
          <w:color w:val="auto"/>
          <w:sz w:val="28"/>
          <w:szCs w:val="28"/>
          <w:highlight w:val="none"/>
        </w:rPr>
        <w:t>竞争性比选公告</w:t>
      </w:r>
    </w:p>
    <w:p w14:paraId="2FAF8101">
      <w:pPr>
        <w:tabs>
          <w:tab w:val="left" w:pos="3420"/>
          <w:tab w:val="left" w:pos="3915"/>
          <w:tab w:val="left" w:pos="6120"/>
          <w:tab w:val="left" w:pos="7540"/>
          <w:tab w:val="left" w:pos="8320"/>
        </w:tabs>
        <w:spacing w:line="360" w:lineRule="auto"/>
        <w:rPr>
          <w:rFonts w:hint="eastAsia" w:ascii="宋体" w:hAnsi="宋体" w:cs="宋体"/>
          <w:b/>
          <w:snapToGrid w:val="0"/>
          <w:color w:val="auto"/>
          <w:szCs w:val="21"/>
          <w:highlight w:val="none"/>
          <w:u w:val="single"/>
        </w:rPr>
      </w:pPr>
      <w:bookmarkStart w:id="3" w:name="_Toc381283882"/>
    </w:p>
    <w:p w14:paraId="654B467E">
      <w:pPr>
        <w:pStyle w:val="4"/>
        <w:numPr>
          <w:ilvl w:val="0"/>
          <w:numId w:val="0"/>
        </w:numPr>
        <w:tabs>
          <w:tab w:val="left" w:pos="720"/>
          <w:tab w:val="clear" w:pos="709"/>
        </w:tabs>
        <w:snapToGrid w:val="0"/>
        <w:spacing w:line="360" w:lineRule="auto"/>
        <w:rPr>
          <w:rFonts w:hint="eastAsia" w:ascii="宋体" w:hAnsi="宋体" w:eastAsia="宋体" w:cs="宋体"/>
          <w:bCs/>
          <w:color w:val="auto"/>
          <w:szCs w:val="21"/>
          <w:highlight w:val="none"/>
        </w:rPr>
      </w:pPr>
      <w:bookmarkStart w:id="4" w:name="_Toc9303"/>
      <w:r>
        <w:rPr>
          <w:rFonts w:hint="eastAsia" w:ascii="宋体" w:hAnsi="宋体" w:eastAsia="宋体" w:cs="宋体"/>
          <w:bCs/>
          <w:color w:val="auto"/>
          <w:szCs w:val="21"/>
          <w:highlight w:val="none"/>
        </w:rPr>
        <w:t>1．比选条件</w:t>
      </w:r>
      <w:bookmarkEnd w:id="3"/>
      <w:bookmarkEnd w:id="4"/>
    </w:p>
    <w:p w14:paraId="61EF6D61">
      <w:pPr>
        <w:tabs>
          <w:tab w:val="left" w:pos="1530"/>
          <w:tab w:val="left" w:pos="3280"/>
          <w:tab w:val="left" w:pos="5280"/>
          <w:tab w:val="left" w:pos="8320"/>
        </w:tabs>
        <w:autoSpaceDE w:val="0"/>
        <w:autoSpaceDN w:val="0"/>
        <w:adjustRightInd w:val="0"/>
        <w:snapToGrid w:val="0"/>
        <w:spacing w:line="360" w:lineRule="auto"/>
        <w:ind w:firstLine="420" w:firstLineChars="200"/>
        <w:rPr>
          <w:rFonts w:hint="eastAsia" w:ascii="宋体" w:hAnsi="宋体" w:cs="宋体"/>
          <w:snapToGrid w:val="0"/>
          <w:color w:val="auto"/>
          <w:szCs w:val="21"/>
          <w:highlight w:val="none"/>
        </w:rPr>
      </w:pPr>
      <w:bookmarkStart w:id="5" w:name="_Toc381283883"/>
      <w:bookmarkStart w:id="6" w:name="_Toc12584"/>
      <w:r>
        <w:rPr>
          <w:rFonts w:hint="eastAsia" w:ascii="宋体" w:hAnsi="宋体" w:cs="宋体"/>
          <w:snapToGrid w:val="0"/>
          <w:color w:val="auto"/>
          <w:szCs w:val="21"/>
          <w:highlight w:val="none"/>
        </w:rPr>
        <w:t>本比选项目</w:t>
      </w:r>
      <w:r>
        <w:rPr>
          <w:rFonts w:hint="eastAsia" w:ascii="宋体" w:hAnsi="宋体" w:cs="宋体"/>
          <w:snapToGrid w:val="0"/>
          <w:color w:val="auto"/>
          <w:kern w:val="0"/>
          <w:szCs w:val="21"/>
          <w:highlight w:val="none"/>
          <w:u w:val="single"/>
          <w:lang w:eastAsia="zh-CN"/>
        </w:rPr>
        <w:t>国网垫江供电公司职工服务中心空调采购及智能化专业分包</w:t>
      </w:r>
      <w:r>
        <w:rPr>
          <w:rFonts w:hint="eastAsia" w:ascii="宋体" w:hAnsi="宋体" w:cs="宋体"/>
          <w:snapToGrid w:val="0"/>
          <w:color w:val="auto"/>
          <w:kern w:val="0"/>
          <w:szCs w:val="21"/>
          <w:highlight w:val="none"/>
          <w:u w:val="none"/>
          <w:lang w:eastAsia="zh-CN"/>
        </w:rPr>
        <w:t xml:space="preserve"> </w:t>
      </w:r>
      <w:r>
        <w:rPr>
          <w:rFonts w:hint="eastAsia" w:ascii="宋体" w:hAnsi="宋体" w:cs="宋体"/>
          <w:snapToGrid w:val="0"/>
          <w:color w:val="auto"/>
          <w:kern w:val="0"/>
          <w:szCs w:val="21"/>
          <w:highlight w:val="none"/>
          <w:u w:val="none"/>
          <w:lang w:val="en-US" w:eastAsia="zh-CN"/>
        </w:rPr>
        <w:t>,</w:t>
      </w:r>
      <w:r>
        <w:rPr>
          <w:rFonts w:hint="eastAsia" w:ascii="宋体" w:hAnsi="宋体" w:eastAsia="宋体" w:cs="宋体"/>
          <w:i w:val="0"/>
          <w:iCs w:val="0"/>
          <w:caps w:val="0"/>
          <w:color w:val="auto"/>
          <w:spacing w:val="0"/>
          <w:sz w:val="21"/>
          <w:szCs w:val="21"/>
          <w:highlight w:val="none"/>
          <w:shd w:val="clear" w:color="auto" w:fill="FFFFFF"/>
        </w:rPr>
        <w:t>建设资金来自</w:t>
      </w:r>
      <w:r>
        <w:rPr>
          <w:rFonts w:hint="eastAsia" w:ascii="宋体" w:hAnsi="宋体" w:eastAsia="宋体" w:cs="宋体"/>
          <w:i w:val="0"/>
          <w:iCs w:val="0"/>
          <w:caps w:val="0"/>
          <w:color w:val="auto"/>
          <w:spacing w:val="0"/>
          <w:sz w:val="21"/>
          <w:szCs w:val="21"/>
          <w:highlight w:val="none"/>
          <w:u w:val="single"/>
          <w:shd w:val="clear" w:color="auto" w:fill="FFFFFF"/>
        </w:rPr>
        <w:t>业主自筹</w:t>
      </w:r>
      <w:r>
        <w:rPr>
          <w:rFonts w:hint="eastAsia" w:ascii="宋体" w:hAnsi="宋体" w:eastAsia="宋体" w:cs="宋体"/>
          <w:i w:val="0"/>
          <w:iCs w:val="0"/>
          <w:caps w:val="0"/>
          <w:color w:val="auto"/>
          <w:spacing w:val="0"/>
          <w:sz w:val="21"/>
          <w:szCs w:val="21"/>
          <w:highlight w:val="none"/>
          <w:shd w:val="clear" w:color="auto" w:fill="FFFFFF"/>
        </w:rPr>
        <w:t>，项目出资比例为</w:t>
      </w:r>
      <w:r>
        <w:rPr>
          <w:rFonts w:hint="eastAsia" w:ascii="宋体" w:hAnsi="宋体" w:eastAsia="宋体" w:cs="宋体"/>
          <w:i w:val="0"/>
          <w:iCs w:val="0"/>
          <w:caps w:val="0"/>
          <w:color w:val="auto"/>
          <w:spacing w:val="0"/>
          <w:sz w:val="21"/>
          <w:szCs w:val="21"/>
          <w:highlight w:val="none"/>
          <w:u w:val="single"/>
          <w:shd w:val="clear" w:color="auto" w:fill="FFFFFF"/>
        </w:rPr>
        <w:t>100%</w:t>
      </w:r>
      <w:r>
        <w:rPr>
          <w:rFonts w:hint="eastAsia" w:ascii="宋体" w:hAnsi="宋体" w:eastAsia="宋体" w:cs="宋体"/>
          <w:i w:val="0"/>
          <w:iCs w:val="0"/>
          <w:caps w:val="0"/>
          <w:color w:val="auto"/>
          <w:spacing w:val="0"/>
          <w:sz w:val="21"/>
          <w:szCs w:val="21"/>
          <w:highlight w:val="none"/>
          <w:shd w:val="clear" w:color="auto" w:fill="FFFFFF"/>
        </w:rPr>
        <w:t>，</w:t>
      </w:r>
      <w:r>
        <w:rPr>
          <w:rFonts w:hint="eastAsia" w:ascii="宋体" w:hAnsi="宋体" w:eastAsia="宋体" w:cs="宋体"/>
          <w:i w:val="0"/>
          <w:iCs w:val="0"/>
          <w:caps w:val="0"/>
          <w:color w:val="auto"/>
          <w:spacing w:val="0"/>
          <w:sz w:val="21"/>
          <w:szCs w:val="21"/>
          <w:highlight w:val="none"/>
          <w:shd w:val="clear" w:color="auto" w:fill="FFFFFF"/>
          <w:lang w:val="en-US" w:eastAsia="zh-CN"/>
        </w:rPr>
        <w:t>比选</w:t>
      </w:r>
      <w:r>
        <w:rPr>
          <w:rFonts w:hint="eastAsia" w:ascii="宋体" w:hAnsi="宋体" w:eastAsia="宋体" w:cs="宋体"/>
          <w:i w:val="0"/>
          <w:iCs w:val="0"/>
          <w:caps w:val="0"/>
          <w:color w:val="auto"/>
          <w:spacing w:val="0"/>
          <w:sz w:val="21"/>
          <w:szCs w:val="21"/>
          <w:highlight w:val="none"/>
          <w:shd w:val="clear" w:color="auto" w:fill="FFFFFF"/>
        </w:rPr>
        <w:t>人为</w:t>
      </w:r>
      <w:r>
        <w:rPr>
          <w:rFonts w:hint="eastAsia" w:ascii="宋体" w:hAnsi="宋体" w:eastAsia="宋体" w:cs="宋体"/>
          <w:i w:val="0"/>
          <w:iCs w:val="0"/>
          <w:caps w:val="0"/>
          <w:color w:val="auto"/>
          <w:spacing w:val="0"/>
          <w:sz w:val="21"/>
          <w:szCs w:val="21"/>
          <w:highlight w:val="none"/>
          <w:u w:val="single"/>
          <w:shd w:val="clear" w:color="auto" w:fill="FFFFFF"/>
        </w:rPr>
        <w:t>垫江县小厦建筑有限公司</w:t>
      </w:r>
      <w:r>
        <w:rPr>
          <w:rFonts w:hint="eastAsia" w:ascii="宋体" w:hAnsi="宋体" w:eastAsia="宋体" w:cs="宋体"/>
          <w:i w:val="0"/>
          <w:iCs w:val="0"/>
          <w:caps w:val="0"/>
          <w:color w:val="auto"/>
          <w:spacing w:val="0"/>
          <w:sz w:val="21"/>
          <w:szCs w:val="21"/>
          <w:highlight w:val="none"/>
          <w:shd w:val="clear" w:color="auto" w:fill="FFFFFF"/>
        </w:rPr>
        <w:t>。项目已具备招标条件，现对</w:t>
      </w:r>
      <w:r>
        <w:rPr>
          <w:rFonts w:hint="eastAsia" w:ascii="宋体" w:hAnsi="宋体" w:eastAsia="宋体" w:cs="宋体"/>
          <w:i w:val="0"/>
          <w:iCs w:val="0"/>
          <w:caps w:val="0"/>
          <w:color w:val="auto"/>
          <w:spacing w:val="0"/>
          <w:sz w:val="21"/>
          <w:szCs w:val="21"/>
          <w:highlight w:val="none"/>
          <w:u w:val="single"/>
          <w:shd w:val="clear" w:color="auto" w:fill="FFFFFF"/>
        </w:rPr>
        <w:t>该项目的施工</w:t>
      </w:r>
      <w:r>
        <w:rPr>
          <w:rFonts w:hint="eastAsia" w:ascii="宋体" w:hAnsi="宋体" w:eastAsia="宋体" w:cs="宋体"/>
          <w:i w:val="0"/>
          <w:iCs w:val="0"/>
          <w:caps w:val="0"/>
          <w:color w:val="auto"/>
          <w:spacing w:val="0"/>
          <w:sz w:val="21"/>
          <w:szCs w:val="21"/>
          <w:highlight w:val="none"/>
          <w:shd w:val="clear" w:color="auto" w:fill="FFFFFF"/>
        </w:rPr>
        <w:t>进行竞争性比选公开招标。</w:t>
      </w:r>
      <w:r>
        <w:rPr>
          <w:rFonts w:hint="eastAsia" w:ascii="宋体" w:hAnsi="宋体" w:cs="宋体"/>
          <w:snapToGrid w:val="0"/>
          <w:color w:val="auto"/>
          <w:szCs w:val="21"/>
          <w:highlight w:val="none"/>
        </w:rPr>
        <w:t xml:space="preserve"> </w:t>
      </w:r>
    </w:p>
    <w:p w14:paraId="1D732C04">
      <w:pPr>
        <w:pStyle w:val="4"/>
        <w:numPr>
          <w:ilvl w:val="0"/>
          <w:numId w:val="2"/>
        </w:numPr>
        <w:tabs>
          <w:tab w:val="left" w:pos="720"/>
          <w:tab w:val="clear" w:pos="709"/>
        </w:tabs>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项目概况与比选范围</w:t>
      </w:r>
      <w:bookmarkEnd w:id="5"/>
      <w:bookmarkEnd w:id="6"/>
    </w:p>
    <w:p w14:paraId="74EBC4B3">
      <w:pPr>
        <w:tabs>
          <w:tab w:val="left" w:pos="3840"/>
          <w:tab w:val="left" w:pos="5300"/>
        </w:tabs>
        <w:autoSpaceDE w:val="0"/>
        <w:autoSpaceDN w:val="0"/>
        <w:adjustRightInd w:val="0"/>
        <w:snapToGrid w:val="0"/>
        <w:spacing w:line="460" w:lineRule="exact"/>
        <w:jc w:val="left"/>
        <w:rPr>
          <w:rFonts w:ascii="宋体" w:hAnsi="宋体"/>
        </w:rPr>
      </w:pPr>
      <w:r>
        <w:rPr>
          <w:rFonts w:hint="eastAsia" w:ascii="宋体" w:hAnsi="宋体"/>
          <w:snapToGrid w:val="0"/>
          <w:kern w:val="0"/>
          <w:szCs w:val="21"/>
        </w:rPr>
        <w:t>2.</w:t>
      </w:r>
      <w:r>
        <w:rPr>
          <w:rFonts w:ascii="宋体" w:hAnsi="宋体"/>
          <w:snapToGrid w:val="0"/>
          <w:kern w:val="0"/>
          <w:szCs w:val="21"/>
        </w:rPr>
        <w:t>1</w:t>
      </w:r>
      <w:r>
        <w:rPr>
          <w:rFonts w:hint="eastAsia" w:ascii="宋体" w:hAnsi="宋体"/>
          <w:snapToGrid w:val="0"/>
          <w:kern w:val="0"/>
          <w:szCs w:val="21"/>
        </w:rPr>
        <w:t xml:space="preserve"> 项目概况与建设规模及</w:t>
      </w:r>
      <w:r>
        <w:rPr>
          <w:rFonts w:ascii="宋体" w:hAnsi="宋体"/>
          <w:snapToGrid w:val="0"/>
          <w:kern w:val="0"/>
          <w:szCs w:val="21"/>
        </w:rPr>
        <w:t>标段划分</w:t>
      </w:r>
      <w:r>
        <w:rPr>
          <w:rFonts w:hint="eastAsia" w:ascii="宋体" w:hAnsi="宋体"/>
          <w:snapToGrid w:val="0"/>
          <w:kern w:val="0"/>
          <w:szCs w:val="21"/>
        </w:rPr>
        <w:t>等</w:t>
      </w:r>
      <w:r>
        <w:rPr>
          <w:rFonts w:ascii="宋体" w:hAnsi="宋体"/>
          <w:snapToGrid w:val="0"/>
          <w:kern w:val="0"/>
          <w:szCs w:val="21"/>
        </w:rPr>
        <w:t>情况</w:t>
      </w:r>
      <w:r>
        <w:rPr>
          <w:rFonts w:hint="eastAsia" w:ascii="宋体" w:hAnsi="宋体"/>
          <w:snapToGrid w:val="0"/>
          <w:kern w:val="0"/>
          <w:szCs w:val="21"/>
        </w:rPr>
        <w:t>：</w:t>
      </w:r>
    </w:p>
    <w:tbl>
      <w:tblPr>
        <w:tblStyle w:val="52"/>
        <w:tblpPr w:leftFromText="180" w:rightFromText="180" w:vertAnchor="text" w:horzAnchor="page" w:tblpX="1451" w:tblpY="621"/>
        <w:tblOverlap w:val="never"/>
        <w:tblW w:w="92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0"/>
        <w:gridCol w:w="4605"/>
        <w:gridCol w:w="930"/>
        <w:gridCol w:w="1740"/>
        <w:gridCol w:w="1125"/>
      </w:tblGrid>
      <w:tr w14:paraId="64BDD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 w:hRule="atLeast"/>
        </w:trPr>
        <w:tc>
          <w:tcPr>
            <w:tcW w:w="850" w:type="dxa"/>
            <w:vAlign w:val="center"/>
          </w:tcPr>
          <w:p w14:paraId="1FA73787">
            <w:pPr>
              <w:pStyle w:val="19"/>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标段</w:t>
            </w:r>
          </w:p>
        </w:tc>
        <w:tc>
          <w:tcPr>
            <w:tcW w:w="4605" w:type="dxa"/>
            <w:vAlign w:val="center"/>
          </w:tcPr>
          <w:p w14:paraId="5F07057B">
            <w:pPr>
              <w:pStyle w:val="19"/>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建设</w:t>
            </w:r>
            <w:r>
              <w:rPr>
                <w:rFonts w:hint="default" w:ascii="宋体" w:hAnsi="宋体"/>
              </w:rPr>
              <w:t>内容</w:t>
            </w:r>
          </w:p>
        </w:tc>
        <w:tc>
          <w:tcPr>
            <w:tcW w:w="930" w:type="dxa"/>
            <w:vAlign w:val="center"/>
          </w:tcPr>
          <w:p w14:paraId="19B89B63">
            <w:pPr>
              <w:pStyle w:val="19"/>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工期</w:t>
            </w:r>
          </w:p>
        </w:tc>
        <w:tc>
          <w:tcPr>
            <w:tcW w:w="1740" w:type="dxa"/>
            <w:vAlign w:val="center"/>
          </w:tcPr>
          <w:p w14:paraId="7B2147D6">
            <w:pPr>
              <w:pStyle w:val="19"/>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缺陷责任期</w:t>
            </w:r>
          </w:p>
        </w:tc>
        <w:tc>
          <w:tcPr>
            <w:tcW w:w="1125" w:type="dxa"/>
            <w:vAlign w:val="center"/>
          </w:tcPr>
          <w:p w14:paraId="41C88C1B">
            <w:pPr>
              <w:pStyle w:val="19"/>
              <w:keepNext w:val="0"/>
              <w:keepLines w:val="0"/>
              <w:suppressLineNumbers w:val="0"/>
              <w:spacing w:before="0" w:beforeAutospacing="0" w:after="0" w:afterAutospacing="0"/>
              <w:ind w:left="0" w:right="0"/>
              <w:jc w:val="left"/>
              <w:rPr>
                <w:rFonts w:hint="eastAsia" w:ascii="宋体" w:hAnsi="宋体" w:eastAsia="宋体"/>
                <w:lang w:eastAsia="zh-CN"/>
              </w:rPr>
            </w:pPr>
            <w:r>
              <w:rPr>
                <w:rFonts w:hint="eastAsia"/>
                <w:lang w:eastAsia="zh-CN"/>
              </w:rPr>
              <w:t>最高限价（万元）</w:t>
            </w:r>
          </w:p>
        </w:tc>
      </w:tr>
      <w:tr w14:paraId="74891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55" w:hRule="atLeast"/>
        </w:trPr>
        <w:tc>
          <w:tcPr>
            <w:tcW w:w="850" w:type="dxa"/>
            <w:vAlign w:val="center"/>
          </w:tcPr>
          <w:p w14:paraId="73A510E5">
            <w:pPr>
              <w:pStyle w:val="19"/>
              <w:keepNext w:val="0"/>
              <w:keepLines w:val="0"/>
              <w:suppressLineNumbers w:val="0"/>
              <w:spacing w:before="0" w:beforeAutospacing="0" w:after="0" w:afterAutospacing="0"/>
              <w:ind w:left="0" w:right="0"/>
              <w:jc w:val="left"/>
              <w:rPr>
                <w:rFonts w:hint="default" w:ascii="宋体" w:hAnsi="宋体"/>
              </w:rPr>
            </w:pPr>
            <w:r>
              <w:rPr>
                <w:rFonts w:hint="eastAsia" w:ascii="宋体" w:hAnsi="宋体"/>
                <w:lang w:val="en-US" w:eastAsia="zh-CN"/>
              </w:rPr>
              <w:t>1</w:t>
            </w:r>
            <w:r>
              <w:rPr>
                <w:rFonts w:hint="eastAsia" w:ascii="宋体" w:hAnsi="宋体"/>
              </w:rPr>
              <w:t>标段</w:t>
            </w:r>
          </w:p>
        </w:tc>
        <w:tc>
          <w:tcPr>
            <w:tcW w:w="4605" w:type="dxa"/>
            <w:vAlign w:val="center"/>
          </w:tcPr>
          <w:p w14:paraId="369DC203">
            <w:pPr>
              <w:pStyle w:val="19"/>
              <w:keepNext w:val="0"/>
              <w:keepLines w:val="0"/>
              <w:suppressLineNumbers w:val="0"/>
              <w:spacing w:before="0" w:beforeAutospacing="0" w:after="0" w:afterAutospacing="0"/>
              <w:ind w:left="0" w:right="0"/>
              <w:jc w:val="left"/>
              <w:rPr>
                <w:rFonts w:hint="eastAsia" w:ascii="宋体" w:hAnsi="宋体" w:cs="Times New Roman"/>
                <w:color w:val="auto"/>
              </w:rPr>
            </w:pPr>
            <w:r>
              <w:rPr>
                <w:rFonts w:hint="eastAsia" w:ascii="Times New Roman" w:hAnsi="Times New Roman" w:eastAsia="宋体" w:cs="Times New Roman"/>
                <w:b w:val="0"/>
                <w:bCs w:val="0"/>
                <w:color w:val="auto"/>
                <w:kern w:val="2"/>
                <w:sz w:val="21"/>
                <w:szCs w:val="24"/>
                <w:lang w:val="en-US" w:eastAsia="zh-CN" w:bidi="ar-SA"/>
              </w:rPr>
              <w:t>包含外机基础浇筑、新机体（内、外）安装、开孔及防水处理、面板及管线安装、铜管及管体保温材料安装、空调排水管安装、面板控制器安装、制冷剂添加、设备调试等交钥匙工程的全部。</w:t>
            </w:r>
          </w:p>
        </w:tc>
        <w:tc>
          <w:tcPr>
            <w:tcW w:w="930" w:type="dxa"/>
            <w:vAlign w:val="center"/>
          </w:tcPr>
          <w:p w14:paraId="1D3A2F8E">
            <w:pPr>
              <w:pStyle w:val="19"/>
              <w:keepNext w:val="0"/>
              <w:keepLines w:val="0"/>
              <w:suppressLineNumbers w:val="0"/>
              <w:spacing w:before="0" w:beforeAutospacing="0" w:after="0" w:afterAutospacing="0"/>
              <w:ind w:left="0" w:right="0"/>
              <w:jc w:val="left"/>
              <w:rPr>
                <w:rFonts w:hint="default" w:ascii="宋体" w:hAnsi="宋体" w:eastAsia="宋体"/>
                <w:color w:val="auto"/>
                <w:lang w:val="en-US" w:eastAsia="zh-CN"/>
              </w:rPr>
            </w:pPr>
            <w:r>
              <w:rPr>
                <w:rFonts w:hint="eastAsia"/>
                <w:color w:val="auto"/>
                <w:lang w:val="en-US" w:eastAsia="zh-CN"/>
              </w:rPr>
              <w:t>30日历天</w:t>
            </w:r>
          </w:p>
        </w:tc>
        <w:tc>
          <w:tcPr>
            <w:tcW w:w="1740" w:type="dxa"/>
            <w:vAlign w:val="center"/>
          </w:tcPr>
          <w:p w14:paraId="4424085A">
            <w:pPr>
              <w:pStyle w:val="19"/>
              <w:keepNext w:val="0"/>
              <w:keepLines w:val="0"/>
              <w:suppressLineNumbers w:val="0"/>
              <w:spacing w:before="0" w:beforeAutospacing="0" w:after="0" w:afterAutospacing="0"/>
              <w:ind w:left="0" w:right="0"/>
              <w:jc w:val="left"/>
              <w:rPr>
                <w:rFonts w:hint="eastAsia" w:ascii="宋体" w:hAnsi="宋体" w:eastAsia="宋体"/>
                <w:color w:val="auto"/>
                <w:lang w:eastAsia="zh-CN"/>
              </w:rPr>
            </w:pPr>
            <w:r>
              <w:rPr>
                <w:rFonts w:hint="eastAsia" w:ascii="宋体" w:hAnsi="宋体"/>
                <w:color w:val="auto"/>
              </w:rPr>
              <w:t>24个月</w:t>
            </w:r>
            <w:r>
              <w:rPr>
                <w:rFonts w:hint="eastAsia"/>
                <w:color w:val="auto"/>
                <w:lang w:eastAsia="zh-CN"/>
              </w:rPr>
              <w:t>（</w:t>
            </w:r>
            <w:r>
              <w:rPr>
                <w:rFonts w:hint="eastAsia" w:ascii="宋体" w:hAnsi="宋体"/>
                <w:snapToGrid w:val="0"/>
                <w:color w:val="auto"/>
                <w:kern w:val="0"/>
                <w:szCs w:val="21"/>
                <w:highlight w:val="none"/>
                <w:lang w:val="en-US" w:eastAsia="zh-CN"/>
              </w:rPr>
              <w:t>售后服务期按产品生产厂家的规定执行</w:t>
            </w:r>
            <w:r>
              <w:rPr>
                <w:rFonts w:hint="eastAsia"/>
                <w:color w:val="auto"/>
                <w:lang w:eastAsia="zh-CN"/>
              </w:rPr>
              <w:t>）</w:t>
            </w:r>
          </w:p>
        </w:tc>
        <w:tc>
          <w:tcPr>
            <w:tcW w:w="1125" w:type="dxa"/>
            <w:vAlign w:val="center"/>
          </w:tcPr>
          <w:p w14:paraId="1F4B22BD">
            <w:pPr>
              <w:pStyle w:val="19"/>
              <w:keepNext w:val="0"/>
              <w:keepLines w:val="0"/>
              <w:suppressLineNumbers w:val="0"/>
              <w:spacing w:before="0" w:beforeAutospacing="0" w:after="0" w:afterAutospacing="0"/>
              <w:ind w:left="0" w:right="0"/>
              <w:jc w:val="center"/>
              <w:rPr>
                <w:rFonts w:hint="default" w:ascii="宋体" w:hAnsi="宋体" w:eastAsia="宋体"/>
                <w:lang w:val="en-US" w:eastAsia="zh-CN"/>
              </w:rPr>
            </w:pPr>
            <w:r>
              <w:rPr>
                <w:rFonts w:hint="eastAsia" w:ascii="宋体" w:hAnsi="宋体" w:eastAsia="宋体" w:cs="宋体"/>
                <w:i w:val="0"/>
                <w:iCs w:val="0"/>
                <w:color w:val="000000"/>
                <w:kern w:val="0"/>
                <w:sz w:val="22"/>
                <w:szCs w:val="22"/>
                <w:u w:val="none"/>
                <w:lang w:val="en-US" w:eastAsia="zh-CN" w:bidi="ar"/>
              </w:rPr>
              <w:t>48.8</w:t>
            </w:r>
          </w:p>
        </w:tc>
      </w:tr>
      <w:tr w14:paraId="29DB8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4" w:hRule="atLeast"/>
        </w:trPr>
        <w:tc>
          <w:tcPr>
            <w:tcW w:w="850" w:type="dxa"/>
            <w:vAlign w:val="center"/>
          </w:tcPr>
          <w:p w14:paraId="501CBD64">
            <w:pPr>
              <w:pStyle w:val="19"/>
              <w:keepNext w:val="0"/>
              <w:keepLines w:val="0"/>
              <w:suppressLineNumbers w:val="0"/>
              <w:spacing w:before="0" w:beforeAutospacing="0" w:after="0" w:afterAutospacing="0"/>
              <w:ind w:left="0" w:right="0"/>
              <w:jc w:val="left"/>
              <w:rPr>
                <w:rFonts w:hint="default" w:ascii="宋体" w:hAnsi="宋体"/>
              </w:rPr>
            </w:pPr>
            <w:r>
              <w:rPr>
                <w:rFonts w:hint="eastAsia" w:ascii="宋体" w:hAnsi="宋体"/>
                <w:lang w:val="en-US" w:eastAsia="zh-CN"/>
              </w:rPr>
              <w:t>2</w:t>
            </w:r>
            <w:r>
              <w:rPr>
                <w:rFonts w:hint="eastAsia" w:ascii="宋体" w:hAnsi="宋体"/>
              </w:rPr>
              <w:t>标段</w:t>
            </w:r>
          </w:p>
        </w:tc>
        <w:tc>
          <w:tcPr>
            <w:tcW w:w="4605" w:type="dxa"/>
            <w:vAlign w:val="center"/>
          </w:tcPr>
          <w:p w14:paraId="4893BBE3">
            <w:pPr>
              <w:pStyle w:val="19"/>
              <w:keepNext w:val="0"/>
              <w:keepLines w:val="0"/>
              <w:suppressLineNumbers w:val="0"/>
              <w:spacing w:before="0" w:beforeAutospacing="0" w:after="0" w:afterAutospacing="0"/>
              <w:ind w:left="0" w:right="0"/>
              <w:jc w:val="left"/>
              <w:rPr>
                <w:rFonts w:hint="eastAsia" w:ascii="宋体" w:hAnsi="宋体" w:cs="Times New Roman"/>
                <w:color w:val="auto"/>
              </w:rPr>
            </w:pPr>
            <w:r>
              <w:rPr>
                <w:rFonts w:hint="eastAsia" w:ascii="Times New Roman" w:hAnsi="Times New Roman" w:eastAsia="宋体" w:cs="Times New Roman"/>
                <w:b w:val="0"/>
                <w:bCs w:val="0"/>
                <w:color w:val="auto"/>
                <w:kern w:val="2"/>
                <w:sz w:val="21"/>
                <w:szCs w:val="24"/>
                <w:lang w:val="en-US" w:eastAsia="zh-CN" w:bidi="ar-SA"/>
              </w:rPr>
              <w:t>职工服务中心LED屏、音箱及灯光的安装调试</w:t>
            </w:r>
          </w:p>
        </w:tc>
        <w:tc>
          <w:tcPr>
            <w:tcW w:w="930" w:type="dxa"/>
            <w:vAlign w:val="center"/>
          </w:tcPr>
          <w:p w14:paraId="45411B8A">
            <w:pPr>
              <w:pStyle w:val="19"/>
              <w:keepNext w:val="0"/>
              <w:keepLines w:val="0"/>
              <w:suppressLineNumbers w:val="0"/>
              <w:spacing w:before="0" w:beforeAutospacing="0" w:after="0" w:afterAutospacing="0"/>
              <w:ind w:left="0" w:right="0"/>
              <w:jc w:val="left"/>
              <w:rPr>
                <w:rFonts w:hint="default" w:ascii="宋体" w:hAnsi="宋体" w:eastAsia="宋体"/>
                <w:color w:val="auto"/>
                <w:lang w:val="en-US" w:eastAsia="zh-CN"/>
              </w:rPr>
            </w:pPr>
            <w:r>
              <w:rPr>
                <w:rFonts w:hint="eastAsia"/>
                <w:color w:val="auto"/>
                <w:lang w:val="en-US" w:eastAsia="zh-CN"/>
              </w:rPr>
              <w:t>30日历天</w:t>
            </w:r>
          </w:p>
        </w:tc>
        <w:tc>
          <w:tcPr>
            <w:tcW w:w="1740" w:type="dxa"/>
            <w:vAlign w:val="center"/>
          </w:tcPr>
          <w:p w14:paraId="7074AD53">
            <w:pPr>
              <w:pStyle w:val="19"/>
              <w:keepNext w:val="0"/>
              <w:keepLines w:val="0"/>
              <w:suppressLineNumbers w:val="0"/>
              <w:spacing w:before="0" w:beforeAutospacing="0" w:after="0" w:afterAutospacing="0"/>
              <w:ind w:left="0" w:right="0"/>
              <w:jc w:val="left"/>
              <w:rPr>
                <w:rFonts w:hint="default" w:ascii="宋体" w:hAnsi="宋体"/>
                <w:color w:val="auto"/>
              </w:rPr>
            </w:pPr>
            <w:r>
              <w:rPr>
                <w:rFonts w:hint="eastAsia" w:ascii="宋体" w:hAnsi="宋体"/>
                <w:color w:val="auto"/>
              </w:rPr>
              <w:t>24个月</w:t>
            </w:r>
            <w:r>
              <w:rPr>
                <w:rFonts w:hint="eastAsia"/>
                <w:color w:val="auto"/>
                <w:lang w:eastAsia="zh-CN"/>
              </w:rPr>
              <w:t>（</w:t>
            </w:r>
            <w:r>
              <w:rPr>
                <w:rFonts w:hint="eastAsia" w:ascii="宋体" w:hAnsi="宋体"/>
                <w:snapToGrid w:val="0"/>
                <w:color w:val="auto"/>
                <w:kern w:val="0"/>
                <w:szCs w:val="21"/>
                <w:highlight w:val="none"/>
                <w:lang w:val="en-US" w:eastAsia="zh-CN"/>
              </w:rPr>
              <w:t>售后服务期按产品生产厂家的规定执行</w:t>
            </w:r>
            <w:r>
              <w:rPr>
                <w:rFonts w:hint="eastAsia"/>
                <w:color w:val="auto"/>
                <w:lang w:eastAsia="zh-CN"/>
              </w:rPr>
              <w:t>）</w:t>
            </w:r>
          </w:p>
        </w:tc>
        <w:tc>
          <w:tcPr>
            <w:tcW w:w="1125" w:type="dxa"/>
            <w:vAlign w:val="center"/>
          </w:tcPr>
          <w:p w14:paraId="66382BDF">
            <w:pPr>
              <w:pStyle w:val="19"/>
              <w:keepNext w:val="0"/>
              <w:keepLines w:val="0"/>
              <w:suppressLineNumbers w:val="0"/>
              <w:spacing w:before="0" w:beforeAutospacing="0" w:after="0" w:afterAutospacing="0"/>
              <w:ind w:left="0" w:right="0"/>
              <w:jc w:val="center"/>
              <w:rPr>
                <w:rFonts w:hint="default" w:ascii="宋体" w:hAnsi="宋体" w:eastAsia="宋体"/>
                <w:lang w:val="en-US" w:eastAsia="zh-CN"/>
              </w:rPr>
            </w:pPr>
            <w:r>
              <w:rPr>
                <w:rFonts w:hint="eastAsia" w:ascii="宋体" w:hAnsi="宋体" w:eastAsia="宋体" w:cs="宋体"/>
                <w:i w:val="0"/>
                <w:iCs w:val="0"/>
                <w:color w:val="000000"/>
                <w:kern w:val="0"/>
                <w:sz w:val="22"/>
                <w:szCs w:val="22"/>
                <w:u w:val="none"/>
                <w:lang w:val="en-US" w:eastAsia="zh-CN" w:bidi="ar"/>
              </w:rPr>
              <w:t>48.8</w:t>
            </w:r>
          </w:p>
        </w:tc>
      </w:tr>
    </w:tbl>
    <w:p w14:paraId="4D464020">
      <w:pPr>
        <w:numPr>
          <w:ilvl w:val="0"/>
          <w:numId w:val="0"/>
        </w:numPr>
        <w:rPr>
          <w:rFonts w:hint="eastAsia"/>
        </w:rPr>
      </w:pPr>
    </w:p>
    <w:p w14:paraId="7FFCD41E">
      <w:pPr>
        <w:pStyle w:val="71"/>
        <w:numPr>
          <w:ilvl w:val="0"/>
          <w:numId w:val="0"/>
        </w:numPr>
        <w:ind w:firstLine="420" w:firstLineChars="200"/>
        <w:rPr>
          <w:rFonts w:hint="eastAsia" w:ascii="Times New Roman" w:hAnsi="Times New Roman" w:eastAsia="宋体" w:cs="Times New Roman"/>
          <w:b w:val="0"/>
          <w:bCs w:val="0"/>
          <w:color w:val="auto"/>
          <w:kern w:val="2"/>
          <w:sz w:val="21"/>
          <w:szCs w:val="24"/>
          <w:lang w:val="en-US" w:eastAsia="zh-CN" w:bidi="ar-SA"/>
        </w:rPr>
      </w:pPr>
      <w:bookmarkStart w:id="7" w:name="_Toc28776"/>
      <w:bookmarkStart w:id="8" w:name="_Toc381283884"/>
      <w:r>
        <w:rPr>
          <w:rFonts w:hint="eastAsia" w:ascii="宋体" w:hAnsi="宋体" w:eastAsia="宋体" w:cs="宋体"/>
          <w:b w:val="0"/>
          <w:bCs w:val="0"/>
          <w:color w:val="auto"/>
          <w:kern w:val="2"/>
          <w:sz w:val="21"/>
          <w:szCs w:val="21"/>
          <w:highlight w:val="none"/>
          <w:lang w:val="en-US" w:eastAsia="zh-CN" w:bidi="ar-SA"/>
        </w:rPr>
        <w:t>2.1 建</w:t>
      </w:r>
      <w:r>
        <w:rPr>
          <w:rFonts w:hint="eastAsia" w:ascii="Times New Roman" w:hAnsi="Times New Roman" w:eastAsia="宋体" w:cs="Times New Roman"/>
          <w:b w:val="0"/>
          <w:bCs w:val="0"/>
          <w:color w:val="auto"/>
          <w:kern w:val="2"/>
          <w:sz w:val="21"/>
          <w:szCs w:val="24"/>
          <w:lang w:val="en-US" w:eastAsia="zh-CN" w:bidi="ar-SA"/>
        </w:rPr>
        <w:t>设地点：招标人指定位置。</w:t>
      </w:r>
    </w:p>
    <w:p w14:paraId="1BBD49C1">
      <w:pPr>
        <w:spacing w:line="360" w:lineRule="auto"/>
        <w:ind w:firstLine="420" w:firstLineChars="200"/>
        <w:jc w:val="left"/>
        <w:rPr>
          <w:rFonts w:hint="eastAsia" w:ascii="宋体" w:hAnsi="宋体" w:eastAsia="宋体" w:cs="宋体"/>
          <w:snapToGrid w:val="0"/>
          <w:color w:val="auto"/>
          <w:kern w:val="0"/>
          <w:szCs w:val="21"/>
          <w:highlight w:val="none"/>
          <w:lang w:eastAsia="zh-CN"/>
        </w:rPr>
      </w:pPr>
      <w:r>
        <w:rPr>
          <w:rFonts w:hint="eastAsia" w:ascii="宋体" w:hAnsi="宋体" w:cs="宋体"/>
          <w:snapToGrid w:val="0"/>
          <w:color w:val="auto"/>
          <w:kern w:val="0"/>
          <w:szCs w:val="21"/>
          <w:highlight w:val="none"/>
        </w:rPr>
        <w:t>2.</w:t>
      </w:r>
      <w:r>
        <w:rPr>
          <w:rFonts w:hint="eastAsia" w:ascii="宋体" w:hAnsi="宋体" w:cs="宋体"/>
          <w:snapToGrid w:val="0"/>
          <w:color w:val="auto"/>
          <w:kern w:val="0"/>
          <w:szCs w:val="21"/>
          <w:highlight w:val="none"/>
          <w:lang w:val="en-US" w:eastAsia="zh-CN"/>
        </w:rPr>
        <w:t xml:space="preserve">3 </w:t>
      </w:r>
      <w:r>
        <w:rPr>
          <w:rFonts w:hint="eastAsia" w:ascii="宋体" w:hAnsi="宋体" w:cs="宋体"/>
          <w:snapToGrid w:val="0"/>
          <w:color w:val="auto"/>
          <w:kern w:val="0"/>
          <w:szCs w:val="21"/>
          <w:highlight w:val="none"/>
        </w:rPr>
        <w:t>比选范围：</w:t>
      </w:r>
      <w:r>
        <w:rPr>
          <w:rFonts w:hint="eastAsia" w:ascii="宋体" w:hAnsi="宋体" w:cs="宋体"/>
          <w:color w:val="auto"/>
          <w:szCs w:val="21"/>
          <w:highlight w:val="none"/>
        </w:rPr>
        <w:t>能满足该项目要求的品牌中央空调设备</w:t>
      </w:r>
      <w:r>
        <w:rPr>
          <w:rFonts w:hint="eastAsia" w:ascii="宋体" w:hAnsi="宋体" w:cs="宋体"/>
          <w:color w:val="auto"/>
          <w:szCs w:val="21"/>
          <w:highlight w:val="none"/>
          <w:lang w:eastAsia="zh-CN"/>
        </w:rPr>
        <w:t>、</w:t>
      </w:r>
      <w:r>
        <w:rPr>
          <w:rFonts w:hint="eastAsia" w:ascii="Times New Roman" w:hAnsi="Times New Roman" w:eastAsia="宋体" w:cs="Times New Roman"/>
          <w:b w:val="0"/>
          <w:bCs w:val="0"/>
          <w:color w:val="auto"/>
          <w:kern w:val="2"/>
          <w:sz w:val="21"/>
          <w:szCs w:val="24"/>
          <w:lang w:val="en-US" w:eastAsia="zh-CN" w:bidi="ar-SA"/>
        </w:rPr>
        <w:t>LED屏、音箱、灯光</w:t>
      </w:r>
      <w:r>
        <w:rPr>
          <w:rFonts w:hint="eastAsia" w:ascii="宋体" w:hAnsi="宋体" w:cs="宋体"/>
          <w:color w:val="auto"/>
          <w:szCs w:val="21"/>
          <w:highlight w:val="none"/>
        </w:rPr>
        <w:t>及安装、调试、售后服务（详见施工图纸及清单）</w:t>
      </w:r>
      <w:r>
        <w:rPr>
          <w:rFonts w:hint="eastAsia" w:ascii="宋体" w:hAnsi="宋体" w:cs="宋体"/>
          <w:color w:val="auto"/>
          <w:szCs w:val="21"/>
          <w:highlight w:val="none"/>
          <w:lang w:eastAsia="zh-CN"/>
        </w:rPr>
        <w:t>。</w:t>
      </w:r>
    </w:p>
    <w:p w14:paraId="5145A112">
      <w:pPr>
        <w:pStyle w:val="4"/>
        <w:numPr>
          <w:ilvl w:val="0"/>
          <w:numId w:val="0"/>
        </w:numPr>
        <w:tabs>
          <w:tab w:val="left" w:pos="720"/>
          <w:tab w:val="clear" w:pos="709"/>
        </w:tabs>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3．比选申请人资格</w:t>
      </w:r>
      <w:bookmarkEnd w:id="7"/>
      <w:bookmarkEnd w:id="8"/>
    </w:p>
    <w:p w14:paraId="217D589A">
      <w:pPr>
        <w:tabs>
          <w:tab w:val="left" w:pos="3840"/>
          <w:tab w:val="left" w:pos="5300"/>
        </w:tabs>
        <w:autoSpaceDE w:val="0"/>
        <w:autoSpaceDN w:val="0"/>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3.1  本次比选要求比选申请人须具备以下条件：</w:t>
      </w:r>
    </w:p>
    <w:p w14:paraId="3FC52867">
      <w:pPr>
        <w:autoSpaceDE w:val="0"/>
        <w:autoSpaceDN w:val="0"/>
        <w:adjustRightInd w:val="0"/>
        <w:snapToGrid w:val="0"/>
        <w:spacing w:line="360" w:lineRule="auto"/>
        <w:ind w:firstLine="415" w:firstLineChars="198"/>
        <w:rPr>
          <w:rFonts w:hint="default" w:eastAsia="宋体"/>
          <w:b/>
          <w:bCs/>
          <w:color w:val="auto"/>
          <w:highlight w:val="none"/>
          <w:lang w:val="en-US" w:eastAsia="zh-CN"/>
        </w:rPr>
      </w:pPr>
      <w:r>
        <w:rPr>
          <w:rFonts w:hint="eastAsia" w:ascii="宋体" w:hAnsi="宋体" w:cs="宋体"/>
          <w:snapToGrid w:val="0"/>
          <w:color w:val="auto"/>
          <w:kern w:val="0"/>
          <w:szCs w:val="21"/>
          <w:highlight w:val="none"/>
        </w:rPr>
        <w:t>3.1.1 本次比选要求比选申请人具备的资质条件</w:t>
      </w:r>
      <w:r>
        <w:rPr>
          <w:rFonts w:hint="eastAsia"/>
          <w:color w:val="auto"/>
          <w:highlight w:val="none"/>
          <w:lang w:val="en-US" w:eastAsia="zh-CN"/>
        </w:rPr>
        <w:t>：1标段：</w:t>
      </w:r>
      <w:r>
        <w:rPr>
          <w:rFonts w:hint="eastAsia"/>
          <w:color w:val="auto"/>
          <w:highlight w:val="none"/>
        </w:rPr>
        <w:t>建设行政主管部门颁发的建筑机电安装工程专业承包资质三级及以上资质</w:t>
      </w:r>
      <w:r>
        <w:rPr>
          <w:rFonts w:hint="eastAsia"/>
          <w:color w:val="auto"/>
          <w:highlight w:val="none"/>
          <w:lang w:val="en-US" w:eastAsia="zh-CN"/>
        </w:rPr>
        <w:t>;2标段：</w:t>
      </w:r>
      <w:r>
        <w:rPr>
          <w:rFonts w:hint="eastAsia"/>
          <w:color w:val="auto"/>
          <w:highlight w:val="none"/>
        </w:rPr>
        <w:t>建设行政主管部门颁发</w:t>
      </w:r>
      <w:r>
        <w:rPr>
          <w:rFonts w:hint="eastAsia"/>
          <w:color w:val="auto"/>
          <w:highlight w:val="none"/>
          <w:lang w:val="en-US" w:eastAsia="zh-CN"/>
        </w:rPr>
        <w:t>的电子与智能化工程专业承包二级及以上。</w:t>
      </w:r>
    </w:p>
    <w:p w14:paraId="574B62BE">
      <w:pPr>
        <w:tabs>
          <w:tab w:val="left" w:pos="3840"/>
          <w:tab w:val="left" w:pos="5300"/>
        </w:tabs>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snapToGrid w:val="0"/>
          <w:color w:val="auto"/>
          <w:kern w:val="0"/>
          <w:szCs w:val="21"/>
          <w:highlight w:val="none"/>
        </w:rPr>
        <w:t>3.1.2 比选申请人还应在人员、设备、资金等方面具有相应的施工能力，详见竞争性比选文件第二章比选申请人须知前附表第1.4.1项内容。</w:t>
      </w:r>
    </w:p>
    <w:p w14:paraId="23952E52">
      <w:pPr>
        <w:spacing w:line="360" w:lineRule="auto"/>
        <w:ind w:left="330" w:leftChars="157" w:firstLine="105" w:firstLineChars="5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3.2本次比选不接受联合体比选申请。</w:t>
      </w:r>
    </w:p>
    <w:p w14:paraId="5F3783AB">
      <w:pPr>
        <w:pStyle w:val="4"/>
        <w:numPr>
          <w:ilvl w:val="0"/>
          <w:numId w:val="0"/>
        </w:numPr>
        <w:tabs>
          <w:tab w:val="left" w:pos="720"/>
          <w:tab w:val="clear" w:pos="709"/>
        </w:tabs>
        <w:snapToGrid w:val="0"/>
        <w:spacing w:line="360" w:lineRule="auto"/>
        <w:rPr>
          <w:rFonts w:hint="eastAsia" w:ascii="宋体" w:hAnsi="宋体" w:eastAsia="宋体" w:cs="宋体"/>
          <w:bCs/>
          <w:color w:val="auto"/>
          <w:szCs w:val="21"/>
          <w:highlight w:val="none"/>
        </w:rPr>
      </w:pPr>
      <w:bookmarkStart w:id="9" w:name="_Toc381283885"/>
      <w:bookmarkStart w:id="10" w:name="_Toc28222"/>
      <w:r>
        <w:rPr>
          <w:rFonts w:hint="eastAsia" w:ascii="宋体" w:hAnsi="宋体" w:eastAsia="宋体" w:cs="宋体"/>
          <w:bCs/>
          <w:color w:val="auto"/>
          <w:szCs w:val="21"/>
          <w:highlight w:val="none"/>
        </w:rPr>
        <w:t>4．比选文件的获取</w:t>
      </w:r>
      <w:bookmarkEnd w:id="9"/>
      <w:bookmarkEnd w:id="10"/>
    </w:p>
    <w:p w14:paraId="18EC12D4">
      <w:pPr>
        <w:tabs>
          <w:tab w:val="left" w:pos="2420"/>
          <w:tab w:val="left" w:pos="5445"/>
        </w:tabs>
        <w:wordWrap w:val="0"/>
        <w:autoSpaceDE w:val="0"/>
        <w:autoSpaceDN w:val="0"/>
        <w:adjustRightInd w:val="0"/>
        <w:snapToGrid w:val="0"/>
        <w:spacing w:line="360" w:lineRule="auto"/>
        <w:ind w:firstLine="420"/>
        <w:rPr>
          <w:rFonts w:hint="eastAsia" w:ascii="宋体" w:hAnsi="宋体" w:cs="宋体"/>
          <w:snapToGrid w:val="0"/>
          <w:color w:val="auto"/>
          <w:kern w:val="0"/>
          <w:szCs w:val="21"/>
          <w:highlight w:val="none"/>
        </w:rPr>
      </w:pPr>
      <w:bookmarkStart w:id="11" w:name="_Toc184635057"/>
      <w:bookmarkEnd w:id="11"/>
      <w:bookmarkStart w:id="12" w:name="_Toc463903698"/>
      <w:bookmarkStart w:id="13" w:name="_Toc430205964"/>
      <w:bookmarkStart w:id="14" w:name="_Toc502657885"/>
      <w:bookmarkStart w:id="15" w:name="_Toc381283888"/>
      <w:r>
        <w:rPr>
          <w:rFonts w:hint="eastAsia" w:ascii="宋体" w:hAnsi="宋体" w:cs="宋体"/>
          <w:bCs/>
          <w:color w:val="auto"/>
          <w:kern w:val="0"/>
          <w:szCs w:val="21"/>
          <w:highlight w:val="none"/>
        </w:rPr>
        <w:t>4.1 凡有意参加比选申请者，请于</w:t>
      </w:r>
      <w:r>
        <w:rPr>
          <w:rFonts w:hint="eastAsia" w:ascii="宋体" w:hAnsi="宋体" w:cs="宋体"/>
          <w:bCs/>
          <w:color w:val="auto"/>
          <w:kern w:val="0"/>
          <w:szCs w:val="21"/>
          <w:highlight w:val="none"/>
          <w:u w:val="single"/>
        </w:rPr>
        <w:t>202</w:t>
      </w:r>
      <w:r>
        <w:rPr>
          <w:rFonts w:hint="eastAsia" w:ascii="宋体" w:hAnsi="宋体" w:cs="宋体"/>
          <w:bCs/>
          <w:color w:val="auto"/>
          <w:kern w:val="0"/>
          <w:szCs w:val="21"/>
          <w:highlight w:val="none"/>
          <w:u w:val="single"/>
          <w:lang w:val="en-US" w:eastAsia="zh-CN"/>
        </w:rPr>
        <w:t>4</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u w:val="single"/>
          <w:lang w:val="en-US" w:eastAsia="zh-CN"/>
        </w:rPr>
        <w:t>7</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u w:val="single"/>
          <w:lang w:val="en-US" w:eastAsia="zh-CN"/>
        </w:rPr>
        <w:t>17</w:t>
      </w:r>
      <w:r>
        <w:rPr>
          <w:rFonts w:hint="eastAsia" w:ascii="宋体" w:hAnsi="宋体" w:cs="宋体"/>
          <w:bCs/>
          <w:color w:val="auto"/>
          <w:kern w:val="0"/>
          <w:szCs w:val="21"/>
          <w:highlight w:val="none"/>
        </w:rPr>
        <w:t>日起，在</w:t>
      </w:r>
      <w:r>
        <w:rPr>
          <w:rFonts w:hint="eastAsia" w:ascii="宋体" w:hAnsi="宋体" w:cs="宋体"/>
          <w:bCs/>
          <w:color w:val="auto"/>
          <w:kern w:val="0"/>
          <w:szCs w:val="21"/>
          <w:highlight w:val="none"/>
          <w:u w:val="single"/>
          <w:lang w:eastAsia="zh-CN"/>
        </w:rPr>
        <w:t>垫江县人民政府网（http://www.cqsdj.gov.cn/）</w:t>
      </w:r>
      <w:r>
        <w:rPr>
          <w:rFonts w:hint="eastAsia" w:ascii="宋体" w:hAnsi="宋体" w:cs="宋体"/>
          <w:bCs/>
          <w:color w:val="auto"/>
          <w:kern w:val="0"/>
          <w:szCs w:val="21"/>
          <w:highlight w:val="none"/>
        </w:rPr>
        <w:t>下载竞争性比选文件、图纸、工程量清单、答疑、补遗、限价</w:t>
      </w:r>
      <w:r>
        <w:rPr>
          <w:rFonts w:hint="eastAsia" w:ascii="宋体" w:hAnsi="宋体" w:cs="宋体"/>
          <w:snapToGrid w:val="0"/>
          <w:color w:val="auto"/>
          <w:kern w:val="0"/>
          <w:szCs w:val="21"/>
          <w:highlight w:val="none"/>
        </w:rPr>
        <w:t>等所有比选相关资料</w:t>
      </w:r>
      <w:r>
        <w:rPr>
          <w:rFonts w:hint="eastAsia" w:ascii="宋体" w:hAnsi="宋体" w:cs="宋体"/>
          <w:bCs/>
          <w:color w:val="auto"/>
          <w:kern w:val="0"/>
          <w:szCs w:val="21"/>
          <w:highlight w:val="none"/>
        </w:rPr>
        <w:t>，</w:t>
      </w:r>
      <w:r>
        <w:rPr>
          <w:rFonts w:hint="eastAsia" w:ascii="宋体" w:hAnsi="宋体" w:cs="宋体"/>
          <w:snapToGrid w:val="0"/>
          <w:color w:val="auto"/>
          <w:kern w:val="0"/>
          <w:szCs w:val="21"/>
          <w:highlight w:val="none"/>
        </w:rPr>
        <w:t>不论比选申请人下载与否，都视为比选申请人收到以上资料并全部知晓有关比选过程和事宜，由此产生的一切后果由比选申请人自负。</w:t>
      </w:r>
    </w:p>
    <w:p w14:paraId="6A6D5C1E">
      <w:pPr>
        <w:tabs>
          <w:tab w:val="left" w:pos="3850"/>
          <w:tab w:val="left" w:pos="3980"/>
          <w:tab w:val="left" w:pos="4100"/>
          <w:tab w:val="left" w:pos="4600"/>
          <w:tab w:val="left" w:pos="5360"/>
          <w:tab w:val="left" w:pos="5460"/>
          <w:tab w:val="left" w:pos="6200"/>
          <w:tab w:val="left" w:pos="6327"/>
          <w:tab w:val="left" w:pos="6901"/>
        </w:tabs>
        <w:wordWrap w:val="0"/>
        <w:autoSpaceDE w:val="0"/>
        <w:autoSpaceDN w:val="0"/>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4.2 </w:t>
      </w:r>
      <w:r>
        <w:rPr>
          <w:rFonts w:hint="eastAsia" w:ascii="宋体" w:hAnsi="宋体" w:eastAsia="宋体" w:cs="宋体"/>
          <w:bCs/>
          <w:color w:val="auto"/>
          <w:kern w:val="0"/>
          <w:szCs w:val="21"/>
          <w:highlight w:val="none"/>
        </w:rPr>
        <w:fldChar w:fldCharType="begin"/>
      </w:r>
      <w:r>
        <w:rPr>
          <w:rFonts w:hint="eastAsia" w:ascii="宋体" w:hAnsi="宋体" w:eastAsia="宋体" w:cs="宋体"/>
          <w:bCs/>
          <w:color w:val="auto"/>
          <w:kern w:val="0"/>
          <w:szCs w:val="21"/>
          <w:highlight w:val="none"/>
        </w:rPr>
        <w:instrText xml:space="preserve"> HYPERLINK "mailto:比选申请人可书面或通过邮箱（115104724@qq.com）提交质疑，提问时间从本公告发布至2023年" </w:instrText>
      </w:r>
      <w:r>
        <w:rPr>
          <w:rFonts w:hint="eastAsia" w:ascii="宋体" w:hAnsi="宋体" w:eastAsia="宋体" w:cs="宋体"/>
          <w:bCs/>
          <w:color w:val="auto"/>
          <w:kern w:val="0"/>
          <w:szCs w:val="21"/>
          <w:highlight w:val="none"/>
        </w:rPr>
        <w:fldChar w:fldCharType="separate"/>
      </w:r>
      <w:r>
        <w:rPr>
          <w:rFonts w:hint="eastAsia" w:ascii="宋体" w:hAnsi="宋体" w:eastAsia="宋体" w:cs="宋体"/>
          <w:bCs/>
          <w:color w:val="auto"/>
          <w:kern w:val="0"/>
          <w:szCs w:val="21"/>
          <w:highlight w:val="none"/>
        </w:rPr>
        <w:t>比选申请人可</w:t>
      </w:r>
      <w:r>
        <w:rPr>
          <w:rFonts w:hint="eastAsia" w:ascii="宋体" w:hAnsi="宋体" w:eastAsia="宋体" w:cs="宋体"/>
          <w:bCs/>
          <w:color w:val="auto"/>
          <w:kern w:val="0"/>
          <w:szCs w:val="21"/>
          <w:highlight w:val="none"/>
          <w:lang w:val="en-US" w:eastAsia="zh-CN"/>
        </w:rPr>
        <w:t>书面、传真或通过邮箱（</w:t>
      </w:r>
      <w:r>
        <w:rPr>
          <w:rFonts w:hint="eastAsia" w:ascii="宋体" w:hAnsi="宋体" w:cs="宋体"/>
          <w:bCs/>
          <w:color w:val="auto"/>
          <w:kern w:val="0"/>
          <w:szCs w:val="21"/>
          <w:highlight w:val="none"/>
          <w:lang w:val="en-US" w:eastAsia="zh-CN"/>
        </w:rPr>
        <w:t>3375516420</w:t>
      </w:r>
      <w:r>
        <w:rPr>
          <w:rFonts w:hint="eastAsia" w:ascii="宋体" w:hAnsi="宋体" w:eastAsia="宋体" w:cs="宋体"/>
          <w:bCs/>
          <w:color w:val="auto"/>
          <w:kern w:val="0"/>
          <w:szCs w:val="21"/>
          <w:highlight w:val="none"/>
          <w:lang w:val="en-US" w:eastAsia="zh-CN"/>
        </w:rPr>
        <w:t>@qq.com）提交质疑</w:t>
      </w:r>
      <w:r>
        <w:rPr>
          <w:rFonts w:hint="eastAsia" w:ascii="宋体" w:hAnsi="宋体" w:eastAsia="宋体" w:cs="宋体"/>
          <w:bCs/>
          <w:color w:val="auto"/>
          <w:kern w:val="0"/>
          <w:szCs w:val="21"/>
          <w:highlight w:val="none"/>
        </w:rPr>
        <w:t>，提问时间从本公告发布至</w:t>
      </w:r>
      <w:r>
        <w:rPr>
          <w:rFonts w:hint="eastAsia" w:ascii="宋体" w:hAnsi="宋体" w:eastAsia="宋体" w:cs="宋体"/>
          <w:bCs/>
          <w:color w:val="auto"/>
          <w:kern w:val="0"/>
          <w:szCs w:val="21"/>
          <w:highlight w:val="none"/>
          <w:u w:val="single"/>
        </w:rPr>
        <w:t>20</w:t>
      </w:r>
      <w:r>
        <w:rPr>
          <w:rFonts w:hint="eastAsia" w:ascii="宋体" w:hAnsi="宋体" w:cs="宋体"/>
          <w:bCs/>
          <w:color w:val="auto"/>
          <w:kern w:val="0"/>
          <w:szCs w:val="21"/>
          <w:highlight w:val="none"/>
          <w:u w:val="single"/>
          <w:lang w:val="en-US" w:eastAsia="zh-CN"/>
        </w:rPr>
        <w:t>24</w:t>
      </w:r>
      <w:r>
        <w:rPr>
          <w:rFonts w:hint="eastAsia" w:ascii="宋体" w:hAnsi="宋体" w:eastAsia="宋体" w:cs="宋体"/>
          <w:bCs/>
          <w:color w:val="auto"/>
          <w:kern w:val="0"/>
          <w:szCs w:val="21"/>
          <w:highlight w:val="none"/>
        </w:rPr>
        <w:t>年</w:t>
      </w:r>
      <w:r>
        <w:rPr>
          <w:rFonts w:hint="eastAsia" w:ascii="宋体" w:hAnsi="宋体" w:eastAsia="宋体" w:cs="宋体"/>
          <w:bCs/>
          <w:color w:val="auto"/>
          <w:kern w:val="0"/>
          <w:szCs w:val="21"/>
          <w:highlight w:val="none"/>
        </w:rPr>
        <w:fldChar w:fldCharType="end"/>
      </w:r>
      <w:r>
        <w:rPr>
          <w:rFonts w:hint="eastAsia" w:ascii="宋体" w:hAnsi="宋体" w:cs="宋体"/>
          <w:color w:val="auto"/>
          <w:kern w:val="0"/>
          <w:szCs w:val="21"/>
          <w:highlight w:val="none"/>
          <w:u w:val="single"/>
          <w:lang w:val="en-US" w:eastAsia="zh-CN"/>
        </w:rPr>
        <w:t>7</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18</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lang w:val="en-US" w:eastAsia="zh-CN"/>
        </w:rPr>
        <w:t>17</w:t>
      </w:r>
      <w:r>
        <w:rPr>
          <w:rFonts w:hint="eastAsia" w:ascii="宋体" w:hAnsi="宋体" w:cs="宋体"/>
          <w:color w:val="auto"/>
          <w:szCs w:val="21"/>
          <w:highlight w:val="none"/>
        </w:rPr>
        <w:t>时</w:t>
      </w:r>
      <w:r>
        <w:rPr>
          <w:rFonts w:hint="eastAsia" w:ascii="宋体" w:hAnsi="宋体" w:cs="宋体"/>
          <w:color w:val="auto"/>
          <w:szCs w:val="21"/>
          <w:highlight w:val="none"/>
          <w:u w:val="single"/>
        </w:rPr>
        <w:t>00</w:t>
      </w:r>
      <w:r>
        <w:rPr>
          <w:rFonts w:hint="eastAsia" w:ascii="宋体" w:hAnsi="宋体" w:cs="宋体"/>
          <w:color w:val="auto"/>
          <w:szCs w:val="21"/>
          <w:highlight w:val="none"/>
        </w:rPr>
        <w:t>分</w:t>
      </w:r>
      <w:r>
        <w:rPr>
          <w:rFonts w:hint="eastAsia" w:ascii="宋体" w:hAnsi="宋体" w:cs="宋体"/>
          <w:snapToGrid w:val="0"/>
          <w:color w:val="auto"/>
          <w:kern w:val="0"/>
          <w:szCs w:val="21"/>
          <w:highlight w:val="none"/>
        </w:rPr>
        <w:t>（北京时间）前。</w:t>
      </w:r>
    </w:p>
    <w:p w14:paraId="4B7CBEEA">
      <w:pPr>
        <w:tabs>
          <w:tab w:val="left" w:pos="3850"/>
          <w:tab w:val="left" w:pos="3980"/>
          <w:tab w:val="left" w:pos="4100"/>
          <w:tab w:val="left" w:pos="4600"/>
          <w:tab w:val="left" w:pos="5360"/>
          <w:tab w:val="left" w:pos="5460"/>
          <w:tab w:val="left" w:pos="6200"/>
          <w:tab w:val="left" w:pos="6327"/>
          <w:tab w:val="left" w:pos="6901"/>
        </w:tabs>
        <w:wordWrap w:val="0"/>
        <w:autoSpaceDE w:val="0"/>
        <w:autoSpaceDN w:val="0"/>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4.3 比选人应于</w:t>
      </w:r>
      <w:r>
        <w:rPr>
          <w:rFonts w:hint="eastAsia" w:ascii="宋体" w:hAnsi="宋体" w:cs="宋体"/>
          <w:color w:val="auto"/>
          <w:kern w:val="0"/>
          <w:szCs w:val="21"/>
          <w:highlight w:val="none"/>
          <w:u w:val="single"/>
        </w:rPr>
        <w:t>202</w:t>
      </w:r>
      <w:r>
        <w:rPr>
          <w:rFonts w:hint="eastAsia" w:ascii="宋体" w:hAnsi="宋体" w:cs="宋体"/>
          <w:color w:val="auto"/>
          <w:kern w:val="0"/>
          <w:szCs w:val="21"/>
          <w:highlight w:val="none"/>
          <w:u w:val="single"/>
          <w:lang w:val="en-US" w:eastAsia="zh-CN"/>
        </w:rPr>
        <w:t>4</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lang w:val="en-US" w:eastAsia="zh-CN"/>
        </w:rPr>
        <w:t>7</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19</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rPr>
        <w:t>1</w:t>
      </w:r>
      <w:r>
        <w:rPr>
          <w:rFonts w:hint="eastAsia" w:ascii="宋体" w:hAnsi="宋体" w:cs="宋体"/>
          <w:color w:val="auto"/>
          <w:kern w:val="0"/>
          <w:szCs w:val="21"/>
          <w:highlight w:val="none"/>
          <w:u w:val="single"/>
          <w:lang w:val="en-US" w:eastAsia="zh-CN"/>
        </w:rPr>
        <w:t>7</w:t>
      </w:r>
      <w:r>
        <w:rPr>
          <w:rFonts w:hint="eastAsia" w:ascii="宋体" w:hAnsi="宋体" w:cs="宋体"/>
          <w:color w:val="auto"/>
          <w:szCs w:val="21"/>
          <w:highlight w:val="none"/>
        </w:rPr>
        <w:t>时</w:t>
      </w:r>
      <w:r>
        <w:rPr>
          <w:rFonts w:hint="eastAsia" w:ascii="宋体" w:hAnsi="宋体" w:cs="宋体"/>
          <w:color w:val="auto"/>
          <w:kern w:val="0"/>
          <w:szCs w:val="21"/>
          <w:highlight w:val="none"/>
          <w:u w:val="single"/>
        </w:rPr>
        <w:t>00</w:t>
      </w:r>
      <w:r>
        <w:rPr>
          <w:rFonts w:hint="eastAsia" w:ascii="宋体" w:hAnsi="宋体" w:cs="宋体"/>
          <w:color w:val="auto"/>
          <w:szCs w:val="21"/>
          <w:highlight w:val="none"/>
        </w:rPr>
        <w:t>分</w:t>
      </w:r>
      <w:r>
        <w:rPr>
          <w:rFonts w:hint="eastAsia" w:ascii="宋体" w:hAnsi="宋体" w:cs="宋体"/>
          <w:snapToGrid w:val="0"/>
          <w:color w:val="auto"/>
          <w:kern w:val="0"/>
          <w:szCs w:val="21"/>
          <w:highlight w:val="none"/>
        </w:rPr>
        <w:t>（北京时间）前在</w:t>
      </w:r>
      <w:r>
        <w:rPr>
          <w:rFonts w:hint="eastAsia" w:ascii="宋体" w:hAnsi="宋体" w:cs="宋体"/>
          <w:color w:val="auto"/>
          <w:szCs w:val="21"/>
          <w:highlight w:val="none"/>
          <w:u w:val="single"/>
          <w:shd w:val="clear" w:color="auto" w:fill="FFFFFF"/>
          <w:lang w:eastAsia="zh-CN"/>
        </w:rPr>
        <w:t>垫江县人民政府网（http://www.cqsdj.gov.cn/）</w:t>
      </w:r>
      <w:r>
        <w:rPr>
          <w:rFonts w:hint="eastAsia" w:ascii="宋体" w:hAnsi="宋体" w:cs="宋体"/>
          <w:snapToGrid w:val="0"/>
          <w:color w:val="auto"/>
          <w:kern w:val="0"/>
          <w:szCs w:val="21"/>
          <w:highlight w:val="none"/>
        </w:rPr>
        <w:t>发布澄清。</w:t>
      </w:r>
    </w:p>
    <w:p w14:paraId="43105851">
      <w:pPr>
        <w:pStyle w:val="4"/>
        <w:numPr>
          <w:ilvl w:val="0"/>
          <w:numId w:val="0"/>
        </w:numPr>
        <w:tabs>
          <w:tab w:val="left" w:pos="720"/>
          <w:tab w:val="clear" w:pos="709"/>
        </w:tabs>
        <w:snapToGrid w:val="0"/>
        <w:spacing w:line="360" w:lineRule="auto"/>
        <w:rPr>
          <w:rFonts w:hint="eastAsia" w:ascii="宋体" w:hAnsi="宋体" w:eastAsia="宋体" w:cs="宋体"/>
          <w:bCs/>
          <w:color w:val="auto"/>
          <w:szCs w:val="21"/>
          <w:highlight w:val="none"/>
        </w:rPr>
      </w:pPr>
      <w:bookmarkStart w:id="16" w:name="_Toc15340"/>
      <w:r>
        <w:rPr>
          <w:rFonts w:hint="eastAsia" w:ascii="宋体" w:hAnsi="宋体" w:eastAsia="宋体" w:cs="宋体"/>
          <w:bCs/>
          <w:color w:val="auto"/>
          <w:szCs w:val="21"/>
          <w:highlight w:val="none"/>
        </w:rPr>
        <w:t>5. 比选申请文件的递交</w:t>
      </w:r>
      <w:bookmarkEnd w:id="12"/>
      <w:bookmarkEnd w:id="13"/>
      <w:bookmarkEnd w:id="14"/>
      <w:bookmarkEnd w:id="16"/>
    </w:p>
    <w:p w14:paraId="308F85C5">
      <w:pPr>
        <w:tabs>
          <w:tab w:val="left" w:pos="2420"/>
          <w:tab w:val="left" w:pos="5445"/>
        </w:tabs>
        <w:autoSpaceDE w:val="0"/>
        <w:autoSpaceDN w:val="0"/>
        <w:adjustRightInd w:val="0"/>
        <w:snapToGrid w:val="0"/>
        <w:spacing w:line="360" w:lineRule="auto"/>
        <w:ind w:firstLine="420"/>
        <w:rPr>
          <w:rFonts w:hint="eastAsia" w:ascii="宋体" w:hAnsi="宋体" w:cs="宋体"/>
          <w:snapToGrid w:val="0"/>
          <w:color w:val="auto"/>
          <w:kern w:val="0"/>
          <w:szCs w:val="21"/>
          <w:highlight w:val="none"/>
        </w:rPr>
      </w:pPr>
      <w:r>
        <w:rPr>
          <w:rFonts w:hint="eastAsia" w:ascii="宋体" w:hAnsi="宋体" w:cs="宋体"/>
          <w:bCs/>
          <w:color w:val="auto"/>
          <w:kern w:val="0"/>
          <w:szCs w:val="21"/>
          <w:highlight w:val="none"/>
        </w:rPr>
        <w:t>5.1 递交比选申请文件的时间为</w:t>
      </w:r>
      <w:r>
        <w:rPr>
          <w:rFonts w:hint="eastAsia" w:ascii="宋体" w:hAnsi="宋体" w:cs="宋体"/>
          <w:bCs/>
          <w:color w:val="auto"/>
          <w:kern w:val="0"/>
          <w:szCs w:val="21"/>
          <w:highlight w:val="none"/>
          <w:u w:val="single"/>
        </w:rPr>
        <w:t xml:space="preserve"> 20</w:t>
      </w:r>
      <w:r>
        <w:rPr>
          <w:rFonts w:hint="eastAsia" w:ascii="宋体" w:hAnsi="宋体" w:cs="宋体"/>
          <w:bCs/>
          <w:color w:val="auto"/>
          <w:kern w:val="0"/>
          <w:szCs w:val="21"/>
          <w:highlight w:val="none"/>
          <w:u w:val="single"/>
          <w:lang w:val="en-US" w:eastAsia="zh-CN"/>
        </w:rPr>
        <w:t>24</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u w:val="single"/>
          <w:lang w:val="en-US" w:eastAsia="zh-CN"/>
        </w:rPr>
        <w:t>7</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u w:val="single"/>
          <w:lang w:val="en-US" w:eastAsia="zh-CN"/>
        </w:rPr>
        <w:t>23</w:t>
      </w:r>
      <w:r>
        <w:rPr>
          <w:rFonts w:hint="eastAsia" w:ascii="宋体" w:hAnsi="宋体" w:cs="宋体"/>
          <w:bCs/>
          <w:color w:val="auto"/>
          <w:kern w:val="0"/>
          <w:szCs w:val="21"/>
          <w:highlight w:val="none"/>
        </w:rPr>
        <w:t>日</w:t>
      </w:r>
      <w:r>
        <w:rPr>
          <w:rFonts w:hint="eastAsia" w:ascii="宋体" w:hAnsi="宋体" w:cs="宋体"/>
          <w:bCs/>
          <w:color w:val="auto"/>
          <w:kern w:val="0"/>
          <w:szCs w:val="21"/>
          <w:highlight w:val="none"/>
          <w:u w:val="single"/>
          <w:lang w:val="en-US" w:eastAsia="zh-CN"/>
        </w:rPr>
        <w:t>14</w:t>
      </w:r>
      <w:r>
        <w:rPr>
          <w:rFonts w:hint="eastAsia" w:ascii="宋体" w:hAnsi="宋体" w:cs="宋体"/>
          <w:bCs/>
          <w:color w:val="auto"/>
          <w:kern w:val="0"/>
          <w:szCs w:val="21"/>
          <w:highlight w:val="none"/>
        </w:rPr>
        <w:t>时</w:t>
      </w:r>
      <w:r>
        <w:rPr>
          <w:rFonts w:hint="eastAsia" w:ascii="宋体" w:hAnsi="宋体" w:cs="宋体"/>
          <w:bCs/>
          <w:color w:val="auto"/>
          <w:kern w:val="0"/>
          <w:szCs w:val="21"/>
          <w:highlight w:val="none"/>
          <w:u w:val="single"/>
          <w:lang w:val="en-US" w:eastAsia="zh-CN"/>
        </w:rPr>
        <w:t>00</w:t>
      </w:r>
      <w:r>
        <w:rPr>
          <w:rFonts w:hint="eastAsia" w:ascii="宋体" w:hAnsi="宋体" w:cs="宋体"/>
          <w:bCs/>
          <w:color w:val="auto"/>
          <w:kern w:val="0"/>
          <w:szCs w:val="21"/>
          <w:highlight w:val="none"/>
        </w:rPr>
        <w:t>分至</w:t>
      </w:r>
      <w:r>
        <w:rPr>
          <w:rFonts w:hint="eastAsia" w:ascii="宋体" w:hAnsi="宋体" w:cs="宋体"/>
          <w:bCs/>
          <w:color w:val="auto"/>
          <w:kern w:val="0"/>
          <w:szCs w:val="21"/>
          <w:highlight w:val="none"/>
          <w:u w:val="single"/>
          <w:lang w:val="en-US" w:eastAsia="zh-CN"/>
        </w:rPr>
        <w:t>14</w:t>
      </w:r>
      <w:r>
        <w:rPr>
          <w:rFonts w:hint="eastAsia" w:ascii="宋体" w:hAnsi="宋体" w:cs="宋体"/>
          <w:bCs/>
          <w:color w:val="auto"/>
          <w:kern w:val="0"/>
          <w:szCs w:val="21"/>
          <w:highlight w:val="none"/>
        </w:rPr>
        <w:t>时</w:t>
      </w:r>
      <w:r>
        <w:rPr>
          <w:rFonts w:hint="eastAsia" w:ascii="宋体" w:hAnsi="宋体" w:cs="宋体"/>
          <w:bCs/>
          <w:color w:val="auto"/>
          <w:kern w:val="0"/>
          <w:szCs w:val="21"/>
          <w:highlight w:val="none"/>
          <w:u w:val="single"/>
          <w:lang w:val="en-US" w:eastAsia="zh-CN"/>
        </w:rPr>
        <w:t>30</w:t>
      </w:r>
      <w:r>
        <w:rPr>
          <w:rFonts w:hint="eastAsia" w:ascii="宋体" w:hAnsi="宋体" w:cs="宋体"/>
          <w:bCs/>
          <w:color w:val="auto"/>
          <w:kern w:val="0"/>
          <w:szCs w:val="21"/>
          <w:highlight w:val="none"/>
        </w:rPr>
        <w:t>分，地点为</w:t>
      </w:r>
      <w:r>
        <w:rPr>
          <w:rFonts w:hint="eastAsia" w:ascii="宋体" w:hAnsi="宋体" w:cs="宋体"/>
          <w:bCs/>
          <w:color w:val="auto"/>
          <w:kern w:val="0"/>
          <w:szCs w:val="21"/>
          <w:highlight w:val="none"/>
          <w:u w:val="single"/>
        </w:rPr>
        <w:t>重庆市垫江县桂阳街道桂西大道南二段2号财富大厦1</w:t>
      </w:r>
      <w:r>
        <w:rPr>
          <w:rFonts w:hint="eastAsia" w:ascii="宋体" w:hAnsi="宋体" w:cs="宋体"/>
          <w:bCs/>
          <w:color w:val="auto"/>
          <w:kern w:val="0"/>
          <w:szCs w:val="21"/>
          <w:highlight w:val="none"/>
          <w:u w:val="single"/>
          <w:lang w:val="en-US" w:eastAsia="zh-CN"/>
        </w:rPr>
        <w:t>508</w:t>
      </w:r>
      <w:r>
        <w:rPr>
          <w:rFonts w:hint="eastAsia" w:ascii="宋体" w:hAnsi="宋体" w:cs="宋体"/>
          <w:bCs/>
          <w:color w:val="auto"/>
          <w:kern w:val="0"/>
          <w:szCs w:val="21"/>
          <w:highlight w:val="none"/>
          <w:u w:val="single"/>
        </w:rPr>
        <w:t>会议室</w:t>
      </w:r>
      <w:r>
        <w:rPr>
          <w:rFonts w:hint="eastAsia" w:ascii="宋体" w:hAnsi="宋体" w:cs="宋体"/>
          <w:bCs/>
          <w:color w:val="auto"/>
          <w:kern w:val="0"/>
          <w:szCs w:val="21"/>
          <w:highlight w:val="none"/>
        </w:rPr>
        <w:t>。</w:t>
      </w:r>
    </w:p>
    <w:p w14:paraId="08AE6454">
      <w:pPr>
        <w:tabs>
          <w:tab w:val="left" w:pos="2420"/>
          <w:tab w:val="left" w:pos="5445"/>
        </w:tabs>
        <w:autoSpaceDE w:val="0"/>
        <w:autoSpaceDN w:val="0"/>
        <w:adjustRightInd w:val="0"/>
        <w:snapToGrid w:val="0"/>
        <w:spacing w:line="360" w:lineRule="auto"/>
        <w:ind w:firstLine="42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5.2 逾期送达的或者未送达指定地点的比选申请文件，比选人不予受理。</w:t>
      </w:r>
    </w:p>
    <w:p w14:paraId="2E4638B2">
      <w:pPr>
        <w:pStyle w:val="4"/>
        <w:numPr>
          <w:ilvl w:val="0"/>
          <w:numId w:val="0"/>
        </w:numPr>
        <w:tabs>
          <w:tab w:val="left" w:pos="720"/>
          <w:tab w:val="clear" w:pos="709"/>
        </w:tabs>
        <w:snapToGrid w:val="0"/>
        <w:spacing w:line="360" w:lineRule="auto"/>
        <w:rPr>
          <w:rFonts w:hint="eastAsia" w:ascii="宋体" w:hAnsi="宋体" w:eastAsia="宋体" w:cs="宋体"/>
          <w:bCs/>
          <w:color w:val="auto"/>
          <w:szCs w:val="21"/>
          <w:highlight w:val="none"/>
        </w:rPr>
      </w:pPr>
      <w:bookmarkStart w:id="17" w:name="_Toc20357"/>
      <w:r>
        <w:rPr>
          <w:rFonts w:hint="eastAsia" w:ascii="宋体" w:hAnsi="宋体" w:eastAsia="宋体" w:cs="宋体"/>
          <w:bCs/>
          <w:color w:val="auto"/>
          <w:szCs w:val="21"/>
          <w:highlight w:val="none"/>
        </w:rPr>
        <w:t>6. 发布招标公告的媒介</w:t>
      </w:r>
      <w:bookmarkEnd w:id="17"/>
    </w:p>
    <w:p w14:paraId="44070E86">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本次比选公告在 “</w:t>
      </w:r>
      <w:r>
        <w:rPr>
          <w:rFonts w:hint="eastAsia" w:ascii="宋体" w:hAnsi="宋体" w:cs="宋体"/>
          <w:bCs/>
          <w:color w:val="auto"/>
          <w:kern w:val="0"/>
          <w:szCs w:val="21"/>
          <w:highlight w:val="none"/>
          <w:u w:val="single"/>
          <w:lang w:eastAsia="zh-CN"/>
        </w:rPr>
        <w:t>垫江县人民政府网（http://www.cqsdj.gov.cn/）</w:t>
      </w:r>
      <w:r>
        <w:rPr>
          <w:rFonts w:hint="eastAsia" w:ascii="宋体" w:hAnsi="宋体" w:cs="宋体"/>
          <w:color w:val="auto"/>
          <w:szCs w:val="21"/>
          <w:highlight w:val="none"/>
        </w:rPr>
        <w:t>”上发布。</w:t>
      </w:r>
    </w:p>
    <w:p w14:paraId="7557EC8A">
      <w:pPr>
        <w:pStyle w:val="4"/>
        <w:numPr>
          <w:ilvl w:val="0"/>
          <w:numId w:val="0"/>
        </w:numPr>
        <w:tabs>
          <w:tab w:val="left" w:pos="720"/>
          <w:tab w:val="clear" w:pos="709"/>
        </w:tabs>
        <w:snapToGrid w:val="0"/>
        <w:spacing w:line="360" w:lineRule="auto"/>
        <w:rPr>
          <w:rFonts w:hint="eastAsia" w:ascii="宋体" w:hAnsi="宋体" w:eastAsia="宋体" w:cs="宋体"/>
          <w:snapToGrid w:val="0"/>
          <w:color w:val="auto"/>
          <w:kern w:val="0"/>
          <w:szCs w:val="21"/>
          <w:highlight w:val="none"/>
        </w:rPr>
      </w:pPr>
      <w:bookmarkStart w:id="18" w:name="_Toc26687"/>
      <w:r>
        <w:rPr>
          <w:rFonts w:hint="eastAsia" w:ascii="宋体" w:hAnsi="宋体" w:eastAsia="宋体" w:cs="宋体"/>
          <w:bCs/>
          <w:color w:val="auto"/>
          <w:szCs w:val="21"/>
          <w:highlight w:val="none"/>
        </w:rPr>
        <w:t>7．联系方式</w:t>
      </w:r>
      <w:bookmarkEnd w:id="15"/>
      <w:bookmarkEnd w:id="18"/>
    </w:p>
    <w:p w14:paraId="4219B952">
      <w:pPr>
        <w:tabs>
          <w:tab w:val="left" w:pos="5140"/>
          <w:tab w:val="left" w:pos="8520"/>
        </w:tabs>
        <w:autoSpaceDE w:val="0"/>
        <w:autoSpaceDN w:val="0"/>
        <w:adjustRightInd w:val="0"/>
        <w:snapToGrid w:val="0"/>
        <w:spacing w:line="360" w:lineRule="auto"/>
        <w:ind w:left="5670" w:hanging="5670" w:hangingChars="2700"/>
        <w:jc w:val="left"/>
        <w:rPr>
          <w:rFonts w:hint="eastAsia" w:ascii="宋体" w:hAnsi="宋体" w:eastAsia="宋体" w:cs="宋体"/>
          <w:snapToGrid w:val="0"/>
          <w:color w:val="auto"/>
          <w:kern w:val="0"/>
          <w:szCs w:val="21"/>
          <w:highlight w:val="none"/>
          <w:u w:val="none"/>
          <w:lang w:eastAsia="zh-CN"/>
        </w:rPr>
      </w:pPr>
      <w:r>
        <w:rPr>
          <w:rFonts w:hint="eastAsia" w:ascii="宋体" w:hAnsi="宋体" w:cs="宋体"/>
          <w:snapToGrid w:val="0"/>
          <w:color w:val="auto"/>
          <w:kern w:val="0"/>
          <w:szCs w:val="21"/>
          <w:highlight w:val="none"/>
          <w:u w:val="none"/>
        </w:rPr>
        <w:t>比选人：</w:t>
      </w:r>
      <w:r>
        <w:rPr>
          <w:rFonts w:hint="eastAsia" w:ascii="宋体" w:hAnsi="宋体" w:cs="宋体"/>
          <w:snapToGrid w:val="0"/>
          <w:color w:val="auto"/>
          <w:kern w:val="0"/>
          <w:szCs w:val="21"/>
          <w:highlight w:val="none"/>
          <w:u w:val="none"/>
          <w:lang w:eastAsia="zh-CN"/>
        </w:rPr>
        <w:t>垫江县小厦建筑有限公司</w:t>
      </w:r>
      <w:r>
        <w:rPr>
          <w:rFonts w:hint="eastAsia" w:ascii="宋体" w:hAnsi="宋体" w:cs="宋体"/>
          <w:snapToGrid w:val="0"/>
          <w:color w:val="auto"/>
          <w:spacing w:val="-6"/>
          <w:kern w:val="0"/>
          <w:szCs w:val="21"/>
          <w:highlight w:val="none"/>
          <w:u w:val="none"/>
        </w:rPr>
        <w:t xml:space="preserve">      </w:t>
      </w:r>
      <w:r>
        <w:rPr>
          <w:rFonts w:hint="eastAsia" w:ascii="宋体" w:hAnsi="宋体" w:cs="宋体"/>
          <w:snapToGrid w:val="0"/>
          <w:color w:val="auto"/>
          <w:spacing w:val="-6"/>
          <w:kern w:val="0"/>
          <w:szCs w:val="21"/>
          <w:highlight w:val="none"/>
          <w:u w:val="none"/>
          <w:lang w:val="en-US" w:eastAsia="zh-CN"/>
        </w:rPr>
        <w:t xml:space="preserve">     </w:t>
      </w:r>
      <w:r>
        <w:rPr>
          <w:rFonts w:hint="eastAsia" w:ascii="宋体" w:hAnsi="宋体" w:cs="宋体"/>
          <w:snapToGrid w:val="0"/>
          <w:color w:val="auto"/>
          <w:kern w:val="0"/>
          <w:szCs w:val="21"/>
          <w:highlight w:val="none"/>
          <w:u w:val="none"/>
        </w:rPr>
        <w:t>比选代理机构：</w:t>
      </w:r>
      <w:r>
        <w:rPr>
          <w:rFonts w:hint="eastAsia" w:ascii="宋体" w:hAnsi="宋体" w:cs="宋体"/>
          <w:snapToGrid w:val="0"/>
          <w:color w:val="auto"/>
          <w:kern w:val="0"/>
          <w:szCs w:val="21"/>
          <w:highlight w:val="none"/>
          <w:u w:val="none"/>
          <w:lang w:eastAsia="zh-CN"/>
        </w:rPr>
        <w:t>重庆夔杨工程项目管理咨询有限公司</w:t>
      </w:r>
    </w:p>
    <w:p w14:paraId="60C461ED">
      <w:pPr>
        <w:tabs>
          <w:tab w:val="left" w:pos="5140"/>
          <w:tab w:val="left" w:pos="8420"/>
        </w:tabs>
        <w:autoSpaceDE w:val="0"/>
        <w:autoSpaceDN w:val="0"/>
        <w:adjustRightInd w:val="0"/>
        <w:snapToGrid w:val="0"/>
        <w:spacing w:line="360" w:lineRule="auto"/>
        <w:ind w:left="5145" w:hanging="5145" w:hangingChars="2450"/>
        <w:jc w:val="left"/>
        <w:rPr>
          <w:rFonts w:hint="eastAsia" w:ascii="宋体" w:hAnsi="宋体" w:eastAsia="宋体" w:cs="宋体"/>
          <w:snapToGrid w:val="0"/>
          <w:color w:val="auto"/>
          <w:kern w:val="0"/>
          <w:szCs w:val="21"/>
          <w:highlight w:val="none"/>
          <w:u w:val="none"/>
          <w:lang w:eastAsia="zh-CN"/>
        </w:rPr>
      </w:pPr>
      <w:r>
        <w:rPr>
          <w:rFonts w:hint="eastAsia" w:ascii="宋体" w:hAnsi="宋体" w:cs="宋体"/>
          <w:snapToGrid w:val="0"/>
          <w:color w:val="auto"/>
          <w:kern w:val="0"/>
          <w:szCs w:val="21"/>
          <w:highlight w:val="none"/>
          <w:u w:val="none"/>
        </w:rPr>
        <w:t>地址：</w:t>
      </w:r>
      <w:r>
        <w:rPr>
          <w:rFonts w:hint="eastAsia" w:ascii="宋体" w:hAnsi="宋体" w:cs="宋体"/>
          <w:snapToGrid w:val="0"/>
          <w:color w:val="auto"/>
          <w:kern w:val="0"/>
          <w:szCs w:val="21"/>
          <w:highlight w:val="none"/>
          <w:u w:val="none"/>
          <w:lang w:eastAsia="zh-CN"/>
        </w:rPr>
        <w:t>重庆市垫江县桂西大道财富大厦十五楼</w:t>
      </w:r>
      <w:r>
        <w:rPr>
          <w:rFonts w:hint="eastAsia" w:ascii="宋体" w:hAnsi="宋体" w:cs="宋体"/>
          <w:snapToGrid w:val="0"/>
          <w:color w:val="auto"/>
          <w:kern w:val="0"/>
          <w:szCs w:val="21"/>
          <w:highlight w:val="none"/>
          <w:u w:val="none"/>
        </w:rPr>
        <w:t xml:space="preserve"> 地址：</w:t>
      </w:r>
      <w:r>
        <w:rPr>
          <w:rFonts w:hint="eastAsia" w:ascii="宋体" w:hAnsi="宋体" w:cs="宋体"/>
          <w:snapToGrid w:val="0"/>
          <w:color w:val="auto"/>
          <w:kern w:val="0"/>
          <w:szCs w:val="21"/>
          <w:highlight w:val="none"/>
          <w:u w:val="none"/>
          <w:lang w:eastAsia="zh-CN"/>
        </w:rPr>
        <w:t>重庆市奉节县永安街道朝阳街9号</w:t>
      </w:r>
    </w:p>
    <w:p w14:paraId="473BE0EE">
      <w:pPr>
        <w:tabs>
          <w:tab w:val="left" w:pos="5140"/>
          <w:tab w:val="left" w:pos="8420"/>
        </w:tabs>
        <w:autoSpaceDE w:val="0"/>
        <w:autoSpaceDN w:val="0"/>
        <w:adjustRightInd w:val="0"/>
        <w:snapToGrid w:val="0"/>
        <w:spacing w:line="360" w:lineRule="auto"/>
        <w:ind w:left="5145" w:hanging="5145" w:hangingChars="2450"/>
        <w:jc w:val="left"/>
        <w:rPr>
          <w:rFonts w:hint="eastAsia" w:ascii="宋体" w:hAnsi="宋体" w:eastAsia="宋体" w:cs="宋体"/>
          <w:snapToGrid w:val="0"/>
          <w:color w:val="auto"/>
          <w:kern w:val="0"/>
          <w:szCs w:val="21"/>
          <w:highlight w:val="none"/>
          <w:u w:val="none"/>
          <w:lang w:eastAsia="zh-CN"/>
        </w:rPr>
      </w:pPr>
      <w:r>
        <w:rPr>
          <w:rFonts w:hint="eastAsia" w:ascii="宋体" w:hAnsi="宋体" w:cs="宋体"/>
          <w:snapToGrid w:val="0"/>
          <w:color w:val="auto"/>
          <w:kern w:val="0"/>
          <w:szCs w:val="21"/>
          <w:highlight w:val="none"/>
          <w:u w:val="none"/>
        </w:rPr>
        <w:t>联系人：</w:t>
      </w:r>
      <w:r>
        <w:rPr>
          <w:rFonts w:hint="eastAsia" w:ascii="宋体" w:hAnsi="宋体" w:cs="宋体"/>
          <w:snapToGrid w:val="0"/>
          <w:color w:val="auto"/>
          <w:kern w:val="0"/>
          <w:szCs w:val="21"/>
          <w:highlight w:val="none"/>
          <w:u w:val="none"/>
          <w:lang w:val="en-US" w:eastAsia="zh-CN"/>
        </w:rPr>
        <w:t>董老师</w:t>
      </w:r>
      <w:r>
        <w:rPr>
          <w:rFonts w:hint="eastAsia" w:ascii="宋体" w:hAnsi="宋体" w:cs="宋体"/>
          <w:snapToGrid w:val="0"/>
          <w:color w:val="auto"/>
          <w:kern w:val="0"/>
          <w:szCs w:val="21"/>
          <w:highlight w:val="none"/>
          <w:u w:val="none"/>
        </w:rPr>
        <w:t xml:space="preserve">                           联系</w:t>
      </w:r>
      <w:r>
        <w:rPr>
          <w:rFonts w:hint="eastAsia" w:ascii="宋体" w:hAnsi="宋体" w:eastAsia="宋体" w:cs="宋体"/>
          <w:snapToGrid w:val="0"/>
          <w:color w:val="auto"/>
          <w:kern w:val="0"/>
          <w:szCs w:val="21"/>
          <w:highlight w:val="none"/>
          <w:u w:val="none"/>
          <w:lang w:eastAsia="zh-CN"/>
        </w:rPr>
        <w:t>人：</w:t>
      </w:r>
      <w:r>
        <w:rPr>
          <w:rFonts w:hint="eastAsia" w:ascii="宋体" w:hAnsi="宋体" w:eastAsia="宋体" w:cs="宋体"/>
          <w:snapToGrid w:val="0"/>
          <w:color w:val="auto"/>
          <w:kern w:val="0"/>
          <w:szCs w:val="21"/>
          <w:highlight w:val="none"/>
          <w:u w:val="none"/>
          <w:lang w:val="en-US" w:eastAsia="zh-CN"/>
        </w:rPr>
        <w:t>金老师</w:t>
      </w:r>
      <w:r>
        <w:rPr>
          <w:rFonts w:hint="eastAsia" w:ascii="宋体" w:hAnsi="宋体" w:eastAsia="宋体" w:cs="宋体"/>
          <w:snapToGrid w:val="0"/>
          <w:color w:val="auto"/>
          <w:kern w:val="0"/>
          <w:szCs w:val="21"/>
          <w:highlight w:val="none"/>
          <w:u w:val="none"/>
          <w:lang w:eastAsia="zh-CN"/>
        </w:rPr>
        <w:t xml:space="preserve">            </w:t>
      </w:r>
    </w:p>
    <w:p w14:paraId="3CDCB5B5">
      <w:pPr>
        <w:tabs>
          <w:tab w:val="left" w:pos="5140"/>
          <w:tab w:val="left" w:pos="8420"/>
        </w:tabs>
        <w:autoSpaceDE w:val="0"/>
        <w:autoSpaceDN w:val="0"/>
        <w:adjustRightInd w:val="0"/>
        <w:snapToGrid w:val="0"/>
        <w:spacing w:line="360" w:lineRule="auto"/>
        <w:ind w:left="5145" w:hanging="5145" w:hangingChars="2450"/>
        <w:jc w:val="left"/>
        <w:rPr>
          <w:rFonts w:hint="eastAsia" w:ascii="宋体" w:hAnsi="宋体" w:cs="宋体"/>
          <w:snapToGrid w:val="0"/>
          <w:color w:val="auto"/>
          <w:kern w:val="0"/>
          <w:szCs w:val="21"/>
          <w:highlight w:val="none"/>
        </w:rPr>
      </w:pPr>
      <w:r>
        <w:rPr>
          <w:rFonts w:hint="eastAsia" w:ascii="宋体" w:hAnsi="宋体" w:eastAsia="宋体" w:cs="宋体"/>
          <w:snapToGrid w:val="0"/>
          <w:color w:val="auto"/>
          <w:kern w:val="0"/>
          <w:szCs w:val="21"/>
          <w:highlight w:val="none"/>
          <w:u w:val="none"/>
          <w:lang w:eastAsia="zh-CN"/>
        </w:rPr>
        <w:t xml:space="preserve">电话：023-74644966                       电话： 13370721667   </w:t>
      </w:r>
      <w:r>
        <w:rPr>
          <w:rFonts w:hint="eastAsia" w:ascii="宋体" w:hAnsi="宋体" w:cs="宋体"/>
          <w:snapToGrid w:val="0"/>
          <w:color w:val="auto"/>
          <w:kern w:val="0"/>
          <w:position w:val="-3"/>
          <w:szCs w:val="21"/>
          <w:highlight w:val="none"/>
          <w:u w:val="none"/>
        </w:rPr>
        <w:t xml:space="preserve">    </w:t>
      </w:r>
      <w:r>
        <w:rPr>
          <w:rFonts w:hint="eastAsia" w:ascii="宋体" w:hAnsi="宋体" w:cs="宋体"/>
          <w:snapToGrid w:val="0"/>
          <w:color w:val="auto"/>
          <w:kern w:val="0"/>
          <w:position w:val="-3"/>
          <w:szCs w:val="21"/>
          <w:highlight w:val="none"/>
          <w:u w:val="single"/>
        </w:rPr>
        <w:t xml:space="preserve">           </w:t>
      </w:r>
    </w:p>
    <w:p w14:paraId="22069CA6">
      <w:pPr>
        <w:pStyle w:val="2"/>
        <w:spacing w:before="120" w:after="120"/>
        <w:jc w:val="center"/>
        <w:rPr>
          <w:rFonts w:hint="eastAsia" w:ascii="宋体" w:hAnsi="宋体" w:cs="宋体"/>
          <w:color w:val="auto"/>
          <w:kern w:val="0"/>
          <w:sz w:val="32"/>
          <w:szCs w:val="32"/>
          <w:highlight w:val="none"/>
        </w:rPr>
      </w:pPr>
      <w:bookmarkStart w:id="19" w:name="_Toc1840"/>
      <w:r>
        <w:rPr>
          <w:rFonts w:hint="eastAsia" w:ascii="宋体" w:hAnsi="宋体" w:cs="宋体"/>
          <w:color w:val="auto"/>
          <w:kern w:val="0"/>
          <w:sz w:val="32"/>
          <w:szCs w:val="32"/>
          <w:highlight w:val="none"/>
        </w:rPr>
        <w:br w:type="page"/>
      </w:r>
      <w:bookmarkStart w:id="20" w:name="_Toc18399"/>
      <w:r>
        <w:rPr>
          <w:rFonts w:hint="eastAsia" w:ascii="宋体" w:hAnsi="宋体" w:cs="宋体"/>
          <w:color w:val="auto"/>
          <w:kern w:val="0"/>
          <w:sz w:val="32"/>
          <w:szCs w:val="32"/>
          <w:highlight w:val="none"/>
        </w:rPr>
        <w:t>第二章  比选申请人须知</w:t>
      </w:r>
      <w:bookmarkEnd w:id="1"/>
      <w:bookmarkEnd w:id="19"/>
      <w:bookmarkEnd w:id="20"/>
    </w:p>
    <w:p w14:paraId="773F335F">
      <w:pPr>
        <w:autoSpaceDE w:val="0"/>
        <w:autoSpaceDN w:val="0"/>
        <w:adjustRightInd w:val="0"/>
        <w:spacing w:before="64" w:line="360" w:lineRule="auto"/>
        <w:ind w:right="-109"/>
        <w:jc w:val="left"/>
        <w:rPr>
          <w:rFonts w:hint="eastAsia" w:ascii="宋体" w:hAnsi="宋体" w:cs="宋体"/>
          <w:b/>
          <w:color w:val="auto"/>
          <w:kern w:val="0"/>
          <w:szCs w:val="21"/>
          <w:highlight w:val="none"/>
        </w:rPr>
      </w:pPr>
      <w:bookmarkStart w:id="21" w:name="_Toc199124757"/>
      <w:r>
        <w:rPr>
          <w:rFonts w:hint="eastAsia" w:ascii="宋体" w:hAnsi="宋体" w:cs="宋体"/>
          <w:b/>
          <w:color w:val="auto"/>
          <w:kern w:val="0"/>
          <w:szCs w:val="21"/>
          <w:highlight w:val="none"/>
        </w:rPr>
        <w:t>比选申请人须知前附表</w:t>
      </w:r>
      <w:bookmarkEnd w:id="21"/>
      <w:r>
        <w:rPr>
          <w:rFonts w:hint="eastAsia" w:ascii="宋体" w:hAnsi="宋体" w:eastAsia="宋体" w:cs="宋体"/>
          <w:color w:val="auto"/>
          <w:kern w:val="0"/>
          <w:szCs w:val="21"/>
          <w:highlight w:val="none"/>
        </w:rPr>
        <w:t>(比</w:t>
      </w:r>
      <w:r>
        <w:rPr>
          <w:rFonts w:hint="eastAsia" w:ascii="宋体" w:hAnsi="宋体" w:cs="宋体"/>
          <w:color w:val="auto"/>
          <w:kern w:val="0"/>
          <w:szCs w:val="21"/>
          <w:highlight w:val="none"/>
        </w:rPr>
        <w:t>选申请人须知前附表与正文不一致的以比选申请人须知前附表为准)</w:t>
      </w:r>
    </w:p>
    <w:tbl>
      <w:tblPr>
        <w:tblStyle w:val="51"/>
        <w:tblW w:w="95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857"/>
        <w:gridCol w:w="857"/>
        <w:gridCol w:w="6884"/>
      </w:tblGrid>
      <w:tr w14:paraId="14DA4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53" w:type="dxa"/>
            <w:tcBorders>
              <w:top w:val="single" w:color="auto" w:sz="4" w:space="0"/>
              <w:left w:val="single" w:color="auto" w:sz="4" w:space="0"/>
              <w:bottom w:val="single" w:color="auto" w:sz="4" w:space="0"/>
              <w:right w:val="single" w:color="auto" w:sz="4" w:space="0"/>
            </w:tcBorders>
            <w:noWrap w:val="0"/>
            <w:vAlign w:val="center"/>
          </w:tcPr>
          <w:p w14:paraId="3044E72F">
            <w:pPr>
              <w:keepNext w:val="0"/>
              <w:keepLines w:val="0"/>
              <w:suppressLineNumbers w:val="0"/>
              <w:autoSpaceDE w:val="0"/>
              <w:autoSpaceDN w:val="0"/>
              <w:adjustRightInd w:val="0"/>
              <w:spacing w:before="73" w:beforeAutospacing="0" w:after="0" w:afterAutospacing="0" w:line="360" w:lineRule="auto"/>
              <w:ind w:left="0" w:right="-2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条款号</w:t>
            </w:r>
          </w:p>
        </w:tc>
        <w:tc>
          <w:tcPr>
            <w:tcW w:w="1714" w:type="dxa"/>
            <w:gridSpan w:val="2"/>
            <w:tcBorders>
              <w:top w:val="single" w:color="auto" w:sz="4" w:space="0"/>
              <w:left w:val="single" w:color="auto" w:sz="4" w:space="0"/>
              <w:bottom w:val="single" w:color="auto" w:sz="4" w:space="0"/>
              <w:right w:val="single" w:color="auto" w:sz="4" w:space="0"/>
            </w:tcBorders>
            <w:noWrap w:val="0"/>
            <w:vAlign w:val="center"/>
          </w:tcPr>
          <w:p w14:paraId="7A296589">
            <w:pPr>
              <w:keepNext w:val="0"/>
              <w:keepLines w:val="0"/>
              <w:suppressLineNumbers w:val="0"/>
              <w:tabs>
                <w:tab w:val="left" w:pos="1560"/>
                <w:tab w:val="left" w:pos="1980"/>
                <w:tab w:val="left" w:pos="2400"/>
              </w:tabs>
              <w:autoSpaceDE w:val="0"/>
              <w:autoSpaceDN w:val="0"/>
              <w:adjustRightInd w:val="0"/>
              <w:spacing w:before="73" w:beforeAutospacing="0" w:after="0" w:afterAutospacing="0" w:line="360" w:lineRule="auto"/>
              <w:ind w:left="0" w:right="-2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条款名称</w:t>
            </w:r>
          </w:p>
        </w:tc>
        <w:tc>
          <w:tcPr>
            <w:tcW w:w="6884" w:type="dxa"/>
            <w:tcBorders>
              <w:top w:val="single" w:color="auto" w:sz="4" w:space="0"/>
              <w:left w:val="single" w:color="auto" w:sz="4" w:space="0"/>
              <w:bottom w:val="single" w:color="auto" w:sz="4" w:space="0"/>
              <w:right w:val="single" w:color="auto" w:sz="4" w:space="0"/>
            </w:tcBorders>
            <w:noWrap w:val="0"/>
            <w:vAlign w:val="center"/>
          </w:tcPr>
          <w:p w14:paraId="0ED58CA0">
            <w:pPr>
              <w:keepNext w:val="0"/>
              <w:keepLines w:val="0"/>
              <w:suppressLineNumbers w:val="0"/>
              <w:tabs>
                <w:tab w:val="left" w:pos="1540"/>
                <w:tab w:val="left" w:pos="1960"/>
                <w:tab w:val="left" w:pos="2380"/>
              </w:tabs>
              <w:autoSpaceDE w:val="0"/>
              <w:autoSpaceDN w:val="0"/>
              <w:adjustRightInd w:val="0"/>
              <w:spacing w:before="0" w:beforeAutospacing="0" w:after="0" w:afterAutospacing="0" w:line="360" w:lineRule="auto"/>
              <w:ind w:left="0" w:right="-20" w:firstLine="422" w:firstLineChars="20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编列内容</w:t>
            </w:r>
          </w:p>
        </w:tc>
      </w:tr>
      <w:tr w14:paraId="01EEB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953" w:type="dxa"/>
            <w:tcBorders>
              <w:top w:val="single" w:color="auto" w:sz="4" w:space="0"/>
              <w:left w:val="single" w:color="auto" w:sz="4" w:space="0"/>
              <w:bottom w:val="single" w:color="auto" w:sz="4" w:space="0"/>
              <w:right w:val="single" w:color="auto" w:sz="4" w:space="0"/>
            </w:tcBorders>
            <w:noWrap w:val="0"/>
            <w:vAlign w:val="center"/>
          </w:tcPr>
          <w:p w14:paraId="77ED4AF2">
            <w:pPr>
              <w:keepNext w:val="0"/>
              <w:keepLines w:val="0"/>
              <w:suppressLineNumbers w:val="0"/>
              <w:autoSpaceDE w:val="0"/>
              <w:autoSpaceDN w:val="0"/>
              <w:adjustRightInd w:val="0"/>
              <w:spacing w:before="0" w:beforeAutospacing="0" w:after="0" w:afterAutospacing="0" w:line="360" w:lineRule="auto"/>
              <w:ind w:left="0"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1.1.2</w:t>
            </w:r>
          </w:p>
        </w:tc>
        <w:tc>
          <w:tcPr>
            <w:tcW w:w="1714" w:type="dxa"/>
            <w:gridSpan w:val="2"/>
            <w:tcBorders>
              <w:top w:val="single" w:color="auto" w:sz="4" w:space="0"/>
              <w:left w:val="single" w:color="auto" w:sz="4" w:space="0"/>
              <w:bottom w:val="single" w:color="auto" w:sz="4" w:space="0"/>
              <w:right w:val="single" w:color="auto" w:sz="4" w:space="0"/>
            </w:tcBorders>
            <w:noWrap w:val="0"/>
            <w:vAlign w:val="center"/>
          </w:tcPr>
          <w:p w14:paraId="11B48633">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比选人</w:t>
            </w:r>
          </w:p>
        </w:tc>
        <w:tc>
          <w:tcPr>
            <w:tcW w:w="6884" w:type="dxa"/>
            <w:tcBorders>
              <w:top w:val="single" w:color="auto" w:sz="4" w:space="0"/>
              <w:left w:val="single" w:color="auto" w:sz="4" w:space="0"/>
              <w:bottom w:val="single" w:color="auto" w:sz="4" w:space="0"/>
              <w:right w:val="single" w:color="auto" w:sz="4" w:space="0"/>
            </w:tcBorders>
            <w:noWrap w:val="0"/>
            <w:vAlign w:val="center"/>
          </w:tcPr>
          <w:p w14:paraId="45AF82F1">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名称：</w:t>
            </w:r>
            <w:r>
              <w:rPr>
                <w:rFonts w:hint="eastAsia" w:ascii="宋体" w:hAnsi="宋体" w:eastAsia="宋体" w:cs="宋体"/>
                <w:snapToGrid w:val="0"/>
                <w:color w:val="auto"/>
                <w:kern w:val="0"/>
                <w:szCs w:val="21"/>
                <w:highlight w:val="none"/>
                <w:u w:val="none"/>
                <w:lang w:eastAsia="zh-CN"/>
              </w:rPr>
              <w:t>垫江县小厦建筑有限公司</w:t>
            </w:r>
          </w:p>
          <w:p w14:paraId="0452F0CB">
            <w:pPr>
              <w:keepNext w:val="0"/>
              <w:keepLines w:val="0"/>
              <w:suppressLineNumbers w:val="0"/>
              <w:snapToGrid w:val="0"/>
              <w:spacing w:before="0" w:beforeAutospacing="0" w:after="0" w:afterAutospacing="0" w:line="360" w:lineRule="auto"/>
              <w:ind w:left="0" w:right="0"/>
              <w:rPr>
                <w:rFonts w:hint="eastAsia" w:ascii="宋体" w:hAnsi="宋体" w:eastAsia="Times New Roman" w:cs="宋体"/>
                <w:snapToGrid w:val="0"/>
                <w:color w:val="auto"/>
                <w:kern w:val="0"/>
                <w:szCs w:val="21"/>
                <w:highlight w:val="none"/>
                <w:u w:val="none"/>
                <w:lang w:val="en-US" w:eastAsia="zh-CN"/>
              </w:rPr>
            </w:pPr>
            <w:r>
              <w:rPr>
                <w:rFonts w:hint="eastAsia" w:ascii="宋体" w:hAnsi="宋体" w:eastAsia="宋体" w:cs="宋体"/>
                <w:color w:val="auto"/>
                <w:kern w:val="0"/>
                <w:szCs w:val="21"/>
                <w:highlight w:val="none"/>
              </w:rPr>
              <w:t>地址：</w:t>
            </w:r>
            <w:r>
              <w:rPr>
                <w:rFonts w:hint="eastAsia" w:ascii="宋体" w:hAnsi="宋体" w:eastAsia="Times New Roman" w:cs="宋体"/>
                <w:snapToGrid w:val="0"/>
                <w:color w:val="auto"/>
                <w:kern w:val="0"/>
                <w:szCs w:val="21"/>
                <w:highlight w:val="none"/>
                <w:u w:val="none"/>
                <w:lang w:eastAsia="zh-CN"/>
              </w:rPr>
              <w:t>重庆市垫江县桂西大道财富大厦十五楼</w:t>
            </w:r>
          </w:p>
          <w:p w14:paraId="56DE6285">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w:t>
            </w:r>
            <w:r>
              <w:rPr>
                <w:rFonts w:hint="eastAsia" w:ascii="宋体" w:hAnsi="宋体" w:cs="宋体"/>
                <w:color w:val="auto"/>
                <w:kern w:val="0"/>
                <w:szCs w:val="21"/>
                <w:highlight w:val="none"/>
                <w:lang w:val="en-US" w:eastAsia="zh-CN"/>
              </w:rPr>
              <w:t>董老师</w:t>
            </w:r>
          </w:p>
          <w:p w14:paraId="14E76038">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r>
              <w:rPr>
                <w:rFonts w:hint="eastAsia" w:ascii="宋体" w:hAnsi="宋体" w:eastAsia="Times New Roman" w:cs="宋体"/>
                <w:snapToGrid w:val="0"/>
                <w:color w:val="auto"/>
                <w:kern w:val="0"/>
                <w:szCs w:val="21"/>
                <w:highlight w:val="none"/>
                <w:u w:val="none"/>
                <w:lang w:eastAsia="zh-CN"/>
              </w:rPr>
              <w:t>：023-74644966</w:t>
            </w:r>
          </w:p>
        </w:tc>
      </w:tr>
      <w:tr w14:paraId="3FE2A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953" w:type="dxa"/>
            <w:tcBorders>
              <w:top w:val="single" w:color="auto" w:sz="4" w:space="0"/>
              <w:left w:val="single" w:color="auto" w:sz="4" w:space="0"/>
              <w:bottom w:val="single" w:color="auto" w:sz="4" w:space="0"/>
              <w:right w:val="single" w:color="auto" w:sz="4" w:space="0"/>
            </w:tcBorders>
            <w:noWrap w:val="0"/>
            <w:vAlign w:val="center"/>
          </w:tcPr>
          <w:p w14:paraId="5B990AC8">
            <w:pPr>
              <w:keepNext w:val="0"/>
              <w:keepLines w:val="0"/>
              <w:suppressLineNumbers w:val="0"/>
              <w:autoSpaceDE w:val="0"/>
              <w:autoSpaceDN w:val="0"/>
              <w:adjustRightInd w:val="0"/>
              <w:spacing w:before="0" w:beforeAutospacing="0" w:after="0" w:afterAutospacing="0" w:line="360" w:lineRule="auto"/>
              <w:ind w:left="0"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1.1.3</w:t>
            </w:r>
          </w:p>
        </w:tc>
        <w:tc>
          <w:tcPr>
            <w:tcW w:w="1714" w:type="dxa"/>
            <w:gridSpan w:val="2"/>
            <w:tcBorders>
              <w:top w:val="single" w:color="auto" w:sz="4" w:space="0"/>
              <w:left w:val="single" w:color="auto" w:sz="4" w:space="0"/>
              <w:bottom w:val="single" w:color="auto" w:sz="4" w:space="0"/>
              <w:right w:val="single" w:color="auto" w:sz="4" w:space="0"/>
            </w:tcBorders>
            <w:noWrap w:val="0"/>
            <w:vAlign w:val="center"/>
          </w:tcPr>
          <w:p w14:paraId="60A2415E">
            <w:pPr>
              <w:keepNext w:val="0"/>
              <w:keepLines w:val="0"/>
              <w:suppressLineNumbers w:val="0"/>
              <w:autoSpaceDE w:val="0"/>
              <w:autoSpaceDN w:val="0"/>
              <w:adjustRightInd w:val="0"/>
              <w:spacing w:before="0" w:beforeAutospacing="0" w:after="0" w:afterAutospacing="0" w:line="360" w:lineRule="auto"/>
              <w:ind w:left="0"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比选代理机构</w:t>
            </w:r>
          </w:p>
        </w:tc>
        <w:tc>
          <w:tcPr>
            <w:tcW w:w="6884" w:type="dxa"/>
            <w:tcBorders>
              <w:top w:val="single" w:color="auto" w:sz="4" w:space="0"/>
              <w:left w:val="single" w:color="auto" w:sz="4" w:space="0"/>
              <w:bottom w:val="single" w:color="auto" w:sz="4" w:space="0"/>
              <w:right w:val="single" w:color="auto" w:sz="4" w:space="0"/>
            </w:tcBorders>
            <w:noWrap w:val="0"/>
            <w:vAlign w:val="center"/>
          </w:tcPr>
          <w:p w14:paraId="7539F9A3">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名称：</w:t>
            </w:r>
            <w:r>
              <w:rPr>
                <w:rFonts w:hint="eastAsia" w:ascii="宋体" w:hAnsi="宋体" w:cs="宋体"/>
                <w:color w:val="auto"/>
                <w:kern w:val="0"/>
                <w:szCs w:val="21"/>
                <w:highlight w:val="none"/>
                <w:lang w:eastAsia="zh-CN"/>
              </w:rPr>
              <w:t>重庆夔杨工程项目管理咨询有限公司</w:t>
            </w:r>
          </w:p>
          <w:p w14:paraId="4615397F">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地址：</w:t>
            </w:r>
            <w:r>
              <w:rPr>
                <w:rFonts w:hint="eastAsia" w:ascii="宋体" w:hAnsi="宋体" w:cs="宋体"/>
                <w:color w:val="auto"/>
                <w:kern w:val="0"/>
                <w:szCs w:val="21"/>
                <w:highlight w:val="none"/>
                <w:lang w:eastAsia="zh-CN"/>
              </w:rPr>
              <w:t>重庆市奉节县永安街道朝阳街9号</w:t>
            </w:r>
          </w:p>
          <w:p w14:paraId="5C30ECDE">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w:t>
            </w:r>
            <w:r>
              <w:rPr>
                <w:rFonts w:hint="eastAsia" w:ascii="宋体" w:hAnsi="宋体" w:cs="宋体"/>
                <w:color w:val="auto"/>
                <w:kern w:val="0"/>
                <w:szCs w:val="21"/>
                <w:highlight w:val="none"/>
                <w:lang w:val="en-US" w:eastAsia="zh-CN"/>
              </w:rPr>
              <w:t>金老师</w:t>
            </w:r>
          </w:p>
          <w:p w14:paraId="4D4AFCE2">
            <w:pPr>
              <w:keepNext w:val="0"/>
              <w:keepLines w:val="0"/>
              <w:suppressLineNumbers w:val="0"/>
              <w:snapToGrid w:val="0"/>
              <w:spacing w:before="0" w:beforeAutospacing="0" w:after="0" w:afterAutospacing="0" w:line="360" w:lineRule="auto"/>
              <w:ind w:left="0" w:right="0"/>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电话：</w:t>
            </w:r>
            <w:r>
              <w:rPr>
                <w:rFonts w:hint="eastAsia" w:ascii="宋体" w:hAnsi="宋体" w:cs="宋体"/>
                <w:color w:val="auto"/>
                <w:kern w:val="0"/>
                <w:szCs w:val="21"/>
                <w:highlight w:val="none"/>
                <w:lang w:val="en-US" w:eastAsia="zh-CN"/>
              </w:rPr>
              <w:t>13370721667</w:t>
            </w:r>
          </w:p>
        </w:tc>
      </w:tr>
      <w:tr w14:paraId="329CE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53" w:type="dxa"/>
            <w:tcBorders>
              <w:top w:val="single" w:color="auto" w:sz="4" w:space="0"/>
              <w:left w:val="single" w:color="auto" w:sz="4" w:space="0"/>
              <w:bottom w:val="single" w:color="auto" w:sz="4" w:space="0"/>
              <w:right w:val="single" w:color="auto" w:sz="4" w:space="0"/>
            </w:tcBorders>
            <w:noWrap w:val="0"/>
            <w:vAlign w:val="center"/>
          </w:tcPr>
          <w:p w14:paraId="66AD47C5">
            <w:pPr>
              <w:keepNext w:val="0"/>
              <w:keepLines w:val="0"/>
              <w:suppressLineNumbers w:val="0"/>
              <w:autoSpaceDE w:val="0"/>
              <w:autoSpaceDN w:val="0"/>
              <w:adjustRightInd w:val="0"/>
              <w:spacing w:before="0" w:beforeAutospacing="0" w:after="0" w:afterAutospacing="0" w:line="360" w:lineRule="auto"/>
              <w:ind w:left="0"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1.1.4</w:t>
            </w:r>
          </w:p>
        </w:tc>
        <w:tc>
          <w:tcPr>
            <w:tcW w:w="1714" w:type="dxa"/>
            <w:gridSpan w:val="2"/>
            <w:tcBorders>
              <w:top w:val="single" w:color="auto" w:sz="4" w:space="0"/>
              <w:left w:val="single" w:color="auto" w:sz="4" w:space="0"/>
              <w:bottom w:val="single" w:color="auto" w:sz="4" w:space="0"/>
              <w:right w:val="single" w:color="auto" w:sz="4" w:space="0"/>
            </w:tcBorders>
            <w:noWrap w:val="0"/>
            <w:vAlign w:val="center"/>
          </w:tcPr>
          <w:p w14:paraId="1344425E">
            <w:pPr>
              <w:keepNext w:val="0"/>
              <w:keepLines w:val="0"/>
              <w:suppressLineNumbers w:val="0"/>
              <w:autoSpaceDE w:val="0"/>
              <w:autoSpaceDN w:val="0"/>
              <w:adjustRightInd w:val="0"/>
              <w:spacing w:before="73"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p>
        </w:tc>
        <w:tc>
          <w:tcPr>
            <w:tcW w:w="6884" w:type="dxa"/>
            <w:tcBorders>
              <w:top w:val="single" w:color="auto" w:sz="4" w:space="0"/>
              <w:left w:val="single" w:color="auto" w:sz="4" w:space="0"/>
              <w:bottom w:val="single" w:color="auto" w:sz="4" w:space="0"/>
              <w:right w:val="single" w:color="auto" w:sz="4" w:space="0"/>
            </w:tcBorders>
            <w:noWrap w:val="0"/>
            <w:vAlign w:val="center"/>
          </w:tcPr>
          <w:p w14:paraId="13818D82">
            <w:pPr>
              <w:keepNext w:val="0"/>
              <w:keepLines w:val="0"/>
              <w:suppressLineNumbers w:val="0"/>
              <w:autoSpaceDE w:val="0"/>
              <w:autoSpaceDN w:val="0"/>
              <w:adjustRightInd w:val="0"/>
              <w:spacing w:before="73" w:beforeAutospacing="0" w:after="0" w:afterAutospacing="0" w:line="360" w:lineRule="auto"/>
              <w:ind w:left="0" w:right="0"/>
              <w:jc w:val="left"/>
              <w:rPr>
                <w:rFonts w:hint="eastAsia" w:ascii="宋体" w:hAnsi="宋体" w:eastAsia="宋体" w:cs="宋体"/>
                <w:color w:val="auto"/>
                <w:kern w:val="0"/>
                <w:szCs w:val="21"/>
                <w:highlight w:val="none"/>
              </w:rPr>
            </w:pPr>
            <w:r>
              <w:rPr>
                <w:rFonts w:hint="eastAsia" w:ascii="宋体" w:hAnsi="宋体" w:eastAsia="Times New Roman" w:cs="宋体"/>
                <w:i w:val="0"/>
                <w:iCs w:val="0"/>
                <w:snapToGrid w:val="0"/>
                <w:color w:val="auto"/>
                <w:kern w:val="0"/>
                <w:szCs w:val="21"/>
                <w:highlight w:val="none"/>
                <w:u w:val="none"/>
                <w:lang w:eastAsia="zh-CN"/>
              </w:rPr>
              <w:t>垫江县国网垫江供电公司职工服务中心空调采购及智能化专业分包</w:t>
            </w:r>
          </w:p>
        </w:tc>
      </w:tr>
      <w:tr w14:paraId="26A1E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53" w:type="dxa"/>
            <w:tcBorders>
              <w:top w:val="single" w:color="auto" w:sz="4" w:space="0"/>
              <w:left w:val="single" w:color="auto" w:sz="4" w:space="0"/>
              <w:bottom w:val="single" w:color="auto" w:sz="4" w:space="0"/>
              <w:right w:val="single" w:color="auto" w:sz="4" w:space="0"/>
            </w:tcBorders>
            <w:noWrap w:val="0"/>
            <w:vAlign w:val="center"/>
          </w:tcPr>
          <w:p w14:paraId="3CE0EE09">
            <w:pPr>
              <w:keepNext w:val="0"/>
              <w:keepLines w:val="0"/>
              <w:suppressLineNumbers w:val="0"/>
              <w:autoSpaceDE w:val="0"/>
              <w:autoSpaceDN w:val="0"/>
              <w:adjustRightInd w:val="0"/>
              <w:spacing w:before="0" w:beforeAutospacing="0" w:after="0" w:afterAutospacing="0" w:line="360" w:lineRule="auto"/>
              <w:ind w:left="0"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1.1.5</w:t>
            </w:r>
          </w:p>
        </w:tc>
        <w:tc>
          <w:tcPr>
            <w:tcW w:w="1714" w:type="dxa"/>
            <w:gridSpan w:val="2"/>
            <w:tcBorders>
              <w:top w:val="single" w:color="auto" w:sz="4" w:space="0"/>
              <w:left w:val="single" w:color="auto" w:sz="4" w:space="0"/>
              <w:bottom w:val="single" w:color="auto" w:sz="4" w:space="0"/>
              <w:right w:val="single" w:color="auto" w:sz="4" w:space="0"/>
            </w:tcBorders>
            <w:noWrap w:val="0"/>
            <w:vAlign w:val="center"/>
          </w:tcPr>
          <w:p w14:paraId="75F8E05A">
            <w:pPr>
              <w:keepNext w:val="0"/>
              <w:keepLines w:val="0"/>
              <w:suppressLineNumbers w:val="0"/>
              <w:autoSpaceDE w:val="0"/>
              <w:autoSpaceDN w:val="0"/>
              <w:adjustRightInd w:val="0"/>
              <w:spacing w:before="73"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建设地点</w:t>
            </w:r>
          </w:p>
        </w:tc>
        <w:tc>
          <w:tcPr>
            <w:tcW w:w="6884" w:type="dxa"/>
            <w:tcBorders>
              <w:top w:val="single" w:color="auto" w:sz="4" w:space="0"/>
              <w:left w:val="single" w:color="auto" w:sz="4" w:space="0"/>
              <w:bottom w:val="single" w:color="auto" w:sz="4" w:space="0"/>
              <w:right w:val="single" w:color="auto" w:sz="4" w:space="0"/>
            </w:tcBorders>
            <w:noWrap w:val="0"/>
            <w:vAlign w:val="center"/>
          </w:tcPr>
          <w:p w14:paraId="6CE501A1">
            <w:pPr>
              <w:keepNext w:val="0"/>
              <w:keepLines w:val="0"/>
              <w:suppressLineNumbers w:val="0"/>
              <w:autoSpaceDE w:val="0"/>
              <w:autoSpaceDN w:val="0"/>
              <w:adjustRightInd w:val="0"/>
              <w:spacing w:before="73" w:beforeAutospacing="0" w:after="0" w:afterAutospacing="0" w:line="360" w:lineRule="auto"/>
              <w:ind w:left="0" w:right="0"/>
              <w:jc w:val="left"/>
              <w:rPr>
                <w:rFonts w:hint="eastAsia" w:ascii="宋体" w:hAnsi="宋体" w:eastAsia="宋体" w:cs="宋体"/>
                <w:color w:val="auto"/>
                <w:kern w:val="0"/>
                <w:szCs w:val="21"/>
                <w:highlight w:val="none"/>
              </w:rPr>
            </w:pPr>
            <w:r>
              <w:rPr>
                <w:rFonts w:hint="eastAsia" w:ascii="Times New Roman" w:hAnsi="Times New Roman" w:eastAsia="宋体" w:cs="Times New Roman"/>
                <w:b w:val="0"/>
                <w:bCs w:val="0"/>
                <w:kern w:val="2"/>
                <w:sz w:val="21"/>
                <w:szCs w:val="24"/>
                <w:lang w:val="en-US" w:eastAsia="zh-CN" w:bidi="ar-SA"/>
              </w:rPr>
              <w:t>垫江县桂溪街道桂东大道南段137号</w:t>
            </w:r>
          </w:p>
        </w:tc>
      </w:tr>
      <w:tr w14:paraId="4588C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53" w:type="dxa"/>
            <w:tcBorders>
              <w:top w:val="single" w:color="auto" w:sz="4" w:space="0"/>
              <w:left w:val="single" w:color="auto" w:sz="4" w:space="0"/>
              <w:bottom w:val="single" w:color="auto" w:sz="4" w:space="0"/>
              <w:right w:val="single" w:color="auto" w:sz="4" w:space="0"/>
            </w:tcBorders>
            <w:noWrap w:val="0"/>
            <w:vAlign w:val="center"/>
          </w:tcPr>
          <w:p w14:paraId="123DBFC7">
            <w:pPr>
              <w:keepNext w:val="0"/>
              <w:keepLines w:val="0"/>
              <w:suppressLineNumbers w:val="0"/>
              <w:autoSpaceDE w:val="0"/>
              <w:autoSpaceDN w:val="0"/>
              <w:adjustRightInd w:val="0"/>
              <w:spacing w:before="73"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w:t>
            </w:r>
          </w:p>
        </w:tc>
        <w:tc>
          <w:tcPr>
            <w:tcW w:w="1714" w:type="dxa"/>
            <w:gridSpan w:val="2"/>
            <w:tcBorders>
              <w:top w:val="single" w:color="auto" w:sz="4" w:space="0"/>
              <w:left w:val="single" w:color="auto" w:sz="4" w:space="0"/>
              <w:bottom w:val="single" w:color="auto" w:sz="4" w:space="0"/>
              <w:right w:val="single" w:color="auto" w:sz="4" w:space="0"/>
            </w:tcBorders>
            <w:noWrap w:val="0"/>
            <w:vAlign w:val="center"/>
          </w:tcPr>
          <w:p w14:paraId="3DAF75A2">
            <w:pPr>
              <w:keepNext w:val="0"/>
              <w:keepLines w:val="0"/>
              <w:suppressLineNumbers w:val="0"/>
              <w:autoSpaceDE w:val="0"/>
              <w:autoSpaceDN w:val="0"/>
              <w:adjustRightInd w:val="0"/>
              <w:spacing w:before="73"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资金来源</w:t>
            </w:r>
          </w:p>
        </w:tc>
        <w:tc>
          <w:tcPr>
            <w:tcW w:w="6884" w:type="dxa"/>
            <w:tcBorders>
              <w:top w:val="single" w:color="auto" w:sz="4" w:space="0"/>
              <w:left w:val="single" w:color="auto" w:sz="4" w:space="0"/>
              <w:bottom w:val="single" w:color="auto" w:sz="4" w:space="0"/>
              <w:right w:val="single" w:color="auto" w:sz="4" w:space="0"/>
            </w:tcBorders>
            <w:noWrap w:val="0"/>
            <w:vAlign w:val="center"/>
          </w:tcPr>
          <w:p w14:paraId="16DE2DB0">
            <w:pPr>
              <w:keepNext w:val="0"/>
              <w:keepLines w:val="0"/>
              <w:suppressLineNumbers w:val="0"/>
              <w:autoSpaceDE w:val="0"/>
              <w:autoSpaceDN w:val="0"/>
              <w:adjustRightInd w:val="0"/>
              <w:spacing w:before="73"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业主自筹</w:t>
            </w:r>
          </w:p>
        </w:tc>
      </w:tr>
      <w:tr w14:paraId="75859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53" w:type="dxa"/>
            <w:tcBorders>
              <w:top w:val="single" w:color="auto" w:sz="4" w:space="0"/>
              <w:left w:val="single" w:color="auto" w:sz="4" w:space="0"/>
              <w:bottom w:val="single" w:color="auto" w:sz="4" w:space="0"/>
              <w:right w:val="single" w:color="auto" w:sz="4" w:space="0"/>
            </w:tcBorders>
            <w:noWrap w:val="0"/>
            <w:vAlign w:val="center"/>
          </w:tcPr>
          <w:p w14:paraId="477C9FAF">
            <w:pPr>
              <w:keepNext w:val="0"/>
              <w:keepLines w:val="0"/>
              <w:suppressLineNumbers w:val="0"/>
              <w:autoSpaceDE w:val="0"/>
              <w:autoSpaceDN w:val="0"/>
              <w:adjustRightInd w:val="0"/>
              <w:spacing w:before="0" w:beforeAutospacing="0" w:after="0" w:afterAutospacing="0" w:line="360" w:lineRule="auto"/>
              <w:ind w:left="0"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w:t>
            </w:r>
          </w:p>
        </w:tc>
        <w:tc>
          <w:tcPr>
            <w:tcW w:w="1714" w:type="dxa"/>
            <w:gridSpan w:val="2"/>
            <w:tcBorders>
              <w:top w:val="single" w:color="auto" w:sz="4" w:space="0"/>
              <w:left w:val="single" w:color="auto" w:sz="4" w:space="0"/>
              <w:bottom w:val="single" w:color="auto" w:sz="4" w:space="0"/>
              <w:right w:val="single" w:color="auto" w:sz="4" w:space="0"/>
            </w:tcBorders>
            <w:noWrap w:val="0"/>
            <w:vAlign w:val="center"/>
          </w:tcPr>
          <w:p w14:paraId="4ECCE819">
            <w:pPr>
              <w:keepNext w:val="0"/>
              <w:keepLines w:val="0"/>
              <w:suppressLineNumbers w:val="0"/>
              <w:autoSpaceDE w:val="0"/>
              <w:autoSpaceDN w:val="0"/>
              <w:adjustRightInd w:val="0"/>
              <w:spacing w:before="73"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出资比例</w:t>
            </w:r>
          </w:p>
        </w:tc>
        <w:tc>
          <w:tcPr>
            <w:tcW w:w="6884" w:type="dxa"/>
            <w:tcBorders>
              <w:top w:val="single" w:color="auto" w:sz="4" w:space="0"/>
              <w:left w:val="single" w:color="auto" w:sz="4" w:space="0"/>
              <w:bottom w:val="single" w:color="auto" w:sz="4" w:space="0"/>
              <w:right w:val="single" w:color="auto" w:sz="4" w:space="0"/>
            </w:tcBorders>
            <w:noWrap w:val="0"/>
            <w:vAlign w:val="center"/>
          </w:tcPr>
          <w:p w14:paraId="5F6F35F1">
            <w:pPr>
              <w:keepNext w:val="0"/>
              <w:keepLines w:val="0"/>
              <w:suppressLineNumbers w:val="0"/>
              <w:autoSpaceDE w:val="0"/>
              <w:autoSpaceDN w:val="0"/>
              <w:adjustRightInd w:val="0"/>
              <w:spacing w:before="73" w:beforeAutospacing="0" w:after="0" w:afterAutospacing="0" w:line="360" w:lineRule="auto"/>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100%</w:t>
            </w:r>
          </w:p>
        </w:tc>
      </w:tr>
      <w:tr w14:paraId="6F7D7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53" w:type="dxa"/>
            <w:tcBorders>
              <w:top w:val="single" w:color="auto" w:sz="4" w:space="0"/>
              <w:left w:val="single" w:color="auto" w:sz="4" w:space="0"/>
              <w:bottom w:val="single" w:color="auto" w:sz="4" w:space="0"/>
              <w:right w:val="single" w:color="auto" w:sz="4" w:space="0"/>
            </w:tcBorders>
            <w:noWrap w:val="0"/>
            <w:vAlign w:val="center"/>
          </w:tcPr>
          <w:p w14:paraId="12B4DB31">
            <w:pPr>
              <w:keepNext w:val="0"/>
              <w:keepLines w:val="0"/>
              <w:suppressLineNumbers w:val="0"/>
              <w:autoSpaceDE w:val="0"/>
              <w:autoSpaceDN w:val="0"/>
              <w:adjustRightInd w:val="0"/>
              <w:spacing w:before="0" w:beforeAutospacing="0" w:after="0" w:afterAutospacing="0" w:line="360" w:lineRule="auto"/>
              <w:ind w:left="0"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w:t>
            </w:r>
          </w:p>
        </w:tc>
        <w:tc>
          <w:tcPr>
            <w:tcW w:w="1714" w:type="dxa"/>
            <w:gridSpan w:val="2"/>
            <w:tcBorders>
              <w:top w:val="single" w:color="auto" w:sz="4" w:space="0"/>
              <w:left w:val="single" w:color="auto" w:sz="4" w:space="0"/>
              <w:bottom w:val="single" w:color="auto" w:sz="4" w:space="0"/>
              <w:right w:val="single" w:color="auto" w:sz="4" w:space="0"/>
            </w:tcBorders>
            <w:noWrap w:val="0"/>
            <w:vAlign w:val="center"/>
          </w:tcPr>
          <w:p w14:paraId="75D58D34">
            <w:pPr>
              <w:keepNext w:val="0"/>
              <w:keepLines w:val="0"/>
              <w:suppressLineNumbers w:val="0"/>
              <w:autoSpaceDE w:val="0"/>
              <w:autoSpaceDN w:val="0"/>
              <w:adjustRightInd w:val="0"/>
              <w:spacing w:before="73"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资金落实情况</w:t>
            </w:r>
          </w:p>
        </w:tc>
        <w:tc>
          <w:tcPr>
            <w:tcW w:w="6884" w:type="dxa"/>
            <w:tcBorders>
              <w:top w:val="single" w:color="auto" w:sz="4" w:space="0"/>
              <w:left w:val="single" w:color="auto" w:sz="4" w:space="0"/>
              <w:bottom w:val="single" w:color="auto" w:sz="4" w:space="0"/>
              <w:right w:val="single" w:color="auto" w:sz="4" w:space="0"/>
            </w:tcBorders>
            <w:noWrap w:val="0"/>
            <w:vAlign w:val="center"/>
          </w:tcPr>
          <w:p w14:paraId="6956C07A">
            <w:pPr>
              <w:keepNext w:val="0"/>
              <w:keepLines w:val="0"/>
              <w:suppressLineNumbers w:val="0"/>
              <w:autoSpaceDE w:val="0"/>
              <w:autoSpaceDN w:val="0"/>
              <w:adjustRightInd w:val="0"/>
              <w:spacing w:before="73" w:beforeAutospacing="0" w:after="0" w:afterAutospacing="0" w:line="360" w:lineRule="auto"/>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已落实</w:t>
            </w:r>
          </w:p>
        </w:tc>
      </w:tr>
      <w:tr w14:paraId="6A8C2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953" w:type="dxa"/>
            <w:tcBorders>
              <w:top w:val="single" w:color="auto" w:sz="4" w:space="0"/>
              <w:left w:val="single" w:color="auto" w:sz="4" w:space="0"/>
              <w:bottom w:val="single" w:color="auto" w:sz="4" w:space="0"/>
              <w:right w:val="single" w:color="auto" w:sz="4" w:space="0"/>
            </w:tcBorders>
            <w:noWrap w:val="0"/>
            <w:vAlign w:val="center"/>
          </w:tcPr>
          <w:p w14:paraId="6912CD23">
            <w:pPr>
              <w:keepNext w:val="0"/>
              <w:keepLines w:val="0"/>
              <w:suppressLineNumbers w:val="0"/>
              <w:autoSpaceDE w:val="0"/>
              <w:autoSpaceDN w:val="0"/>
              <w:adjustRightInd w:val="0"/>
              <w:spacing w:before="0" w:beforeAutospacing="0" w:after="0" w:afterAutospacing="0" w:line="360" w:lineRule="auto"/>
              <w:ind w:left="0"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w:t>
            </w:r>
          </w:p>
        </w:tc>
        <w:tc>
          <w:tcPr>
            <w:tcW w:w="1714" w:type="dxa"/>
            <w:gridSpan w:val="2"/>
            <w:tcBorders>
              <w:top w:val="single" w:color="auto" w:sz="4" w:space="0"/>
              <w:left w:val="single" w:color="auto" w:sz="4" w:space="0"/>
              <w:bottom w:val="single" w:color="auto" w:sz="4" w:space="0"/>
              <w:right w:val="single" w:color="auto" w:sz="4" w:space="0"/>
            </w:tcBorders>
            <w:noWrap w:val="0"/>
            <w:vAlign w:val="center"/>
          </w:tcPr>
          <w:p w14:paraId="21D60D46">
            <w:pPr>
              <w:keepNext w:val="0"/>
              <w:keepLines w:val="0"/>
              <w:suppressLineNumbers w:val="0"/>
              <w:autoSpaceDE w:val="0"/>
              <w:autoSpaceDN w:val="0"/>
              <w:adjustRightInd w:val="0"/>
              <w:spacing w:before="73"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比选范围</w:t>
            </w:r>
          </w:p>
        </w:tc>
        <w:tc>
          <w:tcPr>
            <w:tcW w:w="6884" w:type="dxa"/>
            <w:tcBorders>
              <w:top w:val="single" w:color="auto" w:sz="4" w:space="0"/>
              <w:left w:val="single" w:color="auto" w:sz="4" w:space="0"/>
              <w:bottom w:val="single" w:color="auto" w:sz="4" w:space="0"/>
              <w:right w:val="single" w:color="auto" w:sz="4" w:space="0"/>
            </w:tcBorders>
            <w:noWrap w:val="0"/>
            <w:vAlign w:val="center"/>
          </w:tcPr>
          <w:p w14:paraId="73C7CE74">
            <w:pPr>
              <w:keepNext w:val="0"/>
              <w:keepLines w:val="0"/>
              <w:suppressLineNumbers w:val="0"/>
              <w:spacing w:before="0" w:beforeAutospacing="0" w:after="0" w:afterAutospacing="0" w:line="360" w:lineRule="auto"/>
              <w:ind w:left="0" w:right="0"/>
              <w:jc w:val="left"/>
              <w:rPr>
                <w:rFonts w:hint="eastAsia" w:ascii="宋体" w:hAnsi="宋体" w:eastAsia="宋体" w:cs="宋体"/>
                <w:snapToGrid w:val="0"/>
                <w:color w:val="auto"/>
                <w:kern w:val="0"/>
                <w:szCs w:val="21"/>
                <w:highlight w:val="none"/>
                <w:lang w:eastAsia="zh-CN"/>
              </w:rPr>
            </w:pPr>
            <w:r>
              <w:rPr>
                <w:rFonts w:hint="eastAsia" w:ascii="宋体" w:hAnsi="宋体" w:cs="宋体"/>
                <w:color w:val="auto"/>
                <w:szCs w:val="21"/>
                <w:highlight w:val="none"/>
              </w:rPr>
              <w:t>能满足该项目要求的品牌中央空调设备</w:t>
            </w:r>
            <w:r>
              <w:rPr>
                <w:rFonts w:hint="eastAsia" w:ascii="宋体" w:hAnsi="宋体" w:cs="宋体"/>
                <w:color w:val="auto"/>
                <w:szCs w:val="21"/>
                <w:highlight w:val="none"/>
                <w:lang w:eastAsia="zh-CN"/>
              </w:rPr>
              <w:t>、</w:t>
            </w:r>
            <w:r>
              <w:rPr>
                <w:rFonts w:hint="eastAsia" w:ascii="Times New Roman" w:hAnsi="Times New Roman" w:eastAsia="宋体" w:cs="Times New Roman"/>
                <w:b w:val="0"/>
                <w:bCs w:val="0"/>
                <w:kern w:val="2"/>
                <w:sz w:val="21"/>
                <w:szCs w:val="24"/>
                <w:lang w:val="en-US" w:eastAsia="zh-CN" w:bidi="ar-SA"/>
              </w:rPr>
              <w:t>LED屏、音箱、灯光</w:t>
            </w:r>
            <w:r>
              <w:rPr>
                <w:rFonts w:hint="eastAsia" w:ascii="宋体" w:hAnsi="宋体" w:cs="宋体"/>
                <w:color w:val="auto"/>
                <w:szCs w:val="21"/>
                <w:highlight w:val="none"/>
              </w:rPr>
              <w:t>及安装、调试、售后服务（详见施工图纸及清单）</w:t>
            </w:r>
            <w:r>
              <w:rPr>
                <w:rFonts w:hint="eastAsia" w:ascii="宋体" w:hAnsi="宋体" w:cs="宋体"/>
                <w:color w:val="auto"/>
                <w:szCs w:val="21"/>
                <w:highlight w:val="none"/>
                <w:lang w:eastAsia="zh-CN"/>
              </w:rPr>
              <w:t>。</w:t>
            </w:r>
          </w:p>
        </w:tc>
      </w:tr>
      <w:tr w14:paraId="03EF1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53" w:type="dxa"/>
            <w:tcBorders>
              <w:top w:val="single" w:color="auto" w:sz="4" w:space="0"/>
              <w:left w:val="single" w:color="auto" w:sz="4" w:space="0"/>
              <w:bottom w:val="single" w:color="auto" w:sz="4" w:space="0"/>
              <w:right w:val="single" w:color="auto" w:sz="4" w:space="0"/>
            </w:tcBorders>
            <w:noWrap w:val="0"/>
            <w:vAlign w:val="center"/>
          </w:tcPr>
          <w:p w14:paraId="37CF4C7A">
            <w:pPr>
              <w:keepNext w:val="0"/>
              <w:keepLines w:val="0"/>
              <w:suppressLineNumbers w:val="0"/>
              <w:autoSpaceDE w:val="0"/>
              <w:autoSpaceDN w:val="0"/>
              <w:adjustRightInd w:val="0"/>
              <w:spacing w:before="0" w:beforeAutospacing="0" w:after="0" w:afterAutospacing="0" w:line="360" w:lineRule="auto"/>
              <w:ind w:left="0"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w:t>
            </w:r>
          </w:p>
        </w:tc>
        <w:tc>
          <w:tcPr>
            <w:tcW w:w="1714" w:type="dxa"/>
            <w:gridSpan w:val="2"/>
            <w:tcBorders>
              <w:top w:val="single" w:color="auto" w:sz="4" w:space="0"/>
              <w:left w:val="single" w:color="auto" w:sz="4" w:space="0"/>
              <w:bottom w:val="single" w:color="auto" w:sz="4" w:space="0"/>
              <w:right w:val="single" w:color="auto" w:sz="4" w:space="0"/>
            </w:tcBorders>
            <w:noWrap w:val="0"/>
            <w:vAlign w:val="center"/>
          </w:tcPr>
          <w:p w14:paraId="1A6B9637">
            <w:pPr>
              <w:keepNext w:val="0"/>
              <w:keepLines w:val="0"/>
              <w:suppressLineNumbers w:val="0"/>
              <w:autoSpaceDE w:val="0"/>
              <w:autoSpaceDN w:val="0"/>
              <w:adjustRightInd w:val="0"/>
              <w:spacing w:before="73"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计划工期</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1标段</w:t>
            </w:r>
            <w:r>
              <w:rPr>
                <w:rFonts w:hint="eastAsia" w:ascii="宋体" w:hAnsi="宋体" w:cs="宋体"/>
                <w:color w:val="auto"/>
                <w:kern w:val="0"/>
                <w:szCs w:val="21"/>
                <w:highlight w:val="none"/>
                <w:lang w:eastAsia="zh-CN"/>
              </w:rPr>
              <w:t>）</w:t>
            </w:r>
          </w:p>
        </w:tc>
        <w:tc>
          <w:tcPr>
            <w:tcW w:w="6884" w:type="dxa"/>
            <w:tcBorders>
              <w:top w:val="single" w:color="auto" w:sz="4" w:space="0"/>
              <w:left w:val="single" w:color="auto" w:sz="4" w:space="0"/>
              <w:bottom w:val="single" w:color="auto" w:sz="4" w:space="0"/>
              <w:right w:val="single" w:color="auto" w:sz="4" w:space="0"/>
            </w:tcBorders>
            <w:noWrap w:val="0"/>
            <w:vAlign w:val="center"/>
          </w:tcPr>
          <w:p w14:paraId="7E85BFF9">
            <w:pPr>
              <w:keepNext w:val="0"/>
              <w:keepLines w:val="0"/>
              <w:suppressLineNumbers w:val="0"/>
              <w:spacing w:before="0" w:beforeAutospacing="0" w:after="0" w:afterAutospacing="0" w:line="360" w:lineRule="auto"/>
              <w:ind w:left="0" w:right="0" w:firstLine="420" w:firstLineChars="200"/>
              <w:jc w:val="left"/>
              <w:rPr>
                <w:rFonts w:hint="default"/>
                <w:lang w:val="en-US" w:eastAsia="zh-CN"/>
              </w:rPr>
            </w:pPr>
            <w:r>
              <w:rPr>
                <w:rFonts w:hint="eastAsia" w:ascii="宋体" w:hAnsi="宋体" w:eastAsia="Times New Roman" w:cs="宋体"/>
                <w:snapToGrid w:val="0"/>
                <w:color w:val="auto"/>
                <w:kern w:val="0"/>
                <w:szCs w:val="21"/>
                <w:highlight w:val="none"/>
                <w:u w:val="single"/>
                <w:lang w:val="en-US" w:eastAsia="zh-CN"/>
              </w:rPr>
              <w:t>30</w:t>
            </w:r>
            <w:r>
              <w:rPr>
                <w:rFonts w:hint="eastAsia" w:ascii="宋体" w:hAnsi="宋体" w:eastAsia="Times New Roman" w:cs="宋体"/>
                <w:snapToGrid w:val="0"/>
                <w:color w:val="auto"/>
                <w:kern w:val="0"/>
                <w:szCs w:val="21"/>
                <w:highlight w:val="none"/>
              </w:rPr>
              <w:t>日历天</w:t>
            </w:r>
            <w:r>
              <w:rPr>
                <w:rFonts w:hint="eastAsia" w:ascii="宋体" w:hAnsi="宋体" w:eastAsia="Times New Roman" w:cs="宋体"/>
                <w:snapToGrid w:val="0"/>
                <w:color w:val="auto"/>
                <w:kern w:val="0"/>
                <w:szCs w:val="21"/>
                <w:highlight w:val="none"/>
                <w:lang w:eastAsia="zh-CN"/>
              </w:rPr>
              <w:t>，</w:t>
            </w:r>
            <w:r>
              <w:rPr>
                <w:rFonts w:hint="eastAsia" w:ascii="宋体" w:hAnsi="宋体" w:eastAsia="Times New Roman" w:cs="Times New Roman"/>
                <w:snapToGrid w:val="0"/>
                <w:color w:val="000000"/>
                <w:kern w:val="0"/>
                <w:szCs w:val="21"/>
                <w:highlight w:val="none"/>
              </w:rPr>
              <w:t>缺陷责任期</w:t>
            </w:r>
            <w:r>
              <w:rPr>
                <w:rFonts w:hint="eastAsia" w:ascii="宋体" w:hAnsi="宋体" w:eastAsia="Times New Roman" w:cs="Times New Roman"/>
                <w:snapToGrid w:val="0"/>
                <w:color w:val="000000"/>
                <w:kern w:val="0"/>
                <w:szCs w:val="21"/>
                <w:highlight w:val="none"/>
                <w:u w:val="single"/>
                <w:lang w:val="en-US" w:eastAsia="zh-CN"/>
              </w:rPr>
              <w:t>24</w:t>
            </w:r>
            <w:r>
              <w:rPr>
                <w:rFonts w:hint="eastAsia" w:ascii="宋体" w:hAnsi="宋体" w:eastAsia="Times New Roman" w:cs="Times New Roman"/>
                <w:snapToGrid w:val="0"/>
                <w:color w:val="000000"/>
                <w:kern w:val="0"/>
                <w:szCs w:val="21"/>
                <w:highlight w:val="none"/>
              </w:rPr>
              <w:t>个月</w:t>
            </w:r>
            <w:r>
              <w:rPr>
                <w:rFonts w:hint="eastAsia" w:ascii="宋体" w:hAnsi="宋体"/>
                <w:snapToGrid w:val="0"/>
                <w:color w:val="000000"/>
                <w:kern w:val="0"/>
                <w:szCs w:val="21"/>
                <w:highlight w:val="none"/>
                <w:lang w:eastAsia="zh-CN"/>
              </w:rPr>
              <w:t>，</w:t>
            </w:r>
            <w:r>
              <w:rPr>
                <w:rFonts w:hint="eastAsia" w:ascii="宋体" w:hAnsi="宋体"/>
                <w:snapToGrid w:val="0"/>
                <w:color w:val="000000"/>
                <w:kern w:val="0"/>
                <w:szCs w:val="21"/>
                <w:highlight w:val="none"/>
                <w:lang w:val="en-US" w:eastAsia="zh-CN"/>
              </w:rPr>
              <w:t>售后服务期按产品生产厂家的规定执行</w:t>
            </w:r>
            <w:r>
              <w:rPr>
                <w:rFonts w:hint="eastAsia" w:ascii="宋体" w:hAnsi="宋体"/>
                <w:snapToGrid w:val="0"/>
                <w:color w:val="000000"/>
                <w:kern w:val="0"/>
                <w:szCs w:val="21"/>
                <w:highlight w:val="none"/>
                <w:lang w:eastAsia="zh-CN"/>
              </w:rPr>
              <w:t>。</w:t>
            </w:r>
          </w:p>
        </w:tc>
      </w:tr>
      <w:tr w14:paraId="7AC14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53" w:type="dxa"/>
            <w:tcBorders>
              <w:top w:val="single" w:color="auto" w:sz="4" w:space="0"/>
              <w:left w:val="single" w:color="auto" w:sz="4" w:space="0"/>
              <w:bottom w:val="single" w:color="auto" w:sz="4" w:space="0"/>
              <w:right w:val="single" w:color="auto" w:sz="4" w:space="0"/>
            </w:tcBorders>
            <w:noWrap w:val="0"/>
            <w:vAlign w:val="center"/>
          </w:tcPr>
          <w:p w14:paraId="3E10C12D">
            <w:pPr>
              <w:keepNext w:val="0"/>
              <w:keepLines w:val="0"/>
              <w:suppressLineNumbers w:val="0"/>
              <w:autoSpaceDE w:val="0"/>
              <w:autoSpaceDN w:val="0"/>
              <w:adjustRightInd w:val="0"/>
              <w:spacing w:before="0" w:beforeAutospacing="0" w:after="0" w:afterAutospacing="0" w:line="360" w:lineRule="auto"/>
              <w:ind w:left="0" w:right="-20"/>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1.3.2.1</w:t>
            </w:r>
          </w:p>
        </w:tc>
        <w:tc>
          <w:tcPr>
            <w:tcW w:w="1714" w:type="dxa"/>
            <w:gridSpan w:val="2"/>
            <w:tcBorders>
              <w:top w:val="single" w:color="auto" w:sz="4" w:space="0"/>
              <w:left w:val="single" w:color="auto" w:sz="4" w:space="0"/>
              <w:bottom w:val="single" w:color="auto" w:sz="4" w:space="0"/>
              <w:right w:val="single" w:color="auto" w:sz="4" w:space="0"/>
            </w:tcBorders>
            <w:noWrap w:val="0"/>
            <w:vAlign w:val="center"/>
          </w:tcPr>
          <w:p w14:paraId="4E00F3F8">
            <w:pPr>
              <w:keepNext w:val="0"/>
              <w:keepLines w:val="0"/>
              <w:suppressLineNumbers w:val="0"/>
              <w:autoSpaceDE w:val="0"/>
              <w:autoSpaceDN w:val="0"/>
              <w:adjustRightInd w:val="0"/>
              <w:spacing w:before="73"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计划工期</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2标段</w:t>
            </w:r>
            <w:r>
              <w:rPr>
                <w:rFonts w:hint="eastAsia" w:ascii="宋体" w:hAnsi="宋体" w:cs="宋体"/>
                <w:color w:val="auto"/>
                <w:kern w:val="0"/>
                <w:szCs w:val="21"/>
                <w:highlight w:val="none"/>
                <w:lang w:eastAsia="zh-CN"/>
              </w:rPr>
              <w:t>）</w:t>
            </w:r>
          </w:p>
        </w:tc>
        <w:tc>
          <w:tcPr>
            <w:tcW w:w="6884" w:type="dxa"/>
            <w:tcBorders>
              <w:top w:val="single" w:color="auto" w:sz="4" w:space="0"/>
              <w:left w:val="single" w:color="auto" w:sz="4" w:space="0"/>
              <w:bottom w:val="single" w:color="auto" w:sz="4" w:space="0"/>
              <w:right w:val="single" w:color="auto" w:sz="4" w:space="0"/>
            </w:tcBorders>
            <w:noWrap w:val="0"/>
            <w:vAlign w:val="center"/>
          </w:tcPr>
          <w:p w14:paraId="2D04A90B">
            <w:pPr>
              <w:keepNext w:val="0"/>
              <w:keepLines w:val="0"/>
              <w:suppressLineNumbers w:val="0"/>
              <w:spacing w:before="0" w:beforeAutospacing="0" w:after="0" w:afterAutospacing="0" w:line="360" w:lineRule="auto"/>
              <w:ind w:left="0" w:right="0" w:firstLine="420" w:firstLineChars="200"/>
              <w:jc w:val="left"/>
              <w:rPr>
                <w:rFonts w:hint="eastAsia" w:ascii="宋体" w:hAnsi="宋体"/>
                <w:snapToGrid w:val="0"/>
                <w:color w:val="000000"/>
                <w:kern w:val="0"/>
                <w:szCs w:val="21"/>
                <w:highlight w:val="none"/>
                <w:lang w:eastAsia="zh-CN"/>
              </w:rPr>
            </w:pPr>
            <w:r>
              <w:rPr>
                <w:rFonts w:hint="eastAsia" w:ascii="宋体" w:hAnsi="宋体" w:eastAsia="Times New Roman" w:cs="宋体"/>
                <w:snapToGrid w:val="0"/>
                <w:color w:val="auto"/>
                <w:kern w:val="0"/>
                <w:szCs w:val="21"/>
                <w:highlight w:val="none"/>
                <w:u w:val="single"/>
                <w:lang w:val="en-US" w:eastAsia="zh-CN"/>
              </w:rPr>
              <w:t>30</w:t>
            </w:r>
            <w:r>
              <w:rPr>
                <w:rFonts w:hint="eastAsia" w:ascii="宋体" w:hAnsi="宋体" w:eastAsia="Times New Roman" w:cs="宋体"/>
                <w:snapToGrid w:val="0"/>
                <w:color w:val="auto"/>
                <w:kern w:val="0"/>
                <w:szCs w:val="21"/>
                <w:highlight w:val="none"/>
              </w:rPr>
              <w:t>日历天</w:t>
            </w:r>
            <w:r>
              <w:rPr>
                <w:rFonts w:hint="eastAsia" w:ascii="宋体" w:hAnsi="宋体" w:eastAsia="Times New Roman" w:cs="宋体"/>
                <w:snapToGrid w:val="0"/>
                <w:color w:val="auto"/>
                <w:kern w:val="0"/>
                <w:szCs w:val="21"/>
                <w:highlight w:val="none"/>
                <w:lang w:eastAsia="zh-CN"/>
              </w:rPr>
              <w:t>，</w:t>
            </w:r>
            <w:r>
              <w:rPr>
                <w:rFonts w:hint="eastAsia" w:ascii="宋体" w:hAnsi="宋体" w:eastAsia="Times New Roman" w:cs="Times New Roman"/>
                <w:snapToGrid w:val="0"/>
                <w:color w:val="000000"/>
                <w:kern w:val="0"/>
                <w:szCs w:val="21"/>
                <w:highlight w:val="none"/>
              </w:rPr>
              <w:t>缺陷责任期</w:t>
            </w:r>
            <w:r>
              <w:rPr>
                <w:rFonts w:hint="eastAsia" w:ascii="宋体" w:hAnsi="宋体" w:eastAsia="Times New Roman" w:cs="Times New Roman"/>
                <w:snapToGrid w:val="0"/>
                <w:color w:val="000000"/>
                <w:kern w:val="0"/>
                <w:szCs w:val="21"/>
                <w:highlight w:val="none"/>
                <w:u w:val="single"/>
                <w:lang w:val="en-US" w:eastAsia="zh-CN"/>
              </w:rPr>
              <w:t>24</w:t>
            </w:r>
            <w:r>
              <w:rPr>
                <w:rFonts w:hint="eastAsia" w:ascii="宋体" w:hAnsi="宋体" w:eastAsia="Times New Roman" w:cs="Times New Roman"/>
                <w:snapToGrid w:val="0"/>
                <w:color w:val="000000"/>
                <w:kern w:val="0"/>
                <w:szCs w:val="21"/>
                <w:highlight w:val="none"/>
              </w:rPr>
              <w:t>个月</w:t>
            </w:r>
            <w:r>
              <w:rPr>
                <w:rFonts w:hint="eastAsia" w:ascii="宋体" w:hAnsi="宋体"/>
                <w:snapToGrid w:val="0"/>
                <w:color w:val="000000"/>
                <w:kern w:val="0"/>
                <w:szCs w:val="21"/>
                <w:highlight w:val="none"/>
                <w:lang w:eastAsia="zh-CN"/>
              </w:rPr>
              <w:t>，</w:t>
            </w:r>
            <w:r>
              <w:rPr>
                <w:rFonts w:hint="eastAsia" w:ascii="宋体" w:hAnsi="宋体"/>
                <w:snapToGrid w:val="0"/>
                <w:color w:val="000000"/>
                <w:kern w:val="0"/>
                <w:szCs w:val="21"/>
                <w:highlight w:val="none"/>
                <w:lang w:val="en-US" w:eastAsia="zh-CN"/>
              </w:rPr>
              <w:t>售后服务期按产品生产厂家的规定执行</w:t>
            </w:r>
            <w:r>
              <w:rPr>
                <w:rFonts w:hint="eastAsia" w:ascii="宋体" w:hAnsi="宋体"/>
                <w:snapToGrid w:val="0"/>
                <w:color w:val="000000"/>
                <w:kern w:val="0"/>
                <w:szCs w:val="21"/>
                <w:highlight w:val="none"/>
                <w:lang w:eastAsia="zh-CN"/>
              </w:rPr>
              <w:t>。</w:t>
            </w:r>
          </w:p>
          <w:p w14:paraId="4563C293">
            <w:pPr>
              <w:pStyle w:val="19"/>
              <w:keepNext w:val="0"/>
              <w:keepLines w:val="0"/>
              <w:suppressLineNumbers w:val="0"/>
              <w:spacing w:before="0" w:beforeAutospacing="0" w:afterAutospacing="0"/>
              <w:ind w:left="0" w:right="0"/>
              <w:rPr>
                <w:rFonts w:hint="eastAsia" w:ascii="宋体" w:hAnsi="宋体" w:eastAsia="宋体" w:cs="Times New Roman"/>
                <w:kern w:val="2"/>
                <w:sz w:val="21"/>
                <w:szCs w:val="24"/>
                <w:lang w:val="en-US" w:eastAsia="zh-CN" w:bidi="ar-SA"/>
              </w:rPr>
            </w:pPr>
            <w:r>
              <w:rPr>
                <w:rFonts w:hint="eastAsia"/>
                <w:snapToGrid w:val="0"/>
                <w:color w:val="000000"/>
                <w:kern w:val="0"/>
                <w:szCs w:val="21"/>
                <w:highlight w:val="none"/>
                <w:lang w:val="en-US" w:eastAsia="zh-CN"/>
              </w:rPr>
              <w:t xml:space="preserve">  </w:t>
            </w:r>
            <w:r>
              <w:rPr>
                <w:rFonts w:hint="eastAsia"/>
                <w:snapToGrid w:val="0"/>
                <w:color w:val="FF0000"/>
                <w:kern w:val="0"/>
                <w:szCs w:val="21"/>
                <w:highlight w:val="none"/>
                <w:lang w:val="en-US" w:eastAsia="zh-CN"/>
              </w:rPr>
              <w:t xml:space="preserve"> </w:t>
            </w:r>
            <w:r>
              <w:rPr>
                <w:rFonts w:hint="eastAsia"/>
                <w:snapToGrid w:val="0"/>
                <w:color w:val="auto"/>
                <w:kern w:val="0"/>
                <w:szCs w:val="21"/>
                <w:highlight w:val="none"/>
                <w:lang w:val="en-US" w:eastAsia="zh-CN"/>
              </w:rPr>
              <w:t>售后服务：供货方应提供不低于3年的售后服务。</w:t>
            </w:r>
            <w:r>
              <w:rPr>
                <w:rFonts w:hint="eastAsia"/>
                <w:snapToGrid w:val="0"/>
                <w:color w:val="auto"/>
                <w:kern w:val="0"/>
                <w:szCs w:val="21"/>
                <w:highlight w:val="none"/>
                <w:u w:val="single"/>
                <w:lang w:val="en-US" w:eastAsia="zh-CN"/>
              </w:rPr>
              <w:t>所有设备设施验收合格后10年技术支持服务。</w:t>
            </w:r>
          </w:p>
        </w:tc>
      </w:tr>
      <w:tr w14:paraId="50EF4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53" w:type="dxa"/>
            <w:tcBorders>
              <w:top w:val="single" w:color="auto" w:sz="4" w:space="0"/>
              <w:left w:val="single" w:color="auto" w:sz="4" w:space="0"/>
              <w:right w:val="single" w:color="auto" w:sz="4" w:space="0"/>
            </w:tcBorders>
            <w:noWrap w:val="0"/>
            <w:vAlign w:val="center"/>
          </w:tcPr>
          <w:p w14:paraId="71B7F6F3">
            <w:pPr>
              <w:keepNext w:val="0"/>
              <w:keepLines w:val="0"/>
              <w:suppressLineNumbers w:val="0"/>
              <w:autoSpaceDE w:val="0"/>
              <w:autoSpaceDN w:val="0"/>
              <w:adjustRightInd w:val="0"/>
              <w:spacing w:before="0" w:beforeAutospacing="0" w:after="0" w:afterAutospacing="0" w:line="360" w:lineRule="auto"/>
              <w:ind w:left="0"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w:t>
            </w:r>
          </w:p>
        </w:tc>
        <w:tc>
          <w:tcPr>
            <w:tcW w:w="1714" w:type="dxa"/>
            <w:gridSpan w:val="2"/>
            <w:tcBorders>
              <w:top w:val="single" w:color="auto" w:sz="4" w:space="0"/>
              <w:left w:val="single" w:color="auto" w:sz="4" w:space="0"/>
              <w:bottom w:val="single" w:color="auto" w:sz="4" w:space="0"/>
              <w:right w:val="single" w:color="auto" w:sz="4" w:space="0"/>
            </w:tcBorders>
            <w:noWrap w:val="0"/>
            <w:vAlign w:val="center"/>
          </w:tcPr>
          <w:p w14:paraId="7D7A4ED7">
            <w:pPr>
              <w:keepNext w:val="0"/>
              <w:keepLines w:val="0"/>
              <w:suppressLineNumbers w:val="0"/>
              <w:autoSpaceDE w:val="0"/>
              <w:autoSpaceDN w:val="0"/>
              <w:adjustRightInd w:val="0"/>
              <w:spacing w:before="73"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质量要求</w:t>
            </w:r>
          </w:p>
        </w:tc>
        <w:tc>
          <w:tcPr>
            <w:tcW w:w="6884" w:type="dxa"/>
            <w:tcBorders>
              <w:top w:val="single" w:color="auto" w:sz="4" w:space="0"/>
              <w:left w:val="single" w:color="auto" w:sz="4" w:space="0"/>
              <w:right w:val="single" w:color="auto" w:sz="4" w:space="0"/>
            </w:tcBorders>
            <w:noWrap w:val="0"/>
            <w:vAlign w:val="center"/>
          </w:tcPr>
          <w:p w14:paraId="255C02EA">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eastAsia="宋体" w:cs="宋体"/>
                <w:color w:val="auto"/>
                <w:szCs w:val="21"/>
                <w:highlight w:val="none"/>
                <w:lang w:val="en-US" w:eastAsia="zh-CN"/>
              </w:rPr>
            </w:pPr>
            <w:r>
              <w:rPr>
                <w:rFonts w:hint="eastAsia" w:ascii="宋体" w:hAnsi="宋体" w:eastAsia="Times New Roman" w:cs="Times New Roman"/>
                <w:color w:val="000000"/>
                <w:szCs w:val="21"/>
                <w:highlight w:val="none"/>
              </w:rPr>
              <w:t>符合强制性质量标准，符合国家和重庆市现行有关施工质量验收规范要求，并达到合格标准。</w:t>
            </w:r>
            <w:r>
              <w:rPr>
                <w:rFonts w:hint="eastAsia" w:ascii="宋体" w:hAnsi="宋体" w:eastAsia="宋体" w:cs="Times New Roman"/>
                <w:color w:val="auto"/>
                <w:szCs w:val="21"/>
                <w:highlight w:val="none"/>
                <w:lang w:val="en-US" w:eastAsia="zh-CN"/>
              </w:rPr>
              <w:t>工程质量未达到此标准时，一切返工费用及经济损失均由投标人承担。</w:t>
            </w:r>
          </w:p>
        </w:tc>
      </w:tr>
      <w:tr w14:paraId="5DDF8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2" w:hRule="atLeast"/>
        </w:trPr>
        <w:tc>
          <w:tcPr>
            <w:tcW w:w="953" w:type="dxa"/>
            <w:tcBorders>
              <w:top w:val="single" w:color="auto" w:sz="4" w:space="0"/>
              <w:left w:val="single" w:color="auto" w:sz="4" w:space="0"/>
              <w:bottom w:val="single" w:color="auto" w:sz="4" w:space="0"/>
              <w:right w:val="single" w:color="auto" w:sz="4" w:space="0"/>
            </w:tcBorders>
            <w:noWrap w:val="0"/>
            <w:vAlign w:val="center"/>
          </w:tcPr>
          <w:p w14:paraId="6ED13EC8">
            <w:pPr>
              <w:keepNext w:val="0"/>
              <w:keepLines w:val="0"/>
              <w:suppressLineNumbers w:val="0"/>
              <w:autoSpaceDE w:val="0"/>
              <w:autoSpaceDN w:val="0"/>
              <w:adjustRightInd w:val="0"/>
              <w:spacing w:before="0" w:beforeAutospacing="0" w:after="0" w:afterAutospacing="0" w:line="360" w:lineRule="auto"/>
              <w:ind w:left="0"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1.4.1</w:t>
            </w:r>
          </w:p>
        </w:tc>
        <w:tc>
          <w:tcPr>
            <w:tcW w:w="1714" w:type="dxa"/>
            <w:gridSpan w:val="2"/>
            <w:tcBorders>
              <w:top w:val="single" w:color="auto" w:sz="4" w:space="0"/>
              <w:left w:val="single" w:color="auto" w:sz="4" w:space="0"/>
              <w:bottom w:val="single" w:color="auto" w:sz="4" w:space="0"/>
              <w:right w:val="single" w:color="auto" w:sz="4" w:space="0"/>
            </w:tcBorders>
            <w:noWrap w:val="0"/>
            <w:vAlign w:val="center"/>
          </w:tcPr>
          <w:p w14:paraId="76070A05">
            <w:pPr>
              <w:keepNext w:val="0"/>
              <w:keepLines w:val="0"/>
              <w:suppressLineNumbers w:val="0"/>
              <w:autoSpaceDE w:val="0"/>
              <w:autoSpaceDN w:val="0"/>
              <w:adjustRightInd w:val="0"/>
              <w:spacing w:before="0" w:beforeAutospacing="0" w:after="0" w:afterAutospacing="0" w:line="360" w:lineRule="auto"/>
              <w:ind w:left="0"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比选申请人资质条件、能力和信誉</w:t>
            </w:r>
          </w:p>
        </w:tc>
        <w:tc>
          <w:tcPr>
            <w:tcW w:w="6884" w:type="dxa"/>
            <w:tcBorders>
              <w:top w:val="single" w:color="auto" w:sz="4" w:space="0"/>
              <w:left w:val="single" w:color="auto" w:sz="4" w:space="0"/>
              <w:bottom w:val="single" w:color="auto" w:sz="4" w:space="0"/>
              <w:right w:val="single" w:color="auto" w:sz="4" w:space="0"/>
            </w:tcBorders>
            <w:noWrap w:val="0"/>
            <w:vAlign w:val="center"/>
          </w:tcPr>
          <w:p w14:paraId="193C8501">
            <w:pPr>
              <w:keepNext w:val="0"/>
              <w:keepLines w:val="0"/>
              <w:suppressLineNumbers w:val="0"/>
              <w:autoSpaceDE w:val="0"/>
              <w:autoSpaceDN w:val="0"/>
              <w:adjustRightInd w:val="0"/>
              <w:snapToGrid w:val="0"/>
              <w:spacing w:before="0" w:beforeAutospacing="0" w:after="0" w:afterAutospacing="0" w:line="360" w:lineRule="auto"/>
              <w:ind w:left="0" w:right="0" w:firstLine="415" w:firstLineChars="198"/>
              <w:rPr>
                <w:rFonts w:hint="eastAsia" w:ascii="Times New Roman" w:hAnsi="Times New Roman" w:eastAsia="宋体" w:cs="Times New Roman"/>
                <w:highlight w:val="none"/>
                <w:lang w:val="en-US" w:eastAsia="zh-CN"/>
              </w:rPr>
            </w:pPr>
            <w:r>
              <w:rPr>
                <w:rFonts w:hint="eastAsia" w:ascii="Times New Roman" w:hAnsi="Times New Roman" w:eastAsia="Times New Roman" w:cs="Times New Roman"/>
                <w:highlight w:val="none"/>
              </w:rPr>
              <w:t>本工程</w:t>
            </w:r>
            <w:r>
              <w:rPr>
                <w:rFonts w:hint="eastAsia" w:eastAsia="宋体" w:cs="Times New Roman"/>
                <w:highlight w:val="none"/>
                <w:lang w:val="en-US" w:eastAsia="zh-CN"/>
              </w:rPr>
              <w:t>招标</w:t>
            </w:r>
            <w:r>
              <w:rPr>
                <w:rFonts w:hint="eastAsia" w:ascii="Times New Roman" w:hAnsi="Times New Roman" w:eastAsia="Times New Roman" w:cs="Times New Roman"/>
                <w:highlight w:val="none"/>
              </w:rPr>
              <w:t>比选实行资格后审，比选申请人应具备以下资格条件</w:t>
            </w:r>
            <w:r>
              <w:rPr>
                <w:rFonts w:hint="eastAsia" w:eastAsia="宋体" w:cs="Times New Roman"/>
                <w:highlight w:val="none"/>
                <w:lang w:eastAsia="zh-CN"/>
              </w:rPr>
              <w:t>。</w:t>
            </w:r>
          </w:p>
          <w:p w14:paraId="03000291">
            <w:pPr>
              <w:keepNext w:val="0"/>
              <w:keepLines w:val="0"/>
              <w:suppressLineNumbers w:val="0"/>
              <w:autoSpaceDE w:val="0"/>
              <w:autoSpaceDN w:val="0"/>
              <w:adjustRightInd w:val="0"/>
              <w:snapToGrid w:val="0"/>
              <w:spacing w:before="0" w:beforeAutospacing="0" w:after="0" w:afterAutospacing="0" w:line="360" w:lineRule="auto"/>
              <w:ind w:left="0" w:right="0" w:firstLine="415" w:firstLineChars="198"/>
              <w:rPr>
                <w:rFonts w:hint="eastAsia" w:ascii="Times New Roman" w:hAnsi="Times New Roman" w:eastAsia="Times New Roman" w:cs="Times New Roman"/>
                <w:color w:val="auto"/>
                <w:highlight w:val="none"/>
              </w:rPr>
            </w:pPr>
            <w:r>
              <w:rPr>
                <w:rFonts w:hint="eastAsia" w:ascii="Times New Roman" w:hAnsi="Times New Roman" w:eastAsia="Times New Roman" w:cs="Times New Roman"/>
                <w:color w:val="auto"/>
                <w:highlight w:val="none"/>
              </w:rPr>
              <w:t>1.资质条件、营业执照</w:t>
            </w:r>
          </w:p>
          <w:p w14:paraId="5FF3AB91">
            <w:pPr>
              <w:keepNext w:val="0"/>
              <w:keepLines w:val="0"/>
              <w:suppressLineNumbers w:val="0"/>
              <w:autoSpaceDE w:val="0"/>
              <w:autoSpaceDN w:val="0"/>
              <w:adjustRightInd w:val="0"/>
              <w:snapToGrid w:val="0"/>
              <w:spacing w:before="0" w:beforeAutospacing="0" w:after="0" w:afterAutospacing="0" w:line="360" w:lineRule="auto"/>
              <w:ind w:left="0" w:right="0" w:firstLine="415" w:firstLineChars="198"/>
              <w:rPr>
                <w:rFonts w:hint="default" w:eastAsia="宋体"/>
                <w:b/>
                <w:bCs/>
                <w:color w:val="auto"/>
                <w:highlight w:val="none"/>
                <w:lang w:val="en-US" w:eastAsia="zh-CN"/>
              </w:rPr>
            </w:pPr>
            <w:r>
              <w:rPr>
                <w:rFonts w:hint="eastAsia" w:ascii="Times New Roman" w:hAnsi="Times New Roman" w:eastAsia="宋体" w:cs="Times New Roman"/>
                <w:color w:val="auto"/>
                <w:highlight w:val="none"/>
                <w:lang w:val="en-US" w:eastAsia="zh-CN"/>
              </w:rPr>
              <w:t>（1）比选申请人须具备资质</w:t>
            </w:r>
            <w:r>
              <w:rPr>
                <w:rFonts w:hint="eastAsia" w:cs="Times New Roman"/>
                <w:color w:val="auto"/>
                <w:highlight w:val="none"/>
                <w:lang w:val="en-US" w:eastAsia="zh-CN"/>
              </w:rPr>
              <w:t>：1标段：</w:t>
            </w:r>
            <w:r>
              <w:rPr>
                <w:rFonts w:hint="eastAsia" w:ascii="Times New Roman" w:hAnsi="Times New Roman" w:eastAsia="宋体" w:cs="Times New Roman"/>
                <w:color w:val="auto"/>
                <w:highlight w:val="none"/>
                <w:lang w:val="en-US" w:eastAsia="zh-CN"/>
              </w:rPr>
              <w:t>建设行政主管部门颁发的建筑机电安装工程专业承包资质三级及以上资质；</w:t>
            </w:r>
            <w:r>
              <w:rPr>
                <w:rFonts w:hint="eastAsia" w:cs="Times New Roman"/>
                <w:color w:val="auto"/>
                <w:highlight w:val="none"/>
                <w:lang w:val="en-US" w:eastAsia="zh-CN"/>
              </w:rPr>
              <w:t>2标段：</w:t>
            </w:r>
            <w:r>
              <w:rPr>
                <w:rFonts w:hint="eastAsia"/>
                <w:color w:val="auto"/>
                <w:highlight w:val="none"/>
              </w:rPr>
              <w:t>建设行政主管部门颁发</w:t>
            </w:r>
            <w:r>
              <w:rPr>
                <w:rFonts w:hint="eastAsia"/>
                <w:color w:val="auto"/>
                <w:highlight w:val="none"/>
                <w:lang w:val="en-US" w:eastAsia="zh-CN"/>
              </w:rPr>
              <w:t>的电子与智能化工程专业承包二级及以上。</w:t>
            </w:r>
          </w:p>
          <w:p w14:paraId="3EAE3CE6">
            <w:pPr>
              <w:keepNext w:val="0"/>
              <w:keepLines w:val="0"/>
              <w:suppressLineNumbers w:val="0"/>
              <w:autoSpaceDE w:val="0"/>
              <w:autoSpaceDN w:val="0"/>
              <w:adjustRightInd w:val="0"/>
              <w:snapToGrid w:val="0"/>
              <w:spacing w:before="0" w:beforeAutospacing="0" w:after="0" w:afterAutospacing="0" w:line="360" w:lineRule="auto"/>
              <w:ind w:left="0" w:right="0" w:firstLine="415" w:firstLineChars="198"/>
              <w:rPr>
                <w:rFonts w:hint="eastAsia" w:ascii="Times New Roman" w:hAnsi="Times New Roman" w:eastAsia="Times New Roman" w:cs="Times New Roman"/>
                <w:color w:val="auto"/>
                <w:highlight w:val="none"/>
                <w:lang w:eastAsia="zh-CN"/>
              </w:rPr>
            </w:pPr>
            <w:r>
              <w:rPr>
                <w:rFonts w:hint="eastAsia" w:ascii="Times New Roman" w:hAnsi="Times New Roman" w:eastAsia="Times New Roman" w:cs="Times New Roman"/>
                <w:color w:val="auto"/>
                <w:highlight w:val="none"/>
              </w:rPr>
              <w:t>（须提供有效的带二维码的资质证书复印件</w:t>
            </w:r>
            <w:r>
              <w:rPr>
                <w:rFonts w:hint="eastAsia" w:ascii="Times New Roman" w:hAnsi="Times New Roman" w:eastAsia="宋体" w:cs="Times New Roman"/>
                <w:color w:val="auto"/>
                <w:highlight w:val="none"/>
                <w:lang w:eastAsia="zh-CN"/>
              </w:rPr>
              <w:t>加盖</w:t>
            </w:r>
            <w:r>
              <w:rPr>
                <w:rFonts w:hint="eastAsia" w:ascii="Times New Roman" w:hAnsi="Times New Roman" w:eastAsia="宋体" w:cs="Times New Roman"/>
                <w:color w:val="auto"/>
                <w:highlight w:val="none"/>
                <w:lang w:val="en-US" w:eastAsia="zh-CN"/>
              </w:rPr>
              <w:t>比选申请人</w:t>
            </w:r>
            <w:r>
              <w:rPr>
                <w:rFonts w:hint="eastAsia" w:ascii="Times New Roman" w:hAnsi="Times New Roman" w:eastAsia="宋体" w:cs="Times New Roman"/>
                <w:color w:val="auto"/>
                <w:highlight w:val="none"/>
                <w:lang w:eastAsia="zh-CN"/>
              </w:rPr>
              <w:t>鲜章</w:t>
            </w:r>
            <w:r>
              <w:rPr>
                <w:rFonts w:hint="eastAsia" w:ascii="Times New Roman" w:hAnsi="Times New Roman" w:eastAsia="Times New Roman" w:cs="Times New Roman"/>
                <w:color w:val="auto"/>
                <w:highlight w:val="none"/>
              </w:rPr>
              <w:t>）</w:t>
            </w:r>
          </w:p>
          <w:p w14:paraId="77E09214">
            <w:pPr>
              <w:keepNext w:val="0"/>
              <w:keepLines w:val="0"/>
              <w:suppressLineNumbers w:val="0"/>
              <w:autoSpaceDE w:val="0"/>
              <w:autoSpaceDN w:val="0"/>
              <w:adjustRightInd w:val="0"/>
              <w:snapToGrid w:val="0"/>
              <w:spacing w:before="0" w:beforeAutospacing="0" w:after="0" w:afterAutospacing="0" w:line="360" w:lineRule="auto"/>
              <w:ind w:left="0" w:right="0" w:firstLine="415" w:firstLineChars="198"/>
              <w:rPr>
                <w:rFonts w:hint="eastAsia" w:ascii="Times New Roman" w:hAnsi="Times New Roman" w:eastAsia="Times New Roman" w:cs="Times New Roman"/>
                <w:highlight w:val="none"/>
              </w:rPr>
            </w:pPr>
            <w:r>
              <w:rPr>
                <w:rFonts w:hint="eastAsia" w:ascii="Times New Roman" w:hAnsi="Times New Roman" w:eastAsia="Times New Roman" w:cs="Times New Roman"/>
                <w:color w:val="auto"/>
                <w:highlight w:val="none"/>
              </w:rPr>
              <w:t>（2）具备有效的营业执照。（须提供有效的带</w:t>
            </w:r>
            <w:r>
              <w:rPr>
                <w:rFonts w:hint="eastAsia" w:ascii="Times New Roman" w:hAnsi="Times New Roman" w:eastAsia="Times New Roman" w:cs="Times New Roman"/>
                <w:highlight w:val="none"/>
              </w:rPr>
              <w:t>二维码的营业执照复印件</w:t>
            </w:r>
            <w:r>
              <w:rPr>
                <w:rFonts w:hint="eastAsia" w:ascii="Times New Roman" w:hAnsi="Times New Roman" w:eastAsia="宋体" w:cs="Times New Roman"/>
                <w:highlight w:val="none"/>
                <w:lang w:eastAsia="zh-CN"/>
              </w:rPr>
              <w:t>加盖</w:t>
            </w:r>
            <w:r>
              <w:rPr>
                <w:rFonts w:hint="eastAsia" w:ascii="Times New Roman" w:hAnsi="Times New Roman" w:eastAsia="宋体" w:cs="Times New Roman"/>
                <w:highlight w:val="none"/>
                <w:lang w:val="en-US" w:eastAsia="zh-CN"/>
              </w:rPr>
              <w:t>比选申请人</w:t>
            </w:r>
            <w:r>
              <w:rPr>
                <w:rFonts w:hint="eastAsia" w:ascii="Times New Roman" w:hAnsi="Times New Roman" w:eastAsia="宋体" w:cs="Times New Roman"/>
                <w:highlight w:val="none"/>
                <w:lang w:eastAsia="zh-CN"/>
              </w:rPr>
              <w:t>鲜章</w:t>
            </w:r>
            <w:r>
              <w:rPr>
                <w:rFonts w:hint="eastAsia" w:ascii="Times New Roman" w:hAnsi="Times New Roman" w:eastAsia="Times New Roman" w:cs="Times New Roman"/>
                <w:highlight w:val="none"/>
              </w:rPr>
              <w:t>）</w:t>
            </w:r>
          </w:p>
          <w:p w14:paraId="25E715A5">
            <w:pPr>
              <w:keepNext w:val="0"/>
              <w:keepLines w:val="0"/>
              <w:suppressLineNumbers w:val="0"/>
              <w:autoSpaceDE w:val="0"/>
              <w:autoSpaceDN w:val="0"/>
              <w:adjustRightInd w:val="0"/>
              <w:snapToGrid w:val="0"/>
              <w:spacing w:before="0" w:beforeAutospacing="0" w:after="0" w:afterAutospacing="0" w:line="360" w:lineRule="auto"/>
              <w:ind w:left="0" w:right="0" w:firstLine="415" w:firstLineChars="198"/>
              <w:rPr>
                <w:rFonts w:hint="eastAsia" w:ascii="Times New Roman" w:hAnsi="Times New Roman" w:eastAsia="Times New Roman" w:cs="Times New Roman"/>
                <w:highlight w:val="none"/>
              </w:rPr>
            </w:pPr>
            <w:r>
              <w:rPr>
                <w:rFonts w:hint="eastAsia" w:ascii="Times New Roman" w:hAnsi="Times New Roman" w:eastAsia="Times New Roman" w:cs="Times New Roman"/>
                <w:highlight w:val="none"/>
                <w:lang w:val="en-US" w:eastAsia="zh-CN"/>
              </w:rPr>
              <w:t>2</w:t>
            </w:r>
            <w:r>
              <w:rPr>
                <w:rFonts w:hint="eastAsia" w:ascii="Times New Roman" w:hAnsi="Times New Roman" w:eastAsia="Times New Roman" w:cs="Times New Roman"/>
                <w:highlight w:val="none"/>
              </w:rPr>
              <w:t>.比选申请截止日比选申请资格情况</w:t>
            </w:r>
          </w:p>
          <w:p w14:paraId="70D60C53">
            <w:pPr>
              <w:keepNext w:val="0"/>
              <w:keepLines w:val="0"/>
              <w:suppressLineNumbers w:val="0"/>
              <w:autoSpaceDE w:val="0"/>
              <w:autoSpaceDN w:val="0"/>
              <w:adjustRightInd w:val="0"/>
              <w:snapToGrid w:val="0"/>
              <w:spacing w:before="0" w:beforeAutospacing="0" w:after="0" w:afterAutospacing="0" w:line="360" w:lineRule="auto"/>
              <w:ind w:left="0" w:right="0" w:firstLine="415" w:firstLineChars="198"/>
              <w:rPr>
                <w:rFonts w:hint="eastAsia" w:ascii="Times New Roman" w:hAnsi="Times New Roman" w:eastAsia="Times New Roman" w:cs="Times New Roman"/>
                <w:highlight w:val="none"/>
              </w:rPr>
            </w:pPr>
            <w:r>
              <w:rPr>
                <w:rFonts w:hint="eastAsia" w:ascii="Times New Roman" w:hAnsi="Times New Roman" w:eastAsia="Times New Roman" w:cs="Times New Roman"/>
                <w:highlight w:val="none"/>
              </w:rPr>
              <w:t>比选申请人自行承诺（格式见第八章比选申请文件格式）不存在下列情形之一：</w:t>
            </w:r>
          </w:p>
          <w:p w14:paraId="564B8327">
            <w:pPr>
              <w:keepNext w:val="0"/>
              <w:keepLines w:val="0"/>
              <w:suppressLineNumbers w:val="0"/>
              <w:autoSpaceDE w:val="0"/>
              <w:autoSpaceDN w:val="0"/>
              <w:adjustRightInd w:val="0"/>
              <w:snapToGrid w:val="0"/>
              <w:spacing w:before="0" w:beforeAutospacing="0" w:after="0" w:afterAutospacing="0" w:line="360" w:lineRule="auto"/>
              <w:ind w:left="0" w:right="0" w:firstLine="415" w:firstLineChars="198"/>
              <w:rPr>
                <w:rFonts w:hint="eastAsia" w:ascii="Times New Roman" w:hAnsi="Times New Roman" w:eastAsia="Times New Roman" w:cs="Times New Roman"/>
                <w:highlight w:val="none"/>
              </w:rPr>
            </w:pPr>
            <w:r>
              <w:rPr>
                <w:rFonts w:hint="eastAsia" w:ascii="Times New Roman" w:hAnsi="Times New Roman" w:eastAsia="Times New Roman" w:cs="Times New Roman"/>
                <w:highlight w:val="none"/>
              </w:rPr>
              <w:t>（1）被人民法院在“信用中国”网站（</w:t>
            </w:r>
            <w:r>
              <w:rPr>
                <w:rFonts w:hint="eastAsia" w:ascii="Times New Roman" w:hAnsi="Times New Roman" w:eastAsia="Times New Roman" w:cs="Times New Roman"/>
                <w:highlight w:val="none"/>
              </w:rPr>
              <w:fldChar w:fldCharType="begin"/>
            </w:r>
            <w:r>
              <w:rPr>
                <w:rFonts w:hint="eastAsia" w:ascii="Times New Roman" w:hAnsi="Times New Roman" w:eastAsia="Times New Roman" w:cs="Times New Roman"/>
                <w:highlight w:val="none"/>
              </w:rPr>
              <w:instrText xml:space="preserve"> HYPERLINK "http://www.creditchina.gov.cn" </w:instrText>
            </w:r>
            <w:r>
              <w:rPr>
                <w:rFonts w:hint="eastAsia" w:ascii="Times New Roman" w:hAnsi="Times New Roman" w:eastAsia="Times New Roman" w:cs="Times New Roman"/>
                <w:highlight w:val="none"/>
              </w:rPr>
              <w:fldChar w:fldCharType="separate"/>
            </w:r>
            <w:r>
              <w:rPr>
                <w:rFonts w:hint="eastAsia" w:ascii="Times New Roman" w:hAnsi="Times New Roman" w:eastAsia="Times New Roman" w:cs="Times New Roman"/>
                <w:highlight w:val="none"/>
              </w:rPr>
              <w:t>www.creditchina.gov.cn</w:t>
            </w:r>
            <w:r>
              <w:rPr>
                <w:rFonts w:hint="eastAsia" w:ascii="Times New Roman" w:hAnsi="Times New Roman" w:eastAsia="Times New Roman" w:cs="Times New Roman"/>
                <w:highlight w:val="none"/>
              </w:rPr>
              <w:fldChar w:fldCharType="end"/>
            </w:r>
            <w:r>
              <w:rPr>
                <w:rFonts w:hint="eastAsia" w:ascii="Times New Roman" w:hAnsi="Times New Roman" w:eastAsia="Times New Roman" w:cs="Times New Roman"/>
                <w:highlight w:val="none"/>
              </w:rPr>
              <w:t>）列入失信被执行人名单且在被执行期内；</w:t>
            </w:r>
          </w:p>
          <w:p w14:paraId="45B9671B">
            <w:pPr>
              <w:keepNext w:val="0"/>
              <w:keepLines w:val="0"/>
              <w:suppressLineNumbers w:val="0"/>
              <w:autoSpaceDE w:val="0"/>
              <w:autoSpaceDN w:val="0"/>
              <w:adjustRightInd w:val="0"/>
              <w:snapToGrid w:val="0"/>
              <w:spacing w:before="0" w:beforeAutospacing="0" w:after="0" w:afterAutospacing="0" w:line="360" w:lineRule="auto"/>
              <w:ind w:left="0" w:right="0" w:firstLine="415" w:firstLineChars="198"/>
              <w:rPr>
                <w:rFonts w:hint="eastAsia" w:ascii="Times New Roman" w:hAnsi="Times New Roman" w:eastAsia="Times New Roman" w:cs="Times New Roman"/>
                <w:highlight w:val="none"/>
              </w:rPr>
            </w:pPr>
            <w:r>
              <w:rPr>
                <w:rFonts w:hint="eastAsia" w:ascii="Times New Roman" w:hAnsi="Times New Roman" w:eastAsia="Times New Roman" w:cs="Times New Roman"/>
                <w:highlight w:val="none"/>
              </w:rPr>
              <w:t>（2）被列入《重庆市工程建设领域招标投标信用管理暂行办法》规定的重点关注名单且记分达到12分且在记分有效期内；</w:t>
            </w:r>
          </w:p>
          <w:p w14:paraId="6133E32D">
            <w:pPr>
              <w:keepNext w:val="0"/>
              <w:keepLines w:val="0"/>
              <w:suppressLineNumbers w:val="0"/>
              <w:autoSpaceDE w:val="0"/>
              <w:autoSpaceDN w:val="0"/>
              <w:adjustRightInd w:val="0"/>
              <w:snapToGrid w:val="0"/>
              <w:spacing w:before="0" w:beforeAutospacing="0" w:after="0" w:afterAutospacing="0" w:line="360" w:lineRule="auto"/>
              <w:ind w:left="0" w:right="0" w:firstLine="415" w:firstLineChars="198"/>
              <w:rPr>
                <w:rFonts w:hint="eastAsia" w:ascii="Times New Roman" w:hAnsi="Times New Roman" w:eastAsia="Times New Roman" w:cs="Times New Roman"/>
                <w:highlight w:val="none"/>
              </w:rPr>
            </w:pPr>
            <w:r>
              <w:rPr>
                <w:rFonts w:hint="eastAsia" w:ascii="Times New Roman" w:hAnsi="Times New Roman" w:eastAsia="Times New Roman" w:cs="Times New Roman"/>
                <w:highlight w:val="none"/>
              </w:rPr>
              <w:t>（3）被列入《重庆市工程建设领域招标投标信用管理暂行办法》规定的重庆市工程建设领域招标投标失信惩戒对象名单（以下称黑名单）且在记分有效期内；</w:t>
            </w:r>
          </w:p>
          <w:p w14:paraId="006B0021">
            <w:pPr>
              <w:keepNext w:val="0"/>
              <w:keepLines w:val="0"/>
              <w:suppressLineNumbers w:val="0"/>
              <w:autoSpaceDE w:val="0"/>
              <w:autoSpaceDN w:val="0"/>
              <w:adjustRightInd w:val="0"/>
              <w:snapToGrid w:val="0"/>
              <w:spacing w:before="0" w:beforeAutospacing="0" w:after="0" w:afterAutospacing="0" w:line="360" w:lineRule="auto"/>
              <w:ind w:left="0" w:right="0" w:firstLine="415" w:firstLineChars="198"/>
              <w:rPr>
                <w:rFonts w:hint="eastAsia" w:ascii="Times New Roman" w:hAnsi="Times New Roman" w:eastAsia="Times New Roman" w:cs="Times New Roman"/>
                <w:highlight w:val="none"/>
              </w:rPr>
            </w:pPr>
            <w:r>
              <w:rPr>
                <w:rFonts w:hint="eastAsia" w:ascii="Times New Roman" w:hAnsi="Times New Roman" w:eastAsia="Times New Roman" w:cs="Times New Roman"/>
                <w:highlight w:val="none"/>
              </w:rPr>
              <w:t>（4）被国家、重庆市（含市或任意区县）有关行政部门处以暂停投标资格行政处罚，且在处罚期限内；</w:t>
            </w:r>
          </w:p>
          <w:p w14:paraId="1D696468">
            <w:pPr>
              <w:keepNext w:val="0"/>
              <w:keepLines w:val="0"/>
              <w:suppressLineNumbers w:val="0"/>
              <w:autoSpaceDE w:val="0"/>
              <w:autoSpaceDN w:val="0"/>
              <w:adjustRightInd w:val="0"/>
              <w:snapToGrid w:val="0"/>
              <w:spacing w:before="0" w:beforeAutospacing="0" w:after="0" w:afterAutospacing="0" w:line="360" w:lineRule="auto"/>
              <w:ind w:left="0" w:right="0" w:firstLine="415" w:firstLineChars="198"/>
              <w:rPr>
                <w:rFonts w:hint="eastAsia" w:ascii="Times New Roman" w:hAnsi="Times New Roman" w:eastAsia="Times New Roman" w:cs="Times New Roman"/>
                <w:highlight w:val="none"/>
              </w:rPr>
            </w:pPr>
            <w:r>
              <w:rPr>
                <w:rFonts w:hint="eastAsia" w:ascii="Times New Roman" w:hAnsi="Times New Roman" w:eastAsia="Times New Roman" w:cs="Times New Roman"/>
                <w:highlight w:val="none"/>
              </w:rPr>
              <w:t>（5）被重庆市住房和城乡建设主管部门暂停在渝承揽新业务且在暂停期内。</w:t>
            </w:r>
          </w:p>
          <w:p w14:paraId="5F81C960">
            <w:pPr>
              <w:keepNext w:val="0"/>
              <w:keepLines w:val="0"/>
              <w:suppressLineNumbers w:val="0"/>
              <w:autoSpaceDE w:val="0"/>
              <w:autoSpaceDN w:val="0"/>
              <w:adjustRightInd w:val="0"/>
              <w:snapToGrid w:val="0"/>
              <w:spacing w:before="0" w:beforeAutospacing="0" w:after="0" w:afterAutospacing="0" w:line="360" w:lineRule="auto"/>
              <w:ind w:left="0" w:right="0" w:firstLine="415" w:firstLineChars="198"/>
              <w:rPr>
                <w:rFonts w:hint="eastAsia" w:ascii="Times New Roman" w:hAnsi="Times New Roman" w:eastAsia="Times New Roman" w:cs="Times New Roman"/>
                <w:highlight w:val="none"/>
              </w:rPr>
            </w:pPr>
            <w:r>
              <w:rPr>
                <w:rFonts w:hint="eastAsia" w:ascii="Times New Roman" w:hAnsi="Times New Roman" w:eastAsia="Times New Roman" w:cs="Times New Roman"/>
                <w:highlight w:val="none"/>
              </w:rPr>
              <w:t>比选申请人须在比选申请文件资格审查资料提供承诺。</w:t>
            </w:r>
          </w:p>
          <w:p w14:paraId="31F36CF0">
            <w:pPr>
              <w:keepNext w:val="0"/>
              <w:keepLines w:val="0"/>
              <w:suppressLineNumbers w:val="0"/>
              <w:autoSpaceDE w:val="0"/>
              <w:autoSpaceDN w:val="0"/>
              <w:adjustRightInd w:val="0"/>
              <w:snapToGrid w:val="0"/>
              <w:spacing w:before="0" w:beforeAutospacing="0" w:after="0" w:afterAutospacing="0" w:line="360" w:lineRule="auto"/>
              <w:ind w:left="0" w:right="0" w:firstLine="415" w:firstLineChars="198"/>
              <w:rPr>
                <w:rFonts w:hint="eastAsia" w:ascii="Times New Roman" w:hAnsi="Times New Roman" w:eastAsia="Times New Roman" w:cs="Times New Roman"/>
                <w:highlight w:val="none"/>
              </w:rPr>
            </w:pPr>
            <w:r>
              <w:rPr>
                <w:rFonts w:hint="eastAsia" w:ascii="Times New Roman" w:hAnsi="Times New Roman" w:eastAsia="Times New Roman" w:cs="Times New Roman"/>
                <w:highlight w:val="none"/>
                <w:lang w:val="en-US" w:eastAsia="zh-CN"/>
              </w:rPr>
              <w:t>3</w:t>
            </w:r>
            <w:r>
              <w:rPr>
                <w:rFonts w:hint="eastAsia" w:ascii="Times New Roman" w:hAnsi="Times New Roman" w:eastAsia="Times New Roman" w:cs="Times New Roman"/>
                <w:highlight w:val="none"/>
              </w:rPr>
              <w:t>.其他要求</w:t>
            </w:r>
          </w:p>
          <w:p w14:paraId="412AB880">
            <w:pPr>
              <w:keepNext w:val="0"/>
              <w:keepLines w:val="0"/>
              <w:suppressLineNumbers w:val="0"/>
              <w:autoSpaceDE w:val="0"/>
              <w:autoSpaceDN w:val="0"/>
              <w:adjustRightInd w:val="0"/>
              <w:snapToGrid w:val="0"/>
              <w:spacing w:before="0" w:beforeAutospacing="0" w:after="0" w:afterAutospacing="0" w:line="360" w:lineRule="auto"/>
              <w:ind w:left="0" w:right="0" w:firstLine="415" w:firstLineChars="198"/>
              <w:rPr>
                <w:rFonts w:hint="eastAsia" w:ascii="Times New Roman" w:hAnsi="Times New Roman" w:eastAsia="Times New Roman" w:cs="Times New Roman"/>
                <w:highlight w:val="none"/>
              </w:rPr>
            </w:pPr>
            <w:r>
              <w:rPr>
                <w:rFonts w:hint="eastAsia" w:ascii="Times New Roman" w:hAnsi="Times New Roman" w:eastAsia="Times New Roman" w:cs="Times New Roman"/>
                <w:highlight w:val="none"/>
              </w:rPr>
              <w:t>（</w:t>
            </w:r>
            <w:r>
              <w:rPr>
                <w:rFonts w:hint="eastAsia" w:ascii="Times New Roman" w:hAnsi="Times New Roman" w:eastAsia="Times New Roman" w:cs="Times New Roman"/>
                <w:highlight w:val="none"/>
                <w:lang w:val="en-US" w:eastAsia="zh-CN"/>
              </w:rPr>
              <w:t>1</w:t>
            </w:r>
            <w:r>
              <w:rPr>
                <w:rFonts w:hint="eastAsia" w:ascii="Times New Roman" w:hAnsi="Times New Roman" w:eastAsia="Times New Roman" w:cs="Times New Roman"/>
                <w:highlight w:val="none"/>
              </w:rPr>
              <w:t>）委托代理人：</w:t>
            </w:r>
          </w:p>
          <w:p w14:paraId="4BAEDD8D">
            <w:pPr>
              <w:keepNext w:val="0"/>
              <w:keepLines w:val="0"/>
              <w:suppressLineNumbers w:val="0"/>
              <w:autoSpaceDE w:val="0"/>
              <w:autoSpaceDN w:val="0"/>
              <w:adjustRightInd w:val="0"/>
              <w:snapToGrid w:val="0"/>
              <w:spacing w:before="0" w:beforeAutospacing="0" w:after="0" w:afterAutospacing="0" w:line="360" w:lineRule="auto"/>
              <w:ind w:left="0" w:right="0" w:firstLine="415" w:firstLineChars="198"/>
              <w:rPr>
                <w:rFonts w:hint="eastAsia" w:ascii="Times New Roman" w:hAnsi="Times New Roman" w:eastAsia="Times New Roman" w:cs="Times New Roman"/>
                <w:highlight w:val="none"/>
              </w:rPr>
            </w:pPr>
            <w:r>
              <w:rPr>
                <w:rFonts w:hint="eastAsia" w:ascii="Times New Roman" w:hAnsi="Times New Roman" w:eastAsia="Times New Roman" w:cs="Times New Roman"/>
                <w:highlight w:val="none"/>
              </w:rPr>
              <w:t>本项目委托代理人必须为申请人本单位职工。申请人须在申请文件资格审查部分提供申请人本单位为该委托代理人缴纳的养老保险证明复印件。否则，由评审委员会作否决比选处理。</w:t>
            </w:r>
          </w:p>
          <w:p w14:paraId="72A95B68">
            <w:pPr>
              <w:keepNext w:val="0"/>
              <w:keepLines w:val="0"/>
              <w:suppressLineNumbers w:val="0"/>
              <w:autoSpaceDE w:val="0"/>
              <w:autoSpaceDN w:val="0"/>
              <w:adjustRightInd w:val="0"/>
              <w:snapToGrid w:val="0"/>
              <w:spacing w:before="0" w:beforeAutospacing="0" w:after="0" w:afterAutospacing="0" w:line="360" w:lineRule="auto"/>
              <w:ind w:left="0" w:right="0" w:firstLine="415" w:firstLineChars="198"/>
              <w:rPr>
                <w:rFonts w:hint="default" w:ascii="Times New Roman" w:hAnsi="Times New Roman" w:eastAsia="宋体" w:cs="Times New Roman"/>
                <w:highlight w:val="none"/>
                <w:lang w:val="en-US" w:eastAsia="zh-CN"/>
              </w:rPr>
            </w:pPr>
            <w:r>
              <w:rPr>
                <w:rFonts w:hint="eastAsia" w:ascii="Times New Roman" w:hAnsi="Times New Roman" w:eastAsia="Times New Roman" w:cs="Times New Roman"/>
                <w:color w:val="auto"/>
                <w:highlight w:val="none"/>
                <w:lang w:eastAsia="zh-CN"/>
              </w:rPr>
              <w:t>（</w:t>
            </w:r>
            <w:r>
              <w:rPr>
                <w:rFonts w:hint="eastAsia" w:ascii="Times New Roman" w:hAnsi="Times New Roman" w:eastAsia="Times New Roman" w:cs="Times New Roman"/>
                <w:color w:val="auto"/>
                <w:highlight w:val="none"/>
                <w:lang w:val="en-US" w:eastAsia="zh-CN"/>
              </w:rPr>
              <w:t>2</w:t>
            </w:r>
            <w:r>
              <w:rPr>
                <w:rFonts w:hint="eastAsia" w:ascii="Times New Roman" w:hAnsi="Times New Roman" w:eastAsia="Times New Roman" w:cs="Times New Roman"/>
                <w:color w:val="auto"/>
                <w:highlight w:val="none"/>
                <w:lang w:eastAsia="zh-CN"/>
              </w:rPr>
              <w:t>）</w:t>
            </w:r>
            <w:r>
              <w:rPr>
                <w:rFonts w:hint="eastAsia" w:eastAsia="Times New Roman" w:cs="Times New Roman"/>
                <w:color w:val="auto"/>
                <w:highlight w:val="none"/>
                <w:lang w:val="en-US" w:eastAsia="zh-CN"/>
              </w:rPr>
              <w:t>1标段：</w:t>
            </w:r>
            <w:r>
              <w:rPr>
                <w:rFonts w:hint="eastAsia" w:ascii="Times New Roman" w:hAnsi="Times New Roman" w:eastAsia="宋体" w:cs="Times New Roman"/>
                <w:color w:val="auto"/>
                <w:highlight w:val="none"/>
                <w:lang w:eastAsia="zh-CN"/>
              </w:rPr>
              <w:t>空调品牌授权要求：</w:t>
            </w:r>
            <w:r>
              <w:rPr>
                <w:rFonts w:hint="eastAsia" w:cs="Times New Roman"/>
                <w:color w:val="auto"/>
                <w:highlight w:val="none"/>
                <w:lang w:val="en-US" w:eastAsia="zh-CN"/>
              </w:rPr>
              <w:t>所有参数需满足或优于比选人提供的技术参数；2标段：所有参数需满足或优于比选人提供的技术参数。</w:t>
            </w:r>
          </w:p>
          <w:p w14:paraId="263D4D9A">
            <w:pPr>
              <w:keepNext w:val="0"/>
              <w:keepLines w:val="0"/>
              <w:suppressLineNumbers w:val="0"/>
              <w:autoSpaceDE w:val="0"/>
              <w:autoSpaceDN w:val="0"/>
              <w:adjustRightInd w:val="0"/>
              <w:snapToGrid w:val="0"/>
              <w:spacing w:before="0" w:beforeAutospacing="0" w:after="0" w:afterAutospacing="0" w:line="360" w:lineRule="auto"/>
              <w:ind w:left="0" w:right="0" w:firstLine="415" w:firstLineChars="198"/>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lang w:eastAsia="zh-CN"/>
              </w:rPr>
              <w:t>评标委员会必须对比选申请人提供</w:t>
            </w:r>
            <w:r>
              <w:rPr>
                <w:rFonts w:hint="eastAsia" w:cs="Times New Roman"/>
                <w:highlight w:val="none"/>
                <w:lang w:val="en-US" w:eastAsia="zh-CN"/>
              </w:rPr>
              <w:t>的</w:t>
            </w:r>
            <w:r>
              <w:rPr>
                <w:rFonts w:hint="eastAsia" w:ascii="Times New Roman" w:hAnsi="Times New Roman" w:eastAsia="宋体" w:cs="Times New Roman"/>
                <w:highlight w:val="none"/>
                <w:lang w:eastAsia="zh-CN"/>
              </w:rPr>
              <w:t>产品是否满足要求进行核查，</w:t>
            </w:r>
            <w:r>
              <w:rPr>
                <w:rFonts w:hint="eastAsia" w:ascii="Times New Roman" w:hAnsi="Times New Roman" w:eastAsia="宋体" w:cs="Times New Roman"/>
                <w:highlight w:val="none"/>
                <w:lang w:val="en-US" w:eastAsia="zh-CN"/>
              </w:rPr>
              <w:t>比选</w:t>
            </w:r>
            <w:r>
              <w:rPr>
                <w:rFonts w:hint="eastAsia" w:ascii="Times New Roman" w:hAnsi="Times New Roman" w:eastAsia="宋体" w:cs="Times New Roman"/>
                <w:highlight w:val="none"/>
                <w:lang w:eastAsia="zh-CN"/>
              </w:rPr>
              <w:t>人有权对中选人的</w:t>
            </w:r>
            <w:r>
              <w:rPr>
                <w:rFonts w:hint="eastAsia" w:ascii="Times New Roman" w:hAnsi="Times New Roman" w:eastAsia="宋体" w:cs="Times New Roman"/>
                <w:highlight w:val="none"/>
                <w:lang w:val="en-US" w:eastAsia="zh-CN"/>
              </w:rPr>
              <w:t>比选申请</w:t>
            </w:r>
            <w:r>
              <w:rPr>
                <w:rFonts w:hint="eastAsia" w:ascii="Times New Roman" w:hAnsi="Times New Roman" w:eastAsia="宋体" w:cs="Times New Roman"/>
                <w:highlight w:val="none"/>
                <w:lang w:eastAsia="zh-CN"/>
              </w:rPr>
              <w:t>产品是否满要求进行复查，若不满足将取消其中选资格。</w:t>
            </w:r>
          </w:p>
          <w:p w14:paraId="11218A49">
            <w:pPr>
              <w:keepNext w:val="0"/>
              <w:keepLines w:val="0"/>
              <w:suppressLineNumbers w:val="0"/>
              <w:autoSpaceDE w:val="0"/>
              <w:autoSpaceDN w:val="0"/>
              <w:adjustRightInd w:val="0"/>
              <w:snapToGrid w:val="0"/>
              <w:spacing w:before="0" w:beforeAutospacing="0" w:after="0" w:afterAutospacing="0" w:line="360" w:lineRule="auto"/>
              <w:ind w:left="0" w:right="0" w:firstLine="415" w:firstLineChars="198"/>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lang w:val="en-US" w:eastAsia="zh-CN"/>
              </w:rPr>
              <w:t>比选申请</w:t>
            </w:r>
            <w:r>
              <w:rPr>
                <w:rFonts w:hint="eastAsia" w:ascii="Times New Roman" w:hAnsi="Times New Roman" w:eastAsia="宋体" w:cs="Times New Roman"/>
                <w:highlight w:val="none"/>
                <w:lang w:eastAsia="zh-CN"/>
              </w:rPr>
              <w:t>人须在比选申请文件资格审查部分提供空调厂家颁发给供应商本公司的商用机认</w:t>
            </w:r>
            <w:r>
              <w:rPr>
                <w:rFonts w:hint="eastAsia" w:cs="Times New Roman"/>
                <w:highlight w:val="none"/>
                <w:lang w:eastAsia="zh-CN"/>
              </w:rPr>
              <w:t>证</w:t>
            </w:r>
            <w:r>
              <w:rPr>
                <w:rFonts w:hint="eastAsia" w:ascii="Times New Roman" w:hAnsi="Times New Roman" w:eastAsia="宋体" w:cs="Times New Roman"/>
                <w:highlight w:val="none"/>
                <w:lang w:eastAsia="zh-CN"/>
              </w:rPr>
              <w:t>证书（提供复印件加盖</w:t>
            </w:r>
            <w:r>
              <w:rPr>
                <w:rFonts w:hint="eastAsia" w:ascii="Times New Roman" w:hAnsi="Times New Roman" w:eastAsia="宋体" w:cs="Times New Roman"/>
                <w:highlight w:val="none"/>
                <w:lang w:val="en-US" w:eastAsia="zh-CN"/>
              </w:rPr>
              <w:t>比选申请人</w:t>
            </w:r>
            <w:r>
              <w:rPr>
                <w:rFonts w:hint="eastAsia" w:ascii="Times New Roman" w:hAnsi="Times New Roman" w:eastAsia="宋体" w:cs="Times New Roman"/>
                <w:highlight w:val="none"/>
                <w:lang w:eastAsia="zh-CN"/>
              </w:rPr>
              <w:t>鲜章）。</w:t>
            </w:r>
          </w:p>
          <w:p w14:paraId="00B78341">
            <w:pPr>
              <w:keepNext w:val="0"/>
              <w:keepLines w:val="0"/>
              <w:suppressLineNumbers w:val="0"/>
              <w:autoSpaceDE w:val="0"/>
              <w:autoSpaceDN w:val="0"/>
              <w:adjustRightInd w:val="0"/>
              <w:snapToGrid w:val="0"/>
              <w:spacing w:before="0" w:beforeAutospacing="0" w:after="0" w:afterAutospacing="0" w:line="360" w:lineRule="auto"/>
              <w:ind w:left="0" w:right="0" w:firstLine="415" w:firstLineChars="198"/>
              <w:rPr>
                <w:rFonts w:hint="eastAsia" w:ascii="Times New Roman" w:hAnsi="Times New Roman" w:eastAsia="Times New Roman" w:cs="Times New Roman"/>
                <w:highlight w:val="none"/>
              </w:rPr>
            </w:pPr>
            <w:r>
              <w:rPr>
                <w:rFonts w:hint="eastAsia" w:ascii="Times New Roman" w:hAnsi="Times New Roman" w:eastAsia="Times New Roman" w:cs="Times New Roman"/>
                <w:highlight w:val="none"/>
              </w:rPr>
              <w:t>特别说明：</w:t>
            </w:r>
          </w:p>
          <w:p w14:paraId="0D539BBD">
            <w:pPr>
              <w:keepNext w:val="0"/>
              <w:keepLines w:val="0"/>
              <w:numPr>
                <w:ilvl w:val="0"/>
                <w:numId w:val="3"/>
              </w:numPr>
              <w:suppressLineNumbers w:val="0"/>
              <w:autoSpaceDE w:val="0"/>
              <w:autoSpaceDN w:val="0"/>
              <w:adjustRightInd w:val="0"/>
              <w:snapToGrid w:val="0"/>
              <w:spacing w:before="0" w:beforeAutospacing="0" w:after="0" w:afterAutospacing="0" w:line="360" w:lineRule="auto"/>
              <w:ind w:left="0" w:right="0" w:firstLine="415" w:firstLineChars="198"/>
              <w:rPr>
                <w:rFonts w:hint="eastAsia" w:ascii="Times New Roman" w:hAnsi="Times New Roman" w:eastAsia="Times New Roman" w:cs="Times New Roman"/>
                <w:color w:val="auto"/>
                <w:highlight w:val="none"/>
              </w:rPr>
            </w:pPr>
            <w:r>
              <w:rPr>
                <w:rFonts w:hint="eastAsia" w:ascii="Times New Roman" w:hAnsi="Times New Roman" w:eastAsia="Times New Roman" w:cs="Times New Roman"/>
                <w:color w:val="auto"/>
                <w:highlight w:val="none"/>
              </w:rPr>
              <w:t>比选申请人须自行承诺其提供的上述相关证明材料真实有效，不存在弄虚作假情形（格式见第八章比选申请文件格式）。比选人在合同签订前均有权对比选申请人提供的资料进行核实，若发现弄虚作假，取消其</w:t>
            </w:r>
            <w:r>
              <w:rPr>
                <w:rFonts w:hint="eastAsia" w:ascii="Times New Roman" w:hAnsi="Times New Roman" w:eastAsia="Times New Roman" w:cs="Times New Roman"/>
                <w:color w:val="auto"/>
                <w:highlight w:val="none"/>
                <w:lang w:eastAsia="zh-CN"/>
              </w:rPr>
              <w:t>中选</w:t>
            </w:r>
            <w:r>
              <w:rPr>
                <w:rFonts w:hint="eastAsia" w:ascii="Times New Roman" w:hAnsi="Times New Roman" w:eastAsia="Times New Roman" w:cs="Times New Roman"/>
                <w:color w:val="auto"/>
                <w:highlight w:val="none"/>
              </w:rPr>
              <w:t>资格，并按相关法律法规报招标投标监督部门处理，其比选申请保证金不予退还，比选申请人承担因此造成的相关责任并赔偿相应损失。</w:t>
            </w:r>
          </w:p>
          <w:p w14:paraId="7AA60522">
            <w:pPr>
              <w:keepNext w:val="0"/>
              <w:keepLines w:val="0"/>
              <w:suppressLineNumbers w:val="0"/>
              <w:autoSpaceDE w:val="0"/>
              <w:autoSpaceDN w:val="0"/>
              <w:adjustRightInd w:val="0"/>
              <w:snapToGrid w:val="0"/>
              <w:spacing w:before="0" w:beforeAutospacing="0" w:after="0" w:afterAutospacing="0" w:line="360" w:lineRule="auto"/>
              <w:ind w:left="0" w:right="0" w:firstLine="415" w:firstLineChars="198"/>
              <w:rPr>
                <w:rFonts w:hint="eastAsia" w:ascii="Times New Roman" w:hAnsi="Times New Roman" w:eastAsia="Times New Roman" w:cs="Times New Roman"/>
                <w:highlight w:val="none"/>
              </w:rPr>
            </w:pPr>
            <w:r>
              <w:rPr>
                <w:rFonts w:hint="eastAsia" w:ascii="Times New Roman" w:hAnsi="Times New Roman" w:eastAsia="Times New Roman" w:cs="Times New Roman"/>
                <w:highlight w:val="none"/>
              </w:rPr>
              <w:t>（2）本比选文件中所要求的人员养老保险证明要求如下：</w:t>
            </w:r>
          </w:p>
          <w:p w14:paraId="7172AD07">
            <w:pPr>
              <w:keepNext w:val="0"/>
              <w:keepLines w:val="0"/>
              <w:suppressLineNumbers w:val="0"/>
              <w:autoSpaceDE w:val="0"/>
              <w:autoSpaceDN w:val="0"/>
              <w:adjustRightInd w:val="0"/>
              <w:snapToGrid w:val="0"/>
              <w:spacing w:before="0" w:beforeAutospacing="0" w:after="0" w:afterAutospacing="0" w:line="360" w:lineRule="auto"/>
              <w:ind w:left="0" w:right="0" w:firstLine="415" w:firstLineChars="198"/>
              <w:rPr>
                <w:rFonts w:hint="eastAsia" w:ascii="Times New Roman" w:hAnsi="Times New Roman" w:eastAsia="Times New Roman" w:cs="Times New Roman"/>
                <w:highlight w:val="none"/>
              </w:rPr>
            </w:pPr>
            <w:r>
              <w:rPr>
                <w:rFonts w:hint="eastAsia" w:ascii="Times New Roman" w:hAnsi="Times New Roman" w:eastAsia="Times New Roman" w:cs="Times New Roman"/>
                <w:highlight w:val="none"/>
              </w:rPr>
              <w:t>①社会单位提供养老保险证明，事业单位提供养老保险证明或行政主管部门在编证明。</w:t>
            </w:r>
          </w:p>
          <w:p w14:paraId="1C0B46D1">
            <w:pPr>
              <w:keepNext w:val="0"/>
              <w:keepLines w:val="0"/>
              <w:suppressLineNumbers w:val="0"/>
              <w:autoSpaceDE w:val="0"/>
              <w:autoSpaceDN w:val="0"/>
              <w:adjustRightInd w:val="0"/>
              <w:snapToGrid w:val="0"/>
              <w:spacing w:before="0" w:beforeAutospacing="0" w:after="0" w:afterAutospacing="0" w:line="360" w:lineRule="auto"/>
              <w:ind w:left="0" w:right="0" w:firstLine="415" w:firstLineChars="198"/>
              <w:rPr>
                <w:rFonts w:hint="eastAsia" w:ascii="Times New Roman" w:hAnsi="Times New Roman" w:eastAsia="Times New Roman" w:cs="Times New Roman"/>
                <w:highlight w:val="none"/>
              </w:rPr>
            </w:pPr>
            <w:r>
              <w:rPr>
                <w:rFonts w:hint="eastAsia" w:ascii="Times New Roman" w:hAnsi="Times New Roman" w:eastAsia="Times New Roman" w:cs="Times New Roman"/>
                <w:highlight w:val="none"/>
              </w:rPr>
              <w:t>②比选文件中对养老保险的要求为：</w:t>
            </w:r>
            <w:r>
              <w:rPr>
                <w:rFonts w:hint="eastAsia" w:ascii="Times New Roman" w:hAnsi="Times New Roman" w:eastAsia="宋体" w:cs="Times New Roman"/>
                <w:highlight w:val="none"/>
              </w:rPr>
              <w:t>委托代理人的连续养老保险证明期限须包含202</w:t>
            </w:r>
            <w:r>
              <w:rPr>
                <w:rFonts w:hint="eastAsia" w:cs="Times New Roman"/>
                <w:highlight w:val="none"/>
                <w:lang w:val="en-US" w:eastAsia="zh-CN"/>
              </w:rPr>
              <w:t>4</w:t>
            </w:r>
            <w:r>
              <w:rPr>
                <w:rFonts w:hint="eastAsia" w:ascii="Times New Roman" w:hAnsi="Times New Roman" w:eastAsia="宋体" w:cs="Times New Roman"/>
                <w:highlight w:val="none"/>
              </w:rPr>
              <w:t>年</w:t>
            </w:r>
            <w:r>
              <w:rPr>
                <w:rFonts w:hint="eastAsia" w:cs="Times New Roman"/>
                <w:highlight w:val="none"/>
                <w:lang w:val="en-US" w:eastAsia="zh-CN"/>
              </w:rPr>
              <w:t>1</w:t>
            </w:r>
            <w:r>
              <w:rPr>
                <w:rFonts w:hint="eastAsia" w:ascii="Times New Roman" w:hAnsi="Times New Roman" w:eastAsia="宋体" w:cs="Times New Roman"/>
                <w:highlight w:val="none"/>
              </w:rPr>
              <w:t>月至202</w:t>
            </w:r>
            <w:r>
              <w:rPr>
                <w:rFonts w:hint="eastAsia" w:cs="Times New Roman"/>
                <w:highlight w:val="none"/>
                <w:lang w:val="en-US" w:eastAsia="zh-CN"/>
              </w:rPr>
              <w:t>4</w:t>
            </w:r>
            <w:r>
              <w:rPr>
                <w:rFonts w:hint="eastAsia" w:ascii="Times New Roman" w:hAnsi="Times New Roman" w:eastAsia="宋体" w:cs="Times New Roman"/>
                <w:highlight w:val="none"/>
              </w:rPr>
              <w:t>年</w:t>
            </w:r>
            <w:r>
              <w:rPr>
                <w:rFonts w:hint="eastAsia" w:cs="Times New Roman"/>
                <w:highlight w:val="none"/>
                <w:lang w:val="en-US" w:eastAsia="zh-CN"/>
              </w:rPr>
              <w:t>6</w:t>
            </w:r>
            <w:r>
              <w:rPr>
                <w:rFonts w:hint="eastAsia" w:ascii="Times New Roman" w:hAnsi="Times New Roman" w:eastAsia="宋体" w:cs="Times New Roman"/>
                <w:highlight w:val="none"/>
              </w:rPr>
              <w:t>月。提供的养老保险参保证明须体现上述人员的姓名、身份证号（或社保号）、单位名称、本单位参保时间（或起始参保时间）。为确保对所有比选申请人的公开、公平、公正，比选申请人如果提供网上打印的养老保险证明材料含有电子印章且提供了该地区政府或人社局发布的相关推行参保人员社保证明电子化的佐证材料（可不要求为原件，但必须网上能查询文件属实），可视为原件，不需加盖社保部门公章，投标有效，否则由评标委员会作否决投标处理。</w:t>
            </w:r>
          </w:p>
        </w:tc>
      </w:tr>
      <w:tr w14:paraId="1E260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tcBorders>
              <w:top w:val="single" w:color="auto" w:sz="4" w:space="0"/>
              <w:left w:val="single" w:color="auto" w:sz="4" w:space="0"/>
              <w:bottom w:val="single" w:color="auto" w:sz="4" w:space="0"/>
              <w:right w:val="single" w:color="auto" w:sz="4" w:space="0"/>
            </w:tcBorders>
            <w:noWrap w:val="0"/>
            <w:vAlign w:val="center"/>
          </w:tcPr>
          <w:p w14:paraId="3A44B003">
            <w:pPr>
              <w:keepNext w:val="0"/>
              <w:keepLines w:val="0"/>
              <w:suppressLineNumbers w:val="0"/>
              <w:autoSpaceDE w:val="0"/>
              <w:autoSpaceDN w:val="0"/>
              <w:adjustRightInd w:val="0"/>
              <w:spacing w:before="0" w:beforeAutospacing="0" w:after="0" w:afterAutospacing="0" w:line="360" w:lineRule="auto"/>
              <w:ind w:left="0"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1.4.2</w:t>
            </w:r>
          </w:p>
        </w:tc>
        <w:tc>
          <w:tcPr>
            <w:tcW w:w="1714" w:type="dxa"/>
            <w:gridSpan w:val="2"/>
            <w:tcBorders>
              <w:top w:val="single" w:color="auto" w:sz="4" w:space="0"/>
              <w:left w:val="single" w:color="auto" w:sz="4" w:space="0"/>
              <w:bottom w:val="single" w:color="auto" w:sz="4" w:space="0"/>
              <w:right w:val="single" w:color="auto" w:sz="4" w:space="0"/>
            </w:tcBorders>
            <w:noWrap w:val="0"/>
            <w:vAlign w:val="center"/>
          </w:tcPr>
          <w:p w14:paraId="56753034">
            <w:pPr>
              <w:keepNext w:val="0"/>
              <w:keepLines w:val="0"/>
              <w:suppressLineNumbers w:val="0"/>
              <w:autoSpaceDE w:val="0"/>
              <w:autoSpaceDN w:val="0"/>
              <w:adjustRightInd w:val="0"/>
              <w:spacing w:before="0" w:beforeAutospacing="0" w:after="0" w:afterAutospacing="0" w:line="360" w:lineRule="auto"/>
              <w:ind w:left="0"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是否接受联合体比选申请</w:t>
            </w:r>
          </w:p>
        </w:tc>
        <w:tc>
          <w:tcPr>
            <w:tcW w:w="6884" w:type="dxa"/>
            <w:tcBorders>
              <w:top w:val="single" w:color="auto" w:sz="4" w:space="0"/>
              <w:left w:val="single" w:color="auto" w:sz="4" w:space="0"/>
              <w:bottom w:val="single" w:color="auto" w:sz="4" w:space="0"/>
              <w:right w:val="single" w:color="auto" w:sz="4" w:space="0"/>
            </w:tcBorders>
            <w:noWrap w:val="0"/>
            <w:vAlign w:val="center"/>
          </w:tcPr>
          <w:p w14:paraId="4AE0CB5F">
            <w:pPr>
              <w:keepNext w:val="0"/>
              <w:keepLines w:val="0"/>
              <w:suppressLineNumbers w:val="0"/>
              <w:autoSpaceDE w:val="0"/>
              <w:autoSpaceDN w:val="0"/>
              <w:adjustRightInd w:val="0"/>
              <w:spacing w:before="0" w:beforeAutospacing="0" w:after="0" w:afterAutospacing="0" w:line="360" w:lineRule="auto"/>
              <w:ind w:left="0" w:right="-2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不接受。</w:t>
            </w:r>
          </w:p>
        </w:tc>
      </w:tr>
      <w:tr w14:paraId="67A2D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tcBorders>
              <w:top w:val="single" w:color="auto" w:sz="4" w:space="0"/>
              <w:left w:val="single" w:color="auto" w:sz="4" w:space="0"/>
              <w:bottom w:val="single" w:color="auto" w:sz="4" w:space="0"/>
              <w:right w:val="single" w:color="auto" w:sz="4" w:space="0"/>
            </w:tcBorders>
            <w:noWrap w:val="0"/>
            <w:vAlign w:val="center"/>
          </w:tcPr>
          <w:p w14:paraId="19E6BC4C">
            <w:pPr>
              <w:keepNext w:val="0"/>
              <w:keepLines w:val="0"/>
              <w:suppressLineNumbers w:val="0"/>
              <w:autoSpaceDE w:val="0"/>
              <w:autoSpaceDN w:val="0"/>
              <w:adjustRightInd w:val="0"/>
              <w:spacing w:before="0" w:beforeAutospacing="0" w:after="0" w:afterAutospacing="0" w:line="360" w:lineRule="auto"/>
              <w:ind w:left="0"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1.9.1</w:t>
            </w:r>
          </w:p>
        </w:tc>
        <w:tc>
          <w:tcPr>
            <w:tcW w:w="1714" w:type="dxa"/>
            <w:gridSpan w:val="2"/>
            <w:tcBorders>
              <w:top w:val="single" w:color="auto" w:sz="4" w:space="0"/>
              <w:left w:val="single" w:color="auto" w:sz="4" w:space="0"/>
              <w:bottom w:val="single" w:color="auto" w:sz="4" w:space="0"/>
              <w:right w:val="single" w:color="auto" w:sz="4" w:space="0"/>
            </w:tcBorders>
            <w:noWrap w:val="0"/>
            <w:vAlign w:val="center"/>
          </w:tcPr>
          <w:p w14:paraId="32117497">
            <w:pPr>
              <w:keepNext w:val="0"/>
              <w:keepLines w:val="0"/>
              <w:suppressLineNumbers w:val="0"/>
              <w:autoSpaceDE w:val="0"/>
              <w:autoSpaceDN w:val="0"/>
              <w:adjustRightInd w:val="0"/>
              <w:spacing w:before="0" w:beforeAutospacing="0" w:after="0" w:afterAutospacing="0" w:line="360" w:lineRule="auto"/>
              <w:ind w:left="0"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踏勘现场</w:t>
            </w:r>
          </w:p>
        </w:tc>
        <w:tc>
          <w:tcPr>
            <w:tcW w:w="6884" w:type="dxa"/>
            <w:tcBorders>
              <w:top w:val="single" w:color="auto" w:sz="4" w:space="0"/>
              <w:left w:val="single" w:color="auto" w:sz="4" w:space="0"/>
              <w:bottom w:val="single" w:color="auto" w:sz="4" w:space="0"/>
              <w:right w:val="single" w:color="auto" w:sz="4" w:space="0"/>
            </w:tcBorders>
            <w:noWrap w:val="0"/>
            <w:vAlign w:val="center"/>
          </w:tcPr>
          <w:p w14:paraId="6B9E9434">
            <w:pPr>
              <w:keepNext w:val="0"/>
              <w:keepLines w:val="0"/>
              <w:suppressLineNumbers w:val="0"/>
              <w:snapToGrid w:val="0"/>
              <w:spacing w:before="0" w:beforeAutospacing="0" w:after="0" w:afterAutospacing="0" w:line="360" w:lineRule="auto"/>
              <w:ind w:left="0" w:right="0"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不组织</w:t>
            </w:r>
            <w:r>
              <w:rPr>
                <w:rFonts w:hint="eastAsia" w:ascii="宋体" w:hAnsi="宋体" w:eastAsia="宋体" w:cs="宋体"/>
                <w:color w:val="auto"/>
                <w:kern w:val="0"/>
                <w:szCs w:val="21"/>
                <w:highlight w:val="none"/>
                <w:lang w:eastAsia="zh-CN"/>
              </w:rPr>
              <w:t>。</w:t>
            </w:r>
          </w:p>
        </w:tc>
      </w:tr>
      <w:tr w14:paraId="04456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53" w:type="dxa"/>
            <w:tcBorders>
              <w:top w:val="single" w:color="auto" w:sz="4" w:space="0"/>
              <w:left w:val="single" w:color="auto" w:sz="4" w:space="0"/>
              <w:bottom w:val="single" w:color="auto" w:sz="4" w:space="0"/>
              <w:right w:val="single" w:color="auto" w:sz="4" w:space="0"/>
            </w:tcBorders>
            <w:noWrap w:val="0"/>
            <w:vAlign w:val="center"/>
          </w:tcPr>
          <w:p w14:paraId="106524E0">
            <w:pPr>
              <w:keepNext w:val="0"/>
              <w:keepLines w:val="0"/>
              <w:suppressLineNumbers w:val="0"/>
              <w:autoSpaceDE w:val="0"/>
              <w:autoSpaceDN w:val="0"/>
              <w:adjustRightInd w:val="0"/>
              <w:spacing w:before="0" w:beforeAutospacing="0" w:after="0" w:afterAutospacing="0" w:line="360" w:lineRule="auto"/>
              <w:ind w:left="0"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1.10.1</w:t>
            </w:r>
          </w:p>
        </w:tc>
        <w:tc>
          <w:tcPr>
            <w:tcW w:w="1714" w:type="dxa"/>
            <w:gridSpan w:val="2"/>
            <w:tcBorders>
              <w:top w:val="single" w:color="auto" w:sz="4" w:space="0"/>
              <w:left w:val="single" w:color="auto" w:sz="4" w:space="0"/>
              <w:bottom w:val="single" w:color="auto" w:sz="4" w:space="0"/>
              <w:right w:val="single" w:color="auto" w:sz="4" w:space="0"/>
            </w:tcBorders>
            <w:noWrap w:val="0"/>
            <w:vAlign w:val="center"/>
          </w:tcPr>
          <w:p w14:paraId="48121E0D">
            <w:pPr>
              <w:keepNext w:val="0"/>
              <w:keepLines w:val="0"/>
              <w:suppressLineNumbers w:val="0"/>
              <w:autoSpaceDE w:val="0"/>
              <w:autoSpaceDN w:val="0"/>
              <w:adjustRightInd w:val="0"/>
              <w:spacing w:before="0" w:beforeAutospacing="0" w:after="0" w:afterAutospacing="0" w:line="360" w:lineRule="auto"/>
              <w:ind w:left="0"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比选申请预备会</w:t>
            </w:r>
          </w:p>
        </w:tc>
        <w:tc>
          <w:tcPr>
            <w:tcW w:w="6884" w:type="dxa"/>
            <w:tcBorders>
              <w:top w:val="single" w:color="auto" w:sz="4" w:space="0"/>
              <w:left w:val="single" w:color="auto" w:sz="4" w:space="0"/>
              <w:bottom w:val="single" w:color="auto" w:sz="4" w:space="0"/>
              <w:right w:val="single" w:color="auto" w:sz="4" w:space="0"/>
            </w:tcBorders>
            <w:noWrap w:val="0"/>
            <w:vAlign w:val="center"/>
          </w:tcPr>
          <w:p w14:paraId="61EBF786">
            <w:pPr>
              <w:keepNext w:val="0"/>
              <w:keepLines w:val="0"/>
              <w:suppressLineNumbers w:val="0"/>
              <w:autoSpaceDE w:val="0"/>
              <w:autoSpaceDN w:val="0"/>
              <w:adjustRightInd w:val="0"/>
              <w:spacing w:before="0" w:beforeAutospacing="0" w:after="0" w:afterAutospacing="0" w:line="360" w:lineRule="auto"/>
              <w:ind w:left="0" w:right="-112"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不召开</w:t>
            </w:r>
            <w:r>
              <w:rPr>
                <w:rFonts w:hint="eastAsia" w:ascii="宋体" w:hAnsi="宋体" w:eastAsia="宋体" w:cs="宋体"/>
                <w:color w:val="auto"/>
                <w:kern w:val="0"/>
                <w:szCs w:val="21"/>
                <w:highlight w:val="none"/>
                <w:lang w:eastAsia="zh-CN"/>
              </w:rPr>
              <w:t>。</w:t>
            </w:r>
          </w:p>
        </w:tc>
      </w:tr>
      <w:tr w14:paraId="2009D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53" w:type="dxa"/>
            <w:tcBorders>
              <w:top w:val="single" w:color="auto" w:sz="4" w:space="0"/>
              <w:left w:val="single" w:color="auto" w:sz="4" w:space="0"/>
              <w:bottom w:val="single" w:color="auto" w:sz="4" w:space="0"/>
              <w:right w:val="single" w:color="auto" w:sz="4" w:space="0"/>
            </w:tcBorders>
            <w:noWrap w:val="0"/>
            <w:vAlign w:val="center"/>
          </w:tcPr>
          <w:p w14:paraId="43F71AAC">
            <w:pPr>
              <w:keepNext w:val="0"/>
              <w:keepLines w:val="0"/>
              <w:suppressLineNumbers w:val="0"/>
              <w:autoSpaceDE w:val="0"/>
              <w:autoSpaceDN w:val="0"/>
              <w:adjustRightInd w:val="0"/>
              <w:spacing w:before="0" w:beforeAutospacing="0" w:after="0" w:afterAutospacing="0" w:line="360" w:lineRule="auto"/>
              <w:ind w:left="0"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1.11</w:t>
            </w:r>
          </w:p>
        </w:tc>
        <w:tc>
          <w:tcPr>
            <w:tcW w:w="1714" w:type="dxa"/>
            <w:gridSpan w:val="2"/>
            <w:tcBorders>
              <w:top w:val="single" w:color="auto" w:sz="4" w:space="0"/>
              <w:left w:val="single" w:color="auto" w:sz="4" w:space="0"/>
              <w:bottom w:val="single" w:color="auto" w:sz="4" w:space="0"/>
              <w:right w:val="single" w:color="auto" w:sz="4" w:space="0"/>
            </w:tcBorders>
            <w:noWrap w:val="0"/>
            <w:vAlign w:val="center"/>
          </w:tcPr>
          <w:p w14:paraId="5021860B">
            <w:pPr>
              <w:keepNext w:val="0"/>
              <w:keepLines w:val="0"/>
              <w:suppressLineNumbers w:val="0"/>
              <w:autoSpaceDE w:val="0"/>
              <w:autoSpaceDN w:val="0"/>
              <w:adjustRightInd w:val="0"/>
              <w:spacing w:before="0" w:beforeAutospacing="0" w:after="0" w:afterAutospacing="0" w:line="360" w:lineRule="auto"/>
              <w:ind w:left="0"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分包</w:t>
            </w:r>
          </w:p>
        </w:tc>
        <w:tc>
          <w:tcPr>
            <w:tcW w:w="6884" w:type="dxa"/>
            <w:tcBorders>
              <w:top w:val="single" w:color="auto" w:sz="4" w:space="0"/>
              <w:left w:val="single" w:color="auto" w:sz="4" w:space="0"/>
              <w:bottom w:val="single" w:color="auto" w:sz="4" w:space="0"/>
              <w:right w:val="single" w:color="auto" w:sz="4" w:space="0"/>
            </w:tcBorders>
            <w:noWrap w:val="0"/>
            <w:vAlign w:val="center"/>
          </w:tcPr>
          <w:p w14:paraId="0D714800">
            <w:pPr>
              <w:keepNext w:val="0"/>
              <w:keepLines w:val="0"/>
              <w:suppressLineNumbers w:val="0"/>
              <w:tabs>
                <w:tab w:val="left" w:pos="480"/>
              </w:tabs>
              <w:adjustRightInd w:val="0"/>
              <w:snapToGrid w:val="0"/>
              <w:spacing w:before="49" w:beforeLines="16" w:beforeAutospacing="0" w:after="49" w:afterLines="16" w:afterAutospacing="0" w:line="360" w:lineRule="auto"/>
              <w:ind w:left="0" w:right="0" w:firstLine="420" w:firstLineChars="200"/>
              <w:rPr>
                <w:rFonts w:hint="eastAsia" w:ascii="宋体" w:hAnsi="宋体" w:eastAsia="宋体" w:cs="宋体"/>
                <w:color w:val="auto"/>
                <w:kern w:val="0"/>
                <w:szCs w:val="21"/>
                <w:highlight w:val="none"/>
                <w:u w:val="single"/>
                <w:lang w:eastAsia="zh-CN"/>
              </w:rPr>
            </w:pPr>
            <w:r>
              <w:rPr>
                <w:rFonts w:hint="eastAsia" w:ascii="宋体" w:hAnsi="宋体" w:eastAsia="宋体" w:cs="宋体"/>
                <w:snapToGrid w:val="0"/>
                <w:color w:val="auto"/>
                <w:kern w:val="0"/>
                <w:szCs w:val="21"/>
                <w:highlight w:val="none"/>
              </w:rPr>
              <w:t>不允许</w:t>
            </w:r>
            <w:r>
              <w:rPr>
                <w:rFonts w:hint="eastAsia" w:ascii="宋体" w:hAnsi="宋体" w:eastAsia="宋体" w:cs="宋体"/>
                <w:snapToGrid w:val="0"/>
                <w:color w:val="auto"/>
                <w:kern w:val="0"/>
                <w:szCs w:val="21"/>
                <w:highlight w:val="none"/>
                <w:lang w:eastAsia="zh-CN"/>
              </w:rPr>
              <w:t>。</w:t>
            </w:r>
          </w:p>
        </w:tc>
      </w:tr>
      <w:tr w14:paraId="3D633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tcBorders>
              <w:top w:val="single" w:color="auto" w:sz="4" w:space="0"/>
              <w:left w:val="single" w:color="auto" w:sz="4" w:space="0"/>
              <w:bottom w:val="single" w:color="auto" w:sz="4" w:space="0"/>
              <w:right w:val="single" w:color="auto" w:sz="4" w:space="0"/>
            </w:tcBorders>
            <w:noWrap w:val="0"/>
            <w:vAlign w:val="center"/>
          </w:tcPr>
          <w:p w14:paraId="3B87BC41">
            <w:pPr>
              <w:keepNext w:val="0"/>
              <w:keepLines w:val="0"/>
              <w:suppressLineNumbers w:val="0"/>
              <w:autoSpaceDE w:val="0"/>
              <w:autoSpaceDN w:val="0"/>
              <w:adjustRightInd w:val="0"/>
              <w:spacing w:before="0" w:beforeAutospacing="0" w:after="0" w:afterAutospacing="0" w:line="360" w:lineRule="auto"/>
              <w:ind w:left="0"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w:t>
            </w:r>
          </w:p>
        </w:tc>
        <w:tc>
          <w:tcPr>
            <w:tcW w:w="1714" w:type="dxa"/>
            <w:gridSpan w:val="2"/>
            <w:tcBorders>
              <w:top w:val="single" w:color="auto" w:sz="4" w:space="0"/>
              <w:left w:val="single" w:color="auto" w:sz="4" w:space="0"/>
              <w:bottom w:val="single" w:color="auto" w:sz="4" w:space="0"/>
              <w:right w:val="single" w:color="auto" w:sz="4" w:space="0"/>
            </w:tcBorders>
            <w:noWrap w:val="0"/>
            <w:vAlign w:val="center"/>
          </w:tcPr>
          <w:p w14:paraId="15C19178">
            <w:pPr>
              <w:keepNext w:val="0"/>
              <w:keepLines w:val="0"/>
              <w:suppressLineNumbers w:val="0"/>
              <w:autoSpaceDE w:val="0"/>
              <w:autoSpaceDN w:val="0"/>
              <w:adjustRightInd w:val="0"/>
              <w:spacing w:before="73"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构成比选文件的其他材料</w:t>
            </w:r>
          </w:p>
        </w:tc>
        <w:tc>
          <w:tcPr>
            <w:tcW w:w="6884" w:type="dxa"/>
            <w:tcBorders>
              <w:top w:val="single" w:color="auto" w:sz="4" w:space="0"/>
              <w:left w:val="single" w:color="auto" w:sz="4" w:space="0"/>
              <w:bottom w:val="single" w:color="auto" w:sz="4" w:space="0"/>
              <w:right w:val="single" w:color="auto" w:sz="4" w:space="0"/>
            </w:tcBorders>
            <w:noWrap w:val="0"/>
            <w:vAlign w:val="center"/>
          </w:tcPr>
          <w:p w14:paraId="6E27EBBE">
            <w:pPr>
              <w:keepNext w:val="0"/>
              <w:keepLines w:val="0"/>
              <w:suppressLineNumbers w:val="0"/>
              <w:autoSpaceDE w:val="0"/>
              <w:autoSpaceDN w:val="0"/>
              <w:adjustRightInd w:val="0"/>
              <w:spacing w:before="73" w:beforeAutospacing="0" w:after="0" w:afterAutospacing="0" w:line="360" w:lineRule="auto"/>
              <w:ind w:left="0" w:right="-20"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szCs w:val="21"/>
                <w:highlight w:val="none"/>
              </w:rPr>
              <w:t>比选人发出的澄清及修改</w:t>
            </w:r>
            <w:r>
              <w:rPr>
                <w:rFonts w:hint="eastAsia" w:ascii="宋体" w:hAnsi="宋体" w:eastAsia="宋体" w:cs="宋体"/>
                <w:color w:val="auto"/>
                <w:szCs w:val="21"/>
                <w:highlight w:val="none"/>
                <w:lang w:eastAsia="zh-CN"/>
              </w:rPr>
              <w:t>。</w:t>
            </w:r>
          </w:p>
        </w:tc>
      </w:tr>
      <w:tr w14:paraId="0B6C6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953" w:type="dxa"/>
            <w:tcBorders>
              <w:top w:val="single" w:color="auto" w:sz="4" w:space="0"/>
              <w:left w:val="single" w:color="auto" w:sz="4" w:space="0"/>
              <w:bottom w:val="single" w:color="auto" w:sz="4" w:space="0"/>
              <w:right w:val="single" w:color="auto" w:sz="4" w:space="0"/>
            </w:tcBorders>
            <w:noWrap w:val="0"/>
            <w:vAlign w:val="center"/>
          </w:tcPr>
          <w:p w14:paraId="76DD0C65">
            <w:pPr>
              <w:keepNext w:val="0"/>
              <w:keepLines w:val="0"/>
              <w:suppressLineNumbers w:val="0"/>
              <w:autoSpaceDE w:val="0"/>
              <w:autoSpaceDN w:val="0"/>
              <w:adjustRightInd w:val="0"/>
              <w:spacing w:before="0" w:beforeAutospacing="0" w:after="0" w:afterAutospacing="0" w:line="360" w:lineRule="auto"/>
              <w:ind w:left="0"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2.2.1</w:t>
            </w:r>
          </w:p>
        </w:tc>
        <w:tc>
          <w:tcPr>
            <w:tcW w:w="1714" w:type="dxa"/>
            <w:gridSpan w:val="2"/>
            <w:tcBorders>
              <w:top w:val="single" w:color="auto" w:sz="4" w:space="0"/>
              <w:left w:val="single" w:color="auto" w:sz="4" w:space="0"/>
              <w:bottom w:val="single" w:color="auto" w:sz="4" w:space="0"/>
              <w:right w:val="single" w:color="auto" w:sz="4" w:space="0"/>
            </w:tcBorders>
            <w:noWrap w:val="0"/>
            <w:vAlign w:val="center"/>
          </w:tcPr>
          <w:p w14:paraId="40B44965">
            <w:pPr>
              <w:keepNext w:val="0"/>
              <w:keepLines w:val="0"/>
              <w:suppressLineNumbers w:val="0"/>
              <w:autoSpaceDE w:val="0"/>
              <w:autoSpaceDN w:val="0"/>
              <w:adjustRightInd w:val="0"/>
              <w:spacing w:before="73"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比选申请人对竞争性比选文件提出疑问的截止时间</w:t>
            </w:r>
          </w:p>
        </w:tc>
        <w:tc>
          <w:tcPr>
            <w:tcW w:w="6884" w:type="dxa"/>
            <w:tcBorders>
              <w:top w:val="single" w:color="auto" w:sz="4" w:space="0"/>
              <w:left w:val="single" w:color="auto" w:sz="4" w:space="0"/>
              <w:bottom w:val="single" w:color="auto" w:sz="4" w:space="0"/>
              <w:right w:val="single" w:color="auto" w:sz="4" w:space="0"/>
            </w:tcBorders>
            <w:noWrap w:val="0"/>
            <w:vAlign w:val="center"/>
          </w:tcPr>
          <w:p w14:paraId="43F47994">
            <w:pPr>
              <w:keepNext w:val="0"/>
              <w:keepLines w:val="0"/>
              <w:suppressLineNumbers w:val="0"/>
              <w:snapToGrid w:val="0"/>
              <w:spacing w:before="0" w:beforeAutospacing="0" w:after="0" w:afterAutospacing="0" w:line="360" w:lineRule="auto"/>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比选申请人应仔细阅读比选文件及附件的所有内容，如有文字表述不清，图纸尺寸标注不明以及存在错、漏、缺、概念模糊和有可能出现歧义或理解上的偏差的内容等应在</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7</w:t>
            </w:r>
            <w:r>
              <w:rPr>
                <w:rFonts w:hint="eastAsia" w:ascii="宋体" w:hAnsi="宋体" w:eastAsia="宋体" w:cs="宋体"/>
                <w:color w:val="auto"/>
                <w:szCs w:val="21"/>
                <w:highlight w:val="none"/>
              </w:rPr>
              <w:t>月</w:t>
            </w:r>
            <w:r>
              <w:rPr>
                <w:rFonts w:hint="eastAsia" w:ascii="宋体" w:hAnsi="宋体" w:cs="宋体"/>
                <w:color w:val="auto"/>
                <w:szCs w:val="21"/>
                <w:highlight w:val="none"/>
                <w:u w:val="single"/>
                <w:lang w:val="en-US" w:eastAsia="zh-CN"/>
              </w:rPr>
              <w:t>18</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lang w:val="en-US" w:eastAsia="zh-CN"/>
              </w:rPr>
              <w:t>1</w:t>
            </w:r>
            <w:r>
              <w:rPr>
                <w:rFonts w:hint="eastAsia" w:ascii="宋体" w:hAnsi="宋体" w:cs="宋体"/>
                <w:color w:val="auto"/>
                <w:szCs w:val="21"/>
                <w:highlight w:val="none"/>
                <w:u w:val="single"/>
                <w:lang w:val="en-US" w:eastAsia="zh-CN"/>
              </w:rPr>
              <w:t>7</w:t>
            </w:r>
            <w:r>
              <w:rPr>
                <w:rFonts w:hint="eastAsia" w:ascii="宋体" w:hAnsi="宋体" w:eastAsia="宋体" w:cs="宋体"/>
                <w:color w:val="auto"/>
                <w:szCs w:val="21"/>
                <w:highlight w:val="none"/>
                <w:u w:val="single"/>
              </w:rPr>
              <w:t>:00</w:t>
            </w:r>
            <w:r>
              <w:rPr>
                <w:rFonts w:hint="eastAsia" w:ascii="宋体" w:hAnsi="宋体" w:eastAsia="宋体" w:cs="宋体"/>
                <w:color w:val="auto"/>
                <w:szCs w:val="21"/>
                <w:highlight w:val="none"/>
              </w:rPr>
              <w:t>时前</w:t>
            </w:r>
            <w:r>
              <w:rPr>
                <w:rFonts w:hint="eastAsia" w:ascii="宋体" w:hAnsi="宋体" w:eastAsia="宋体" w:cs="宋体"/>
                <w:bCs/>
                <w:color w:val="auto"/>
                <w:kern w:val="0"/>
                <w:szCs w:val="21"/>
                <w:highlight w:val="none"/>
              </w:rPr>
              <w:fldChar w:fldCharType="begin"/>
            </w:r>
            <w:r>
              <w:rPr>
                <w:rFonts w:hint="eastAsia" w:ascii="宋体" w:hAnsi="宋体" w:eastAsia="宋体" w:cs="宋体"/>
                <w:bCs/>
                <w:color w:val="auto"/>
                <w:kern w:val="0"/>
                <w:szCs w:val="21"/>
                <w:highlight w:val="none"/>
              </w:rPr>
              <w:instrText xml:space="preserve"> HYPERLINK "mailto:比选申请人可书面或通过邮箱（115104724@qq.com）提交质疑，提问时间从本公告发布至2023年" </w:instrText>
            </w:r>
            <w:r>
              <w:rPr>
                <w:rFonts w:hint="eastAsia" w:ascii="宋体" w:hAnsi="宋体" w:eastAsia="宋体" w:cs="宋体"/>
                <w:bCs/>
                <w:color w:val="auto"/>
                <w:kern w:val="0"/>
                <w:szCs w:val="21"/>
                <w:highlight w:val="none"/>
              </w:rPr>
              <w:fldChar w:fldCharType="separate"/>
            </w:r>
            <w:r>
              <w:rPr>
                <w:rFonts w:hint="eastAsia" w:ascii="宋体" w:hAnsi="宋体" w:eastAsia="宋体" w:cs="宋体"/>
                <w:bCs/>
                <w:color w:val="auto"/>
                <w:kern w:val="0"/>
                <w:szCs w:val="21"/>
                <w:highlight w:val="none"/>
              </w:rPr>
              <w:t>比选申请人可</w:t>
            </w:r>
            <w:r>
              <w:rPr>
                <w:rFonts w:hint="eastAsia" w:ascii="宋体" w:hAnsi="宋体" w:eastAsia="宋体" w:cs="宋体"/>
                <w:bCs/>
                <w:color w:val="auto"/>
                <w:kern w:val="0"/>
                <w:szCs w:val="21"/>
                <w:highlight w:val="none"/>
                <w:lang w:val="en-US" w:eastAsia="zh-CN"/>
              </w:rPr>
              <w:t>书面、传真或通过邮箱（</w:t>
            </w:r>
            <w:r>
              <w:rPr>
                <w:rFonts w:hint="eastAsia" w:ascii="宋体" w:hAnsi="宋体" w:cs="宋体"/>
                <w:bCs/>
                <w:color w:val="auto"/>
                <w:kern w:val="0"/>
                <w:szCs w:val="21"/>
                <w:highlight w:val="none"/>
                <w:lang w:val="en-US" w:eastAsia="zh-CN"/>
              </w:rPr>
              <w:t>3375516420</w:t>
            </w:r>
            <w:r>
              <w:rPr>
                <w:rFonts w:hint="eastAsia" w:ascii="宋体" w:hAnsi="宋体" w:eastAsia="宋体" w:cs="宋体"/>
                <w:bCs/>
                <w:color w:val="auto"/>
                <w:kern w:val="0"/>
                <w:szCs w:val="21"/>
                <w:highlight w:val="none"/>
                <w:lang w:val="en-US" w:eastAsia="zh-CN"/>
              </w:rPr>
              <w:t>@qq.com）提交质疑</w:t>
            </w:r>
            <w:r>
              <w:rPr>
                <w:rFonts w:hint="eastAsia" w:ascii="宋体" w:hAnsi="宋体" w:cs="宋体"/>
                <w:bCs/>
                <w:color w:val="auto"/>
                <w:kern w:val="0"/>
                <w:szCs w:val="21"/>
                <w:highlight w:val="none"/>
                <w:lang w:val="en-US" w:eastAsia="zh-CN"/>
              </w:rPr>
              <w:t>。</w:t>
            </w:r>
            <w:r>
              <w:rPr>
                <w:rFonts w:hint="eastAsia" w:ascii="宋体" w:hAnsi="宋体" w:eastAsia="宋体" w:cs="宋体"/>
                <w:bCs/>
                <w:color w:val="auto"/>
                <w:kern w:val="0"/>
                <w:szCs w:val="21"/>
                <w:highlight w:val="none"/>
              </w:rPr>
              <w:fldChar w:fldCharType="end"/>
            </w:r>
          </w:p>
        </w:tc>
      </w:tr>
      <w:tr w14:paraId="4C1A9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tcBorders>
              <w:top w:val="single" w:color="auto" w:sz="4" w:space="0"/>
              <w:left w:val="single" w:color="auto" w:sz="4" w:space="0"/>
              <w:bottom w:val="single" w:color="auto" w:sz="4" w:space="0"/>
              <w:right w:val="single" w:color="auto" w:sz="4" w:space="0"/>
            </w:tcBorders>
            <w:noWrap w:val="0"/>
            <w:vAlign w:val="center"/>
          </w:tcPr>
          <w:p w14:paraId="630ED66F">
            <w:pPr>
              <w:keepNext w:val="0"/>
              <w:keepLines w:val="0"/>
              <w:suppressLineNumbers w:val="0"/>
              <w:autoSpaceDE w:val="0"/>
              <w:autoSpaceDN w:val="0"/>
              <w:adjustRightInd w:val="0"/>
              <w:spacing w:before="0" w:beforeAutospacing="0" w:after="0" w:afterAutospacing="0" w:line="360" w:lineRule="auto"/>
              <w:ind w:left="0"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2.2.2</w:t>
            </w:r>
          </w:p>
        </w:tc>
        <w:tc>
          <w:tcPr>
            <w:tcW w:w="1714" w:type="dxa"/>
            <w:gridSpan w:val="2"/>
            <w:tcBorders>
              <w:top w:val="single" w:color="auto" w:sz="4" w:space="0"/>
              <w:left w:val="single" w:color="auto" w:sz="4" w:space="0"/>
              <w:bottom w:val="single" w:color="auto" w:sz="4" w:space="0"/>
              <w:right w:val="single" w:color="auto" w:sz="4" w:space="0"/>
            </w:tcBorders>
            <w:noWrap w:val="0"/>
            <w:vAlign w:val="center"/>
          </w:tcPr>
          <w:p w14:paraId="2D07AC57">
            <w:pPr>
              <w:keepNext w:val="0"/>
              <w:keepLines w:val="0"/>
              <w:suppressLineNumbers w:val="0"/>
              <w:autoSpaceDE w:val="0"/>
              <w:autoSpaceDN w:val="0"/>
              <w:adjustRightInd w:val="0"/>
              <w:spacing w:before="73"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比选人对竞争性比选文件澄清的截止时间</w:t>
            </w:r>
          </w:p>
        </w:tc>
        <w:tc>
          <w:tcPr>
            <w:tcW w:w="6884" w:type="dxa"/>
            <w:tcBorders>
              <w:top w:val="single" w:color="auto" w:sz="4" w:space="0"/>
              <w:left w:val="single" w:color="auto" w:sz="4" w:space="0"/>
              <w:bottom w:val="single" w:color="auto" w:sz="4" w:space="0"/>
              <w:right w:val="single" w:color="auto" w:sz="4" w:space="0"/>
            </w:tcBorders>
            <w:noWrap w:val="0"/>
            <w:vAlign w:val="center"/>
          </w:tcPr>
          <w:p w14:paraId="1C8EB4C7">
            <w:pPr>
              <w:keepNext w:val="0"/>
              <w:keepLines w:val="0"/>
              <w:suppressLineNumbers w:val="0"/>
              <w:autoSpaceDE w:val="0"/>
              <w:autoSpaceDN w:val="0"/>
              <w:adjustRightInd w:val="0"/>
              <w:spacing w:before="73" w:beforeAutospacing="0" w:after="0" w:afterAutospacing="0" w:line="360" w:lineRule="auto"/>
              <w:ind w:left="0" w:right="-2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202</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7</w:t>
            </w:r>
            <w:r>
              <w:rPr>
                <w:rFonts w:hint="eastAsia" w:ascii="宋体" w:hAnsi="宋体" w:eastAsia="宋体" w:cs="宋体"/>
                <w:color w:val="auto"/>
                <w:szCs w:val="21"/>
                <w:highlight w:val="none"/>
              </w:rPr>
              <w:t>月</w:t>
            </w:r>
            <w:r>
              <w:rPr>
                <w:rFonts w:hint="eastAsia" w:ascii="宋体" w:hAnsi="宋体" w:cs="宋体"/>
                <w:color w:val="auto"/>
                <w:szCs w:val="21"/>
                <w:highlight w:val="none"/>
                <w:u w:val="single"/>
                <w:lang w:val="en-US" w:eastAsia="zh-CN"/>
              </w:rPr>
              <w:t>19</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rPr>
              <w:t>1</w:t>
            </w:r>
            <w:r>
              <w:rPr>
                <w:rFonts w:hint="eastAsia" w:ascii="宋体" w:hAnsi="宋体" w:cs="宋体"/>
                <w:color w:val="auto"/>
                <w:szCs w:val="21"/>
                <w:highlight w:val="none"/>
                <w:u w:val="single"/>
                <w:lang w:val="en-US" w:eastAsia="zh-CN"/>
              </w:rPr>
              <w:t>7</w:t>
            </w:r>
            <w:r>
              <w:rPr>
                <w:rFonts w:hint="eastAsia" w:ascii="宋体" w:hAnsi="宋体" w:eastAsia="宋体" w:cs="宋体"/>
                <w:color w:val="auto"/>
                <w:szCs w:val="21"/>
                <w:highlight w:val="none"/>
                <w:u w:val="single"/>
              </w:rPr>
              <w:t>:00</w:t>
            </w:r>
            <w:r>
              <w:rPr>
                <w:rFonts w:hint="eastAsia" w:ascii="宋体" w:hAnsi="宋体" w:eastAsia="宋体" w:cs="宋体"/>
                <w:color w:val="auto"/>
                <w:szCs w:val="21"/>
                <w:highlight w:val="none"/>
              </w:rPr>
              <w:t>时（北京时间），在</w:t>
            </w:r>
            <w:r>
              <w:rPr>
                <w:rFonts w:hint="eastAsia" w:ascii="宋体" w:hAnsi="宋体" w:cs="宋体"/>
                <w:color w:val="auto"/>
                <w:szCs w:val="21"/>
                <w:highlight w:val="none"/>
                <w:u w:val="single"/>
                <w:shd w:val="clear" w:color="auto" w:fill="FFFFFF"/>
                <w:lang w:eastAsia="zh-CN"/>
              </w:rPr>
              <w:t>垫江县人民政府网（http://www.cqsdj.gov.cn/）</w:t>
            </w:r>
            <w:r>
              <w:rPr>
                <w:rFonts w:hint="eastAsia" w:ascii="宋体" w:hAnsi="宋体" w:eastAsia="宋体" w:cs="宋体"/>
                <w:color w:val="auto"/>
                <w:szCs w:val="21"/>
                <w:highlight w:val="none"/>
              </w:rPr>
              <w:t>发布澄清。</w:t>
            </w:r>
          </w:p>
        </w:tc>
      </w:tr>
      <w:tr w14:paraId="41D42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tcBorders>
              <w:top w:val="single" w:color="auto" w:sz="4" w:space="0"/>
              <w:left w:val="single" w:color="auto" w:sz="4" w:space="0"/>
              <w:bottom w:val="single" w:color="auto" w:sz="4" w:space="0"/>
              <w:right w:val="single" w:color="auto" w:sz="4" w:space="0"/>
            </w:tcBorders>
            <w:noWrap w:val="0"/>
            <w:vAlign w:val="center"/>
          </w:tcPr>
          <w:p w14:paraId="2480C38B">
            <w:pPr>
              <w:keepNext w:val="0"/>
              <w:keepLines w:val="0"/>
              <w:suppressLineNumbers w:val="0"/>
              <w:autoSpaceDE w:val="0"/>
              <w:autoSpaceDN w:val="0"/>
              <w:adjustRightInd w:val="0"/>
              <w:spacing w:before="0" w:beforeAutospacing="0" w:after="0" w:afterAutospacing="0" w:line="360" w:lineRule="auto"/>
              <w:ind w:left="0"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2.2.3</w:t>
            </w:r>
          </w:p>
        </w:tc>
        <w:tc>
          <w:tcPr>
            <w:tcW w:w="1714" w:type="dxa"/>
            <w:gridSpan w:val="2"/>
            <w:tcBorders>
              <w:top w:val="single" w:color="auto" w:sz="4" w:space="0"/>
              <w:left w:val="single" w:color="auto" w:sz="4" w:space="0"/>
              <w:bottom w:val="single" w:color="auto" w:sz="4" w:space="0"/>
              <w:right w:val="single" w:color="auto" w:sz="4" w:space="0"/>
            </w:tcBorders>
            <w:noWrap w:val="0"/>
            <w:vAlign w:val="center"/>
          </w:tcPr>
          <w:p w14:paraId="562A1837">
            <w:pPr>
              <w:keepNext w:val="0"/>
              <w:keepLines w:val="0"/>
              <w:suppressLineNumbers w:val="0"/>
              <w:autoSpaceDE w:val="0"/>
              <w:autoSpaceDN w:val="0"/>
              <w:adjustRightInd w:val="0"/>
              <w:spacing w:before="73"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比选人对竞争性比选文件进行修改的时间</w:t>
            </w:r>
          </w:p>
        </w:tc>
        <w:tc>
          <w:tcPr>
            <w:tcW w:w="6884" w:type="dxa"/>
            <w:tcBorders>
              <w:top w:val="single" w:color="auto" w:sz="4" w:space="0"/>
              <w:left w:val="single" w:color="auto" w:sz="4" w:space="0"/>
              <w:bottom w:val="single" w:color="auto" w:sz="4" w:space="0"/>
              <w:right w:val="single" w:color="auto" w:sz="4" w:space="0"/>
            </w:tcBorders>
            <w:noWrap w:val="0"/>
            <w:vAlign w:val="center"/>
          </w:tcPr>
          <w:p w14:paraId="7D99A4EA">
            <w:pPr>
              <w:keepNext w:val="0"/>
              <w:keepLines w:val="0"/>
              <w:suppressLineNumbers w:val="0"/>
              <w:autoSpaceDE w:val="0"/>
              <w:autoSpaceDN w:val="0"/>
              <w:adjustRightInd w:val="0"/>
              <w:spacing w:before="73" w:beforeAutospacing="0" w:after="0" w:afterAutospacing="0" w:line="360" w:lineRule="auto"/>
              <w:ind w:left="0" w:right="-20"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snapToGrid w:val="0"/>
                <w:color w:val="auto"/>
                <w:kern w:val="0"/>
                <w:szCs w:val="21"/>
                <w:highlight w:val="none"/>
              </w:rPr>
              <w:t>修改内容可能影响比选申请文件编制的，须在比选申请截止时间2日前发布，发布时间至比选申请截止时间不足2日的，须相应延后比选申请截止时间。</w:t>
            </w:r>
          </w:p>
        </w:tc>
      </w:tr>
      <w:tr w14:paraId="58960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tcBorders>
              <w:top w:val="single" w:color="auto" w:sz="4" w:space="0"/>
              <w:left w:val="single" w:color="auto" w:sz="4" w:space="0"/>
              <w:bottom w:val="single" w:color="auto" w:sz="4" w:space="0"/>
              <w:right w:val="single" w:color="auto" w:sz="4" w:space="0"/>
            </w:tcBorders>
            <w:noWrap w:val="0"/>
            <w:vAlign w:val="center"/>
          </w:tcPr>
          <w:p w14:paraId="41D2ED1D">
            <w:pPr>
              <w:keepNext w:val="0"/>
              <w:keepLines w:val="0"/>
              <w:suppressLineNumbers w:val="0"/>
              <w:autoSpaceDE w:val="0"/>
              <w:autoSpaceDN w:val="0"/>
              <w:adjustRightInd w:val="0"/>
              <w:spacing w:before="0" w:beforeAutospacing="0" w:after="0" w:afterAutospacing="0" w:line="360" w:lineRule="auto"/>
              <w:ind w:left="0"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3.1.1</w:t>
            </w:r>
          </w:p>
        </w:tc>
        <w:tc>
          <w:tcPr>
            <w:tcW w:w="1714" w:type="dxa"/>
            <w:gridSpan w:val="2"/>
            <w:tcBorders>
              <w:top w:val="single" w:color="auto" w:sz="4" w:space="0"/>
              <w:left w:val="single" w:color="auto" w:sz="4" w:space="0"/>
              <w:bottom w:val="single" w:color="auto" w:sz="4" w:space="0"/>
              <w:right w:val="single" w:color="auto" w:sz="4" w:space="0"/>
            </w:tcBorders>
            <w:noWrap w:val="0"/>
            <w:vAlign w:val="center"/>
          </w:tcPr>
          <w:p w14:paraId="48D5A716">
            <w:pPr>
              <w:keepNext w:val="0"/>
              <w:keepLines w:val="0"/>
              <w:suppressLineNumbers w:val="0"/>
              <w:autoSpaceDE w:val="0"/>
              <w:autoSpaceDN w:val="0"/>
              <w:adjustRightInd w:val="0"/>
              <w:spacing w:before="73"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构成比选申请文件的其他材料</w:t>
            </w:r>
          </w:p>
        </w:tc>
        <w:tc>
          <w:tcPr>
            <w:tcW w:w="6884" w:type="dxa"/>
            <w:tcBorders>
              <w:top w:val="single" w:color="auto" w:sz="4" w:space="0"/>
              <w:left w:val="single" w:color="auto" w:sz="4" w:space="0"/>
              <w:bottom w:val="single" w:color="auto" w:sz="4" w:space="0"/>
              <w:right w:val="single" w:color="auto" w:sz="4" w:space="0"/>
            </w:tcBorders>
            <w:noWrap w:val="0"/>
            <w:vAlign w:val="center"/>
          </w:tcPr>
          <w:p w14:paraId="18ACB00A">
            <w:pPr>
              <w:keepNext w:val="0"/>
              <w:keepLines w:val="0"/>
              <w:suppressLineNumbers w:val="0"/>
              <w:snapToGrid w:val="0"/>
              <w:spacing w:before="0" w:beforeAutospacing="0" w:after="0" w:afterAutospacing="0" w:line="360" w:lineRule="auto"/>
              <w:ind w:left="0" w:right="0" w:firstLine="342" w:firstLineChars="163"/>
              <w:rPr>
                <w:rFonts w:hint="eastAsia" w:ascii="宋体" w:hAnsi="宋体" w:eastAsia="宋体" w:cs="宋体"/>
                <w:color w:val="auto"/>
                <w:szCs w:val="21"/>
                <w:highlight w:val="none"/>
              </w:rPr>
            </w:pPr>
            <w:r>
              <w:rPr>
                <w:rFonts w:hint="eastAsia" w:ascii="宋体" w:hAnsi="宋体" w:eastAsia="宋体" w:cs="宋体"/>
                <w:color w:val="auto"/>
                <w:szCs w:val="21"/>
                <w:highlight w:val="none"/>
              </w:rPr>
              <w:t>比选申请人的书面澄清、说明和补正（但不得改变比选申请文件的实质性内容）</w:t>
            </w:r>
          </w:p>
        </w:tc>
      </w:tr>
      <w:tr w14:paraId="60F05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tcBorders>
              <w:top w:val="single" w:color="auto" w:sz="4" w:space="0"/>
              <w:left w:val="single" w:color="auto" w:sz="4" w:space="0"/>
              <w:bottom w:val="single" w:color="auto" w:sz="4" w:space="0"/>
              <w:right w:val="single" w:color="auto" w:sz="4" w:space="0"/>
            </w:tcBorders>
            <w:noWrap w:val="0"/>
            <w:vAlign w:val="center"/>
          </w:tcPr>
          <w:p w14:paraId="0F9D515B">
            <w:pPr>
              <w:keepNext w:val="0"/>
              <w:keepLines w:val="0"/>
              <w:suppressLineNumbers w:val="0"/>
              <w:autoSpaceDE w:val="0"/>
              <w:autoSpaceDN w:val="0"/>
              <w:adjustRightInd w:val="0"/>
              <w:spacing w:before="0" w:beforeAutospacing="0" w:after="0" w:afterAutospacing="0" w:line="360" w:lineRule="auto"/>
              <w:ind w:left="0"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w:t>
            </w:r>
          </w:p>
        </w:tc>
        <w:tc>
          <w:tcPr>
            <w:tcW w:w="1714" w:type="dxa"/>
            <w:gridSpan w:val="2"/>
            <w:tcBorders>
              <w:top w:val="single" w:color="auto" w:sz="4" w:space="0"/>
              <w:left w:val="single" w:color="auto" w:sz="4" w:space="0"/>
              <w:bottom w:val="single" w:color="auto" w:sz="4" w:space="0"/>
              <w:right w:val="single" w:color="auto" w:sz="4" w:space="0"/>
            </w:tcBorders>
            <w:noWrap w:val="0"/>
            <w:vAlign w:val="center"/>
          </w:tcPr>
          <w:p w14:paraId="2C87FFB9">
            <w:pPr>
              <w:keepNext w:val="0"/>
              <w:keepLines w:val="0"/>
              <w:suppressLineNumbers w:val="0"/>
              <w:autoSpaceDE w:val="0"/>
              <w:autoSpaceDN w:val="0"/>
              <w:adjustRightInd w:val="0"/>
              <w:spacing w:before="0" w:beforeAutospacing="0" w:after="0" w:afterAutospacing="0" w:line="360" w:lineRule="auto"/>
              <w:ind w:left="0"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比选申请报价</w:t>
            </w:r>
          </w:p>
        </w:tc>
        <w:tc>
          <w:tcPr>
            <w:tcW w:w="6884" w:type="dxa"/>
            <w:tcBorders>
              <w:top w:val="single" w:color="auto" w:sz="4" w:space="0"/>
              <w:left w:val="single" w:color="auto" w:sz="4" w:space="0"/>
              <w:bottom w:val="single" w:color="auto" w:sz="4" w:space="0"/>
              <w:right w:val="single" w:color="auto" w:sz="4" w:space="0"/>
            </w:tcBorders>
            <w:noWrap w:val="0"/>
            <w:vAlign w:val="center"/>
          </w:tcPr>
          <w:p w14:paraId="135EBA97">
            <w:pPr>
              <w:pStyle w:val="19"/>
              <w:keepNext w:val="0"/>
              <w:keepLines w:val="0"/>
              <w:numPr>
                <w:ilvl w:val="0"/>
                <w:numId w:val="4"/>
              </w:numPr>
              <w:suppressLineNumbers w:val="0"/>
              <w:tabs>
                <w:tab w:val="left" w:pos="546"/>
                <w:tab w:val="left" w:pos="711"/>
                <w:tab w:val="clear" w:pos="312"/>
              </w:tabs>
              <w:snapToGrid w:val="0"/>
              <w:spacing w:before="0" w:beforeAutospacing="0" w:after="0" w:afterAutospacing="0" w:line="360" w:lineRule="auto"/>
              <w:ind w:left="0" w:right="0" w:firstLine="420" w:firstLineChars="200"/>
              <w:rPr>
                <w:rFonts w:hint="eastAsia"/>
                <w:highlight w:val="none"/>
                <w:lang w:val="en-US" w:eastAsia="zh-CN"/>
              </w:rPr>
            </w:pPr>
            <w:r>
              <w:rPr>
                <w:rFonts w:hint="eastAsia"/>
                <w:highlight w:val="none"/>
                <w:lang w:val="en-US" w:eastAsia="zh-CN"/>
              </w:rPr>
              <w:t>1标段、2标段比选申请报价应包含但不限于完成比选范围内工程项目的人工费、材料费、机械费、企业管理费、利润、风险费用、措施费（含安全文明施、深化设计费、费竣工图及档案资料编制费）、垂直及水平运输费、二次及多次转运费、协调费、规费、9%增值税税金等全部费用。</w:t>
            </w:r>
          </w:p>
          <w:p w14:paraId="78B90C1C">
            <w:pPr>
              <w:keepNext w:val="0"/>
              <w:keepLines w:val="0"/>
              <w:suppressLineNumbers w:val="0"/>
              <w:spacing w:before="0" w:beforeAutospacing="0" w:after="0" w:afterAutospacing="0" w:line="360" w:lineRule="auto"/>
              <w:ind w:left="0" w:right="0" w:firstLine="420" w:firstLineChars="200"/>
              <w:rPr>
                <w:rFonts w:hint="eastAsia"/>
                <w:highlight w:val="none"/>
              </w:rPr>
            </w:pPr>
            <w:r>
              <w:rPr>
                <w:rFonts w:hint="eastAsia"/>
                <w:highlight w:val="none"/>
                <w:lang w:val="en-US" w:eastAsia="zh-CN"/>
              </w:rPr>
              <w:t>2</w:t>
            </w:r>
            <w:r>
              <w:rPr>
                <w:rFonts w:hint="eastAsia"/>
                <w:highlight w:val="none"/>
              </w:rPr>
              <w:t>.比选申请人应认真填写工程量清单中所列的本合同各工程子目的单价或总价。比选申请人没有填入单价或总价的工程子目，比选人将认为该子目的价款已包括在工程量清单其他子目的单价和总价中。比选申请人必须按</w:t>
            </w:r>
            <w:r>
              <w:rPr>
                <w:rFonts w:hint="eastAsia"/>
                <w:highlight w:val="none"/>
                <w:lang w:val="en-US" w:eastAsia="zh-CN"/>
              </w:rPr>
              <w:t>比选</w:t>
            </w:r>
            <w:r>
              <w:rPr>
                <w:rFonts w:hint="eastAsia"/>
                <w:highlight w:val="none"/>
              </w:rPr>
              <w:t>工程量清单填报价格。</w:t>
            </w:r>
            <w:r>
              <w:rPr>
                <w:rFonts w:hint="eastAsia"/>
                <w:highlight w:val="none"/>
                <w:lang w:eastAsia="zh-CN"/>
              </w:rPr>
              <w:t>设备</w:t>
            </w:r>
            <w:r>
              <w:rPr>
                <w:rFonts w:hint="eastAsia"/>
                <w:highlight w:val="none"/>
              </w:rPr>
              <w:t>名称、性能参数</w:t>
            </w:r>
            <w:r>
              <w:rPr>
                <w:rFonts w:hint="eastAsia"/>
                <w:highlight w:val="none"/>
                <w:lang w:eastAsia="zh-CN"/>
              </w:rPr>
              <w:t>、</w:t>
            </w:r>
            <w:r>
              <w:rPr>
                <w:rFonts w:hint="eastAsia"/>
                <w:highlight w:val="none"/>
              </w:rPr>
              <w:t>单位、</w:t>
            </w:r>
            <w:r>
              <w:rPr>
                <w:rFonts w:hint="eastAsia"/>
                <w:highlight w:val="none"/>
                <w:lang w:eastAsia="zh-CN"/>
              </w:rPr>
              <w:t>数量</w:t>
            </w:r>
            <w:r>
              <w:rPr>
                <w:rFonts w:hint="eastAsia"/>
                <w:highlight w:val="none"/>
              </w:rPr>
              <w:t>必须与</w:t>
            </w:r>
            <w:r>
              <w:rPr>
                <w:rFonts w:hint="eastAsia"/>
                <w:highlight w:val="none"/>
                <w:lang w:val="en-US" w:eastAsia="zh-CN"/>
              </w:rPr>
              <w:t>比选</w:t>
            </w:r>
            <w:r>
              <w:rPr>
                <w:rFonts w:hint="eastAsia"/>
                <w:highlight w:val="none"/>
              </w:rPr>
              <w:t>工程量清单一致。</w:t>
            </w:r>
          </w:p>
          <w:p w14:paraId="702729DE">
            <w:pPr>
              <w:keepNext w:val="0"/>
              <w:keepLines w:val="0"/>
              <w:suppressLineNumbers w:val="0"/>
              <w:tabs>
                <w:tab w:val="left" w:pos="546"/>
                <w:tab w:val="left" w:pos="711"/>
              </w:tabs>
              <w:snapToGrid w:val="0"/>
              <w:spacing w:before="0" w:beforeAutospacing="0" w:after="0" w:afterAutospacing="0" w:line="360" w:lineRule="auto"/>
              <w:ind w:left="6" w:leftChars="3" w:right="0" w:firstLine="420" w:firstLineChars="200"/>
              <w:rPr>
                <w:rFonts w:hint="eastAsia"/>
                <w:highlight w:val="none"/>
              </w:rPr>
            </w:pPr>
            <w:r>
              <w:rPr>
                <w:rFonts w:hint="eastAsia"/>
                <w:highlight w:val="none"/>
                <w:lang w:val="en-US" w:eastAsia="zh-CN"/>
              </w:rPr>
              <w:t>3</w:t>
            </w:r>
            <w:r>
              <w:rPr>
                <w:rFonts w:hint="eastAsia"/>
                <w:highlight w:val="none"/>
              </w:rPr>
              <w:t>.比选申请函中的总报价必须与已标价工程量清单总报价一致。否则由评标委员会作否决投标处理。</w:t>
            </w:r>
          </w:p>
          <w:p w14:paraId="2A9D01E0">
            <w:pPr>
              <w:pStyle w:val="19"/>
              <w:keepNext w:val="0"/>
              <w:keepLines w:val="0"/>
              <w:suppressLineNumbers w:val="0"/>
              <w:tabs>
                <w:tab w:val="left" w:pos="546"/>
                <w:tab w:val="left" w:pos="711"/>
              </w:tabs>
              <w:snapToGrid w:val="0"/>
              <w:spacing w:before="0" w:beforeAutospacing="0" w:after="0" w:afterAutospacing="0" w:line="360" w:lineRule="auto"/>
              <w:ind w:left="6" w:leftChars="3" w:right="0" w:firstLine="420" w:firstLineChars="200"/>
              <w:rPr>
                <w:rFonts w:hint="eastAsia"/>
                <w:highlight w:val="none"/>
              </w:rPr>
            </w:pPr>
            <w:r>
              <w:rPr>
                <w:rFonts w:hint="eastAsia"/>
                <w:highlight w:val="none"/>
                <w:lang w:val="en-US" w:eastAsia="zh-CN"/>
              </w:rPr>
              <w:t>4</w:t>
            </w:r>
            <w:r>
              <w:rPr>
                <w:rFonts w:hint="eastAsia"/>
                <w:highlight w:val="none"/>
              </w:rPr>
              <w:t>.如发现工程量清单中的数量与图纸中数量不一致，应于本须知第2.2.1项中规定的时间前书面通知比选人核查，除非比选人以修改的形式予以更正，否则，应以工程量清单中列出的数量为准。</w:t>
            </w:r>
          </w:p>
          <w:p w14:paraId="26CEB43A">
            <w:pPr>
              <w:keepNext w:val="0"/>
              <w:keepLines w:val="0"/>
              <w:suppressLineNumbers w:val="0"/>
              <w:tabs>
                <w:tab w:val="left" w:pos="546"/>
                <w:tab w:val="left" w:pos="711"/>
              </w:tabs>
              <w:snapToGrid w:val="0"/>
              <w:spacing w:before="0" w:beforeAutospacing="0" w:after="0" w:afterAutospacing="0" w:line="360" w:lineRule="auto"/>
              <w:ind w:left="0" w:right="0" w:firstLine="422" w:firstLineChars="200"/>
              <w:rPr>
                <w:rFonts w:hint="eastAsia"/>
                <w:b/>
                <w:bCs/>
                <w:highlight w:val="none"/>
              </w:rPr>
            </w:pPr>
            <w:r>
              <w:rPr>
                <w:rFonts w:hint="eastAsia"/>
                <w:b/>
                <w:bCs/>
                <w:highlight w:val="none"/>
                <w:lang w:val="en-US" w:eastAsia="zh-CN"/>
              </w:rPr>
              <w:t>6</w:t>
            </w:r>
            <w:r>
              <w:rPr>
                <w:rFonts w:hint="eastAsia"/>
                <w:b/>
                <w:bCs/>
                <w:highlight w:val="none"/>
              </w:rPr>
              <w:t>.本工程比选将设置比选申请总报价最高限价，比选申请总报价最高限价为</w:t>
            </w:r>
            <w:r>
              <w:rPr>
                <w:rFonts w:hint="eastAsia"/>
                <w:b/>
                <w:bCs/>
                <w:highlight w:val="none"/>
                <w:lang w:val="en-US" w:eastAsia="zh-CN"/>
              </w:rPr>
              <w:t>1</w:t>
            </w:r>
            <w:r>
              <w:rPr>
                <w:rFonts w:hint="eastAsia"/>
                <w:b/>
                <w:bCs/>
                <w:highlight w:val="none"/>
                <w:lang w:eastAsia="zh-CN"/>
              </w:rPr>
              <w:t>标段：</w:t>
            </w:r>
            <w:r>
              <w:rPr>
                <w:rFonts w:hint="eastAsia"/>
                <w:b/>
                <w:bCs/>
                <w:highlight w:val="none"/>
                <w:u w:val="single"/>
                <w:lang w:val="en-US" w:eastAsia="zh-CN"/>
              </w:rPr>
              <w:t>488000.00</w:t>
            </w:r>
            <w:r>
              <w:rPr>
                <w:rFonts w:hint="eastAsia"/>
                <w:b/>
                <w:bCs/>
                <w:highlight w:val="none"/>
                <w:u w:val="single"/>
              </w:rPr>
              <w:t>元（大写：</w:t>
            </w:r>
            <w:r>
              <w:rPr>
                <w:rFonts w:hint="eastAsia"/>
                <w:b/>
                <w:bCs/>
                <w:highlight w:val="none"/>
                <w:u w:val="single"/>
                <w:lang w:val="en-US" w:eastAsia="zh-CN"/>
              </w:rPr>
              <w:t>肆拾捌万捌仟元整</w:t>
            </w:r>
            <w:r>
              <w:rPr>
                <w:rFonts w:hint="eastAsia"/>
                <w:b/>
                <w:bCs/>
                <w:highlight w:val="none"/>
                <w:u w:val="single"/>
              </w:rPr>
              <w:t>）</w:t>
            </w:r>
            <w:r>
              <w:rPr>
                <w:rFonts w:hint="eastAsia"/>
                <w:b/>
                <w:bCs/>
                <w:highlight w:val="none"/>
                <w:lang w:eastAsia="zh-CN"/>
              </w:rPr>
              <w:t>；</w:t>
            </w:r>
            <w:r>
              <w:rPr>
                <w:rFonts w:hint="eastAsia"/>
                <w:b/>
                <w:bCs/>
                <w:highlight w:val="none"/>
                <w:lang w:val="en-US" w:eastAsia="zh-CN"/>
              </w:rPr>
              <w:t>2</w:t>
            </w:r>
            <w:r>
              <w:rPr>
                <w:rFonts w:hint="eastAsia"/>
                <w:b/>
                <w:bCs/>
                <w:highlight w:val="none"/>
                <w:lang w:eastAsia="zh-CN"/>
              </w:rPr>
              <w:t>标段：</w:t>
            </w:r>
            <w:r>
              <w:rPr>
                <w:rFonts w:hint="eastAsia"/>
                <w:b/>
                <w:bCs/>
                <w:highlight w:val="none"/>
                <w:u w:val="single"/>
                <w:lang w:val="en-US" w:eastAsia="zh-CN"/>
              </w:rPr>
              <w:t>488000.00</w:t>
            </w:r>
            <w:r>
              <w:rPr>
                <w:rFonts w:hint="eastAsia"/>
                <w:b/>
                <w:bCs/>
                <w:highlight w:val="none"/>
                <w:u w:val="single"/>
              </w:rPr>
              <w:t>元（大写：</w:t>
            </w:r>
            <w:r>
              <w:rPr>
                <w:rFonts w:hint="eastAsia"/>
                <w:b/>
                <w:bCs/>
                <w:highlight w:val="none"/>
                <w:u w:val="single"/>
                <w:lang w:val="en-US" w:eastAsia="zh-CN"/>
              </w:rPr>
              <w:t>肆拾捌万捌仟元整</w:t>
            </w:r>
            <w:r>
              <w:rPr>
                <w:rFonts w:hint="eastAsia"/>
                <w:b/>
                <w:bCs/>
                <w:highlight w:val="none"/>
                <w:u w:val="single"/>
              </w:rPr>
              <w:t>）</w:t>
            </w:r>
            <w:r>
              <w:rPr>
                <w:rFonts w:hint="eastAsia"/>
                <w:b/>
                <w:bCs/>
                <w:highlight w:val="none"/>
                <w:lang w:eastAsia="zh-CN"/>
              </w:rPr>
              <w:t>；</w:t>
            </w:r>
            <w:r>
              <w:rPr>
                <w:rFonts w:hint="eastAsia"/>
                <w:b/>
                <w:bCs/>
                <w:highlight w:val="none"/>
              </w:rPr>
              <w:t>比选申请人的比选申请总报价不得超过总价最高限价，否则，将被认定为否决投标。</w:t>
            </w:r>
          </w:p>
          <w:p w14:paraId="7FC40043">
            <w:pPr>
              <w:keepNext w:val="0"/>
              <w:keepLines w:val="0"/>
              <w:suppressLineNumbers w:val="0"/>
              <w:tabs>
                <w:tab w:val="left" w:pos="546"/>
                <w:tab w:val="left" w:pos="711"/>
              </w:tabs>
              <w:snapToGrid w:val="0"/>
              <w:spacing w:before="0" w:beforeAutospacing="0" w:after="0" w:afterAutospacing="0" w:line="360" w:lineRule="auto"/>
              <w:ind w:left="0" w:right="0" w:firstLine="422" w:firstLineChars="200"/>
              <w:rPr>
                <w:rFonts w:hint="eastAsia"/>
                <w:b/>
                <w:bCs/>
                <w:highlight w:val="none"/>
                <w:lang w:val="en-US" w:eastAsia="zh-CN"/>
              </w:rPr>
            </w:pPr>
            <w:r>
              <w:rPr>
                <w:rFonts w:hint="eastAsia"/>
                <w:b/>
                <w:bCs/>
                <w:highlight w:val="none"/>
              </w:rPr>
              <w:t>本工程比选</w:t>
            </w:r>
            <w:r>
              <w:rPr>
                <w:rFonts w:hint="eastAsia"/>
                <w:b/>
                <w:bCs/>
                <w:highlight w:val="none"/>
                <w:lang w:val="en-US" w:eastAsia="zh-CN"/>
              </w:rPr>
              <w:t>不</w:t>
            </w:r>
            <w:r>
              <w:rPr>
                <w:rFonts w:hint="eastAsia"/>
                <w:b/>
                <w:bCs/>
                <w:highlight w:val="none"/>
              </w:rPr>
              <w:t>设置</w:t>
            </w:r>
            <w:r>
              <w:rPr>
                <w:rFonts w:hint="eastAsia"/>
                <w:b/>
                <w:bCs/>
                <w:highlight w:val="none"/>
                <w:lang w:val="en-US" w:eastAsia="zh-CN"/>
              </w:rPr>
              <w:t>清单</w:t>
            </w:r>
            <w:r>
              <w:rPr>
                <w:rFonts w:hint="eastAsia"/>
                <w:b/>
                <w:bCs/>
                <w:highlight w:val="none"/>
              </w:rPr>
              <w:t>最高限价，比选申请人</w:t>
            </w:r>
            <w:r>
              <w:rPr>
                <w:rFonts w:hint="eastAsia"/>
                <w:b/>
                <w:bCs/>
                <w:highlight w:val="none"/>
                <w:lang w:val="en-US" w:eastAsia="zh-CN"/>
              </w:rPr>
              <w:t>自行填报。</w:t>
            </w:r>
          </w:p>
          <w:p w14:paraId="51BE9940">
            <w:pPr>
              <w:keepNext w:val="0"/>
              <w:keepLines w:val="0"/>
              <w:suppressLineNumbers w:val="0"/>
              <w:tabs>
                <w:tab w:val="left" w:pos="546"/>
                <w:tab w:val="left" w:pos="711"/>
              </w:tabs>
              <w:snapToGrid w:val="0"/>
              <w:spacing w:before="0" w:beforeAutospacing="0" w:after="0" w:afterAutospacing="0" w:line="360" w:lineRule="auto"/>
              <w:ind w:left="0" w:right="0" w:firstLine="420" w:firstLineChars="200"/>
              <w:rPr>
                <w:rFonts w:hint="eastAsia"/>
                <w:highlight w:val="none"/>
              </w:rPr>
            </w:pPr>
            <w:r>
              <w:rPr>
                <w:rFonts w:hint="eastAsia"/>
                <w:highlight w:val="none"/>
                <w:lang w:val="en-US" w:eastAsia="zh-CN"/>
              </w:rPr>
              <w:t>7.</w:t>
            </w:r>
            <w:r>
              <w:rPr>
                <w:rFonts w:hint="eastAsia"/>
                <w:highlight w:val="none"/>
              </w:rPr>
              <w:t>比选申请人须在比选申请文件资格审查部分提供承诺函，承诺函包括以下内容：</w:t>
            </w:r>
          </w:p>
          <w:p w14:paraId="0A6E21D8">
            <w:pPr>
              <w:keepNext w:val="0"/>
              <w:keepLines w:val="0"/>
              <w:suppressLineNumbers w:val="0"/>
              <w:tabs>
                <w:tab w:val="left" w:pos="546"/>
                <w:tab w:val="left" w:pos="711"/>
              </w:tabs>
              <w:snapToGrid w:val="0"/>
              <w:spacing w:before="0" w:beforeAutospacing="0" w:after="0" w:afterAutospacing="0" w:line="360" w:lineRule="auto"/>
              <w:ind w:left="0" w:right="0" w:firstLine="420" w:firstLineChars="200"/>
              <w:rPr>
                <w:rFonts w:hint="eastAsia"/>
                <w:highlight w:val="none"/>
              </w:rPr>
            </w:pPr>
            <w:r>
              <w:rPr>
                <w:rFonts w:hint="eastAsia"/>
                <w:highlight w:val="none"/>
              </w:rPr>
              <w:t>（1）符合第五章“工程量清单”给出的范围及数量。</w:t>
            </w:r>
          </w:p>
          <w:p w14:paraId="5E3EB30D">
            <w:pPr>
              <w:keepNext w:val="0"/>
              <w:keepLines w:val="0"/>
              <w:suppressLineNumbers w:val="0"/>
              <w:tabs>
                <w:tab w:val="left" w:pos="546"/>
                <w:tab w:val="left" w:pos="711"/>
              </w:tabs>
              <w:snapToGrid w:val="0"/>
              <w:spacing w:before="0" w:beforeAutospacing="0" w:after="0" w:afterAutospacing="0" w:line="360" w:lineRule="auto"/>
              <w:ind w:left="0" w:right="0" w:firstLine="420" w:firstLineChars="200"/>
              <w:rPr>
                <w:rFonts w:hint="eastAsia"/>
                <w:highlight w:val="none"/>
              </w:rPr>
            </w:pPr>
            <w:r>
              <w:rPr>
                <w:rFonts w:hint="eastAsia"/>
                <w:highlight w:val="none"/>
              </w:rPr>
              <w:t>（2）竞争性比选文件中规定工程量清单不允许修改的内容不得修改。</w:t>
            </w:r>
          </w:p>
          <w:p w14:paraId="7DFD27F5">
            <w:pPr>
              <w:pStyle w:val="19"/>
              <w:keepNext w:val="0"/>
              <w:keepLines w:val="0"/>
              <w:widowControl/>
              <w:suppressLineNumbers w:val="0"/>
              <w:spacing w:before="0" w:beforeAutospacing="0" w:afterAutospacing="0" w:line="400" w:lineRule="exact"/>
              <w:ind w:left="0" w:right="0" w:firstLine="420" w:firstLineChars="200"/>
              <w:rPr>
                <w:rFonts w:hint="eastAsia"/>
                <w:highlight w:val="none"/>
              </w:rPr>
            </w:pPr>
            <w:r>
              <w:rPr>
                <w:rFonts w:hint="eastAsia"/>
                <w:highlight w:val="none"/>
                <w:lang w:val="en-US" w:eastAsia="zh-CN"/>
              </w:rPr>
              <w:t>8</w:t>
            </w:r>
            <w:r>
              <w:rPr>
                <w:rFonts w:hint="default"/>
                <w:highlight w:val="none"/>
              </w:rPr>
              <w:t>.</w:t>
            </w:r>
            <w:r>
              <w:rPr>
                <w:rFonts w:hint="eastAsia"/>
                <w:highlight w:val="none"/>
              </w:rPr>
              <w:t>本项目所采用技术、工艺和产品等必须执行重庆市住房和城乡建设委员会关于发布《重庆市建设领域禁止、限制使用落后技术通告（2019年版）（渝建发〔2019〕25号）的规定。</w:t>
            </w:r>
          </w:p>
          <w:p w14:paraId="7C05D47A">
            <w:pPr>
              <w:pStyle w:val="19"/>
              <w:keepNext w:val="0"/>
              <w:keepLines w:val="0"/>
              <w:widowControl/>
              <w:suppressLineNumbers w:val="0"/>
              <w:spacing w:before="0" w:beforeAutospacing="0" w:afterAutospacing="0" w:line="400" w:lineRule="exact"/>
              <w:ind w:left="0" w:right="0" w:firstLine="420" w:firstLineChars="200"/>
              <w:rPr>
                <w:rFonts w:hint="eastAsia"/>
                <w:highlight w:val="none"/>
              </w:rPr>
            </w:pPr>
            <w:r>
              <w:rPr>
                <w:rFonts w:hint="eastAsia"/>
                <w:highlight w:val="none"/>
                <w:lang w:val="en-US" w:eastAsia="zh-CN"/>
              </w:rPr>
              <w:t>9.</w:t>
            </w:r>
            <w:r>
              <w:rPr>
                <w:rFonts w:hint="eastAsia"/>
                <w:highlight w:val="none"/>
              </w:rPr>
              <w:t>全部室外机需置于楼顶，需自行充分考虑铜管长度及室外机电源线长度。</w:t>
            </w:r>
          </w:p>
          <w:p w14:paraId="4334C452">
            <w:pPr>
              <w:pStyle w:val="19"/>
              <w:keepNext w:val="0"/>
              <w:keepLines w:val="0"/>
              <w:suppressLineNumbers w:val="0"/>
              <w:tabs>
                <w:tab w:val="left" w:pos="546"/>
                <w:tab w:val="left" w:pos="711"/>
              </w:tabs>
              <w:snapToGrid w:val="0"/>
              <w:spacing w:before="0" w:beforeAutospacing="0" w:after="0" w:afterAutospacing="0" w:line="400" w:lineRule="exact"/>
              <w:ind w:left="0" w:right="0" w:firstLine="420" w:firstLineChars="200"/>
              <w:rPr>
                <w:rFonts w:hint="eastAsia"/>
                <w:highlight w:val="none"/>
              </w:rPr>
            </w:pPr>
            <w:r>
              <w:rPr>
                <w:rFonts w:hint="eastAsia"/>
                <w:highlight w:val="none"/>
                <w:lang w:val="en-US" w:eastAsia="zh-CN"/>
              </w:rPr>
              <w:t>10.</w:t>
            </w:r>
            <w:r>
              <w:rPr>
                <w:rFonts w:hint="eastAsia"/>
                <w:highlight w:val="none"/>
              </w:rPr>
              <w:t>设备必须满足图纸要求，中选后并提供详细的</w:t>
            </w:r>
            <w:r>
              <w:rPr>
                <w:rFonts w:hint="eastAsia"/>
                <w:highlight w:val="none"/>
                <w:lang w:val="en-US" w:eastAsia="zh-CN"/>
              </w:rPr>
              <w:t>优化</w:t>
            </w:r>
            <w:r>
              <w:rPr>
                <w:rFonts w:hint="eastAsia"/>
                <w:highlight w:val="none"/>
              </w:rPr>
              <w:t>方案、设备的具体参数和型号</w:t>
            </w:r>
            <w:r>
              <w:rPr>
                <w:rFonts w:hint="eastAsia"/>
                <w:highlight w:val="none"/>
                <w:lang w:eastAsia="zh-CN"/>
              </w:rPr>
              <w:t>，</w:t>
            </w:r>
            <w:r>
              <w:rPr>
                <w:rFonts w:hint="eastAsia"/>
                <w:highlight w:val="none"/>
                <w:lang w:val="en-US" w:eastAsia="zh-CN"/>
              </w:rPr>
              <w:t>设备的功率不得小于清单上的要求。</w:t>
            </w:r>
          </w:p>
        </w:tc>
      </w:tr>
      <w:tr w14:paraId="7EC7A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53" w:type="dxa"/>
            <w:tcBorders>
              <w:top w:val="single" w:color="auto" w:sz="4" w:space="0"/>
              <w:left w:val="single" w:color="auto" w:sz="4" w:space="0"/>
              <w:bottom w:val="single" w:color="auto" w:sz="4" w:space="0"/>
              <w:right w:val="single" w:color="auto" w:sz="4" w:space="0"/>
            </w:tcBorders>
            <w:noWrap w:val="0"/>
            <w:vAlign w:val="center"/>
          </w:tcPr>
          <w:p w14:paraId="07EC0B6D">
            <w:pPr>
              <w:keepNext w:val="0"/>
              <w:keepLines w:val="0"/>
              <w:suppressLineNumbers w:val="0"/>
              <w:autoSpaceDE w:val="0"/>
              <w:autoSpaceDN w:val="0"/>
              <w:adjustRightInd w:val="0"/>
              <w:spacing w:before="0" w:beforeAutospacing="0" w:after="0" w:afterAutospacing="0" w:line="360" w:lineRule="auto"/>
              <w:ind w:left="0" w:right="-2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3.</w:t>
            </w:r>
            <w:r>
              <w:rPr>
                <w:rFonts w:hint="eastAsia" w:ascii="宋体" w:hAnsi="宋体" w:cs="宋体"/>
                <w:color w:val="auto"/>
                <w:kern w:val="0"/>
                <w:szCs w:val="21"/>
                <w:highlight w:val="none"/>
                <w:lang w:val="en-US" w:eastAsia="zh-CN"/>
              </w:rPr>
              <w:t>4</w:t>
            </w:r>
          </w:p>
        </w:tc>
        <w:tc>
          <w:tcPr>
            <w:tcW w:w="1714" w:type="dxa"/>
            <w:gridSpan w:val="2"/>
            <w:tcBorders>
              <w:top w:val="single" w:color="auto" w:sz="4" w:space="0"/>
              <w:left w:val="single" w:color="auto" w:sz="4" w:space="0"/>
              <w:bottom w:val="single" w:color="auto" w:sz="4" w:space="0"/>
              <w:right w:val="single" w:color="auto" w:sz="4" w:space="0"/>
            </w:tcBorders>
            <w:noWrap w:val="0"/>
            <w:vAlign w:val="center"/>
          </w:tcPr>
          <w:p w14:paraId="7F74684D">
            <w:pPr>
              <w:keepNext w:val="0"/>
              <w:keepLines w:val="0"/>
              <w:suppressLineNumbers w:val="0"/>
              <w:autoSpaceDE w:val="0"/>
              <w:autoSpaceDN w:val="0"/>
              <w:adjustRightInd w:val="0"/>
              <w:spacing w:before="0" w:beforeAutospacing="0" w:after="0" w:afterAutospacing="0" w:line="360" w:lineRule="auto"/>
              <w:ind w:left="0"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比选申请有效期</w:t>
            </w:r>
          </w:p>
        </w:tc>
        <w:tc>
          <w:tcPr>
            <w:tcW w:w="6884" w:type="dxa"/>
            <w:tcBorders>
              <w:top w:val="single" w:color="auto" w:sz="4" w:space="0"/>
              <w:left w:val="single" w:color="auto" w:sz="4" w:space="0"/>
              <w:bottom w:val="single" w:color="auto" w:sz="4" w:space="0"/>
              <w:right w:val="single" w:color="auto" w:sz="4" w:space="0"/>
            </w:tcBorders>
            <w:noWrap w:val="0"/>
            <w:vAlign w:val="center"/>
          </w:tcPr>
          <w:p w14:paraId="08A8F443">
            <w:pPr>
              <w:keepNext w:val="0"/>
              <w:keepLines w:val="0"/>
              <w:suppressLineNumbers w:val="0"/>
              <w:autoSpaceDE w:val="0"/>
              <w:autoSpaceDN w:val="0"/>
              <w:adjustRightInd w:val="0"/>
              <w:spacing w:before="73" w:beforeAutospacing="0" w:after="0" w:afterAutospacing="0" w:line="360" w:lineRule="auto"/>
              <w:ind w:left="0" w:right="-112"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60</w:t>
            </w:r>
            <w:r>
              <w:rPr>
                <w:rFonts w:hint="eastAsia" w:ascii="宋体" w:hAnsi="宋体" w:eastAsia="宋体" w:cs="宋体"/>
                <w:color w:val="auto"/>
                <w:kern w:val="0"/>
                <w:szCs w:val="21"/>
                <w:highlight w:val="none"/>
              </w:rPr>
              <w:t>日历天（从提交比选申请文件截止日起计算）。</w:t>
            </w:r>
          </w:p>
        </w:tc>
      </w:tr>
      <w:tr w14:paraId="39187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53" w:type="dxa"/>
            <w:vMerge w:val="restart"/>
            <w:tcBorders>
              <w:top w:val="single" w:color="auto" w:sz="4" w:space="0"/>
              <w:left w:val="single" w:color="auto" w:sz="4" w:space="0"/>
              <w:right w:val="single" w:color="auto" w:sz="4" w:space="0"/>
            </w:tcBorders>
            <w:noWrap w:val="0"/>
            <w:vAlign w:val="center"/>
          </w:tcPr>
          <w:p w14:paraId="3A4E0DA1">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Times New Roman" w:cs="Times New Roman"/>
                <w:color w:val="auto"/>
                <w:kern w:val="0"/>
                <w:szCs w:val="21"/>
                <w:highlight w:val="none"/>
              </w:rPr>
              <w:t>3.</w:t>
            </w:r>
            <w:r>
              <w:rPr>
                <w:rFonts w:hint="eastAsia" w:ascii="宋体" w:hAnsi="宋体" w:eastAsia="宋体" w:cs="Times New Roman"/>
                <w:color w:val="auto"/>
                <w:kern w:val="0"/>
                <w:szCs w:val="21"/>
                <w:highlight w:val="none"/>
                <w:lang w:val="en-US" w:eastAsia="zh-CN"/>
              </w:rPr>
              <w:t>5</w:t>
            </w:r>
          </w:p>
        </w:tc>
        <w:tc>
          <w:tcPr>
            <w:tcW w:w="857" w:type="dxa"/>
            <w:vMerge w:val="restart"/>
            <w:tcBorders>
              <w:top w:val="single" w:color="auto" w:sz="4" w:space="0"/>
              <w:left w:val="single" w:color="auto" w:sz="4" w:space="0"/>
              <w:right w:val="single" w:color="auto" w:sz="4" w:space="0"/>
            </w:tcBorders>
            <w:noWrap w:val="0"/>
            <w:vAlign w:val="center"/>
          </w:tcPr>
          <w:p w14:paraId="6B33E247">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Times New Roman" w:cs="Times New Roman"/>
                <w:color w:val="auto"/>
                <w:kern w:val="0"/>
                <w:szCs w:val="21"/>
                <w:highlight w:val="none"/>
              </w:rPr>
              <w:t>比选申请</w:t>
            </w:r>
            <w:r>
              <w:rPr>
                <w:rFonts w:hint="default" w:ascii="宋体" w:hAnsi="宋体" w:eastAsia="Times New Roman" w:cs="Times New Roman"/>
                <w:color w:val="auto"/>
                <w:kern w:val="0"/>
                <w:szCs w:val="21"/>
                <w:highlight w:val="none"/>
              </w:rPr>
              <w:t>保证金</w:t>
            </w:r>
          </w:p>
        </w:tc>
        <w:tc>
          <w:tcPr>
            <w:tcW w:w="857" w:type="dxa"/>
            <w:tcBorders>
              <w:top w:val="single" w:color="auto" w:sz="4" w:space="0"/>
              <w:left w:val="single" w:color="auto" w:sz="4" w:space="0"/>
              <w:bottom w:val="single" w:color="auto" w:sz="4" w:space="0"/>
              <w:right w:val="single" w:color="auto" w:sz="4" w:space="0"/>
            </w:tcBorders>
            <w:noWrap w:val="0"/>
            <w:vAlign w:val="center"/>
          </w:tcPr>
          <w:p w14:paraId="637B4E2E">
            <w:pPr>
              <w:keepNext w:val="0"/>
              <w:keepLines w:val="0"/>
              <w:suppressLineNumbers w:val="0"/>
              <w:snapToGri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缴纳金额</w:t>
            </w:r>
          </w:p>
        </w:tc>
        <w:tc>
          <w:tcPr>
            <w:tcW w:w="6884" w:type="dxa"/>
            <w:tcBorders>
              <w:top w:val="single" w:color="auto" w:sz="4" w:space="0"/>
              <w:left w:val="single" w:color="auto" w:sz="4" w:space="0"/>
              <w:right w:val="single" w:color="auto" w:sz="4" w:space="0"/>
            </w:tcBorders>
            <w:noWrap w:val="0"/>
            <w:vAlign w:val="center"/>
          </w:tcPr>
          <w:p w14:paraId="4722D752">
            <w:pPr>
              <w:keepNext w:val="0"/>
              <w:keepLines w:val="0"/>
              <w:suppressLineNumbers w:val="0"/>
              <w:snapToGrid w:val="0"/>
              <w:spacing w:before="0" w:beforeAutospacing="0" w:after="0" w:afterAutospacing="0" w:line="400" w:lineRule="exact"/>
              <w:ind w:left="0" w:right="0"/>
              <w:rPr>
                <w:rFonts w:hint="default" w:ascii="宋体" w:hAnsi="宋体" w:eastAsia="宋体" w:cs="宋体"/>
                <w:color w:val="auto"/>
                <w:kern w:val="0"/>
                <w:szCs w:val="21"/>
                <w:highlight w:val="none"/>
                <w:u w:val="single"/>
                <w:lang w:val="en-US" w:eastAsia="zh-CN"/>
              </w:rPr>
            </w:pPr>
            <w:r>
              <w:rPr>
                <w:rFonts w:hint="eastAsia" w:ascii="宋体" w:hAnsi="宋体" w:cs="宋体"/>
                <w:color w:val="auto"/>
                <w:kern w:val="0"/>
                <w:szCs w:val="21"/>
                <w:highlight w:val="none"/>
                <w:lang w:val="en-US" w:eastAsia="zh-CN"/>
              </w:rPr>
              <w:t>1标段保证金金额：9000.00元；2标段保证金额：9000.00元。</w:t>
            </w:r>
          </w:p>
        </w:tc>
      </w:tr>
      <w:tr w14:paraId="2A974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53" w:type="dxa"/>
            <w:vMerge w:val="continue"/>
            <w:tcBorders>
              <w:left w:val="single" w:color="auto" w:sz="4" w:space="0"/>
              <w:right w:val="single" w:color="auto" w:sz="4" w:space="0"/>
            </w:tcBorders>
            <w:noWrap w:val="0"/>
            <w:vAlign w:val="center"/>
          </w:tcPr>
          <w:p w14:paraId="59E240DA">
            <w:pPr>
              <w:keepNext w:val="0"/>
              <w:keepLines w:val="0"/>
              <w:suppressLineNumbers w:val="0"/>
              <w:snapToGrid w:val="0"/>
              <w:spacing w:before="0" w:beforeAutospacing="0" w:after="0" w:afterAutospacing="0" w:line="400" w:lineRule="exact"/>
              <w:ind w:left="0" w:right="0"/>
              <w:jc w:val="center"/>
              <w:rPr>
                <w:rFonts w:hint="default"/>
              </w:rPr>
            </w:pPr>
          </w:p>
        </w:tc>
        <w:tc>
          <w:tcPr>
            <w:tcW w:w="857" w:type="dxa"/>
            <w:vMerge w:val="continue"/>
            <w:tcBorders>
              <w:left w:val="single" w:color="auto" w:sz="4" w:space="0"/>
              <w:right w:val="single" w:color="auto" w:sz="4" w:space="0"/>
            </w:tcBorders>
            <w:noWrap w:val="0"/>
            <w:vAlign w:val="center"/>
          </w:tcPr>
          <w:p w14:paraId="0E322686">
            <w:pPr>
              <w:keepNext w:val="0"/>
              <w:keepLines w:val="0"/>
              <w:suppressLineNumbers w:val="0"/>
              <w:snapToGrid w:val="0"/>
              <w:spacing w:before="0" w:beforeAutospacing="0" w:after="0" w:afterAutospacing="0" w:line="400" w:lineRule="exact"/>
              <w:ind w:left="0" w:right="0"/>
              <w:jc w:val="center"/>
              <w:rPr>
                <w:rFonts w:hint="default"/>
                <w:color w:val="auto"/>
              </w:rPr>
            </w:pPr>
          </w:p>
        </w:tc>
        <w:tc>
          <w:tcPr>
            <w:tcW w:w="857" w:type="dxa"/>
            <w:tcBorders>
              <w:top w:val="single" w:color="auto" w:sz="4" w:space="0"/>
              <w:left w:val="single" w:color="auto" w:sz="4" w:space="0"/>
              <w:bottom w:val="single" w:color="auto" w:sz="4" w:space="0"/>
              <w:right w:val="single" w:color="auto" w:sz="4" w:space="0"/>
            </w:tcBorders>
            <w:noWrap w:val="0"/>
            <w:vAlign w:val="center"/>
          </w:tcPr>
          <w:p w14:paraId="72A423E2">
            <w:pPr>
              <w:keepNext w:val="0"/>
              <w:keepLines w:val="0"/>
              <w:suppressLineNumbers w:val="0"/>
              <w:snapToGrid w:val="0"/>
              <w:spacing w:before="0" w:beforeAutospacing="0" w:after="0" w:afterAutospacing="0" w:line="400" w:lineRule="exact"/>
              <w:ind w:left="0" w:right="0"/>
              <w:jc w:val="center"/>
              <w:rPr>
                <w:rFonts w:hint="default" w:ascii="宋体" w:hAnsi="宋体" w:eastAsia="Times New Roman" w:cs="Times New Roman"/>
                <w:color w:val="auto"/>
                <w:kern w:val="0"/>
                <w:szCs w:val="21"/>
                <w:highlight w:val="none"/>
                <w:lang w:val="en-US"/>
              </w:rPr>
            </w:pPr>
            <w:r>
              <w:rPr>
                <w:rFonts w:hint="eastAsia" w:ascii="宋体" w:hAnsi="宋体" w:eastAsia="宋体" w:cs="Times New Roman"/>
                <w:color w:val="auto"/>
                <w:kern w:val="0"/>
                <w:szCs w:val="21"/>
                <w:highlight w:val="none"/>
                <w:lang w:val="en-US" w:eastAsia="zh-CN"/>
              </w:rPr>
              <w:t>缴纳</w:t>
            </w:r>
            <w:r>
              <w:rPr>
                <w:rFonts w:hint="eastAsia" w:ascii="宋体" w:hAnsi="宋体" w:cs="Times New Roman"/>
                <w:color w:val="auto"/>
                <w:kern w:val="0"/>
                <w:szCs w:val="21"/>
                <w:highlight w:val="none"/>
                <w:lang w:val="en-US" w:eastAsia="zh-CN"/>
              </w:rPr>
              <w:t>方式</w:t>
            </w:r>
          </w:p>
        </w:tc>
        <w:tc>
          <w:tcPr>
            <w:tcW w:w="6884" w:type="dxa"/>
            <w:tcBorders>
              <w:left w:val="single" w:color="auto" w:sz="4" w:space="0"/>
              <w:right w:val="single" w:color="auto" w:sz="4" w:space="0"/>
            </w:tcBorders>
            <w:noWrap w:val="0"/>
            <w:vAlign w:val="center"/>
          </w:tcPr>
          <w:p w14:paraId="25C19698">
            <w:pPr>
              <w:keepNext w:val="0"/>
              <w:keepLines w:val="0"/>
              <w:suppressLineNumbers w:val="0"/>
              <w:snapToGrid w:val="0"/>
              <w:spacing w:before="0" w:beforeAutospacing="0" w:after="0" w:afterAutospacing="0" w:line="400" w:lineRule="exact"/>
              <w:ind w:left="0" w:right="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网银或电汇转账</w:t>
            </w:r>
          </w:p>
          <w:p w14:paraId="72FF219F">
            <w:pPr>
              <w:keepNext w:val="0"/>
              <w:keepLines w:val="0"/>
              <w:suppressLineNumbers w:val="0"/>
              <w:snapToGrid w:val="0"/>
              <w:spacing w:before="0" w:beforeAutospacing="0" w:after="0" w:afterAutospacing="0" w:line="400" w:lineRule="exact"/>
              <w:ind w:left="0" w:right="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投标人应足额交纳比选申请保证金（保证金金额详见比选申请人须知前附表3.5），并汇至以下账户，比选申请保证金的到账截止时间同投标截止时间。</w:t>
            </w:r>
          </w:p>
          <w:p w14:paraId="7332CD88">
            <w:pPr>
              <w:keepNext w:val="0"/>
              <w:keepLines w:val="0"/>
              <w:suppressLineNumbers w:val="0"/>
              <w:snapToGrid w:val="0"/>
              <w:spacing w:before="0" w:beforeAutospacing="0" w:after="0" w:afterAutospacing="0" w:line="400" w:lineRule="exact"/>
              <w:ind w:left="0" w:right="0"/>
              <w:rPr>
                <w:rFonts w:hint="eastAsia" w:ascii="宋体" w:hAnsi="宋体" w:eastAsia="宋体" w:cs="宋体"/>
                <w:color w:val="auto"/>
                <w:kern w:val="0"/>
                <w:szCs w:val="21"/>
                <w:highlight w:val="none"/>
                <w:lang w:val="en-US" w:eastAsia="zh-CN"/>
              </w:rPr>
            </w:pPr>
            <w:bookmarkStart w:id="22" w:name="_Toc12627"/>
            <w:r>
              <w:rPr>
                <w:rFonts w:hint="eastAsia" w:ascii="宋体" w:hAnsi="宋体" w:eastAsia="宋体" w:cs="宋体"/>
                <w:color w:val="auto"/>
                <w:kern w:val="0"/>
                <w:szCs w:val="21"/>
                <w:highlight w:val="none"/>
                <w:lang w:val="en-US" w:eastAsia="zh-CN"/>
              </w:rPr>
              <w:t>比选申请保证金缴纳账户信息：</w:t>
            </w:r>
            <w:bookmarkEnd w:id="22"/>
          </w:p>
          <w:p w14:paraId="1753DB90">
            <w:pPr>
              <w:keepNext w:val="0"/>
              <w:keepLines w:val="0"/>
              <w:suppressLineNumbers w:val="0"/>
              <w:snapToGrid w:val="0"/>
              <w:spacing w:before="0" w:beforeAutospacing="0" w:after="0" w:afterAutospacing="0" w:line="400" w:lineRule="exact"/>
              <w:ind w:left="0" w:right="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账户：垫江县小厦建筑有限公司；开户行：0172014210001602；账号：重庆三峡银行垫江支行。</w:t>
            </w:r>
          </w:p>
          <w:p w14:paraId="1CB27551">
            <w:pPr>
              <w:keepNext w:val="0"/>
              <w:keepLines w:val="0"/>
              <w:suppressLineNumbers w:val="0"/>
              <w:snapToGrid w:val="0"/>
              <w:spacing w:before="0" w:beforeAutospacing="0" w:after="0" w:afterAutospacing="0" w:line="400" w:lineRule="exact"/>
              <w:ind w:left="0" w:right="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转账备注：“</w:t>
            </w:r>
            <w:r>
              <w:rPr>
                <w:rFonts w:hint="eastAsia" w:ascii="宋体" w:hAnsi="宋体" w:cs="宋体"/>
                <w:color w:val="auto"/>
                <w:kern w:val="0"/>
                <w:szCs w:val="21"/>
                <w:highlight w:val="none"/>
                <w:u w:val="single"/>
                <w:lang w:val="en-US" w:eastAsia="zh-CN"/>
              </w:rPr>
              <w:t>国网垫江供电公司职工服务中心空调采购及智能化专业分包</w:t>
            </w:r>
            <w:r>
              <w:rPr>
                <w:rFonts w:hint="eastAsia" w:ascii="宋体" w:hAnsi="宋体" w:eastAsia="宋体" w:cs="宋体"/>
                <w:color w:val="auto"/>
                <w:kern w:val="0"/>
                <w:szCs w:val="21"/>
                <w:highlight w:val="none"/>
                <w:u w:val="single"/>
                <w:lang w:val="en-US" w:eastAsia="zh-CN"/>
              </w:rPr>
              <w:t>（1标段或2标段）比选申请保证金</w:t>
            </w:r>
            <w:r>
              <w:rPr>
                <w:rFonts w:hint="eastAsia" w:ascii="宋体" w:hAnsi="宋体" w:eastAsia="宋体" w:cs="宋体"/>
                <w:color w:val="auto"/>
                <w:kern w:val="0"/>
                <w:szCs w:val="21"/>
                <w:highlight w:val="none"/>
                <w:lang w:val="en-US" w:eastAsia="zh-CN"/>
              </w:rPr>
              <w:t>”，项目名称可简写为</w:t>
            </w:r>
            <w:r>
              <w:rPr>
                <w:rFonts w:hint="eastAsia" w:ascii="宋体" w:hAnsi="宋体" w:eastAsia="宋体" w:cs="宋体"/>
                <w:color w:val="auto"/>
                <w:kern w:val="0"/>
                <w:szCs w:val="21"/>
                <w:highlight w:val="none"/>
                <w:u w:val="single"/>
                <w:lang w:val="en-US" w:eastAsia="zh-CN"/>
              </w:rPr>
              <w:t>供电公司项目</w:t>
            </w:r>
            <w:r>
              <w:rPr>
                <w:rFonts w:hint="eastAsia" w:ascii="宋体" w:hAnsi="宋体" w:cs="宋体"/>
                <w:color w:val="auto"/>
                <w:kern w:val="0"/>
                <w:szCs w:val="21"/>
                <w:highlight w:val="none"/>
                <w:u w:val="single"/>
                <w:lang w:val="en-US" w:eastAsia="zh-CN"/>
              </w:rPr>
              <w:t>（</w:t>
            </w:r>
            <w:r>
              <w:rPr>
                <w:rFonts w:hint="eastAsia" w:ascii="宋体" w:hAnsi="宋体" w:eastAsia="宋体" w:cs="宋体"/>
                <w:color w:val="auto"/>
                <w:kern w:val="0"/>
                <w:szCs w:val="21"/>
                <w:highlight w:val="none"/>
                <w:u w:val="single"/>
                <w:lang w:val="en-US" w:eastAsia="zh-CN"/>
              </w:rPr>
              <w:t>1标段或2标段</w:t>
            </w:r>
            <w:r>
              <w:rPr>
                <w:rFonts w:hint="eastAsia" w:ascii="宋体" w:hAnsi="宋体" w:cs="宋体"/>
                <w:color w:val="auto"/>
                <w:kern w:val="0"/>
                <w:szCs w:val="21"/>
                <w:highlight w:val="none"/>
                <w:u w:val="single"/>
                <w:lang w:val="en-US" w:eastAsia="zh-CN"/>
              </w:rPr>
              <w:t>）</w:t>
            </w:r>
            <w:r>
              <w:rPr>
                <w:rFonts w:hint="eastAsia" w:ascii="宋体" w:hAnsi="宋体" w:eastAsia="宋体" w:cs="宋体"/>
                <w:color w:val="auto"/>
                <w:kern w:val="0"/>
                <w:szCs w:val="21"/>
                <w:highlight w:val="none"/>
                <w:lang w:val="en-US" w:eastAsia="zh-CN"/>
              </w:rPr>
              <w:t>保证金。</w:t>
            </w:r>
          </w:p>
          <w:p w14:paraId="1DC0A75C">
            <w:pPr>
              <w:keepNext w:val="0"/>
              <w:keepLines w:val="0"/>
              <w:suppressLineNumbers w:val="0"/>
              <w:snapToGrid w:val="0"/>
              <w:spacing w:before="0" w:beforeAutospacing="0" w:after="0" w:afterAutospacing="0" w:line="400" w:lineRule="exact"/>
              <w:ind w:left="0" w:right="0"/>
              <w:rPr>
                <w:rFonts w:hint="eastAsia" w:ascii="宋体" w:hAnsi="宋体" w:eastAsia="Times New Roman" w:cs="Times New Roman"/>
                <w:color w:val="auto"/>
                <w:kern w:val="0"/>
                <w:szCs w:val="21"/>
                <w:highlight w:val="none"/>
              </w:rPr>
            </w:pPr>
            <w:r>
              <w:rPr>
                <w:rFonts w:hint="eastAsia" w:ascii="宋体" w:hAnsi="宋体" w:eastAsia="宋体" w:cs="宋体"/>
                <w:color w:val="auto"/>
                <w:kern w:val="0"/>
                <w:szCs w:val="21"/>
                <w:highlight w:val="none"/>
                <w:lang w:val="en-US" w:eastAsia="zh-CN"/>
              </w:rPr>
              <w:t>各投标人在银行转账（电汇）时，须充分考虑银行转账（电汇）的时间差风险，如同城转账、异地转账或汇款、跨行转账或电汇的时间要求。</w:t>
            </w:r>
          </w:p>
        </w:tc>
      </w:tr>
      <w:tr w14:paraId="26ABA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53" w:type="dxa"/>
            <w:vMerge w:val="continue"/>
            <w:tcBorders>
              <w:left w:val="single" w:color="auto" w:sz="4" w:space="0"/>
              <w:bottom w:val="single" w:color="auto" w:sz="4" w:space="0"/>
              <w:right w:val="single" w:color="auto" w:sz="4" w:space="0"/>
            </w:tcBorders>
            <w:noWrap w:val="0"/>
            <w:vAlign w:val="center"/>
          </w:tcPr>
          <w:p w14:paraId="5E336A0F">
            <w:pPr>
              <w:keepNext w:val="0"/>
              <w:keepLines w:val="0"/>
              <w:suppressLineNumbers w:val="0"/>
              <w:snapToGrid w:val="0"/>
              <w:spacing w:before="0" w:beforeAutospacing="0" w:after="0" w:afterAutospacing="0" w:line="400" w:lineRule="exact"/>
              <w:ind w:left="0" w:right="0"/>
              <w:jc w:val="center"/>
              <w:rPr>
                <w:rFonts w:hint="eastAsia" w:ascii="宋体" w:hAnsi="宋体" w:eastAsia="Times New Roman" w:cs="Times New Roman"/>
                <w:color w:val="FF0000"/>
                <w:kern w:val="0"/>
                <w:szCs w:val="21"/>
                <w:highlight w:val="none"/>
              </w:rPr>
            </w:pPr>
          </w:p>
        </w:tc>
        <w:tc>
          <w:tcPr>
            <w:tcW w:w="857" w:type="dxa"/>
            <w:vMerge w:val="continue"/>
            <w:tcBorders>
              <w:left w:val="single" w:color="auto" w:sz="4" w:space="0"/>
              <w:bottom w:val="single" w:color="auto" w:sz="4" w:space="0"/>
              <w:right w:val="single" w:color="auto" w:sz="4" w:space="0"/>
            </w:tcBorders>
            <w:noWrap w:val="0"/>
            <w:vAlign w:val="center"/>
          </w:tcPr>
          <w:p w14:paraId="3BE06106">
            <w:pPr>
              <w:keepNext w:val="0"/>
              <w:keepLines w:val="0"/>
              <w:suppressLineNumbers w:val="0"/>
              <w:snapToGrid w:val="0"/>
              <w:spacing w:before="0" w:beforeAutospacing="0" w:after="0" w:afterAutospacing="0" w:line="400" w:lineRule="exact"/>
              <w:ind w:left="0" w:right="0"/>
              <w:jc w:val="center"/>
              <w:rPr>
                <w:rFonts w:hint="eastAsia" w:ascii="宋体" w:hAnsi="宋体" w:eastAsia="Times New Roman" w:cs="Times New Roman"/>
                <w:color w:val="FF0000"/>
                <w:kern w:val="0"/>
                <w:szCs w:val="21"/>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center"/>
          </w:tcPr>
          <w:p w14:paraId="628C57C3">
            <w:pPr>
              <w:keepNext w:val="0"/>
              <w:keepLines w:val="0"/>
              <w:suppressLineNumbers w:val="0"/>
              <w:snapToGri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退还方式</w:t>
            </w:r>
          </w:p>
        </w:tc>
        <w:tc>
          <w:tcPr>
            <w:tcW w:w="6884" w:type="dxa"/>
            <w:tcBorders>
              <w:left w:val="single" w:color="auto" w:sz="4" w:space="0"/>
              <w:bottom w:val="single" w:color="auto" w:sz="4" w:space="0"/>
              <w:right w:val="single" w:color="auto" w:sz="4" w:space="0"/>
            </w:tcBorders>
            <w:noWrap w:val="0"/>
            <w:vAlign w:val="center"/>
          </w:tcPr>
          <w:p w14:paraId="54F6CCFE">
            <w:pPr>
              <w:pStyle w:val="3"/>
              <w:numPr>
                <w:ilvl w:val="1"/>
                <w:numId w:val="0"/>
              </w:numPr>
              <w:suppressLineNumbers w:val="0"/>
              <w:adjustRightInd w:val="0"/>
              <w:snapToGrid w:val="0"/>
              <w:spacing w:before="0" w:beforeAutospacing="0" w:after="0" w:afterAutospacing="0" w:line="400" w:lineRule="exact"/>
              <w:ind w:left="0" w:right="0"/>
              <w:rPr>
                <w:rFonts w:hint="eastAsia" w:ascii="宋体" w:hAnsi="宋体" w:eastAsia="宋体" w:cs="宋体"/>
                <w:b w:val="0"/>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lang w:val="en-US" w:eastAsia="zh-CN" w:bidi="ar-SA"/>
              </w:rPr>
              <w:t>自合同签订之日起5个工作日内，垫江县小厦建筑有限公司按资金来款渠道直接退还。</w:t>
            </w:r>
          </w:p>
        </w:tc>
      </w:tr>
      <w:tr w14:paraId="15A0F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53" w:type="dxa"/>
            <w:tcBorders>
              <w:top w:val="single" w:color="auto" w:sz="4" w:space="0"/>
              <w:left w:val="single" w:color="auto" w:sz="4" w:space="0"/>
              <w:bottom w:val="single" w:color="auto" w:sz="4" w:space="0"/>
              <w:right w:val="single" w:color="auto" w:sz="4" w:space="0"/>
            </w:tcBorders>
            <w:noWrap w:val="0"/>
            <w:vAlign w:val="center"/>
          </w:tcPr>
          <w:p w14:paraId="59E341EB">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r>
              <w:rPr>
                <w:rFonts w:hint="default" w:ascii="宋体" w:hAnsi="宋体" w:eastAsia="Times New Roman" w:cs="Times New Roman"/>
                <w:color w:val="auto"/>
                <w:kern w:val="0"/>
                <w:szCs w:val="21"/>
                <w:highlight w:val="none"/>
              </w:rPr>
              <w:t>3.6</w:t>
            </w:r>
          </w:p>
        </w:tc>
        <w:tc>
          <w:tcPr>
            <w:tcW w:w="1714" w:type="dxa"/>
            <w:gridSpan w:val="2"/>
            <w:tcBorders>
              <w:top w:val="single" w:color="auto" w:sz="4" w:space="0"/>
              <w:left w:val="single" w:color="auto" w:sz="4" w:space="0"/>
              <w:bottom w:val="single" w:color="auto" w:sz="4" w:space="0"/>
              <w:right w:val="single" w:color="auto" w:sz="4" w:space="0"/>
            </w:tcBorders>
            <w:noWrap w:val="0"/>
            <w:vAlign w:val="center"/>
          </w:tcPr>
          <w:p w14:paraId="73DA4D9C">
            <w:pPr>
              <w:keepNext w:val="0"/>
              <w:keepLines w:val="0"/>
              <w:suppressLineNumbers w:val="0"/>
              <w:snapToGrid w:val="0"/>
              <w:spacing w:before="0" w:beforeAutospacing="0" w:after="0" w:afterAutospacing="0" w:line="400" w:lineRule="exact"/>
              <w:ind w:left="0" w:right="0"/>
              <w:jc w:val="center"/>
              <w:rPr>
                <w:rFonts w:hint="default" w:ascii="宋体" w:hAnsi="宋体" w:eastAsia="Times New Roman" w:cs="Times New Roman"/>
                <w:color w:val="auto"/>
                <w:kern w:val="0"/>
                <w:szCs w:val="21"/>
                <w:highlight w:val="none"/>
              </w:rPr>
            </w:pPr>
            <w:r>
              <w:rPr>
                <w:rFonts w:hint="default" w:ascii="宋体" w:hAnsi="宋体" w:eastAsia="Times New Roman" w:cs="Times New Roman"/>
                <w:color w:val="auto"/>
                <w:kern w:val="0"/>
                <w:szCs w:val="21"/>
                <w:highlight w:val="none"/>
              </w:rPr>
              <w:t>是否允许递交</w:t>
            </w:r>
          </w:p>
          <w:p w14:paraId="30C17A7B">
            <w:pPr>
              <w:keepNext w:val="0"/>
              <w:keepLines w:val="0"/>
              <w:suppressLineNumbers w:val="0"/>
              <w:snapToGrid w:val="0"/>
              <w:spacing w:before="0" w:beforeAutospacing="0" w:after="93" w:afterLines="30" w:afterAutospacing="0" w:line="400" w:lineRule="exact"/>
              <w:ind w:left="0" w:right="0"/>
              <w:jc w:val="center"/>
              <w:rPr>
                <w:rFonts w:hint="eastAsia" w:ascii="宋体" w:hAnsi="宋体" w:eastAsia="宋体" w:cs="宋体"/>
                <w:color w:val="auto"/>
                <w:kern w:val="0"/>
                <w:szCs w:val="21"/>
                <w:highlight w:val="none"/>
              </w:rPr>
            </w:pPr>
            <w:r>
              <w:rPr>
                <w:rFonts w:hint="default" w:ascii="宋体" w:hAnsi="宋体" w:eastAsia="Times New Roman" w:cs="Times New Roman"/>
                <w:color w:val="auto"/>
                <w:kern w:val="0"/>
                <w:szCs w:val="21"/>
                <w:highlight w:val="none"/>
              </w:rPr>
              <w:t>备选投标方案</w:t>
            </w:r>
          </w:p>
        </w:tc>
        <w:tc>
          <w:tcPr>
            <w:tcW w:w="6884" w:type="dxa"/>
            <w:tcBorders>
              <w:top w:val="single" w:color="auto" w:sz="4" w:space="0"/>
              <w:left w:val="single" w:color="auto" w:sz="4" w:space="0"/>
              <w:bottom w:val="single" w:color="auto" w:sz="4" w:space="0"/>
              <w:right w:val="single" w:color="auto" w:sz="4" w:space="0"/>
            </w:tcBorders>
            <w:noWrap w:val="0"/>
            <w:vAlign w:val="center"/>
          </w:tcPr>
          <w:p w14:paraId="06D40D79">
            <w:pPr>
              <w:keepNext w:val="0"/>
              <w:keepLines w:val="0"/>
              <w:suppressLineNumbers w:val="0"/>
              <w:snapToGrid w:val="0"/>
              <w:spacing w:before="0" w:beforeAutospacing="0" w:after="0" w:afterAutospacing="0" w:line="400" w:lineRule="exact"/>
              <w:ind w:left="0" w:right="0" w:firstLine="420" w:firstLineChars="200"/>
              <w:rPr>
                <w:rFonts w:hint="eastAsia" w:ascii="宋体" w:hAnsi="宋体" w:eastAsia="宋体" w:cs="宋体"/>
                <w:color w:val="auto"/>
                <w:kern w:val="0"/>
                <w:szCs w:val="21"/>
                <w:highlight w:val="none"/>
                <w:u w:val="single"/>
              </w:rPr>
            </w:pPr>
            <w:r>
              <w:rPr>
                <w:rFonts w:hint="default" w:ascii="宋体" w:hAnsi="宋体" w:eastAsia="Times New Roman" w:cs="Times New Roman"/>
                <w:color w:val="auto"/>
                <w:kern w:val="0"/>
                <w:szCs w:val="21"/>
                <w:highlight w:val="none"/>
              </w:rPr>
              <w:t>不允许</w:t>
            </w:r>
          </w:p>
        </w:tc>
      </w:tr>
      <w:tr w14:paraId="53FE4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53" w:type="dxa"/>
            <w:tcBorders>
              <w:top w:val="single" w:color="auto" w:sz="4" w:space="0"/>
              <w:left w:val="single" w:color="auto" w:sz="4" w:space="0"/>
              <w:bottom w:val="single" w:color="auto" w:sz="4" w:space="0"/>
              <w:right w:val="single" w:color="auto" w:sz="4" w:space="0"/>
            </w:tcBorders>
            <w:noWrap w:val="0"/>
            <w:vAlign w:val="center"/>
          </w:tcPr>
          <w:p w14:paraId="54F7782A">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Times New Roman" w:cs="Times New Roman"/>
                <w:color w:val="auto"/>
                <w:kern w:val="0"/>
                <w:szCs w:val="21"/>
                <w:highlight w:val="none"/>
              </w:rPr>
              <w:t>3.7.1</w:t>
            </w:r>
          </w:p>
        </w:tc>
        <w:tc>
          <w:tcPr>
            <w:tcW w:w="1714" w:type="dxa"/>
            <w:gridSpan w:val="2"/>
            <w:tcBorders>
              <w:top w:val="single" w:color="auto" w:sz="4" w:space="0"/>
              <w:left w:val="single" w:color="auto" w:sz="4" w:space="0"/>
              <w:bottom w:val="single" w:color="auto" w:sz="4" w:space="0"/>
              <w:right w:val="single" w:color="auto" w:sz="4" w:space="0"/>
            </w:tcBorders>
            <w:noWrap w:val="0"/>
            <w:vAlign w:val="center"/>
          </w:tcPr>
          <w:p w14:paraId="269272D9">
            <w:pPr>
              <w:keepNext w:val="0"/>
              <w:keepLines w:val="0"/>
              <w:suppressLineNumbers w:val="0"/>
              <w:snapToGrid w:val="0"/>
              <w:spacing w:before="0" w:beforeAutospacing="0" w:after="93" w:afterLines="3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Times New Roman" w:cs="Times New Roman"/>
                <w:color w:val="auto"/>
                <w:kern w:val="0"/>
                <w:szCs w:val="21"/>
                <w:highlight w:val="none"/>
              </w:rPr>
              <w:t>比选申请文件格式要求</w:t>
            </w:r>
          </w:p>
        </w:tc>
        <w:tc>
          <w:tcPr>
            <w:tcW w:w="6884" w:type="dxa"/>
            <w:tcBorders>
              <w:top w:val="single" w:color="auto" w:sz="4" w:space="0"/>
              <w:left w:val="single" w:color="auto" w:sz="4" w:space="0"/>
              <w:bottom w:val="single" w:color="auto" w:sz="4" w:space="0"/>
              <w:right w:val="single" w:color="auto" w:sz="4" w:space="0"/>
            </w:tcBorders>
            <w:noWrap w:val="0"/>
            <w:vAlign w:val="center"/>
          </w:tcPr>
          <w:p w14:paraId="157C30F9">
            <w:pPr>
              <w:keepNext w:val="0"/>
              <w:keepLines w:val="0"/>
              <w:suppressLineNumbers w:val="0"/>
              <w:snapToGrid w:val="0"/>
              <w:spacing w:before="0" w:beforeAutospacing="0" w:after="0" w:afterAutospacing="0" w:line="400" w:lineRule="exact"/>
              <w:ind w:left="0" w:right="0" w:firstLine="420" w:firstLineChars="200"/>
              <w:rPr>
                <w:rFonts w:hint="eastAsia" w:ascii="宋体" w:hAnsi="宋体" w:eastAsia="宋体" w:cs="宋体"/>
                <w:color w:val="auto"/>
                <w:kern w:val="0"/>
                <w:szCs w:val="21"/>
                <w:highlight w:val="none"/>
                <w:u w:val="single"/>
              </w:rPr>
            </w:pPr>
            <w:r>
              <w:rPr>
                <w:rFonts w:hint="eastAsia" w:ascii="宋体" w:hAnsi="宋体" w:eastAsia="Times New Roman" w:cs="Times New Roman"/>
                <w:color w:val="auto"/>
                <w:kern w:val="0"/>
                <w:szCs w:val="21"/>
                <w:highlight w:val="none"/>
              </w:rPr>
              <w:t>编制比选申请文件时不得对第八章“比选申请文件格式”的相应要素作实质性修改，否则由评标委员会作否决投标处理。</w:t>
            </w:r>
          </w:p>
        </w:tc>
      </w:tr>
      <w:tr w14:paraId="2CB6D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953" w:type="dxa"/>
            <w:tcBorders>
              <w:top w:val="single" w:color="auto" w:sz="4" w:space="0"/>
              <w:left w:val="single" w:color="auto" w:sz="4" w:space="0"/>
              <w:bottom w:val="single" w:color="auto" w:sz="4" w:space="0"/>
              <w:right w:val="single" w:color="auto" w:sz="4" w:space="0"/>
            </w:tcBorders>
            <w:noWrap w:val="0"/>
            <w:vAlign w:val="center"/>
          </w:tcPr>
          <w:p w14:paraId="19772F2E">
            <w:pPr>
              <w:keepNext w:val="0"/>
              <w:keepLines w:val="0"/>
              <w:suppressLineNumbers w:val="0"/>
              <w:autoSpaceDE w:val="0"/>
              <w:autoSpaceDN w:val="0"/>
              <w:adjustRightInd w:val="0"/>
              <w:spacing w:before="0" w:beforeAutospacing="0" w:after="0" w:afterAutospacing="0" w:line="360" w:lineRule="auto"/>
              <w:ind w:left="0"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3.7.1</w:t>
            </w:r>
          </w:p>
        </w:tc>
        <w:tc>
          <w:tcPr>
            <w:tcW w:w="1714" w:type="dxa"/>
            <w:gridSpan w:val="2"/>
            <w:tcBorders>
              <w:top w:val="single" w:color="auto" w:sz="4" w:space="0"/>
              <w:left w:val="single" w:color="auto" w:sz="4" w:space="0"/>
              <w:bottom w:val="single" w:color="auto" w:sz="4" w:space="0"/>
              <w:right w:val="single" w:color="auto" w:sz="4" w:space="0"/>
            </w:tcBorders>
            <w:noWrap w:val="0"/>
            <w:vAlign w:val="center"/>
          </w:tcPr>
          <w:p w14:paraId="071B37A5">
            <w:pPr>
              <w:keepNext w:val="0"/>
              <w:keepLines w:val="0"/>
              <w:suppressLineNumbers w:val="0"/>
              <w:autoSpaceDE w:val="0"/>
              <w:autoSpaceDN w:val="0"/>
              <w:adjustRightInd w:val="0"/>
              <w:spacing w:before="73" w:beforeAutospacing="0" w:after="0" w:afterAutospacing="0" w:line="360" w:lineRule="auto"/>
              <w:ind w:left="0"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签字或盖章要求</w:t>
            </w:r>
          </w:p>
        </w:tc>
        <w:tc>
          <w:tcPr>
            <w:tcW w:w="6884" w:type="dxa"/>
            <w:tcBorders>
              <w:top w:val="single" w:color="auto" w:sz="4" w:space="0"/>
              <w:left w:val="single" w:color="auto" w:sz="4" w:space="0"/>
              <w:bottom w:val="single" w:color="auto" w:sz="4" w:space="0"/>
              <w:right w:val="single" w:color="auto" w:sz="4" w:space="0"/>
            </w:tcBorders>
            <w:noWrap w:val="0"/>
            <w:vAlign w:val="center"/>
          </w:tcPr>
          <w:p w14:paraId="671B2D5F">
            <w:pPr>
              <w:keepNext w:val="0"/>
              <w:keepLines w:val="0"/>
              <w:suppressLineNumbers w:val="0"/>
              <w:snapToGrid w:val="0"/>
              <w:spacing w:before="0" w:beforeAutospacing="0" w:after="0" w:afterAutospacing="0" w:line="360" w:lineRule="auto"/>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比选申请文件应用不褪色的材料书写或打印，并由比选申请人的法定代表人或其委托代理人在比选文件规定的位置按比选文件要求签名或盖章、盖单位法人章。委托代理人签名的，比选申请文件应附法定代表人签署的授权委托书。比选申请文件应尽量避免涂改、行间插字或删除。如果出现上述情况，改动之处应加盖单位法人章或由比选申请人的法定代表人或其授权的代理人签名确认。</w:t>
            </w:r>
          </w:p>
          <w:p w14:paraId="244D4779">
            <w:pPr>
              <w:keepNext w:val="0"/>
              <w:keepLines w:val="0"/>
              <w:suppressLineNumbers w:val="0"/>
              <w:snapToGrid w:val="0"/>
              <w:spacing w:before="0" w:beforeAutospacing="0" w:after="0" w:afterAutospacing="0" w:line="360" w:lineRule="auto"/>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未按上述规定执行的，交由评标委员会作否决投标处理。</w:t>
            </w:r>
          </w:p>
        </w:tc>
      </w:tr>
      <w:tr w14:paraId="6E979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tcBorders>
              <w:top w:val="single" w:color="auto" w:sz="4" w:space="0"/>
              <w:left w:val="single" w:color="auto" w:sz="4" w:space="0"/>
              <w:bottom w:val="single" w:color="auto" w:sz="4" w:space="0"/>
              <w:right w:val="single" w:color="auto" w:sz="4" w:space="0"/>
            </w:tcBorders>
            <w:noWrap w:val="0"/>
            <w:vAlign w:val="center"/>
          </w:tcPr>
          <w:p w14:paraId="232D8134">
            <w:pPr>
              <w:keepNext w:val="0"/>
              <w:keepLines w:val="0"/>
              <w:suppressLineNumbers w:val="0"/>
              <w:autoSpaceDE w:val="0"/>
              <w:autoSpaceDN w:val="0"/>
              <w:adjustRightInd w:val="0"/>
              <w:spacing w:before="0" w:beforeAutospacing="0" w:after="0" w:afterAutospacing="0" w:line="360" w:lineRule="auto"/>
              <w:ind w:left="0"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3.7.2</w:t>
            </w:r>
          </w:p>
        </w:tc>
        <w:tc>
          <w:tcPr>
            <w:tcW w:w="1714" w:type="dxa"/>
            <w:gridSpan w:val="2"/>
            <w:tcBorders>
              <w:top w:val="single" w:color="auto" w:sz="4" w:space="0"/>
              <w:left w:val="single" w:color="auto" w:sz="4" w:space="0"/>
              <w:bottom w:val="single" w:color="auto" w:sz="4" w:space="0"/>
              <w:right w:val="single" w:color="auto" w:sz="4" w:space="0"/>
            </w:tcBorders>
            <w:noWrap w:val="0"/>
            <w:vAlign w:val="center"/>
          </w:tcPr>
          <w:p w14:paraId="50EB4776">
            <w:pPr>
              <w:keepNext w:val="0"/>
              <w:keepLines w:val="0"/>
              <w:suppressLineNumbers w:val="0"/>
              <w:autoSpaceDE w:val="0"/>
              <w:autoSpaceDN w:val="0"/>
              <w:adjustRightInd w:val="0"/>
              <w:spacing w:before="0" w:beforeAutospacing="0" w:after="0" w:afterAutospacing="0" w:line="360" w:lineRule="auto"/>
              <w:ind w:left="0"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比选申请文件份数</w:t>
            </w:r>
          </w:p>
        </w:tc>
        <w:tc>
          <w:tcPr>
            <w:tcW w:w="6884" w:type="dxa"/>
            <w:tcBorders>
              <w:top w:val="single" w:color="auto" w:sz="4" w:space="0"/>
              <w:left w:val="single" w:color="auto" w:sz="4" w:space="0"/>
              <w:bottom w:val="single" w:color="auto" w:sz="4" w:space="0"/>
              <w:right w:val="single" w:color="auto" w:sz="4" w:space="0"/>
            </w:tcBorders>
            <w:noWrap w:val="0"/>
            <w:vAlign w:val="center"/>
          </w:tcPr>
          <w:p w14:paraId="1AAA6A58">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比选申请文件正本1份、副本</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份，电子版形式（U盘）</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rPr>
              <w:t>份</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当副本和正本不一致时，以正本为准。否则由评标委员会作否决投标处理。</w:t>
            </w:r>
          </w:p>
          <w:p w14:paraId="33FB07C8">
            <w:pPr>
              <w:pStyle w:val="35"/>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电子版形式（U盘）中的经济部分：应包含经济部分全部excel格式预算表格，工程量清单综合单价分析表无须装订。</w:t>
            </w:r>
          </w:p>
        </w:tc>
      </w:tr>
      <w:tr w14:paraId="65652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953" w:type="dxa"/>
            <w:tcBorders>
              <w:top w:val="single" w:color="auto" w:sz="4" w:space="0"/>
              <w:left w:val="single" w:color="auto" w:sz="4" w:space="0"/>
              <w:bottom w:val="single" w:color="auto" w:sz="4" w:space="0"/>
              <w:right w:val="single" w:color="auto" w:sz="4" w:space="0"/>
            </w:tcBorders>
            <w:noWrap w:val="0"/>
            <w:vAlign w:val="center"/>
          </w:tcPr>
          <w:p w14:paraId="63760B33">
            <w:pPr>
              <w:keepNext w:val="0"/>
              <w:keepLines w:val="0"/>
              <w:suppressLineNumbers w:val="0"/>
              <w:autoSpaceDE w:val="0"/>
              <w:autoSpaceDN w:val="0"/>
              <w:adjustRightInd w:val="0"/>
              <w:spacing w:before="0" w:beforeAutospacing="0" w:after="0" w:afterAutospacing="0" w:line="360" w:lineRule="auto"/>
              <w:ind w:left="0"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3.7.5</w:t>
            </w:r>
          </w:p>
        </w:tc>
        <w:tc>
          <w:tcPr>
            <w:tcW w:w="1714" w:type="dxa"/>
            <w:gridSpan w:val="2"/>
            <w:tcBorders>
              <w:top w:val="single" w:color="auto" w:sz="4" w:space="0"/>
              <w:left w:val="single" w:color="auto" w:sz="4" w:space="0"/>
              <w:bottom w:val="single" w:color="auto" w:sz="4" w:space="0"/>
              <w:right w:val="single" w:color="auto" w:sz="4" w:space="0"/>
            </w:tcBorders>
            <w:noWrap w:val="0"/>
            <w:vAlign w:val="center"/>
          </w:tcPr>
          <w:p w14:paraId="7830CA20">
            <w:pPr>
              <w:keepNext w:val="0"/>
              <w:keepLines w:val="0"/>
              <w:suppressLineNumbers w:val="0"/>
              <w:autoSpaceDE w:val="0"/>
              <w:autoSpaceDN w:val="0"/>
              <w:adjustRightInd w:val="0"/>
              <w:spacing w:before="73" w:beforeAutospacing="0" w:after="0" w:afterAutospacing="0" w:line="360" w:lineRule="auto"/>
              <w:ind w:left="0" w:right="-12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装订要求</w:t>
            </w:r>
          </w:p>
        </w:tc>
        <w:tc>
          <w:tcPr>
            <w:tcW w:w="6884" w:type="dxa"/>
            <w:tcBorders>
              <w:top w:val="single" w:color="auto" w:sz="4" w:space="0"/>
              <w:left w:val="single" w:color="auto" w:sz="4" w:space="0"/>
              <w:bottom w:val="single" w:color="auto" w:sz="4" w:space="0"/>
              <w:right w:val="single" w:color="auto" w:sz="4" w:space="0"/>
            </w:tcBorders>
            <w:noWrap w:val="0"/>
            <w:vAlign w:val="center"/>
          </w:tcPr>
          <w:p w14:paraId="0EC11EED">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1、本工程采用</w:t>
            </w:r>
            <w:r>
              <w:rPr>
                <w:rFonts w:hint="eastAsia" w:ascii="宋体" w:hAnsi="宋体" w:eastAsia="宋体" w:cs="宋体"/>
                <w:color w:val="auto"/>
                <w:szCs w:val="21"/>
                <w:highlight w:val="none"/>
                <w:lang w:val="en-US" w:eastAsia="zh-CN"/>
              </w:rPr>
              <w:t>明</w:t>
            </w:r>
            <w:r>
              <w:rPr>
                <w:rFonts w:hint="eastAsia" w:ascii="宋体" w:hAnsi="宋体" w:eastAsia="宋体" w:cs="宋体"/>
                <w:color w:val="auto"/>
                <w:szCs w:val="21"/>
                <w:highlight w:val="none"/>
              </w:rPr>
              <w:t>标评审，应将比选申请函部分、经济部分、资格审查部分各自分别装订成册。</w:t>
            </w:r>
          </w:p>
          <w:p w14:paraId="5B1E43CB">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2、装订</w:t>
            </w:r>
          </w:p>
          <w:p w14:paraId="5B99DCE9">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（1）比选申请函部分的装订要求</w:t>
            </w:r>
          </w:p>
          <w:p w14:paraId="68FB9278">
            <w:pPr>
              <w:keepNext w:val="0"/>
              <w:keepLines w:val="0"/>
              <w:suppressLineNumbers w:val="0"/>
              <w:adjustRightInd w:val="0"/>
              <w:snapToGrid w:val="0"/>
              <w:spacing w:before="0" w:beforeAutospacing="0" w:after="0" w:afterAutospacing="0" w:line="360" w:lineRule="auto"/>
              <w:ind w:left="0" w:right="0"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应按照第八章规定格式装订成册，并应编制目录。</w:t>
            </w:r>
          </w:p>
          <w:p w14:paraId="6ADFA341">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（2）经济部分的装订要求</w:t>
            </w:r>
          </w:p>
          <w:p w14:paraId="2A2B02B6">
            <w:pPr>
              <w:keepNext w:val="0"/>
              <w:keepLines w:val="0"/>
              <w:suppressLineNumbers w:val="0"/>
              <w:adjustRightInd w:val="0"/>
              <w:snapToGrid w:val="0"/>
              <w:spacing w:before="0" w:beforeAutospacing="0" w:after="0" w:afterAutospacing="0" w:line="360" w:lineRule="auto"/>
              <w:ind w:left="0" w:right="0"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应按照第八章规定格式装订成册。</w:t>
            </w:r>
          </w:p>
          <w:p w14:paraId="096648E0">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kern w:val="0"/>
                <w:szCs w:val="21"/>
                <w:highlight w:val="none"/>
              </w:rPr>
              <w:t>资格审查资料的装订要求</w:t>
            </w:r>
          </w:p>
          <w:p w14:paraId="2BB5AE4C">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应按照第八章规定格式装订成册，并应编制目录。</w:t>
            </w:r>
          </w:p>
        </w:tc>
      </w:tr>
      <w:tr w14:paraId="21105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53" w:type="dxa"/>
            <w:tcBorders>
              <w:top w:val="single" w:color="auto" w:sz="4" w:space="0"/>
              <w:left w:val="single" w:color="auto" w:sz="4" w:space="0"/>
              <w:bottom w:val="single" w:color="auto" w:sz="4" w:space="0"/>
              <w:right w:val="single" w:color="auto" w:sz="4" w:space="0"/>
            </w:tcBorders>
            <w:noWrap w:val="0"/>
            <w:vAlign w:val="center"/>
          </w:tcPr>
          <w:p w14:paraId="3652D0D9">
            <w:pPr>
              <w:keepNext w:val="0"/>
              <w:keepLines w:val="0"/>
              <w:suppressLineNumbers w:val="0"/>
              <w:autoSpaceDE w:val="0"/>
              <w:autoSpaceDN w:val="0"/>
              <w:adjustRightInd w:val="0"/>
              <w:spacing w:before="0" w:beforeAutospacing="0" w:after="0" w:afterAutospacing="0" w:line="360" w:lineRule="auto"/>
              <w:ind w:left="0"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4.1.1</w:t>
            </w:r>
          </w:p>
        </w:tc>
        <w:tc>
          <w:tcPr>
            <w:tcW w:w="1714" w:type="dxa"/>
            <w:gridSpan w:val="2"/>
            <w:tcBorders>
              <w:top w:val="single" w:color="auto" w:sz="4" w:space="0"/>
              <w:left w:val="single" w:color="auto" w:sz="4" w:space="0"/>
              <w:bottom w:val="single" w:color="auto" w:sz="4" w:space="0"/>
              <w:right w:val="single" w:color="auto" w:sz="4" w:space="0"/>
            </w:tcBorders>
            <w:noWrap w:val="0"/>
            <w:vAlign w:val="center"/>
          </w:tcPr>
          <w:p w14:paraId="67FB02CB">
            <w:pPr>
              <w:keepNext w:val="0"/>
              <w:keepLines w:val="0"/>
              <w:suppressLineNumbers w:val="0"/>
              <w:autoSpaceDE w:val="0"/>
              <w:autoSpaceDN w:val="0"/>
              <w:adjustRightInd w:val="0"/>
              <w:spacing w:before="0" w:beforeAutospacing="0" w:after="0" w:afterAutospacing="0" w:line="360" w:lineRule="auto"/>
              <w:ind w:left="0"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比选申请文件的密封</w:t>
            </w:r>
          </w:p>
        </w:tc>
        <w:tc>
          <w:tcPr>
            <w:tcW w:w="6884" w:type="dxa"/>
            <w:tcBorders>
              <w:top w:val="single" w:color="auto" w:sz="4" w:space="0"/>
              <w:left w:val="single" w:color="auto" w:sz="4" w:space="0"/>
              <w:bottom w:val="single" w:color="auto" w:sz="4" w:space="0"/>
              <w:right w:val="single" w:color="auto" w:sz="4" w:space="0"/>
            </w:tcBorders>
            <w:noWrap w:val="0"/>
            <w:vAlign w:val="center"/>
          </w:tcPr>
          <w:p w14:paraId="34649C6C">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比选申请文件袋使用“比选申请函部分”袋、“经济部分”袋、“资格审查部分”袋以及“比选申请文件”大袋。</w:t>
            </w:r>
          </w:p>
          <w:p w14:paraId="2F2F21CC">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比选申请函部分和电子版形式（U盘）装入“比选申请函部分”袋中，密封并在袋上加盖比选申请人单位法人章。</w:t>
            </w:r>
          </w:p>
          <w:p w14:paraId="0473B491">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3.经济部分装入“经济部分”袋中，密封并在袋上加盖比选申请人单位法人章。</w:t>
            </w:r>
          </w:p>
          <w:p w14:paraId="6874DD4A">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资格审查部分装入“资格审查部分”袋中，密封并在袋上加盖比选申请人单位法人章。</w:t>
            </w:r>
          </w:p>
          <w:p w14:paraId="795B2BB4">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 “比选申请函部分”、“经济部分”、“资格审查部分”等小袋装入“比选申请文件”大袋中，密封并在大袋上加盖比选申请人单位法人章，同时“比选申请文件”大袋应按本表第4.1.2项的规定写明相应内容。一个大袋装不下的，可使用多个大袋分册封装。大袋未按要求密封的，比选人或代理机构应该拒收。</w:t>
            </w:r>
          </w:p>
          <w:p w14:paraId="27AB164F">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注：“比选申请函部分”袋、“经济部分”袋、“资格审查部分”袋只为方便比选申请文件分装，不作为判定密封合格与否的条件。但为了方便开标，请各比选申请人主动配合，按要求分装。</w:t>
            </w:r>
          </w:p>
        </w:tc>
      </w:tr>
      <w:tr w14:paraId="0ACD2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53" w:type="dxa"/>
            <w:tcBorders>
              <w:top w:val="single" w:color="auto" w:sz="4" w:space="0"/>
              <w:left w:val="single" w:color="auto" w:sz="4" w:space="0"/>
              <w:bottom w:val="single" w:color="auto" w:sz="4" w:space="0"/>
              <w:right w:val="single" w:color="auto" w:sz="4" w:space="0"/>
            </w:tcBorders>
            <w:noWrap w:val="0"/>
            <w:vAlign w:val="center"/>
          </w:tcPr>
          <w:p w14:paraId="3FB8EEE0">
            <w:pPr>
              <w:keepNext w:val="0"/>
              <w:keepLines w:val="0"/>
              <w:suppressLineNumbers w:val="0"/>
              <w:autoSpaceDE w:val="0"/>
              <w:autoSpaceDN w:val="0"/>
              <w:adjustRightInd w:val="0"/>
              <w:spacing w:before="0" w:beforeAutospacing="0" w:after="0" w:afterAutospacing="0" w:line="360" w:lineRule="auto"/>
              <w:ind w:left="0"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4.1.2</w:t>
            </w:r>
          </w:p>
        </w:tc>
        <w:tc>
          <w:tcPr>
            <w:tcW w:w="1714" w:type="dxa"/>
            <w:gridSpan w:val="2"/>
            <w:tcBorders>
              <w:top w:val="single" w:color="auto" w:sz="4" w:space="0"/>
              <w:left w:val="single" w:color="auto" w:sz="4" w:space="0"/>
              <w:bottom w:val="single" w:color="auto" w:sz="4" w:space="0"/>
              <w:right w:val="single" w:color="auto" w:sz="4" w:space="0"/>
            </w:tcBorders>
            <w:noWrap w:val="0"/>
            <w:vAlign w:val="center"/>
          </w:tcPr>
          <w:p w14:paraId="34AA1A44">
            <w:pPr>
              <w:keepNext w:val="0"/>
              <w:keepLines w:val="0"/>
              <w:suppressLineNumbers w:val="0"/>
              <w:autoSpaceDE w:val="0"/>
              <w:autoSpaceDN w:val="0"/>
              <w:adjustRightInd w:val="0"/>
              <w:spacing w:before="0" w:beforeAutospacing="0" w:after="0" w:afterAutospacing="0" w:line="360" w:lineRule="auto"/>
              <w:ind w:left="0" w:right="-12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封套上写明</w:t>
            </w:r>
          </w:p>
        </w:tc>
        <w:tc>
          <w:tcPr>
            <w:tcW w:w="6884" w:type="dxa"/>
            <w:tcBorders>
              <w:top w:val="single" w:color="auto" w:sz="4" w:space="0"/>
              <w:left w:val="single" w:color="auto" w:sz="4" w:space="0"/>
              <w:bottom w:val="single" w:color="auto" w:sz="4" w:space="0"/>
              <w:right w:val="single" w:color="auto" w:sz="4" w:space="0"/>
            </w:tcBorders>
            <w:noWrap w:val="0"/>
            <w:vAlign w:val="center"/>
          </w:tcPr>
          <w:p w14:paraId="0BA084E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应在“比选申请文件” 袋封套上写明：</w:t>
            </w:r>
          </w:p>
          <w:p w14:paraId="03A5401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rPr>
              <w:t>比选申请人的地址：</w:t>
            </w:r>
            <w:r>
              <w:rPr>
                <w:rFonts w:hint="eastAsia" w:ascii="宋体" w:hAnsi="宋体" w:eastAsia="宋体" w:cs="宋体"/>
                <w:color w:val="auto"/>
                <w:szCs w:val="21"/>
                <w:highlight w:val="none"/>
                <w:u w:val="single"/>
                <w:lang w:val="en-US" w:eastAsia="zh-CN"/>
              </w:rPr>
              <w:t xml:space="preserve">                            </w:t>
            </w:r>
          </w:p>
          <w:p w14:paraId="1A40395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比选申请人名称：</w:t>
            </w:r>
          </w:p>
          <w:p w14:paraId="1F3D7FDE">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标段）</w:t>
            </w:r>
            <w:r>
              <w:rPr>
                <w:rFonts w:hint="eastAsia" w:ascii="宋体" w:hAnsi="宋体" w:eastAsia="宋体" w:cs="宋体"/>
                <w:color w:val="auto"/>
                <w:szCs w:val="21"/>
                <w:highlight w:val="none"/>
              </w:rPr>
              <w:t>比选申请文件</w:t>
            </w:r>
          </w:p>
          <w:p w14:paraId="77F7050D">
            <w:pPr>
              <w:keepNext w:val="0"/>
              <w:keepLines w:val="0"/>
              <w:suppressLineNumbers w:val="0"/>
              <w:autoSpaceDE w:val="0"/>
              <w:autoSpaceDN w:val="0"/>
              <w:adjustRightInd w:val="0"/>
              <w:spacing w:before="0" w:beforeAutospacing="0" w:after="0" w:afterAutospacing="0" w:line="360" w:lineRule="auto"/>
              <w:ind w:left="0" w:right="-127" w:firstLine="105" w:firstLineChars="5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分前不得开启</w:t>
            </w:r>
          </w:p>
        </w:tc>
      </w:tr>
      <w:tr w14:paraId="12196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tcBorders>
              <w:top w:val="single" w:color="auto" w:sz="4" w:space="0"/>
              <w:left w:val="single" w:color="auto" w:sz="4" w:space="0"/>
              <w:bottom w:val="single" w:color="auto" w:sz="4" w:space="0"/>
              <w:right w:val="single" w:color="auto" w:sz="4" w:space="0"/>
            </w:tcBorders>
            <w:noWrap w:val="0"/>
            <w:vAlign w:val="center"/>
          </w:tcPr>
          <w:p w14:paraId="5DDDAD7D">
            <w:pPr>
              <w:keepNext w:val="0"/>
              <w:keepLines w:val="0"/>
              <w:suppressLineNumbers w:val="0"/>
              <w:autoSpaceDE w:val="0"/>
              <w:autoSpaceDN w:val="0"/>
              <w:adjustRightInd w:val="0"/>
              <w:spacing w:before="0" w:beforeAutospacing="0" w:after="0" w:afterAutospacing="0" w:line="360" w:lineRule="auto"/>
              <w:ind w:left="0"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4.2.2</w:t>
            </w:r>
          </w:p>
        </w:tc>
        <w:tc>
          <w:tcPr>
            <w:tcW w:w="1714" w:type="dxa"/>
            <w:gridSpan w:val="2"/>
            <w:tcBorders>
              <w:top w:val="single" w:color="auto" w:sz="4" w:space="0"/>
              <w:left w:val="single" w:color="auto" w:sz="4" w:space="0"/>
              <w:bottom w:val="single" w:color="auto" w:sz="4" w:space="0"/>
              <w:right w:val="single" w:color="auto" w:sz="4" w:space="0"/>
            </w:tcBorders>
            <w:noWrap w:val="0"/>
            <w:vAlign w:val="center"/>
          </w:tcPr>
          <w:p w14:paraId="38027B17">
            <w:pPr>
              <w:keepNext w:val="0"/>
              <w:keepLines w:val="0"/>
              <w:suppressLineNumbers w:val="0"/>
              <w:autoSpaceDE w:val="0"/>
              <w:autoSpaceDN w:val="0"/>
              <w:adjustRightInd w:val="0"/>
              <w:spacing w:before="73" w:beforeAutospacing="0" w:after="0" w:afterAutospacing="0" w:line="360" w:lineRule="auto"/>
              <w:ind w:left="0"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递交比选申请文件地点</w:t>
            </w:r>
          </w:p>
        </w:tc>
        <w:tc>
          <w:tcPr>
            <w:tcW w:w="6884" w:type="dxa"/>
            <w:tcBorders>
              <w:top w:val="single" w:color="auto" w:sz="4" w:space="0"/>
              <w:left w:val="single" w:color="auto" w:sz="4" w:space="0"/>
              <w:bottom w:val="single" w:color="auto" w:sz="4" w:space="0"/>
              <w:right w:val="single" w:color="auto" w:sz="4" w:space="0"/>
            </w:tcBorders>
            <w:noWrap w:val="0"/>
            <w:vAlign w:val="center"/>
          </w:tcPr>
          <w:p w14:paraId="25FAB9C4">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Cs w:val="21"/>
                <w:highlight w:val="none"/>
              </w:rPr>
            </w:pPr>
            <w:r>
              <w:rPr>
                <w:rFonts w:hint="eastAsia" w:ascii="宋体" w:hAnsi="宋体" w:eastAsia="宋体" w:cs="宋体"/>
                <w:snapToGrid w:val="0"/>
                <w:color w:val="auto"/>
                <w:kern w:val="0"/>
                <w:szCs w:val="21"/>
                <w:highlight w:val="none"/>
              </w:rPr>
              <w:t>重庆市垫江县桂阳街道桂西大道南二段2号财富大厦</w:t>
            </w:r>
            <w:r>
              <w:rPr>
                <w:rFonts w:hint="eastAsia" w:ascii="宋体" w:hAnsi="宋体" w:cs="宋体"/>
                <w:snapToGrid w:val="0"/>
                <w:color w:val="auto"/>
                <w:kern w:val="0"/>
                <w:szCs w:val="21"/>
                <w:highlight w:val="none"/>
                <w:lang w:val="en-US" w:eastAsia="zh-CN"/>
              </w:rPr>
              <w:t>1508</w:t>
            </w:r>
            <w:r>
              <w:rPr>
                <w:rFonts w:hint="eastAsia" w:ascii="宋体" w:hAnsi="宋体" w:eastAsia="宋体" w:cs="宋体"/>
                <w:snapToGrid w:val="0"/>
                <w:color w:val="auto"/>
                <w:kern w:val="0"/>
                <w:szCs w:val="21"/>
                <w:highlight w:val="none"/>
              </w:rPr>
              <w:t>会议室。</w:t>
            </w:r>
          </w:p>
        </w:tc>
      </w:tr>
      <w:tr w14:paraId="6A03B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53" w:type="dxa"/>
            <w:tcBorders>
              <w:top w:val="single" w:color="auto" w:sz="4" w:space="0"/>
              <w:left w:val="single" w:color="auto" w:sz="4" w:space="0"/>
              <w:bottom w:val="single" w:color="auto" w:sz="4" w:space="0"/>
              <w:right w:val="single" w:color="auto" w:sz="4" w:space="0"/>
            </w:tcBorders>
            <w:noWrap w:val="0"/>
            <w:vAlign w:val="center"/>
          </w:tcPr>
          <w:p w14:paraId="4DD82C1A">
            <w:pPr>
              <w:keepNext w:val="0"/>
              <w:keepLines w:val="0"/>
              <w:suppressLineNumbers w:val="0"/>
              <w:autoSpaceDE w:val="0"/>
              <w:autoSpaceDN w:val="0"/>
              <w:adjustRightInd w:val="0"/>
              <w:spacing w:before="0" w:beforeAutospacing="0" w:after="0" w:afterAutospacing="0" w:line="360" w:lineRule="auto"/>
              <w:ind w:left="0"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4.2.3</w:t>
            </w:r>
          </w:p>
        </w:tc>
        <w:tc>
          <w:tcPr>
            <w:tcW w:w="1714" w:type="dxa"/>
            <w:gridSpan w:val="2"/>
            <w:tcBorders>
              <w:top w:val="single" w:color="auto" w:sz="4" w:space="0"/>
              <w:left w:val="single" w:color="auto" w:sz="4" w:space="0"/>
              <w:bottom w:val="single" w:color="auto" w:sz="4" w:space="0"/>
              <w:right w:val="single" w:color="auto" w:sz="4" w:space="0"/>
            </w:tcBorders>
            <w:noWrap w:val="0"/>
            <w:vAlign w:val="center"/>
          </w:tcPr>
          <w:p w14:paraId="177C5147">
            <w:pPr>
              <w:keepNext w:val="0"/>
              <w:keepLines w:val="0"/>
              <w:suppressLineNumbers w:val="0"/>
              <w:autoSpaceDE w:val="0"/>
              <w:autoSpaceDN w:val="0"/>
              <w:adjustRightInd w:val="0"/>
              <w:spacing w:before="0" w:beforeAutospacing="0" w:after="0" w:afterAutospacing="0" w:line="360" w:lineRule="auto"/>
              <w:ind w:left="0"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是否退还</w:t>
            </w:r>
          </w:p>
          <w:p w14:paraId="4C735D59">
            <w:pPr>
              <w:keepNext w:val="0"/>
              <w:keepLines w:val="0"/>
              <w:suppressLineNumbers w:val="0"/>
              <w:autoSpaceDE w:val="0"/>
              <w:autoSpaceDN w:val="0"/>
              <w:adjustRightInd w:val="0"/>
              <w:spacing w:before="0" w:beforeAutospacing="0" w:after="0" w:afterAutospacing="0" w:line="360" w:lineRule="auto"/>
              <w:ind w:left="0"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比选申请文件</w:t>
            </w:r>
          </w:p>
        </w:tc>
        <w:tc>
          <w:tcPr>
            <w:tcW w:w="6884" w:type="dxa"/>
            <w:tcBorders>
              <w:top w:val="single" w:color="auto" w:sz="4" w:space="0"/>
              <w:left w:val="single" w:color="auto" w:sz="4" w:space="0"/>
              <w:bottom w:val="single" w:color="auto" w:sz="4" w:space="0"/>
              <w:right w:val="single" w:color="auto" w:sz="4" w:space="0"/>
            </w:tcBorders>
            <w:noWrap w:val="0"/>
            <w:vAlign w:val="center"/>
          </w:tcPr>
          <w:p w14:paraId="3686A6E8">
            <w:pPr>
              <w:keepNext w:val="0"/>
              <w:keepLines w:val="0"/>
              <w:suppressLineNumbers w:val="0"/>
              <w:autoSpaceDE w:val="0"/>
              <w:autoSpaceDN w:val="0"/>
              <w:adjustRightInd w:val="0"/>
              <w:spacing w:before="0" w:beforeAutospacing="0" w:after="0" w:afterAutospacing="0" w:line="360" w:lineRule="auto"/>
              <w:ind w:left="0" w:right="-2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57531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953" w:type="dxa"/>
            <w:tcBorders>
              <w:top w:val="single" w:color="auto" w:sz="4" w:space="0"/>
              <w:left w:val="single" w:color="auto" w:sz="4" w:space="0"/>
              <w:bottom w:val="single" w:color="auto" w:sz="4" w:space="0"/>
              <w:right w:val="single" w:color="auto" w:sz="4" w:space="0"/>
            </w:tcBorders>
            <w:noWrap w:val="0"/>
            <w:vAlign w:val="center"/>
          </w:tcPr>
          <w:p w14:paraId="0F5E6BCF">
            <w:pPr>
              <w:keepNext w:val="0"/>
              <w:keepLines w:val="0"/>
              <w:suppressLineNumbers w:val="0"/>
              <w:autoSpaceDE w:val="0"/>
              <w:autoSpaceDN w:val="0"/>
              <w:adjustRightInd w:val="0"/>
              <w:spacing w:before="0" w:beforeAutospacing="0" w:after="0" w:afterAutospacing="0" w:line="360" w:lineRule="auto"/>
              <w:ind w:left="0"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5.1</w:t>
            </w:r>
          </w:p>
        </w:tc>
        <w:tc>
          <w:tcPr>
            <w:tcW w:w="1714" w:type="dxa"/>
            <w:gridSpan w:val="2"/>
            <w:tcBorders>
              <w:top w:val="single" w:color="auto" w:sz="4" w:space="0"/>
              <w:left w:val="single" w:color="auto" w:sz="4" w:space="0"/>
              <w:bottom w:val="single" w:color="auto" w:sz="4" w:space="0"/>
              <w:right w:val="single" w:color="auto" w:sz="4" w:space="0"/>
            </w:tcBorders>
            <w:noWrap w:val="0"/>
            <w:vAlign w:val="center"/>
          </w:tcPr>
          <w:p w14:paraId="70AD7C36">
            <w:pPr>
              <w:keepNext w:val="0"/>
              <w:keepLines w:val="0"/>
              <w:suppressLineNumbers w:val="0"/>
              <w:autoSpaceDE w:val="0"/>
              <w:autoSpaceDN w:val="0"/>
              <w:adjustRightInd w:val="0"/>
              <w:spacing w:before="0" w:beforeAutospacing="0" w:after="0" w:afterAutospacing="0" w:line="360" w:lineRule="auto"/>
              <w:ind w:left="0"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开标时间</w:t>
            </w:r>
          </w:p>
          <w:p w14:paraId="5EF89556">
            <w:pPr>
              <w:keepNext w:val="0"/>
              <w:keepLines w:val="0"/>
              <w:suppressLineNumbers w:val="0"/>
              <w:autoSpaceDE w:val="0"/>
              <w:autoSpaceDN w:val="0"/>
              <w:adjustRightInd w:val="0"/>
              <w:spacing w:before="0" w:beforeAutospacing="0" w:after="0" w:afterAutospacing="0" w:line="360" w:lineRule="auto"/>
              <w:ind w:left="0"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和地点</w:t>
            </w:r>
          </w:p>
        </w:tc>
        <w:tc>
          <w:tcPr>
            <w:tcW w:w="6884" w:type="dxa"/>
            <w:tcBorders>
              <w:top w:val="single" w:color="auto" w:sz="4" w:space="0"/>
              <w:left w:val="single" w:color="auto" w:sz="4" w:space="0"/>
              <w:bottom w:val="single" w:color="auto" w:sz="4" w:space="0"/>
              <w:right w:val="single" w:color="auto" w:sz="4" w:space="0"/>
            </w:tcBorders>
            <w:noWrap w:val="0"/>
            <w:vAlign w:val="center"/>
          </w:tcPr>
          <w:p w14:paraId="4B51456C">
            <w:pPr>
              <w:keepNext w:val="0"/>
              <w:keepLines w:val="0"/>
              <w:suppressLineNumbers w:val="0"/>
              <w:autoSpaceDE w:val="0"/>
              <w:autoSpaceDN w:val="0"/>
              <w:adjustRightInd w:val="0"/>
              <w:spacing w:before="0" w:beforeAutospacing="0" w:after="0" w:afterAutospacing="0" w:line="360" w:lineRule="auto"/>
              <w:ind w:left="0" w:right="-2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开标时间：202</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年</w:t>
            </w:r>
            <w:r>
              <w:rPr>
                <w:rFonts w:hint="eastAsia" w:ascii="宋体" w:hAnsi="宋体" w:cs="宋体"/>
                <w:color w:val="auto"/>
                <w:kern w:val="0"/>
                <w:szCs w:val="21"/>
                <w:highlight w:val="none"/>
                <w:u w:val="single"/>
                <w:lang w:val="en-US" w:eastAsia="zh-CN"/>
              </w:rPr>
              <w:t>7</w:t>
            </w:r>
            <w:r>
              <w:rPr>
                <w:rFonts w:hint="eastAsia" w:ascii="宋体" w:hAnsi="宋体" w:eastAsia="宋体" w:cs="宋体"/>
                <w:color w:val="auto"/>
                <w:kern w:val="0"/>
                <w:szCs w:val="21"/>
                <w:highlight w:val="none"/>
              </w:rPr>
              <w:t>月</w:t>
            </w:r>
            <w:r>
              <w:rPr>
                <w:rFonts w:hint="eastAsia" w:ascii="宋体" w:hAnsi="宋体" w:cs="宋体"/>
                <w:color w:val="auto"/>
                <w:kern w:val="0"/>
                <w:szCs w:val="21"/>
                <w:highlight w:val="none"/>
                <w:u w:val="single"/>
                <w:lang w:val="en-US" w:eastAsia="zh-CN"/>
              </w:rPr>
              <w:t>23</w:t>
            </w:r>
            <w:r>
              <w:rPr>
                <w:rFonts w:hint="eastAsia" w:ascii="宋体" w:hAnsi="宋体" w:eastAsia="宋体" w:cs="宋体"/>
                <w:color w:val="auto"/>
                <w:kern w:val="0"/>
                <w:szCs w:val="21"/>
                <w:highlight w:val="none"/>
              </w:rPr>
              <w:t>日</w:t>
            </w:r>
            <w:r>
              <w:rPr>
                <w:rFonts w:hint="eastAsia" w:ascii="宋体" w:hAnsi="宋体" w:cs="宋体"/>
                <w:color w:val="auto"/>
                <w:kern w:val="0"/>
                <w:szCs w:val="21"/>
                <w:highlight w:val="none"/>
                <w:u w:val="single"/>
                <w:lang w:val="en-US" w:eastAsia="zh-CN"/>
              </w:rPr>
              <w:t>14</w:t>
            </w:r>
            <w:r>
              <w:rPr>
                <w:rFonts w:hint="eastAsia" w:ascii="宋体" w:hAnsi="宋体" w:eastAsia="宋体" w:cs="宋体"/>
                <w:color w:val="auto"/>
                <w:kern w:val="0"/>
                <w:szCs w:val="21"/>
                <w:highlight w:val="none"/>
              </w:rPr>
              <w:t>时</w:t>
            </w:r>
            <w:r>
              <w:rPr>
                <w:rFonts w:hint="eastAsia" w:ascii="宋体" w:hAnsi="宋体" w:cs="宋体"/>
                <w:color w:val="auto"/>
                <w:kern w:val="0"/>
                <w:szCs w:val="21"/>
                <w:highlight w:val="none"/>
                <w:u w:val="single"/>
                <w:lang w:val="en-US" w:eastAsia="zh-CN"/>
              </w:rPr>
              <w:t>30</w:t>
            </w:r>
            <w:r>
              <w:rPr>
                <w:rFonts w:hint="eastAsia" w:ascii="宋体" w:hAnsi="宋体" w:eastAsia="宋体" w:cs="宋体"/>
                <w:color w:val="auto"/>
                <w:kern w:val="0"/>
                <w:szCs w:val="21"/>
                <w:highlight w:val="none"/>
              </w:rPr>
              <w:t>分（北京时间）</w:t>
            </w:r>
          </w:p>
          <w:p w14:paraId="5B1CFD98">
            <w:pPr>
              <w:keepNext w:val="0"/>
              <w:keepLines w:val="0"/>
              <w:suppressLineNumbers w:val="0"/>
              <w:autoSpaceDE w:val="0"/>
              <w:autoSpaceDN w:val="0"/>
              <w:adjustRightInd w:val="0"/>
              <w:spacing w:before="73" w:beforeAutospacing="0" w:after="0" w:afterAutospacing="0" w:line="360" w:lineRule="auto"/>
              <w:ind w:left="0" w:right="-20"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开标地点：重庆市垫江县桂阳街道桂西大道南二段2号财富大厦</w:t>
            </w:r>
            <w:r>
              <w:rPr>
                <w:rFonts w:hint="eastAsia" w:ascii="宋体" w:hAnsi="宋体" w:cs="宋体"/>
                <w:color w:val="auto"/>
                <w:kern w:val="0"/>
                <w:szCs w:val="21"/>
                <w:highlight w:val="none"/>
                <w:lang w:val="en-US" w:eastAsia="zh-CN"/>
              </w:rPr>
              <w:t>1508</w:t>
            </w:r>
            <w:r>
              <w:rPr>
                <w:rFonts w:hint="eastAsia" w:ascii="宋体" w:hAnsi="宋体" w:eastAsia="宋体" w:cs="宋体"/>
                <w:color w:val="auto"/>
                <w:kern w:val="0"/>
                <w:szCs w:val="21"/>
                <w:highlight w:val="none"/>
              </w:rPr>
              <w:t>会议室</w:t>
            </w:r>
            <w:r>
              <w:rPr>
                <w:rFonts w:hint="eastAsia" w:ascii="宋体" w:hAnsi="宋体" w:cs="宋体"/>
                <w:color w:val="auto"/>
                <w:kern w:val="0"/>
                <w:szCs w:val="21"/>
                <w:highlight w:val="none"/>
                <w:lang w:eastAsia="zh-CN"/>
              </w:rPr>
              <w:t>。</w:t>
            </w:r>
          </w:p>
        </w:tc>
      </w:tr>
      <w:tr w14:paraId="5A826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53" w:type="dxa"/>
            <w:tcBorders>
              <w:top w:val="single" w:color="auto" w:sz="4" w:space="0"/>
              <w:left w:val="single" w:color="auto" w:sz="4" w:space="0"/>
              <w:bottom w:val="single" w:color="auto" w:sz="4" w:space="0"/>
              <w:right w:val="single" w:color="auto" w:sz="4" w:space="0"/>
            </w:tcBorders>
            <w:noWrap w:val="0"/>
            <w:vAlign w:val="center"/>
          </w:tcPr>
          <w:p w14:paraId="50954282">
            <w:pPr>
              <w:keepNext w:val="0"/>
              <w:keepLines w:val="0"/>
              <w:suppressLineNumbers w:val="0"/>
              <w:autoSpaceDE w:val="0"/>
              <w:autoSpaceDN w:val="0"/>
              <w:adjustRightInd w:val="0"/>
              <w:spacing w:before="0" w:beforeAutospacing="0" w:after="0" w:afterAutospacing="0" w:line="360" w:lineRule="auto"/>
              <w:ind w:left="0"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5.2</w:t>
            </w:r>
          </w:p>
        </w:tc>
        <w:tc>
          <w:tcPr>
            <w:tcW w:w="1714" w:type="dxa"/>
            <w:gridSpan w:val="2"/>
            <w:tcBorders>
              <w:top w:val="single" w:color="auto" w:sz="4" w:space="0"/>
              <w:left w:val="single" w:color="auto" w:sz="4" w:space="0"/>
              <w:bottom w:val="single" w:color="auto" w:sz="4" w:space="0"/>
              <w:right w:val="single" w:color="auto" w:sz="4" w:space="0"/>
            </w:tcBorders>
            <w:noWrap w:val="0"/>
            <w:vAlign w:val="center"/>
          </w:tcPr>
          <w:p w14:paraId="46EAB3EA">
            <w:pPr>
              <w:keepNext w:val="0"/>
              <w:keepLines w:val="0"/>
              <w:suppressLineNumbers w:val="0"/>
              <w:tabs>
                <w:tab w:val="left" w:pos="2032"/>
              </w:tabs>
              <w:autoSpaceDE w:val="0"/>
              <w:autoSpaceDN w:val="0"/>
              <w:adjustRightInd w:val="0"/>
              <w:spacing w:before="0" w:beforeAutospacing="0" w:after="0" w:afterAutospacing="0" w:line="360" w:lineRule="auto"/>
              <w:ind w:left="0" w:right="-12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开标程序</w:t>
            </w:r>
          </w:p>
        </w:tc>
        <w:tc>
          <w:tcPr>
            <w:tcW w:w="6884" w:type="dxa"/>
            <w:tcBorders>
              <w:top w:val="single" w:color="auto" w:sz="4" w:space="0"/>
              <w:left w:val="single" w:color="auto" w:sz="4" w:space="0"/>
              <w:bottom w:val="single" w:color="auto" w:sz="4" w:space="0"/>
              <w:right w:val="single" w:color="auto" w:sz="4" w:space="0"/>
            </w:tcBorders>
            <w:noWrap w:val="0"/>
            <w:vAlign w:val="center"/>
          </w:tcPr>
          <w:p w14:paraId="61D69DBB">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主持人按下列程序进行开标：</w:t>
            </w:r>
          </w:p>
          <w:p w14:paraId="47FEF13F">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 宣布开标纪律；</w:t>
            </w:r>
          </w:p>
          <w:p w14:paraId="5DB8C353">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 宣布开标人、唱标人、记录人、监标人等有关人员姓名；</w:t>
            </w:r>
          </w:p>
          <w:p w14:paraId="6F5111D7">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3.公布在比选申请截止时间前递交比选申请文件的比选申请人名称，并点名确认比选申请人是否派人到场；</w:t>
            </w:r>
          </w:p>
          <w:p w14:paraId="1B9610DA">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Times New Roman" w:cs="Times New Roman"/>
                <w:color w:val="auto"/>
                <w:szCs w:val="21"/>
                <w:highlight w:val="none"/>
              </w:rPr>
              <w:t xml:space="preserve"> 核验参加开标会议的比选申请人的法定代表人或委托代理人本人身份证（原件），核验委托代理人的授权委托书、养老保险证明材料复印件，以确认其身份合法有效；若经核实委托代理人提供资料与实际不符的，不得参加开标会。核验合格的法定代表人或委托代理人可自行选择是否参加开标会，不参加开标会的视为默认开标结果</w:t>
            </w:r>
            <w:r>
              <w:rPr>
                <w:rFonts w:hint="eastAsia" w:ascii="宋体" w:hAnsi="宋体" w:eastAsia="宋体" w:cs="宋体"/>
                <w:color w:val="auto"/>
                <w:kern w:val="0"/>
                <w:szCs w:val="21"/>
                <w:highlight w:val="none"/>
              </w:rPr>
              <w:t>；</w:t>
            </w:r>
          </w:p>
          <w:p w14:paraId="103B0E5E">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5.密封情况检查：比选申请人或者其推选的代表检查比选申请文件的密封情况并确认。</w:t>
            </w:r>
          </w:p>
          <w:p w14:paraId="136798A1">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6.设有最高限价的，公布最高限价；</w:t>
            </w:r>
          </w:p>
          <w:p w14:paraId="54E9BBC4">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r>
              <w:rPr>
                <w:rFonts w:hint="eastAsia" w:ascii="宋体" w:hAnsi="宋体" w:eastAsia="宋体" w:cs="宋体"/>
                <w:snapToGrid w:val="0"/>
                <w:color w:val="auto"/>
                <w:szCs w:val="21"/>
                <w:highlight w:val="none"/>
              </w:rPr>
              <w:t>随机开启比选申请文件，公布比选申请人名称、比选申请文件的递交情况、比选申请报价、工期及其他内容</w:t>
            </w:r>
            <w:r>
              <w:rPr>
                <w:rFonts w:hint="eastAsia" w:ascii="宋体" w:hAnsi="宋体" w:eastAsia="宋体" w:cs="宋体"/>
                <w:color w:val="auto"/>
                <w:szCs w:val="21"/>
                <w:highlight w:val="none"/>
              </w:rPr>
              <w:t>并记录在案；</w:t>
            </w:r>
          </w:p>
          <w:p w14:paraId="69244519">
            <w:pPr>
              <w:keepNext w:val="0"/>
              <w:keepLines w:val="0"/>
              <w:suppressLineNumbers w:val="0"/>
              <w:snapToGrid w:val="0"/>
              <w:spacing w:before="0" w:beforeAutospacing="0" w:after="0" w:afterAutospacing="0" w:line="360" w:lineRule="auto"/>
              <w:ind w:left="44" w:leftChars="21" w:right="0" w:firstLine="399" w:firstLineChars="19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8.</w:t>
            </w:r>
            <w:r>
              <w:rPr>
                <w:rFonts w:hint="eastAsia" w:ascii="宋体" w:hAnsi="宋体" w:eastAsia="宋体" w:cs="宋体"/>
                <w:color w:val="auto"/>
                <w:szCs w:val="21"/>
                <w:highlight w:val="none"/>
              </w:rPr>
              <w:t>开标现场通过招标投标信用平台查询</w:t>
            </w:r>
            <w:r>
              <w:rPr>
                <w:rFonts w:hint="eastAsia" w:ascii="宋体" w:hAnsi="宋体" w:eastAsia="宋体" w:cs="宋体"/>
                <w:color w:val="auto"/>
                <w:szCs w:val="21"/>
                <w:highlight w:val="none"/>
                <w:lang w:eastAsia="zh-CN"/>
              </w:rPr>
              <w:t>比选申请人</w:t>
            </w:r>
            <w:r>
              <w:rPr>
                <w:rFonts w:hint="eastAsia" w:ascii="宋体" w:hAnsi="宋体" w:eastAsia="宋体" w:cs="宋体"/>
                <w:color w:val="auto"/>
                <w:szCs w:val="21"/>
                <w:highlight w:val="none"/>
              </w:rPr>
              <w:t>信用状况，形成《</w:t>
            </w:r>
            <w:r>
              <w:rPr>
                <w:rFonts w:hint="eastAsia" w:ascii="宋体" w:hAnsi="宋体" w:eastAsia="宋体" w:cs="宋体"/>
                <w:color w:val="auto"/>
                <w:szCs w:val="21"/>
                <w:highlight w:val="none"/>
                <w:lang w:eastAsia="zh-CN"/>
              </w:rPr>
              <w:t>比选申请人</w:t>
            </w:r>
            <w:r>
              <w:rPr>
                <w:rFonts w:hint="eastAsia" w:ascii="宋体" w:hAnsi="宋体" w:eastAsia="宋体" w:cs="宋体"/>
                <w:color w:val="auto"/>
                <w:szCs w:val="21"/>
                <w:highlight w:val="none"/>
              </w:rPr>
              <w:t>信用状况一览表》，记录</w:t>
            </w:r>
            <w:r>
              <w:rPr>
                <w:rFonts w:hint="eastAsia" w:ascii="宋体" w:hAnsi="宋体" w:eastAsia="宋体" w:cs="宋体"/>
                <w:color w:val="auto"/>
                <w:szCs w:val="21"/>
                <w:highlight w:val="none"/>
                <w:lang w:eastAsia="zh-CN"/>
              </w:rPr>
              <w:t>比选申请人</w:t>
            </w:r>
            <w:r>
              <w:rPr>
                <w:rFonts w:hint="eastAsia" w:ascii="宋体" w:hAnsi="宋体" w:eastAsia="宋体" w:cs="宋体"/>
                <w:color w:val="auto"/>
                <w:szCs w:val="21"/>
                <w:highlight w:val="none"/>
              </w:rPr>
              <w:t>不良行为计分情况以及是否进入红名单重点关注名单、黑名单等信息。</w:t>
            </w:r>
          </w:p>
          <w:p w14:paraId="48410584">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9.比选申请人代表、比选人代表、监标人、记录人等有关人员在开标记录上签字确认；</w:t>
            </w:r>
          </w:p>
          <w:p w14:paraId="4F39169A">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10.开标结束。</w:t>
            </w:r>
          </w:p>
        </w:tc>
      </w:tr>
      <w:tr w14:paraId="15A2E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953" w:type="dxa"/>
            <w:tcBorders>
              <w:top w:val="single" w:color="auto" w:sz="4" w:space="0"/>
              <w:left w:val="single" w:color="auto" w:sz="4" w:space="0"/>
              <w:bottom w:val="single" w:color="auto" w:sz="4" w:space="0"/>
              <w:right w:val="single" w:color="auto" w:sz="4" w:space="0"/>
            </w:tcBorders>
            <w:noWrap w:val="0"/>
            <w:vAlign w:val="center"/>
          </w:tcPr>
          <w:p w14:paraId="731D5681">
            <w:pPr>
              <w:keepNext w:val="0"/>
              <w:keepLines w:val="0"/>
              <w:suppressLineNumbers w:val="0"/>
              <w:autoSpaceDE w:val="0"/>
              <w:autoSpaceDN w:val="0"/>
              <w:adjustRightInd w:val="0"/>
              <w:spacing w:before="0" w:beforeAutospacing="0" w:after="0" w:afterAutospacing="0" w:line="360" w:lineRule="auto"/>
              <w:ind w:left="0"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6.1.1</w:t>
            </w:r>
          </w:p>
        </w:tc>
        <w:tc>
          <w:tcPr>
            <w:tcW w:w="1714" w:type="dxa"/>
            <w:gridSpan w:val="2"/>
            <w:tcBorders>
              <w:top w:val="single" w:color="auto" w:sz="4" w:space="0"/>
              <w:left w:val="single" w:color="auto" w:sz="4" w:space="0"/>
              <w:bottom w:val="single" w:color="auto" w:sz="4" w:space="0"/>
              <w:right w:val="single" w:color="auto" w:sz="4" w:space="0"/>
            </w:tcBorders>
            <w:noWrap w:val="0"/>
            <w:vAlign w:val="center"/>
          </w:tcPr>
          <w:p w14:paraId="226B7B1E">
            <w:pPr>
              <w:keepNext w:val="0"/>
              <w:keepLines w:val="0"/>
              <w:suppressLineNumbers w:val="0"/>
              <w:autoSpaceDE w:val="0"/>
              <w:autoSpaceDN w:val="0"/>
              <w:adjustRightInd w:val="0"/>
              <w:spacing w:before="0" w:beforeAutospacing="0" w:after="0" w:afterAutospacing="0" w:line="360" w:lineRule="auto"/>
              <w:ind w:left="0"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评标委员会的组建</w:t>
            </w:r>
          </w:p>
        </w:tc>
        <w:tc>
          <w:tcPr>
            <w:tcW w:w="6884" w:type="dxa"/>
            <w:tcBorders>
              <w:top w:val="single" w:color="auto" w:sz="4" w:space="0"/>
              <w:left w:val="single" w:color="auto" w:sz="4" w:space="0"/>
              <w:bottom w:val="single" w:color="auto" w:sz="4" w:space="0"/>
              <w:right w:val="single" w:color="auto" w:sz="4" w:space="0"/>
            </w:tcBorders>
            <w:noWrap w:val="0"/>
            <w:vAlign w:val="center"/>
          </w:tcPr>
          <w:p w14:paraId="339B16C8">
            <w:pPr>
              <w:keepNext w:val="0"/>
              <w:keepLines w:val="0"/>
              <w:suppressLineNumbers w:val="0"/>
              <w:autoSpaceDE w:val="0"/>
              <w:autoSpaceDN w:val="0"/>
              <w:adjustRightInd w:val="0"/>
              <w:spacing w:before="0" w:beforeAutospacing="0" w:after="0" w:afterAutospacing="0" w:line="360" w:lineRule="auto"/>
              <w:ind w:left="0" w:right="-20" w:firstLine="436" w:firstLineChars="200"/>
              <w:rPr>
                <w:rFonts w:hint="eastAsia" w:ascii="宋体" w:hAnsi="宋体" w:eastAsia="宋体" w:cs="宋体"/>
                <w:color w:val="auto"/>
                <w:kern w:val="0"/>
                <w:szCs w:val="21"/>
                <w:highlight w:val="none"/>
              </w:rPr>
            </w:pPr>
            <w:r>
              <w:rPr>
                <w:rFonts w:hint="eastAsia" w:ascii="宋体" w:hAnsi="宋体" w:cs="宋体"/>
                <w:color w:val="auto"/>
                <w:spacing w:val="4"/>
                <w:kern w:val="0"/>
                <w:szCs w:val="21"/>
                <w:highlight w:val="none"/>
                <w:lang w:val="en-US" w:eastAsia="zh-CN"/>
              </w:rPr>
              <w:t>由招标人按法律法规及相关规定依法组建评标委员会</w:t>
            </w:r>
            <w:r>
              <w:rPr>
                <w:rFonts w:hint="eastAsia" w:ascii="宋体" w:hAnsi="宋体" w:eastAsia="宋体" w:cs="宋体"/>
                <w:color w:val="auto"/>
                <w:kern w:val="0"/>
                <w:szCs w:val="21"/>
                <w:highlight w:val="none"/>
              </w:rPr>
              <w:t>。</w:t>
            </w:r>
          </w:p>
        </w:tc>
      </w:tr>
      <w:tr w14:paraId="2FAAC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tcBorders>
              <w:top w:val="single" w:color="auto" w:sz="4" w:space="0"/>
              <w:left w:val="single" w:color="auto" w:sz="4" w:space="0"/>
              <w:bottom w:val="single" w:color="auto" w:sz="4" w:space="0"/>
              <w:right w:val="single" w:color="auto" w:sz="4" w:space="0"/>
            </w:tcBorders>
            <w:noWrap w:val="0"/>
            <w:vAlign w:val="center"/>
          </w:tcPr>
          <w:p w14:paraId="5CAAE3FA">
            <w:pPr>
              <w:keepNext w:val="0"/>
              <w:keepLines w:val="0"/>
              <w:suppressLineNumbers w:val="0"/>
              <w:autoSpaceDE w:val="0"/>
              <w:autoSpaceDN w:val="0"/>
              <w:adjustRightInd w:val="0"/>
              <w:spacing w:before="0" w:beforeAutospacing="0" w:after="0" w:afterAutospacing="0" w:line="360" w:lineRule="auto"/>
              <w:ind w:left="0"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w:t>
            </w:r>
          </w:p>
        </w:tc>
        <w:tc>
          <w:tcPr>
            <w:tcW w:w="1714" w:type="dxa"/>
            <w:gridSpan w:val="2"/>
            <w:tcBorders>
              <w:top w:val="single" w:color="auto" w:sz="4" w:space="0"/>
              <w:left w:val="single" w:color="auto" w:sz="4" w:space="0"/>
              <w:bottom w:val="single" w:color="auto" w:sz="4" w:space="0"/>
              <w:right w:val="single" w:color="auto" w:sz="4" w:space="0"/>
            </w:tcBorders>
            <w:noWrap w:val="0"/>
            <w:vAlign w:val="center"/>
          </w:tcPr>
          <w:p w14:paraId="28C4BF33">
            <w:pPr>
              <w:keepNext w:val="0"/>
              <w:keepLines w:val="0"/>
              <w:suppressLineNumbers w:val="0"/>
              <w:autoSpaceDE w:val="0"/>
              <w:autoSpaceDN w:val="0"/>
              <w:adjustRightInd w:val="0"/>
              <w:spacing w:before="0" w:beforeAutospacing="0" w:after="0" w:afterAutospacing="0" w:line="360" w:lineRule="auto"/>
              <w:ind w:left="0" w:right="-2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是否授权评标委员会确定</w:t>
            </w:r>
            <w:r>
              <w:rPr>
                <w:rFonts w:hint="eastAsia" w:ascii="宋体" w:hAnsi="宋体" w:eastAsia="宋体" w:cs="宋体"/>
                <w:color w:val="auto"/>
                <w:kern w:val="0"/>
                <w:szCs w:val="21"/>
                <w:highlight w:val="none"/>
                <w:lang w:eastAsia="zh-CN"/>
              </w:rPr>
              <w:t>中选人</w:t>
            </w:r>
          </w:p>
        </w:tc>
        <w:tc>
          <w:tcPr>
            <w:tcW w:w="6884" w:type="dxa"/>
            <w:tcBorders>
              <w:top w:val="single" w:color="auto" w:sz="4" w:space="0"/>
              <w:left w:val="single" w:color="auto" w:sz="4" w:space="0"/>
              <w:bottom w:val="single" w:color="auto" w:sz="4" w:space="0"/>
              <w:right w:val="single" w:color="auto" w:sz="4" w:space="0"/>
            </w:tcBorders>
            <w:noWrap w:val="0"/>
            <w:vAlign w:val="center"/>
          </w:tcPr>
          <w:p w14:paraId="0B1AC436">
            <w:pPr>
              <w:keepNext w:val="0"/>
              <w:keepLines w:val="0"/>
              <w:suppressLineNumbers w:val="0"/>
              <w:autoSpaceDE w:val="0"/>
              <w:autoSpaceDN w:val="0"/>
              <w:adjustRightInd w:val="0"/>
              <w:spacing w:before="0" w:beforeAutospacing="0" w:after="0" w:afterAutospacing="0" w:line="360" w:lineRule="auto"/>
              <w:ind w:left="0" w:right="-2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否，推荐经评审合格的报价由低到高排名前三名为</w:t>
            </w:r>
            <w:r>
              <w:rPr>
                <w:rFonts w:hint="eastAsia" w:ascii="宋体" w:hAnsi="宋体" w:eastAsia="宋体" w:cs="宋体"/>
                <w:color w:val="auto"/>
                <w:kern w:val="0"/>
                <w:szCs w:val="21"/>
                <w:highlight w:val="none"/>
                <w:lang w:eastAsia="zh-CN"/>
              </w:rPr>
              <w:t>中选</w:t>
            </w:r>
            <w:r>
              <w:rPr>
                <w:rFonts w:hint="eastAsia" w:ascii="宋体" w:hAnsi="宋体" w:eastAsia="宋体" w:cs="宋体"/>
                <w:color w:val="auto"/>
                <w:kern w:val="0"/>
                <w:szCs w:val="21"/>
                <w:highlight w:val="none"/>
              </w:rPr>
              <w:t>候选人。</w:t>
            </w:r>
          </w:p>
        </w:tc>
      </w:tr>
      <w:tr w14:paraId="52D17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tcBorders>
              <w:top w:val="single" w:color="auto" w:sz="4" w:space="0"/>
              <w:left w:val="single" w:color="auto" w:sz="4" w:space="0"/>
              <w:bottom w:val="single" w:color="auto" w:sz="4" w:space="0"/>
              <w:right w:val="single" w:color="auto" w:sz="4" w:space="0"/>
            </w:tcBorders>
            <w:noWrap w:val="0"/>
            <w:vAlign w:val="center"/>
          </w:tcPr>
          <w:p w14:paraId="23B734B0">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Times New Roman" w:cs="Times New Roman"/>
                <w:kern w:val="0"/>
                <w:szCs w:val="21"/>
                <w:highlight w:val="none"/>
              </w:rPr>
              <w:t>7.2</w:t>
            </w:r>
          </w:p>
        </w:tc>
        <w:tc>
          <w:tcPr>
            <w:tcW w:w="1714" w:type="dxa"/>
            <w:gridSpan w:val="2"/>
            <w:tcBorders>
              <w:top w:val="single" w:color="auto" w:sz="4" w:space="0"/>
              <w:left w:val="single" w:color="auto" w:sz="4" w:space="0"/>
              <w:bottom w:val="single" w:color="auto" w:sz="4" w:space="0"/>
              <w:right w:val="single" w:color="auto" w:sz="4" w:space="0"/>
            </w:tcBorders>
            <w:noWrap w:val="0"/>
            <w:vAlign w:val="center"/>
          </w:tcPr>
          <w:p w14:paraId="73FD63C7">
            <w:pPr>
              <w:keepNext w:val="0"/>
              <w:keepLines w:val="0"/>
              <w:suppressLineNumbers w:val="0"/>
              <w:snapToGrid w:val="0"/>
              <w:spacing w:before="0" w:beforeAutospacing="0" w:after="62" w:afterLines="20" w:afterAutospacing="0" w:line="400" w:lineRule="exact"/>
              <w:ind w:left="0" w:right="0"/>
              <w:jc w:val="center"/>
              <w:rPr>
                <w:rFonts w:hint="eastAsia" w:ascii="宋体" w:hAnsi="宋体" w:eastAsia="宋体" w:cs="宋体"/>
                <w:color w:val="auto"/>
                <w:kern w:val="0"/>
                <w:szCs w:val="21"/>
                <w:highlight w:val="none"/>
              </w:rPr>
            </w:pPr>
            <w:r>
              <w:rPr>
                <w:rFonts w:hint="default" w:ascii="宋体" w:hAnsi="宋体" w:eastAsia="Times New Roman" w:cs="Times New Roman"/>
                <w:kern w:val="0"/>
                <w:szCs w:val="21"/>
                <w:highlight w:val="none"/>
              </w:rPr>
              <w:t>中标公示</w:t>
            </w:r>
          </w:p>
        </w:tc>
        <w:tc>
          <w:tcPr>
            <w:tcW w:w="6884" w:type="dxa"/>
            <w:tcBorders>
              <w:top w:val="single" w:color="auto" w:sz="4" w:space="0"/>
              <w:left w:val="single" w:color="auto" w:sz="4" w:space="0"/>
              <w:bottom w:val="single" w:color="auto" w:sz="4" w:space="0"/>
              <w:right w:val="single" w:color="auto" w:sz="4" w:space="0"/>
            </w:tcBorders>
            <w:noWrap w:val="0"/>
            <w:vAlign w:val="center"/>
          </w:tcPr>
          <w:p w14:paraId="18EE2DA9">
            <w:pPr>
              <w:keepNext w:val="0"/>
              <w:keepLines w:val="0"/>
              <w:suppressLineNumbers w:val="0"/>
              <w:snapToGrid w:val="0"/>
              <w:spacing w:before="0" w:beforeAutospacing="0" w:after="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Times New Roman" w:cs="宋体"/>
                <w:szCs w:val="21"/>
                <w:highlight w:val="none"/>
                <w:lang w:val="en-US" w:eastAsia="zh-CN"/>
              </w:rPr>
              <w:t>比选</w:t>
            </w:r>
            <w:r>
              <w:rPr>
                <w:rFonts w:hint="eastAsia" w:ascii="宋体" w:hAnsi="宋体" w:eastAsia="Times New Roman" w:cs="宋体"/>
                <w:szCs w:val="21"/>
                <w:highlight w:val="none"/>
              </w:rPr>
              <w:t>人在收到评标报告后3日内将评标结果在</w:t>
            </w:r>
            <w:r>
              <w:rPr>
                <w:rFonts w:hint="eastAsia" w:ascii="宋体" w:hAnsi="宋体" w:cs="宋体"/>
                <w:bCs/>
                <w:color w:val="auto"/>
                <w:kern w:val="0"/>
                <w:szCs w:val="21"/>
                <w:highlight w:val="none"/>
                <w:u w:val="single"/>
                <w:lang w:eastAsia="zh-CN"/>
              </w:rPr>
              <w:t>垫江县人民政府网（http://www.cqsdj.gov.cn/）</w:t>
            </w:r>
            <w:r>
              <w:rPr>
                <w:rFonts w:hint="eastAsia" w:ascii="宋体" w:hAnsi="宋体" w:eastAsia="Times New Roman" w:cs="宋体"/>
                <w:szCs w:val="21"/>
                <w:highlight w:val="none"/>
              </w:rPr>
              <w:t>上进行公示，公示期为3日。为深化信息公开，接受社会监督，本项目将按照《招标公告和公示信息发布管理办法》（国家发改委令第10号）的要求，公示内容包括中</w:t>
            </w:r>
            <w:r>
              <w:rPr>
                <w:rFonts w:hint="eastAsia" w:ascii="宋体" w:hAnsi="宋体" w:eastAsia="Times New Roman" w:cs="宋体"/>
                <w:szCs w:val="21"/>
                <w:highlight w:val="none"/>
                <w:lang w:val="en-US" w:eastAsia="zh-CN"/>
              </w:rPr>
              <w:t>选</w:t>
            </w:r>
            <w:r>
              <w:rPr>
                <w:rFonts w:hint="eastAsia" w:ascii="宋体" w:hAnsi="宋体" w:eastAsia="Times New Roman" w:cs="宋体"/>
                <w:szCs w:val="21"/>
                <w:highlight w:val="none"/>
              </w:rPr>
              <w:t>候选人名称、排序、</w:t>
            </w:r>
            <w:r>
              <w:rPr>
                <w:rFonts w:hint="eastAsia" w:ascii="宋体" w:hAnsi="宋体" w:eastAsia="Times New Roman" w:cs="宋体"/>
                <w:szCs w:val="21"/>
                <w:highlight w:val="none"/>
                <w:lang w:val="en-US" w:eastAsia="zh-CN"/>
              </w:rPr>
              <w:t>比选申请</w:t>
            </w:r>
            <w:r>
              <w:rPr>
                <w:rFonts w:hint="eastAsia" w:ascii="宋体" w:hAnsi="宋体" w:eastAsia="Times New Roman" w:cs="宋体"/>
                <w:szCs w:val="21"/>
                <w:highlight w:val="none"/>
              </w:rPr>
              <w:t>报价、质量、工期；中</w:t>
            </w:r>
            <w:r>
              <w:rPr>
                <w:rFonts w:hint="eastAsia" w:ascii="宋体" w:hAnsi="宋体" w:eastAsia="Times New Roman" w:cs="宋体"/>
                <w:szCs w:val="21"/>
                <w:highlight w:val="none"/>
                <w:lang w:val="en-US" w:eastAsia="zh-CN"/>
              </w:rPr>
              <w:t>选</w:t>
            </w:r>
            <w:r>
              <w:rPr>
                <w:rFonts w:hint="eastAsia" w:ascii="宋体" w:hAnsi="宋体" w:eastAsia="Times New Roman" w:cs="宋体"/>
                <w:szCs w:val="21"/>
                <w:highlight w:val="none"/>
              </w:rPr>
              <w:t>候选人资质，否决投标情况及理由；提出异议、投诉的渠道和方式。</w:t>
            </w:r>
          </w:p>
        </w:tc>
      </w:tr>
      <w:tr w14:paraId="7D2A2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tcBorders>
              <w:top w:val="single" w:color="auto" w:sz="4" w:space="0"/>
              <w:left w:val="single" w:color="auto" w:sz="4" w:space="0"/>
              <w:bottom w:val="single" w:color="auto" w:sz="4" w:space="0"/>
              <w:right w:val="single" w:color="auto" w:sz="4" w:space="0"/>
            </w:tcBorders>
            <w:noWrap w:val="0"/>
            <w:vAlign w:val="center"/>
          </w:tcPr>
          <w:p w14:paraId="71224820">
            <w:pPr>
              <w:keepNext w:val="0"/>
              <w:keepLines w:val="0"/>
              <w:suppressLineNumbers w:val="0"/>
              <w:autoSpaceDE w:val="0"/>
              <w:autoSpaceDN w:val="0"/>
              <w:adjustRightInd w:val="0"/>
              <w:spacing w:before="0" w:beforeAutospacing="0" w:after="0" w:afterAutospacing="0" w:line="360" w:lineRule="auto"/>
              <w:ind w:left="0" w:right="-20"/>
              <w:jc w:val="center"/>
              <w:rPr>
                <w:rFonts w:hint="eastAsia" w:ascii="宋体" w:hAnsi="宋体" w:eastAsia="宋体" w:cs="宋体"/>
                <w:strike w:val="0"/>
                <w:dstrike w:val="0"/>
                <w:color w:val="auto"/>
                <w:kern w:val="0"/>
                <w:szCs w:val="21"/>
                <w:highlight w:val="none"/>
                <w:lang w:eastAsia="zh-CN"/>
              </w:rPr>
            </w:pPr>
            <w:r>
              <w:rPr>
                <w:rFonts w:hint="eastAsia" w:ascii="宋体" w:hAnsi="宋体" w:eastAsia="宋体" w:cs="宋体"/>
                <w:strike w:val="0"/>
                <w:dstrike w:val="0"/>
                <w:color w:val="auto"/>
                <w:kern w:val="0"/>
                <w:szCs w:val="21"/>
                <w:highlight w:val="none"/>
              </w:rPr>
              <w:t>7.</w:t>
            </w:r>
            <w:r>
              <w:rPr>
                <w:rFonts w:hint="eastAsia" w:ascii="宋体" w:hAnsi="宋体" w:eastAsia="宋体" w:cs="宋体"/>
                <w:strike w:val="0"/>
                <w:dstrike w:val="0"/>
                <w:color w:val="auto"/>
                <w:kern w:val="0"/>
                <w:szCs w:val="21"/>
                <w:highlight w:val="none"/>
                <w:lang w:val="en-US" w:eastAsia="zh-CN"/>
              </w:rPr>
              <w:t>3</w:t>
            </w:r>
          </w:p>
        </w:tc>
        <w:tc>
          <w:tcPr>
            <w:tcW w:w="1714" w:type="dxa"/>
            <w:gridSpan w:val="2"/>
            <w:tcBorders>
              <w:top w:val="single" w:color="auto" w:sz="4" w:space="0"/>
              <w:left w:val="single" w:color="auto" w:sz="4" w:space="0"/>
              <w:bottom w:val="single" w:color="auto" w:sz="4" w:space="0"/>
              <w:right w:val="single" w:color="auto" w:sz="4" w:space="0"/>
            </w:tcBorders>
            <w:noWrap w:val="0"/>
            <w:vAlign w:val="center"/>
          </w:tcPr>
          <w:p w14:paraId="1ACD94F1">
            <w:pPr>
              <w:keepNext w:val="0"/>
              <w:keepLines w:val="0"/>
              <w:suppressLineNumbers w:val="0"/>
              <w:tabs>
                <w:tab w:val="left" w:pos="2032"/>
              </w:tabs>
              <w:autoSpaceDE w:val="0"/>
              <w:autoSpaceDN w:val="0"/>
              <w:adjustRightInd w:val="0"/>
              <w:spacing w:before="0" w:beforeAutospacing="0" w:after="0" w:afterAutospacing="0" w:line="360" w:lineRule="auto"/>
              <w:ind w:left="0" w:right="-127"/>
              <w:jc w:val="center"/>
              <w:rPr>
                <w:rFonts w:hint="eastAsia" w:ascii="宋体" w:hAnsi="宋体" w:eastAsia="宋体" w:cs="宋体"/>
                <w:strike w:val="0"/>
                <w:dstrike w:val="0"/>
                <w:color w:val="auto"/>
                <w:kern w:val="0"/>
                <w:szCs w:val="21"/>
                <w:highlight w:val="none"/>
              </w:rPr>
            </w:pPr>
            <w:r>
              <w:rPr>
                <w:rFonts w:hint="eastAsia" w:ascii="宋体" w:hAnsi="宋体" w:eastAsia="宋体" w:cs="宋体"/>
                <w:strike w:val="0"/>
                <w:dstrike w:val="0"/>
                <w:color w:val="auto"/>
                <w:kern w:val="0"/>
                <w:szCs w:val="21"/>
                <w:highlight w:val="none"/>
              </w:rPr>
              <w:t>履约担保</w:t>
            </w:r>
          </w:p>
        </w:tc>
        <w:tc>
          <w:tcPr>
            <w:tcW w:w="6884" w:type="dxa"/>
            <w:tcBorders>
              <w:top w:val="single" w:color="auto" w:sz="4" w:space="0"/>
              <w:left w:val="single" w:color="auto" w:sz="4" w:space="0"/>
              <w:bottom w:val="single" w:color="auto" w:sz="4" w:space="0"/>
              <w:right w:val="single" w:color="auto" w:sz="4" w:space="0"/>
            </w:tcBorders>
            <w:noWrap w:val="0"/>
            <w:vAlign w:val="center"/>
          </w:tcPr>
          <w:p w14:paraId="5351A05A">
            <w:pPr>
              <w:keepNext w:val="0"/>
              <w:keepLines w:val="0"/>
              <w:suppressLineNumbers w:val="0"/>
              <w:snapToGrid w:val="0"/>
              <w:spacing w:before="0" w:beforeAutospacing="0" w:after="0" w:afterAutospacing="0" w:line="400" w:lineRule="exact"/>
              <w:ind w:left="0" w:right="0" w:firstLine="420" w:firstLineChars="200"/>
              <w:rPr>
                <w:rFonts w:hint="default" w:ascii="宋体" w:hAnsi="宋体" w:eastAsia="Times New Roman" w:cs="Times New Roman"/>
                <w:kern w:val="0"/>
                <w:szCs w:val="21"/>
                <w:highlight w:val="none"/>
              </w:rPr>
            </w:pPr>
            <w:r>
              <w:rPr>
                <w:rFonts w:hint="eastAsia" w:ascii="宋体" w:hAnsi="宋体" w:eastAsia="Times New Roman" w:cs="Times New Roman"/>
                <w:kern w:val="0"/>
                <w:szCs w:val="21"/>
                <w:highlight w:val="none"/>
              </w:rPr>
              <w:t>1、</w:t>
            </w:r>
            <w:r>
              <w:rPr>
                <w:rFonts w:hint="eastAsia" w:ascii="宋体" w:hAnsi="宋体" w:eastAsia="Times New Roman" w:cs="Times New Roman"/>
                <w:kern w:val="0"/>
                <w:szCs w:val="21"/>
                <w:highlight w:val="none"/>
                <w:lang w:eastAsia="zh-CN"/>
              </w:rPr>
              <w:t>中选人</w:t>
            </w:r>
            <w:r>
              <w:rPr>
                <w:rFonts w:hint="eastAsia" w:ascii="宋体" w:hAnsi="宋体" w:eastAsia="Times New Roman" w:cs="Times New Roman"/>
                <w:kern w:val="0"/>
                <w:szCs w:val="21"/>
                <w:highlight w:val="none"/>
              </w:rPr>
              <w:t>是否提供履约担保：</w:t>
            </w:r>
            <w:r>
              <w:rPr>
                <w:rFonts w:hint="eastAsia" w:ascii="宋体" w:hAnsi="宋体" w:eastAsia="Times New Roman" w:cs="Times New Roman"/>
                <w:kern w:val="0"/>
                <w:szCs w:val="21"/>
                <w:highlight w:val="none"/>
                <w:u w:val="single"/>
              </w:rPr>
              <w:t>提供</w:t>
            </w:r>
            <w:r>
              <w:rPr>
                <w:rFonts w:hint="eastAsia" w:ascii="宋体" w:hAnsi="宋体" w:eastAsia="Times New Roman" w:cs="Times New Roman"/>
                <w:kern w:val="0"/>
                <w:szCs w:val="21"/>
                <w:highlight w:val="none"/>
              </w:rPr>
              <w:t>。</w:t>
            </w:r>
          </w:p>
          <w:p w14:paraId="76C8FFB4">
            <w:pPr>
              <w:keepNext w:val="0"/>
              <w:keepLines w:val="0"/>
              <w:suppressLineNumbers w:val="0"/>
              <w:snapToGrid w:val="0"/>
              <w:spacing w:before="0" w:beforeAutospacing="0" w:after="0" w:afterAutospacing="0" w:line="400" w:lineRule="exact"/>
              <w:ind w:left="0" w:right="0" w:firstLine="420" w:firstLineChars="200"/>
              <w:rPr>
                <w:rFonts w:hint="default" w:ascii="宋体" w:hAnsi="宋体" w:eastAsia="Times New Roman" w:cs="Times New Roman"/>
                <w:kern w:val="0"/>
                <w:szCs w:val="21"/>
                <w:highlight w:val="none"/>
              </w:rPr>
            </w:pPr>
            <w:r>
              <w:rPr>
                <w:rFonts w:hint="eastAsia" w:ascii="宋体" w:hAnsi="宋体" w:eastAsia="Times New Roman" w:cs="Times New Roman"/>
                <w:kern w:val="0"/>
                <w:szCs w:val="21"/>
                <w:highlight w:val="none"/>
              </w:rPr>
              <w:t>2、</w:t>
            </w:r>
            <w:r>
              <w:rPr>
                <w:rFonts w:hint="eastAsia" w:ascii="宋体" w:hAnsi="宋体" w:eastAsia="Times New Roman" w:cs="Times New Roman"/>
                <w:kern w:val="0"/>
                <w:szCs w:val="21"/>
                <w:highlight w:val="none"/>
                <w:lang w:eastAsia="zh-CN"/>
              </w:rPr>
              <w:t>中选人</w:t>
            </w:r>
            <w:r>
              <w:rPr>
                <w:rFonts w:hint="eastAsia" w:ascii="宋体" w:hAnsi="宋体" w:eastAsia="Times New Roman" w:cs="Times New Roman"/>
                <w:kern w:val="0"/>
                <w:szCs w:val="21"/>
                <w:highlight w:val="none"/>
              </w:rPr>
              <w:t>提供履约担保的形式、金额及期限：</w:t>
            </w:r>
          </w:p>
          <w:p w14:paraId="28357EAF">
            <w:pPr>
              <w:keepNext w:val="0"/>
              <w:keepLines w:val="0"/>
              <w:suppressLineNumbers w:val="0"/>
              <w:snapToGrid w:val="0"/>
              <w:spacing w:before="0" w:beforeAutospacing="0" w:after="0" w:afterAutospacing="0" w:line="400" w:lineRule="exact"/>
              <w:ind w:left="0" w:right="0" w:firstLine="420" w:firstLineChars="200"/>
              <w:rPr>
                <w:rFonts w:hint="eastAsia" w:ascii="宋体" w:hAnsi="宋体" w:eastAsia="Times New Roman" w:cs="Times New Roman"/>
                <w:szCs w:val="21"/>
                <w:highlight w:val="none"/>
                <w:lang w:val="en-US" w:eastAsia="zh-CN"/>
              </w:rPr>
            </w:pPr>
            <w:r>
              <w:rPr>
                <w:rFonts w:hint="eastAsia" w:ascii="宋体" w:hAnsi="宋体" w:eastAsia="Times New Roman" w:cs="Times New Roman"/>
                <w:kern w:val="0"/>
                <w:szCs w:val="21"/>
                <w:highlight w:val="none"/>
              </w:rPr>
              <w:t>（1）履约担保的形式：现金或</w:t>
            </w:r>
            <w:r>
              <w:rPr>
                <w:rFonts w:hint="eastAsia" w:ascii="宋体" w:hAnsi="宋体" w:eastAsia="Times New Roman" w:cs="Times New Roman"/>
                <w:kern w:val="0"/>
                <w:szCs w:val="21"/>
                <w:highlight w:val="none"/>
                <w:lang w:val="en-US" w:eastAsia="zh-CN"/>
              </w:rPr>
              <w:t>履约</w:t>
            </w:r>
            <w:r>
              <w:rPr>
                <w:rFonts w:hint="eastAsia" w:ascii="宋体" w:hAnsi="宋体" w:eastAsia="Times New Roman" w:cs="Times New Roman"/>
                <w:kern w:val="0"/>
                <w:szCs w:val="21"/>
                <w:highlight w:val="none"/>
              </w:rPr>
              <w:t>保函或现金+</w:t>
            </w:r>
            <w:r>
              <w:rPr>
                <w:rFonts w:hint="eastAsia" w:ascii="宋体" w:hAnsi="宋体" w:eastAsia="Times New Roman" w:cs="Times New Roman"/>
                <w:kern w:val="0"/>
                <w:szCs w:val="21"/>
                <w:highlight w:val="none"/>
                <w:lang w:val="en-US" w:eastAsia="zh-CN"/>
              </w:rPr>
              <w:t>履约</w:t>
            </w:r>
            <w:r>
              <w:rPr>
                <w:rFonts w:hint="eastAsia" w:ascii="宋体" w:hAnsi="宋体" w:eastAsia="Times New Roman" w:cs="Times New Roman"/>
                <w:kern w:val="0"/>
                <w:szCs w:val="21"/>
                <w:highlight w:val="none"/>
              </w:rPr>
              <w:t>保函的组合</w:t>
            </w:r>
            <w:r>
              <w:rPr>
                <w:rFonts w:hint="eastAsia" w:ascii="宋体" w:hAnsi="宋体" w:eastAsia="Times New Roman" w:cs="Times New Roman"/>
                <w:kern w:val="0"/>
                <w:szCs w:val="21"/>
                <w:highlight w:val="none"/>
                <w:lang w:eastAsia="zh-CN"/>
              </w:rPr>
              <w:t>，履约</w:t>
            </w:r>
            <w:r>
              <w:rPr>
                <w:rFonts w:hint="eastAsia" w:ascii="宋体" w:hAnsi="宋体" w:eastAsia="Times New Roman" w:cs="Times New Roman"/>
                <w:kern w:val="0"/>
                <w:szCs w:val="21"/>
                <w:highlight w:val="none"/>
              </w:rPr>
              <w:t>保函包括银行保函、保证保险和担保保函</w:t>
            </w:r>
            <w:r>
              <w:rPr>
                <w:rFonts w:hint="eastAsia" w:ascii="宋体" w:hAnsi="宋体" w:eastAsia="Times New Roman" w:cs="Times New Roman"/>
                <w:kern w:val="0"/>
                <w:szCs w:val="21"/>
                <w:highlight w:val="none"/>
                <w:lang w:eastAsia="zh-CN"/>
              </w:rPr>
              <w:t>，</w:t>
            </w:r>
            <w:r>
              <w:rPr>
                <w:rFonts w:hint="eastAsia" w:ascii="宋体" w:hAnsi="宋体" w:eastAsia="Times New Roman" w:cs="Times New Roman"/>
                <w:kern w:val="0"/>
                <w:szCs w:val="21"/>
                <w:highlight w:val="none"/>
                <w:lang w:val="en-US" w:eastAsia="zh-CN"/>
              </w:rPr>
              <w:t>其示范文本详见第四章合同条款及格式附件</w:t>
            </w:r>
            <w:r>
              <w:rPr>
                <w:rFonts w:hint="eastAsia" w:ascii="宋体" w:hAnsi="宋体" w:eastAsia="Times New Roman" w:cs="Times New Roman"/>
                <w:kern w:val="0"/>
                <w:szCs w:val="21"/>
                <w:highlight w:val="none"/>
                <w:lang w:eastAsia="zh-CN"/>
              </w:rPr>
              <w:t>。</w:t>
            </w:r>
            <w:r>
              <w:rPr>
                <w:rFonts w:hint="eastAsia" w:ascii="宋体" w:hAnsi="宋体" w:eastAsia="Times New Roman" w:cs="Times New Roman"/>
                <w:kern w:val="0"/>
                <w:szCs w:val="21"/>
                <w:highlight w:val="none"/>
                <w:lang w:val="en-US" w:eastAsia="zh-CN"/>
              </w:rPr>
              <w:t>中选人提交的履约保函应</w:t>
            </w:r>
            <w:r>
              <w:rPr>
                <w:rFonts w:hint="eastAsia" w:ascii="宋体" w:hAnsi="宋体" w:eastAsia="Times New Roman" w:cs="Times New Roman"/>
                <w:kern w:val="0"/>
                <w:szCs w:val="21"/>
                <w:highlight w:val="none"/>
              </w:rPr>
              <w:t>严格执行</w:t>
            </w:r>
            <w:r>
              <w:rPr>
                <w:rFonts w:hint="eastAsia" w:ascii="宋体" w:hAnsi="宋体" w:eastAsia="Times New Roman" w:cs="Times New Roman"/>
                <w:kern w:val="0"/>
                <w:szCs w:val="21"/>
                <w:highlight w:val="none"/>
                <w:lang w:val="en-US" w:eastAsia="zh-CN"/>
              </w:rPr>
              <w:t>其</w:t>
            </w:r>
            <w:r>
              <w:rPr>
                <w:rFonts w:hint="eastAsia" w:ascii="宋体" w:hAnsi="宋体" w:eastAsia="Times New Roman" w:cs="Times New Roman"/>
                <w:kern w:val="0"/>
                <w:szCs w:val="21"/>
                <w:highlight w:val="none"/>
              </w:rPr>
              <w:t>示范文本，不得对示范文本中的实质性内容进行修改</w:t>
            </w:r>
            <w:r>
              <w:rPr>
                <w:rFonts w:hint="eastAsia" w:ascii="宋体" w:hAnsi="宋体" w:eastAsia="Times New Roman" w:cs="Times New Roman"/>
                <w:szCs w:val="21"/>
                <w:highlight w:val="none"/>
                <w:lang w:val="en-US" w:eastAsia="zh-CN"/>
              </w:rPr>
              <w:t>。</w:t>
            </w:r>
          </w:p>
          <w:p w14:paraId="24B867B5">
            <w:pPr>
              <w:keepNext w:val="0"/>
              <w:keepLines w:val="0"/>
              <w:suppressLineNumbers w:val="0"/>
              <w:snapToGrid w:val="0"/>
              <w:spacing w:before="0" w:beforeAutospacing="0" w:after="0" w:afterAutospacing="0" w:line="400" w:lineRule="exact"/>
              <w:ind w:left="0" w:right="0" w:firstLine="420" w:firstLineChars="200"/>
              <w:rPr>
                <w:rFonts w:hint="default" w:ascii="宋体" w:hAnsi="宋体" w:eastAsia="Times New Roman" w:cs="Times New Roman"/>
                <w:kern w:val="0"/>
                <w:szCs w:val="21"/>
                <w:highlight w:val="none"/>
              </w:rPr>
            </w:pPr>
            <w:r>
              <w:rPr>
                <w:rFonts w:hint="eastAsia" w:ascii="宋体" w:hAnsi="宋体" w:eastAsia="Times New Roman" w:cs="Times New Roman"/>
                <w:kern w:val="0"/>
                <w:szCs w:val="21"/>
                <w:highlight w:val="none"/>
                <w:lang w:val="en-US" w:eastAsia="zh-CN"/>
              </w:rPr>
              <w:t>（2）具体要求：履约保函</w:t>
            </w:r>
            <w:r>
              <w:rPr>
                <w:rFonts w:hint="eastAsia" w:ascii="宋体" w:hAnsi="宋体" w:eastAsia="Times New Roman" w:cs="Times New Roman"/>
                <w:kern w:val="0"/>
                <w:szCs w:val="21"/>
                <w:highlight w:val="none"/>
              </w:rPr>
              <w:t>的开立人应当是具有相应资格的银行、保险机构、融资担保公司，其信用资质、履约能力、担保能力、赔付流程、安全保密等应符合</w:t>
            </w:r>
            <w:r>
              <w:rPr>
                <w:rFonts w:hint="eastAsia" w:ascii="宋体" w:hAnsi="宋体" w:eastAsia="Times New Roman" w:cs="Times New Roman"/>
                <w:kern w:val="0"/>
                <w:szCs w:val="21"/>
                <w:highlight w:val="none"/>
                <w:lang w:eastAsia="zh-CN"/>
              </w:rPr>
              <w:t>履约</w:t>
            </w:r>
            <w:r>
              <w:rPr>
                <w:rFonts w:hint="eastAsia" w:ascii="宋体" w:hAnsi="宋体" w:eastAsia="Times New Roman" w:cs="Times New Roman"/>
                <w:kern w:val="0"/>
                <w:szCs w:val="21"/>
                <w:highlight w:val="none"/>
              </w:rPr>
              <w:t>保函业务条件</w:t>
            </w:r>
            <w:r>
              <w:rPr>
                <w:rFonts w:hint="eastAsia" w:ascii="宋体" w:hAnsi="宋体" w:eastAsia="Times New Roman" w:cs="Times New Roman"/>
                <w:kern w:val="0"/>
                <w:szCs w:val="21"/>
                <w:highlight w:val="none"/>
                <w:lang w:eastAsia="zh-CN"/>
              </w:rPr>
              <w:t>。</w:t>
            </w:r>
            <w:r>
              <w:rPr>
                <w:rFonts w:hint="eastAsia" w:ascii="宋体" w:hAnsi="宋体" w:eastAsia="Times New Roman" w:cs="Times New Roman"/>
                <w:kern w:val="0"/>
                <w:szCs w:val="21"/>
                <w:highlight w:val="none"/>
                <w:lang w:val="en-US" w:eastAsia="zh-CN"/>
              </w:rPr>
              <w:t>履约保函</w:t>
            </w:r>
            <w:r>
              <w:rPr>
                <w:rFonts w:hint="eastAsia" w:ascii="宋体" w:hAnsi="宋体" w:eastAsia="Times New Roman" w:cs="Times New Roman"/>
                <w:kern w:val="0"/>
                <w:szCs w:val="21"/>
                <w:highlight w:val="none"/>
                <w:lang w:eastAsia="zh-CN"/>
              </w:rPr>
              <w:t>应合法合规，符合招投标行政监督部门、行业主管部门和金融监管部门的相关规定，满足比选文件约定要求。</w:t>
            </w:r>
            <w:r>
              <w:rPr>
                <w:rFonts w:hint="eastAsia" w:ascii="宋体" w:hAnsi="宋体" w:eastAsia="Times New Roman" w:cs="Times New Roman"/>
                <w:kern w:val="0"/>
                <w:szCs w:val="21"/>
                <w:highlight w:val="none"/>
                <w:lang w:val="en-US" w:eastAsia="zh-CN"/>
              </w:rPr>
              <w:t>中选人</w:t>
            </w:r>
            <w:r>
              <w:rPr>
                <w:rFonts w:hint="eastAsia" w:ascii="宋体" w:hAnsi="宋体" w:eastAsia="Times New Roman" w:cs="Times New Roman"/>
                <w:kern w:val="0"/>
                <w:szCs w:val="21"/>
                <w:highlight w:val="none"/>
              </w:rPr>
              <w:t>应选择在渝依法设立总部或者设有分支机构的金融机构开具</w:t>
            </w:r>
            <w:r>
              <w:rPr>
                <w:rFonts w:hint="eastAsia" w:ascii="宋体" w:hAnsi="宋体" w:eastAsia="Times New Roman" w:cs="Times New Roman"/>
                <w:kern w:val="0"/>
                <w:szCs w:val="21"/>
                <w:highlight w:val="none"/>
                <w:lang w:val="en-US" w:eastAsia="zh-CN"/>
              </w:rPr>
              <w:t>履约保函（包括纸质保函或电子保函）</w:t>
            </w:r>
            <w:r>
              <w:rPr>
                <w:rFonts w:hint="eastAsia" w:ascii="宋体" w:hAnsi="宋体" w:eastAsia="Times New Roman" w:cs="Times New Roman"/>
                <w:kern w:val="0"/>
                <w:szCs w:val="21"/>
                <w:highlight w:val="none"/>
                <w:lang w:eastAsia="zh-CN"/>
              </w:rPr>
              <w:t>。</w:t>
            </w:r>
            <w:r>
              <w:rPr>
                <w:rFonts w:hint="eastAsia" w:ascii="宋体" w:hAnsi="宋体" w:eastAsia="Times New Roman" w:cs="Times New Roman"/>
                <w:kern w:val="0"/>
                <w:szCs w:val="21"/>
                <w:highlight w:val="none"/>
                <w:lang w:val="en-US" w:eastAsia="zh-CN"/>
              </w:rPr>
              <w:t>履约保函为纸质保函的，纸质保函应注明在</w:t>
            </w:r>
            <w:r>
              <w:rPr>
                <w:rFonts w:hint="eastAsia" w:ascii="宋体" w:hAnsi="宋体" w:eastAsia="Times New Roman" w:cs="Times New Roman"/>
                <w:kern w:val="0"/>
                <w:szCs w:val="21"/>
                <w:highlight w:val="none"/>
              </w:rPr>
              <w:t>重庆市辖区范围内的核验地址和核验方式，并确保该纸质保函能在开立人在渝的总部或者分支机构进行核验</w:t>
            </w:r>
            <w:r>
              <w:rPr>
                <w:rFonts w:hint="eastAsia" w:ascii="宋体" w:hAnsi="宋体" w:eastAsia="Times New Roman" w:cs="Times New Roman"/>
                <w:kern w:val="0"/>
                <w:szCs w:val="21"/>
                <w:highlight w:val="none"/>
                <w:lang w:eastAsia="zh-CN"/>
              </w:rPr>
              <w:t>。</w:t>
            </w:r>
            <w:r>
              <w:rPr>
                <w:rFonts w:hint="eastAsia" w:ascii="宋体" w:hAnsi="宋体" w:eastAsia="Times New Roman" w:cs="Times New Roman"/>
                <w:kern w:val="0"/>
                <w:szCs w:val="21"/>
                <w:highlight w:val="none"/>
                <w:lang w:val="en-US" w:eastAsia="zh-CN"/>
              </w:rPr>
              <w:t>中选人对所提交的履约保函的真实性、合法性、有效性负责。</w:t>
            </w:r>
          </w:p>
          <w:p w14:paraId="2F582E96">
            <w:pPr>
              <w:keepNext w:val="0"/>
              <w:keepLines w:val="0"/>
              <w:suppressLineNumbers w:val="0"/>
              <w:snapToGrid w:val="0"/>
              <w:spacing w:before="0" w:beforeAutospacing="0" w:after="0" w:afterAutospacing="0" w:line="400" w:lineRule="exact"/>
              <w:ind w:left="0" w:right="0" w:firstLine="420" w:firstLineChars="200"/>
              <w:rPr>
                <w:rFonts w:hint="eastAsia" w:ascii="宋体" w:hAnsi="宋体" w:eastAsia="Times New Roman" w:cs="Times New Roman"/>
                <w:kern w:val="0"/>
                <w:szCs w:val="21"/>
                <w:highlight w:val="none"/>
              </w:rPr>
            </w:pPr>
            <w:r>
              <w:rPr>
                <w:rFonts w:hint="eastAsia" w:ascii="宋体" w:hAnsi="宋体" w:eastAsia="Times New Roman" w:cs="Times New Roman"/>
                <w:kern w:val="0"/>
                <w:szCs w:val="21"/>
                <w:highlight w:val="none"/>
              </w:rPr>
              <w:t>（</w:t>
            </w:r>
            <w:r>
              <w:rPr>
                <w:rFonts w:hint="eastAsia" w:ascii="宋体" w:hAnsi="宋体" w:eastAsia="Times New Roman" w:cs="Times New Roman"/>
                <w:kern w:val="0"/>
                <w:szCs w:val="21"/>
                <w:highlight w:val="none"/>
                <w:lang w:val="en-US" w:eastAsia="zh-CN"/>
              </w:rPr>
              <w:t>3</w:t>
            </w:r>
            <w:r>
              <w:rPr>
                <w:rFonts w:hint="eastAsia" w:ascii="宋体" w:hAnsi="宋体" w:eastAsia="Times New Roman" w:cs="Times New Roman"/>
                <w:kern w:val="0"/>
                <w:szCs w:val="21"/>
                <w:highlight w:val="none"/>
              </w:rPr>
              <w:t>）履约担保的金额：</w:t>
            </w:r>
            <w:r>
              <w:rPr>
                <w:rFonts w:hint="eastAsia" w:ascii="宋体" w:hAnsi="宋体" w:eastAsia="Times New Roman" w:cs="Times New Roman"/>
                <w:kern w:val="0"/>
                <w:szCs w:val="21"/>
                <w:highlight w:val="none"/>
                <w:u w:val="single"/>
                <w:lang w:eastAsia="zh-CN"/>
              </w:rPr>
              <w:t>中选</w:t>
            </w:r>
            <w:r>
              <w:rPr>
                <w:rFonts w:hint="eastAsia" w:ascii="宋体" w:hAnsi="宋体" w:eastAsia="Times New Roman" w:cs="Times New Roman"/>
                <w:kern w:val="0"/>
                <w:szCs w:val="21"/>
                <w:highlight w:val="none"/>
                <w:u w:val="single"/>
              </w:rPr>
              <w:t>合同金额的10%</w:t>
            </w:r>
            <w:r>
              <w:rPr>
                <w:rFonts w:hint="eastAsia" w:ascii="宋体" w:hAnsi="宋体" w:eastAsia="Times New Roman" w:cs="Times New Roman"/>
                <w:kern w:val="0"/>
                <w:szCs w:val="21"/>
                <w:highlight w:val="none"/>
              </w:rPr>
              <w:t>。</w:t>
            </w:r>
          </w:p>
          <w:p w14:paraId="206EBA01">
            <w:pPr>
              <w:keepNext w:val="0"/>
              <w:keepLines w:val="0"/>
              <w:suppressLineNumbers w:val="0"/>
              <w:snapToGrid w:val="0"/>
              <w:spacing w:before="0" w:beforeAutospacing="0" w:after="0" w:afterAutospacing="0" w:line="400" w:lineRule="exact"/>
              <w:ind w:left="0" w:right="0" w:firstLine="420" w:firstLineChars="200"/>
              <w:rPr>
                <w:rFonts w:hint="eastAsia" w:ascii="宋体" w:hAnsi="宋体" w:eastAsia="Times New Roman" w:cs="Times New Roman"/>
                <w:kern w:val="0"/>
                <w:szCs w:val="21"/>
                <w:highlight w:val="none"/>
              </w:rPr>
            </w:pPr>
            <w:r>
              <w:rPr>
                <w:rFonts w:hint="eastAsia" w:ascii="宋体" w:hAnsi="宋体" w:eastAsia="Times New Roman" w:cs="Times New Roman"/>
                <w:kern w:val="0"/>
                <w:szCs w:val="21"/>
                <w:highlight w:val="none"/>
              </w:rPr>
              <w:t>①红名单优惠：红名单中的</w:t>
            </w:r>
            <w:r>
              <w:rPr>
                <w:rFonts w:hint="eastAsia" w:ascii="宋体" w:hAnsi="宋体" w:eastAsia="Times New Roman" w:cs="Times New Roman"/>
                <w:kern w:val="0"/>
                <w:szCs w:val="21"/>
                <w:highlight w:val="none"/>
                <w:lang w:eastAsia="zh-CN"/>
              </w:rPr>
              <w:t>中选人</w:t>
            </w:r>
            <w:r>
              <w:rPr>
                <w:rFonts w:hint="eastAsia" w:ascii="宋体" w:hAnsi="宋体" w:eastAsia="Times New Roman" w:cs="Times New Roman"/>
                <w:kern w:val="0"/>
                <w:szCs w:val="21"/>
                <w:highlight w:val="none"/>
              </w:rPr>
              <w:t>履约担保金额为应缴纳金额的</w:t>
            </w:r>
          </w:p>
          <w:p w14:paraId="5DCC205E">
            <w:pPr>
              <w:keepNext w:val="0"/>
              <w:keepLines w:val="0"/>
              <w:suppressLineNumbers w:val="0"/>
              <w:snapToGrid w:val="0"/>
              <w:spacing w:before="0" w:beforeAutospacing="0" w:after="0" w:afterAutospacing="0" w:line="400" w:lineRule="exact"/>
              <w:ind w:left="0" w:right="0" w:firstLine="0" w:firstLineChars="0"/>
              <w:rPr>
                <w:rFonts w:hint="eastAsia" w:ascii="宋体" w:hAnsi="宋体" w:eastAsia="Times New Roman" w:cs="Times New Roman"/>
                <w:kern w:val="0"/>
                <w:szCs w:val="21"/>
                <w:highlight w:val="none"/>
                <w:lang w:eastAsia="zh-CN"/>
              </w:rPr>
            </w:pPr>
            <w:r>
              <w:rPr>
                <w:rFonts w:hint="eastAsia" w:ascii="Times New Roman" w:hAnsi="Times New Roman" w:eastAsia="Times New Roman" w:cs="Times New Roman"/>
                <w:highlight w:val="none"/>
                <w:u w:val="single"/>
              </w:rPr>
              <w:t xml:space="preserve"> 50%  </w:t>
            </w:r>
            <w:r>
              <w:rPr>
                <w:rFonts w:hint="eastAsia" w:ascii="宋体" w:hAnsi="宋体" w:eastAsia="Times New Roman" w:cs="Times New Roman"/>
                <w:kern w:val="0"/>
                <w:szCs w:val="21"/>
                <w:highlight w:val="none"/>
                <w:lang w:eastAsia="zh-CN"/>
              </w:rPr>
              <w:t>。</w:t>
            </w:r>
          </w:p>
          <w:p w14:paraId="5AA96F9B">
            <w:pPr>
              <w:keepNext w:val="0"/>
              <w:keepLines w:val="0"/>
              <w:suppressLineNumbers w:val="0"/>
              <w:snapToGrid w:val="0"/>
              <w:spacing w:before="0" w:beforeAutospacing="0" w:after="0" w:afterAutospacing="0" w:line="400" w:lineRule="exact"/>
              <w:ind w:left="0" w:right="0" w:firstLine="420" w:firstLineChars="200"/>
              <w:rPr>
                <w:rFonts w:hint="default" w:ascii="宋体" w:hAnsi="宋体" w:eastAsia="Times New Roman" w:cs="Times New Roman"/>
                <w:i/>
                <w:kern w:val="0"/>
                <w:szCs w:val="21"/>
                <w:highlight w:val="none"/>
              </w:rPr>
            </w:pPr>
            <w:r>
              <w:rPr>
                <w:rFonts w:hint="eastAsia" w:ascii="宋体" w:hAnsi="宋体" w:eastAsia="Times New Roman" w:cs="Times New Roman"/>
                <w:kern w:val="0"/>
                <w:szCs w:val="21"/>
                <w:highlight w:val="none"/>
              </w:rPr>
              <w:t>②红名单认定标准：</w:t>
            </w:r>
            <w:r>
              <w:rPr>
                <w:rFonts w:hint="eastAsia" w:ascii="宋体" w:hAnsi="宋体" w:eastAsia="Times New Roman" w:cs="Times New Roman"/>
                <w:kern w:val="0"/>
                <w:szCs w:val="21"/>
                <w:highlight w:val="none"/>
                <w:lang w:eastAsia="zh-CN"/>
              </w:rPr>
              <w:t>中选人</w:t>
            </w:r>
            <w:r>
              <w:rPr>
                <w:rFonts w:hint="eastAsia" w:ascii="宋体" w:hAnsi="宋体" w:eastAsia="Times New Roman" w:cs="Times New Roman"/>
                <w:kern w:val="0"/>
                <w:szCs w:val="21"/>
                <w:highlight w:val="none"/>
              </w:rPr>
              <w:t>是否属于红名单，以</w:t>
            </w:r>
            <w:r>
              <w:rPr>
                <w:rFonts w:hint="eastAsia" w:ascii="宋体" w:hAnsi="宋体" w:eastAsia="Times New Roman" w:cs="Times New Roman"/>
                <w:kern w:val="0"/>
                <w:szCs w:val="21"/>
                <w:highlight w:val="none"/>
                <w:u w:val="single"/>
              </w:rPr>
              <w:t>开标环节信用状况查询结果</w:t>
            </w:r>
            <w:r>
              <w:rPr>
                <w:rFonts w:hint="eastAsia" w:ascii="宋体" w:hAnsi="宋体" w:eastAsia="Times New Roman" w:cs="Times New Roman"/>
                <w:kern w:val="0"/>
                <w:szCs w:val="21"/>
                <w:highlight w:val="none"/>
              </w:rPr>
              <w:t>为准。</w:t>
            </w:r>
          </w:p>
          <w:p w14:paraId="7CB8EE0F">
            <w:pPr>
              <w:keepNext w:val="0"/>
              <w:keepLines w:val="0"/>
              <w:suppressLineNumbers w:val="0"/>
              <w:snapToGrid w:val="0"/>
              <w:spacing w:before="0" w:beforeAutospacing="0" w:after="0" w:afterAutospacing="0" w:line="400" w:lineRule="exact"/>
              <w:ind w:left="0" w:right="0" w:firstLine="420" w:firstLineChars="200"/>
              <w:rPr>
                <w:rFonts w:hint="default" w:ascii="宋体" w:hAnsi="宋体" w:eastAsia="Times New Roman" w:cs="Times New Roman"/>
                <w:kern w:val="0"/>
                <w:szCs w:val="21"/>
                <w:highlight w:val="none"/>
              </w:rPr>
            </w:pPr>
            <w:r>
              <w:rPr>
                <w:rFonts w:hint="eastAsia" w:ascii="宋体" w:hAnsi="宋体" w:eastAsia="Times New Roman" w:cs="Times New Roman"/>
                <w:kern w:val="0"/>
                <w:szCs w:val="21"/>
                <w:highlight w:val="none"/>
              </w:rPr>
              <w:t>（</w:t>
            </w:r>
            <w:r>
              <w:rPr>
                <w:rFonts w:hint="eastAsia" w:ascii="宋体" w:hAnsi="宋体" w:eastAsia="Times New Roman" w:cs="Times New Roman"/>
                <w:kern w:val="0"/>
                <w:szCs w:val="21"/>
                <w:highlight w:val="none"/>
                <w:lang w:val="en-US" w:eastAsia="zh-CN"/>
              </w:rPr>
              <w:t>4</w:t>
            </w:r>
            <w:r>
              <w:rPr>
                <w:rFonts w:hint="eastAsia" w:ascii="宋体" w:hAnsi="宋体" w:eastAsia="Times New Roman" w:cs="Times New Roman"/>
                <w:kern w:val="0"/>
                <w:szCs w:val="21"/>
                <w:highlight w:val="none"/>
              </w:rPr>
              <w:t>）履约担保的提交时间：签订合同前。</w:t>
            </w:r>
          </w:p>
          <w:p w14:paraId="73E871D5">
            <w:pPr>
              <w:keepNext w:val="0"/>
              <w:keepLines w:val="0"/>
              <w:suppressLineNumbers w:val="0"/>
              <w:snapToGrid w:val="0"/>
              <w:spacing w:before="0" w:beforeAutospacing="0" w:after="0" w:afterAutospacing="0" w:line="400" w:lineRule="exact"/>
              <w:ind w:left="0" w:right="0" w:firstLine="420" w:firstLineChars="200"/>
              <w:rPr>
                <w:rFonts w:hint="default" w:ascii="宋体" w:hAnsi="宋体" w:eastAsia="Times New Roman" w:cs="Times New Roman"/>
                <w:kern w:val="0"/>
                <w:szCs w:val="21"/>
                <w:highlight w:val="none"/>
              </w:rPr>
            </w:pPr>
            <w:r>
              <w:rPr>
                <w:rFonts w:hint="eastAsia" w:ascii="宋体" w:hAnsi="宋体" w:eastAsia="Times New Roman" w:cs="Times New Roman"/>
                <w:kern w:val="0"/>
                <w:szCs w:val="21"/>
                <w:highlight w:val="none"/>
              </w:rPr>
              <w:t>（</w:t>
            </w:r>
            <w:r>
              <w:rPr>
                <w:rFonts w:hint="eastAsia" w:ascii="宋体" w:hAnsi="宋体" w:eastAsia="Times New Roman" w:cs="Times New Roman"/>
                <w:kern w:val="0"/>
                <w:szCs w:val="21"/>
                <w:highlight w:val="none"/>
                <w:lang w:val="en-US" w:eastAsia="zh-CN"/>
              </w:rPr>
              <w:t>5</w:t>
            </w:r>
            <w:r>
              <w:rPr>
                <w:rFonts w:hint="eastAsia" w:ascii="宋体" w:hAnsi="宋体" w:eastAsia="Times New Roman" w:cs="Times New Roman"/>
                <w:kern w:val="0"/>
                <w:szCs w:val="21"/>
                <w:highlight w:val="none"/>
              </w:rPr>
              <w:t>）履约担保的期限：</w:t>
            </w:r>
            <w:r>
              <w:rPr>
                <w:rFonts w:hint="eastAsia" w:ascii="宋体" w:hAnsi="宋体" w:eastAsia="宋体" w:cs="Times New Roman"/>
                <w:kern w:val="0"/>
                <w:szCs w:val="21"/>
                <w:highlight w:val="none"/>
                <w:lang w:val="en-US" w:eastAsia="zh-CN"/>
              </w:rPr>
              <w:t>至完工验收</w:t>
            </w:r>
            <w:r>
              <w:rPr>
                <w:rFonts w:hint="eastAsia" w:ascii="宋体" w:hAnsi="宋体" w:eastAsia="Times New Roman" w:cs="Times New Roman"/>
                <w:kern w:val="0"/>
                <w:szCs w:val="21"/>
                <w:highlight w:val="none"/>
              </w:rPr>
              <w:t>。</w:t>
            </w:r>
          </w:p>
          <w:p w14:paraId="754BC90D">
            <w:pPr>
              <w:keepNext w:val="0"/>
              <w:keepLines w:val="0"/>
              <w:suppressLineNumbers w:val="0"/>
              <w:tabs>
                <w:tab w:val="left" w:pos="2032"/>
              </w:tabs>
              <w:autoSpaceDE w:val="0"/>
              <w:autoSpaceDN w:val="0"/>
              <w:adjustRightInd w:val="0"/>
              <w:spacing w:before="0" w:beforeAutospacing="0" w:after="0" w:afterAutospacing="0" w:line="360" w:lineRule="auto"/>
              <w:ind w:left="0" w:right="-127" w:firstLine="420" w:firstLineChars="200"/>
              <w:jc w:val="left"/>
              <w:rPr>
                <w:rFonts w:hint="eastAsia" w:ascii="宋体" w:hAnsi="宋体" w:eastAsia="宋体" w:cs="宋体"/>
                <w:strike w:val="0"/>
                <w:dstrike w:val="0"/>
                <w:color w:val="auto"/>
                <w:kern w:val="0"/>
                <w:szCs w:val="21"/>
                <w:highlight w:val="none"/>
                <w:lang w:eastAsia="zh-CN"/>
              </w:rPr>
            </w:pPr>
            <w:r>
              <w:rPr>
                <w:rFonts w:hint="eastAsia" w:ascii="宋体" w:hAnsi="宋体" w:eastAsia="Times New Roman" w:cs="Times New Roman"/>
                <w:kern w:val="0"/>
                <w:szCs w:val="21"/>
                <w:highlight w:val="none"/>
              </w:rPr>
              <w:t>（</w:t>
            </w:r>
            <w:r>
              <w:rPr>
                <w:rFonts w:hint="eastAsia" w:ascii="宋体" w:hAnsi="宋体" w:eastAsia="Times New Roman" w:cs="Times New Roman"/>
                <w:kern w:val="0"/>
                <w:szCs w:val="21"/>
                <w:highlight w:val="none"/>
                <w:lang w:val="en-US" w:eastAsia="zh-CN"/>
              </w:rPr>
              <w:t>6</w:t>
            </w:r>
            <w:r>
              <w:rPr>
                <w:rFonts w:hint="eastAsia" w:ascii="宋体" w:hAnsi="宋体" w:eastAsia="Times New Roman" w:cs="Times New Roman"/>
                <w:kern w:val="0"/>
                <w:szCs w:val="21"/>
                <w:highlight w:val="none"/>
              </w:rPr>
              <w:t>）履约担保的退还时间：</w:t>
            </w:r>
            <w:r>
              <w:rPr>
                <w:rFonts w:hint="default" w:ascii="宋体" w:hAnsi="宋体" w:eastAsia="Times New Roman" w:cs="Times New Roman"/>
                <w:kern w:val="0"/>
                <w:szCs w:val="21"/>
                <w:highlight w:val="none"/>
              </w:rPr>
              <w:t>履约完成后一次性无息退还。</w:t>
            </w:r>
          </w:p>
        </w:tc>
      </w:tr>
      <w:tr w14:paraId="7B08D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tcBorders>
              <w:top w:val="single" w:color="auto" w:sz="4" w:space="0"/>
              <w:left w:val="single" w:color="auto" w:sz="4" w:space="0"/>
              <w:bottom w:val="single" w:color="auto" w:sz="4" w:space="0"/>
              <w:right w:val="single" w:color="auto" w:sz="4" w:space="0"/>
            </w:tcBorders>
            <w:noWrap w:val="0"/>
            <w:vAlign w:val="center"/>
          </w:tcPr>
          <w:p w14:paraId="292CD161">
            <w:pPr>
              <w:keepNext w:val="0"/>
              <w:keepLines w:val="0"/>
              <w:suppressLineNumbers w:val="0"/>
              <w:autoSpaceDE w:val="0"/>
              <w:autoSpaceDN w:val="0"/>
              <w:adjustRightInd w:val="0"/>
              <w:spacing w:before="0" w:beforeAutospacing="0" w:after="0" w:afterAutospacing="0" w:line="360" w:lineRule="auto"/>
              <w:ind w:left="0" w:right="-20"/>
              <w:jc w:val="center"/>
              <w:rPr>
                <w:rFonts w:hint="default" w:ascii="宋体" w:hAnsi="宋体" w:eastAsia="宋体" w:cs="宋体"/>
                <w:strike w:val="0"/>
                <w:dstrike w:val="0"/>
                <w:color w:val="auto"/>
                <w:kern w:val="0"/>
                <w:szCs w:val="21"/>
                <w:highlight w:val="none"/>
                <w:lang w:val="en-US" w:eastAsia="zh-CN"/>
              </w:rPr>
            </w:pPr>
            <w:r>
              <w:rPr>
                <w:rFonts w:hint="eastAsia" w:ascii="宋体" w:hAnsi="宋体" w:cs="宋体"/>
                <w:strike w:val="0"/>
                <w:dstrike w:val="0"/>
                <w:color w:val="auto"/>
                <w:kern w:val="0"/>
                <w:szCs w:val="21"/>
                <w:highlight w:val="none"/>
                <w:lang w:val="en-US" w:eastAsia="zh-CN"/>
              </w:rPr>
              <w:t>7.4</w:t>
            </w:r>
          </w:p>
        </w:tc>
        <w:tc>
          <w:tcPr>
            <w:tcW w:w="1714" w:type="dxa"/>
            <w:gridSpan w:val="2"/>
            <w:tcBorders>
              <w:top w:val="single" w:color="auto" w:sz="4" w:space="0"/>
              <w:left w:val="single" w:color="auto" w:sz="4" w:space="0"/>
              <w:bottom w:val="single" w:color="auto" w:sz="4" w:space="0"/>
              <w:right w:val="single" w:color="auto" w:sz="4" w:space="0"/>
            </w:tcBorders>
            <w:noWrap w:val="0"/>
            <w:vAlign w:val="center"/>
          </w:tcPr>
          <w:p w14:paraId="485EE07A">
            <w:pPr>
              <w:keepNext w:val="0"/>
              <w:keepLines w:val="0"/>
              <w:suppressLineNumbers w:val="0"/>
              <w:tabs>
                <w:tab w:val="left" w:pos="499"/>
                <w:tab w:val="left" w:pos="2032"/>
              </w:tabs>
              <w:autoSpaceDE w:val="0"/>
              <w:autoSpaceDN w:val="0"/>
              <w:adjustRightInd w:val="0"/>
              <w:spacing w:before="0" w:beforeAutospacing="0" w:after="0" w:afterAutospacing="0" w:line="360" w:lineRule="auto"/>
              <w:ind w:left="0" w:right="-127"/>
              <w:jc w:val="left"/>
              <w:rPr>
                <w:rFonts w:hint="default" w:ascii="宋体" w:hAnsi="宋体" w:eastAsia="宋体" w:cs="宋体"/>
                <w:strike w:val="0"/>
                <w:dstrike w:val="0"/>
                <w:color w:val="auto"/>
                <w:kern w:val="0"/>
                <w:szCs w:val="21"/>
                <w:highlight w:val="none"/>
                <w:lang w:val="en-US" w:eastAsia="zh-CN"/>
              </w:rPr>
            </w:pPr>
            <w:r>
              <w:rPr>
                <w:rFonts w:hint="eastAsia" w:ascii="宋体" w:hAnsi="宋体" w:cs="宋体"/>
                <w:strike w:val="0"/>
                <w:dstrike w:val="0"/>
                <w:color w:val="auto"/>
                <w:kern w:val="0"/>
                <w:szCs w:val="21"/>
                <w:highlight w:val="none"/>
                <w:lang w:eastAsia="zh-CN"/>
              </w:rPr>
              <w:tab/>
            </w:r>
            <w:r>
              <w:rPr>
                <w:rFonts w:hint="eastAsia" w:ascii="宋体" w:hAnsi="宋体" w:cs="宋体"/>
                <w:strike w:val="0"/>
                <w:dstrike w:val="0"/>
                <w:color w:val="auto"/>
                <w:kern w:val="0"/>
                <w:szCs w:val="21"/>
                <w:highlight w:val="none"/>
                <w:lang w:val="en-US" w:eastAsia="zh-CN"/>
              </w:rPr>
              <w:t>签订合同</w:t>
            </w:r>
          </w:p>
        </w:tc>
        <w:tc>
          <w:tcPr>
            <w:tcW w:w="6884" w:type="dxa"/>
            <w:tcBorders>
              <w:top w:val="single" w:color="auto" w:sz="4" w:space="0"/>
              <w:left w:val="single" w:color="auto" w:sz="4" w:space="0"/>
              <w:bottom w:val="single" w:color="auto" w:sz="4" w:space="0"/>
              <w:right w:val="single" w:color="auto" w:sz="4" w:space="0"/>
            </w:tcBorders>
            <w:noWrap w:val="0"/>
            <w:vAlign w:val="center"/>
          </w:tcPr>
          <w:p w14:paraId="459D4C75">
            <w:pPr>
              <w:keepNext w:val="0"/>
              <w:keepLines w:val="0"/>
              <w:suppressLineNumbers w:val="0"/>
              <w:tabs>
                <w:tab w:val="left" w:pos="2032"/>
              </w:tabs>
              <w:autoSpaceDE w:val="0"/>
              <w:autoSpaceDN w:val="0"/>
              <w:adjustRightInd w:val="0"/>
              <w:spacing w:before="0" w:beforeAutospacing="0" w:after="0" w:afterAutospacing="0" w:line="360" w:lineRule="auto"/>
              <w:ind w:left="0" w:right="-127" w:firstLine="420" w:firstLineChars="200"/>
              <w:jc w:val="left"/>
              <w:rPr>
                <w:rFonts w:hint="eastAsia" w:ascii="宋体" w:hAnsi="宋体" w:eastAsia="Times New Roman" w:cs="Times New Roman"/>
                <w:kern w:val="0"/>
                <w:szCs w:val="21"/>
                <w:highlight w:val="none"/>
              </w:rPr>
            </w:pPr>
            <w:r>
              <w:rPr>
                <w:rFonts w:hint="eastAsia" w:ascii="宋体" w:hAnsi="宋体"/>
                <w:color w:val="auto"/>
                <w:kern w:val="0"/>
                <w:szCs w:val="21"/>
                <w:lang w:val="en-US" w:eastAsia="zh-CN"/>
              </w:rPr>
              <w:t>招标人和中标人应当自中标通知书发出之日起5天内</w:t>
            </w:r>
            <w:r>
              <w:rPr>
                <w:rFonts w:hint="eastAsia" w:ascii="宋体" w:hAnsi="宋体"/>
                <w:color w:val="auto"/>
                <w:kern w:val="0"/>
                <w:szCs w:val="21"/>
              </w:rPr>
              <w:t>，</w:t>
            </w:r>
            <w:r>
              <w:rPr>
                <w:rFonts w:hint="eastAsia" w:ascii="宋体" w:hAnsi="宋体"/>
                <w:color w:val="auto"/>
                <w:kern w:val="0"/>
                <w:szCs w:val="21"/>
                <w:lang w:val="en-US" w:eastAsia="zh-CN"/>
              </w:rPr>
              <w:t>根据招标文件和中标人的投标文件订立书面合同。中标人放弃中标项目，无正当理由不与招标人签订合同，在签订合同时向招标人提出附件条件或者不按招标文件要求提供相关纸质证明材料的或者更改合同实质性内容，或不按照招标文件要求提交低价风险担保（适用于经评审最低投标价法）或履约保证金的，招标人取消其中标资格，其投标保证金不予退还：给招标人造成的损失超过投标保证金数额的，中标人还应当对超过部分予以赔偿。</w:t>
            </w:r>
            <w:r>
              <w:rPr>
                <w:rFonts w:hint="eastAsia" w:ascii="宋体" w:hAnsi="宋体"/>
                <w:color w:val="auto"/>
                <w:kern w:val="0"/>
                <w:szCs w:val="21"/>
              </w:rPr>
              <w:t>中标候选人有《招标投标法实施条例》第七十四条规定行为的，视为特别严重信用不良行为且情节特别严重，按信用记分上限一次性记12分，纳入黑名单管理；中标人有《招标投标法实施条例》第七十四条规定行为的，按中标项目金额10‰罚款上限予以行政处罚，按信用记分上限一次性并处记12分，纳入黑名单管理。</w:t>
            </w:r>
          </w:p>
        </w:tc>
      </w:tr>
      <w:tr w14:paraId="4EF92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tcBorders>
              <w:top w:val="single" w:color="auto" w:sz="4" w:space="0"/>
              <w:left w:val="single" w:color="auto" w:sz="4" w:space="0"/>
              <w:bottom w:val="single" w:color="auto" w:sz="4" w:space="0"/>
              <w:right w:val="single" w:color="auto" w:sz="4" w:space="0"/>
            </w:tcBorders>
            <w:noWrap w:val="0"/>
            <w:vAlign w:val="center"/>
          </w:tcPr>
          <w:p w14:paraId="48E1014B">
            <w:pPr>
              <w:keepNext w:val="0"/>
              <w:keepLines w:val="0"/>
              <w:suppressLineNumbers w:val="0"/>
              <w:autoSpaceDE w:val="0"/>
              <w:autoSpaceDN w:val="0"/>
              <w:adjustRightInd w:val="0"/>
              <w:spacing w:before="0" w:beforeAutospacing="0" w:after="0" w:afterAutospacing="0" w:line="360" w:lineRule="auto"/>
              <w:ind w:left="0"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w:t>
            </w:r>
          </w:p>
        </w:tc>
        <w:tc>
          <w:tcPr>
            <w:tcW w:w="1714" w:type="dxa"/>
            <w:gridSpan w:val="2"/>
            <w:tcBorders>
              <w:top w:val="single" w:color="auto" w:sz="4" w:space="0"/>
              <w:left w:val="single" w:color="auto" w:sz="4" w:space="0"/>
              <w:bottom w:val="single" w:color="auto" w:sz="4" w:space="0"/>
              <w:right w:val="single" w:color="auto" w:sz="4" w:space="0"/>
            </w:tcBorders>
            <w:noWrap w:val="0"/>
            <w:vAlign w:val="center"/>
          </w:tcPr>
          <w:p w14:paraId="0EC20AAA">
            <w:pPr>
              <w:keepNext w:val="0"/>
              <w:keepLines w:val="0"/>
              <w:suppressLineNumbers w:val="0"/>
              <w:tabs>
                <w:tab w:val="left" w:pos="2032"/>
              </w:tabs>
              <w:autoSpaceDE w:val="0"/>
              <w:autoSpaceDN w:val="0"/>
              <w:adjustRightInd w:val="0"/>
              <w:spacing w:before="0" w:beforeAutospacing="0" w:after="0" w:afterAutospacing="0" w:line="360" w:lineRule="auto"/>
              <w:ind w:left="0" w:right="-12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重新比选</w:t>
            </w:r>
          </w:p>
        </w:tc>
        <w:tc>
          <w:tcPr>
            <w:tcW w:w="6884" w:type="dxa"/>
            <w:tcBorders>
              <w:top w:val="single" w:color="auto" w:sz="4" w:space="0"/>
              <w:left w:val="single" w:color="auto" w:sz="4" w:space="0"/>
              <w:bottom w:val="single" w:color="auto" w:sz="4" w:space="0"/>
              <w:right w:val="single" w:color="auto" w:sz="4" w:space="0"/>
            </w:tcBorders>
            <w:noWrap w:val="0"/>
            <w:vAlign w:val="center"/>
          </w:tcPr>
          <w:p w14:paraId="255BB424">
            <w:pPr>
              <w:keepNext w:val="0"/>
              <w:keepLines w:val="0"/>
              <w:suppressLineNumbers w:val="0"/>
              <w:autoSpaceDE w:val="0"/>
              <w:snapToGrid w:val="0"/>
              <w:spacing w:before="0" w:beforeAutospacing="0" w:after="0" w:afterAutospacing="0" w:line="360" w:lineRule="auto"/>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有下列情形之一的，比选人可以重新公开竞争性比选：</w:t>
            </w:r>
          </w:p>
          <w:p w14:paraId="1B6AE7F0">
            <w:pPr>
              <w:keepNext w:val="0"/>
              <w:keepLines w:val="0"/>
              <w:suppressLineNumbers w:val="0"/>
              <w:autoSpaceDE w:val="0"/>
              <w:snapToGrid w:val="0"/>
              <w:spacing w:before="0" w:beforeAutospacing="0" w:after="0" w:afterAutospacing="0" w:line="360" w:lineRule="auto"/>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（1）比选申请截止时间止，比选申请人少于3个的；</w:t>
            </w:r>
          </w:p>
          <w:p w14:paraId="58F54ED5">
            <w:pPr>
              <w:keepNext w:val="0"/>
              <w:keepLines w:val="0"/>
              <w:suppressLineNumbers w:val="0"/>
              <w:autoSpaceDE w:val="0"/>
              <w:snapToGrid w:val="0"/>
              <w:spacing w:before="0" w:beforeAutospacing="0" w:after="0" w:afterAutospacing="0" w:line="360" w:lineRule="auto"/>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（2）经评选委员会评审后否决所有比选申请的；</w:t>
            </w:r>
          </w:p>
          <w:p w14:paraId="33C758A2">
            <w:pPr>
              <w:keepNext w:val="0"/>
              <w:keepLines w:val="0"/>
              <w:suppressLineNumbers w:val="0"/>
              <w:autoSpaceDE w:val="0"/>
              <w:snapToGrid w:val="0"/>
              <w:spacing w:before="0" w:beforeAutospacing="0" w:after="0" w:afterAutospacing="0" w:line="360" w:lineRule="auto"/>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（3）法律法规规定的其他情形。</w:t>
            </w:r>
          </w:p>
          <w:p w14:paraId="374C33BF">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注：公开比选的项目的部分比选申请被否决，导致有效比选申请人不足三个的，评选委员会应当继续评选并确定中选候选人。</w:t>
            </w:r>
          </w:p>
        </w:tc>
      </w:tr>
      <w:tr w14:paraId="76786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tcBorders>
              <w:top w:val="single" w:color="auto" w:sz="4" w:space="0"/>
              <w:left w:val="single" w:color="auto" w:sz="4" w:space="0"/>
              <w:bottom w:val="single" w:color="auto" w:sz="4" w:space="0"/>
              <w:right w:val="single" w:color="auto" w:sz="4" w:space="0"/>
            </w:tcBorders>
            <w:noWrap w:val="0"/>
            <w:vAlign w:val="center"/>
          </w:tcPr>
          <w:p w14:paraId="0998B82E">
            <w:pPr>
              <w:keepNext w:val="0"/>
              <w:keepLines w:val="0"/>
              <w:suppressLineNumbers w:val="0"/>
              <w:autoSpaceDE w:val="0"/>
              <w:autoSpaceDN w:val="0"/>
              <w:adjustRightInd w:val="0"/>
              <w:spacing w:before="0" w:beforeAutospacing="0" w:after="0" w:afterAutospacing="0" w:line="360" w:lineRule="auto"/>
              <w:ind w:left="0"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w:t>
            </w:r>
          </w:p>
        </w:tc>
        <w:tc>
          <w:tcPr>
            <w:tcW w:w="1714" w:type="dxa"/>
            <w:gridSpan w:val="2"/>
            <w:tcBorders>
              <w:top w:val="single" w:color="auto" w:sz="4" w:space="0"/>
              <w:left w:val="single" w:color="auto" w:sz="4" w:space="0"/>
              <w:bottom w:val="single" w:color="auto" w:sz="4" w:space="0"/>
              <w:right w:val="single" w:color="auto" w:sz="4" w:space="0"/>
            </w:tcBorders>
            <w:noWrap w:val="0"/>
            <w:vAlign w:val="center"/>
          </w:tcPr>
          <w:p w14:paraId="1A069B4C">
            <w:pPr>
              <w:keepNext w:val="0"/>
              <w:keepLines w:val="0"/>
              <w:suppressLineNumbers w:val="0"/>
              <w:tabs>
                <w:tab w:val="left" w:pos="2032"/>
              </w:tabs>
              <w:autoSpaceDE w:val="0"/>
              <w:autoSpaceDN w:val="0"/>
              <w:adjustRightInd w:val="0"/>
              <w:spacing w:before="0" w:beforeAutospacing="0" w:after="0" w:afterAutospacing="0" w:line="360" w:lineRule="auto"/>
              <w:ind w:left="0" w:right="-127"/>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二次比选和不再比选</w:t>
            </w:r>
          </w:p>
        </w:tc>
        <w:tc>
          <w:tcPr>
            <w:tcW w:w="6884" w:type="dxa"/>
            <w:tcBorders>
              <w:top w:val="single" w:color="auto" w:sz="4" w:space="0"/>
              <w:left w:val="single" w:color="auto" w:sz="4" w:space="0"/>
              <w:bottom w:val="single" w:color="auto" w:sz="4" w:space="0"/>
              <w:right w:val="single" w:color="auto" w:sz="4" w:space="0"/>
            </w:tcBorders>
            <w:noWrap w:val="0"/>
            <w:vAlign w:val="center"/>
          </w:tcPr>
          <w:p w14:paraId="1FD9130B">
            <w:pPr>
              <w:keepNext w:val="0"/>
              <w:keepLines w:val="0"/>
              <w:suppressLineNumbers w:val="0"/>
              <w:snapToGrid w:val="0"/>
              <w:spacing w:before="0" w:beforeAutospacing="0" w:after="0" w:afterAutospacing="0" w:line="360" w:lineRule="auto"/>
              <w:ind w:left="0" w:right="0"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color w:val="auto"/>
                <w:szCs w:val="21"/>
                <w:highlight w:val="none"/>
              </w:rPr>
              <w:t>重新公开竞争性比选后比选申请人仍少于3人，按法定程序开标和评标，确定</w:t>
            </w:r>
            <w:r>
              <w:rPr>
                <w:rFonts w:hint="eastAsia" w:ascii="宋体" w:hAnsi="宋体" w:eastAsia="宋体" w:cs="宋体"/>
                <w:color w:val="auto"/>
                <w:szCs w:val="21"/>
                <w:highlight w:val="none"/>
                <w:lang w:eastAsia="zh-CN"/>
              </w:rPr>
              <w:t>中选人</w:t>
            </w:r>
            <w:r>
              <w:rPr>
                <w:rFonts w:hint="eastAsia" w:ascii="宋体" w:hAnsi="宋体" w:eastAsia="宋体" w:cs="宋体"/>
                <w:color w:val="auto"/>
                <w:szCs w:val="21"/>
                <w:highlight w:val="none"/>
              </w:rPr>
              <w:t>。经评审无合格比选申请人，报经原审批部门批准可以不再比选。</w:t>
            </w:r>
          </w:p>
        </w:tc>
      </w:tr>
      <w:tr w14:paraId="1CBF7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53" w:type="dxa"/>
            <w:tcBorders>
              <w:top w:val="single" w:color="auto" w:sz="4" w:space="0"/>
              <w:left w:val="single" w:color="auto" w:sz="4" w:space="0"/>
              <w:bottom w:val="single" w:color="auto" w:sz="4" w:space="0"/>
              <w:right w:val="single" w:color="auto" w:sz="4" w:space="0"/>
            </w:tcBorders>
            <w:noWrap w:val="0"/>
            <w:vAlign w:val="center"/>
          </w:tcPr>
          <w:p w14:paraId="07D22EA0">
            <w:pPr>
              <w:keepNext w:val="0"/>
              <w:keepLines w:val="0"/>
              <w:suppressLineNumbers w:val="0"/>
              <w:autoSpaceDE w:val="0"/>
              <w:autoSpaceDN w:val="0"/>
              <w:adjustRightInd w:val="0"/>
              <w:spacing w:before="0" w:beforeAutospacing="0" w:after="0" w:afterAutospacing="0" w:line="360" w:lineRule="auto"/>
              <w:ind w:left="0"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598" w:type="dxa"/>
            <w:gridSpan w:val="3"/>
            <w:tcBorders>
              <w:top w:val="single" w:color="auto" w:sz="4" w:space="0"/>
              <w:left w:val="single" w:color="auto" w:sz="4" w:space="0"/>
              <w:bottom w:val="single" w:color="auto" w:sz="4" w:space="0"/>
              <w:right w:val="single" w:color="auto" w:sz="4" w:space="0"/>
            </w:tcBorders>
            <w:noWrap w:val="0"/>
            <w:vAlign w:val="center"/>
          </w:tcPr>
          <w:p w14:paraId="5AD4F1BA">
            <w:pPr>
              <w:keepNext w:val="0"/>
              <w:keepLines w:val="0"/>
              <w:suppressLineNumbers w:val="0"/>
              <w:autoSpaceDE w:val="0"/>
              <w:autoSpaceDN w:val="0"/>
              <w:adjustRightInd w:val="0"/>
              <w:spacing w:before="0" w:beforeAutospacing="0" w:after="0" w:afterAutospacing="0" w:line="360" w:lineRule="auto"/>
              <w:ind w:left="0"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需要补充的其他内容</w:t>
            </w:r>
          </w:p>
        </w:tc>
      </w:tr>
      <w:tr w14:paraId="00C02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953" w:type="dxa"/>
            <w:vMerge w:val="restart"/>
            <w:tcBorders>
              <w:top w:val="single" w:color="auto" w:sz="4" w:space="0"/>
              <w:left w:val="single" w:color="auto" w:sz="4" w:space="0"/>
              <w:right w:val="single" w:color="auto" w:sz="4" w:space="0"/>
            </w:tcBorders>
            <w:noWrap w:val="0"/>
            <w:vAlign w:val="center"/>
          </w:tcPr>
          <w:p w14:paraId="187ECA8B">
            <w:pPr>
              <w:keepNext w:val="0"/>
              <w:keepLines w:val="0"/>
              <w:suppressLineNumbers w:val="0"/>
              <w:autoSpaceDE w:val="0"/>
              <w:autoSpaceDN w:val="0"/>
              <w:adjustRightInd w:val="0"/>
              <w:spacing w:before="0" w:beforeAutospacing="0" w:after="0" w:afterAutospacing="0" w:line="360" w:lineRule="auto"/>
              <w:ind w:left="0" w:right="-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w:t>
            </w:r>
          </w:p>
        </w:tc>
        <w:tc>
          <w:tcPr>
            <w:tcW w:w="857" w:type="dxa"/>
            <w:vMerge w:val="restart"/>
            <w:tcBorders>
              <w:top w:val="single" w:color="auto" w:sz="4" w:space="0"/>
              <w:left w:val="single" w:color="auto" w:sz="4" w:space="0"/>
              <w:right w:val="single" w:color="auto" w:sz="4" w:space="0"/>
            </w:tcBorders>
            <w:noWrap w:val="0"/>
            <w:vAlign w:val="center"/>
          </w:tcPr>
          <w:p w14:paraId="1B50B668">
            <w:pPr>
              <w:keepNext w:val="0"/>
              <w:keepLines w:val="0"/>
              <w:suppressLineNumbers w:val="0"/>
              <w:tabs>
                <w:tab w:val="left" w:pos="2032"/>
              </w:tabs>
              <w:autoSpaceDE w:val="0"/>
              <w:autoSpaceDN w:val="0"/>
              <w:adjustRightInd w:val="0"/>
              <w:spacing w:before="0" w:beforeAutospacing="0" w:after="0" w:afterAutospacing="0" w:line="360" w:lineRule="auto"/>
              <w:ind w:left="0" w:right="-12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工程款支付</w:t>
            </w:r>
          </w:p>
        </w:tc>
        <w:tc>
          <w:tcPr>
            <w:tcW w:w="857" w:type="dxa"/>
            <w:tcBorders>
              <w:top w:val="single" w:color="auto" w:sz="4" w:space="0"/>
              <w:left w:val="single" w:color="auto" w:sz="4" w:space="0"/>
              <w:right w:val="single" w:color="auto" w:sz="4" w:space="0"/>
            </w:tcBorders>
            <w:noWrap w:val="0"/>
            <w:vAlign w:val="center"/>
          </w:tcPr>
          <w:p w14:paraId="157AC0CE">
            <w:pPr>
              <w:keepNext w:val="0"/>
              <w:keepLines w:val="0"/>
              <w:suppressLineNumbers w:val="0"/>
              <w:tabs>
                <w:tab w:val="left" w:pos="2032"/>
              </w:tabs>
              <w:autoSpaceDE w:val="0"/>
              <w:autoSpaceDN w:val="0"/>
              <w:adjustRightInd w:val="0"/>
              <w:spacing w:before="0" w:beforeAutospacing="0" w:after="0" w:afterAutospacing="0" w:line="360" w:lineRule="auto"/>
              <w:ind w:left="0" w:right="-127"/>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1标段</w:t>
            </w:r>
          </w:p>
        </w:tc>
        <w:tc>
          <w:tcPr>
            <w:tcW w:w="6884" w:type="dxa"/>
            <w:tcBorders>
              <w:top w:val="single" w:color="auto" w:sz="4" w:space="0"/>
              <w:left w:val="single" w:color="auto" w:sz="4" w:space="0"/>
              <w:bottom w:val="single" w:color="auto" w:sz="4" w:space="0"/>
              <w:right w:val="single" w:color="auto" w:sz="4" w:space="0"/>
            </w:tcBorders>
            <w:noWrap w:val="0"/>
            <w:vAlign w:val="center"/>
          </w:tcPr>
          <w:p w14:paraId="114866C4">
            <w:pPr>
              <w:keepNext w:val="0"/>
              <w:keepLines w:val="0"/>
              <w:suppressLineNumbers w:val="0"/>
              <w:snapToGrid w:val="0"/>
              <w:spacing w:before="0" w:beforeAutospacing="0" w:after="0" w:afterAutospacing="0" w:line="360" w:lineRule="auto"/>
              <w:ind w:left="0" w:right="0" w:firstLine="420" w:firstLineChars="200"/>
              <w:jc w:val="left"/>
              <w:rPr>
                <w:rFonts w:hint="default" w:ascii="宋体" w:hAnsi="宋体" w:eastAsia="宋体" w:cs="宋体"/>
                <w:snapToGrid w:val="0"/>
                <w:color w:val="auto"/>
                <w:kern w:val="0"/>
                <w:szCs w:val="21"/>
                <w:highlight w:val="none"/>
                <w:lang w:val="en-US" w:eastAsia="zh-CN"/>
              </w:rPr>
            </w:pPr>
            <w:r>
              <w:rPr>
                <w:rFonts w:hint="default" w:ascii="宋体" w:hAnsi="宋体" w:eastAsia="宋体" w:cs="宋体"/>
                <w:snapToGrid w:val="0"/>
                <w:color w:val="auto"/>
                <w:kern w:val="0"/>
                <w:szCs w:val="21"/>
                <w:highlight w:val="none"/>
                <w:lang w:val="en-US" w:eastAsia="zh-CN"/>
              </w:rPr>
              <w:t>1、内机全部设备到场后支付合同总价的</w:t>
            </w:r>
            <w:r>
              <w:rPr>
                <w:rFonts w:hint="eastAsia" w:ascii="宋体" w:hAnsi="宋体" w:cs="宋体"/>
                <w:snapToGrid w:val="0"/>
                <w:color w:val="auto"/>
                <w:kern w:val="0"/>
                <w:szCs w:val="21"/>
                <w:highlight w:val="none"/>
                <w:lang w:val="en-US" w:eastAsia="zh-CN"/>
              </w:rPr>
              <w:t>3</w:t>
            </w:r>
            <w:r>
              <w:rPr>
                <w:rFonts w:hint="default" w:ascii="宋体" w:hAnsi="宋体" w:eastAsia="宋体" w:cs="宋体"/>
                <w:snapToGrid w:val="0"/>
                <w:color w:val="auto"/>
                <w:kern w:val="0"/>
                <w:szCs w:val="21"/>
                <w:highlight w:val="none"/>
                <w:lang w:val="en-US" w:eastAsia="zh-CN"/>
              </w:rPr>
              <w:t>0%</w:t>
            </w:r>
            <w:r>
              <w:rPr>
                <w:rFonts w:hint="eastAsia" w:ascii="宋体" w:hAnsi="宋体" w:cs="宋体"/>
                <w:snapToGrid w:val="0"/>
                <w:color w:val="auto"/>
                <w:kern w:val="0"/>
                <w:szCs w:val="21"/>
                <w:highlight w:val="none"/>
                <w:lang w:val="en-US" w:eastAsia="zh-CN"/>
              </w:rPr>
              <w:t>，</w:t>
            </w:r>
            <w:r>
              <w:rPr>
                <w:rFonts w:hint="default" w:ascii="宋体" w:hAnsi="宋体" w:eastAsia="宋体" w:cs="宋体"/>
                <w:snapToGrid w:val="0"/>
                <w:color w:val="auto"/>
                <w:kern w:val="0"/>
                <w:szCs w:val="21"/>
                <w:highlight w:val="none"/>
                <w:lang w:val="en-US" w:eastAsia="zh-CN"/>
              </w:rPr>
              <w:t>外机全部设备到场后支付合同总价的</w:t>
            </w:r>
            <w:r>
              <w:rPr>
                <w:rFonts w:hint="eastAsia" w:ascii="宋体" w:hAnsi="宋体" w:cs="宋体"/>
                <w:snapToGrid w:val="0"/>
                <w:color w:val="auto"/>
                <w:kern w:val="0"/>
                <w:szCs w:val="21"/>
                <w:highlight w:val="none"/>
                <w:lang w:val="en-US" w:eastAsia="zh-CN"/>
              </w:rPr>
              <w:t>30</w:t>
            </w:r>
            <w:r>
              <w:rPr>
                <w:rFonts w:hint="default" w:ascii="宋体" w:hAnsi="宋体" w:eastAsia="宋体" w:cs="宋体"/>
                <w:snapToGrid w:val="0"/>
                <w:color w:val="auto"/>
                <w:kern w:val="0"/>
                <w:szCs w:val="21"/>
                <w:highlight w:val="none"/>
                <w:lang w:val="en-US" w:eastAsia="zh-CN"/>
              </w:rPr>
              <w:t>%；</w:t>
            </w:r>
          </w:p>
          <w:p w14:paraId="3DBB532B">
            <w:pPr>
              <w:keepNext w:val="0"/>
              <w:keepLines w:val="0"/>
              <w:suppressLineNumbers w:val="0"/>
              <w:snapToGrid w:val="0"/>
              <w:spacing w:before="0" w:beforeAutospacing="0" w:after="0" w:afterAutospacing="0" w:line="360" w:lineRule="auto"/>
              <w:ind w:left="0" w:right="0" w:firstLine="420" w:firstLineChars="200"/>
              <w:jc w:val="left"/>
              <w:rPr>
                <w:rFonts w:hint="default" w:ascii="宋体" w:hAnsi="宋体" w:eastAsia="宋体" w:cs="宋体"/>
                <w:snapToGrid w:val="0"/>
                <w:color w:val="auto"/>
                <w:kern w:val="0"/>
                <w:szCs w:val="21"/>
                <w:highlight w:val="none"/>
                <w:lang w:val="en-US" w:eastAsia="zh-CN"/>
              </w:rPr>
            </w:pPr>
            <w:r>
              <w:rPr>
                <w:rFonts w:hint="default" w:ascii="宋体" w:hAnsi="宋体" w:eastAsia="宋体" w:cs="宋体"/>
                <w:snapToGrid w:val="0"/>
                <w:color w:val="auto"/>
                <w:kern w:val="0"/>
                <w:szCs w:val="21"/>
                <w:highlight w:val="none"/>
                <w:lang w:val="en-US" w:eastAsia="zh-CN"/>
              </w:rPr>
              <w:t>2、完工验收合格后支付至</w:t>
            </w:r>
            <w:r>
              <w:rPr>
                <w:rFonts w:hint="eastAsia" w:ascii="宋体" w:hAnsi="宋体" w:cs="宋体"/>
                <w:snapToGrid w:val="0"/>
                <w:color w:val="auto"/>
                <w:kern w:val="0"/>
                <w:szCs w:val="21"/>
                <w:highlight w:val="none"/>
                <w:lang w:val="en-US" w:eastAsia="zh-CN"/>
              </w:rPr>
              <w:t>结算</w:t>
            </w:r>
            <w:r>
              <w:rPr>
                <w:rFonts w:hint="default" w:ascii="宋体" w:hAnsi="宋体" w:eastAsia="宋体" w:cs="宋体"/>
                <w:snapToGrid w:val="0"/>
                <w:color w:val="auto"/>
                <w:kern w:val="0"/>
                <w:szCs w:val="21"/>
                <w:highlight w:val="none"/>
                <w:lang w:val="en-US" w:eastAsia="zh-CN"/>
              </w:rPr>
              <w:t>总价的97%；</w:t>
            </w:r>
          </w:p>
          <w:p w14:paraId="7A1251B5">
            <w:pPr>
              <w:keepNext w:val="0"/>
              <w:keepLines w:val="0"/>
              <w:suppressLineNumbers w:val="0"/>
              <w:snapToGrid w:val="0"/>
              <w:spacing w:before="0" w:beforeAutospacing="0" w:after="0" w:afterAutospacing="0" w:line="360" w:lineRule="auto"/>
              <w:ind w:left="0" w:right="0" w:firstLine="420" w:firstLineChars="200"/>
              <w:jc w:val="left"/>
              <w:rPr>
                <w:rFonts w:hint="default" w:ascii="宋体" w:hAnsi="宋体" w:eastAsia="宋体" w:cs="宋体"/>
                <w:snapToGrid w:val="0"/>
                <w:color w:val="auto"/>
                <w:kern w:val="0"/>
                <w:szCs w:val="21"/>
                <w:highlight w:val="none"/>
                <w:lang w:val="en-US" w:eastAsia="zh-CN"/>
              </w:rPr>
            </w:pPr>
            <w:r>
              <w:rPr>
                <w:rFonts w:hint="default" w:ascii="宋体" w:hAnsi="宋体" w:eastAsia="宋体" w:cs="宋体"/>
                <w:snapToGrid w:val="0"/>
                <w:color w:val="auto"/>
                <w:kern w:val="0"/>
                <w:szCs w:val="21"/>
                <w:highlight w:val="none"/>
                <w:lang w:val="en-US" w:eastAsia="zh-CN"/>
              </w:rPr>
              <w:t>3、剩余合同价款3%作为质保金，两年后无质量问题一次性无息支付。</w:t>
            </w:r>
          </w:p>
          <w:p w14:paraId="797A0361">
            <w:pPr>
              <w:keepNext w:val="0"/>
              <w:keepLines w:val="0"/>
              <w:suppressLineNumbers w:val="0"/>
              <w:snapToGrid w:val="0"/>
              <w:spacing w:before="0" w:beforeAutospacing="0" w:after="0" w:afterAutospacing="0" w:line="360" w:lineRule="auto"/>
              <w:ind w:left="0" w:right="0" w:firstLine="420" w:firstLineChars="200"/>
              <w:jc w:val="left"/>
              <w:rPr>
                <w:rFonts w:hint="default" w:ascii="宋体" w:hAnsi="宋体" w:eastAsia="宋体" w:cs="宋体"/>
                <w:snapToGrid w:val="0"/>
                <w:color w:val="auto"/>
                <w:kern w:val="0"/>
                <w:szCs w:val="21"/>
                <w:highlight w:val="none"/>
                <w:lang w:val="en-US" w:eastAsia="zh-CN"/>
              </w:rPr>
            </w:pPr>
            <w:r>
              <w:rPr>
                <w:rFonts w:hint="default" w:ascii="宋体" w:hAnsi="宋体" w:eastAsia="宋体" w:cs="宋体"/>
                <w:snapToGrid w:val="0"/>
                <w:color w:val="auto"/>
                <w:kern w:val="0"/>
                <w:szCs w:val="21"/>
                <w:highlight w:val="none"/>
                <w:lang w:val="en-US" w:eastAsia="zh-CN"/>
              </w:rPr>
              <w:t>4、供应商必须提供付款金额的</w:t>
            </w:r>
            <w:r>
              <w:rPr>
                <w:rFonts w:hint="eastAsia" w:ascii="宋体" w:hAnsi="宋体" w:cs="宋体"/>
                <w:snapToGrid w:val="0"/>
                <w:color w:val="auto"/>
                <w:kern w:val="0"/>
                <w:szCs w:val="21"/>
                <w:highlight w:val="none"/>
                <w:lang w:val="en-US" w:eastAsia="zh-CN"/>
              </w:rPr>
              <w:t>9%</w:t>
            </w:r>
            <w:r>
              <w:rPr>
                <w:rFonts w:hint="default" w:ascii="宋体" w:hAnsi="宋体" w:eastAsia="宋体" w:cs="宋体"/>
                <w:snapToGrid w:val="0"/>
                <w:color w:val="auto"/>
                <w:kern w:val="0"/>
                <w:szCs w:val="21"/>
                <w:highlight w:val="none"/>
                <w:lang w:val="en-US" w:eastAsia="zh-CN"/>
              </w:rPr>
              <w:t>增值税专用发票。</w:t>
            </w:r>
          </w:p>
        </w:tc>
      </w:tr>
      <w:tr w14:paraId="714F7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953" w:type="dxa"/>
            <w:vMerge w:val="continue"/>
            <w:tcBorders>
              <w:left w:val="single" w:color="auto" w:sz="4" w:space="0"/>
              <w:bottom w:val="single" w:color="auto" w:sz="4" w:space="0"/>
              <w:right w:val="single" w:color="auto" w:sz="4" w:space="0"/>
            </w:tcBorders>
            <w:noWrap w:val="0"/>
            <w:vAlign w:val="center"/>
          </w:tcPr>
          <w:p w14:paraId="026DA0FC">
            <w:pPr>
              <w:keepNext w:val="0"/>
              <w:keepLines w:val="0"/>
              <w:suppressLineNumbers w:val="0"/>
              <w:snapToGrid w:val="0"/>
              <w:spacing w:before="0" w:beforeAutospacing="0" w:after="0" w:afterAutospacing="0" w:line="360" w:lineRule="auto"/>
              <w:ind w:left="0" w:right="0" w:firstLine="420" w:firstLineChars="200"/>
              <w:jc w:val="left"/>
              <w:rPr>
                <w:rFonts w:hint="default"/>
              </w:rPr>
            </w:pPr>
          </w:p>
        </w:tc>
        <w:tc>
          <w:tcPr>
            <w:tcW w:w="857" w:type="dxa"/>
            <w:vMerge w:val="continue"/>
            <w:tcBorders>
              <w:left w:val="single" w:color="auto" w:sz="4" w:space="0"/>
              <w:bottom w:val="single" w:color="auto" w:sz="4" w:space="0"/>
              <w:right w:val="single" w:color="auto" w:sz="4" w:space="0"/>
            </w:tcBorders>
            <w:noWrap w:val="0"/>
            <w:vAlign w:val="center"/>
          </w:tcPr>
          <w:p w14:paraId="13716E0D">
            <w:pPr>
              <w:keepNext w:val="0"/>
              <w:keepLines w:val="0"/>
              <w:suppressLineNumbers w:val="0"/>
              <w:snapToGrid w:val="0"/>
              <w:spacing w:before="0" w:beforeAutospacing="0" w:after="0" w:afterAutospacing="0" w:line="360" w:lineRule="auto"/>
              <w:ind w:left="0" w:right="0" w:firstLine="420" w:firstLineChars="200"/>
              <w:jc w:val="left"/>
              <w:rPr>
                <w:rFonts w:hint="default"/>
                <w:color w:val="auto"/>
              </w:rPr>
            </w:pPr>
          </w:p>
        </w:tc>
        <w:tc>
          <w:tcPr>
            <w:tcW w:w="857" w:type="dxa"/>
            <w:tcBorders>
              <w:left w:val="single" w:color="auto" w:sz="4" w:space="0"/>
              <w:bottom w:val="single" w:color="auto" w:sz="4" w:space="0"/>
              <w:right w:val="single" w:color="auto" w:sz="4" w:space="0"/>
            </w:tcBorders>
            <w:noWrap w:val="0"/>
            <w:vAlign w:val="center"/>
          </w:tcPr>
          <w:p w14:paraId="3DD3CB59">
            <w:pPr>
              <w:keepNext w:val="0"/>
              <w:keepLines w:val="0"/>
              <w:suppressLineNumbers w:val="0"/>
              <w:snapToGrid w:val="0"/>
              <w:spacing w:before="0" w:beforeAutospacing="0" w:after="0" w:afterAutospacing="0" w:line="360" w:lineRule="auto"/>
              <w:ind w:left="0" w:right="0"/>
              <w:jc w:val="center"/>
              <w:rPr>
                <w:rFonts w:hint="eastAsia" w:eastAsia="宋体"/>
                <w:color w:val="auto"/>
                <w:lang w:val="en-US" w:eastAsia="zh-CN"/>
              </w:rPr>
            </w:pPr>
            <w:r>
              <w:rPr>
                <w:rFonts w:hint="eastAsia"/>
                <w:color w:val="auto"/>
                <w:lang w:val="en-US" w:eastAsia="zh-CN"/>
              </w:rPr>
              <w:t>2标段</w:t>
            </w:r>
          </w:p>
        </w:tc>
        <w:tc>
          <w:tcPr>
            <w:tcW w:w="6884" w:type="dxa"/>
            <w:tcBorders>
              <w:top w:val="single" w:color="auto" w:sz="4" w:space="0"/>
              <w:left w:val="single" w:color="auto" w:sz="4" w:space="0"/>
              <w:bottom w:val="single" w:color="auto" w:sz="4" w:space="0"/>
              <w:right w:val="single" w:color="auto" w:sz="4" w:space="0"/>
            </w:tcBorders>
            <w:noWrap w:val="0"/>
            <w:vAlign w:val="center"/>
          </w:tcPr>
          <w:p w14:paraId="05E15F62">
            <w:pPr>
              <w:keepNext w:val="0"/>
              <w:keepLines w:val="0"/>
              <w:numPr>
                <w:ilvl w:val="0"/>
                <w:numId w:val="5"/>
              </w:numPr>
              <w:suppressLineNumbers w:val="0"/>
              <w:snapToGrid w:val="0"/>
              <w:spacing w:before="0" w:beforeAutospacing="0" w:after="0" w:afterAutospacing="0" w:line="360" w:lineRule="auto"/>
              <w:ind w:left="0" w:right="0" w:firstLine="420" w:firstLineChars="200"/>
              <w:jc w:val="left"/>
              <w:rPr>
                <w:rFonts w:hint="eastAsia" w:ascii="宋体" w:hAnsi="宋体" w:cs="宋体"/>
                <w:snapToGrid w:val="0"/>
                <w:color w:val="auto"/>
                <w:kern w:val="0"/>
                <w:szCs w:val="21"/>
                <w:highlight w:val="none"/>
                <w:lang w:val="en-US" w:eastAsia="zh-CN"/>
              </w:rPr>
            </w:pPr>
            <w:r>
              <w:rPr>
                <w:rFonts w:hint="default" w:ascii="宋体" w:hAnsi="宋体" w:eastAsia="宋体" w:cs="宋体"/>
                <w:snapToGrid w:val="0"/>
                <w:color w:val="auto"/>
                <w:kern w:val="0"/>
                <w:szCs w:val="21"/>
                <w:highlight w:val="none"/>
                <w:lang w:val="en-US" w:eastAsia="zh-CN"/>
              </w:rPr>
              <w:t>全部设备到场后支付合同总价的</w:t>
            </w:r>
            <w:r>
              <w:rPr>
                <w:rFonts w:hint="eastAsia" w:ascii="宋体" w:hAnsi="宋体" w:cs="宋体"/>
                <w:snapToGrid w:val="0"/>
                <w:color w:val="auto"/>
                <w:kern w:val="0"/>
                <w:szCs w:val="21"/>
                <w:highlight w:val="none"/>
                <w:lang w:val="en-US" w:eastAsia="zh-CN"/>
              </w:rPr>
              <w:t>60</w:t>
            </w:r>
            <w:r>
              <w:rPr>
                <w:rFonts w:hint="default" w:ascii="宋体" w:hAnsi="宋体" w:eastAsia="宋体" w:cs="宋体"/>
                <w:snapToGrid w:val="0"/>
                <w:color w:val="auto"/>
                <w:kern w:val="0"/>
                <w:szCs w:val="21"/>
                <w:highlight w:val="none"/>
                <w:lang w:val="en-US" w:eastAsia="zh-CN"/>
              </w:rPr>
              <w:t>%</w:t>
            </w:r>
            <w:r>
              <w:rPr>
                <w:rFonts w:hint="eastAsia" w:ascii="宋体" w:hAnsi="宋体" w:cs="宋体"/>
                <w:snapToGrid w:val="0"/>
                <w:color w:val="auto"/>
                <w:kern w:val="0"/>
                <w:szCs w:val="21"/>
                <w:highlight w:val="none"/>
                <w:lang w:val="en-US" w:eastAsia="zh-CN"/>
              </w:rPr>
              <w:t>；</w:t>
            </w:r>
          </w:p>
          <w:p w14:paraId="0A3F858A">
            <w:pPr>
              <w:keepNext w:val="0"/>
              <w:keepLines w:val="0"/>
              <w:numPr>
                <w:ilvl w:val="0"/>
                <w:numId w:val="5"/>
              </w:numPr>
              <w:suppressLineNumbers w:val="0"/>
              <w:snapToGrid w:val="0"/>
              <w:spacing w:before="0" w:beforeAutospacing="0" w:after="0" w:afterAutospacing="0" w:line="360" w:lineRule="auto"/>
              <w:ind w:left="0" w:right="0" w:firstLine="420" w:firstLineChars="200"/>
              <w:jc w:val="left"/>
              <w:rPr>
                <w:rFonts w:hint="default" w:ascii="宋体" w:hAnsi="宋体" w:eastAsia="宋体" w:cs="宋体"/>
                <w:snapToGrid w:val="0"/>
                <w:color w:val="auto"/>
                <w:kern w:val="0"/>
                <w:szCs w:val="21"/>
                <w:highlight w:val="none"/>
                <w:lang w:val="en-US" w:eastAsia="zh-CN"/>
              </w:rPr>
            </w:pPr>
            <w:r>
              <w:rPr>
                <w:rFonts w:hint="default" w:ascii="宋体" w:hAnsi="宋体" w:eastAsia="宋体" w:cs="宋体"/>
                <w:snapToGrid w:val="0"/>
                <w:color w:val="auto"/>
                <w:kern w:val="0"/>
                <w:szCs w:val="21"/>
                <w:highlight w:val="none"/>
                <w:lang w:val="en-US" w:eastAsia="zh-CN"/>
              </w:rPr>
              <w:t>完工验收合格后支付至</w:t>
            </w:r>
            <w:r>
              <w:rPr>
                <w:rFonts w:hint="eastAsia" w:ascii="宋体" w:hAnsi="宋体" w:cs="宋体"/>
                <w:snapToGrid w:val="0"/>
                <w:color w:val="auto"/>
                <w:kern w:val="0"/>
                <w:szCs w:val="21"/>
                <w:highlight w:val="none"/>
                <w:lang w:val="en-US" w:eastAsia="zh-CN"/>
              </w:rPr>
              <w:t>结算</w:t>
            </w:r>
            <w:r>
              <w:rPr>
                <w:rFonts w:hint="default" w:ascii="宋体" w:hAnsi="宋体" w:eastAsia="宋体" w:cs="宋体"/>
                <w:snapToGrid w:val="0"/>
                <w:color w:val="auto"/>
                <w:kern w:val="0"/>
                <w:szCs w:val="21"/>
                <w:highlight w:val="none"/>
                <w:lang w:val="en-US" w:eastAsia="zh-CN"/>
              </w:rPr>
              <w:t>总价的97%；</w:t>
            </w:r>
          </w:p>
          <w:p w14:paraId="61EE9CCC">
            <w:pPr>
              <w:keepNext w:val="0"/>
              <w:keepLines w:val="0"/>
              <w:suppressLineNumbers w:val="0"/>
              <w:snapToGrid w:val="0"/>
              <w:spacing w:before="0" w:beforeAutospacing="0" w:after="0" w:afterAutospacing="0" w:line="360" w:lineRule="auto"/>
              <w:ind w:left="0" w:right="0" w:firstLine="420" w:firstLineChars="200"/>
              <w:jc w:val="left"/>
              <w:rPr>
                <w:rFonts w:hint="default" w:ascii="宋体" w:hAnsi="宋体" w:eastAsia="宋体" w:cs="宋体"/>
                <w:snapToGrid w:val="0"/>
                <w:color w:val="auto"/>
                <w:kern w:val="0"/>
                <w:szCs w:val="21"/>
                <w:highlight w:val="none"/>
                <w:lang w:val="en-US" w:eastAsia="zh-CN"/>
              </w:rPr>
            </w:pPr>
            <w:r>
              <w:rPr>
                <w:rFonts w:hint="default" w:ascii="宋体" w:hAnsi="宋体" w:eastAsia="宋体" w:cs="宋体"/>
                <w:snapToGrid w:val="0"/>
                <w:color w:val="auto"/>
                <w:kern w:val="0"/>
                <w:szCs w:val="21"/>
                <w:highlight w:val="none"/>
                <w:lang w:val="en-US" w:eastAsia="zh-CN"/>
              </w:rPr>
              <w:t>3、剩余合同价款3%作为质保金，两年后无质量问题一次性无息支付。</w:t>
            </w:r>
          </w:p>
          <w:p w14:paraId="2AD8FED9">
            <w:pPr>
              <w:keepNext w:val="0"/>
              <w:keepLines w:val="0"/>
              <w:suppressLineNumbers w:val="0"/>
              <w:snapToGrid w:val="0"/>
              <w:spacing w:before="0" w:beforeAutospacing="0" w:after="0" w:afterAutospacing="0" w:line="360" w:lineRule="auto"/>
              <w:ind w:left="0" w:right="0" w:firstLine="420" w:firstLineChars="200"/>
              <w:jc w:val="left"/>
              <w:rPr>
                <w:rFonts w:hint="default" w:ascii="宋体" w:hAnsi="宋体" w:eastAsia="宋体" w:cs="宋体"/>
                <w:snapToGrid w:val="0"/>
                <w:color w:val="auto"/>
                <w:kern w:val="0"/>
                <w:szCs w:val="21"/>
                <w:highlight w:val="none"/>
                <w:lang w:val="en-US" w:eastAsia="zh-CN"/>
              </w:rPr>
            </w:pPr>
            <w:r>
              <w:rPr>
                <w:rFonts w:hint="default" w:ascii="宋体" w:hAnsi="宋体" w:eastAsia="宋体" w:cs="宋体"/>
                <w:snapToGrid w:val="0"/>
                <w:color w:val="auto"/>
                <w:kern w:val="0"/>
                <w:szCs w:val="21"/>
                <w:highlight w:val="none"/>
                <w:lang w:val="en-US" w:eastAsia="zh-CN"/>
              </w:rPr>
              <w:t>4、供应商必须提供付款金额的</w:t>
            </w:r>
            <w:r>
              <w:rPr>
                <w:rFonts w:hint="eastAsia" w:ascii="宋体" w:hAnsi="宋体" w:cs="宋体"/>
                <w:snapToGrid w:val="0"/>
                <w:color w:val="auto"/>
                <w:kern w:val="0"/>
                <w:szCs w:val="21"/>
                <w:highlight w:val="none"/>
                <w:lang w:val="en-US" w:eastAsia="zh-CN"/>
              </w:rPr>
              <w:t>9%</w:t>
            </w:r>
            <w:r>
              <w:rPr>
                <w:rFonts w:hint="default" w:ascii="宋体" w:hAnsi="宋体" w:eastAsia="宋体" w:cs="宋体"/>
                <w:snapToGrid w:val="0"/>
                <w:color w:val="auto"/>
                <w:kern w:val="0"/>
                <w:szCs w:val="21"/>
                <w:highlight w:val="none"/>
                <w:lang w:val="en-US" w:eastAsia="zh-CN"/>
              </w:rPr>
              <w:t>增值税专用发票。</w:t>
            </w:r>
          </w:p>
        </w:tc>
      </w:tr>
      <w:tr w14:paraId="51B88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53" w:type="dxa"/>
            <w:tcBorders>
              <w:top w:val="single" w:color="auto" w:sz="4" w:space="0"/>
              <w:left w:val="single" w:color="auto" w:sz="4" w:space="0"/>
              <w:bottom w:val="single" w:color="auto" w:sz="4" w:space="0"/>
              <w:right w:val="single" w:color="auto" w:sz="4" w:space="0"/>
            </w:tcBorders>
            <w:noWrap w:val="0"/>
            <w:vAlign w:val="center"/>
          </w:tcPr>
          <w:p w14:paraId="4141AA22">
            <w:pPr>
              <w:keepNext w:val="0"/>
              <w:keepLines w:val="0"/>
              <w:suppressLineNumbers w:val="0"/>
              <w:autoSpaceDE w:val="0"/>
              <w:autoSpaceDN w:val="0"/>
              <w:adjustRightInd w:val="0"/>
              <w:spacing w:before="0" w:beforeAutospacing="0" w:after="0" w:afterAutospacing="0" w:line="360" w:lineRule="auto"/>
              <w:ind w:left="0" w:right="-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10.2</w:t>
            </w:r>
          </w:p>
        </w:tc>
        <w:tc>
          <w:tcPr>
            <w:tcW w:w="1714" w:type="dxa"/>
            <w:gridSpan w:val="2"/>
            <w:tcBorders>
              <w:top w:val="single" w:color="auto" w:sz="4" w:space="0"/>
              <w:left w:val="single" w:color="auto" w:sz="4" w:space="0"/>
              <w:bottom w:val="single" w:color="auto" w:sz="4" w:space="0"/>
              <w:right w:val="single" w:color="auto" w:sz="4" w:space="0"/>
            </w:tcBorders>
            <w:noWrap w:val="0"/>
            <w:vAlign w:val="center"/>
          </w:tcPr>
          <w:p w14:paraId="4E74ED13">
            <w:pPr>
              <w:keepNext w:val="0"/>
              <w:keepLines w:val="0"/>
              <w:suppressLineNumbers w:val="0"/>
              <w:tabs>
                <w:tab w:val="left" w:pos="2032"/>
              </w:tabs>
              <w:autoSpaceDE w:val="0"/>
              <w:autoSpaceDN w:val="0"/>
              <w:adjustRightInd w:val="0"/>
              <w:spacing w:before="0" w:beforeAutospacing="0" w:after="0" w:afterAutospacing="0" w:line="360" w:lineRule="auto"/>
              <w:ind w:left="0" w:right="-12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投诉处理</w:t>
            </w:r>
          </w:p>
        </w:tc>
        <w:tc>
          <w:tcPr>
            <w:tcW w:w="6884" w:type="dxa"/>
            <w:tcBorders>
              <w:top w:val="single" w:color="auto" w:sz="4" w:space="0"/>
              <w:left w:val="single" w:color="auto" w:sz="4" w:space="0"/>
              <w:bottom w:val="single" w:color="auto" w:sz="4" w:space="0"/>
              <w:right w:val="single" w:color="auto" w:sz="4" w:space="0"/>
            </w:tcBorders>
            <w:noWrap w:val="0"/>
            <w:vAlign w:val="center"/>
          </w:tcPr>
          <w:p w14:paraId="2BBAC3B8">
            <w:pPr>
              <w:keepNext w:val="0"/>
              <w:keepLines w:val="0"/>
              <w:suppressLineNumbers w:val="0"/>
              <w:snapToGrid w:val="0"/>
              <w:spacing w:before="0" w:beforeAutospacing="0" w:after="0" w:afterAutospacing="0" w:line="360" w:lineRule="auto"/>
              <w:ind w:left="0" w:right="0"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 比选申请人或者其他利害关系人就本项目的竞争性比选文件（含澄清修改）、开标情况、评标结果等事项提出异议或投诉的，应当先向比选人提出异议；比选人应当在规定时间内答复；对比选人的答复不满意，可向行政监督部门投诉。</w:t>
            </w:r>
          </w:p>
          <w:p w14:paraId="001C29B0">
            <w:pPr>
              <w:keepNext w:val="0"/>
              <w:keepLines w:val="0"/>
              <w:suppressLineNumbers w:val="0"/>
              <w:snapToGrid w:val="0"/>
              <w:spacing w:before="0" w:beforeAutospacing="0" w:after="0" w:afterAutospacing="0" w:line="360" w:lineRule="auto"/>
              <w:ind w:left="0" w:right="0"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提出异议或投诉时应当包括下列内容：</w:t>
            </w:r>
          </w:p>
          <w:p w14:paraId="3D710158">
            <w:pPr>
              <w:keepNext w:val="0"/>
              <w:keepLines w:val="0"/>
              <w:suppressLineNumbers w:val="0"/>
              <w:snapToGrid w:val="0"/>
              <w:spacing w:before="0" w:beforeAutospacing="0" w:after="0" w:afterAutospacing="0" w:line="360" w:lineRule="auto"/>
              <w:ind w:left="0" w:right="0"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（1）异议或投诉人的名称、地址及有效联系方式；</w:t>
            </w:r>
          </w:p>
          <w:p w14:paraId="7C916D13">
            <w:pPr>
              <w:keepNext w:val="0"/>
              <w:keepLines w:val="0"/>
              <w:suppressLineNumbers w:val="0"/>
              <w:snapToGrid w:val="0"/>
              <w:spacing w:before="0" w:beforeAutospacing="0" w:after="0" w:afterAutospacing="0" w:line="360" w:lineRule="auto"/>
              <w:ind w:left="0" w:right="0"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（2）被异议或投诉人的名称、地址及有效联系方式；</w:t>
            </w:r>
          </w:p>
          <w:p w14:paraId="6EDD1567">
            <w:pPr>
              <w:keepNext w:val="0"/>
              <w:keepLines w:val="0"/>
              <w:suppressLineNumbers w:val="0"/>
              <w:snapToGrid w:val="0"/>
              <w:spacing w:before="0" w:beforeAutospacing="0" w:after="0" w:afterAutospacing="0" w:line="360" w:lineRule="auto"/>
              <w:ind w:left="0" w:right="0"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（3）异议或投诉事项的基本事实；</w:t>
            </w:r>
          </w:p>
          <w:p w14:paraId="5A5C9335">
            <w:pPr>
              <w:keepNext w:val="0"/>
              <w:keepLines w:val="0"/>
              <w:suppressLineNumbers w:val="0"/>
              <w:snapToGrid w:val="0"/>
              <w:spacing w:before="0" w:beforeAutospacing="0" w:after="0" w:afterAutospacing="0" w:line="360" w:lineRule="auto"/>
              <w:ind w:left="0" w:right="0"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（4）请求及主张；</w:t>
            </w:r>
          </w:p>
          <w:p w14:paraId="2B447022">
            <w:pPr>
              <w:keepNext w:val="0"/>
              <w:keepLines w:val="0"/>
              <w:suppressLineNumbers w:val="0"/>
              <w:snapToGrid w:val="0"/>
              <w:spacing w:before="0" w:beforeAutospacing="0" w:after="0" w:afterAutospacing="0" w:line="360" w:lineRule="auto"/>
              <w:ind w:left="0" w:right="0"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（5）涉及事项的证据、证明材料。</w:t>
            </w:r>
          </w:p>
          <w:p w14:paraId="69A16D73">
            <w:pPr>
              <w:keepNext w:val="0"/>
              <w:keepLines w:val="0"/>
              <w:suppressLineNumbers w:val="0"/>
              <w:snapToGrid w:val="0"/>
              <w:spacing w:before="0" w:beforeAutospacing="0" w:after="0" w:afterAutospacing="0" w:line="360" w:lineRule="auto"/>
              <w:ind w:left="0" w:right="0"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14:paraId="6CABD826">
            <w:pPr>
              <w:keepNext w:val="0"/>
              <w:keepLines w:val="0"/>
              <w:suppressLineNumbers w:val="0"/>
              <w:snapToGrid w:val="0"/>
              <w:spacing w:before="0" w:beforeAutospacing="0" w:after="0" w:afterAutospacing="0" w:line="360" w:lineRule="auto"/>
              <w:ind w:left="0" w:right="0"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 行政监督部门依照《中华人民共和国招标投标法》、《中华人民共和国招标投标法实施条例》、《重庆市招标投标条例》、《工程建设项目招标投标活动投诉处理办法》（七部委令第11号（根据九部门2013年第23号令修正））、《关于印发&lt;重庆市招标投标活动投诉处理实施细则（修订）&gt;的通知》（渝公管发〔2021〕54号）等法律法规文件处理投诉。</w:t>
            </w:r>
          </w:p>
          <w:p w14:paraId="34767673">
            <w:pPr>
              <w:keepNext w:val="0"/>
              <w:keepLines w:val="0"/>
              <w:suppressLineNumbers w:val="0"/>
              <w:snapToGrid w:val="0"/>
              <w:spacing w:before="0" w:beforeAutospacing="0" w:after="0" w:afterAutospacing="0" w:line="360" w:lineRule="auto"/>
              <w:ind w:left="0" w:right="0"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 根据《重庆市工程建设领域招标投标信用管理暂行办法》的规定，比选申请人捏造事实、伪造材料，或者以非法手段获取证明材料进行质疑或者投诉的，将被列入黑名单管理；给他人造成损失的，依法承担赔偿责任。</w:t>
            </w:r>
          </w:p>
          <w:p w14:paraId="666D7D74">
            <w:pPr>
              <w:keepNext w:val="0"/>
              <w:keepLines w:val="0"/>
              <w:suppressLineNumbers w:val="0"/>
              <w:snapToGrid w:val="0"/>
              <w:spacing w:before="0" w:beforeAutospacing="0" w:after="0" w:afterAutospacing="0" w:line="360" w:lineRule="auto"/>
              <w:ind w:left="0" w:right="0" w:firstLine="420" w:firstLineChars="200"/>
              <w:rPr>
                <w:rFonts w:hint="eastAsia" w:ascii="宋体" w:hAnsi="宋体" w:eastAsia="宋体" w:cs="宋体"/>
                <w:snapToGrid w:val="0"/>
                <w:color w:val="auto"/>
                <w:kern w:val="0"/>
                <w:szCs w:val="21"/>
                <w:highlight w:val="none"/>
                <w:u w:val="none"/>
                <w:lang w:eastAsia="zh-CN"/>
              </w:rPr>
            </w:pPr>
            <w:r>
              <w:rPr>
                <w:rFonts w:hint="eastAsia" w:ascii="宋体" w:hAnsi="宋体" w:eastAsia="宋体" w:cs="宋体"/>
                <w:snapToGrid w:val="0"/>
                <w:color w:val="auto"/>
                <w:kern w:val="0"/>
                <w:szCs w:val="21"/>
                <w:highlight w:val="none"/>
              </w:rPr>
              <w:t>4. 异议受理单位：</w:t>
            </w:r>
            <w:r>
              <w:rPr>
                <w:rFonts w:hint="eastAsia" w:ascii="宋体" w:hAnsi="宋体" w:eastAsia="宋体" w:cs="宋体"/>
                <w:snapToGrid w:val="0"/>
                <w:color w:val="auto"/>
                <w:kern w:val="0"/>
                <w:szCs w:val="21"/>
                <w:highlight w:val="none"/>
                <w:u w:val="none"/>
                <w:lang w:eastAsia="zh-CN"/>
              </w:rPr>
              <w:t>垫江县小厦建筑有限公司</w:t>
            </w:r>
          </w:p>
          <w:p w14:paraId="32F47A43">
            <w:pPr>
              <w:keepNext w:val="0"/>
              <w:keepLines w:val="0"/>
              <w:suppressLineNumbers w:val="0"/>
              <w:snapToGrid w:val="0"/>
              <w:spacing w:before="0" w:beforeAutospacing="0" w:after="0" w:afterAutospacing="0" w:line="360" w:lineRule="auto"/>
              <w:ind w:left="0" w:right="0"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联系电话：</w:t>
            </w:r>
            <w:r>
              <w:rPr>
                <w:rFonts w:hint="eastAsia" w:ascii="仿宋" w:hAnsi="仿宋" w:eastAsia="仿宋" w:cs="仿宋"/>
                <w:color w:val="auto"/>
                <w:sz w:val="22"/>
                <w:szCs w:val="22"/>
                <w:highlight w:val="none"/>
              </w:rPr>
              <w:t>023-74644966</w:t>
            </w:r>
          </w:p>
          <w:p w14:paraId="4ED97B0C">
            <w:pPr>
              <w:keepNext w:val="0"/>
              <w:keepLines w:val="0"/>
              <w:suppressLineNumbers w:val="0"/>
              <w:snapToGrid w:val="0"/>
              <w:spacing w:before="0" w:beforeAutospacing="0" w:after="0" w:afterAutospacing="0" w:line="360" w:lineRule="auto"/>
              <w:ind w:left="0" w:right="0"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投诉受理部门：</w:t>
            </w:r>
            <w:r>
              <w:rPr>
                <w:rFonts w:hint="eastAsia" w:ascii="宋体" w:hAnsi="宋体" w:eastAsia="宋体" w:cs="宋体"/>
                <w:snapToGrid w:val="0"/>
                <w:color w:val="auto"/>
                <w:kern w:val="0"/>
                <w:szCs w:val="21"/>
                <w:highlight w:val="none"/>
                <w:u w:val="none"/>
                <w:lang w:eastAsia="zh-CN"/>
              </w:rPr>
              <w:t>垫江县小厦建筑有限公司</w:t>
            </w:r>
          </w:p>
          <w:p w14:paraId="0E0C2081">
            <w:pPr>
              <w:keepNext w:val="0"/>
              <w:keepLines w:val="0"/>
              <w:suppressLineNumbers w:val="0"/>
              <w:snapToGrid w:val="0"/>
              <w:spacing w:before="0" w:beforeAutospacing="0" w:after="0" w:afterAutospacing="0" w:line="360" w:lineRule="auto"/>
              <w:ind w:left="0" w:right="0"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联系电话：</w:t>
            </w:r>
            <w:r>
              <w:rPr>
                <w:rFonts w:hint="eastAsia" w:ascii="仿宋" w:hAnsi="仿宋" w:eastAsia="仿宋" w:cs="仿宋"/>
                <w:color w:val="auto"/>
                <w:sz w:val="22"/>
                <w:szCs w:val="22"/>
                <w:highlight w:val="none"/>
              </w:rPr>
              <w:t>023-74644966</w:t>
            </w:r>
          </w:p>
        </w:tc>
      </w:tr>
      <w:tr w14:paraId="2CE21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3" w:type="dxa"/>
            <w:tcBorders>
              <w:top w:val="single" w:color="auto" w:sz="4" w:space="0"/>
              <w:left w:val="single" w:color="auto" w:sz="4" w:space="0"/>
              <w:bottom w:val="single" w:color="auto" w:sz="4" w:space="0"/>
              <w:right w:val="single" w:color="auto" w:sz="4" w:space="0"/>
            </w:tcBorders>
            <w:noWrap w:val="0"/>
            <w:vAlign w:val="center"/>
          </w:tcPr>
          <w:p w14:paraId="407C3B4A">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szCs w:val="21"/>
                <w:highlight w:val="none"/>
                <w:lang w:eastAsia="zh-CN"/>
              </w:rPr>
            </w:pPr>
            <w:r>
              <w:rPr>
                <w:rFonts w:hint="eastAsia" w:ascii="宋体" w:hAnsi="宋体" w:eastAsia="Times New Roman" w:cs="Times New Roman"/>
                <w:color w:val="auto"/>
                <w:kern w:val="0"/>
                <w:szCs w:val="21"/>
                <w:highlight w:val="none"/>
              </w:rPr>
              <w:t>10.</w:t>
            </w:r>
            <w:r>
              <w:rPr>
                <w:rFonts w:hint="eastAsia" w:ascii="宋体" w:hAnsi="宋体" w:eastAsia="Times New Roman" w:cs="Times New Roman"/>
                <w:color w:val="auto"/>
                <w:kern w:val="0"/>
                <w:szCs w:val="21"/>
                <w:highlight w:val="none"/>
                <w:lang w:val="en-US" w:eastAsia="zh-CN"/>
              </w:rPr>
              <w:t>3</w:t>
            </w:r>
          </w:p>
        </w:tc>
        <w:tc>
          <w:tcPr>
            <w:tcW w:w="1714" w:type="dxa"/>
            <w:gridSpan w:val="2"/>
            <w:tcBorders>
              <w:top w:val="single" w:color="auto" w:sz="4" w:space="0"/>
              <w:left w:val="single" w:color="auto" w:sz="4" w:space="0"/>
              <w:bottom w:val="single" w:color="auto" w:sz="4" w:space="0"/>
              <w:right w:val="single" w:color="auto" w:sz="4" w:space="0"/>
            </w:tcBorders>
            <w:noWrap w:val="0"/>
            <w:vAlign w:val="center"/>
          </w:tcPr>
          <w:p w14:paraId="245BC605">
            <w:pPr>
              <w:keepNext w:val="0"/>
              <w:keepLines w:val="0"/>
              <w:suppressLineNumbers w:val="0"/>
              <w:snapToGrid w:val="0"/>
              <w:spacing w:before="0" w:beforeAutospacing="0" w:after="0" w:afterAutospacing="0" w:line="400" w:lineRule="exact"/>
              <w:ind w:left="0" w:right="0"/>
              <w:jc w:val="center"/>
              <w:rPr>
                <w:rFonts w:hint="default" w:ascii="宋体" w:hAnsi="宋体" w:eastAsia="Times New Roman" w:cs="Times New Roman"/>
                <w:color w:val="auto"/>
                <w:kern w:val="0"/>
                <w:szCs w:val="21"/>
                <w:highlight w:val="none"/>
              </w:rPr>
            </w:pPr>
            <w:r>
              <w:rPr>
                <w:rFonts w:hint="eastAsia" w:ascii="宋体" w:hAnsi="宋体" w:eastAsia="Times New Roman" w:cs="Times New Roman"/>
                <w:color w:val="auto"/>
                <w:kern w:val="0"/>
                <w:szCs w:val="21"/>
                <w:highlight w:val="none"/>
              </w:rPr>
              <w:t>工程量清单</w:t>
            </w:r>
          </w:p>
          <w:p w14:paraId="473490D7">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Times New Roman" w:cs="Times New Roman"/>
                <w:color w:val="auto"/>
                <w:kern w:val="0"/>
                <w:szCs w:val="21"/>
                <w:highlight w:val="none"/>
              </w:rPr>
              <w:t>编制说明</w:t>
            </w:r>
          </w:p>
        </w:tc>
        <w:tc>
          <w:tcPr>
            <w:tcW w:w="6884" w:type="dxa"/>
            <w:tcBorders>
              <w:top w:val="single" w:color="auto" w:sz="4" w:space="0"/>
              <w:left w:val="single" w:color="auto" w:sz="4" w:space="0"/>
              <w:bottom w:val="single" w:color="auto" w:sz="4" w:space="0"/>
              <w:right w:val="single" w:color="auto" w:sz="4" w:space="0"/>
            </w:tcBorders>
            <w:noWrap w:val="0"/>
            <w:vAlign w:val="center"/>
          </w:tcPr>
          <w:p w14:paraId="762F37D8">
            <w:pPr>
              <w:keepNext w:val="0"/>
              <w:keepLines w:val="0"/>
              <w:widowControl/>
              <w:suppressLineNumbers w:val="0"/>
              <w:spacing w:before="0" w:beforeAutospacing="0" w:after="0" w:afterAutospacing="0" w:line="400" w:lineRule="exact"/>
              <w:ind w:left="0" w:right="0" w:firstLine="420" w:firstLineChars="200"/>
              <w:rPr>
                <w:rFonts w:hint="eastAsia" w:ascii="宋体" w:hAnsi="宋体" w:eastAsia="宋体" w:cs="宋体"/>
                <w:snapToGrid w:val="0"/>
                <w:color w:val="auto"/>
                <w:kern w:val="0"/>
                <w:szCs w:val="21"/>
                <w:highlight w:val="none"/>
              </w:rPr>
            </w:pPr>
            <w:r>
              <w:rPr>
                <w:rFonts w:hint="eastAsia" w:ascii="宋体" w:hAnsi="宋体" w:eastAsia="Times New Roman" w:cs="Times New Roman"/>
                <w:color w:val="auto"/>
                <w:kern w:val="0"/>
                <w:szCs w:val="21"/>
                <w:highlight w:val="none"/>
              </w:rPr>
              <w:t>/</w:t>
            </w:r>
          </w:p>
        </w:tc>
      </w:tr>
      <w:tr w14:paraId="6C7B9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3" w:type="dxa"/>
            <w:tcBorders>
              <w:top w:val="single" w:color="auto" w:sz="4" w:space="0"/>
              <w:left w:val="single" w:color="auto" w:sz="4" w:space="0"/>
              <w:bottom w:val="single" w:color="auto" w:sz="4" w:space="0"/>
              <w:right w:val="single" w:color="auto" w:sz="4" w:space="0"/>
            </w:tcBorders>
            <w:noWrap w:val="0"/>
            <w:vAlign w:val="center"/>
          </w:tcPr>
          <w:p w14:paraId="0F4E50F0">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Times New Roman"/>
                <w:color w:val="auto"/>
                <w:kern w:val="0"/>
                <w:szCs w:val="21"/>
                <w:highlight w:val="none"/>
                <w:lang w:eastAsia="zh-CN"/>
              </w:rPr>
            </w:pPr>
            <w:r>
              <w:rPr>
                <w:rFonts w:hint="eastAsia" w:ascii="宋体" w:hAnsi="宋体" w:eastAsia="Times New Roman" w:cs="Times New Roman"/>
                <w:color w:val="auto"/>
                <w:kern w:val="0"/>
                <w:szCs w:val="21"/>
                <w:highlight w:val="none"/>
              </w:rPr>
              <w:t>10.</w:t>
            </w:r>
            <w:r>
              <w:rPr>
                <w:rFonts w:hint="eastAsia" w:ascii="宋体" w:hAnsi="宋体" w:eastAsia="Times New Roman" w:cs="Times New Roman"/>
                <w:color w:val="auto"/>
                <w:kern w:val="0"/>
                <w:szCs w:val="21"/>
                <w:highlight w:val="none"/>
                <w:lang w:val="en-US" w:eastAsia="zh-CN"/>
              </w:rPr>
              <w:t>4</w:t>
            </w:r>
          </w:p>
        </w:tc>
        <w:tc>
          <w:tcPr>
            <w:tcW w:w="1714" w:type="dxa"/>
            <w:gridSpan w:val="2"/>
            <w:tcBorders>
              <w:top w:val="single" w:color="auto" w:sz="4" w:space="0"/>
              <w:left w:val="single" w:color="auto" w:sz="4" w:space="0"/>
              <w:bottom w:val="single" w:color="auto" w:sz="4" w:space="0"/>
              <w:right w:val="single" w:color="auto" w:sz="4" w:space="0"/>
            </w:tcBorders>
            <w:noWrap w:val="0"/>
            <w:vAlign w:val="center"/>
          </w:tcPr>
          <w:p w14:paraId="7A95D40D">
            <w:pPr>
              <w:keepNext w:val="0"/>
              <w:keepLines w:val="0"/>
              <w:suppressLineNumbers w:val="0"/>
              <w:snapToGrid w:val="0"/>
              <w:spacing w:before="0" w:beforeAutospacing="0" w:after="0" w:afterAutospacing="0" w:line="400" w:lineRule="exact"/>
              <w:ind w:left="0" w:right="0"/>
              <w:jc w:val="center"/>
              <w:rPr>
                <w:rFonts w:hint="eastAsia" w:ascii="宋体" w:hAnsi="宋体" w:eastAsia="Times New Roman" w:cs="Times New Roman"/>
                <w:color w:val="auto"/>
                <w:kern w:val="0"/>
                <w:szCs w:val="21"/>
                <w:highlight w:val="none"/>
              </w:rPr>
            </w:pPr>
            <w:r>
              <w:rPr>
                <w:rFonts w:hint="eastAsia" w:ascii="宋体" w:hAnsi="宋体" w:eastAsia="Times New Roman" w:cs="Times New Roman"/>
                <w:color w:val="auto"/>
                <w:kern w:val="0"/>
                <w:szCs w:val="21"/>
                <w:highlight w:val="none"/>
              </w:rPr>
              <w:t>建筑</w:t>
            </w:r>
            <w:r>
              <w:rPr>
                <w:rFonts w:hint="default" w:ascii="宋体" w:hAnsi="宋体" w:eastAsia="Times New Roman" w:cs="Times New Roman"/>
                <w:color w:val="auto"/>
                <w:kern w:val="0"/>
                <w:szCs w:val="21"/>
                <w:highlight w:val="none"/>
              </w:rPr>
              <w:t>领域实施农民工工资专用账户相关</w:t>
            </w:r>
            <w:r>
              <w:rPr>
                <w:rFonts w:hint="eastAsia" w:ascii="宋体" w:hAnsi="宋体" w:eastAsia="Times New Roman" w:cs="Times New Roman"/>
                <w:color w:val="auto"/>
                <w:kern w:val="0"/>
                <w:szCs w:val="21"/>
                <w:highlight w:val="none"/>
              </w:rPr>
              <w:t>要求</w:t>
            </w:r>
          </w:p>
        </w:tc>
        <w:tc>
          <w:tcPr>
            <w:tcW w:w="6884" w:type="dxa"/>
            <w:tcBorders>
              <w:top w:val="single" w:color="auto" w:sz="4" w:space="0"/>
              <w:left w:val="single" w:color="auto" w:sz="4" w:space="0"/>
              <w:bottom w:val="single" w:color="auto" w:sz="4" w:space="0"/>
              <w:right w:val="single" w:color="auto" w:sz="4" w:space="0"/>
            </w:tcBorders>
            <w:noWrap w:val="0"/>
            <w:vAlign w:val="center"/>
          </w:tcPr>
          <w:p w14:paraId="56712B75">
            <w:pPr>
              <w:keepNext w:val="0"/>
              <w:keepLines w:val="0"/>
              <w:widowControl/>
              <w:suppressLineNumbers w:val="0"/>
              <w:spacing w:before="0" w:beforeAutospacing="0" w:after="0" w:afterAutospacing="0" w:line="400" w:lineRule="exact"/>
              <w:ind w:left="0" w:right="0" w:firstLine="420" w:firstLineChars="200"/>
              <w:rPr>
                <w:rFonts w:hint="default"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w:t>
            </w:r>
          </w:p>
        </w:tc>
      </w:tr>
      <w:tr w14:paraId="36BE0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3" w:type="dxa"/>
            <w:tcBorders>
              <w:top w:val="single" w:color="auto" w:sz="4" w:space="0"/>
              <w:left w:val="single" w:color="auto" w:sz="4" w:space="0"/>
              <w:bottom w:val="single" w:color="auto" w:sz="4" w:space="0"/>
              <w:right w:val="single" w:color="auto" w:sz="4" w:space="0"/>
            </w:tcBorders>
            <w:noWrap w:val="0"/>
            <w:vAlign w:val="center"/>
          </w:tcPr>
          <w:p w14:paraId="6ECC30D7">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Times New Roman"/>
                <w:color w:val="auto"/>
                <w:kern w:val="0"/>
                <w:szCs w:val="21"/>
                <w:highlight w:val="none"/>
                <w:lang w:eastAsia="zh-CN"/>
              </w:rPr>
            </w:pPr>
            <w:r>
              <w:rPr>
                <w:rFonts w:hint="eastAsia" w:ascii="宋体" w:hAnsi="宋体" w:eastAsia="Times New Roman" w:cs="Times New Roman"/>
                <w:kern w:val="0"/>
                <w:szCs w:val="21"/>
                <w:highlight w:val="none"/>
              </w:rPr>
              <w:t>10.</w:t>
            </w:r>
            <w:r>
              <w:rPr>
                <w:rFonts w:hint="eastAsia" w:ascii="宋体" w:hAnsi="宋体" w:eastAsia="Times New Roman" w:cs="Times New Roman"/>
                <w:kern w:val="0"/>
                <w:szCs w:val="21"/>
                <w:highlight w:val="none"/>
                <w:lang w:val="en-US" w:eastAsia="zh-CN"/>
              </w:rPr>
              <w:t>5</w:t>
            </w:r>
          </w:p>
        </w:tc>
        <w:tc>
          <w:tcPr>
            <w:tcW w:w="1714" w:type="dxa"/>
            <w:gridSpan w:val="2"/>
            <w:tcBorders>
              <w:top w:val="single" w:color="auto" w:sz="4" w:space="0"/>
              <w:left w:val="single" w:color="auto" w:sz="4" w:space="0"/>
              <w:bottom w:val="single" w:color="auto" w:sz="4" w:space="0"/>
              <w:right w:val="single" w:color="auto" w:sz="4" w:space="0"/>
            </w:tcBorders>
            <w:noWrap w:val="0"/>
            <w:vAlign w:val="center"/>
          </w:tcPr>
          <w:p w14:paraId="133E496D">
            <w:pPr>
              <w:keepNext w:val="0"/>
              <w:keepLines w:val="0"/>
              <w:suppressLineNumbers w:val="0"/>
              <w:snapToGrid w:val="0"/>
              <w:spacing w:before="0" w:beforeAutospacing="0" w:after="0" w:afterAutospacing="0" w:line="400" w:lineRule="exact"/>
              <w:ind w:left="0" w:right="0"/>
              <w:jc w:val="center"/>
              <w:rPr>
                <w:rFonts w:hint="default" w:ascii="宋体" w:hAnsi="宋体" w:eastAsia="Times New Roman" w:cs="Times New Roman"/>
                <w:kern w:val="0"/>
                <w:szCs w:val="21"/>
                <w:highlight w:val="none"/>
              </w:rPr>
            </w:pPr>
            <w:r>
              <w:rPr>
                <w:rFonts w:hint="eastAsia" w:ascii="宋体" w:hAnsi="宋体" w:eastAsia="Times New Roman" w:cs="Times New Roman"/>
                <w:kern w:val="0"/>
                <w:szCs w:val="21"/>
                <w:highlight w:val="none"/>
              </w:rPr>
              <w:t>低价风险担保</w:t>
            </w:r>
          </w:p>
          <w:p w14:paraId="6FC0AE42">
            <w:pPr>
              <w:keepNext w:val="0"/>
              <w:keepLines w:val="0"/>
              <w:suppressLineNumbers w:val="0"/>
              <w:snapToGrid w:val="0"/>
              <w:spacing w:before="0" w:beforeAutospacing="0" w:after="0" w:afterAutospacing="0" w:line="400" w:lineRule="exact"/>
              <w:ind w:left="0" w:right="0"/>
              <w:jc w:val="center"/>
              <w:rPr>
                <w:rFonts w:hint="eastAsia" w:ascii="宋体" w:hAnsi="宋体" w:eastAsia="Times New Roman" w:cs="Times New Roman"/>
                <w:color w:val="auto"/>
                <w:kern w:val="0"/>
                <w:szCs w:val="21"/>
                <w:highlight w:val="none"/>
              </w:rPr>
            </w:pPr>
          </w:p>
        </w:tc>
        <w:tc>
          <w:tcPr>
            <w:tcW w:w="6884" w:type="dxa"/>
            <w:tcBorders>
              <w:top w:val="single" w:color="auto" w:sz="4" w:space="0"/>
              <w:left w:val="single" w:color="auto" w:sz="4" w:space="0"/>
              <w:bottom w:val="single" w:color="auto" w:sz="4" w:space="0"/>
              <w:right w:val="single" w:color="auto" w:sz="4" w:space="0"/>
            </w:tcBorders>
            <w:noWrap w:val="0"/>
            <w:vAlign w:val="center"/>
          </w:tcPr>
          <w:p w14:paraId="3FCCB97D">
            <w:pPr>
              <w:keepNext w:val="0"/>
              <w:keepLines w:val="0"/>
              <w:numPr>
                <w:ilvl w:val="0"/>
                <w:numId w:val="6"/>
              </w:numPr>
              <w:suppressLineNumbers w:val="0"/>
              <w:autoSpaceDE w:val="0"/>
              <w:autoSpaceDN w:val="0"/>
              <w:adjustRightInd w:val="0"/>
              <w:snapToGrid w:val="0"/>
              <w:spacing w:before="0" w:beforeAutospacing="0" w:after="0" w:afterAutospacing="0" w:line="400" w:lineRule="exact"/>
              <w:ind w:left="0" w:right="0" w:firstLine="420" w:firstLineChars="200"/>
              <w:rPr>
                <w:rFonts w:hint="eastAsia" w:ascii="Times New Roman" w:hAnsi="Times New Roman" w:eastAsia="Times New Roman" w:cs="Times New Roman"/>
                <w:highlight w:val="none"/>
              </w:rPr>
            </w:pPr>
            <w:r>
              <w:rPr>
                <w:rFonts w:hint="eastAsia" w:ascii="宋体" w:hAnsi="宋体" w:eastAsia="Times New Roman" w:cs="Times New Roman"/>
                <w:kern w:val="0"/>
                <w:szCs w:val="21"/>
                <w:highlight w:val="none"/>
              </w:rPr>
              <w:t>低价风险担保：中</w:t>
            </w:r>
            <w:r>
              <w:rPr>
                <w:rFonts w:hint="eastAsia" w:ascii="宋体" w:hAnsi="宋体" w:eastAsia="Times New Roman" w:cs="Times New Roman"/>
                <w:kern w:val="0"/>
                <w:szCs w:val="21"/>
                <w:highlight w:val="none"/>
                <w:lang w:val="en-US" w:eastAsia="zh-CN"/>
              </w:rPr>
              <w:t>选</w:t>
            </w:r>
            <w:r>
              <w:rPr>
                <w:rFonts w:hint="eastAsia" w:ascii="宋体" w:hAnsi="宋体" w:eastAsia="Times New Roman" w:cs="Times New Roman"/>
                <w:kern w:val="0"/>
                <w:szCs w:val="21"/>
                <w:highlight w:val="none"/>
              </w:rPr>
              <w:t>价低于最高限价的85%时提供，如不按时足额提供，视为</w:t>
            </w:r>
            <w:r>
              <w:rPr>
                <w:rFonts w:hint="eastAsia" w:ascii="宋体" w:hAnsi="宋体" w:eastAsia="Times New Roman" w:cs="Times New Roman"/>
                <w:kern w:val="0"/>
                <w:szCs w:val="21"/>
                <w:highlight w:val="none"/>
                <w:lang w:eastAsia="zh-CN"/>
              </w:rPr>
              <w:t>中选人</w:t>
            </w:r>
            <w:r>
              <w:rPr>
                <w:rFonts w:hint="eastAsia" w:ascii="宋体" w:hAnsi="宋体" w:eastAsia="Times New Roman" w:cs="Times New Roman"/>
                <w:kern w:val="0"/>
                <w:szCs w:val="21"/>
                <w:highlight w:val="none"/>
              </w:rPr>
              <w:t>放弃中</w:t>
            </w:r>
            <w:r>
              <w:rPr>
                <w:rFonts w:hint="eastAsia" w:ascii="宋体" w:hAnsi="宋体" w:eastAsia="Times New Roman" w:cs="Times New Roman"/>
                <w:kern w:val="0"/>
                <w:szCs w:val="21"/>
                <w:highlight w:val="none"/>
                <w:lang w:val="en-US" w:eastAsia="zh-CN"/>
              </w:rPr>
              <w:t>选</w:t>
            </w:r>
            <w:r>
              <w:rPr>
                <w:rFonts w:hint="eastAsia" w:ascii="宋体" w:hAnsi="宋体" w:eastAsia="Times New Roman" w:cs="Times New Roman"/>
                <w:kern w:val="0"/>
                <w:szCs w:val="21"/>
                <w:highlight w:val="none"/>
                <w:lang w:eastAsia="zh-CN"/>
              </w:rPr>
              <w:t>，</w:t>
            </w:r>
            <w:r>
              <w:rPr>
                <w:rFonts w:hint="eastAsia" w:ascii="宋体" w:hAnsi="宋体" w:eastAsia="Times New Roman" w:cs="Times New Roman"/>
                <w:kern w:val="0"/>
                <w:szCs w:val="21"/>
                <w:highlight w:val="none"/>
                <w:lang w:val="en-US" w:eastAsia="zh-CN"/>
              </w:rPr>
              <w:t>比选</w:t>
            </w:r>
            <w:r>
              <w:rPr>
                <w:rFonts w:hint="eastAsia" w:ascii="宋体" w:hAnsi="宋体" w:eastAsia="Times New Roman" w:cs="Times New Roman"/>
                <w:kern w:val="0"/>
                <w:szCs w:val="21"/>
                <w:highlight w:val="none"/>
              </w:rPr>
              <w:t>人有权不退还其</w:t>
            </w:r>
            <w:r>
              <w:rPr>
                <w:rFonts w:hint="eastAsia" w:ascii="宋体" w:hAnsi="宋体" w:eastAsia="Times New Roman" w:cs="Times New Roman"/>
                <w:kern w:val="0"/>
                <w:szCs w:val="21"/>
                <w:highlight w:val="none"/>
                <w:lang w:val="en-US" w:eastAsia="zh-CN"/>
              </w:rPr>
              <w:t>比选申请</w:t>
            </w:r>
            <w:r>
              <w:rPr>
                <w:rFonts w:hint="eastAsia" w:ascii="宋体" w:hAnsi="宋体" w:eastAsia="Times New Roman" w:cs="Times New Roman"/>
                <w:kern w:val="0"/>
                <w:szCs w:val="21"/>
                <w:highlight w:val="none"/>
              </w:rPr>
              <w:t>保证金，</w:t>
            </w:r>
            <w:r>
              <w:rPr>
                <w:rFonts w:hint="eastAsia" w:ascii="Times New Roman" w:hAnsi="Times New Roman" w:eastAsia="Times New Roman" w:cs="Times New Roman"/>
                <w:highlight w:val="none"/>
              </w:rPr>
              <w:t>并报招标投标行政监督部门按照信用管理办法的规定处理，对</w:t>
            </w:r>
            <w:r>
              <w:rPr>
                <w:rFonts w:hint="eastAsia" w:ascii="Times New Roman" w:hAnsi="Times New Roman" w:eastAsia="Times New Roman" w:cs="Times New Roman"/>
                <w:highlight w:val="none"/>
                <w:lang w:eastAsia="zh-CN"/>
              </w:rPr>
              <w:t>中选人</w:t>
            </w:r>
            <w:r>
              <w:rPr>
                <w:rFonts w:hint="eastAsia" w:ascii="Times New Roman" w:hAnsi="Times New Roman" w:eastAsia="Times New Roman" w:cs="Times New Roman"/>
                <w:highlight w:val="none"/>
              </w:rPr>
              <w:t>的不良行为直接记12分，纳入重点关注名单。</w:t>
            </w:r>
          </w:p>
          <w:p w14:paraId="7E233C2C">
            <w:pPr>
              <w:keepNext w:val="0"/>
              <w:keepLines w:val="0"/>
              <w:numPr>
                <w:ilvl w:val="0"/>
                <w:numId w:val="0"/>
              </w:numPr>
              <w:suppressLineNumbers w:val="0"/>
              <w:autoSpaceDE w:val="0"/>
              <w:autoSpaceDN w:val="0"/>
              <w:adjustRightInd w:val="0"/>
              <w:snapToGrid w:val="0"/>
              <w:spacing w:before="0" w:beforeAutospacing="0" w:after="0" w:afterAutospacing="0" w:line="400" w:lineRule="exact"/>
              <w:ind w:left="0" w:right="0" w:firstLine="420" w:firstLineChars="200"/>
              <w:rPr>
                <w:rFonts w:hint="default" w:ascii="宋体" w:hAnsi="宋体" w:eastAsia="Times New Roman" w:cs="Times New Roman"/>
                <w:kern w:val="0"/>
                <w:szCs w:val="21"/>
                <w:highlight w:val="none"/>
              </w:rPr>
            </w:pPr>
            <w:r>
              <w:rPr>
                <w:rFonts w:hint="eastAsia" w:ascii="宋体" w:hAnsi="宋体" w:eastAsia="Times New Roman" w:cs="Times New Roman"/>
                <w:kern w:val="0"/>
                <w:szCs w:val="21"/>
                <w:highlight w:val="none"/>
              </w:rPr>
              <w:t>2、</w:t>
            </w:r>
            <w:r>
              <w:rPr>
                <w:rFonts w:hint="eastAsia" w:ascii="宋体" w:hAnsi="宋体" w:eastAsia="Times New Roman" w:cs="Times New Roman"/>
                <w:kern w:val="0"/>
                <w:szCs w:val="21"/>
                <w:highlight w:val="none"/>
                <w:lang w:eastAsia="zh-CN"/>
              </w:rPr>
              <w:t>中选人</w:t>
            </w:r>
            <w:r>
              <w:rPr>
                <w:rFonts w:hint="eastAsia" w:ascii="宋体" w:hAnsi="宋体" w:eastAsia="Times New Roman" w:cs="Times New Roman"/>
                <w:kern w:val="0"/>
                <w:szCs w:val="21"/>
                <w:highlight w:val="none"/>
              </w:rPr>
              <w:t>提供低价风险担保的形式、金额及期限：</w:t>
            </w:r>
          </w:p>
          <w:p w14:paraId="28D0E186">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ascii="宋体" w:hAnsi="宋体" w:eastAsia="Times New Roman" w:cs="Times New Roman"/>
                <w:kern w:val="0"/>
                <w:szCs w:val="21"/>
                <w:highlight w:val="none"/>
              </w:rPr>
            </w:pPr>
            <w:r>
              <w:rPr>
                <w:rFonts w:hint="eastAsia" w:ascii="宋体" w:hAnsi="宋体" w:eastAsia="Times New Roman" w:cs="Times New Roman"/>
                <w:kern w:val="0"/>
                <w:szCs w:val="21"/>
                <w:highlight w:val="none"/>
              </w:rPr>
              <w:t>（</w:t>
            </w:r>
            <w:r>
              <w:rPr>
                <w:rFonts w:hint="default" w:ascii="宋体" w:hAnsi="宋体" w:eastAsia="Times New Roman" w:cs="Times New Roman"/>
                <w:kern w:val="0"/>
                <w:szCs w:val="21"/>
                <w:highlight w:val="none"/>
              </w:rPr>
              <w:t>1</w:t>
            </w:r>
            <w:r>
              <w:rPr>
                <w:rFonts w:hint="eastAsia" w:ascii="宋体" w:hAnsi="宋体" w:eastAsia="Times New Roman" w:cs="Times New Roman"/>
                <w:kern w:val="0"/>
                <w:szCs w:val="21"/>
                <w:highlight w:val="none"/>
              </w:rPr>
              <w:t>）低价风险担保的形式：现金或银行保函</w:t>
            </w:r>
            <w:r>
              <w:rPr>
                <w:rFonts w:hint="eastAsia" w:ascii="Times New Roman" w:hAnsi="Times New Roman" w:eastAsia="Times New Roman" w:cs="Times New Roman"/>
                <w:highlight w:val="none"/>
              </w:rPr>
              <w:t>或现金+银行保函的组合；采用银行保函形式的，保函必须为不可撤销、不可转让且见索即付的独立保函，保函格式详见第四章合同条款及格式附件，</w:t>
            </w:r>
            <w:r>
              <w:rPr>
                <w:rFonts w:hint="eastAsia" w:ascii="Times New Roman" w:hAnsi="Times New Roman" w:eastAsia="Times New Roman" w:cs="Times New Roman"/>
                <w:highlight w:val="none"/>
                <w:lang w:eastAsia="zh-CN"/>
              </w:rPr>
              <w:t>中选人</w:t>
            </w:r>
            <w:r>
              <w:rPr>
                <w:rFonts w:hint="eastAsia" w:ascii="Times New Roman" w:hAnsi="Times New Roman" w:eastAsia="Times New Roman" w:cs="Times New Roman"/>
                <w:highlight w:val="none"/>
              </w:rPr>
              <w:t>出具保函时，</w:t>
            </w:r>
            <w:r>
              <w:rPr>
                <w:rFonts w:hint="eastAsia" w:ascii="宋体" w:hAnsi="宋体" w:eastAsia="Times New Roman" w:cs="Times New Roman"/>
                <w:szCs w:val="21"/>
                <w:highlight w:val="none"/>
              </w:rPr>
              <w:t>不得修改“低价风险担保保函”名称，也不得对低价风险担保保函示范文本中付款条件等实质性内容进行修改，否则视为不符合</w:t>
            </w:r>
            <w:r>
              <w:rPr>
                <w:rFonts w:hint="eastAsia" w:ascii="宋体" w:hAnsi="宋体" w:eastAsia="Times New Roman" w:cs="Times New Roman"/>
                <w:szCs w:val="21"/>
                <w:highlight w:val="none"/>
                <w:lang w:eastAsia="zh-CN"/>
              </w:rPr>
              <w:t>比选文件</w:t>
            </w:r>
            <w:r>
              <w:rPr>
                <w:rFonts w:hint="eastAsia" w:ascii="宋体" w:hAnsi="宋体" w:eastAsia="Times New Roman" w:cs="Times New Roman"/>
                <w:szCs w:val="21"/>
                <w:highlight w:val="none"/>
              </w:rPr>
              <w:t>规定</w:t>
            </w:r>
            <w:r>
              <w:rPr>
                <w:rFonts w:hint="eastAsia" w:ascii="宋体" w:hAnsi="宋体" w:eastAsia="Times New Roman" w:cs="Times New Roman"/>
                <w:kern w:val="0"/>
                <w:szCs w:val="21"/>
                <w:highlight w:val="none"/>
              </w:rPr>
              <w:t>。</w:t>
            </w:r>
          </w:p>
          <w:p w14:paraId="4D7E2CF2">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Style w:val="65"/>
                <w:rFonts w:hint="eastAsia" w:ascii="Times New Roman" w:hAnsi="Times New Roman" w:eastAsia="Times New Roman" w:cs="Times New Roman"/>
                <w:highlight w:val="none"/>
                <w:lang w:eastAsia="zh-CN"/>
              </w:rPr>
            </w:pPr>
            <w:r>
              <w:rPr>
                <w:rFonts w:hint="eastAsia" w:ascii="宋体" w:hAnsi="宋体" w:eastAsia="Times New Roman" w:cs="Times New Roman"/>
                <w:kern w:val="0"/>
                <w:szCs w:val="21"/>
                <w:highlight w:val="none"/>
              </w:rPr>
              <w:t>（</w:t>
            </w:r>
            <w:r>
              <w:rPr>
                <w:rFonts w:hint="default" w:ascii="宋体" w:hAnsi="宋体" w:eastAsia="Times New Roman" w:cs="Times New Roman"/>
                <w:kern w:val="0"/>
                <w:szCs w:val="21"/>
                <w:highlight w:val="none"/>
              </w:rPr>
              <w:t>2</w:t>
            </w:r>
            <w:r>
              <w:rPr>
                <w:rFonts w:hint="eastAsia" w:ascii="宋体" w:hAnsi="宋体" w:eastAsia="Times New Roman" w:cs="Times New Roman"/>
                <w:kern w:val="0"/>
                <w:szCs w:val="21"/>
                <w:highlight w:val="none"/>
              </w:rPr>
              <w:t>）低价风险担保的金额：（最高限价×</w:t>
            </w:r>
            <w:r>
              <w:rPr>
                <w:rFonts w:hint="default" w:ascii="宋体" w:hAnsi="宋体" w:eastAsia="Times New Roman" w:cs="Times New Roman"/>
                <w:kern w:val="0"/>
                <w:szCs w:val="21"/>
                <w:highlight w:val="none"/>
              </w:rPr>
              <w:t>85%-</w:t>
            </w:r>
            <w:r>
              <w:rPr>
                <w:rFonts w:hint="eastAsia" w:ascii="宋体" w:hAnsi="宋体" w:eastAsia="Times New Roman" w:cs="Times New Roman"/>
                <w:kern w:val="0"/>
                <w:szCs w:val="21"/>
                <w:highlight w:val="none"/>
                <w:lang w:eastAsia="zh-CN"/>
              </w:rPr>
              <w:t>中选</w:t>
            </w:r>
            <w:r>
              <w:rPr>
                <w:rFonts w:hint="eastAsia" w:ascii="宋体" w:hAnsi="宋体" w:eastAsia="Times New Roman" w:cs="Times New Roman"/>
                <w:kern w:val="0"/>
                <w:szCs w:val="21"/>
                <w:highlight w:val="none"/>
              </w:rPr>
              <w:t>价）×3</w:t>
            </w:r>
            <w:r>
              <w:rPr>
                <w:rStyle w:val="65"/>
                <w:rFonts w:hint="eastAsia" w:ascii="Times New Roman" w:hAnsi="Times New Roman" w:eastAsia="Times New Roman" w:cs="Times New Roman"/>
                <w:highlight w:val="none"/>
              </w:rPr>
              <w:t>，</w:t>
            </w:r>
            <w:r>
              <w:rPr>
                <w:rStyle w:val="65"/>
                <w:rFonts w:hint="default" w:ascii="Times New Roman" w:hAnsi="Times New Roman" w:eastAsia="Times New Roman" w:cs="Times New Roman"/>
                <w:highlight w:val="none"/>
              </w:rPr>
              <w:t>且最高不超过最高限价的85%</w:t>
            </w:r>
            <w:r>
              <w:rPr>
                <w:rStyle w:val="65"/>
                <w:rFonts w:hint="eastAsia" w:ascii="Times New Roman" w:hAnsi="Times New Roman" w:eastAsia="Times New Roman" w:cs="Times New Roman"/>
                <w:highlight w:val="none"/>
                <w:lang w:eastAsia="zh-CN"/>
              </w:rPr>
              <w:t>。</w:t>
            </w:r>
          </w:p>
          <w:p w14:paraId="54314A98">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eastAsia" w:ascii="宋体" w:hAnsi="宋体" w:eastAsia="Times New Roman" w:cs="宋体"/>
                <w:highlight w:val="none"/>
                <w:lang w:eastAsia="zh-CN"/>
              </w:rPr>
            </w:pPr>
            <w:r>
              <w:rPr>
                <w:rFonts w:hint="eastAsia" w:ascii="Times New Roman" w:hAnsi="Times New Roman" w:eastAsia="Times New Roman" w:cs="Times New Roman"/>
                <w:highlight w:val="none"/>
              </w:rPr>
              <w:t>①红名单优惠：红名单中的</w:t>
            </w:r>
            <w:r>
              <w:rPr>
                <w:rFonts w:hint="eastAsia" w:ascii="Times New Roman" w:hAnsi="Times New Roman" w:eastAsia="Times New Roman" w:cs="Times New Roman"/>
                <w:highlight w:val="none"/>
                <w:lang w:eastAsia="zh-CN"/>
              </w:rPr>
              <w:t>中选人</w:t>
            </w:r>
            <w:r>
              <w:rPr>
                <w:rFonts w:hint="eastAsia" w:ascii="Times New Roman" w:hAnsi="Times New Roman" w:eastAsia="Times New Roman" w:cs="Times New Roman"/>
                <w:highlight w:val="none"/>
              </w:rPr>
              <w:t>低价风险担保金额为应提交金额的</w:t>
            </w:r>
            <w:r>
              <w:rPr>
                <w:rFonts w:hint="eastAsia" w:ascii="Times New Roman" w:hAnsi="Times New Roman" w:eastAsia="Times New Roman" w:cs="Times New Roman"/>
                <w:highlight w:val="none"/>
                <w:u w:val="single"/>
              </w:rPr>
              <w:t xml:space="preserve">      </w:t>
            </w:r>
            <w:r>
              <w:rPr>
                <w:rFonts w:hint="eastAsia" w:ascii="Times New Roman" w:hAnsi="Times New Roman" w:eastAsia="Times New Roman" w:cs="Times New Roman"/>
                <w:highlight w:val="none"/>
              </w:rPr>
              <w:t>50%</w:t>
            </w:r>
            <w:r>
              <w:rPr>
                <w:rFonts w:hint="eastAsia" w:ascii="宋体" w:hAnsi="宋体" w:eastAsia="Times New Roman" w:cs="宋体"/>
                <w:highlight w:val="none"/>
                <w:lang w:eastAsia="zh-CN"/>
              </w:rPr>
              <w:t>。</w:t>
            </w:r>
          </w:p>
          <w:p w14:paraId="0A355617">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eastAsia" w:ascii="宋体" w:hAnsi="宋体" w:eastAsia="宋体" w:cs="Times New Roman"/>
                <w:i/>
                <w:iCs/>
                <w:kern w:val="0"/>
                <w:szCs w:val="21"/>
                <w:highlight w:val="none"/>
                <w:lang w:eastAsia="zh-CN"/>
              </w:rPr>
            </w:pPr>
            <w:r>
              <w:rPr>
                <w:rFonts w:hint="eastAsia" w:ascii="宋体" w:hAnsi="宋体" w:eastAsia="Times New Roman" w:cs="宋体"/>
                <w:highlight w:val="none"/>
              </w:rPr>
              <w:t>②红名单认定标准：</w:t>
            </w:r>
            <w:r>
              <w:rPr>
                <w:rFonts w:hint="eastAsia" w:ascii="Times New Roman" w:hAnsi="Times New Roman" w:eastAsia="Times New Roman" w:cs="Times New Roman"/>
                <w:highlight w:val="none"/>
                <w:lang w:eastAsia="zh-CN"/>
              </w:rPr>
              <w:t>中选人</w:t>
            </w:r>
            <w:r>
              <w:rPr>
                <w:rFonts w:hint="eastAsia" w:ascii="Times New Roman" w:hAnsi="Times New Roman" w:eastAsia="Times New Roman" w:cs="Times New Roman"/>
                <w:highlight w:val="none"/>
              </w:rPr>
              <w:t>是否属于红名单</w:t>
            </w:r>
            <w:r>
              <w:rPr>
                <w:rFonts w:hint="eastAsia" w:ascii="Times New Roman" w:hAnsi="Times New Roman" w:eastAsia="宋体" w:cs="Times New Roman"/>
                <w:highlight w:val="none"/>
              </w:rPr>
              <w:t>，以开标环节信用状况查询结果为准</w:t>
            </w:r>
            <w:r>
              <w:rPr>
                <w:rFonts w:hint="eastAsia" w:ascii="Times New Roman" w:hAnsi="Times New Roman" w:eastAsia="宋体" w:cs="Times New Roman"/>
                <w:highlight w:val="none"/>
                <w:lang w:eastAsia="zh-CN"/>
              </w:rPr>
              <w:t>。</w:t>
            </w:r>
          </w:p>
          <w:p w14:paraId="5AF79F38">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ascii="宋体" w:hAnsi="宋体" w:eastAsia="Times New Roman" w:cs="Times New Roman"/>
                <w:kern w:val="0"/>
                <w:szCs w:val="21"/>
                <w:highlight w:val="none"/>
              </w:rPr>
            </w:pPr>
            <w:r>
              <w:rPr>
                <w:rFonts w:hint="eastAsia" w:ascii="宋体" w:hAnsi="宋体" w:eastAsia="Times New Roman" w:cs="Times New Roman"/>
                <w:kern w:val="0"/>
                <w:szCs w:val="21"/>
                <w:highlight w:val="none"/>
              </w:rPr>
              <w:t>（</w:t>
            </w:r>
            <w:r>
              <w:rPr>
                <w:rFonts w:hint="default" w:ascii="宋体" w:hAnsi="宋体" w:eastAsia="Times New Roman" w:cs="Times New Roman"/>
                <w:kern w:val="0"/>
                <w:szCs w:val="21"/>
                <w:highlight w:val="none"/>
              </w:rPr>
              <w:t>3</w:t>
            </w:r>
            <w:r>
              <w:rPr>
                <w:rFonts w:hint="eastAsia" w:ascii="宋体" w:hAnsi="宋体" w:eastAsia="Times New Roman" w:cs="Times New Roman"/>
                <w:kern w:val="0"/>
                <w:szCs w:val="21"/>
                <w:highlight w:val="none"/>
              </w:rPr>
              <w:t>）低价风险担保送达</w:t>
            </w:r>
            <w:r>
              <w:rPr>
                <w:rFonts w:hint="eastAsia" w:ascii="宋体" w:hAnsi="宋体" w:eastAsia="Times New Roman" w:cs="Times New Roman"/>
                <w:kern w:val="0"/>
                <w:szCs w:val="21"/>
                <w:highlight w:val="none"/>
                <w:lang w:val="en-US" w:eastAsia="zh-CN"/>
              </w:rPr>
              <w:t>比选</w:t>
            </w:r>
            <w:r>
              <w:rPr>
                <w:rFonts w:hint="eastAsia" w:ascii="宋体" w:hAnsi="宋体" w:eastAsia="Times New Roman" w:cs="Times New Roman"/>
                <w:kern w:val="0"/>
                <w:szCs w:val="21"/>
                <w:highlight w:val="none"/>
              </w:rPr>
              <w:t>人的时间：</w:t>
            </w:r>
            <w:r>
              <w:rPr>
                <w:rFonts w:hint="eastAsia" w:ascii="Times New Roman" w:hAnsi="Times New Roman" w:eastAsia="Times New Roman" w:cs="Times New Roman"/>
                <w:szCs w:val="21"/>
                <w:highlight w:val="none"/>
              </w:rPr>
              <w:t>从</w:t>
            </w:r>
            <w:r>
              <w:rPr>
                <w:rFonts w:hint="eastAsia" w:ascii="Times New Roman" w:hAnsi="Times New Roman" w:eastAsia="Times New Roman" w:cs="Times New Roman"/>
                <w:szCs w:val="21"/>
                <w:highlight w:val="none"/>
                <w:lang w:val="en-US" w:eastAsia="zh-CN"/>
              </w:rPr>
              <w:t>比选</w:t>
            </w:r>
            <w:r>
              <w:rPr>
                <w:rFonts w:hint="eastAsia" w:ascii="Times New Roman" w:hAnsi="Times New Roman" w:eastAsia="Times New Roman" w:cs="Times New Roman"/>
                <w:szCs w:val="21"/>
                <w:highlight w:val="none"/>
              </w:rPr>
              <w:t>人</w:t>
            </w:r>
            <w:r>
              <w:rPr>
                <w:rFonts w:hint="eastAsia" w:ascii="Times New Roman" w:hAnsi="Times New Roman" w:eastAsia="Times New Roman" w:cs="Times New Roman"/>
                <w:szCs w:val="21"/>
                <w:highlight w:val="none"/>
                <w:lang w:eastAsia="zh-CN"/>
              </w:rPr>
              <w:t>中选</w:t>
            </w:r>
            <w:r>
              <w:rPr>
                <w:rFonts w:hint="eastAsia" w:ascii="Times New Roman" w:hAnsi="Times New Roman" w:eastAsia="Times New Roman" w:cs="Times New Roman"/>
                <w:szCs w:val="21"/>
                <w:highlight w:val="none"/>
              </w:rPr>
              <w:t>通知书送达中</w:t>
            </w:r>
            <w:r>
              <w:rPr>
                <w:rFonts w:hint="eastAsia" w:ascii="Times New Roman" w:hAnsi="Times New Roman" w:eastAsia="Times New Roman" w:cs="Times New Roman"/>
                <w:szCs w:val="21"/>
                <w:highlight w:val="none"/>
                <w:lang w:val="en-US" w:eastAsia="zh-CN"/>
              </w:rPr>
              <w:t>选</w:t>
            </w:r>
            <w:r>
              <w:rPr>
                <w:rFonts w:hint="eastAsia" w:ascii="Times New Roman" w:hAnsi="Times New Roman" w:eastAsia="Times New Roman" w:cs="Times New Roman"/>
                <w:szCs w:val="21"/>
                <w:highlight w:val="none"/>
              </w:rPr>
              <w:t>候选人之日起</w:t>
            </w:r>
            <w:r>
              <w:rPr>
                <w:rFonts w:hint="eastAsia" w:ascii="Times New Roman" w:hAnsi="Times New Roman" w:eastAsia="Times New Roman" w:cs="Times New Roman"/>
                <w:szCs w:val="21"/>
                <w:highlight w:val="none"/>
                <w:u w:val="single"/>
                <w:lang w:val="en-US" w:eastAsia="zh-CN"/>
              </w:rPr>
              <w:t>10</w:t>
            </w:r>
            <w:r>
              <w:rPr>
                <w:rFonts w:hint="eastAsia" w:ascii="Times New Roman" w:hAnsi="Times New Roman" w:eastAsia="Times New Roman" w:cs="Times New Roman"/>
                <w:szCs w:val="21"/>
                <w:highlight w:val="none"/>
              </w:rPr>
              <w:t>工作日内</w:t>
            </w:r>
            <w:r>
              <w:rPr>
                <w:rFonts w:hint="eastAsia" w:ascii="宋体" w:hAnsi="宋体" w:eastAsia="Times New Roman" w:cs="Times New Roman"/>
                <w:kern w:val="0"/>
                <w:szCs w:val="21"/>
                <w:highlight w:val="none"/>
              </w:rPr>
              <w:t>；</w:t>
            </w:r>
          </w:p>
          <w:p w14:paraId="38A7913C">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ascii="宋体" w:hAnsi="宋体" w:eastAsia="Times New Roman" w:cs="Times New Roman"/>
                <w:kern w:val="0"/>
                <w:szCs w:val="21"/>
                <w:highlight w:val="none"/>
              </w:rPr>
            </w:pPr>
            <w:r>
              <w:rPr>
                <w:rFonts w:hint="eastAsia" w:ascii="宋体" w:hAnsi="宋体" w:eastAsia="Times New Roman" w:cs="Times New Roman"/>
                <w:kern w:val="0"/>
                <w:szCs w:val="21"/>
                <w:highlight w:val="none"/>
              </w:rPr>
              <w:t>（4）中</w:t>
            </w:r>
            <w:r>
              <w:rPr>
                <w:rFonts w:hint="eastAsia" w:ascii="宋体" w:hAnsi="宋体" w:eastAsia="Times New Roman" w:cs="Times New Roman"/>
                <w:kern w:val="0"/>
                <w:szCs w:val="21"/>
                <w:highlight w:val="none"/>
                <w:lang w:val="en-US" w:eastAsia="zh-CN"/>
              </w:rPr>
              <w:t>选</w:t>
            </w:r>
            <w:r>
              <w:rPr>
                <w:rFonts w:hint="eastAsia" w:ascii="宋体" w:hAnsi="宋体" w:eastAsia="Times New Roman" w:cs="Times New Roman"/>
                <w:kern w:val="0"/>
                <w:szCs w:val="21"/>
                <w:highlight w:val="none"/>
              </w:rPr>
              <w:t>人因自身原因未按</w:t>
            </w:r>
            <w:r>
              <w:rPr>
                <w:rFonts w:hint="eastAsia" w:ascii="宋体" w:hAnsi="宋体" w:eastAsia="Times New Roman" w:cs="Times New Roman"/>
                <w:kern w:val="0"/>
                <w:szCs w:val="21"/>
                <w:highlight w:val="none"/>
                <w:lang w:eastAsia="zh-CN"/>
              </w:rPr>
              <w:t>中选</w:t>
            </w:r>
            <w:r>
              <w:rPr>
                <w:rFonts w:hint="eastAsia" w:ascii="宋体" w:hAnsi="宋体" w:eastAsia="Times New Roman" w:cs="Times New Roman"/>
                <w:kern w:val="0"/>
                <w:szCs w:val="21"/>
                <w:highlight w:val="none"/>
              </w:rPr>
              <w:t>通知书规定的时限与</w:t>
            </w:r>
            <w:r>
              <w:rPr>
                <w:rFonts w:hint="eastAsia" w:ascii="宋体" w:hAnsi="宋体" w:eastAsia="Times New Roman" w:cs="Times New Roman"/>
                <w:kern w:val="0"/>
                <w:szCs w:val="21"/>
                <w:highlight w:val="none"/>
                <w:lang w:val="en-US" w:eastAsia="zh-CN"/>
              </w:rPr>
              <w:t>比选</w:t>
            </w:r>
            <w:r>
              <w:rPr>
                <w:rFonts w:hint="eastAsia" w:ascii="宋体" w:hAnsi="宋体" w:eastAsia="Times New Roman" w:cs="Times New Roman"/>
                <w:kern w:val="0"/>
                <w:szCs w:val="21"/>
                <w:highlight w:val="none"/>
              </w:rPr>
              <w:t>人签订合同的，</w:t>
            </w:r>
            <w:r>
              <w:rPr>
                <w:rFonts w:hint="eastAsia" w:ascii="宋体" w:hAnsi="宋体" w:eastAsia="Times New Roman" w:cs="Times New Roman"/>
                <w:kern w:val="0"/>
                <w:szCs w:val="21"/>
                <w:highlight w:val="none"/>
                <w:lang w:val="en-US" w:eastAsia="zh-CN"/>
              </w:rPr>
              <w:t>比选</w:t>
            </w:r>
            <w:r>
              <w:rPr>
                <w:rFonts w:hint="eastAsia" w:ascii="宋体" w:hAnsi="宋体" w:eastAsia="Times New Roman" w:cs="Times New Roman"/>
                <w:kern w:val="0"/>
                <w:szCs w:val="21"/>
                <w:highlight w:val="none"/>
              </w:rPr>
              <w:t>人有权扣除其低价风险担保并取消</w:t>
            </w:r>
            <w:r>
              <w:rPr>
                <w:rFonts w:hint="eastAsia" w:ascii="宋体" w:hAnsi="宋体" w:eastAsia="Times New Roman" w:cs="Times New Roman"/>
                <w:kern w:val="0"/>
                <w:szCs w:val="21"/>
                <w:highlight w:val="none"/>
                <w:lang w:eastAsia="zh-CN"/>
              </w:rPr>
              <w:t>中选</w:t>
            </w:r>
            <w:r>
              <w:rPr>
                <w:rFonts w:hint="eastAsia" w:ascii="宋体" w:hAnsi="宋体" w:eastAsia="Times New Roman" w:cs="Times New Roman"/>
                <w:kern w:val="0"/>
                <w:szCs w:val="21"/>
                <w:highlight w:val="none"/>
              </w:rPr>
              <w:t>资格。</w:t>
            </w:r>
          </w:p>
          <w:p w14:paraId="04A4CE39">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ascii="宋体" w:hAnsi="宋体" w:eastAsia="Times New Roman" w:cs="Times New Roman"/>
                <w:kern w:val="0"/>
                <w:szCs w:val="21"/>
                <w:highlight w:val="none"/>
              </w:rPr>
            </w:pPr>
            <w:r>
              <w:rPr>
                <w:rFonts w:hint="eastAsia" w:ascii="宋体" w:hAnsi="宋体" w:eastAsia="Times New Roman" w:cs="Times New Roman"/>
                <w:kern w:val="0"/>
                <w:szCs w:val="21"/>
                <w:highlight w:val="none"/>
              </w:rPr>
              <w:t>（5）低价风险担保的期限：</w:t>
            </w:r>
            <w:r>
              <w:rPr>
                <w:rFonts w:hint="eastAsia" w:ascii="宋体" w:hAnsi="宋体" w:eastAsia="Times New Roman" w:cs="Times New Roman"/>
                <w:kern w:val="0"/>
                <w:szCs w:val="21"/>
                <w:highlight w:val="none"/>
                <w:u w:val="single"/>
              </w:rPr>
              <w:t>自低价风险担保生效之日起至竣工验收合格之日止</w:t>
            </w:r>
            <w:r>
              <w:rPr>
                <w:rFonts w:hint="eastAsia" w:ascii="宋体" w:hAnsi="宋体" w:eastAsia="Times New Roman" w:cs="Times New Roman"/>
                <w:kern w:val="0"/>
                <w:szCs w:val="21"/>
                <w:highlight w:val="none"/>
              </w:rPr>
              <w:t>。</w:t>
            </w:r>
          </w:p>
          <w:p w14:paraId="6AC97E1B">
            <w:pPr>
              <w:keepNext w:val="0"/>
              <w:keepLines w:val="0"/>
              <w:widowControl/>
              <w:suppressLineNumbers w:val="0"/>
              <w:spacing w:before="0" w:beforeAutospacing="0" w:after="0" w:afterAutospacing="0" w:line="400" w:lineRule="exact"/>
              <w:ind w:left="0" w:right="0" w:firstLine="420" w:firstLineChars="200"/>
              <w:rPr>
                <w:rFonts w:hint="default" w:ascii="宋体" w:hAnsi="宋体" w:eastAsia="Times New Roman" w:cs="Times New Roman"/>
                <w:kern w:val="0"/>
                <w:szCs w:val="21"/>
                <w:highlight w:val="none"/>
              </w:rPr>
            </w:pPr>
            <w:r>
              <w:rPr>
                <w:rFonts w:hint="eastAsia" w:ascii="宋体" w:hAnsi="宋体" w:eastAsia="Times New Roman" w:cs="Times New Roman"/>
                <w:kern w:val="0"/>
                <w:szCs w:val="21"/>
                <w:highlight w:val="none"/>
              </w:rPr>
              <w:t>3、低价风险担保的退还时间：</w:t>
            </w:r>
            <w:r>
              <w:rPr>
                <w:rFonts w:hint="eastAsia" w:ascii="宋体" w:hAnsi="宋体" w:eastAsia="宋体" w:cs="Times New Roman"/>
                <w:kern w:val="0"/>
                <w:szCs w:val="21"/>
                <w:highlight w:val="none"/>
                <w:lang w:val="en-US" w:eastAsia="zh-CN"/>
              </w:rPr>
              <w:t>至完工验收</w:t>
            </w:r>
            <w:r>
              <w:rPr>
                <w:rFonts w:hint="eastAsia" w:ascii="宋体" w:hAnsi="宋体" w:eastAsia="Times New Roman" w:cs="Times New Roman"/>
                <w:kern w:val="0"/>
                <w:szCs w:val="21"/>
                <w:highlight w:val="none"/>
              </w:rPr>
              <w:t>。</w:t>
            </w:r>
          </w:p>
          <w:p w14:paraId="20D700CE">
            <w:pPr>
              <w:keepNext w:val="0"/>
              <w:keepLines w:val="0"/>
              <w:widowControl/>
              <w:suppressLineNumbers w:val="0"/>
              <w:spacing w:before="0" w:beforeAutospacing="0" w:after="0" w:afterAutospacing="0" w:line="400" w:lineRule="exact"/>
              <w:ind w:left="0" w:right="0" w:firstLine="420" w:firstLineChars="200"/>
              <w:rPr>
                <w:rFonts w:hint="default" w:ascii="宋体" w:hAnsi="宋体" w:eastAsia="Times New Roman" w:cs="Times New Roman"/>
                <w:highlight w:val="none"/>
              </w:rPr>
            </w:pPr>
            <w:r>
              <w:rPr>
                <w:rFonts w:hint="eastAsia" w:ascii="宋体" w:hAnsi="宋体" w:eastAsia="Times New Roman" w:cs="Times New Roman"/>
                <w:highlight w:val="none"/>
              </w:rPr>
              <w:t>4、采用经评审最低投标价法的项目，拟</w:t>
            </w:r>
            <w:r>
              <w:rPr>
                <w:rFonts w:hint="eastAsia" w:ascii="宋体" w:hAnsi="宋体" w:eastAsia="Times New Roman" w:cs="Times New Roman"/>
                <w:highlight w:val="none"/>
                <w:lang w:eastAsia="zh-CN"/>
              </w:rPr>
              <w:t>中选人</w:t>
            </w:r>
            <w:r>
              <w:rPr>
                <w:rFonts w:hint="eastAsia" w:ascii="宋体" w:hAnsi="宋体" w:eastAsia="Times New Roman" w:cs="Times New Roman"/>
                <w:highlight w:val="none"/>
              </w:rPr>
              <w:t>或者</w:t>
            </w:r>
            <w:r>
              <w:rPr>
                <w:rFonts w:hint="eastAsia" w:ascii="宋体" w:hAnsi="宋体" w:eastAsia="Times New Roman" w:cs="Times New Roman"/>
                <w:highlight w:val="none"/>
                <w:lang w:eastAsia="zh-CN"/>
              </w:rPr>
              <w:t>中选人</w:t>
            </w:r>
            <w:r>
              <w:rPr>
                <w:rFonts w:hint="eastAsia" w:ascii="宋体" w:hAnsi="宋体" w:eastAsia="Times New Roman" w:cs="Times New Roman"/>
                <w:highlight w:val="none"/>
              </w:rPr>
              <w:t>放弃</w:t>
            </w:r>
            <w:r>
              <w:rPr>
                <w:rFonts w:hint="eastAsia" w:ascii="宋体" w:hAnsi="宋体" w:eastAsia="Times New Roman" w:cs="Times New Roman"/>
                <w:highlight w:val="none"/>
                <w:lang w:eastAsia="zh-CN"/>
              </w:rPr>
              <w:t>中选</w:t>
            </w:r>
            <w:r>
              <w:rPr>
                <w:rFonts w:hint="eastAsia" w:ascii="宋体" w:hAnsi="宋体" w:eastAsia="Times New Roman" w:cs="Times New Roman"/>
                <w:highlight w:val="none"/>
              </w:rPr>
              <w:t>项目，无正当理由不与</w:t>
            </w:r>
            <w:r>
              <w:rPr>
                <w:rFonts w:hint="eastAsia" w:ascii="宋体" w:hAnsi="宋体" w:eastAsia="Times New Roman" w:cs="Times New Roman"/>
                <w:highlight w:val="none"/>
                <w:lang w:eastAsia="zh-CN"/>
              </w:rPr>
              <w:t>比选人</w:t>
            </w:r>
            <w:r>
              <w:rPr>
                <w:rFonts w:hint="eastAsia" w:ascii="宋体" w:hAnsi="宋体" w:eastAsia="Times New Roman" w:cs="Times New Roman"/>
                <w:highlight w:val="none"/>
              </w:rPr>
              <w:t>签订合同，在签订合同时向</w:t>
            </w:r>
            <w:r>
              <w:rPr>
                <w:rFonts w:hint="eastAsia" w:ascii="宋体" w:hAnsi="宋体" w:eastAsia="Times New Roman" w:cs="Times New Roman"/>
                <w:highlight w:val="none"/>
                <w:lang w:eastAsia="zh-CN"/>
              </w:rPr>
              <w:t>比选人</w:t>
            </w:r>
            <w:r>
              <w:rPr>
                <w:rFonts w:hint="eastAsia" w:ascii="宋体" w:hAnsi="宋体" w:eastAsia="Times New Roman" w:cs="Times New Roman"/>
                <w:highlight w:val="none"/>
              </w:rPr>
              <w:t>提出附加条件或者更改合同实质性内容，或者拒不按照</w:t>
            </w:r>
            <w:r>
              <w:rPr>
                <w:rFonts w:hint="eastAsia" w:ascii="宋体" w:hAnsi="宋体" w:eastAsia="Times New Roman" w:cs="Times New Roman"/>
                <w:highlight w:val="none"/>
                <w:lang w:eastAsia="zh-CN"/>
              </w:rPr>
              <w:t>比选文件</w:t>
            </w:r>
            <w:r>
              <w:rPr>
                <w:rFonts w:hint="eastAsia" w:ascii="宋体" w:hAnsi="宋体" w:eastAsia="Times New Roman" w:cs="Times New Roman"/>
                <w:highlight w:val="none"/>
              </w:rPr>
              <w:t>规定提交低价风险担保或履约担保的，取消其</w:t>
            </w:r>
            <w:r>
              <w:rPr>
                <w:rFonts w:hint="eastAsia" w:ascii="宋体" w:hAnsi="宋体" w:eastAsia="Times New Roman" w:cs="Times New Roman"/>
                <w:highlight w:val="none"/>
                <w:lang w:eastAsia="zh-CN"/>
              </w:rPr>
              <w:t>中选</w:t>
            </w:r>
            <w:r>
              <w:rPr>
                <w:rFonts w:hint="eastAsia" w:ascii="宋体" w:hAnsi="宋体" w:eastAsia="Times New Roman" w:cs="Times New Roman"/>
                <w:highlight w:val="none"/>
              </w:rPr>
              <w:t>资格，</w:t>
            </w:r>
            <w:r>
              <w:rPr>
                <w:rFonts w:hint="eastAsia" w:ascii="宋体" w:hAnsi="宋体" w:eastAsia="Times New Roman" w:cs="Times New Roman"/>
                <w:highlight w:val="none"/>
                <w:lang w:val="en-US" w:eastAsia="zh-CN"/>
              </w:rPr>
              <w:t>比选申请</w:t>
            </w:r>
            <w:r>
              <w:rPr>
                <w:rFonts w:hint="eastAsia" w:ascii="宋体" w:hAnsi="宋体" w:eastAsia="Times New Roman" w:cs="Times New Roman"/>
                <w:highlight w:val="none"/>
              </w:rPr>
              <w:t>保证金不予退还，给</w:t>
            </w:r>
            <w:r>
              <w:rPr>
                <w:rFonts w:hint="eastAsia" w:ascii="宋体" w:hAnsi="宋体" w:eastAsia="Times New Roman" w:cs="Times New Roman"/>
                <w:highlight w:val="none"/>
                <w:lang w:eastAsia="zh-CN"/>
              </w:rPr>
              <w:t>比选人</w:t>
            </w:r>
            <w:r>
              <w:rPr>
                <w:rFonts w:hint="eastAsia" w:ascii="宋体" w:hAnsi="宋体" w:eastAsia="Times New Roman" w:cs="Times New Roman"/>
                <w:highlight w:val="none"/>
              </w:rPr>
              <w:t>造成的损失超过</w:t>
            </w:r>
            <w:r>
              <w:rPr>
                <w:rFonts w:hint="eastAsia" w:ascii="宋体" w:hAnsi="宋体" w:eastAsia="Times New Roman" w:cs="Times New Roman"/>
                <w:highlight w:val="none"/>
                <w:lang w:val="en-US" w:eastAsia="zh-CN"/>
              </w:rPr>
              <w:t>比选申请</w:t>
            </w:r>
            <w:r>
              <w:rPr>
                <w:rFonts w:hint="eastAsia" w:ascii="宋体" w:hAnsi="宋体" w:eastAsia="Times New Roman" w:cs="Times New Roman"/>
                <w:highlight w:val="none"/>
              </w:rPr>
              <w:t>保证金数额的，拟</w:t>
            </w:r>
            <w:r>
              <w:rPr>
                <w:rFonts w:hint="eastAsia" w:ascii="宋体" w:hAnsi="宋体" w:eastAsia="Times New Roman" w:cs="Times New Roman"/>
                <w:highlight w:val="none"/>
                <w:lang w:eastAsia="zh-CN"/>
              </w:rPr>
              <w:t>中选人</w:t>
            </w:r>
            <w:r>
              <w:rPr>
                <w:rFonts w:hint="eastAsia" w:ascii="宋体" w:hAnsi="宋体" w:eastAsia="Times New Roman" w:cs="Times New Roman"/>
                <w:highlight w:val="none"/>
              </w:rPr>
              <w:t>或</w:t>
            </w:r>
            <w:r>
              <w:rPr>
                <w:rFonts w:hint="eastAsia" w:ascii="宋体" w:hAnsi="宋体" w:eastAsia="Times New Roman" w:cs="Times New Roman"/>
                <w:highlight w:val="none"/>
                <w:lang w:eastAsia="zh-CN"/>
              </w:rPr>
              <w:t>中选人</w:t>
            </w:r>
            <w:r>
              <w:rPr>
                <w:rFonts w:hint="eastAsia" w:ascii="宋体" w:hAnsi="宋体" w:eastAsia="Times New Roman" w:cs="Times New Roman"/>
                <w:highlight w:val="none"/>
              </w:rPr>
              <w:t>应对超过部分予以赔偿。</w:t>
            </w:r>
          </w:p>
          <w:p w14:paraId="4958F449">
            <w:pPr>
              <w:pStyle w:val="19"/>
              <w:keepNext w:val="0"/>
              <w:keepLines w:val="0"/>
              <w:widowControl/>
              <w:suppressLineNumbers w:val="0"/>
              <w:spacing w:before="0" w:beforeAutospacing="0" w:afterAutospacing="0" w:line="400" w:lineRule="exact"/>
              <w:ind w:left="0" w:right="0" w:firstLine="420" w:firstLineChars="200"/>
              <w:rPr>
                <w:rFonts w:hint="default" w:ascii="宋体" w:hAnsi="宋体" w:eastAsia="Times New Roman" w:cs="Times New Roman"/>
                <w:highlight w:val="none"/>
              </w:rPr>
            </w:pPr>
            <w:r>
              <w:rPr>
                <w:rFonts w:hint="eastAsia" w:eastAsia="Times New Roman" w:cs="Times New Roman"/>
                <w:highlight w:val="none"/>
              </w:rPr>
              <w:t>备注：当</w:t>
            </w:r>
            <w:r>
              <w:rPr>
                <w:rFonts w:hint="eastAsia" w:eastAsia="Times New Roman" w:cs="Times New Roman"/>
                <w:highlight w:val="none"/>
                <w:lang w:eastAsia="zh-CN"/>
              </w:rPr>
              <w:t>中选人</w:t>
            </w:r>
            <w:r>
              <w:rPr>
                <w:rFonts w:hint="eastAsia" w:eastAsia="Times New Roman" w:cs="Times New Roman"/>
                <w:highlight w:val="none"/>
              </w:rPr>
              <w:t>或拟</w:t>
            </w:r>
            <w:r>
              <w:rPr>
                <w:rFonts w:hint="eastAsia" w:eastAsia="Times New Roman" w:cs="Times New Roman"/>
                <w:highlight w:val="none"/>
                <w:lang w:eastAsia="zh-CN"/>
              </w:rPr>
              <w:t>中选人</w:t>
            </w:r>
            <w:r>
              <w:rPr>
                <w:rFonts w:hint="eastAsia" w:eastAsia="Times New Roman" w:cs="Times New Roman"/>
                <w:highlight w:val="none"/>
              </w:rPr>
              <w:t>未按时提交低价风险担保，且属于可以延长低价风险担保提交期限的特殊情形时，经</w:t>
            </w:r>
            <w:r>
              <w:rPr>
                <w:rFonts w:hint="eastAsia" w:eastAsia="Times New Roman" w:cs="Times New Roman"/>
                <w:highlight w:val="none"/>
                <w:lang w:eastAsia="zh-CN"/>
              </w:rPr>
              <w:t>比选人</w:t>
            </w:r>
            <w:r>
              <w:rPr>
                <w:rFonts w:hint="eastAsia" w:eastAsia="Times New Roman" w:cs="Times New Roman"/>
                <w:highlight w:val="none"/>
              </w:rPr>
              <w:t>同意，可适当延长低价风险担保的提交期限。</w:t>
            </w:r>
          </w:p>
          <w:p w14:paraId="7070D77D">
            <w:pPr>
              <w:keepNext w:val="0"/>
              <w:keepLines w:val="0"/>
              <w:widowControl/>
              <w:suppressLineNumbers w:val="0"/>
              <w:spacing w:before="0" w:beforeAutospacing="0" w:after="0" w:afterAutospacing="0" w:line="400" w:lineRule="exact"/>
              <w:ind w:left="0" w:right="0" w:firstLine="420" w:firstLineChars="200"/>
              <w:rPr>
                <w:rFonts w:hint="eastAsia" w:ascii="宋体" w:hAnsi="宋体" w:eastAsia="Times New Roman" w:cs="Times New Roman"/>
                <w:color w:val="auto"/>
                <w:kern w:val="0"/>
                <w:szCs w:val="21"/>
                <w:highlight w:val="none"/>
              </w:rPr>
            </w:pPr>
            <w:r>
              <w:rPr>
                <w:rFonts w:hint="eastAsia" w:ascii="宋体" w:hAnsi="宋体" w:eastAsia="Times New Roman" w:cs="Times New Roman"/>
                <w:highlight w:val="none"/>
              </w:rPr>
              <w:t>5、</w:t>
            </w:r>
            <w:r>
              <w:rPr>
                <w:rFonts w:hint="eastAsia" w:ascii="宋体" w:hAnsi="宋体" w:eastAsia="Times New Roman" w:cs="Times New Roman"/>
                <w:highlight w:val="none"/>
                <w:lang w:val="en-US" w:eastAsia="zh-CN"/>
              </w:rPr>
              <w:t>比选申请</w:t>
            </w:r>
            <w:r>
              <w:rPr>
                <w:rFonts w:hint="eastAsia" w:ascii="宋体" w:hAnsi="宋体" w:eastAsia="Times New Roman" w:cs="Times New Roman"/>
                <w:highlight w:val="none"/>
              </w:rPr>
              <w:t>总报价低于最高限价85%的，</w:t>
            </w:r>
            <w:r>
              <w:rPr>
                <w:rFonts w:hint="eastAsia" w:ascii="宋体" w:hAnsi="宋体" w:eastAsia="Times New Roman" w:cs="Times New Roman"/>
                <w:highlight w:val="none"/>
                <w:lang w:eastAsia="zh-CN"/>
              </w:rPr>
              <w:t>比选申请人</w:t>
            </w:r>
            <w:r>
              <w:rPr>
                <w:rFonts w:hint="eastAsia" w:ascii="宋体" w:hAnsi="宋体" w:eastAsia="Times New Roman" w:cs="Times New Roman"/>
                <w:highlight w:val="none"/>
              </w:rPr>
              <w:t>应在编制</w:t>
            </w:r>
            <w:r>
              <w:rPr>
                <w:rFonts w:hint="eastAsia" w:ascii="宋体" w:hAnsi="宋体" w:eastAsia="Times New Roman" w:cs="Times New Roman"/>
                <w:highlight w:val="none"/>
                <w:lang w:eastAsia="zh-CN"/>
              </w:rPr>
              <w:t>比选申请文件</w:t>
            </w:r>
            <w:r>
              <w:rPr>
                <w:rFonts w:hint="eastAsia" w:ascii="宋体" w:hAnsi="宋体" w:eastAsia="Times New Roman" w:cs="Times New Roman"/>
                <w:highlight w:val="none"/>
              </w:rPr>
              <w:t>时，在</w:t>
            </w:r>
            <w:r>
              <w:rPr>
                <w:rFonts w:hint="eastAsia" w:ascii="宋体" w:hAnsi="宋体" w:eastAsia="Times New Roman" w:cs="Times New Roman"/>
                <w:highlight w:val="none"/>
                <w:lang w:val="en-US" w:eastAsia="zh-CN"/>
              </w:rPr>
              <w:t>比选申请</w:t>
            </w:r>
            <w:r>
              <w:rPr>
                <w:rFonts w:hint="eastAsia" w:ascii="宋体" w:hAnsi="宋体" w:eastAsia="Times New Roman" w:cs="Times New Roman"/>
                <w:highlight w:val="none"/>
              </w:rPr>
              <w:t>函部分中递交低价风险担保提交承诺书。承诺书格式详见第八章</w:t>
            </w:r>
            <w:r>
              <w:rPr>
                <w:rFonts w:hint="eastAsia" w:ascii="Times New Roman" w:hAnsi="Times New Roman" w:eastAsia="Times New Roman" w:cs="Times New Roman"/>
                <w:highlight w:val="none"/>
              </w:rPr>
              <w:t>比选申请文件</w:t>
            </w:r>
            <w:r>
              <w:rPr>
                <w:rFonts w:hint="eastAsia" w:ascii="宋体" w:hAnsi="宋体" w:eastAsia="Times New Roman" w:cs="Times New Roman"/>
                <w:highlight w:val="none"/>
              </w:rPr>
              <w:t>格式。</w:t>
            </w:r>
          </w:p>
        </w:tc>
      </w:tr>
      <w:tr w14:paraId="2B361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953" w:type="dxa"/>
            <w:vMerge w:val="restart"/>
            <w:tcBorders>
              <w:top w:val="single" w:color="auto" w:sz="4" w:space="0"/>
              <w:left w:val="single" w:color="auto" w:sz="4" w:space="0"/>
              <w:right w:val="single" w:color="auto" w:sz="4" w:space="0"/>
            </w:tcBorders>
            <w:noWrap w:val="0"/>
            <w:vAlign w:val="center"/>
          </w:tcPr>
          <w:p w14:paraId="39D6CD10">
            <w:pPr>
              <w:keepNext w:val="0"/>
              <w:keepLines w:val="0"/>
              <w:suppressLineNumbers w:val="0"/>
              <w:snapToGrid w:val="0"/>
              <w:spacing w:before="0" w:beforeAutospacing="0" w:after="0" w:afterAutospacing="0" w:line="400" w:lineRule="exact"/>
              <w:ind w:left="0" w:right="0"/>
              <w:jc w:val="center"/>
              <w:rPr>
                <w:rFonts w:hint="default" w:ascii="宋体" w:hAnsi="宋体" w:eastAsia="宋体" w:cs="Times New Roman"/>
                <w:kern w:val="0"/>
                <w:szCs w:val="21"/>
                <w:highlight w:val="none"/>
                <w:lang w:val="en-US" w:eastAsia="zh-CN"/>
              </w:rPr>
            </w:pPr>
            <w:r>
              <w:rPr>
                <w:rFonts w:hint="eastAsia" w:ascii="宋体" w:hAnsi="宋体" w:eastAsia="Times New Roman" w:cs="Times New Roman"/>
                <w:kern w:val="0"/>
                <w:szCs w:val="21"/>
                <w:highlight w:val="none"/>
                <w:lang w:val="en-US" w:eastAsia="zh-CN"/>
              </w:rPr>
              <w:t>10.6</w:t>
            </w:r>
          </w:p>
        </w:tc>
        <w:tc>
          <w:tcPr>
            <w:tcW w:w="857" w:type="dxa"/>
            <w:vMerge w:val="restart"/>
            <w:tcBorders>
              <w:top w:val="single" w:color="auto" w:sz="4" w:space="0"/>
              <w:left w:val="single" w:color="auto" w:sz="4" w:space="0"/>
              <w:right w:val="single" w:color="auto" w:sz="4" w:space="0"/>
            </w:tcBorders>
            <w:noWrap w:val="0"/>
            <w:vAlign w:val="center"/>
          </w:tcPr>
          <w:p w14:paraId="6B180AEB">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highlight w:val="none"/>
                <w:lang w:eastAsia="zh-CN"/>
              </w:rPr>
            </w:pPr>
            <w:r>
              <w:rPr>
                <w:rFonts w:hint="eastAsia" w:cs="Times New Roman"/>
                <w:highlight w:val="none"/>
                <w:lang w:val="en-US" w:eastAsia="zh-CN"/>
              </w:rPr>
              <w:t>结算原则</w:t>
            </w:r>
          </w:p>
        </w:tc>
        <w:tc>
          <w:tcPr>
            <w:tcW w:w="857" w:type="dxa"/>
            <w:tcBorders>
              <w:top w:val="single" w:color="auto" w:sz="4" w:space="0"/>
              <w:left w:val="single" w:color="auto" w:sz="4" w:space="0"/>
              <w:bottom w:val="single" w:color="auto" w:sz="4" w:space="0"/>
              <w:right w:val="single" w:color="auto" w:sz="4" w:space="0"/>
            </w:tcBorders>
            <w:noWrap w:val="0"/>
            <w:vAlign w:val="center"/>
          </w:tcPr>
          <w:p w14:paraId="7323768C">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highlight w:val="none"/>
                <w:lang w:val="en-US" w:eastAsia="zh-CN"/>
              </w:rPr>
            </w:pPr>
            <w:r>
              <w:rPr>
                <w:rFonts w:hint="eastAsia" w:cs="Times New Roman"/>
                <w:highlight w:val="none"/>
                <w:lang w:val="en-US" w:eastAsia="zh-CN"/>
              </w:rPr>
              <w:t>1标段</w:t>
            </w:r>
          </w:p>
        </w:tc>
        <w:tc>
          <w:tcPr>
            <w:tcW w:w="6884" w:type="dxa"/>
            <w:tcBorders>
              <w:top w:val="single" w:color="auto" w:sz="4" w:space="0"/>
              <w:left w:val="single" w:color="auto" w:sz="4" w:space="0"/>
              <w:right w:val="single" w:color="auto" w:sz="4" w:space="0"/>
            </w:tcBorders>
            <w:noWrap w:val="0"/>
            <w:vAlign w:val="center"/>
          </w:tcPr>
          <w:p w14:paraId="4FAC0030">
            <w:pPr>
              <w:pStyle w:val="19"/>
              <w:keepNext w:val="0"/>
              <w:keepLines w:val="0"/>
              <w:numPr>
                <w:ilvl w:val="0"/>
                <w:numId w:val="0"/>
              </w:numPr>
              <w:suppressLineNumbers w:val="0"/>
              <w:tabs>
                <w:tab w:val="left" w:pos="546"/>
                <w:tab w:val="left" w:pos="711"/>
              </w:tabs>
              <w:snapToGrid w:val="0"/>
              <w:spacing w:before="0" w:beforeAutospacing="0" w:after="0" w:afterAutospacing="0" w:line="360" w:lineRule="auto"/>
              <w:ind w:left="0" w:right="0" w:rightChars="0" w:firstLine="420" w:firstLineChars="200"/>
              <w:rPr>
                <w:rFonts w:hint="default"/>
                <w:color w:val="auto"/>
                <w:lang w:val="en-US" w:eastAsia="zh-CN"/>
              </w:rPr>
            </w:pPr>
            <w:r>
              <w:rPr>
                <w:rFonts w:hint="eastAsia"/>
                <w:color w:val="auto"/>
                <w:highlight w:val="none"/>
                <w:lang w:val="en-US" w:eastAsia="zh-CN"/>
              </w:rPr>
              <w:t>单价</w:t>
            </w:r>
            <w:r>
              <w:rPr>
                <w:rFonts w:hint="eastAsia"/>
                <w:color w:val="auto"/>
                <w:highlight w:val="none"/>
                <w:lang w:eastAsia="zh-CN"/>
              </w:rPr>
              <w:t>包干，</w:t>
            </w:r>
            <w:r>
              <w:rPr>
                <w:rFonts w:hint="eastAsia"/>
                <w:color w:val="auto"/>
                <w:highlight w:val="none"/>
                <w:lang w:val="en-US" w:eastAsia="zh-CN"/>
              </w:rPr>
              <w:t>工程量按实际完成的合格工程量结算，结算总价=成交单价×实际现场安装合格工程量</w:t>
            </w:r>
          </w:p>
        </w:tc>
      </w:tr>
      <w:tr w14:paraId="56768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9" w:hRule="atLeast"/>
        </w:trPr>
        <w:tc>
          <w:tcPr>
            <w:tcW w:w="953" w:type="dxa"/>
            <w:vMerge w:val="continue"/>
            <w:tcBorders>
              <w:left w:val="single" w:color="auto" w:sz="4" w:space="0"/>
              <w:bottom w:val="single" w:color="auto" w:sz="4" w:space="0"/>
              <w:right w:val="single" w:color="auto" w:sz="4" w:space="0"/>
            </w:tcBorders>
            <w:noWrap w:val="0"/>
            <w:vAlign w:val="center"/>
          </w:tcPr>
          <w:p w14:paraId="4EFF3E4B">
            <w:pPr>
              <w:keepNext w:val="0"/>
              <w:keepLines w:val="0"/>
              <w:suppressLineNumbers w:val="0"/>
              <w:spacing w:before="0" w:beforeAutospacing="0" w:after="0" w:afterAutospacing="0" w:line="360" w:lineRule="auto"/>
              <w:ind w:left="0" w:right="0" w:firstLine="420" w:firstLineChars="200"/>
              <w:rPr>
                <w:rFonts w:hint="default"/>
              </w:rPr>
            </w:pPr>
          </w:p>
        </w:tc>
        <w:tc>
          <w:tcPr>
            <w:tcW w:w="857" w:type="dxa"/>
            <w:vMerge w:val="continue"/>
            <w:tcBorders>
              <w:left w:val="single" w:color="auto" w:sz="4" w:space="0"/>
              <w:bottom w:val="single" w:color="auto" w:sz="4" w:space="0"/>
              <w:right w:val="single" w:color="auto" w:sz="4" w:space="0"/>
            </w:tcBorders>
            <w:noWrap w:val="0"/>
            <w:vAlign w:val="center"/>
          </w:tcPr>
          <w:p w14:paraId="4C8315AA">
            <w:pPr>
              <w:keepNext w:val="0"/>
              <w:keepLines w:val="0"/>
              <w:suppressLineNumbers w:val="0"/>
              <w:spacing w:before="0" w:beforeAutospacing="0" w:after="0" w:afterAutospacing="0" w:line="360" w:lineRule="auto"/>
              <w:ind w:left="0" w:right="0" w:firstLine="420" w:firstLineChars="200"/>
              <w:rPr>
                <w:rFonts w:hint="default"/>
              </w:rPr>
            </w:pPr>
          </w:p>
        </w:tc>
        <w:tc>
          <w:tcPr>
            <w:tcW w:w="857" w:type="dxa"/>
            <w:tcBorders>
              <w:top w:val="single" w:color="auto" w:sz="4" w:space="0"/>
              <w:left w:val="single" w:color="auto" w:sz="4" w:space="0"/>
              <w:bottom w:val="single" w:color="auto" w:sz="4" w:space="0"/>
              <w:right w:val="single" w:color="auto" w:sz="4" w:space="0"/>
            </w:tcBorders>
            <w:noWrap w:val="0"/>
            <w:vAlign w:val="center"/>
          </w:tcPr>
          <w:p w14:paraId="67EDF084">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highlight w:val="none"/>
                <w:lang w:val="en-US" w:eastAsia="zh-CN"/>
              </w:rPr>
            </w:pPr>
            <w:r>
              <w:rPr>
                <w:rFonts w:hint="eastAsia" w:cs="Times New Roman"/>
                <w:highlight w:val="none"/>
                <w:lang w:val="en-US" w:eastAsia="zh-CN"/>
              </w:rPr>
              <w:t>2标段</w:t>
            </w:r>
          </w:p>
        </w:tc>
        <w:tc>
          <w:tcPr>
            <w:tcW w:w="6884" w:type="dxa"/>
            <w:tcBorders>
              <w:left w:val="single" w:color="auto" w:sz="4" w:space="0"/>
              <w:bottom w:val="single" w:color="auto" w:sz="4" w:space="0"/>
              <w:right w:val="single" w:color="auto" w:sz="4" w:space="0"/>
            </w:tcBorders>
            <w:noWrap w:val="0"/>
            <w:vAlign w:val="center"/>
          </w:tcPr>
          <w:p w14:paraId="325654B1">
            <w:pPr>
              <w:keepNext w:val="0"/>
              <w:keepLines w:val="0"/>
              <w:suppressLineNumbers w:val="0"/>
              <w:spacing w:before="0" w:beforeAutospacing="0" w:after="0" w:afterAutospacing="0" w:line="360" w:lineRule="auto"/>
              <w:ind w:left="0" w:right="0" w:firstLine="420" w:firstLineChars="200"/>
              <w:rPr>
                <w:rFonts w:hint="eastAsia"/>
                <w:color w:val="auto"/>
                <w:highlight w:val="none"/>
                <w:lang w:val="en-US" w:eastAsia="zh-CN"/>
              </w:rPr>
            </w:pPr>
            <w:r>
              <w:rPr>
                <w:rFonts w:hint="eastAsia"/>
                <w:color w:val="auto"/>
                <w:highlight w:val="none"/>
                <w:lang w:val="en-US" w:eastAsia="zh-CN"/>
              </w:rPr>
              <w:t>单价包干，工程量按实际完成的合格工程量结算，结算总价=成交单价×实际现场收货合格工程量+变更（签证）部分价款。</w:t>
            </w:r>
          </w:p>
          <w:p w14:paraId="1D214F56">
            <w:pPr>
              <w:keepNext w:val="0"/>
              <w:keepLines w:val="0"/>
              <w:suppressLineNumbers w:val="0"/>
              <w:spacing w:before="0" w:beforeAutospacing="0" w:after="0" w:afterAutospacing="0" w:line="360" w:lineRule="auto"/>
              <w:ind w:left="0" w:right="0" w:firstLine="420" w:firstLineChars="200"/>
              <w:rPr>
                <w:rFonts w:hint="eastAsia" w:ascii="Times New Roman" w:hAnsi="Times New Roman" w:eastAsia="宋体" w:cs="Times New Roman"/>
                <w:color w:val="auto"/>
                <w:highlight w:val="none"/>
                <w:lang w:eastAsia="zh-CN"/>
              </w:rPr>
            </w:pPr>
            <w:r>
              <w:rPr>
                <w:rFonts w:hint="eastAsia"/>
                <w:color w:val="auto"/>
                <w:highlight w:val="none"/>
                <w:lang w:val="en-US" w:eastAsia="zh-CN"/>
              </w:rPr>
              <w:t>若施工过程中发生工程变更和新增工作内容，工程内容与中标工程量清单中有相同或相似的子项清单，则按中标工程量清单中单价的价格执行，若变更工程内容与中标工程量清单中无相同项目亦无类似项目的，按相关的重庆2018计价定额组价后（措施费不计算）按中标价同比例下浮，人材机按成交当月重庆信息价执行，信息价中没有的材料价双方认质认价共同确定；</w:t>
            </w:r>
          </w:p>
        </w:tc>
      </w:tr>
      <w:tr w14:paraId="587B1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53" w:type="dxa"/>
            <w:tcBorders>
              <w:top w:val="single" w:color="auto" w:sz="4" w:space="0"/>
              <w:left w:val="single" w:color="auto" w:sz="4" w:space="0"/>
              <w:bottom w:val="single" w:color="auto" w:sz="4" w:space="0"/>
              <w:right w:val="single" w:color="auto" w:sz="4" w:space="0"/>
            </w:tcBorders>
            <w:noWrap w:val="0"/>
            <w:vAlign w:val="center"/>
          </w:tcPr>
          <w:p w14:paraId="3B3432B3">
            <w:pPr>
              <w:keepNext w:val="0"/>
              <w:keepLines w:val="0"/>
              <w:suppressLineNumbers w:val="0"/>
              <w:autoSpaceDE w:val="0"/>
              <w:autoSpaceDN w:val="0"/>
              <w:adjustRightInd w:val="0"/>
              <w:spacing w:before="0" w:beforeAutospacing="0" w:after="0" w:afterAutospacing="0" w:line="360" w:lineRule="auto"/>
              <w:ind w:left="0" w:right="-2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10.</w:t>
            </w:r>
            <w:r>
              <w:rPr>
                <w:rFonts w:hint="eastAsia" w:ascii="宋体" w:hAnsi="宋体" w:eastAsia="宋体" w:cs="宋体"/>
                <w:color w:val="auto"/>
                <w:szCs w:val="21"/>
                <w:highlight w:val="none"/>
                <w:lang w:val="en-US" w:eastAsia="zh-CN"/>
              </w:rPr>
              <w:t>7</w:t>
            </w:r>
          </w:p>
        </w:tc>
        <w:tc>
          <w:tcPr>
            <w:tcW w:w="1714" w:type="dxa"/>
            <w:gridSpan w:val="2"/>
            <w:tcBorders>
              <w:top w:val="single" w:color="auto" w:sz="4" w:space="0"/>
              <w:left w:val="single" w:color="auto" w:sz="4" w:space="0"/>
              <w:bottom w:val="single" w:color="auto" w:sz="4" w:space="0"/>
              <w:right w:val="single" w:color="auto" w:sz="4" w:space="0"/>
            </w:tcBorders>
            <w:noWrap w:val="0"/>
            <w:vAlign w:val="center"/>
          </w:tcPr>
          <w:p w14:paraId="58F9173A">
            <w:pPr>
              <w:keepNext w:val="0"/>
              <w:keepLines w:val="0"/>
              <w:suppressLineNumbers w:val="0"/>
              <w:tabs>
                <w:tab w:val="left" w:pos="2032"/>
              </w:tabs>
              <w:autoSpaceDE w:val="0"/>
              <w:autoSpaceDN w:val="0"/>
              <w:adjustRightInd w:val="0"/>
              <w:spacing w:before="0" w:beforeAutospacing="0" w:after="0" w:afterAutospacing="0" w:line="360" w:lineRule="auto"/>
              <w:ind w:left="0" w:right="-12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特别说明</w:t>
            </w:r>
          </w:p>
        </w:tc>
        <w:tc>
          <w:tcPr>
            <w:tcW w:w="6884" w:type="dxa"/>
            <w:tcBorders>
              <w:top w:val="single" w:color="auto" w:sz="4" w:space="0"/>
              <w:left w:val="single" w:color="auto" w:sz="4" w:space="0"/>
              <w:bottom w:val="single" w:color="auto" w:sz="4" w:space="0"/>
              <w:right w:val="single" w:color="auto" w:sz="4" w:space="0"/>
            </w:tcBorders>
            <w:noWrap w:val="0"/>
            <w:vAlign w:val="center"/>
          </w:tcPr>
          <w:p w14:paraId="21A60C8D">
            <w:pPr>
              <w:keepNext w:val="0"/>
              <w:keepLines w:val="0"/>
              <w:suppressLineNumbers w:val="0"/>
              <w:spacing w:before="0" w:beforeAutospacing="0" w:after="0" w:afterAutospacing="0" w:line="360" w:lineRule="auto"/>
              <w:ind w:left="0" w:right="0" w:firstLine="420" w:firstLineChars="200"/>
              <w:rPr>
                <w:rFonts w:hint="eastAsia" w:ascii="Times New Roman" w:hAnsi="Times New Roman" w:eastAsia="Times New Roman" w:cs="Times New Roman"/>
                <w:highlight w:val="none"/>
              </w:rPr>
            </w:pPr>
            <w:r>
              <w:rPr>
                <w:rFonts w:hint="eastAsia" w:ascii="Times New Roman" w:hAnsi="Times New Roman" w:eastAsia="Times New Roman" w:cs="Times New Roman"/>
                <w:highlight w:val="none"/>
              </w:rPr>
              <w:t>1、国有资金占控股或者主导地位的依法必须进行比选的项目，比选人应当确定排名第一的</w:t>
            </w:r>
            <w:r>
              <w:rPr>
                <w:rFonts w:hint="eastAsia" w:ascii="Times New Roman" w:hAnsi="Times New Roman" w:eastAsia="Times New Roman" w:cs="Times New Roman"/>
                <w:highlight w:val="none"/>
                <w:lang w:eastAsia="zh-CN"/>
              </w:rPr>
              <w:t>中选</w:t>
            </w:r>
            <w:r>
              <w:rPr>
                <w:rFonts w:hint="eastAsia" w:ascii="Times New Roman" w:hAnsi="Times New Roman" w:eastAsia="Times New Roman" w:cs="Times New Roman"/>
                <w:highlight w:val="none"/>
              </w:rPr>
              <w:t>候选人为</w:t>
            </w:r>
            <w:r>
              <w:rPr>
                <w:rFonts w:hint="eastAsia" w:ascii="Times New Roman" w:hAnsi="Times New Roman" w:eastAsia="Times New Roman" w:cs="Times New Roman"/>
                <w:highlight w:val="none"/>
                <w:lang w:eastAsia="zh-CN"/>
              </w:rPr>
              <w:t>中选人</w:t>
            </w:r>
            <w:r>
              <w:rPr>
                <w:rFonts w:hint="eastAsia" w:ascii="Times New Roman" w:hAnsi="Times New Roman" w:eastAsia="Times New Roman" w:cs="Times New Roman"/>
                <w:highlight w:val="none"/>
              </w:rPr>
              <w:t>。排名第一的</w:t>
            </w:r>
            <w:r>
              <w:rPr>
                <w:rFonts w:hint="eastAsia" w:ascii="Times New Roman" w:hAnsi="Times New Roman" w:eastAsia="Times New Roman" w:cs="Times New Roman"/>
                <w:highlight w:val="none"/>
                <w:lang w:eastAsia="zh-CN"/>
              </w:rPr>
              <w:t>中选</w:t>
            </w:r>
            <w:r>
              <w:rPr>
                <w:rFonts w:hint="eastAsia" w:ascii="Times New Roman" w:hAnsi="Times New Roman" w:eastAsia="Times New Roman" w:cs="Times New Roman"/>
                <w:highlight w:val="none"/>
              </w:rPr>
              <w:t>候选人放弃</w:t>
            </w:r>
            <w:r>
              <w:rPr>
                <w:rFonts w:hint="eastAsia" w:ascii="Times New Roman" w:hAnsi="Times New Roman" w:eastAsia="Times New Roman" w:cs="Times New Roman"/>
                <w:highlight w:val="none"/>
                <w:lang w:eastAsia="zh-CN"/>
              </w:rPr>
              <w:t>中选</w:t>
            </w:r>
            <w:r>
              <w:rPr>
                <w:rFonts w:hint="eastAsia" w:ascii="Times New Roman" w:hAnsi="Times New Roman" w:eastAsia="Times New Roman" w:cs="Times New Roman"/>
                <w:highlight w:val="none"/>
              </w:rPr>
              <w:t>、因不可抗力不能履行合同、不按照比选文件要求提交履约保证金，或者被查实存在影响</w:t>
            </w:r>
            <w:r>
              <w:rPr>
                <w:rFonts w:hint="eastAsia" w:ascii="Times New Roman" w:hAnsi="Times New Roman" w:eastAsia="Times New Roman" w:cs="Times New Roman"/>
                <w:highlight w:val="none"/>
                <w:lang w:eastAsia="zh-CN"/>
              </w:rPr>
              <w:t>中选</w:t>
            </w:r>
            <w:r>
              <w:rPr>
                <w:rFonts w:hint="eastAsia" w:ascii="Times New Roman" w:hAnsi="Times New Roman" w:eastAsia="Times New Roman" w:cs="Times New Roman"/>
                <w:highlight w:val="none"/>
              </w:rPr>
              <w:t>结果的违法行为等情形，不符合</w:t>
            </w:r>
            <w:r>
              <w:rPr>
                <w:rFonts w:hint="eastAsia" w:ascii="Times New Roman" w:hAnsi="Times New Roman" w:eastAsia="Times New Roman" w:cs="Times New Roman"/>
                <w:highlight w:val="none"/>
                <w:lang w:eastAsia="zh-CN"/>
              </w:rPr>
              <w:t>中选</w:t>
            </w:r>
            <w:r>
              <w:rPr>
                <w:rFonts w:hint="eastAsia" w:ascii="Times New Roman" w:hAnsi="Times New Roman" w:eastAsia="Times New Roman" w:cs="Times New Roman"/>
                <w:highlight w:val="none"/>
              </w:rPr>
              <w:t>条件的，比选人可以按照评标委员会提出的</w:t>
            </w:r>
            <w:r>
              <w:rPr>
                <w:rFonts w:hint="eastAsia" w:ascii="Times New Roman" w:hAnsi="Times New Roman" w:eastAsia="Times New Roman" w:cs="Times New Roman"/>
                <w:highlight w:val="none"/>
                <w:lang w:eastAsia="zh-CN"/>
              </w:rPr>
              <w:t>中选</w:t>
            </w:r>
            <w:r>
              <w:rPr>
                <w:rFonts w:hint="eastAsia" w:ascii="Times New Roman" w:hAnsi="Times New Roman" w:eastAsia="Times New Roman" w:cs="Times New Roman"/>
                <w:highlight w:val="none"/>
              </w:rPr>
              <w:t>候选人名单排序依次确定其他</w:t>
            </w:r>
            <w:r>
              <w:rPr>
                <w:rFonts w:hint="eastAsia" w:ascii="Times New Roman" w:hAnsi="Times New Roman" w:eastAsia="Times New Roman" w:cs="Times New Roman"/>
                <w:highlight w:val="none"/>
                <w:lang w:eastAsia="zh-CN"/>
              </w:rPr>
              <w:t>中选</w:t>
            </w:r>
            <w:r>
              <w:rPr>
                <w:rFonts w:hint="eastAsia" w:ascii="Times New Roman" w:hAnsi="Times New Roman" w:eastAsia="Times New Roman" w:cs="Times New Roman"/>
                <w:highlight w:val="none"/>
              </w:rPr>
              <w:t>候选人为</w:t>
            </w:r>
            <w:r>
              <w:rPr>
                <w:rFonts w:hint="eastAsia" w:ascii="Times New Roman" w:hAnsi="Times New Roman" w:eastAsia="Times New Roman" w:cs="Times New Roman"/>
                <w:highlight w:val="none"/>
                <w:lang w:eastAsia="zh-CN"/>
              </w:rPr>
              <w:t>中选人</w:t>
            </w:r>
            <w:r>
              <w:rPr>
                <w:rFonts w:hint="eastAsia" w:ascii="Times New Roman" w:hAnsi="Times New Roman" w:eastAsia="Times New Roman" w:cs="Times New Roman"/>
                <w:highlight w:val="none"/>
              </w:rPr>
              <w:t>，</w:t>
            </w:r>
            <w:r>
              <w:rPr>
                <w:rFonts w:hint="eastAsia" w:ascii="Times New Roman" w:hAnsi="Times New Roman" w:eastAsia="Times New Roman" w:cs="Times New Roman"/>
                <w:highlight w:val="none"/>
                <w:lang w:val="en-US" w:eastAsia="zh-CN"/>
              </w:rPr>
              <w:t>比选申请</w:t>
            </w:r>
            <w:r>
              <w:rPr>
                <w:rFonts w:hint="eastAsia" w:ascii="Times New Roman" w:hAnsi="Times New Roman" w:eastAsia="Times New Roman" w:cs="Times New Roman"/>
                <w:highlight w:val="none"/>
                <w:lang w:eastAsia="zh-CN"/>
              </w:rPr>
              <w:t>保证金不予退还，以第一中选候选人所报的中选价签订合同；如均不愿按第一中选候选人的中选价签订合同，则开展采购谈判。</w:t>
            </w:r>
          </w:p>
          <w:p w14:paraId="6747745F">
            <w:pPr>
              <w:keepNext w:val="0"/>
              <w:keepLines w:val="0"/>
              <w:suppressLineNumbers w:val="0"/>
              <w:spacing w:before="0" w:beforeAutospacing="0" w:after="0" w:afterAutospacing="0" w:line="360" w:lineRule="auto"/>
              <w:ind w:left="0" w:right="0"/>
              <w:rPr>
                <w:rFonts w:hint="eastAsia" w:ascii="Times New Roman" w:hAnsi="Times New Roman" w:eastAsia="Times New Roman" w:cs="Times New Roman"/>
                <w:highlight w:val="none"/>
              </w:rPr>
            </w:pPr>
            <w:r>
              <w:rPr>
                <w:rFonts w:hint="eastAsia" w:ascii="Times New Roman" w:hAnsi="Times New Roman" w:eastAsia="Times New Roman" w:cs="Times New Roman"/>
                <w:highlight w:val="none"/>
              </w:rPr>
              <w:t xml:space="preserve">    2、比选人确定中选人后，中选人应在</w:t>
            </w:r>
            <w:r>
              <w:rPr>
                <w:rFonts w:hint="eastAsia" w:eastAsia="宋体" w:cs="Times New Roman"/>
                <w:highlight w:val="none"/>
                <w:lang w:val="en-US" w:eastAsia="zh-CN"/>
              </w:rPr>
              <w:t>5</w:t>
            </w:r>
            <w:r>
              <w:rPr>
                <w:rFonts w:hint="eastAsia" w:ascii="Times New Roman" w:hAnsi="Times New Roman" w:eastAsia="Times New Roman" w:cs="Times New Roman"/>
                <w:highlight w:val="none"/>
              </w:rPr>
              <w:t>日内领取</w:t>
            </w:r>
            <w:r>
              <w:rPr>
                <w:rFonts w:hint="eastAsia" w:ascii="Times New Roman" w:hAnsi="Times New Roman" w:eastAsia="Times New Roman" w:cs="Times New Roman"/>
                <w:highlight w:val="none"/>
                <w:lang w:eastAsia="zh-CN"/>
              </w:rPr>
              <w:t>中选</w:t>
            </w:r>
            <w:r>
              <w:rPr>
                <w:rFonts w:hint="eastAsia" w:ascii="Times New Roman" w:hAnsi="Times New Roman" w:eastAsia="Times New Roman" w:cs="Times New Roman"/>
                <w:highlight w:val="none"/>
              </w:rPr>
              <w:t>通知书，并与比选人按照竞争性比选文件要求和中选人的比选申请文件订立书面合同。若因中选人无正当理由拒签合同的或不按规定进场施工或工程未完工中途离场的，比选人有权取消其中选资格和解除合同，产生的与本项目相关的费用和因工期延误给比选人造成的费用和损失均由违约方承担。</w:t>
            </w:r>
          </w:p>
          <w:p w14:paraId="1D0FBC6E">
            <w:pPr>
              <w:pStyle w:val="35"/>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Times New Roman" w:cs="Times New Roman"/>
                <w:highlight w:val="none"/>
                <w:lang w:val="en-US"/>
              </w:rPr>
            </w:pPr>
            <w:bookmarkStart w:id="23" w:name="_Toc9049"/>
            <w:bookmarkStart w:id="24" w:name="_Toc574"/>
            <w:bookmarkStart w:id="25" w:name="_Toc28478"/>
            <w:bookmarkStart w:id="26" w:name="_Toc25811"/>
            <w:r>
              <w:rPr>
                <w:rFonts w:hint="eastAsia" w:ascii="Times New Roman" w:hAnsi="Times New Roman" w:eastAsia="Times New Roman" w:cs="Times New Roman"/>
                <w:highlight w:val="none"/>
                <w:lang w:val="en-US" w:eastAsia="zh-CN"/>
              </w:rPr>
              <w:t>3、</w:t>
            </w:r>
            <w:bookmarkEnd w:id="23"/>
            <w:bookmarkEnd w:id="24"/>
            <w:bookmarkEnd w:id="25"/>
            <w:bookmarkEnd w:id="26"/>
            <w:r>
              <w:rPr>
                <w:rFonts w:hint="eastAsia" w:ascii="Times New Roman" w:hAnsi="Times New Roman" w:eastAsia="Times New Roman" w:cs="Times New Roman"/>
                <w:highlight w:val="none"/>
                <w:lang w:val="en-US" w:eastAsia="zh-CN"/>
              </w:rPr>
              <w:t>本项目竞争性比选一切解释权为比选人。</w:t>
            </w:r>
          </w:p>
        </w:tc>
      </w:tr>
      <w:tr w14:paraId="71F43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53" w:type="dxa"/>
            <w:tcBorders>
              <w:top w:val="single" w:color="auto" w:sz="4" w:space="0"/>
              <w:left w:val="single" w:color="auto" w:sz="4" w:space="0"/>
              <w:bottom w:val="single" w:color="auto" w:sz="4" w:space="0"/>
              <w:right w:val="single" w:color="auto" w:sz="4" w:space="0"/>
            </w:tcBorders>
            <w:noWrap w:val="0"/>
            <w:vAlign w:val="center"/>
          </w:tcPr>
          <w:p w14:paraId="0C91701D">
            <w:pPr>
              <w:keepNext w:val="0"/>
              <w:keepLines w:val="0"/>
              <w:suppressLineNumbers w:val="0"/>
              <w:autoSpaceDE w:val="0"/>
              <w:autoSpaceDN w:val="0"/>
              <w:adjustRightInd w:val="0"/>
              <w:spacing w:before="0" w:beforeAutospacing="0" w:after="0" w:afterAutospacing="0" w:line="360" w:lineRule="auto"/>
              <w:ind w:left="0" w:right="-20"/>
              <w:jc w:val="center"/>
              <w:rPr>
                <w:rFonts w:hint="default" w:ascii="宋体" w:hAnsi="宋体" w:eastAsia="宋体" w:cs="宋体"/>
                <w:color w:val="auto"/>
                <w:szCs w:val="21"/>
                <w:highlight w:val="none"/>
                <w:lang w:val="en-US" w:eastAsia="zh-CN"/>
              </w:rPr>
            </w:pPr>
            <w:bookmarkStart w:id="27" w:name="_Toc199124758"/>
            <w:r>
              <w:rPr>
                <w:rFonts w:hint="eastAsia" w:ascii="宋体" w:hAnsi="宋体" w:eastAsia="宋体" w:cs="宋体"/>
                <w:color w:val="auto"/>
                <w:szCs w:val="21"/>
                <w:highlight w:val="none"/>
                <w:lang w:val="en-US" w:eastAsia="zh-CN"/>
              </w:rPr>
              <w:t>10.8</w:t>
            </w:r>
          </w:p>
        </w:tc>
        <w:tc>
          <w:tcPr>
            <w:tcW w:w="1714" w:type="dxa"/>
            <w:gridSpan w:val="2"/>
            <w:tcBorders>
              <w:top w:val="single" w:color="auto" w:sz="4" w:space="0"/>
              <w:left w:val="single" w:color="auto" w:sz="4" w:space="0"/>
              <w:bottom w:val="single" w:color="auto" w:sz="4" w:space="0"/>
              <w:right w:val="single" w:color="auto" w:sz="4" w:space="0"/>
            </w:tcBorders>
            <w:noWrap w:val="0"/>
            <w:vAlign w:val="center"/>
          </w:tcPr>
          <w:p w14:paraId="178DC07D">
            <w:pPr>
              <w:keepNext w:val="0"/>
              <w:keepLines w:val="0"/>
              <w:suppressLineNumbers w:val="0"/>
              <w:tabs>
                <w:tab w:val="left" w:pos="2032"/>
              </w:tabs>
              <w:autoSpaceDE w:val="0"/>
              <w:autoSpaceDN w:val="0"/>
              <w:adjustRightInd w:val="0"/>
              <w:spacing w:before="0" w:beforeAutospacing="0" w:after="0" w:afterAutospacing="0" w:line="360" w:lineRule="auto"/>
              <w:ind w:left="0" w:right="-127"/>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比选代理费</w:t>
            </w:r>
          </w:p>
        </w:tc>
        <w:tc>
          <w:tcPr>
            <w:tcW w:w="6884" w:type="dxa"/>
            <w:tcBorders>
              <w:top w:val="single" w:color="auto" w:sz="4" w:space="0"/>
              <w:left w:val="single" w:color="auto" w:sz="4" w:space="0"/>
              <w:bottom w:val="single" w:color="auto" w:sz="4" w:space="0"/>
              <w:right w:val="single" w:color="auto" w:sz="4" w:space="0"/>
            </w:tcBorders>
            <w:noWrap w:val="0"/>
            <w:vAlign w:val="center"/>
          </w:tcPr>
          <w:p w14:paraId="1D5A9536">
            <w:pPr>
              <w:pStyle w:val="35"/>
              <w:keepNext w:val="0"/>
              <w:keepLines w:val="0"/>
              <w:suppressLineNumbers w:val="0"/>
              <w:spacing w:before="0" w:beforeAutospacing="0" w:after="0" w:afterAutospacing="0" w:line="360" w:lineRule="auto"/>
              <w:ind w:left="0" w:right="0" w:firstLine="420" w:firstLineChars="200"/>
              <w:rPr>
                <w:rFonts w:hint="default" w:eastAsia="宋体"/>
                <w:highlight w:val="none"/>
                <w:lang w:val="en-US" w:eastAsia="zh-CN"/>
              </w:rPr>
            </w:pPr>
            <w:r>
              <w:rPr>
                <w:rFonts w:hint="eastAsia"/>
                <w:highlight w:val="none"/>
                <w:lang w:val="en-US" w:eastAsia="zh-CN"/>
              </w:rPr>
              <w:t>1、</w:t>
            </w:r>
            <w:r>
              <w:rPr>
                <w:rFonts w:hint="eastAsia"/>
                <w:highlight w:val="none"/>
              </w:rPr>
              <w:t>比选代理服务费：</w:t>
            </w:r>
            <w:r>
              <w:rPr>
                <w:rFonts w:hint="eastAsia"/>
                <w:highlight w:val="none"/>
                <w:lang w:val="en-US" w:eastAsia="zh-CN"/>
              </w:rPr>
              <w:t>一标段4500元</w:t>
            </w:r>
            <w:r>
              <w:rPr>
                <w:rFonts w:hint="eastAsia"/>
                <w:highlight w:val="none"/>
              </w:rPr>
              <w:t>，</w:t>
            </w:r>
            <w:r>
              <w:rPr>
                <w:rFonts w:hint="eastAsia"/>
                <w:highlight w:val="none"/>
                <w:lang w:eastAsia="zh-CN"/>
              </w:rPr>
              <w:t>二标段</w:t>
            </w:r>
            <w:r>
              <w:rPr>
                <w:rFonts w:hint="eastAsia"/>
                <w:highlight w:val="none"/>
                <w:lang w:val="en-US" w:eastAsia="zh-CN"/>
              </w:rPr>
              <w:t>4500元。</w:t>
            </w:r>
            <w:r>
              <w:rPr>
                <w:rFonts w:hint="eastAsia"/>
                <w:highlight w:val="none"/>
              </w:rPr>
              <w:t>由</w:t>
            </w:r>
            <w:r>
              <w:rPr>
                <w:rFonts w:hint="eastAsia"/>
                <w:highlight w:val="none"/>
                <w:lang w:eastAsia="zh-CN"/>
              </w:rPr>
              <w:t>中选</w:t>
            </w:r>
            <w:r>
              <w:rPr>
                <w:rFonts w:hint="eastAsia"/>
                <w:highlight w:val="none"/>
              </w:rPr>
              <w:t>单位在领取</w:t>
            </w:r>
            <w:r>
              <w:rPr>
                <w:rFonts w:hint="eastAsia"/>
                <w:highlight w:val="none"/>
                <w:lang w:eastAsia="zh-CN"/>
              </w:rPr>
              <w:t>中选</w:t>
            </w:r>
            <w:r>
              <w:rPr>
                <w:rFonts w:hint="eastAsia"/>
                <w:highlight w:val="none"/>
              </w:rPr>
              <w:t>通知书时一次性向招标代理公司支付，比选代理服务费含在</w:t>
            </w:r>
            <w:r>
              <w:rPr>
                <w:rFonts w:hint="eastAsia"/>
                <w:highlight w:val="none"/>
                <w:lang w:val="en-US" w:eastAsia="zh-CN"/>
              </w:rPr>
              <w:t>比选申请</w:t>
            </w:r>
            <w:r>
              <w:rPr>
                <w:rFonts w:hint="eastAsia"/>
                <w:highlight w:val="none"/>
              </w:rPr>
              <w:t>报价中，但不单独列出。</w:t>
            </w:r>
          </w:p>
        </w:tc>
      </w:tr>
    </w:tbl>
    <w:p w14:paraId="6372FDBD">
      <w:pPr>
        <w:autoSpaceDE w:val="0"/>
        <w:autoSpaceDN w:val="0"/>
        <w:adjustRightInd w:val="0"/>
        <w:spacing w:before="64" w:line="360" w:lineRule="auto"/>
        <w:ind w:right="-109"/>
        <w:jc w:val="left"/>
        <w:rPr>
          <w:rFonts w:hint="eastAsia" w:ascii="宋体" w:hAnsi="宋体" w:cs="宋体"/>
          <w:b/>
          <w:bCs/>
          <w:color w:val="auto"/>
          <w:kern w:val="0"/>
          <w:szCs w:val="21"/>
          <w:highlight w:val="none"/>
        </w:rPr>
      </w:pPr>
      <w:r>
        <w:rPr>
          <w:rFonts w:hint="eastAsia" w:ascii="宋体" w:hAnsi="宋体" w:cs="宋体"/>
          <w:color w:val="auto"/>
          <w:kern w:val="0"/>
          <w:szCs w:val="21"/>
          <w:highlight w:val="none"/>
        </w:rPr>
        <w:br w:type="page"/>
      </w:r>
      <w:bookmarkStart w:id="28" w:name="_Toc287607746"/>
      <w:bookmarkStart w:id="29" w:name="_Toc287620685"/>
      <w:bookmarkStart w:id="30" w:name="_Toc277082552"/>
      <w:r>
        <w:rPr>
          <w:rFonts w:hint="eastAsia" w:ascii="宋体" w:hAnsi="宋体" w:cs="宋体"/>
          <w:b/>
          <w:bCs/>
          <w:color w:val="auto"/>
          <w:kern w:val="0"/>
          <w:szCs w:val="21"/>
          <w:highlight w:val="none"/>
        </w:rPr>
        <w:t>1.  总则</w:t>
      </w:r>
      <w:bookmarkEnd w:id="28"/>
      <w:bookmarkEnd w:id="29"/>
      <w:bookmarkEnd w:id="30"/>
    </w:p>
    <w:p w14:paraId="7071276C">
      <w:pPr>
        <w:autoSpaceDE w:val="0"/>
        <w:autoSpaceDN w:val="0"/>
        <w:spacing w:line="360" w:lineRule="auto"/>
        <w:outlineLvl w:val="2"/>
        <w:rPr>
          <w:rFonts w:hint="eastAsia" w:ascii="宋体" w:hAnsi="宋体" w:cs="宋体"/>
          <w:b/>
          <w:bCs/>
          <w:color w:val="auto"/>
          <w:kern w:val="0"/>
          <w:szCs w:val="21"/>
          <w:highlight w:val="none"/>
        </w:rPr>
      </w:pPr>
      <w:bookmarkStart w:id="31" w:name="_Toc224103318"/>
      <w:bookmarkStart w:id="32" w:name="_Toc287620686"/>
      <w:bookmarkStart w:id="33" w:name="_Toc287607747"/>
      <w:bookmarkStart w:id="34" w:name="_Toc277082553"/>
      <w:bookmarkStart w:id="35" w:name="_Toc200513127"/>
      <w:bookmarkStart w:id="36" w:name="_Toc26153"/>
      <w:r>
        <w:rPr>
          <w:rFonts w:hint="eastAsia" w:ascii="宋体" w:hAnsi="宋体" w:cs="宋体"/>
          <w:b/>
          <w:bCs/>
          <w:color w:val="auto"/>
          <w:kern w:val="0"/>
          <w:szCs w:val="21"/>
          <w:highlight w:val="none"/>
        </w:rPr>
        <w:t>1.1  项目概况</w:t>
      </w:r>
      <w:bookmarkEnd w:id="31"/>
      <w:bookmarkEnd w:id="32"/>
      <w:bookmarkEnd w:id="33"/>
      <w:bookmarkEnd w:id="34"/>
      <w:bookmarkEnd w:id="35"/>
      <w:bookmarkEnd w:id="36"/>
    </w:p>
    <w:p w14:paraId="06552F04">
      <w:pPr>
        <w:autoSpaceDE w:val="0"/>
        <w:autoSpaceDN w:val="0"/>
        <w:adjustRightInd w:val="0"/>
        <w:snapToGrid w:val="0"/>
        <w:spacing w:line="360" w:lineRule="auto"/>
        <w:ind w:firstLine="357" w:firstLineChars="17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1.1.1  根据《中华人民共和国招标投标法》等有关法律、法规和规章的规定，本比选项目已具备比选条件，现对本标段施工进行公开竞争性</w:t>
      </w:r>
      <w:r>
        <w:rPr>
          <w:rFonts w:hint="eastAsia" w:ascii="宋体" w:hAnsi="宋体" w:cs="宋体"/>
          <w:snapToGrid w:val="0"/>
          <w:color w:val="auto"/>
          <w:kern w:val="0"/>
          <w:szCs w:val="21"/>
          <w:highlight w:val="none"/>
          <w:lang w:eastAsia="zh-CN"/>
        </w:rPr>
        <w:t>比选</w:t>
      </w:r>
      <w:r>
        <w:rPr>
          <w:rFonts w:hint="eastAsia" w:ascii="宋体" w:hAnsi="宋体" w:cs="宋体"/>
          <w:snapToGrid w:val="0"/>
          <w:color w:val="auto"/>
          <w:kern w:val="0"/>
          <w:szCs w:val="21"/>
          <w:highlight w:val="none"/>
        </w:rPr>
        <w:t>。</w:t>
      </w:r>
    </w:p>
    <w:p w14:paraId="0166F72C">
      <w:pPr>
        <w:autoSpaceDE w:val="0"/>
        <w:autoSpaceDN w:val="0"/>
        <w:adjustRightInd w:val="0"/>
        <w:snapToGrid w:val="0"/>
        <w:spacing w:line="360" w:lineRule="auto"/>
        <w:ind w:firstLine="357" w:firstLineChars="17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1.1.2  本比选项目比选人：见比选申请人须知前附表。</w:t>
      </w:r>
    </w:p>
    <w:p w14:paraId="1A8E1CFF">
      <w:pPr>
        <w:autoSpaceDE w:val="0"/>
        <w:autoSpaceDN w:val="0"/>
        <w:adjustRightInd w:val="0"/>
        <w:snapToGrid w:val="0"/>
        <w:spacing w:line="360" w:lineRule="auto"/>
        <w:ind w:left="359" w:leftChars="171"/>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1.1.3  本标段比选代理机构：见比选申请人须知前附表。</w:t>
      </w:r>
    </w:p>
    <w:p w14:paraId="3D0CBE32">
      <w:pPr>
        <w:autoSpaceDE w:val="0"/>
        <w:autoSpaceDN w:val="0"/>
        <w:adjustRightInd w:val="0"/>
        <w:snapToGrid w:val="0"/>
        <w:spacing w:line="360" w:lineRule="auto"/>
        <w:ind w:left="359" w:leftChars="171"/>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1.1.4  本比选项目名称：见比选申请人须知前附表。</w:t>
      </w:r>
    </w:p>
    <w:p w14:paraId="75116B5F">
      <w:pPr>
        <w:autoSpaceDE w:val="0"/>
        <w:autoSpaceDN w:val="0"/>
        <w:adjustRightInd w:val="0"/>
        <w:snapToGrid w:val="0"/>
        <w:spacing w:line="360" w:lineRule="auto"/>
        <w:ind w:left="359" w:leftChars="171"/>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1.1.5  本标段建设地点：见比选申请人须知前附表。</w:t>
      </w:r>
    </w:p>
    <w:p w14:paraId="44768FB8">
      <w:pPr>
        <w:pStyle w:val="4"/>
        <w:numPr>
          <w:ilvl w:val="0"/>
          <w:numId w:val="0"/>
        </w:numPr>
        <w:tabs>
          <w:tab w:val="left" w:pos="720"/>
          <w:tab w:val="clear" w:pos="709"/>
        </w:tabs>
        <w:snapToGrid w:val="0"/>
        <w:spacing w:line="360" w:lineRule="auto"/>
        <w:rPr>
          <w:rFonts w:hint="eastAsia" w:ascii="宋体" w:hAnsi="宋体" w:eastAsia="宋体" w:cs="宋体"/>
          <w:bCs/>
          <w:color w:val="auto"/>
          <w:szCs w:val="21"/>
          <w:highlight w:val="none"/>
        </w:rPr>
      </w:pPr>
      <w:bookmarkStart w:id="37" w:name="_Toc287620687"/>
      <w:bookmarkStart w:id="38" w:name="_Toc10351"/>
      <w:bookmarkStart w:id="39" w:name="_Toc277082554"/>
      <w:bookmarkStart w:id="40" w:name="_Toc224103319"/>
      <w:bookmarkStart w:id="41" w:name="_Toc287607748"/>
      <w:bookmarkStart w:id="42" w:name="_Toc200513128"/>
      <w:r>
        <w:rPr>
          <w:rFonts w:hint="eastAsia" w:ascii="宋体" w:hAnsi="宋体" w:eastAsia="宋体" w:cs="宋体"/>
          <w:bCs/>
          <w:color w:val="auto"/>
          <w:szCs w:val="21"/>
          <w:highlight w:val="none"/>
        </w:rPr>
        <w:t>1.2  资金来源和落实情况</w:t>
      </w:r>
      <w:bookmarkEnd w:id="37"/>
      <w:bookmarkEnd w:id="38"/>
      <w:bookmarkEnd w:id="39"/>
      <w:bookmarkEnd w:id="40"/>
      <w:bookmarkEnd w:id="41"/>
      <w:bookmarkEnd w:id="42"/>
    </w:p>
    <w:p w14:paraId="0AC17F1F">
      <w:pPr>
        <w:autoSpaceDE w:val="0"/>
        <w:autoSpaceDN w:val="0"/>
        <w:adjustRightInd w:val="0"/>
        <w:snapToGrid w:val="0"/>
        <w:spacing w:line="360" w:lineRule="auto"/>
        <w:ind w:left="359" w:leftChars="171"/>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1.2.1  本比选项目的资金来源：见比选申请人须知前附表。</w:t>
      </w:r>
    </w:p>
    <w:p w14:paraId="2FF73B99">
      <w:pPr>
        <w:autoSpaceDE w:val="0"/>
        <w:autoSpaceDN w:val="0"/>
        <w:adjustRightInd w:val="0"/>
        <w:snapToGrid w:val="0"/>
        <w:spacing w:line="360" w:lineRule="auto"/>
        <w:ind w:left="359" w:leftChars="171"/>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1.2.2  本比选项目的出资比例：见比选申请人须知前附表。</w:t>
      </w:r>
    </w:p>
    <w:p w14:paraId="04F36509">
      <w:pPr>
        <w:autoSpaceDE w:val="0"/>
        <w:autoSpaceDN w:val="0"/>
        <w:adjustRightInd w:val="0"/>
        <w:snapToGrid w:val="0"/>
        <w:spacing w:line="360" w:lineRule="auto"/>
        <w:ind w:left="359" w:leftChars="171"/>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1.2.3  本比选项目的资金落实情况：见比选申请人须知前附表。</w:t>
      </w:r>
    </w:p>
    <w:p w14:paraId="2FF4A4B2">
      <w:pPr>
        <w:pStyle w:val="4"/>
        <w:numPr>
          <w:ilvl w:val="0"/>
          <w:numId w:val="0"/>
        </w:numPr>
        <w:tabs>
          <w:tab w:val="left" w:pos="720"/>
          <w:tab w:val="clear" w:pos="709"/>
        </w:tabs>
        <w:snapToGrid w:val="0"/>
        <w:spacing w:line="360" w:lineRule="auto"/>
        <w:rPr>
          <w:rFonts w:hint="eastAsia" w:ascii="宋体" w:hAnsi="宋体" w:eastAsia="宋体" w:cs="宋体"/>
          <w:bCs/>
          <w:color w:val="auto"/>
          <w:szCs w:val="21"/>
          <w:highlight w:val="none"/>
        </w:rPr>
      </w:pPr>
      <w:bookmarkStart w:id="43" w:name="_Toc224103320"/>
      <w:bookmarkStart w:id="44" w:name="_Toc14199"/>
      <w:bookmarkStart w:id="45" w:name="_Toc277082555"/>
      <w:bookmarkStart w:id="46" w:name="_Toc287607749"/>
      <w:bookmarkStart w:id="47" w:name="_Toc287620688"/>
      <w:bookmarkStart w:id="48" w:name="_Toc200513129"/>
      <w:r>
        <w:rPr>
          <w:rFonts w:hint="eastAsia" w:ascii="宋体" w:hAnsi="宋体" w:eastAsia="宋体" w:cs="宋体"/>
          <w:bCs/>
          <w:color w:val="auto"/>
          <w:szCs w:val="21"/>
          <w:highlight w:val="none"/>
        </w:rPr>
        <w:t>1.3  比选范围、计划工期和质量要求</w:t>
      </w:r>
      <w:bookmarkEnd w:id="43"/>
      <w:bookmarkEnd w:id="44"/>
      <w:bookmarkEnd w:id="45"/>
      <w:bookmarkEnd w:id="46"/>
      <w:bookmarkEnd w:id="47"/>
      <w:bookmarkEnd w:id="48"/>
    </w:p>
    <w:p w14:paraId="52F1D421">
      <w:pPr>
        <w:autoSpaceDE w:val="0"/>
        <w:autoSpaceDN w:val="0"/>
        <w:adjustRightInd w:val="0"/>
        <w:snapToGrid w:val="0"/>
        <w:spacing w:line="360" w:lineRule="auto"/>
        <w:ind w:left="359" w:leftChars="171"/>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1.3.1  本次比选范围：见比选申请人须知前附表。</w:t>
      </w:r>
    </w:p>
    <w:p w14:paraId="6130256D">
      <w:pPr>
        <w:autoSpaceDE w:val="0"/>
        <w:autoSpaceDN w:val="0"/>
        <w:adjustRightInd w:val="0"/>
        <w:snapToGrid w:val="0"/>
        <w:spacing w:line="360" w:lineRule="auto"/>
        <w:ind w:left="359" w:leftChars="171"/>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1.3.2  本标段的计划工期：见比选申请人须知前附表。</w:t>
      </w:r>
    </w:p>
    <w:p w14:paraId="5FB9B48B">
      <w:pPr>
        <w:autoSpaceDE w:val="0"/>
        <w:autoSpaceDN w:val="0"/>
        <w:adjustRightInd w:val="0"/>
        <w:snapToGrid w:val="0"/>
        <w:spacing w:line="360" w:lineRule="auto"/>
        <w:ind w:left="359" w:leftChars="171"/>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1.3.3  本标段的质量要求：见比选申请人须知前附表。</w:t>
      </w:r>
    </w:p>
    <w:p w14:paraId="575BA5B9">
      <w:pPr>
        <w:pStyle w:val="4"/>
        <w:numPr>
          <w:ilvl w:val="0"/>
          <w:numId w:val="0"/>
        </w:numPr>
        <w:tabs>
          <w:tab w:val="left" w:pos="720"/>
          <w:tab w:val="clear" w:pos="709"/>
        </w:tabs>
        <w:snapToGrid w:val="0"/>
        <w:spacing w:line="360" w:lineRule="auto"/>
        <w:rPr>
          <w:rFonts w:hint="eastAsia" w:ascii="宋体" w:hAnsi="宋体" w:eastAsia="宋体" w:cs="宋体"/>
          <w:bCs/>
          <w:color w:val="auto"/>
          <w:szCs w:val="21"/>
          <w:highlight w:val="none"/>
        </w:rPr>
      </w:pPr>
      <w:bookmarkStart w:id="49" w:name="_Toc200513131"/>
      <w:bookmarkStart w:id="50" w:name="_Toc287607751"/>
      <w:bookmarkStart w:id="51" w:name="_Toc287620690"/>
      <w:bookmarkStart w:id="52" w:name="_Toc26881"/>
      <w:bookmarkStart w:id="53" w:name="_Toc277082557"/>
      <w:bookmarkStart w:id="54" w:name="_Toc224103322"/>
      <w:r>
        <w:rPr>
          <w:rFonts w:hint="eastAsia" w:ascii="宋体" w:hAnsi="宋体" w:eastAsia="宋体" w:cs="宋体"/>
          <w:bCs/>
          <w:color w:val="auto"/>
          <w:szCs w:val="21"/>
          <w:highlight w:val="none"/>
        </w:rPr>
        <w:t>1.4  比选申请人资格要求</w:t>
      </w:r>
      <w:bookmarkEnd w:id="49"/>
      <w:bookmarkEnd w:id="50"/>
      <w:bookmarkEnd w:id="51"/>
      <w:bookmarkEnd w:id="52"/>
      <w:bookmarkEnd w:id="53"/>
      <w:bookmarkEnd w:id="54"/>
    </w:p>
    <w:p w14:paraId="389E7EEB">
      <w:pPr>
        <w:autoSpaceDE w:val="0"/>
        <w:autoSpaceDN w:val="0"/>
        <w:adjustRightInd w:val="0"/>
        <w:snapToGrid w:val="0"/>
        <w:spacing w:line="360" w:lineRule="auto"/>
        <w:ind w:firstLine="359" w:firstLineChars="171"/>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1.4.1 比选申请人应具备承担本标段施工的资质条件、能力和信誉。</w:t>
      </w:r>
    </w:p>
    <w:p w14:paraId="0F4776F7">
      <w:pPr>
        <w:autoSpaceDE w:val="0"/>
        <w:autoSpaceDN w:val="0"/>
        <w:adjustRightInd w:val="0"/>
        <w:snapToGrid w:val="0"/>
        <w:spacing w:line="360" w:lineRule="auto"/>
        <w:ind w:firstLine="359" w:firstLineChars="171"/>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w:t>
      </w:r>
      <w:r>
        <w:rPr>
          <w:rFonts w:hint="eastAsia" w:ascii="宋体" w:hAnsi="宋体" w:cs="宋体"/>
          <w:color w:val="auto"/>
          <w:szCs w:val="21"/>
          <w:highlight w:val="none"/>
        </w:rPr>
        <w:t>资质条件、营业执照</w:t>
      </w:r>
      <w:r>
        <w:rPr>
          <w:rFonts w:hint="eastAsia" w:ascii="宋体" w:hAnsi="宋体" w:cs="宋体"/>
          <w:snapToGrid w:val="0"/>
          <w:color w:val="auto"/>
          <w:kern w:val="0"/>
          <w:szCs w:val="21"/>
          <w:highlight w:val="none"/>
        </w:rPr>
        <w:t>：见比选申请人须知前附表；</w:t>
      </w:r>
    </w:p>
    <w:p w14:paraId="0894B0A2">
      <w:pPr>
        <w:autoSpaceDE w:val="0"/>
        <w:autoSpaceDN w:val="0"/>
        <w:adjustRightInd w:val="0"/>
        <w:snapToGrid w:val="0"/>
        <w:spacing w:line="360" w:lineRule="auto"/>
        <w:ind w:firstLine="359" w:firstLineChars="171"/>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w:t>
      </w:r>
      <w:r>
        <w:rPr>
          <w:rFonts w:hint="eastAsia" w:ascii="宋体" w:hAnsi="宋体"/>
          <w:snapToGrid w:val="0"/>
          <w:color w:val="auto"/>
          <w:kern w:val="0"/>
          <w:szCs w:val="21"/>
          <w:highlight w:val="none"/>
        </w:rPr>
        <w:t>投标截止日投标资格情况</w:t>
      </w:r>
      <w:r>
        <w:rPr>
          <w:rFonts w:ascii="宋体" w:hAnsi="宋体"/>
          <w:snapToGrid w:val="0"/>
          <w:color w:val="auto"/>
          <w:kern w:val="0"/>
          <w:szCs w:val="21"/>
          <w:highlight w:val="none"/>
        </w:rPr>
        <w:t>：</w:t>
      </w:r>
      <w:r>
        <w:rPr>
          <w:rFonts w:hint="eastAsia" w:ascii="宋体" w:hAnsi="宋体" w:cs="宋体"/>
          <w:snapToGrid w:val="0"/>
          <w:color w:val="auto"/>
          <w:kern w:val="0"/>
          <w:szCs w:val="21"/>
          <w:highlight w:val="none"/>
        </w:rPr>
        <w:t>见比选申请人须知前附表；</w:t>
      </w:r>
    </w:p>
    <w:p w14:paraId="6D87E0AA">
      <w:pPr>
        <w:autoSpaceDE w:val="0"/>
        <w:autoSpaceDN w:val="0"/>
        <w:adjustRightInd w:val="0"/>
        <w:snapToGrid w:val="0"/>
        <w:spacing w:line="360" w:lineRule="auto"/>
        <w:ind w:firstLine="359" w:firstLineChars="171"/>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（3）其他要求：见比选申请人须知前附表。</w:t>
      </w:r>
    </w:p>
    <w:p w14:paraId="7E10188D">
      <w:pPr>
        <w:autoSpaceDE w:val="0"/>
        <w:autoSpaceDN w:val="0"/>
        <w:adjustRightInd w:val="0"/>
        <w:snapToGrid w:val="0"/>
        <w:spacing w:line="360" w:lineRule="auto"/>
        <w:ind w:firstLine="359" w:firstLineChars="171"/>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1.4.2  比选申请人须知前附表规定接受联合体比选申请的，除应符合本章第1.4.1项和比选申请人须知前附表的要求外，还应遵守以下规定：</w:t>
      </w:r>
    </w:p>
    <w:p w14:paraId="14FA8F38">
      <w:pPr>
        <w:autoSpaceDE w:val="0"/>
        <w:autoSpaceDN w:val="0"/>
        <w:adjustRightInd w:val="0"/>
        <w:snapToGrid w:val="0"/>
        <w:spacing w:line="360" w:lineRule="auto"/>
        <w:ind w:firstLine="359" w:firstLineChars="171"/>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（1）联合体各方应按比选文件提供的格式签订联合体协议书，明确联合体牵头人和各方权利义务；</w:t>
      </w:r>
    </w:p>
    <w:p w14:paraId="5968FBB8">
      <w:pPr>
        <w:autoSpaceDE w:val="0"/>
        <w:autoSpaceDN w:val="0"/>
        <w:adjustRightInd w:val="0"/>
        <w:snapToGrid w:val="0"/>
        <w:spacing w:line="360" w:lineRule="auto"/>
        <w:ind w:firstLine="359" w:firstLineChars="171"/>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（2）由同一专业的单位组成的联合体，按照资质等级较低的单位确定资质等级；</w:t>
      </w:r>
    </w:p>
    <w:p w14:paraId="73FA0FEE">
      <w:pPr>
        <w:autoSpaceDE w:val="0"/>
        <w:autoSpaceDN w:val="0"/>
        <w:adjustRightInd w:val="0"/>
        <w:snapToGrid w:val="0"/>
        <w:spacing w:line="360" w:lineRule="auto"/>
        <w:ind w:firstLine="359" w:firstLineChars="171"/>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（3）联合体各方不得再以自己名义单独或参加其他联合体在同一标段中比选申请。</w:t>
      </w:r>
    </w:p>
    <w:p w14:paraId="24412874">
      <w:pPr>
        <w:autoSpaceDE w:val="0"/>
        <w:autoSpaceDN w:val="0"/>
        <w:adjustRightInd w:val="0"/>
        <w:snapToGrid w:val="0"/>
        <w:spacing w:line="360" w:lineRule="auto"/>
        <w:ind w:firstLine="359" w:firstLineChars="171"/>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1.4.3  比选申请人须得在资格审查中澄清不得存在下列情形之一：</w:t>
      </w:r>
    </w:p>
    <w:p w14:paraId="0ECAECD2">
      <w:pPr>
        <w:autoSpaceDE w:val="0"/>
        <w:autoSpaceDN w:val="0"/>
        <w:adjustRightInd w:val="0"/>
        <w:snapToGrid w:val="0"/>
        <w:spacing w:line="360" w:lineRule="auto"/>
        <w:ind w:firstLine="359" w:firstLineChars="171"/>
        <w:jc w:val="left"/>
        <w:rPr>
          <w:rFonts w:hint="eastAsia" w:ascii="宋体" w:hAnsi="宋体" w:cs="宋体"/>
          <w:snapToGrid w:val="0"/>
          <w:color w:val="auto"/>
          <w:kern w:val="0"/>
          <w:szCs w:val="21"/>
          <w:highlight w:val="none"/>
        </w:rPr>
      </w:pPr>
      <w:r>
        <w:rPr>
          <w:rFonts w:hint="eastAsia" w:ascii="宋体" w:hAnsi="宋体" w:cs="宋体"/>
          <w:snapToGrid w:val="0"/>
          <w:color w:val="auto"/>
          <w:kern w:val="0"/>
          <w:position w:val="-2"/>
          <w:szCs w:val="21"/>
          <w:highlight w:val="none"/>
        </w:rPr>
        <w:t>（1）与比选人存在利害关系可能影响比选公正性的法人、其他组织或者个人；</w:t>
      </w:r>
    </w:p>
    <w:p w14:paraId="6B347F04">
      <w:pPr>
        <w:autoSpaceDE w:val="0"/>
        <w:autoSpaceDN w:val="0"/>
        <w:adjustRightInd w:val="0"/>
        <w:snapToGrid w:val="0"/>
        <w:spacing w:line="360" w:lineRule="auto"/>
        <w:ind w:firstLine="359" w:firstLineChars="171"/>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（2）为本标段前期准备提供设计或咨询服务的，但设计施工总承包的除外；</w:t>
      </w:r>
    </w:p>
    <w:p w14:paraId="11B7A137">
      <w:pPr>
        <w:autoSpaceDE w:val="0"/>
        <w:autoSpaceDN w:val="0"/>
        <w:adjustRightInd w:val="0"/>
        <w:snapToGrid w:val="0"/>
        <w:spacing w:line="400" w:lineRule="exact"/>
        <w:ind w:firstLine="359" w:firstLineChars="171"/>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（3）为本标段的监理人；</w:t>
      </w:r>
    </w:p>
    <w:p w14:paraId="4E4C16D2">
      <w:pPr>
        <w:autoSpaceDE w:val="0"/>
        <w:autoSpaceDN w:val="0"/>
        <w:adjustRightInd w:val="0"/>
        <w:snapToGrid w:val="0"/>
        <w:spacing w:line="400" w:lineRule="exact"/>
        <w:ind w:firstLine="359" w:firstLineChars="171"/>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（4）为本标段的代建人；</w:t>
      </w:r>
    </w:p>
    <w:p w14:paraId="7A91F485">
      <w:pPr>
        <w:autoSpaceDE w:val="0"/>
        <w:autoSpaceDN w:val="0"/>
        <w:adjustRightInd w:val="0"/>
        <w:snapToGrid w:val="0"/>
        <w:spacing w:line="400" w:lineRule="exact"/>
        <w:ind w:firstLine="359" w:firstLineChars="171"/>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（5）为本标段提供比选代理服务的；</w:t>
      </w:r>
    </w:p>
    <w:p w14:paraId="2B78C1E0">
      <w:pPr>
        <w:autoSpaceDE w:val="0"/>
        <w:autoSpaceDN w:val="0"/>
        <w:adjustRightInd w:val="0"/>
        <w:snapToGrid w:val="0"/>
        <w:spacing w:line="400" w:lineRule="exact"/>
        <w:ind w:firstLine="359" w:firstLineChars="171"/>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（6）与本标段的监理人或代建人或比选代理机构同为一个法定代表人的；</w:t>
      </w:r>
    </w:p>
    <w:p w14:paraId="6B35225E">
      <w:pPr>
        <w:autoSpaceDE w:val="0"/>
        <w:autoSpaceDN w:val="0"/>
        <w:adjustRightInd w:val="0"/>
        <w:snapToGrid w:val="0"/>
        <w:spacing w:line="400" w:lineRule="exact"/>
        <w:ind w:firstLine="359" w:firstLineChars="171"/>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（7）与本标段的监理人或代建人或比选代理机构相互控股或参股的；</w:t>
      </w:r>
    </w:p>
    <w:p w14:paraId="7F28FED3">
      <w:pPr>
        <w:autoSpaceDE w:val="0"/>
        <w:autoSpaceDN w:val="0"/>
        <w:adjustRightInd w:val="0"/>
        <w:snapToGrid w:val="0"/>
        <w:spacing w:line="400" w:lineRule="exact"/>
        <w:ind w:firstLine="359" w:firstLineChars="171"/>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（8）与本标段的监理人或代建人或比选代理机构相互任职或工作的；</w:t>
      </w:r>
    </w:p>
    <w:p w14:paraId="5840A220">
      <w:pPr>
        <w:autoSpaceDE w:val="0"/>
        <w:autoSpaceDN w:val="0"/>
        <w:adjustRightInd w:val="0"/>
        <w:snapToGrid w:val="0"/>
        <w:spacing w:line="400" w:lineRule="exact"/>
        <w:ind w:firstLine="359" w:firstLineChars="171"/>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（9）被责令停业的；</w:t>
      </w:r>
    </w:p>
    <w:p w14:paraId="478EED4E">
      <w:pPr>
        <w:autoSpaceDE w:val="0"/>
        <w:autoSpaceDN w:val="0"/>
        <w:adjustRightInd w:val="0"/>
        <w:snapToGrid w:val="0"/>
        <w:spacing w:line="400" w:lineRule="exact"/>
        <w:ind w:firstLine="359" w:firstLineChars="171"/>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（10）被暂停或取消比选申请资格的；</w:t>
      </w:r>
    </w:p>
    <w:p w14:paraId="75E97828">
      <w:pPr>
        <w:autoSpaceDE w:val="0"/>
        <w:autoSpaceDN w:val="0"/>
        <w:adjustRightInd w:val="0"/>
        <w:snapToGrid w:val="0"/>
        <w:spacing w:line="400" w:lineRule="exact"/>
        <w:ind w:firstLine="359" w:firstLineChars="171"/>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（11）财产被接管或冻结的；</w:t>
      </w:r>
    </w:p>
    <w:p w14:paraId="61ED5FA8">
      <w:pPr>
        <w:autoSpaceDE w:val="0"/>
        <w:autoSpaceDN w:val="0"/>
        <w:adjustRightInd w:val="0"/>
        <w:snapToGrid w:val="0"/>
        <w:spacing w:line="400" w:lineRule="exact"/>
        <w:ind w:firstLine="359" w:firstLineChars="171"/>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（12）</w:t>
      </w:r>
      <w:r>
        <w:rPr>
          <w:rFonts w:hint="eastAsia" w:ascii="宋体" w:hAnsi="宋体" w:cs="宋体"/>
          <w:color w:val="auto"/>
          <w:sz w:val="22"/>
          <w:highlight w:val="none"/>
        </w:rPr>
        <w:t>单位负责人为同一人或者存在控股、管理关系的不同单位，不得在同一标段中同时比选申请</w:t>
      </w:r>
      <w:r>
        <w:rPr>
          <w:rFonts w:hint="eastAsia" w:ascii="宋体" w:hAnsi="宋体" w:cs="宋体"/>
          <w:snapToGrid w:val="0"/>
          <w:color w:val="auto"/>
          <w:kern w:val="0"/>
          <w:szCs w:val="21"/>
          <w:highlight w:val="none"/>
        </w:rPr>
        <w:t>。</w:t>
      </w:r>
    </w:p>
    <w:p w14:paraId="1AB95BBF">
      <w:pPr>
        <w:pStyle w:val="4"/>
        <w:numPr>
          <w:ilvl w:val="0"/>
          <w:numId w:val="0"/>
        </w:numPr>
        <w:tabs>
          <w:tab w:val="left" w:pos="720"/>
          <w:tab w:val="clear" w:pos="709"/>
        </w:tabs>
        <w:snapToGrid w:val="0"/>
        <w:spacing w:line="360" w:lineRule="auto"/>
        <w:rPr>
          <w:rFonts w:hint="eastAsia" w:ascii="宋体" w:hAnsi="宋体" w:eastAsia="宋体" w:cs="宋体"/>
          <w:bCs/>
          <w:color w:val="auto"/>
          <w:szCs w:val="21"/>
          <w:highlight w:val="none"/>
        </w:rPr>
      </w:pPr>
      <w:bookmarkStart w:id="55" w:name="_Toc287620691"/>
      <w:bookmarkStart w:id="56" w:name="_Toc287607752"/>
      <w:bookmarkStart w:id="57" w:name="_Toc224103323"/>
      <w:bookmarkStart w:id="58" w:name="_Toc277082558"/>
      <w:bookmarkStart w:id="59" w:name="_Toc200513132"/>
      <w:bookmarkStart w:id="60" w:name="_Toc22511"/>
      <w:r>
        <w:rPr>
          <w:rFonts w:hint="eastAsia" w:ascii="宋体" w:hAnsi="宋体" w:eastAsia="宋体" w:cs="宋体"/>
          <w:bCs/>
          <w:color w:val="auto"/>
          <w:szCs w:val="21"/>
          <w:highlight w:val="none"/>
        </w:rPr>
        <w:t>1.5  费用承担</w:t>
      </w:r>
      <w:bookmarkEnd w:id="55"/>
      <w:bookmarkEnd w:id="56"/>
      <w:bookmarkEnd w:id="57"/>
      <w:bookmarkEnd w:id="58"/>
      <w:bookmarkEnd w:id="59"/>
      <w:bookmarkEnd w:id="60"/>
    </w:p>
    <w:p w14:paraId="4AA7EFC9">
      <w:pPr>
        <w:autoSpaceDE w:val="0"/>
        <w:autoSpaceDN w:val="0"/>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比选申请人准备和参加比选申请活动发生的费用自理。</w:t>
      </w:r>
    </w:p>
    <w:p w14:paraId="74B71AB8">
      <w:pPr>
        <w:pStyle w:val="4"/>
        <w:numPr>
          <w:ilvl w:val="0"/>
          <w:numId w:val="0"/>
        </w:numPr>
        <w:tabs>
          <w:tab w:val="left" w:pos="720"/>
          <w:tab w:val="clear" w:pos="709"/>
        </w:tabs>
        <w:snapToGrid w:val="0"/>
        <w:spacing w:line="360" w:lineRule="auto"/>
        <w:rPr>
          <w:rFonts w:hint="eastAsia" w:ascii="宋体" w:hAnsi="宋体" w:eastAsia="宋体" w:cs="宋体"/>
          <w:bCs/>
          <w:color w:val="auto"/>
          <w:szCs w:val="21"/>
          <w:highlight w:val="none"/>
        </w:rPr>
      </w:pPr>
      <w:bookmarkStart w:id="61" w:name="_Toc25136"/>
      <w:bookmarkStart w:id="62" w:name="_Toc287620692"/>
      <w:bookmarkStart w:id="63" w:name="_Toc277082559"/>
      <w:bookmarkStart w:id="64" w:name="_Toc200513133"/>
      <w:bookmarkStart w:id="65" w:name="_Toc224103324"/>
      <w:bookmarkStart w:id="66" w:name="_Toc287607753"/>
      <w:r>
        <w:rPr>
          <w:rFonts w:hint="eastAsia" w:ascii="宋体" w:hAnsi="宋体" w:eastAsia="宋体" w:cs="宋体"/>
          <w:bCs/>
          <w:color w:val="auto"/>
          <w:szCs w:val="21"/>
          <w:highlight w:val="none"/>
        </w:rPr>
        <w:t>1.6  保密</w:t>
      </w:r>
      <w:bookmarkEnd w:id="61"/>
      <w:bookmarkEnd w:id="62"/>
      <w:bookmarkEnd w:id="63"/>
      <w:bookmarkEnd w:id="64"/>
      <w:bookmarkEnd w:id="65"/>
      <w:bookmarkEnd w:id="66"/>
    </w:p>
    <w:p w14:paraId="47FB1810">
      <w:pPr>
        <w:autoSpaceDE w:val="0"/>
        <w:autoSpaceDN w:val="0"/>
        <w:adjustRightInd w:val="0"/>
        <w:snapToGrid w:val="0"/>
        <w:spacing w:line="360" w:lineRule="auto"/>
        <w:ind w:firstLine="42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参与比选比选申请活动的各方应对比选文件和比选申请文件中的商业和技术等秘密保密，违者应对由此造成的后果承担法律责任。</w:t>
      </w:r>
    </w:p>
    <w:p w14:paraId="6CE40FC8">
      <w:pPr>
        <w:pStyle w:val="4"/>
        <w:numPr>
          <w:ilvl w:val="0"/>
          <w:numId w:val="0"/>
        </w:numPr>
        <w:tabs>
          <w:tab w:val="left" w:pos="720"/>
          <w:tab w:val="clear" w:pos="709"/>
        </w:tabs>
        <w:snapToGrid w:val="0"/>
        <w:spacing w:line="360" w:lineRule="auto"/>
        <w:rPr>
          <w:rFonts w:hint="eastAsia" w:ascii="宋体" w:hAnsi="宋体" w:eastAsia="宋体" w:cs="宋体"/>
          <w:bCs/>
          <w:color w:val="auto"/>
          <w:szCs w:val="21"/>
          <w:highlight w:val="none"/>
        </w:rPr>
      </w:pPr>
      <w:bookmarkStart w:id="67" w:name="_Toc224103325"/>
      <w:bookmarkStart w:id="68" w:name="_Toc22849"/>
      <w:bookmarkStart w:id="69" w:name="_Toc200513134"/>
      <w:bookmarkStart w:id="70" w:name="_Toc287607754"/>
      <w:bookmarkStart w:id="71" w:name="_Toc277082560"/>
      <w:bookmarkStart w:id="72" w:name="_Toc287620693"/>
      <w:r>
        <w:rPr>
          <w:rFonts w:hint="eastAsia" w:ascii="宋体" w:hAnsi="宋体" w:eastAsia="宋体" w:cs="宋体"/>
          <w:bCs/>
          <w:color w:val="auto"/>
          <w:szCs w:val="21"/>
          <w:highlight w:val="none"/>
        </w:rPr>
        <w:t>1.7  语言文字</w:t>
      </w:r>
      <w:bookmarkEnd w:id="67"/>
      <w:bookmarkEnd w:id="68"/>
      <w:bookmarkEnd w:id="69"/>
      <w:bookmarkEnd w:id="70"/>
      <w:bookmarkEnd w:id="71"/>
      <w:bookmarkEnd w:id="72"/>
    </w:p>
    <w:p w14:paraId="3448FC0A">
      <w:pPr>
        <w:autoSpaceDE w:val="0"/>
        <w:autoSpaceDN w:val="0"/>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除专用术语外，与比选比选申请有关的语言均使用中文。必要时专用术语应附有中文注释。</w:t>
      </w:r>
    </w:p>
    <w:p w14:paraId="6D9DC2AF">
      <w:pPr>
        <w:pStyle w:val="4"/>
        <w:numPr>
          <w:ilvl w:val="0"/>
          <w:numId w:val="0"/>
        </w:numPr>
        <w:tabs>
          <w:tab w:val="left" w:pos="720"/>
          <w:tab w:val="clear" w:pos="709"/>
        </w:tabs>
        <w:snapToGrid w:val="0"/>
        <w:spacing w:line="360" w:lineRule="auto"/>
        <w:rPr>
          <w:rFonts w:hint="eastAsia" w:ascii="宋体" w:hAnsi="宋体" w:eastAsia="宋体" w:cs="宋体"/>
          <w:bCs/>
          <w:color w:val="auto"/>
          <w:szCs w:val="21"/>
          <w:highlight w:val="none"/>
        </w:rPr>
      </w:pPr>
      <w:bookmarkStart w:id="73" w:name="_Toc8647"/>
      <w:bookmarkStart w:id="74" w:name="_Toc277082561"/>
      <w:bookmarkStart w:id="75" w:name="_Toc287607755"/>
      <w:bookmarkStart w:id="76" w:name="_Toc224103326"/>
      <w:bookmarkStart w:id="77" w:name="_Toc200513135"/>
      <w:bookmarkStart w:id="78" w:name="_Toc287620694"/>
      <w:r>
        <w:rPr>
          <w:rFonts w:hint="eastAsia" w:ascii="宋体" w:hAnsi="宋体" w:eastAsia="宋体" w:cs="宋体"/>
          <w:bCs/>
          <w:color w:val="auto"/>
          <w:szCs w:val="21"/>
          <w:highlight w:val="none"/>
        </w:rPr>
        <w:t>1.8  计量单位</w:t>
      </w:r>
      <w:bookmarkEnd w:id="73"/>
      <w:bookmarkEnd w:id="74"/>
      <w:bookmarkEnd w:id="75"/>
      <w:bookmarkEnd w:id="76"/>
      <w:bookmarkEnd w:id="77"/>
      <w:bookmarkEnd w:id="78"/>
    </w:p>
    <w:p w14:paraId="71EA63D8">
      <w:pPr>
        <w:autoSpaceDE w:val="0"/>
        <w:autoSpaceDN w:val="0"/>
        <w:adjustRightInd w:val="0"/>
        <w:snapToGrid w:val="0"/>
        <w:spacing w:line="360" w:lineRule="auto"/>
        <w:ind w:firstLine="424" w:firstLineChars="202"/>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所有计量均采用中华人民共和国法定计量单位。</w:t>
      </w:r>
    </w:p>
    <w:p w14:paraId="275B2DC9">
      <w:pPr>
        <w:pStyle w:val="4"/>
        <w:numPr>
          <w:ilvl w:val="0"/>
          <w:numId w:val="0"/>
        </w:numPr>
        <w:tabs>
          <w:tab w:val="left" w:pos="720"/>
          <w:tab w:val="clear" w:pos="709"/>
        </w:tabs>
        <w:snapToGrid w:val="0"/>
        <w:spacing w:line="360" w:lineRule="auto"/>
        <w:rPr>
          <w:rFonts w:hint="eastAsia" w:ascii="宋体" w:hAnsi="宋体" w:eastAsia="宋体" w:cs="宋体"/>
          <w:bCs/>
          <w:color w:val="auto"/>
          <w:szCs w:val="21"/>
          <w:highlight w:val="none"/>
        </w:rPr>
      </w:pPr>
      <w:bookmarkStart w:id="79" w:name="_Toc200513136"/>
      <w:bookmarkStart w:id="80" w:name="_Toc287620695"/>
      <w:bookmarkStart w:id="81" w:name="_Toc287607756"/>
      <w:bookmarkStart w:id="82" w:name="_Toc224103327"/>
      <w:bookmarkStart w:id="83" w:name="_Toc12662"/>
      <w:bookmarkStart w:id="84" w:name="_Toc277082562"/>
      <w:r>
        <w:rPr>
          <w:rFonts w:hint="eastAsia" w:ascii="宋体" w:hAnsi="宋体" w:eastAsia="宋体" w:cs="宋体"/>
          <w:bCs/>
          <w:color w:val="auto"/>
          <w:szCs w:val="21"/>
          <w:highlight w:val="none"/>
        </w:rPr>
        <w:t>1.9  踏勘现场</w:t>
      </w:r>
      <w:bookmarkEnd w:id="79"/>
      <w:bookmarkEnd w:id="80"/>
      <w:bookmarkEnd w:id="81"/>
      <w:bookmarkEnd w:id="82"/>
      <w:bookmarkEnd w:id="83"/>
      <w:bookmarkEnd w:id="84"/>
    </w:p>
    <w:p w14:paraId="3131F407">
      <w:pPr>
        <w:ind w:firstLine="420" w:firstLineChars="200"/>
        <w:rPr>
          <w:rFonts w:hint="eastAsia" w:ascii="宋体" w:hAnsi="宋体" w:cs="宋体"/>
          <w:color w:val="auto"/>
          <w:highlight w:val="none"/>
        </w:rPr>
      </w:pPr>
      <w:r>
        <w:rPr>
          <w:rFonts w:hint="eastAsia" w:ascii="宋体" w:hAnsi="宋体" w:cs="宋体"/>
          <w:color w:val="auto"/>
          <w:highlight w:val="none"/>
        </w:rPr>
        <w:t>不组织。</w:t>
      </w:r>
    </w:p>
    <w:p w14:paraId="2C36F612">
      <w:pPr>
        <w:pStyle w:val="4"/>
        <w:numPr>
          <w:ilvl w:val="0"/>
          <w:numId w:val="0"/>
        </w:numPr>
        <w:tabs>
          <w:tab w:val="left" w:pos="720"/>
          <w:tab w:val="clear" w:pos="709"/>
        </w:tabs>
        <w:snapToGrid w:val="0"/>
        <w:spacing w:line="360" w:lineRule="auto"/>
        <w:rPr>
          <w:rFonts w:hint="eastAsia" w:ascii="宋体" w:hAnsi="宋体" w:eastAsia="宋体" w:cs="宋体"/>
          <w:bCs/>
          <w:color w:val="auto"/>
          <w:szCs w:val="21"/>
          <w:highlight w:val="none"/>
        </w:rPr>
      </w:pPr>
      <w:bookmarkStart w:id="85" w:name="_Toc287607757"/>
      <w:bookmarkStart w:id="86" w:name="_Toc287620696"/>
      <w:bookmarkStart w:id="87" w:name="_Toc224103328"/>
      <w:bookmarkStart w:id="88" w:name="_Toc277082563"/>
      <w:bookmarkStart w:id="89" w:name="_Toc200513137"/>
      <w:bookmarkStart w:id="90" w:name="_Toc12115"/>
      <w:r>
        <w:rPr>
          <w:rFonts w:hint="eastAsia" w:ascii="宋体" w:hAnsi="宋体" w:eastAsia="宋体" w:cs="宋体"/>
          <w:bCs/>
          <w:color w:val="auto"/>
          <w:szCs w:val="21"/>
          <w:highlight w:val="none"/>
        </w:rPr>
        <w:t>1.10  比选申请预备会</w:t>
      </w:r>
      <w:bookmarkEnd w:id="85"/>
      <w:bookmarkEnd w:id="86"/>
      <w:bookmarkEnd w:id="87"/>
      <w:bookmarkEnd w:id="88"/>
      <w:bookmarkEnd w:id="89"/>
      <w:bookmarkEnd w:id="90"/>
    </w:p>
    <w:p w14:paraId="0165ED7E">
      <w:pPr>
        <w:autoSpaceDE w:val="0"/>
        <w:autoSpaceDN w:val="0"/>
        <w:adjustRightInd w:val="0"/>
        <w:snapToGrid w:val="0"/>
        <w:spacing w:line="360" w:lineRule="auto"/>
        <w:ind w:firstLine="424" w:firstLineChars="202"/>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不召开。</w:t>
      </w:r>
    </w:p>
    <w:p w14:paraId="485035C4">
      <w:pPr>
        <w:pStyle w:val="4"/>
        <w:numPr>
          <w:ilvl w:val="0"/>
          <w:numId w:val="0"/>
        </w:numPr>
        <w:tabs>
          <w:tab w:val="left" w:pos="720"/>
          <w:tab w:val="clear" w:pos="709"/>
        </w:tabs>
        <w:snapToGrid w:val="0"/>
        <w:spacing w:line="360" w:lineRule="auto"/>
        <w:rPr>
          <w:rFonts w:hint="eastAsia" w:ascii="宋体" w:hAnsi="宋体" w:eastAsia="宋体" w:cs="宋体"/>
          <w:bCs/>
          <w:color w:val="auto"/>
          <w:szCs w:val="21"/>
          <w:highlight w:val="none"/>
        </w:rPr>
      </w:pPr>
      <w:bookmarkStart w:id="91" w:name="_Toc200513138"/>
      <w:bookmarkStart w:id="92" w:name="_Toc224103329"/>
      <w:bookmarkStart w:id="93" w:name="_Toc277082564"/>
      <w:bookmarkStart w:id="94" w:name="_Toc13552"/>
      <w:bookmarkStart w:id="95" w:name="_Toc287607758"/>
      <w:bookmarkStart w:id="96" w:name="_Toc287620697"/>
      <w:r>
        <w:rPr>
          <w:rFonts w:hint="eastAsia" w:ascii="宋体" w:hAnsi="宋体" w:eastAsia="宋体" w:cs="宋体"/>
          <w:bCs/>
          <w:color w:val="auto"/>
          <w:szCs w:val="21"/>
          <w:highlight w:val="none"/>
        </w:rPr>
        <w:t>1.11  分包</w:t>
      </w:r>
      <w:bookmarkEnd w:id="91"/>
      <w:bookmarkEnd w:id="92"/>
      <w:bookmarkEnd w:id="93"/>
      <w:bookmarkEnd w:id="94"/>
      <w:bookmarkEnd w:id="95"/>
      <w:bookmarkEnd w:id="96"/>
    </w:p>
    <w:p w14:paraId="45F67C71">
      <w:pPr>
        <w:spacing w:line="360" w:lineRule="auto"/>
        <w:ind w:firstLine="420" w:firstLineChars="200"/>
        <w:rPr>
          <w:rFonts w:hint="eastAsia" w:ascii="宋体" w:hAnsi="宋体" w:cs="宋体"/>
          <w:color w:val="auto"/>
          <w:szCs w:val="21"/>
          <w:highlight w:val="none"/>
        </w:rPr>
      </w:pPr>
      <w:bookmarkStart w:id="97" w:name="_Toc200513139"/>
      <w:bookmarkStart w:id="98" w:name="_Toc277082565"/>
      <w:bookmarkStart w:id="99" w:name="_Toc224103330"/>
      <w:bookmarkStart w:id="100" w:name="_Toc287607759"/>
      <w:bookmarkStart w:id="101" w:name="_Toc287620698"/>
      <w:r>
        <w:rPr>
          <w:rFonts w:hint="eastAsia" w:ascii="宋体" w:hAnsi="宋体" w:cs="宋体"/>
          <w:color w:val="auto"/>
          <w:szCs w:val="21"/>
          <w:highlight w:val="none"/>
        </w:rPr>
        <w:t>不允许分包。</w:t>
      </w:r>
    </w:p>
    <w:p w14:paraId="2BBFB1F7">
      <w:pPr>
        <w:pStyle w:val="4"/>
        <w:numPr>
          <w:ilvl w:val="0"/>
          <w:numId w:val="0"/>
        </w:numPr>
        <w:tabs>
          <w:tab w:val="left" w:pos="720"/>
          <w:tab w:val="clear" w:pos="709"/>
        </w:tabs>
        <w:snapToGrid w:val="0"/>
        <w:spacing w:line="360" w:lineRule="auto"/>
        <w:rPr>
          <w:rFonts w:hint="eastAsia" w:ascii="宋体" w:hAnsi="宋体" w:eastAsia="宋体" w:cs="宋体"/>
          <w:bCs/>
          <w:color w:val="auto"/>
          <w:szCs w:val="21"/>
          <w:highlight w:val="none"/>
        </w:rPr>
      </w:pPr>
      <w:bookmarkStart w:id="102" w:name="_Toc21674"/>
      <w:r>
        <w:rPr>
          <w:rFonts w:hint="eastAsia" w:ascii="宋体" w:hAnsi="宋体" w:eastAsia="宋体" w:cs="宋体"/>
          <w:bCs/>
          <w:color w:val="auto"/>
          <w:szCs w:val="21"/>
          <w:highlight w:val="none"/>
        </w:rPr>
        <w:t>1.12  偏离</w:t>
      </w:r>
      <w:bookmarkEnd w:id="97"/>
      <w:bookmarkEnd w:id="98"/>
      <w:bookmarkEnd w:id="99"/>
      <w:bookmarkEnd w:id="100"/>
      <w:bookmarkEnd w:id="101"/>
      <w:bookmarkEnd w:id="102"/>
    </w:p>
    <w:p w14:paraId="0C2E037B">
      <w:pPr>
        <w:autoSpaceDE w:val="0"/>
        <w:autoSpaceDN w:val="0"/>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比选申请人须知前附表允许比选申请文件偏离比选文件某些要求的，偏离应当符合比选文件规定的偏离范围和幅度。</w:t>
      </w:r>
    </w:p>
    <w:p w14:paraId="5A29DD6A">
      <w:pPr>
        <w:spacing w:line="360" w:lineRule="auto"/>
        <w:outlineLvl w:val="1"/>
        <w:rPr>
          <w:rFonts w:hint="eastAsia" w:ascii="宋体" w:hAnsi="宋体" w:cs="宋体"/>
          <w:b/>
          <w:color w:val="auto"/>
          <w:szCs w:val="21"/>
          <w:highlight w:val="none"/>
        </w:rPr>
      </w:pPr>
      <w:bookmarkStart w:id="103" w:name="_Toc527617468"/>
      <w:bookmarkStart w:id="104" w:name="_Toc20100"/>
      <w:bookmarkStart w:id="105" w:name="_Toc6464"/>
      <w:bookmarkStart w:id="106" w:name="_Toc10620"/>
      <w:bookmarkStart w:id="107" w:name="_Toc28551"/>
      <w:bookmarkStart w:id="108" w:name="_Toc68599904"/>
      <w:bookmarkStart w:id="109" w:name="_Toc430205981"/>
      <w:bookmarkStart w:id="110" w:name="_Toc13355"/>
      <w:bookmarkStart w:id="111" w:name="_Toc287607792"/>
      <w:bookmarkStart w:id="112" w:name="_Toc287620731"/>
      <w:bookmarkStart w:id="113" w:name="_Toc224103363"/>
      <w:bookmarkStart w:id="114" w:name="_Toc200513172"/>
      <w:bookmarkStart w:id="115" w:name="_Toc277082598"/>
      <w:r>
        <w:rPr>
          <w:rFonts w:hint="eastAsia" w:ascii="宋体" w:hAnsi="宋体" w:cs="宋体"/>
          <w:b/>
          <w:color w:val="auto"/>
          <w:szCs w:val="21"/>
          <w:highlight w:val="none"/>
        </w:rPr>
        <w:t>2.竞争性比选文件</w:t>
      </w:r>
      <w:bookmarkEnd w:id="103"/>
      <w:bookmarkEnd w:id="104"/>
      <w:bookmarkEnd w:id="105"/>
      <w:bookmarkEnd w:id="106"/>
      <w:bookmarkEnd w:id="107"/>
      <w:bookmarkEnd w:id="108"/>
      <w:bookmarkEnd w:id="109"/>
      <w:bookmarkEnd w:id="110"/>
    </w:p>
    <w:p w14:paraId="7F0FA1BF">
      <w:pPr>
        <w:spacing w:line="360" w:lineRule="auto"/>
        <w:ind w:firstLine="422" w:firstLineChars="200"/>
        <w:outlineLvl w:val="2"/>
        <w:rPr>
          <w:rFonts w:hint="eastAsia" w:ascii="宋体" w:hAnsi="宋体" w:cs="宋体"/>
          <w:b/>
          <w:color w:val="auto"/>
          <w:szCs w:val="21"/>
          <w:highlight w:val="none"/>
        </w:rPr>
      </w:pPr>
      <w:bookmarkStart w:id="116" w:name="_Toc430205982"/>
      <w:bookmarkStart w:id="117" w:name="_Toc277082567"/>
      <w:bookmarkStart w:id="118" w:name="_Toc224103332"/>
      <w:bookmarkStart w:id="119" w:name="_Toc32736"/>
      <w:bookmarkStart w:id="120" w:name="_Toc287607761"/>
      <w:bookmarkStart w:id="121" w:name="_Toc68599905"/>
      <w:bookmarkStart w:id="122" w:name="_Toc19838"/>
      <w:bookmarkStart w:id="123" w:name="_Toc326274500"/>
      <w:bookmarkStart w:id="124" w:name="_Toc200513141"/>
      <w:r>
        <w:rPr>
          <w:rFonts w:hint="eastAsia" w:ascii="宋体" w:hAnsi="宋体" w:cs="宋体"/>
          <w:b/>
          <w:color w:val="auto"/>
          <w:szCs w:val="21"/>
          <w:highlight w:val="none"/>
        </w:rPr>
        <w:t>2.1  竞争性比选文件的组成</w:t>
      </w:r>
      <w:bookmarkEnd w:id="116"/>
      <w:bookmarkEnd w:id="117"/>
      <w:bookmarkEnd w:id="118"/>
      <w:bookmarkEnd w:id="119"/>
      <w:bookmarkEnd w:id="120"/>
      <w:bookmarkEnd w:id="121"/>
      <w:bookmarkEnd w:id="122"/>
      <w:bookmarkEnd w:id="123"/>
      <w:bookmarkEnd w:id="124"/>
    </w:p>
    <w:p w14:paraId="7867A5E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本竞争性比选文件包括：</w:t>
      </w:r>
    </w:p>
    <w:p w14:paraId="6344A66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（1）竞争性比选公告；</w:t>
      </w:r>
    </w:p>
    <w:p w14:paraId="6A7B572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（2）比选申请人须知；</w:t>
      </w:r>
    </w:p>
    <w:p w14:paraId="024D60F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（3）评标办法；</w:t>
      </w:r>
    </w:p>
    <w:p w14:paraId="5B57843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（4）合同条款及格式；</w:t>
      </w:r>
    </w:p>
    <w:p w14:paraId="7A07F3A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（5）工程量清单；</w:t>
      </w:r>
    </w:p>
    <w:p w14:paraId="6D81022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（6）图纸；</w:t>
      </w:r>
    </w:p>
    <w:p w14:paraId="01E0B02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（7）技术标准和要求；</w:t>
      </w:r>
    </w:p>
    <w:p w14:paraId="704AE52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（8）比选申请文件格式；</w:t>
      </w:r>
    </w:p>
    <w:p w14:paraId="2006025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（9）比选申请人须知前附表规定的其他材料。</w:t>
      </w:r>
    </w:p>
    <w:p w14:paraId="3F8F6B0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根据本章第1.10款、第2.2款和第2.3款对竞争性比选文件所作的澄清、修改，构成开竞争性比选文件的组成部分。</w:t>
      </w:r>
    </w:p>
    <w:p w14:paraId="5A22B59C">
      <w:pPr>
        <w:spacing w:line="360" w:lineRule="auto"/>
        <w:ind w:firstLine="422" w:firstLineChars="200"/>
        <w:outlineLvl w:val="2"/>
        <w:rPr>
          <w:rFonts w:hint="eastAsia" w:ascii="宋体" w:hAnsi="宋体" w:cs="宋体"/>
          <w:b/>
          <w:color w:val="auto"/>
          <w:szCs w:val="21"/>
          <w:highlight w:val="none"/>
        </w:rPr>
      </w:pPr>
      <w:bookmarkStart w:id="125" w:name="_Toc430205983"/>
      <w:bookmarkStart w:id="126" w:name="_Toc68599906"/>
      <w:bookmarkStart w:id="127" w:name="_Toc200513142"/>
      <w:bookmarkStart w:id="128" w:name="_Toc224103333"/>
      <w:bookmarkStart w:id="129" w:name="_Toc277082568"/>
      <w:bookmarkStart w:id="130" w:name="_Toc5725"/>
      <w:bookmarkStart w:id="131" w:name="_Toc4037"/>
      <w:bookmarkStart w:id="132" w:name="_Toc287607762"/>
      <w:bookmarkStart w:id="133" w:name="_Toc326274501"/>
      <w:r>
        <w:rPr>
          <w:rFonts w:hint="eastAsia" w:ascii="宋体" w:hAnsi="宋体" w:cs="宋体"/>
          <w:b/>
          <w:color w:val="auto"/>
          <w:szCs w:val="21"/>
          <w:highlight w:val="none"/>
        </w:rPr>
        <w:t>2.2 竞争性比选文件的澄清</w:t>
      </w:r>
      <w:bookmarkEnd w:id="125"/>
      <w:bookmarkEnd w:id="126"/>
      <w:bookmarkEnd w:id="127"/>
      <w:bookmarkEnd w:id="128"/>
      <w:bookmarkEnd w:id="129"/>
      <w:bookmarkEnd w:id="130"/>
      <w:bookmarkEnd w:id="131"/>
      <w:bookmarkEnd w:id="132"/>
      <w:bookmarkEnd w:id="133"/>
    </w:p>
    <w:p w14:paraId="689AD7EE">
      <w:pPr>
        <w:spacing w:line="360" w:lineRule="auto"/>
        <w:ind w:firstLine="420" w:firstLineChars="200"/>
        <w:rPr>
          <w:rFonts w:hint="eastAsia" w:ascii="宋体" w:hAnsi="宋体" w:cs="宋体"/>
          <w:color w:val="auto"/>
          <w:szCs w:val="21"/>
          <w:highlight w:val="none"/>
        </w:rPr>
      </w:pPr>
      <w:bookmarkStart w:id="134" w:name="_Toc200513143"/>
      <w:bookmarkStart w:id="135" w:name="_Toc224103334"/>
      <w:bookmarkStart w:id="136" w:name="_Toc287607763"/>
      <w:bookmarkStart w:id="137" w:name="_Toc277082569"/>
      <w:r>
        <w:rPr>
          <w:rFonts w:hint="eastAsia" w:ascii="宋体" w:hAnsi="宋体" w:cs="宋体"/>
          <w:color w:val="auto"/>
          <w:szCs w:val="21"/>
          <w:highlight w:val="none"/>
        </w:rPr>
        <w:t>2.2.1  比选申请人应仔细阅读和检查竞争性比选文件的全部内容。如发现缺页或附件不全，应及时向比选人提出，以便补齐。如有疑问，应在比选申请人须知前附表规定的时间及方式，要求比选人对竞争性比选文件予以澄清。</w:t>
      </w:r>
    </w:p>
    <w:p w14:paraId="5B7B6DE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2.2.2  竞争性比选文件的修改将网上发布给所有比选申请人，竞争性比选文件一经比选人修改，将以修改后的竞争性比选文件为准，对所有比选申请人产生约束力。</w:t>
      </w:r>
    </w:p>
    <w:p w14:paraId="45A9D98B">
      <w:pPr>
        <w:spacing w:line="360" w:lineRule="auto"/>
        <w:ind w:firstLine="422" w:firstLineChars="200"/>
        <w:outlineLvl w:val="2"/>
        <w:rPr>
          <w:rFonts w:hint="eastAsia" w:ascii="宋体" w:hAnsi="宋体" w:cs="宋体"/>
          <w:b/>
          <w:color w:val="auto"/>
          <w:szCs w:val="21"/>
          <w:highlight w:val="none"/>
        </w:rPr>
      </w:pPr>
      <w:bookmarkStart w:id="138" w:name="_Toc26826"/>
      <w:bookmarkStart w:id="139" w:name="_Toc430205984"/>
      <w:bookmarkStart w:id="140" w:name="_Toc326274502"/>
      <w:bookmarkStart w:id="141" w:name="_Toc12790"/>
      <w:bookmarkStart w:id="142" w:name="_Toc68599907"/>
      <w:r>
        <w:rPr>
          <w:rFonts w:hint="eastAsia" w:ascii="宋体" w:hAnsi="宋体" w:cs="宋体"/>
          <w:b/>
          <w:color w:val="auto"/>
          <w:szCs w:val="21"/>
          <w:highlight w:val="none"/>
        </w:rPr>
        <w:t>2.3  竞争性比选文件的修改</w:t>
      </w:r>
      <w:bookmarkEnd w:id="134"/>
      <w:bookmarkEnd w:id="135"/>
      <w:bookmarkEnd w:id="136"/>
      <w:bookmarkEnd w:id="137"/>
      <w:bookmarkEnd w:id="138"/>
      <w:bookmarkEnd w:id="139"/>
      <w:bookmarkEnd w:id="140"/>
      <w:bookmarkEnd w:id="141"/>
      <w:bookmarkEnd w:id="142"/>
    </w:p>
    <w:p w14:paraId="281AFEBB">
      <w:pPr>
        <w:spacing w:line="360" w:lineRule="auto"/>
        <w:ind w:firstLine="420" w:firstLineChars="200"/>
        <w:jc w:val="left"/>
        <w:rPr>
          <w:rFonts w:hint="eastAsia" w:ascii="宋体" w:hAnsi="宋体" w:cs="宋体"/>
          <w:color w:val="auto"/>
          <w:szCs w:val="21"/>
          <w:highlight w:val="none"/>
        </w:rPr>
      </w:pPr>
      <w:bookmarkStart w:id="143" w:name="_Toc326274503"/>
      <w:bookmarkStart w:id="144" w:name="_Toc224103335"/>
      <w:bookmarkStart w:id="145" w:name="_Toc287607764"/>
      <w:bookmarkStart w:id="146" w:name="_Toc277082570"/>
      <w:bookmarkStart w:id="147" w:name="_Toc200513144"/>
      <w:r>
        <w:rPr>
          <w:rFonts w:hint="eastAsia" w:ascii="宋体" w:hAnsi="宋体" w:cs="宋体"/>
          <w:color w:val="auto"/>
          <w:szCs w:val="21"/>
          <w:highlight w:val="none"/>
        </w:rPr>
        <w:t>2.3.1在比选申请人须知前附表规定的时间</w:t>
      </w:r>
      <w:r>
        <w:rPr>
          <w:rFonts w:hint="eastAsia" w:ascii="宋体" w:hAnsi="宋体" w:cs="宋体"/>
          <w:color w:val="auto"/>
          <w:szCs w:val="21"/>
          <w:highlight w:val="none"/>
          <w:lang w:val="en-US" w:eastAsia="zh-CN"/>
        </w:rPr>
        <w:t>和方式</w:t>
      </w:r>
      <w:r>
        <w:rPr>
          <w:rFonts w:hint="eastAsia" w:ascii="宋体" w:hAnsi="宋体" w:cs="宋体"/>
          <w:color w:val="auto"/>
          <w:szCs w:val="21"/>
          <w:highlight w:val="none"/>
        </w:rPr>
        <w:t>通知各比选申请人；</w:t>
      </w:r>
    </w:p>
    <w:p w14:paraId="3433B840">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2.3.2竞争性比选文件的修改将网上发布给所有比选申请人，竞争性比选文件一经比选人修改，将以修改后的竞争性比选文件为准，对所有比选申请人产生约束力。</w:t>
      </w:r>
    </w:p>
    <w:p w14:paraId="6BBDEDA0">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2.3.3当竞争性比选文件、澄清、修改内容相互矛盾时，以最后发出的通知或修改文件为准；电话或口头咨询和答复的意思解释均不具有法律约束力。</w:t>
      </w:r>
    </w:p>
    <w:p w14:paraId="15E48AD5">
      <w:pPr>
        <w:spacing w:line="360" w:lineRule="auto"/>
        <w:outlineLvl w:val="1"/>
        <w:rPr>
          <w:rFonts w:hint="eastAsia" w:ascii="宋体" w:hAnsi="宋体" w:cs="宋体"/>
          <w:b/>
          <w:color w:val="auto"/>
          <w:szCs w:val="21"/>
          <w:highlight w:val="none"/>
        </w:rPr>
      </w:pPr>
      <w:bookmarkStart w:id="148" w:name="_Toc12056"/>
      <w:bookmarkStart w:id="149" w:name="_Toc14629"/>
      <w:bookmarkStart w:id="150" w:name="_Toc430205985"/>
      <w:bookmarkStart w:id="151" w:name="_Toc27392"/>
      <w:bookmarkStart w:id="152" w:name="_Toc527617469"/>
      <w:bookmarkStart w:id="153" w:name="_Toc25492"/>
      <w:bookmarkStart w:id="154" w:name="_Toc68599908"/>
      <w:bookmarkStart w:id="155" w:name="_Toc15925"/>
      <w:r>
        <w:rPr>
          <w:rFonts w:hint="eastAsia" w:ascii="宋体" w:hAnsi="宋体" w:cs="宋体"/>
          <w:b/>
          <w:color w:val="auto"/>
          <w:szCs w:val="21"/>
          <w:highlight w:val="none"/>
        </w:rPr>
        <w:t>3</w:t>
      </w:r>
      <w:bookmarkEnd w:id="143"/>
      <w:bookmarkEnd w:id="144"/>
      <w:bookmarkEnd w:id="145"/>
      <w:bookmarkEnd w:id="146"/>
      <w:bookmarkEnd w:id="147"/>
      <w:bookmarkEnd w:id="148"/>
      <w:bookmarkEnd w:id="149"/>
      <w:bookmarkEnd w:id="150"/>
      <w:bookmarkEnd w:id="151"/>
      <w:bookmarkEnd w:id="152"/>
      <w:bookmarkEnd w:id="153"/>
      <w:r>
        <w:rPr>
          <w:rFonts w:hint="eastAsia" w:ascii="宋体" w:hAnsi="宋体" w:cs="宋体"/>
          <w:b/>
          <w:color w:val="auto"/>
          <w:szCs w:val="21"/>
          <w:highlight w:val="none"/>
        </w:rPr>
        <w:t>.比选申请文件</w:t>
      </w:r>
      <w:bookmarkEnd w:id="154"/>
      <w:bookmarkEnd w:id="155"/>
    </w:p>
    <w:p w14:paraId="33D79BB1">
      <w:pPr>
        <w:spacing w:line="360" w:lineRule="auto"/>
        <w:ind w:firstLine="422" w:firstLineChars="200"/>
        <w:outlineLvl w:val="2"/>
        <w:rPr>
          <w:rFonts w:hint="eastAsia" w:ascii="宋体" w:hAnsi="宋体" w:cs="宋体"/>
          <w:b/>
          <w:color w:val="auto"/>
          <w:szCs w:val="21"/>
          <w:highlight w:val="none"/>
        </w:rPr>
      </w:pPr>
      <w:bookmarkStart w:id="156" w:name="_Toc326274504"/>
      <w:bookmarkStart w:id="157" w:name="_Toc277082571"/>
      <w:bookmarkStart w:id="158" w:name="_Toc68599909"/>
      <w:bookmarkStart w:id="159" w:name="_Toc224103336"/>
      <w:bookmarkStart w:id="160" w:name="_Toc200513145"/>
      <w:bookmarkStart w:id="161" w:name="_Toc18353"/>
      <w:bookmarkStart w:id="162" w:name="_Toc5474"/>
      <w:bookmarkStart w:id="163" w:name="_Toc287607765"/>
      <w:bookmarkStart w:id="164" w:name="_Toc430205986"/>
      <w:r>
        <w:rPr>
          <w:rFonts w:hint="eastAsia" w:ascii="宋体" w:hAnsi="宋体" w:cs="宋体"/>
          <w:b/>
          <w:color w:val="auto"/>
          <w:szCs w:val="21"/>
          <w:highlight w:val="none"/>
        </w:rPr>
        <w:t>3.1  比选申请文件的组成</w:t>
      </w:r>
      <w:bookmarkEnd w:id="156"/>
      <w:bookmarkEnd w:id="157"/>
      <w:bookmarkEnd w:id="158"/>
      <w:bookmarkEnd w:id="159"/>
      <w:bookmarkEnd w:id="160"/>
      <w:bookmarkEnd w:id="161"/>
      <w:bookmarkEnd w:id="162"/>
      <w:bookmarkEnd w:id="163"/>
      <w:bookmarkEnd w:id="164"/>
    </w:p>
    <w:p w14:paraId="35B29F1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比选申请文件应包括下列内容：</w:t>
      </w:r>
      <w:bookmarkStart w:id="165" w:name="_Toc287607766"/>
      <w:bookmarkStart w:id="166" w:name="_Toc8470"/>
      <w:bookmarkStart w:id="167" w:name="_Toc326274505"/>
      <w:bookmarkStart w:id="168" w:name="_Toc430205987"/>
      <w:bookmarkStart w:id="169" w:name="_Toc277082572"/>
      <w:bookmarkStart w:id="170" w:name="_Toc200513146"/>
      <w:bookmarkStart w:id="171" w:name="_Toc224103337"/>
    </w:p>
    <w:p w14:paraId="5747DBDD">
      <w:pPr>
        <w:spacing w:line="360" w:lineRule="auto"/>
        <w:ind w:firstLine="420" w:firstLineChars="200"/>
        <w:rPr>
          <w:rFonts w:hint="eastAsia" w:ascii="宋体" w:hAnsi="宋体" w:eastAsia="宋体" w:cs="宋体"/>
          <w:color w:val="auto"/>
          <w:szCs w:val="21"/>
          <w:highlight w:val="none"/>
        </w:rPr>
      </w:pPr>
      <w:bookmarkStart w:id="172" w:name="_Toc68599910"/>
      <w:bookmarkStart w:id="173" w:name="_Toc26273"/>
      <w:r>
        <w:rPr>
          <w:rFonts w:hint="eastAsia" w:ascii="宋体" w:hAnsi="宋体" w:eastAsia="宋体" w:cs="宋体"/>
          <w:color w:val="auto"/>
          <w:szCs w:val="21"/>
          <w:highlight w:val="none"/>
        </w:rPr>
        <w:t>一、比选申请函部分</w:t>
      </w:r>
    </w:p>
    <w:p w14:paraId="35A3DDB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（一）比选申请函</w:t>
      </w:r>
    </w:p>
    <w:p w14:paraId="4BF21F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（二）法定代表人身份证明及授权委托书</w:t>
      </w:r>
    </w:p>
    <w:p w14:paraId="66E4E8BE">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lang w:eastAsia="zh-CN"/>
        </w:rPr>
        <w:t>）低价风险担保提交承诺书（如有）</w:t>
      </w:r>
    </w:p>
    <w:p w14:paraId="14E6494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r>
        <w:rPr>
          <w:rFonts w:hint="eastAsia" w:ascii="宋体" w:hAnsi="宋体" w:eastAsia="宋体" w:cs="宋体"/>
          <w:color w:val="auto"/>
          <w:szCs w:val="21"/>
          <w:highlight w:val="none"/>
          <w:lang w:eastAsia="zh-CN"/>
        </w:rPr>
        <w:t>经济</w:t>
      </w:r>
      <w:r>
        <w:rPr>
          <w:rFonts w:hint="eastAsia" w:ascii="宋体" w:hAnsi="宋体" w:eastAsia="宋体" w:cs="宋体"/>
          <w:color w:val="auto"/>
          <w:szCs w:val="21"/>
          <w:highlight w:val="none"/>
        </w:rPr>
        <w:t>部分</w:t>
      </w:r>
    </w:p>
    <w:p w14:paraId="79EB25F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已标价工程量清单</w:t>
      </w:r>
    </w:p>
    <w:p w14:paraId="6A0F04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rPr>
        <w:t>、资格审查资料</w:t>
      </w:r>
    </w:p>
    <w:p w14:paraId="183EBFD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（一）法定代表人身份证明及授权委托书</w:t>
      </w:r>
    </w:p>
    <w:p w14:paraId="6D1DD9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（二）比选申请人基本情况表</w:t>
      </w:r>
    </w:p>
    <w:p w14:paraId="1A06534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（三）承诺</w:t>
      </w:r>
    </w:p>
    <w:p w14:paraId="0E25EC7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）其他资料</w:t>
      </w:r>
    </w:p>
    <w:p w14:paraId="7B1DF365">
      <w:pPr>
        <w:spacing w:line="360" w:lineRule="auto"/>
        <w:ind w:firstLine="422" w:firstLineChars="200"/>
        <w:outlineLvl w:val="2"/>
        <w:rPr>
          <w:rFonts w:hint="eastAsia" w:ascii="宋体" w:hAnsi="宋体" w:cs="宋体"/>
          <w:b/>
          <w:color w:val="auto"/>
          <w:szCs w:val="21"/>
          <w:highlight w:val="none"/>
        </w:rPr>
      </w:pPr>
      <w:r>
        <w:rPr>
          <w:rFonts w:hint="eastAsia" w:ascii="宋体" w:hAnsi="宋体" w:cs="宋体"/>
          <w:b/>
          <w:color w:val="auto"/>
          <w:szCs w:val="21"/>
          <w:highlight w:val="none"/>
        </w:rPr>
        <w:t xml:space="preserve">3.2  </w:t>
      </w:r>
      <w:bookmarkEnd w:id="165"/>
      <w:bookmarkEnd w:id="166"/>
      <w:bookmarkEnd w:id="167"/>
      <w:bookmarkEnd w:id="168"/>
      <w:bookmarkEnd w:id="169"/>
      <w:bookmarkEnd w:id="170"/>
      <w:bookmarkEnd w:id="171"/>
      <w:r>
        <w:rPr>
          <w:rFonts w:hint="eastAsia" w:ascii="宋体" w:hAnsi="宋体" w:cs="宋体"/>
          <w:b/>
          <w:color w:val="auto"/>
          <w:szCs w:val="21"/>
          <w:highlight w:val="none"/>
        </w:rPr>
        <w:t>比选申请报价</w:t>
      </w:r>
      <w:bookmarkEnd w:id="172"/>
      <w:bookmarkEnd w:id="173"/>
    </w:p>
    <w:p w14:paraId="28A7FF95">
      <w:pPr>
        <w:spacing w:line="360" w:lineRule="auto"/>
        <w:ind w:firstLine="420" w:firstLineChars="200"/>
        <w:rPr>
          <w:rFonts w:hint="eastAsia" w:ascii="宋体" w:hAnsi="宋体" w:cs="宋体"/>
          <w:color w:val="auto"/>
          <w:szCs w:val="21"/>
          <w:highlight w:val="none"/>
        </w:rPr>
      </w:pPr>
      <w:bookmarkStart w:id="174" w:name="_Toc200513147"/>
      <w:bookmarkStart w:id="175" w:name="_Toc224103338"/>
      <w:bookmarkStart w:id="176" w:name="_Toc287607767"/>
      <w:bookmarkStart w:id="177" w:name="_Toc277082573"/>
      <w:r>
        <w:rPr>
          <w:rFonts w:hint="eastAsia" w:ascii="宋体" w:hAnsi="宋体" w:cs="宋体"/>
          <w:color w:val="auto"/>
          <w:szCs w:val="21"/>
          <w:highlight w:val="none"/>
        </w:rPr>
        <w:t>详见比选申请人须知前附表。</w:t>
      </w:r>
    </w:p>
    <w:p w14:paraId="126CF6DF">
      <w:pPr>
        <w:spacing w:line="360" w:lineRule="auto"/>
        <w:ind w:firstLine="422" w:firstLineChars="200"/>
        <w:outlineLvl w:val="2"/>
        <w:rPr>
          <w:rFonts w:hint="eastAsia" w:ascii="宋体" w:hAnsi="宋体" w:cs="宋体"/>
          <w:b/>
          <w:color w:val="auto"/>
          <w:szCs w:val="21"/>
          <w:highlight w:val="none"/>
        </w:rPr>
      </w:pPr>
      <w:bookmarkStart w:id="178" w:name="_Toc326274506"/>
      <w:bookmarkStart w:id="179" w:name="_Toc16509"/>
      <w:bookmarkStart w:id="180" w:name="_Toc17333"/>
      <w:bookmarkStart w:id="181" w:name="_Toc430205988"/>
      <w:bookmarkStart w:id="182" w:name="_Toc68599911"/>
      <w:r>
        <w:rPr>
          <w:rFonts w:hint="eastAsia" w:ascii="宋体" w:hAnsi="宋体" w:cs="宋体"/>
          <w:b/>
          <w:color w:val="auto"/>
          <w:szCs w:val="21"/>
          <w:highlight w:val="none"/>
        </w:rPr>
        <w:t>3.3  比选申请有效期</w:t>
      </w:r>
      <w:bookmarkEnd w:id="174"/>
      <w:bookmarkEnd w:id="175"/>
      <w:bookmarkEnd w:id="176"/>
      <w:bookmarkEnd w:id="177"/>
      <w:bookmarkEnd w:id="178"/>
      <w:bookmarkEnd w:id="179"/>
      <w:bookmarkEnd w:id="180"/>
      <w:bookmarkEnd w:id="181"/>
      <w:bookmarkEnd w:id="182"/>
    </w:p>
    <w:p w14:paraId="0C9747B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3.3.1  在比选申请人须知前附表规定的比选申请有效期内，比选申请人不得要求撤销或修改其比选申请文件。</w:t>
      </w:r>
    </w:p>
    <w:p w14:paraId="43ACC24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3.3.2  出现特殊情况需要延长比选申请有效期的，比选人以书面形式通知所有比选申请人延长比选申请有效期。比选申请人同意延长的，应相应延长其比选申请保证金的有效期，但不得要求或被允许修改或撤销其比选申请文件；比选申请人拒绝延长的，其比选申请失效，但比选申请人有权收回其比选申请保证金。</w:t>
      </w:r>
    </w:p>
    <w:p w14:paraId="4AB0CBFA">
      <w:pPr>
        <w:spacing w:line="360" w:lineRule="auto"/>
        <w:ind w:firstLine="422" w:firstLineChars="200"/>
        <w:outlineLvl w:val="2"/>
        <w:rPr>
          <w:rFonts w:hint="eastAsia" w:ascii="宋体" w:hAnsi="宋体" w:cs="宋体"/>
          <w:b/>
          <w:color w:val="auto"/>
          <w:szCs w:val="21"/>
          <w:highlight w:val="none"/>
        </w:rPr>
      </w:pPr>
      <w:bookmarkStart w:id="183" w:name="_Toc277082574"/>
      <w:bookmarkStart w:id="184" w:name="_Toc287607768"/>
      <w:bookmarkStart w:id="185" w:name="_Toc224103339"/>
      <w:bookmarkStart w:id="186" w:name="_Toc68599912"/>
      <w:bookmarkStart w:id="187" w:name="_Toc430205989"/>
      <w:bookmarkStart w:id="188" w:name="_Toc18006"/>
      <w:bookmarkStart w:id="189" w:name="_Toc200513148"/>
      <w:bookmarkStart w:id="190" w:name="_Toc26082"/>
      <w:bookmarkStart w:id="191" w:name="_Toc326274507"/>
      <w:r>
        <w:rPr>
          <w:rFonts w:hint="eastAsia" w:ascii="宋体" w:hAnsi="宋体" w:cs="宋体"/>
          <w:b/>
          <w:color w:val="auto"/>
          <w:szCs w:val="21"/>
          <w:highlight w:val="none"/>
        </w:rPr>
        <w:t xml:space="preserve">3.4  </w:t>
      </w:r>
      <w:r>
        <w:rPr>
          <w:rFonts w:hint="eastAsia" w:ascii="宋体" w:hAnsi="宋体" w:cs="宋体"/>
          <w:b/>
          <w:bCs/>
          <w:color w:val="auto"/>
          <w:szCs w:val="21"/>
          <w:highlight w:val="none"/>
        </w:rPr>
        <w:t>比选申请</w:t>
      </w:r>
      <w:r>
        <w:rPr>
          <w:rFonts w:hint="eastAsia" w:ascii="宋体" w:hAnsi="宋体" w:cs="宋体"/>
          <w:b/>
          <w:color w:val="auto"/>
          <w:szCs w:val="21"/>
          <w:highlight w:val="none"/>
        </w:rPr>
        <w:t>保证金</w:t>
      </w:r>
      <w:bookmarkEnd w:id="183"/>
      <w:bookmarkEnd w:id="184"/>
      <w:bookmarkEnd w:id="185"/>
      <w:bookmarkEnd w:id="186"/>
      <w:bookmarkEnd w:id="187"/>
      <w:bookmarkEnd w:id="188"/>
      <w:bookmarkEnd w:id="189"/>
      <w:bookmarkEnd w:id="190"/>
      <w:bookmarkEnd w:id="191"/>
    </w:p>
    <w:p w14:paraId="1CDAAA2B">
      <w:pPr>
        <w:spacing w:line="360" w:lineRule="auto"/>
        <w:ind w:firstLine="420" w:firstLineChars="200"/>
        <w:rPr>
          <w:rFonts w:hint="eastAsia" w:ascii="宋体" w:hAnsi="宋体" w:cs="宋体"/>
          <w:color w:val="auto"/>
          <w:szCs w:val="21"/>
          <w:highlight w:val="none"/>
        </w:rPr>
      </w:pPr>
      <w:bookmarkStart w:id="192" w:name="_Toc277082576"/>
      <w:bookmarkStart w:id="193" w:name="_Toc68599913"/>
      <w:bookmarkStart w:id="194" w:name="_Toc200513150"/>
      <w:bookmarkStart w:id="195" w:name="_Toc287607770"/>
      <w:bookmarkStart w:id="196" w:name="_Toc3048"/>
      <w:bookmarkStart w:id="197" w:name="_Toc28980"/>
      <w:bookmarkStart w:id="198" w:name="_Toc430205990"/>
      <w:bookmarkStart w:id="199" w:name="_Toc326274508"/>
      <w:bookmarkStart w:id="200" w:name="_Toc224103341"/>
      <w:r>
        <w:rPr>
          <w:rFonts w:hint="eastAsia" w:ascii="宋体" w:hAnsi="宋体" w:cs="宋体"/>
          <w:color w:val="auto"/>
          <w:szCs w:val="21"/>
          <w:highlight w:val="none"/>
        </w:rPr>
        <w:t>见比选申请人须知前附表。</w:t>
      </w:r>
    </w:p>
    <w:p w14:paraId="1B71E298">
      <w:pPr>
        <w:spacing w:line="360" w:lineRule="auto"/>
        <w:ind w:firstLine="422" w:firstLineChars="200"/>
        <w:outlineLvl w:val="2"/>
        <w:rPr>
          <w:rFonts w:hint="eastAsia" w:ascii="宋体" w:hAnsi="宋体" w:cs="宋体"/>
          <w:b/>
          <w:color w:val="auto"/>
          <w:szCs w:val="21"/>
          <w:highlight w:val="none"/>
        </w:rPr>
      </w:pPr>
      <w:r>
        <w:rPr>
          <w:rFonts w:hint="eastAsia" w:ascii="宋体" w:hAnsi="宋体" w:cs="宋体"/>
          <w:b/>
          <w:color w:val="auto"/>
          <w:szCs w:val="21"/>
          <w:highlight w:val="none"/>
        </w:rPr>
        <w:t>3.5  资格审查资料</w:t>
      </w:r>
      <w:bookmarkEnd w:id="192"/>
      <w:bookmarkEnd w:id="193"/>
      <w:bookmarkEnd w:id="194"/>
      <w:bookmarkEnd w:id="195"/>
      <w:bookmarkEnd w:id="196"/>
      <w:bookmarkEnd w:id="197"/>
      <w:bookmarkEnd w:id="198"/>
      <w:bookmarkEnd w:id="199"/>
      <w:bookmarkEnd w:id="200"/>
    </w:p>
    <w:p w14:paraId="6AE07FC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见比选申请人须知前附表1.4.1项。</w:t>
      </w:r>
    </w:p>
    <w:p w14:paraId="2420B5F2">
      <w:pPr>
        <w:spacing w:line="360" w:lineRule="auto"/>
        <w:ind w:firstLine="422" w:firstLineChars="200"/>
        <w:outlineLvl w:val="2"/>
        <w:rPr>
          <w:rFonts w:hint="eastAsia" w:ascii="宋体" w:hAnsi="宋体" w:cs="宋体"/>
          <w:b/>
          <w:color w:val="auto"/>
          <w:szCs w:val="21"/>
          <w:highlight w:val="none"/>
        </w:rPr>
      </w:pPr>
      <w:bookmarkStart w:id="201" w:name="_Toc277082577"/>
      <w:bookmarkStart w:id="202" w:name="_Toc200513151"/>
      <w:bookmarkStart w:id="203" w:name="_Toc224103342"/>
      <w:bookmarkStart w:id="204" w:name="_Toc326274509"/>
      <w:bookmarkStart w:id="205" w:name="_Toc287607771"/>
      <w:bookmarkStart w:id="206" w:name="_Toc68599914"/>
      <w:bookmarkStart w:id="207" w:name="_Toc27652"/>
      <w:bookmarkStart w:id="208" w:name="_Toc430205991"/>
      <w:bookmarkStart w:id="209" w:name="_Toc24429"/>
      <w:r>
        <w:rPr>
          <w:rFonts w:hint="eastAsia" w:ascii="宋体" w:hAnsi="宋体" w:cs="宋体"/>
          <w:b/>
          <w:color w:val="auto"/>
          <w:szCs w:val="21"/>
          <w:highlight w:val="none"/>
        </w:rPr>
        <w:t>3.6  备选比选申请方案</w:t>
      </w:r>
      <w:bookmarkEnd w:id="201"/>
      <w:bookmarkEnd w:id="202"/>
      <w:bookmarkEnd w:id="203"/>
      <w:bookmarkEnd w:id="204"/>
      <w:bookmarkEnd w:id="205"/>
      <w:bookmarkEnd w:id="206"/>
      <w:bookmarkEnd w:id="207"/>
      <w:bookmarkEnd w:id="208"/>
      <w:bookmarkEnd w:id="209"/>
    </w:p>
    <w:p w14:paraId="2E54F3B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除比选申请人须知前附表另有规定外，比选申请人不得递交备选比选申请方案。允许比选申请人递交备选比选申请方案的，只有中选人所递交的备选比选申请方案方可予以考虑。评审委员会认为中选人的备选比选申请方案优于其按照竞争性比选文件要求编制的比选申请方案的，比选人可以接受该备选比选申请方案。</w:t>
      </w:r>
    </w:p>
    <w:p w14:paraId="42849084">
      <w:pPr>
        <w:spacing w:line="360" w:lineRule="auto"/>
        <w:ind w:firstLine="422" w:firstLineChars="200"/>
        <w:outlineLvl w:val="2"/>
        <w:rPr>
          <w:rFonts w:hint="eastAsia" w:ascii="宋体" w:hAnsi="宋体" w:cs="宋体"/>
          <w:b/>
          <w:color w:val="auto"/>
          <w:szCs w:val="21"/>
          <w:highlight w:val="none"/>
        </w:rPr>
      </w:pPr>
      <w:bookmarkStart w:id="210" w:name="_Toc287607772"/>
      <w:bookmarkStart w:id="211" w:name="_Toc326274510"/>
      <w:bookmarkStart w:id="212" w:name="_Toc200513152"/>
      <w:bookmarkStart w:id="213" w:name="_Toc224103343"/>
      <w:bookmarkStart w:id="214" w:name="_Toc68599915"/>
      <w:bookmarkStart w:id="215" w:name="_Toc7209"/>
      <w:bookmarkStart w:id="216" w:name="_Toc430205992"/>
      <w:bookmarkStart w:id="217" w:name="_Toc277082578"/>
      <w:bookmarkStart w:id="218" w:name="_Toc11688"/>
      <w:r>
        <w:rPr>
          <w:rFonts w:hint="eastAsia" w:ascii="宋体" w:hAnsi="宋体" w:cs="宋体"/>
          <w:b/>
          <w:color w:val="auto"/>
          <w:szCs w:val="21"/>
          <w:highlight w:val="none"/>
        </w:rPr>
        <w:t>3.7  比选申请文件的编制</w:t>
      </w:r>
      <w:bookmarkEnd w:id="210"/>
      <w:bookmarkEnd w:id="211"/>
      <w:bookmarkEnd w:id="212"/>
      <w:bookmarkEnd w:id="213"/>
      <w:bookmarkEnd w:id="214"/>
      <w:bookmarkEnd w:id="215"/>
      <w:bookmarkEnd w:id="216"/>
      <w:bookmarkEnd w:id="217"/>
      <w:bookmarkEnd w:id="218"/>
    </w:p>
    <w:p w14:paraId="25E1C95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3.7.1  比选申请文件应按第八章“比选申请文件格式”进行编写，如有必要，可以增加附页，作为比选申请文件的组成部分。</w:t>
      </w:r>
    </w:p>
    <w:p w14:paraId="672BE81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3.7.2  比选申请文件应当对比选申请文件有关工期、比选申请有效期、质量要求、技术标准和要求、比选范围等实质性内容做出响应。</w:t>
      </w:r>
    </w:p>
    <w:p w14:paraId="1BF3260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3.7.3  比选申请文件应用不褪色的材料书写或打印，比选申请文件中授权委托书须由法定代表人签字或盖章，比选申请文件应尽量避免涂改、行间插字或删除，如果出现上述情况，改动之处应加盖比选申请单位法人章或由比选申请人的法定代表人或其授权的代理人签字确认。签字或盖章的具体要求见比选申请人须知前附表。</w:t>
      </w:r>
    </w:p>
    <w:p w14:paraId="4C8D64D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3.7.4  比选申请文件正本和副本的封面上应清楚地标记“正本”或“副本”的字样，正本和副本封面均须加盖比选申请单位法人章。当副本和正本不一致时，以正本为准。</w:t>
      </w:r>
    </w:p>
    <w:p w14:paraId="7C5DD74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3.7.5  比选申请文件的正本与副本应分别装订成册，并编制目录，具体装订要求见比选申请人须知前附表规定。</w:t>
      </w:r>
    </w:p>
    <w:p w14:paraId="5F65B0A3">
      <w:pPr>
        <w:spacing w:line="360" w:lineRule="auto"/>
        <w:outlineLvl w:val="1"/>
        <w:rPr>
          <w:rFonts w:hint="eastAsia" w:ascii="宋体" w:hAnsi="宋体" w:cs="宋体"/>
          <w:b/>
          <w:color w:val="auto"/>
          <w:szCs w:val="21"/>
          <w:highlight w:val="none"/>
        </w:rPr>
      </w:pPr>
      <w:bookmarkStart w:id="219" w:name="_Toc9602"/>
      <w:bookmarkStart w:id="220" w:name="_Toc5585"/>
      <w:bookmarkStart w:id="221" w:name="_Toc527617470"/>
      <w:bookmarkStart w:id="222" w:name="_Toc200513153"/>
      <w:bookmarkStart w:id="223" w:name="_Toc326274511"/>
      <w:bookmarkStart w:id="224" w:name="_Toc13346"/>
      <w:bookmarkStart w:id="225" w:name="_Toc277082579"/>
      <w:bookmarkStart w:id="226" w:name="_Toc25657"/>
      <w:bookmarkStart w:id="227" w:name="_Toc224103344"/>
      <w:bookmarkStart w:id="228" w:name="_Toc287607773"/>
      <w:bookmarkStart w:id="229" w:name="_Toc430205993"/>
      <w:bookmarkStart w:id="230" w:name="_Toc26603"/>
      <w:bookmarkStart w:id="231" w:name="_Toc68599916"/>
      <w:r>
        <w:rPr>
          <w:rFonts w:hint="eastAsia" w:ascii="宋体" w:hAnsi="宋体" w:cs="宋体"/>
          <w:b/>
          <w:color w:val="auto"/>
          <w:szCs w:val="21"/>
          <w:highlight w:val="none"/>
        </w:rPr>
        <w:t>4</w:t>
      </w:r>
      <w:bookmarkEnd w:id="219"/>
      <w:bookmarkEnd w:id="220"/>
      <w:bookmarkEnd w:id="221"/>
      <w:bookmarkEnd w:id="222"/>
      <w:bookmarkEnd w:id="223"/>
      <w:bookmarkEnd w:id="224"/>
      <w:bookmarkEnd w:id="225"/>
      <w:bookmarkEnd w:id="226"/>
      <w:bookmarkEnd w:id="227"/>
      <w:bookmarkEnd w:id="228"/>
      <w:bookmarkEnd w:id="229"/>
      <w:r>
        <w:rPr>
          <w:rFonts w:hint="eastAsia" w:ascii="宋体" w:hAnsi="宋体" w:cs="宋体"/>
          <w:b/>
          <w:color w:val="auto"/>
          <w:szCs w:val="21"/>
          <w:highlight w:val="none"/>
        </w:rPr>
        <w:t>.比选申请</w:t>
      </w:r>
      <w:bookmarkEnd w:id="230"/>
      <w:bookmarkEnd w:id="231"/>
    </w:p>
    <w:p w14:paraId="67F3F30D">
      <w:pPr>
        <w:spacing w:line="360" w:lineRule="auto"/>
        <w:ind w:firstLine="422" w:firstLineChars="200"/>
        <w:outlineLvl w:val="2"/>
        <w:rPr>
          <w:rFonts w:hint="eastAsia" w:ascii="宋体" w:hAnsi="宋体" w:cs="宋体"/>
          <w:b/>
          <w:color w:val="auto"/>
          <w:szCs w:val="21"/>
          <w:highlight w:val="none"/>
        </w:rPr>
      </w:pPr>
      <w:bookmarkStart w:id="232" w:name="_Toc8083"/>
      <w:bookmarkStart w:id="233" w:name="_Toc326274512"/>
      <w:bookmarkStart w:id="234" w:name="_Toc30257"/>
      <w:bookmarkStart w:id="235" w:name="_Toc200513154"/>
      <w:bookmarkStart w:id="236" w:name="_Toc277082580"/>
      <w:bookmarkStart w:id="237" w:name="_Toc224103345"/>
      <w:bookmarkStart w:id="238" w:name="_Toc430205994"/>
      <w:bookmarkStart w:id="239" w:name="_Toc68599917"/>
      <w:bookmarkStart w:id="240" w:name="_Toc287607774"/>
      <w:r>
        <w:rPr>
          <w:rFonts w:hint="eastAsia" w:ascii="宋体" w:hAnsi="宋体" w:cs="宋体"/>
          <w:b/>
          <w:color w:val="auto"/>
          <w:szCs w:val="21"/>
          <w:highlight w:val="none"/>
        </w:rPr>
        <w:t>4.1  比选申请文件的密封和标记</w:t>
      </w:r>
      <w:bookmarkEnd w:id="232"/>
      <w:bookmarkEnd w:id="233"/>
      <w:bookmarkEnd w:id="234"/>
      <w:bookmarkEnd w:id="235"/>
      <w:bookmarkEnd w:id="236"/>
      <w:bookmarkEnd w:id="237"/>
      <w:bookmarkEnd w:id="238"/>
      <w:bookmarkEnd w:id="239"/>
      <w:bookmarkEnd w:id="240"/>
    </w:p>
    <w:p w14:paraId="2C51C459">
      <w:pPr>
        <w:spacing w:line="360" w:lineRule="auto"/>
        <w:ind w:firstLine="420" w:firstLineChars="200"/>
        <w:rPr>
          <w:rFonts w:hint="eastAsia" w:ascii="宋体" w:hAnsi="宋体" w:cs="宋体"/>
          <w:color w:val="auto"/>
          <w:szCs w:val="21"/>
          <w:highlight w:val="none"/>
        </w:rPr>
      </w:pPr>
      <w:bookmarkStart w:id="241" w:name="_Toc326274513"/>
      <w:bookmarkStart w:id="242" w:name="_Toc277082581"/>
      <w:bookmarkStart w:id="243" w:name="_Toc224103346"/>
      <w:bookmarkStart w:id="244" w:name="_Toc287607775"/>
      <w:bookmarkStart w:id="245" w:name="_Toc200513155"/>
      <w:r>
        <w:rPr>
          <w:rFonts w:hint="eastAsia" w:ascii="宋体" w:hAnsi="宋体" w:cs="宋体"/>
          <w:color w:val="auto"/>
          <w:szCs w:val="21"/>
          <w:highlight w:val="none"/>
        </w:rPr>
        <w:t>4.1.1  比选申请文件的正本与副本密封见比选申请人须知前附表。</w:t>
      </w:r>
    </w:p>
    <w:p w14:paraId="68FB787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4.1.2  比选申请文件的封套上应写明的内容见比选申请人须知前附表。</w:t>
      </w:r>
    </w:p>
    <w:p w14:paraId="03C1328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4.1.3  未按本章第 4.1.1 项或第 4.1.2 项要求密封和加写标记的比选申请文件，比选人不予受理。</w:t>
      </w:r>
    </w:p>
    <w:p w14:paraId="39372181">
      <w:pPr>
        <w:spacing w:line="360" w:lineRule="auto"/>
        <w:ind w:firstLine="422" w:firstLineChars="200"/>
        <w:outlineLvl w:val="2"/>
        <w:rPr>
          <w:rFonts w:hint="eastAsia" w:ascii="宋体" w:hAnsi="宋体" w:cs="宋体"/>
          <w:b/>
          <w:color w:val="auto"/>
          <w:szCs w:val="21"/>
          <w:highlight w:val="none"/>
        </w:rPr>
      </w:pPr>
      <w:bookmarkStart w:id="246" w:name="_Toc20592"/>
      <w:bookmarkStart w:id="247" w:name="_Toc68599918"/>
      <w:bookmarkStart w:id="248" w:name="_Toc1200"/>
      <w:bookmarkStart w:id="249" w:name="_Toc430205995"/>
      <w:r>
        <w:rPr>
          <w:rFonts w:hint="eastAsia" w:ascii="宋体" w:hAnsi="宋体" w:cs="宋体"/>
          <w:b/>
          <w:color w:val="auto"/>
          <w:szCs w:val="21"/>
          <w:highlight w:val="none"/>
        </w:rPr>
        <w:t>4.2  比选申请文件的递交</w:t>
      </w:r>
      <w:bookmarkEnd w:id="241"/>
      <w:bookmarkEnd w:id="242"/>
      <w:bookmarkEnd w:id="243"/>
      <w:bookmarkEnd w:id="244"/>
      <w:bookmarkEnd w:id="245"/>
      <w:bookmarkEnd w:id="246"/>
      <w:bookmarkEnd w:id="247"/>
      <w:bookmarkEnd w:id="248"/>
      <w:bookmarkEnd w:id="249"/>
    </w:p>
    <w:p w14:paraId="3D69DFC5">
      <w:pPr>
        <w:spacing w:line="360" w:lineRule="auto"/>
        <w:ind w:firstLine="420" w:firstLineChars="200"/>
        <w:rPr>
          <w:rFonts w:hint="eastAsia" w:ascii="宋体" w:hAnsi="宋体" w:cs="宋体"/>
          <w:color w:val="auto"/>
          <w:szCs w:val="21"/>
          <w:highlight w:val="none"/>
        </w:rPr>
      </w:pPr>
      <w:bookmarkStart w:id="250" w:name="_Toc277082582"/>
      <w:bookmarkStart w:id="251" w:name="_Toc287607776"/>
      <w:bookmarkStart w:id="252" w:name="_Toc200513156"/>
      <w:bookmarkStart w:id="253" w:name="_Toc224103347"/>
      <w:bookmarkStart w:id="254" w:name="_Toc326274514"/>
      <w:r>
        <w:rPr>
          <w:rFonts w:hint="eastAsia" w:ascii="宋体" w:hAnsi="宋体" w:cs="宋体"/>
          <w:color w:val="auto"/>
          <w:szCs w:val="21"/>
          <w:highlight w:val="none"/>
        </w:rPr>
        <w:t>4.2.1  比选申请人应在本章第 2.2.2 项规定的比选申请截止时间前递交比选申请文件。</w:t>
      </w:r>
    </w:p>
    <w:p w14:paraId="238BFB3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4.2.2  比选申请人递交比选申请文件的地点：见比选申请人须知前附表。</w:t>
      </w:r>
    </w:p>
    <w:p w14:paraId="31FED25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4.2.3  除比选申请人须知前附表另有规定外，比选申请人所递交的比选申请文件不予退还。</w:t>
      </w:r>
    </w:p>
    <w:p w14:paraId="6E962E8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4.2.4  逾期送达的或者未送达指定地点的比选申请文件，比选人不予受理。</w:t>
      </w:r>
    </w:p>
    <w:p w14:paraId="1592B051">
      <w:pPr>
        <w:spacing w:line="360" w:lineRule="auto"/>
        <w:ind w:firstLine="422" w:firstLineChars="200"/>
        <w:outlineLvl w:val="2"/>
        <w:rPr>
          <w:rFonts w:hint="eastAsia" w:ascii="宋体" w:hAnsi="宋体" w:cs="宋体"/>
          <w:b/>
          <w:color w:val="auto"/>
          <w:szCs w:val="21"/>
          <w:highlight w:val="none"/>
        </w:rPr>
      </w:pPr>
      <w:bookmarkStart w:id="255" w:name="_Toc68599919"/>
      <w:bookmarkStart w:id="256" w:name="_Toc430205996"/>
      <w:bookmarkStart w:id="257" w:name="_Toc13021"/>
      <w:bookmarkStart w:id="258" w:name="_Toc25971"/>
      <w:r>
        <w:rPr>
          <w:rFonts w:hint="eastAsia" w:ascii="宋体" w:hAnsi="宋体" w:cs="宋体"/>
          <w:b/>
          <w:color w:val="auto"/>
          <w:szCs w:val="21"/>
          <w:highlight w:val="none"/>
        </w:rPr>
        <w:t>4.3  比选申请文件的修改与撤回</w:t>
      </w:r>
      <w:bookmarkEnd w:id="250"/>
      <w:bookmarkEnd w:id="251"/>
      <w:bookmarkEnd w:id="252"/>
      <w:bookmarkEnd w:id="253"/>
      <w:bookmarkEnd w:id="254"/>
      <w:bookmarkEnd w:id="255"/>
      <w:bookmarkEnd w:id="256"/>
      <w:bookmarkEnd w:id="257"/>
      <w:bookmarkEnd w:id="258"/>
    </w:p>
    <w:p w14:paraId="29305F61">
      <w:pPr>
        <w:spacing w:line="360" w:lineRule="auto"/>
        <w:ind w:firstLine="420" w:firstLineChars="200"/>
        <w:rPr>
          <w:rFonts w:hint="eastAsia" w:ascii="宋体" w:hAnsi="宋体" w:cs="宋体"/>
          <w:color w:val="auto"/>
          <w:szCs w:val="21"/>
          <w:highlight w:val="none"/>
        </w:rPr>
      </w:pPr>
      <w:bookmarkStart w:id="259" w:name="_Toc277082583"/>
      <w:bookmarkStart w:id="260" w:name="_Toc287607777"/>
      <w:bookmarkStart w:id="261" w:name="_Toc326274515"/>
      <w:bookmarkStart w:id="262" w:name="_Toc224103348"/>
      <w:bookmarkStart w:id="263" w:name="_Toc200513157"/>
      <w:r>
        <w:rPr>
          <w:rFonts w:hint="eastAsia" w:ascii="宋体" w:hAnsi="宋体" w:cs="宋体"/>
          <w:color w:val="auto"/>
          <w:szCs w:val="21"/>
          <w:highlight w:val="none"/>
        </w:rPr>
        <w:t>4.3.1  在本章第2.2.2项规定的比选申请截止时间前，比选申请人可以修改或撤回已递交的比选申请文件，但应以书面形式通知比选人。</w:t>
      </w:r>
    </w:p>
    <w:p w14:paraId="6D3C542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4.3.2  比选申请人修改或撤回已递交比选申请文件的书面通知应按照本章第3.7.3项的要求签字或盖章。比选人收到书面通知后，向比选申请人出具签收凭证。</w:t>
      </w:r>
    </w:p>
    <w:p w14:paraId="48204BD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4.3.3  修改的内容为比选申请文件的组成部分。修改的比选申请文件应按照本章第3条、第4条规定进行编制、密封、标记和递交，并标明“修改”字样。</w:t>
      </w:r>
    </w:p>
    <w:p w14:paraId="22714779">
      <w:pPr>
        <w:spacing w:line="360" w:lineRule="auto"/>
        <w:outlineLvl w:val="1"/>
        <w:rPr>
          <w:rFonts w:hint="eastAsia" w:ascii="宋体" w:hAnsi="宋体" w:cs="宋体"/>
          <w:b/>
          <w:color w:val="auto"/>
          <w:szCs w:val="21"/>
          <w:highlight w:val="none"/>
        </w:rPr>
      </w:pPr>
      <w:bookmarkStart w:id="264" w:name="_Toc18812"/>
      <w:bookmarkStart w:id="265" w:name="_Toc2457"/>
      <w:bookmarkStart w:id="266" w:name="_Toc16699"/>
      <w:bookmarkStart w:id="267" w:name="_Toc430205997"/>
      <w:bookmarkStart w:id="268" w:name="_Toc527617471"/>
      <w:bookmarkStart w:id="269" w:name="_Toc25177"/>
      <w:bookmarkStart w:id="270" w:name="_Toc5137"/>
      <w:bookmarkStart w:id="271" w:name="_Toc68599920"/>
      <w:r>
        <w:rPr>
          <w:rFonts w:hint="eastAsia" w:ascii="宋体" w:hAnsi="宋体" w:cs="宋体"/>
          <w:b/>
          <w:color w:val="auto"/>
          <w:szCs w:val="21"/>
          <w:highlight w:val="none"/>
        </w:rPr>
        <w:t>5</w:t>
      </w:r>
      <w:bookmarkEnd w:id="259"/>
      <w:bookmarkEnd w:id="260"/>
      <w:bookmarkEnd w:id="261"/>
      <w:bookmarkEnd w:id="262"/>
      <w:bookmarkEnd w:id="263"/>
      <w:bookmarkEnd w:id="264"/>
      <w:r>
        <w:rPr>
          <w:rFonts w:hint="eastAsia" w:ascii="宋体" w:hAnsi="宋体" w:cs="宋体"/>
          <w:b/>
          <w:color w:val="auto"/>
          <w:szCs w:val="21"/>
          <w:highlight w:val="none"/>
        </w:rPr>
        <w:t>.开标</w:t>
      </w:r>
      <w:bookmarkEnd w:id="265"/>
      <w:bookmarkEnd w:id="266"/>
      <w:bookmarkEnd w:id="267"/>
      <w:bookmarkEnd w:id="268"/>
      <w:bookmarkEnd w:id="269"/>
      <w:bookmarkEnd w:id="270"/>
      <w:bookmarkEnd w:id="271"/>
    </w:p>
    <w:p w14:paraId="6501A2F2">
      <w:pPr>
        <w:spacing w:line="360" w:lineRule="auto"/>
        <w:ind w:firstLine="422" w:firstLineChars="200"/>
        <w:outlineLvl w:val="2"/>
        <w:rPr>
          <w:rFonts w:hint="eastAsia" w:ascii="宋体" w:hAnsi="宋体" w:cs="宋体"/>
          <w:b/>
          <w:color w:val="auto"/>
          <w:szCs w:val="21"/>
          <w:highlight w:val="none"/>
        </w:rPr>
      </w:pPr>
      <w:bookmarkStart w:id="272" w:name="_Toc287607778"/>
      <w:bookmarkStart w:id="273" w:name="_Toc430205998"/>
      <w:bookmarkStart w:id="274" w:name="_Toc13592"/>
      <w:bookmarkStart w:id="275" w:name="_Toc68599921"/>
      <w:bookmarkStart w:id="276" w:name="_Toc582"/>
      <w:bookmarkStart w:id="277" w:name="_Toc224103349"/>
      <w:bookmarkStart w:id="278" w:name="_Toc277082584"/>
      <w:bookmarkStart w:id="279" w:name="_Toc200513158"/>
      <w:bookmarkStart w:id="280" w:name="_Toc326274516"/>
      <w:r>
        <w:rPr>
          <w:rFonts w:hint="eastAsia" w:ascii="宋体" w:hAnsi="宋体" w:cs="宋体"/>
          <w:b/>
          <w:color w:val="auto"/>
          <w:szCs w:val="21"/>
          <w:highlight w:val="none"/>
        </w:rPr>
        <w:t>5.1  开标时间和地点</w:t>
      </w:r>
      <w:bookmarkEnd w:id="272"/>
      <w:bookmarkEnd w:id="273"/>
      <w:bookmarkEnd w:id="274"/>
      <w:bookmarkEnd w:id="275"/>
      <w:bookmarkEnd w:id="276"/>
      <w:bookmarkEnd w:id="277"/>
      <w:bookmarkEnd w:id="278"/>
      <w:bookmarkEnd w:id="279"/>
      <w:bookmarkEnd w:id="280"/>
    </w:p>
    <w:p w14:paraId="06A21BC4">
      <w:pPr>
        <w:spacing w:line="360" w:lineRule="auto"/>
        <w:ind w:firstLine="420" w:firstLineChars="200"/>
        <w:rPr>
          <w:rFonts w:hint="eastAsia" w:ascii="宋体" w:hAnsi="宋体" w:cs="宋体"/>
          <w:color w:val="auto"/>
          <w:szCs w:val="21"/>
          <w:highlight w:val="none"/>
        </w:rPr>
      </w:pPr>
      <w:bookmarkStart w:id="281" w:name="_Toc277082585"/>
      <w:bookmarkStart w:id="282" w:name="_Toc326274517"/>
      <w:bookmarkStart w:id="283" w:name="_Toc287607779"/>
      <w:bookmarkStart w:id="284" w:name="_Toc200513159"/>
      <w:bookmarkStart w:id="285" w:name="_Toc224103350"/>
      <w:r>
        <w:rPr>
          <w:rFonts w:hint="eastAsia" w:ascii="宋体" w:hAnsi="宋体" w:cs="宋体"/>
          <w:color w:val="auto"/>
          <w:szCs w:val="21"/>
          <w:highlight w:val="none"/>
        </w:rPr>
        <w:t>比选人在本章第 2.2.2 项规定的比选申请截止时间和比选申请人须知前附表规定的地点公开开标，并邀请所有比选申请人的法定代表人或其委托代理人准时参加。</w:t>
      </w:r>
    </w:p>
    <w:p w14:paraId="5BD44EFE">
      <w:pPr>
        <w:spacing w:line="360" w:lineRule="auto"/>
        <w:ind w:firstLine="422" w:firstLineChars="200"/>
        <w:outlineLvl w:val="2"/>
        <w:rPr>
          <w:rFonts w:hint="eastAsia" w:ascii="宋体" w:hAnsi="宋体" w:cs="宋体"/>
          <w:b/>
          <w:color w:val="auto"/>
          <w:szCs w:val="21"/>
          <w:highlight w:val="none"/>
        </w:rPr>
      </w:pPr>
      <w:bookmarkStart w:id="286" w:name="_Toc68599922"/>
      <w:bookmarkStart w:id="287" w:name="_Toc16206"/>
      <w:bookmarkStart w:id="288" w:name="_Toc430205999"/>
      <w:bookmarkStart w:id="289" w:name="_Toc27403"/>
      <w:r>
        <w:rPr>
          <w:rFonts w:hint="eastAsia" w:ascii="宋体" w:hAnsi="宋体" w:cs="宋体"/>
          <w:b/>
          <w:color w:val="auto"/>
          <w:szCs w:val="21"/>
          <w:highlight w:val="none"/>
        </w:rPr>
        <w:t>5.2  开标程序</w:t>
      </w:r>
      <w:bookmarkEnd w:id="281"/>
      <w:bookmarkEnd w:id="282"/>
      <w:bookmarkEnd w:id="283"/>
      <w:bookmarkEnd w:id="284"/>
      <w:bookmarkEnd w:id="285"/>
      <w:bookmarkEnd w:id="286"/>
      <w:bookmarkEnd w:id="287"/>
      <w:bookmarkEnd w:id="288"/>
      <w:bookmarkEnd w:id="289"/>
    </w:p>
    <w:p w14:paraId="481D2ECF">
      <w:pPr>
        <w:spacing w:line="360" w:lineRule="auto"/>
        <w:ind w:firstLine="420" w:firstLineChars="200"/>
        <w:rPr>
          <w:rFonts w:hint="eastAsia" w:ascii="宋体" w:hAnsi="宋体" w:cs="宋体"/>
          <w:color w:val="auto"/>
          <w:szCs w:val="21"/>
          <w:highlight w:val="none"/>
        </w:rPr>
      </w:pPr>
      <w:bookmarkStart w:id="290" w:name="_Toc200513160"/>
      <w:bookmarkStart w:id="291" w:name="_Toc277082586"/>
      <w:bookmarkStart w:id="292" w:name="_Toc287607780"/>
      <w:bookmarkStart w:id="293" w:name="_Toc224103351"/>
      <w:r>
        <w:rPr>
          <w:rFonts w:hint="eastAsia" w:ascii="宋体" w:hAnsi="宋体" w:cs="宋体"/>
          <w:color w:val="auto"/>
          <w:szCs w:val="21"/>
          <w:highlight w:val="none"/>
        </w:rPr>
        <w:t>主持人按下列程序进行开标：详见比选申请人须知前附表。</w:t>
      </w:r>
    </w:p>
    <w:bookmarkEnd w:id="290"/>
    <w:bookmarkEnd w:id="291"/>
    <w:bookmarkEnd w:id="292"/>
    <w:bookmarkEnd w:id="293"/>
    <w:p w14:paraId="516DC028">
      <w:pPr>
        <w:spacing w:line="360" w:lineRule="auto"/>
        <w:outlineLvl w:val="1"/>
        <w:rPr>
          <w:rFonts w:hint="eastAsia" w:ascii="宋体" w:hAnsi="宋体" w:cs="宋体"/>
          <w:b/>
          <w:color w:val="auto"/>
          <w:szCs w:val="21"/>
          <w:highlight w:val="none"/>
        </w:rPr>
      </w:pPr>
      <w:bookmarkStart w:id="294" w:name="_Toc3467"/>
      <w:bookmarkStart w:id="295" w:name="_Toc20411"/>
      <w:bookmarkStart w:id="296" w:name="_Toc18779"/>
      <w:bookmarkStart w:id="297" w:name="_Toc527617472"/>
      <w:bookmarkStart w:id="298" w:name="_Toc68599923"/>
      <w:bookmarkStart w:id="299" w:name="_Toc22195"/>
      <w:bookmarkStart w:id="300" w:name="_Toc430206000"/>
      <w:bookmarkStart w:id="301" w:name="_Toc24361"/>
      <w:bookmarkStart w:id="302" w:name="_Toc277082595"/>
      <w:bookmarkStart w:id="303" w:name="_Toc287607789"/>
      <w:bookmarkStart w:id="304" w:name="_Toc200513169"/>
      <w:bookmarkStart w:id="305" w:name="_Toc326274527"/>
      <w:bookmarkStart w:id="306" w:name="_Toc224103360"/>
      <w:r>
        <w:rPr>
          <w:rFonts w:hint="eastAsia" w:ascii="宋体" w:hAnsi="宋体" w:cs="宋体"/>
          <w:b/>
          <w:color w:val="auto"/>
          <w:szCs w:val="21"/>
          <w:highlight w:val="none"/>
        </w:rPr>
        <w:t>6.评选</w:t>
      </w:r>
      <w:bookmarkEnd w:id="294"/>
      <w:bookmarkEnd w:id="295"/>
      <w:bookmarkEnd w:id="296"/>
      <w:bookmarkEnd w:id="297"/>
      <w:bookmarkEnd w:id="298"/>
      <w:bookmarkEnd w:id="299"/>
      <w:bookmarkEnd w:id="300"/>
    </w:p>
    <w:p w14:paraId="6FE51E55">
      <w:pPr>
        <w:autoSpaceDE w:val="0"/>
        <w:autoSpaceDN w:val="0"/>
        <w:adjustRightInd w:val="0"/>
        <w:snapToGrid w:val="0"/>
        <w:spacing w:line="360" w:lineRule="auto"/>
        <w:ind w:firstLine="422" w:firstLineChars="200"/>
        <w:jc w:val="left"/>
        <w:rPr>
          <w:rFonts w:hint="eastAsia" w:ascii="宋体" w:hAnsi="宋体" w:cs="宋体"/>
          <w:b/>
          <w:snapToGrid w:val="0"/>
          <w:color w:val="auto"/>
          <w:kern w:val="0"/>
          <w:szCs w:val="21"/>
          <w:highlight w:val="none"/>
        </w:rPr>
      </w:pPr>
      <w:bookmarkStart w:id="307" w:name="_Toc421694758"/>
      <w:bookmarkStart w:id="308" w:name="_Toc200513162"/>
      <w:r>
        <w:rPr>
          <w:rFonts w:hint="eastAsia" w:ascii="宋体" w:hAnsi="宋体" w:cs="宋体"/>
          <w:b/>
          <w:bCs/>
          <w:color w:val="auto"/>
          <w:szCs w:val="21"/>
          <w:highlight w:val="none"/>
        </w:rPr>
        <w:t>6.1  评选原则</w:t>
      </w:r>
      <w:bookmarkEnd w:id="307"/>
      <w:bookmarkEnd w:id="308"/>
    </w:p>
    <w:p w14:paraId="73791E39">
      <w:pPr>
        <w:autoSpaceDE w:val="0"/>
        <w:autoSpaceDN w:val="0"/>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评选活动遵循公平、公正、科学和择优的原则。</w:t>
      </w:r>
      <w:bookmarkStart w:id="309" w:name="_Toc200513163"/>
      <w:bookmarkStart w:id="310" w:name="_Toc421694759"/>
    </w:p>
    <w:p w14:paraId="5CEAAB50">
      <w:pPr>
        <w:autoSpaceDE w:val="0"/>
        <w:autoSpaceDN w:val="0"/>
        <w:adjustRightInd w:val="0"/>
        <w:snapToGrid w:val="0"/>
        <w:spacing w:line="360" w:lineRule="auto"/>
        <w:ind w:firstLine="422" w:firstLineChars="200"/>
        <w:jc w:val="left"/>
        <w:rPr>
          <w:rFonts w:hint="eastAsia" w:ascii="宋体" w:hAnsi="宋体" w:cs="宋体"/>
          <w:b/>
          <w:snapToGrid w:val="0"/>
          <w:color w:val="auto"/>
          <w:kern w:val="0"/>
          <w:szCs w:val="21"/>
          <w:highlight w:val="none"/>
        </w:rPr>
      </w:pPr>
      <w:r>
        <w:rPr>
          <w:rFonts w:hint="eastAsia" w:ascii="宋体" w:hAnsi="宋体" w:cs="宋体"/>
          <w:b/>
          <w:snapToGrid w:val="0"/>
          <w:color w:val="auto"/>
          <w:szCs w:val="21"/>
          <w:highlight w:val="none"/>
        </w:rPr>
        <w:t>6.2  评选</w:t>
      </w:r>
      <w:bookmarkEnd w:id="309"/>
      <w:bookmarkEnd w:id="310"/>
    </w:p>
    <w:p w14:paraId="7AE73DDA">
      <w:pPr>
        <w:autoSpaceDE w:val="0"/>
        <w:autoSpaceDN w:val="0"/>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按照第三章“评选办法”规定的方法、评审因素、标准和程序对比选申请文件进行评审。第三章“评选办法”没有规定的方法、评审因素和标准，不作为评选依据。</w:t>
      </w:r>
    </w:p>
    <w:p w14:paraId="45E12F8D">
      <w:pPr>
        <w:spacing w:line="360" w:lineRule="auto"/>
        <w:outlineLvl w:val="1"/>
        <w:rPr>
          <w:rFonts w:hint="eastAsia" w:ascii="宋体" w:hAnsi="宋体" w:cs="宋体"/>
          <w:b/>
          <w:color w:val="auto"/>
          <w:szCs w:val="21"/>
          <w:highlight w:val="none"/>
        </w:rPr>
      </w:pPr>
      <w:bookmarkStart w:id="311" w:name="_Toc68599924"/>
      <w:bookmarkStart w:id="312" w:name="_Toc20308"/>
      <w:bookmarkStart w:id="313" w:name="_Toc527617473"/>
      <w:bookmarkStart w:id="314" w:name="_Toc15905"/>
      <w:bookmarkStart w:id="315" w:name="_Toc430206002"/>
      <w:bookmarkStart w:id="316" w:name="_Toc11800"/>
      <w:bookmarkStart w:id="317" w:name="_Toc27195"/>
      <w:r>
        <w:rPr>
          <w:rFonts w:hint="eastAsia" w:ascii="宋体" w:hAnsi="宋体" w:cs="宋体"/>
          <w:b/>
          <w:color w:val="auto"/>
          <w:szCs w:val="21"/>
          <w:highlight w:val="none"/>
        </w:rPr>
        <w:t>7.合同授予</w:t>
      </w:r>
      <w:bookmarkEnd w:id="301"/>
      <w:bookmarkEnd w:id="311"/>
      <w:bookmarkEnd w:id="312"/>
      <w:bookmarkEnd w:id="313"/>
      <w:bookmarkEnd w:id="314"/>
      <w:bookmarkEnd w:id="315"/>
      <w:bookmarkEnd w:id="316"/>
      <w:bookmarkEnd w:id="317"/>
    </w:p>
    <w:p w14:paraId="00FA56CB">
      <w:pPr>
        <w:spacing w:line="360" w:lineRule="auto"/>
        <w:ind w:firstLine="422" w:firstLineChars="200"/>
        <w:outlineLvl w:val="2"/>
        <w:rPr>
          <w:rFonts w:hint="eastAsia" w:ascii="宋体" w:hAnsi="宋体" w:cs="宋体"/>
          <w:b/>
          <w:color w:val="auto"/>
          <w:szCs w:val="21"/>
          <w:highlight w:val="none"/>
        </w:rPr>
      </w:pPr>
      <w:bookmarkStart w:id="318" w:name="_Toc68599925"/>
      <w:bookmarkStart w:id="319" w:name="_Toc287607785"/>
      <w:bookmarkStart w:id="320" w:name="_Toc277082591"/>
      <w:bookmarkStart w:id="321" w:name="_Toc224103356"/>
      <w:bookmarkStart w:id="322" w:name="_Toc30412"/>
      <w:bookmarkStart w:id="323" w:name="_Toc200513165"/>
      <w:bookmarkStart w:id="324" w:name="_Toc29058"/>
      <w:bookmarkStart w:id="325" w:name="_Toc430206003"/>
      <w:r>
        <w:rPr>
          <w:rFonts w:hint="eastAsia" w:ascii="宋体" w:hAnsi="宋体" w:cs="宋体"/>
          <w:b/>
          <w:color w:val="auto"/>
          <w:szCs w:val="21"/>
          <w:highlight w:val="none"/>
        </w:rPr>
        <w:t>7.1  定标方式</w:t>
      </w:r>
      <w:bookmarkEnd w:id="318"/>
      <w:bookmarkEnd w:id="319"/>
      <w:bookmarkEnd w:id="320"/>
      <w:bookmarkEnd w:id="321"/>
      <w:bookmarkEnd w:id="322"/>
      <w:bookmarkEnd w:id="323"/>
      <w:bookmarkEnd w:id="324"/>
      <w:bookmarkEnd w:id="325"/>
    </w:p>
    <w:p w14:paraId="0DF43E09">
      <w:pPr>
        <w:spacing w:line="360" w:lineRule="auto"/>
        <w:ind w:firstLine="420" w:firstLineChars="200"/>
        <w:rPr>
          <w:rFonts w:hint="eastAsia" w:ascii="宋体" w:hAnsi="宋体" w:cs="宋体"/>
          <w:color w:val="auto"/>
          <w:szCs w:val="21"/>
          <w:highlight w:val="none"/>
        </w:rPr>
      </w:pPr>
      <w:bookmarkStart w:id="326" w:name="_Toc277082592"/>
      <w:bookmarkStart w:id="327" w:name="_Toc430206004"/>
      <w:bookmarkStart w:id="328" w:name="_Toc224103357"/>
      <w:bookmarkStart w:id="329" w:name="_Toc200513166"/>
      <w:bookmarkStart w:id="330" w:name="_Toc287607786"/>
      <w:bookmarkStart w:id="331" w:name="_Toc2831"/>
      <w:r>
        <w:rPr>
          <w:rFonts w:hint="eastAsia" w:ascii="宋体" w:hAnsi="宋体" w:cs="宋体"/>
          <w:color w:val="auto"/>
          <w:szCs w:val="21"/>
          <w:highlight w:val="none"/>
        </w:rPr>
        <w:t>国有资金占控股或者主导地位的依法必须进行比选的项目，比选人应当确定排名第一的中选候选人为中选人。排名第一的中选候选人放弃中选、因不可抗力不能履行合同、不按照竞争性比选文件要求提交履约保证金，或者被查实存在影响中选结果的违法行为等情形，不符合中选条件的，比选人可以按照中选候选人名单排序依次确定其他中选候选人为中选人，也可以重新比选。</w:t>
      </w:r>
    </w:p>
    <w:p w14:paraId="0218C96D">
      <w:pPr>
        <w:spacing w:line="360" w:lineRule="auto"/>
        <w:ind w:firstLine="422" w:firstLineChars="200"/>
        <w:outlineLvl w:val="2"/>
        <w:rPr>
          <w:rFonts w:hint="eastAsia" w:ascii="宋体" w:hAnsi="宋体" w:cs="宋体"/>
          <w:b/>
          <w:color w:val="auto"/>
          <w:szCs w:val="21"/>
          <w:highlight w:val="none"/>
        </w:rPr>
      </w:pPr>
      <w:bookmarkStart w:id="332" w:name="_Toc68599926"/>
      <w:bookmarkStart w:id="333" w:name="_Toc9071"/>
      <w:r>
        <w:rPr>
          <w:rFonts w:hint="eastAsia" w:ascii="宋体" w:hAnsi="宋体" w:cs="宋体"/>
          <w:b/>
          <w:color w:val="auto"/>
          <w:szCs w:val="21"/>
          <w:highlight w:val="none"/>
        </w:rPr>
        <w:t>7.2  中选通知</w:t>
      </w:r>
      <w:bookmarkEnd w:id="326"/>
      <w:bookmarkEnd w:id="327"/>
      <w:bookmarkEnd w:id="328"/>
      <w:bookmarkEnd w:id="329"/>
      <w:bookmarkEnd w:id="330"/>
      <w:bookmarkEnd w:id="331"/>
      <w:bookmarkEnd w:id="332"/>
      <w:bookmarkEnd w:id="333"/>
    </w:p>
    <w:p w14:paraId="39A755EA">
      <w:pPr>
        <w:spacing w:line="360" w:lineRule="auto"/>
        <w:ind w:firstLine="420" w:firstLineChars="200"/>
        <w:rPr>
          <w:rFonts w:hint="eastAsia" w:ascii="宋体" w:hAnsi="宋体" w:cs="宋体"/>
          <w:color w:val="auto"/>
          <w:szCs w:val="21"/>
          <w:highlight w:val="none"/>
        </w:rPr>
      </w:pPr>
      <w:bookmarkStart w:id="334" w:name="_Toc287607787"/>
      <w:bookmarkStart w:id="335" w:name="_Toc200513167"/>
      <w:bookmarkStart w:id="336" w:name="_Toc29171"/>
      <w:bookmarkStart w:id="337" w:name="_Toc430206005"/>
      <w:bookmarkStart w:id="338" w:name="_Toc224103358"/>
      <w:bookmarkStart w:id="339" w:name="_Toc277082593"/>
      <w:r>
        <w:rPr>
          <w:rFonts w:hint="eastAsia" w:ascii="宋体" w:hAnsi="宋体" w:cs="宋体"/>
          <w:snapToGrid w:val="0"/>
          <w:color w:val="auto"/>
          <w:kern w:val="0"/>
          <w:szCs w:val="21"/>
          <w:highlight w:val="none"/>
        </w:rPr>
        <w:t>比选人在收到评选报告之日起3日内公示中选候选人，公示期不得少于3日，如有废标同时公布废标理由，由比选代理机构将废标理由以附件的形式与中选公示一起发布。</w:t>
      </w:r>
    </w:p>
    <w:p w14:paraId="57F4953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在本章第 3.3 款规定的比选申请有效期内，且未有比选申请人的异议与投诉，比选人以书面形式向中选人发出中选通知书。</w:t>
      </w:r>
    </w:p>
    <w:p w14:paraId="6C03034A">
      <w:pPr>
        <w:spacing w:line="360" w:lineRule="auto"/>
        <w:ind w:firstLine="422" w:firstLineChars="200"/>
        <w:outlineLvl w:val="2"/>
        <w:rPr>
          <w:rFonts w:hint="eastAsia" w:ascii="宋体" w:hAnsi="宋体" w:cs="宋体"/>
          <w:b/>
          <w:color w:val="auto"/>
          <w:szCs w:val="21"/>
          <w:highlight w:val="none"/>
        </w:rPr>
      </w:pPr>
      <w:bookmarkStart w:id="340" w:name="_Toc4637"/>
      <w:bookmarkStart w:id="341" w:name="_Toc68599927"/>
      <w:r>
        <w:rPr>
          <w:rFonts w:hint="eastAsia" w:ascii="宋体" w:hAnsi="宋体" w:cs="宋体"/>
          <w:b/>
          <w:color w:val="auto"/>
          <w:szCs w:val="21"/>
          <w:highlight w:val="none"/>
        </w:rPr>
        <w:t>7.3  履约担保</w:t>
      </w:r>
      <w:bookmarkEnd w:id="334"/>
      <w:bookmarkEnd w:id="335"/>
      <w:bookmarkEnd w:id="336"/>
      <w:bookmarkEnd w:id="337"/>
      <w:bookmarkEnd w:id="338"/>
      <w:bookmarkEnd w:id="339"/>
      <w:bookmarkEnd w:id="340"/>
      <w:bookmarkEnd w:id="341"/>
    </w:p>
    <w:p w14:paraId="6BC379D1">
      <w:pPr>
        <w:spacing w:line="360" w:lineRule="auto"/>
        <w:ind w:firstLine="420" w:firstLineChars="200"/>
        <w:rPr>
          <w:rFonts w:hint="eastAsia" w:ascii="宋体" w:hAnsi="宋体" w:cs="宋体"/>
          <w:color w:val="auto"/>
          <w:szCs w:val="21"/>
          <w:highlight w:val="none"/>
        </w:rPr>
      </w:pPr>
      <w:bookmarkStart w:id="342" w:name="_Toc287607788"/>
      <w:bookmarkStart w:id="343" w:name="_Toc277082594"/>
      <w:bookmarkStart w:id="344" w:name="_Toc430206006"/>
      <w:bookmarkStart w:id="345" w:name="_Toc224103359"/>
      <w:bookmarkStart w:id="346" w:name="_Toc29358"/>
      <w:bookmarkStart w:id="347" w:name="_Toc200513168"/>
      <w:r>
        <w:rPr>
          <w:rFonts w:hint="eastAsia" w:ascii="宋体" w:hAnsi="宋体" w:cs="宋体"/>
          <w:color w:val="auto"/>
          <w:szCs w:val="21"/>
          <w:highlight w:val="none"/>
        </w:rPr>
        <w:t>7.3.1  在签订合同前，中选人应按比选申请人须知前附表规定的金额、担保形式和竞争性比选文件规定的履约担保格式向比选人提交履约担保。</w:t>
      </w:r>
    </w:p>
    <w:p w14:paraId="2B8CA6B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7.3.2  中选人不能按本章第 7.3.1 项要求提交履约担保的，视为放弃中选，给比选人造成的损失超过比选申请保证金数额的，中选人还应当对超过部分予以赔偿。</w:t>
      </w:r>
    </w:p>
    <w:p w14:paraId="26B6DF6A">
      <w:pPr>
        <w:spacing w:line="360" w:lineRule="auto"/>
        <w:ind w:firstLine="422" w:firstLineChars="200"/>
        <w:outlineLvl w:val="2"/>
        <w:rPr>
          <w:rFonts w:hint="eastAsia" w:ascii="宋体" w:hAnsi="宋体" w:cs="宋体"/>
          <w:b/>
          <w:color w:val="auto"/>
          <w:szCs w:val="21"/>
          <w:highlight w:val="none"/>
        </w:rPr>
      </w:pPr>
      <w:bookmarkStart w:id="348" w:name="_Toc3560"/>
      <w:bookmarkStart w:id="349" w:name="_Toc68599928"/>
      <w:r>
        <w:rPr>
          <w:rFonts w:hint="eastAsia" w:ascii="宋体" w:hAnsi="宋体" w:cs="宋体"/>
          <w:b/>
          <w:color w:val="auto"/>
          <w:szCs w:val="21"/>
          <w:highlight w:val="none"/>
        </w:rPr>
        <w:t>7.4  签订合同</w:t>
      </w:r>
      <w:bookmarkEnd w:id="342"/>
      <w:bookmarkEnd w:id="343"/>
      <w:bookmarkEnd w:id="344"/>
      <w:bookmarkEnd w:id="345"/>
      <w:bookmarkEnd w:id="346"/>
      <w:bookmarkEnd w:id="347"/>
      <w:bookmarkEnd w:id="348"/>
      <w:bookmarkEnd w:id="349"/>
    </w:p>
    <w:p w14:paraId="1118D658">
      <w:pPr>
        <w:spacing w:line="360" w:lineRule="auto"/>
        <w:ind w:firstLine="420" w:firstLineChars="200"/>
        <w:rPr>
          <w:rFonts w:ascii="宋体" w:hAnsi="宋体"/>
          <w:snapToGrid w:val="0"/>
          <w:color w:val="auto"/>
          <w:kern w:val="0"/>
          <w:szCs w:val="21"/>
          <w:highlight w:val="none"/>
        </w:rPr>
      </w:pPr>
      <w:r>
        <w:rPr>
          <w:rFonts w:hint="eastAsia" w:ascii="宋体" w:hAnsi="宋体" w:cs="宋体"/>
          <w:color w:val="auto"/>
          <w:szCs w:val="21"/>
          <w:highlight w:val="none"/>
        </w:rPr>
        <w:t xml:space="preserve">7.4.1 </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和</w:t>
      </w:r>
      <w:r>
        <w:rPr>
          <w:rFonts w:hint="eastAsia" w:ascii="宋体" w:hAnsi="宋体"/>
          <w:snapToGrid w:val="0"/>
          <w:color w:val="auto"/>
          <w:kern w:val="0"/>
          <w:szCs w:val="21"/>
          <w:highlight w:val="none"/>
          <w:lang w:eastAsia="zh-CN"/>
        </w:rPr>
        <w:t>中选人</w:t>
      </w:r>
      <w:r>
        <w:rPr>
          <w:rFonts w:ascii="宋体" w:hAnsi="宋体"/>
          <w:snapToGrid w:val="0"/>
          <w:color w:val="auto"/>
          <w:kern w:val="0"/>
          <w:szCs w:val="21"/>
          <w:highlight w:val="none"/>
        </w:rPr>
        <w:t>应当自</w:t>
      </w:r>
      <w:r>
        <w:rPr>
          <w:rFonts w:hint="eastAsia" w:ascii="宋体" w:hAnsi="宋体"/>
          <w:snapToGrid w:val="0"/>
          <w:color w:val="auto"/>
          <w:kern w:val="0"/>
          <w:szCs w:val="21"/>
          <w:highlight w:val="none"/>
          <w:lang w:eastAsia="zh-CN"/>
        </w:rPr>
        <w:t>中选</w:t>
      </w:r>
      <w:r>
        <w:rPr>
          <w:rFonts w:ascii="宋体" w:hAnsi="宋体"/>
          <w:snapToGrid w:val="0"/>
          <w:color w:val="auto"/>
          <w:kern w:val="0"/>
          <w:szCs w:val="21"/>
          <w:highlight w:val="none"/>
        </w:rPr>
        <w:t>通知书发出之日起 30 天内，根据</w:t>
      </w:r>
      <w:r>
        <w:rPr>
          <w:rFonts w:hint="eastAsia" w:ascii="宋体" w:hAnsi="宋体"/>
          <w:snapToGrid w:val="0"/>
          <w:color w:val="auto"/>
          <w:kern w:val="0"/>
          <w:szCs w:val="21"/>
          <w:highlight w:val="none"/>
        </w:rPr>
        <w:t>竞争性比选文件</w:t>
      </w:r>
      <w:r>
        <w:rPr>
          <w:rFonts w:ascii="宋体" w:hAnsi="宋体"/>
          <w:snapToGrid w:val="0"/>
          <w:color w:val="auto"/>
          <w:kern w:val="0"/>
          <w:szCs w:val="21"/>
          <w:highlight w:val="none"/>
        </w:rPr>
        <w:t>和</w:t>
      </w:r>
      <w:r>
        <w:rPr>
          <w:rFonts w:hint="eastAsia" w:ascii="宋体" w:hAnsi="宋体"/>
          <w:snapToGrid w:val="0"/>
          <w:color w:val="auto"/>
          <w:kern w:val="0"/>
          <w:szCs w:val="21"/>
          <w:highlight w:val="none"/>
          <w:lang w:eastAsia="zh-CN"/>
        </w:rPr>
        <w:t>中选人</w:t>
      </w:r>
      <w:r>
        <w:rPr>
          <w:rFonts w:ascii="宋体" w:hAnsi="宋体"/>
          <w:snapToGrid w:val="0"/>
          <w:color w:val="auto"/>
          <w:kern w:val="0"/>
          <w:szCs w:val="21"/>
          <w:highlight w:val="none"/>
        </w:rPr>
        <w:t>的</w:t>
      </w:r>
      <w:r>
        <w:rPr>
          <w:rFonts w:hint="eastAsia" w:ascii="宋体" w:hAnsi="宋体"/>
          <w:snapToGrid w:val="0"/>
          <w:color w:val="auto"/>
          <w:kern w:val="0"/>
          <w:szCs w:val="21"/>
          <w:highlight w:val="none"/>
        </w:rPr>
        <w:t>比选申请文件</w:t>
      </w:r>
      <w:r>
        <w:rPr>
          <w:rFonts w:ascii="宋体" w:hAnsi="宋体"/>
          <w:snapToGrid w:val="0"/>
          <w:color w:val="auto"/>
          <w:kern w:val="0"/>
          <w:szCs w:val="21"/>
          <w:highlight w:val="none"/>
        </w:rPr>
        <w:t>订立书面合同。</w:t>
      </w:r>
      <w:r>
        <w:rPr>
          <w:rFonts w:hint="eastAsia" w:ascii="宋体" w:hAnsi="宋体"/>
          <w:snapToGrid w:val="0"/>
          <w:color w:val="auto"/>
          <w:kern w:val="0"/>
          <w:szCs w:val="21"/>
          <w:highlight w:val="none"/>
          <w:lang w:eastAsia="zh-CN"/>
        </w:rPr>
        <w:t>中选人</w:t>
      </w:r>
      <w:r>
        <w:rPr>
          <w:rFonts w:hint="eastAsia" w:ascii="宋体" w:hAnsi="宋体"/>
          <w:snapToGrid w:val="0"/>
          <w:color w:val="auto"/>
          <w:kern w:val="0"/>
          <w:szCs w:val="21"/>
          <w:highlight w:val="none"/>
        </w:rPr>
        <w:t>放弃</w:t>
      </w:r>
      <w:r>
        <w:rPr>
          <w:rFonts w:hint="eastAsia" w:ascii="宋体" w:hAnsi="宋体"/>
          <w:snapToGrid w:val="0"/>
          <w:color w:val="auto"/>
          <w:kern w:val="0"/>
          <w:szCs w:val="21"/>
          <w:highlight w:val="none"/>
          <w:lang w:eastAsia="zh-CN"/>
        </w:rPr>
        <w:t>中选</w:t>
      </w:r>
      <w:r>
        <w:rPr>
          <w:rFonts w:hint="eastAsia" w:ascii="宋体" w:hAnsi="宋体"/>
          <w:snapToGrid w:val="0"/>
          <w:color w:val="auto"/>
          <w:kern w:val="0"/>
          <w:szCs w:val="21"/>
          <w:highlight w:val="none"/>
        </w:rPr>
        <w:t>项目，</w:t>
      </w:r>
      <w:r>
        <w:rPr>
          <w:rFonts w:ascii="宋体" w:hAnsi="宋体"/>
          <w:snapToGrid w:val="0"/>
          <w:color w:val="auto"/>
          <w:kern w:val="0"/>
          <w:szCs w:val="21"/>
          <w:highlight w:val="none"/>
        </w:rPr>
        <w:t>无正当理由</w:t>
      </w:r>
      <w:r>
        <w:rPr>
          <w:rFonts w:hint="eastAsia" w:ascii="宋体" w:hAnsi="宋体"/>
          <w:snapToGrid w:val="0"/>
          <w:color w:val="auto"/>
          <w:kern w:val="0"/>
          <w:szCs w:val="21"/>
          <w:highlight w:val="none"/>
        </w:rPr>
        <w:t>不与比选人</w:t>
      </w:r>
      <w:r>
        <w:rPr>
          <w:rFonts w:ascii="宋体" w:hAnsi="宋体"/>
          <w:snapToGrid w:val="0"/>
          <w:color w:val="auto"/>
          <w:kern w:val="0"/>
          <w:szCs w:val="21"/>
          <w:highlight w:val="none"/>
        </w:rPr>
        <w:t>签</w:t>
      </w:r>
      <w:r>
        <w:rPr>
          <w:rFonts w:hint="eastAsia" w:ascii="宋体" w:hAnsi="宋体"/>
          <w:snapToGrid w:val="0"/>
          <w:color w:val="auto"/>
          <w:kern w:val="0"/>
          <w:szCs w:val="21"/>
          <w:highlight w:val="none"/>
        </w:rPr>
        <w:t>订</w:t>
      </w:r>
      <w:r>
        <w:rPr>
          <w:rFonts w:ascii="宋体" w:hAnsi="宋体"/>
          <w:snapToGrid w:val="0"/>
          <w:color w:val="auto"/>
          <w:kern w:val="0"/>
          <w:szCs w:val="21"/>
          <w:highlight w:val="none"/>
        </w:rPr>
        <w:t>合同，</w:t>
      </w:r>
      <w:r>
        <w:rPr>
          <w:rFonts w:hint="eastAsia" w:ascii="宋体" w:hAnsi="宋体"/>
          <w:snapToGrid w:val="0"/>
          <w:color w:val="auto"/>
          <w:kern w:val="0"/>
          <w:szCs w:val="21"/>
          <w:highlight w:val="none"/>
        </w:rPr>
        <w:t>在签订合同时向比选人提出附加条件或者更改合同实质性内容的</w:t>
      </w:r>
      <w:r>
        <w:rPr>
          <w:rFonts w:ascii="宋体" w:hAnsi="宋体"/>
          <w:snapToGrid w:val="0"/>
          <w:color w:val="auto"/>
          <w:kern w:val="0"/>
          <w:szCs w:val="21"/>
          <w:highlight w:val="none"/>
        </w:rPr>
        <w:t>，</w:t>
      </w:r>
      <w:r>
        <w:rPr>
          <w:rFonts w:hint="eastAsia" w:ascii="宋体" w:hAnsi="宋体" w:cs="宋体"/>
          <w:color w:val="auto"/>
          <w:szCs w:val="21"/>
          <w:highlight w:val="none"/>
        </w:rPr>
        <w:t>或不按照竞争性比选文件要求提交低价风险担保（适用于经评审最低投标价法）或履约保证金的，</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取消其</w:t>
      </w:r>
      <w:r>
        <w:rPr>
          <w:rFonts w:hint="eastAsia" w:ascii="宋体" w:hAnsi="宋体"/>
          <w:snapToGrid w:val="0"/>
          <w:color w:val="auto"/>
          <w:kern w:val="0"/>
          <w:szCs w:val="21"/>
          <w:highlight w:val="none"/>
          <w:lang w:eastAsia="zh-CN"/>
        </w:rPr>
        <w:t>中选</w:t>
      </w:r>
      <w:r>
        <w:rPr>
          <w:rFonts w:ascii="宋体" w:hAnsi="宋体"/>
          <w:snapToGrid w:val="0"/>
          <w:color w:val="auto"/>
          <w:kern w:val="0"/>
          <w:szCs w:val="21"/>
          <w:highlight w:val="none"/>
        </w:rPr>
        <w:t>资格，其</w:t>
      </w:r>
      <w:r>
        <w:rPr>
          <w:rFonts w:hint="eastAsia" w:ascii="宋体" w:hAnsi="宋体"/>
          <w:snapToGrid w:val="0"/>
          <w:color w:val="auto"/>
          <w:kern w:val="0"/>
          <w:szCs w:val="21"/>
          <w:highlight w:val="none"/>
        </w:rPr>
        <w:t>比选申请保证金</w:t>
      </w:r>
      <w:r>
        <w:rPr>
          <w:rFonts w:ascii="宋体" w:hAnsi="宋体"/>
          <w:snapToGrid w:val="0"/>
          <w:color w:val="auto"/>
          <w:kern w:val="0"/>
          <w:szCs w:val="21"/>
          <w:highlight w:val="none"/>
        </w:rPr>
        <w:t>不予退还；给</w:t>
      </w:r>
      <w:r>
        <w:rPr>
          <w:rFonts w:hint="eastAsia" w:ascii="宋体" w:hAnsi="宋体"/>
          <w:snapToGrid w:val="0"/>
          <w:color w:val="auto"/>
          <w:kern w:val="0"/>
          <w:szCs w:val="21"/>
          <w:highlight w:val="none"/>
        </w:rPr>
        <w:t>比选人</w:t>
      </w:r>
      <w:r>
        <w:rPr>
          <w:rFonts w:ascii="宋体" w:hAnsi="宋体"/>
          <w:snapToGrid w:val="0"/>
          <w:color w:val="auto"/>
          <w:kern w:val="0"/>
          <w:szCs w:val="21"/>
          <w:highlight w:val="none"/>
        </w:rPr>
        <w:t>造成的损失超过</w:t>
      </w:r>
      <w:r>
        <w:rPr>
          <w:rFonts w:hint="eastAsia" w:ascii="宋体" w:hAnsi="宋体"/>
          <w:snapToGrid w:val="0"/>
          <w:color w:val="auto"/>
          <w:kern w:val="0"/>
          <w:szCs w:val="21"/>
          <w:highlight w:val="none"/>
        </w:rPr>
        <w:t>比选申请保证金</w:t>
      </w:r>
      <w:r>
        <w:rPr>
          <w:rFonts w:ascii="宋体" w:hAnsi="宋体"/>
          <w:snapToGrid w:val="0"/>
          <w:color w:val="auto"/>
          <w:kern w:val="0"/>
          <w:szCs w:val="21"/>
          <w:highlight w:val="none"/>
        </w:rPr>
        <w:t>数额的，</w:t>
      </w:r>
      <w:r>
        <w:rPr>
          <w:rFonts w:hint="eastAsia" w:ascii="宋体" w:hAnsi="宋体"/>
          <w:snapToGrid w:val="0"/>
          <w:color w:val="auto"/>
          <w:kern w:val="0"/>
          <w:szCs w:val="21"/>
          <w:highlight w:val="none"/>
          <w:lang w:eastAsia="zh-CN"/>
        </w:rPr>
        <w:t>中选人</w:t>
      </w:r>
      <w:r>
        <w:rPr>
          <w:rFonts w:ascii="宋体" w:hAnsi="宋体"/>
          <w:snapToGrid w:val="0"/>
          <w:color w:val="auto"/>
          <w:kern w:val="0"/>
          <w:szCs w:val="21"/>
          <w:highlight w:val="none"/>
        </w:rPr>
        <w:t>还应当对超过部分予以赔偿。</w:t>
      </w:r>
    </w:p>
    <w:p w14:paraId="474918D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7.4.2 发出</w:t>
      </w:r>
      <w:r>
        <w:rPr>
          <w:rFonts w:hint="eastAsia" w:ascii="宋体" w:hAnsi="宋体" w:cs="宋体"/>
          <w:color w:val="auto"/>
          <w:szCs w:val="21"/>
          <w:highlight w:val="none"/>
          <w:lang w:eastAsia="zh-CN"/>
        </w:rPr>
        <w:t>中选</w:t>
      </w:r>
      <w:r>
        <w:rPr>
          <w:rFonts w:hint="eastAsia" w:ascii="宋体" w:hAnsi="宋体" w:cs="宋体"/>
          <w:color w:val="auto"/>
          <w:szCs w:val="21"/>
          <w:highlight w:val="none"/>
        </w:rPr>
        <w:t>通知书后，比选人无正当理由拒签合同的，比选人向</w:t>
      </w:r>
      <w:r>
        <w:rPr>
          <w:rFonts w:hint="eastAsia" w:ascii="宋体" w:hAnsi="宋体" w:cs="宋体"/>
          <w:color w:val="auto"/>
          <w:szCs w:val="21"/>
          <w:highlight w:val="none"/>
          <w:lang w:eastAsia="zh-CN"/>
        </w:rPr>
        <w:t>中选人</w:t>
      </w:r>
      <w:r>
        <w:rPr>
          <w:rFonts w:hint="eastAsia" w:ascii="宋体" w:hAnsi="宋体" w:cs="宋体"/>
          <w:color w:val="auto"/>
          <w:szCs w:val="21"/>
          <w:highlight w:val="none"/>
        </w:rPr>
        <w:t>退还比选申请保证金；给</w:t>
      </w:r>
      <w:r>
        <w:rPr>
          <w:rFonts w:hint="eastAsia" w:ascii="宋体" w:hAnsi="宋体" w:cs="宋体"/>
          <w:color w:val="auto"/>
          <w:szCs w:val="21"/>
          <w:highlight w:val="none"/>
          <w:lang w:eastAsia="zh-CN"/>
        </w:rPr>
        <w:t>中选人</w:t>
      </w:r>
      <w:r>
        <w:rPr>
          <w:rFonts w:hint="eastAsia" w:ascii="宋体" w:hAnsi="宋体" w:cs="宋体"/>
          <w:color w:val="auto"/>
          <w:szCs w:val="21"/>
          <w:highlight w:val="none"/>
        </w:rPr>
        <w:t>造成损失的，还应当赔偿损失。</w:t>
      </w:r>
    </w:p>
    <w:bookmarkEnd w:id="302"/>
    <w:bookmarkEnd w:id="303"/>
    <w:bookmarkEnd w:id="304"/>
    <w:bookmarkEnd w:id="305"/>
    <w:bookmarkEnd w:id="306"/>
    <w:p w14:paraId="27BB4698">
      <w:pPr>
        <w:spacing w:line="360" w:lineRule="auto"/>
        <w:outlineLvl w:val="1"/>
        <w:rPr>
          <w:rFonts w:hint="eastAsia" w:ascii="宋体" w:hAnsi="宋体" w:cs="宋体"/>
          <w:b/>
          <w:color w:val="auto"/>
          <w:szCs w:val="21"/>
          <w:highlight w:val="none"/>
        </w:rPr>
      </w:pPr>
      <w:bookmarkStart w:id="350" w:name="_Toc26508"/>
      <w:bookmarkStart w:id="351" w:name="_Toc7324"/>
      <w:bookmarkStart w:id="352" w:name="_Toc12023"/>
      <w:bookmarkStart w:id="353" w:name="_Toc10306"/>
      <w:bookmarkStart w:id="354" w:name="_Toc430206007"/>
      <w:bookmarkStart w:id="355" w:name="_Toc527617474"/>
      <w:bookmarkStart w:id="356" w:name="_Toc885"/>
      <w:bookmarkStart w:id="357" w:name="_Toc68599929"/>
      <w:r>
        <w:rPr>
          <w:rFonts w:hint="eastAsia" w:ascii="宋体" w:hAnsi="宋体" w:cs="宋体"/>
          <w:b/>
          <w:color w:val="auto"/>
          <w:szCs w:val="21"/>
          <w:highlight w:val="none"/>
        </w:rPr>
        <w:t>8.重新比选和不再</w:t>
      </w:r>
      <w:bookmarkEnd w:id="350"/>
      <w:bookmarkEnd w:id="351"/>
      <w:bookmarkEnd w:id="352"/>
      <w:bookmarkEnd w:id="353"/>
      <w:bookmarkEnd w:id="354"/>
      <w:bookmarkEnd w:id="355"/>
      <w:r>
        <w:rPr>
          <w:rFonts w:hint="eastAsia" w:ascii="宋体" w:hAnsi="宋体" w:cs="宋体"/>
          <w:b/>
          <w:color w:val="auto"/>
          <w:szCs w:val="21"/>
          <w:highlight w:val="none"/>
        </w:rPr>
        <w:t>比选</w:t>
      </w:r>
      <w:bookmarkEnd w:id="356"/>
      <w:bookmarkEnd w:id="357"/>
    </w:p>
    <w:p w14:paraId="550701D2">
      <w:pPr>
        <w:spacing w:line="360" w:lineRule="auto"/>
        <w:ind w:firstLine="422" w:firstLineChars="200"/>
        <w:outlineLvl w:val="2"/>
        <w:rPr>
          <w:rFonts w:hint="eastAsia" w:ascii="宋体" w:hAnsi="宋体" w:cs="宋体"/>
          <w:b/>
          <w:color w:val="auto"/>
          <w:szCs w:val="21"/>
          <w:highlight w:val="none"/>
        </w:rPr>
      </w:pPr>
      <w:bookmarkStart w:id="358" w:name="_Toc200513170"/>
      <w:bookmarkStart w:id="359" w:name="_Toc224103361"/>
      <w:bookmarkStart w:id="360" w:name="_Toc287607790"/>
      <w:bookmarkStart w:id="361" w:name="_Toc430206008"/>
      <w:bookmarkStart w:id="362" w:name="_Toc25251"/>
      <w:bookmarkStart w:id="363" w:name="_Toc277082596"/>
      <w:bookmarkStart w:id="364" w:name="_Toc26287"/>
      <w:bookmarkStart w:id="365" w:name="_Toc68599930"/>
      <w:r>
        <w:rPr>
          <w:rFonts w:hint="eastAsia" w:ascii="宋体" w:hAnsi="宋体" w:cs="宋体"/>
          <w:b/>
          <w:color w:val="auto"/>
          <w:szCs w:val="21"/>
          <w:highlight w:val="none"/>
        </w:rPr>
        <w:t>8.1  重新</w:t>
      </w:r>
      <w:bookmarkEnd w:id="358"/>
      <w:bookmarkEnd w:id="359"/>
      <w:bookmarkEnd w:id="360"/>
      <w:bookmarkEnd w:id="361"/>
      <w:bookmarkEnd w:id="362"/>
      <w:bookmarkEnd w:id="363"/>
      <w:r>
        <w:rPr>
          <w:rFonts w:hint="eastAsia" w:ascii="宋体" w:hAnsi="宋体" w:cs="宋体"/>
          <w:b/>
          <w:color w:val="auto"/>
          <w:szCs w:val="21"/>
          <w:highlight w:val="none"/>
        </w:rPr>
        <w:t>比选</w:t>
      </w:r>
      <w:bookmarkEnd w:id="364"/>
      <w:bookmarkEnd w:id="365"/>
    </w:p>
    <w:p w14:paraId="21233061">
      <w:pPr>
        <w:autoSpaceDE w:val="0"/>
        <w:autoSpaceDN w:val="0"/>
        <w:adjustRightInd w:val="0"/>
        <w:snapToGrid w:val="0"/>
        <w:spacing w:line="360" w:lineRule="auto"/>
        <w:ind w:firstLine="420"/>
        <w:rPr>
          <w:rFonts w:hint="eastAsia" w:ascii="宋体" w:hAnsi="宋体" w:cs="宋体"/>
          <w:snapToGrid w:val="0"/>
          <w:color w:val="auto"/>
          <w:kern w:val="0"/>
          <w:szCs w:val="21"/>
          <w:highlight w:val="none"/>
        </w:rPr>
      </w:pPr>
      <w:bookmarkStart w:id="366" w:name="_Toc224103362"/>
      <w:bookmarkStart w:id="367" w:name="_Toc287607791"/>
      <w:bookmarkStart w:id="368" w:name="_Toc200513171"/>
      <w:bookmarkStart w:id="369" w:name="_Toc277082597"/>
      <w:bookmarkStart w:id="370" w:name="_Toc25144"/>
      <w:bookmarkStart w:id="371" w:name="_Toc430206009"/>
      <w:r>
        <w:rPr>
          <w:rFonts w:hint="eastAsia" w:ascii="宋体" w:hAnsi="宋体" w:cs="宋体"/>
          <w:snapToGrid w:val="0"/>
          <w:color w:val="auto"/>
          <w:kern w:val="0"/>
          <w:szCs w:val="21"/>
          <w:highlight w:val="none"/>
        </w:rPr>
        <w:t>有下列情形之一的，比选人可以重新公开竞争性比选：</w:t>
      </w:r>
    </w:p>
    <w:p w14:paraId="4D182319">
      <w:pPr>
        <w:autoSpaceDE w:val="0"/>
        <w:autoSpaceDN w:val="0"/>
        <w:adjustRightInd w:val="0"/>
        <w:snapToGrid w:val="0"/>
        <w:spacing w:line="360" w:lineRule="auto"/>
        <w:ind w:firstLine="42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（1）比选申请截止时间止，比选申请人少于3个的；</w:t>
      </w:r>
    </w:p>
    <w:p w14:paraId="58B0D9D7">
      <w:pPr>
        <w:autoSpaceDE w:val="0"/>
        <w:autoSpaceDN w:val="0"/>
        <w:adjustRightInd w:val="0"/>
        <w:snapToGrid w:val="0"/>
        <w:spacing w:line="360" w:lineRule="auto"/>
        <w:ind w:firstLine="42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（2）经评选委员会评审后否决所有比选申请的；</w:t>
      </w:r>
    </w:p>
    <w:p w14:paraId="200AD170">
      <w:pPr>
        <w:autoSpaceDE w:val="0"/>
        <w:autoSpaceDN w:val="0"/>
        <w:adjustRightInd w:val="0"/>
        <w:snapToGrid w:val="0"/>
        <w:spacing w:line="360" w:lineRule="auto"/>
        <w:ind w:firstLine="42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（3）法律法规规定的其他情形。</w:t>
      </w:r>
    </w:p>
    <w:p w14:paraId="6C5AA9F0">
      <w:pPr>
        <w:autoSpaceDE w:val="0"/>
        <w:autoSpaceDN w:val="0"/>
        <w:adjustRightInd w:val="0"/>
        <w:snapToGrid w:val="0"/>
        <w:spacing w:line="360" w:lineRule="auto"/>
        <w:ind w:firstLine="42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备注：公开比选的项目的部分比选申请被否决，导致有效比选申请人不足三个的，评选委员会应当继续评选并确定中选候选人。</w:t>
      </w:r>
    </w:p>
    <w:p w14:paraId="247B6475">
      <w:pPr>
        <w:spacing w:line="360" w:lineRule="auto"/>
        <w:ind w:firstLine="422" w:firstLineChars="200"/>
        <w:outlineLvl w:val="2"/>
        <w:rPr>
          <w:rFonts w:hint="eastAsia" w:ascii="宋体" w:hAnsi="宋体" w:cs="宋体"/>
          <w:b/>
          <w:color w:val="auto"/>
          <w:szCs w:val="21"/>
          <w:highlight w:val="none"/>
        </w:rPr>
      </w:pPr>
      <w:bookmarkStart w:id="372" w:name="_Toc68599931"/>
      <w:bookmarkStart w:id="373" w:name="_Toc13648"/>
      <w:r>
        <w:rPr>
          <w:rFonts w:hint="eastAsia" w:ascii="宋体" w:hAnsi="宋体" w:cs="宋体"/>
          <w:b/>
          <w:color w:val="auto"/>
          <w:szCs w:val="21"/>
          <w:highlight w:val="none"/>
        </w:rPr>
        <w:t xml:space="preserve">8.2  </w:t>
      </w:r>
      <w:bookmarkEnd w:id="366"/>
      <w:bookmarkEnd w:id="367"/>
      <w:bookmarkEnd w:id="368"/>
      <w:bookmarkEnd w:id="369"/>
      <w:r>
        <w:rPr>
          <w:rFonts w:hint="eastAsia" w:ascii="宋体" w:hAnsi="宋体" w:cs="宋体"/>
          <w:b/>
          <w:color w:val="auto"/>
          <w:szCs w:val="21"/>
          <w:highlight w:val="none"/>
        </w:rPr>
        <w:t>二次比选和不再</w:t>
      </w:r>
      <w:bookmarkEnd w:id="370"/>
      <w:bookmarkEnd w:id="371"/>
      <w:r>
        <w:rPr>
          <w:rFonts w:hint="eastAsia" w:ascii="宋体" w:hAnsi="宋体" w:cs="宋体"/>
          <w:b/>
          <w:color w:val="auto"/>
          <w:szCs w:val="21"/>
          <w:highlight w:val="none"/>
        </w:rPr>
        <w:t>比选</w:t>
      </w:r>
      <w:bookmarkEnd w:id="372"/>
      <w:bookmarkEnd w:id="373"/>
    </w:p>
    <w:p w14:paraId="4D224615">
      <w:pPr>
        <w:autoSpaceDE w:val="0"/>
        <w:autoSpaceDN w:val="0"/>
        <w:adjustRightInd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重新公开竞争性比选后比选申请人仍少于3人，按法定程序开标和评选，确定中选人。经评审无合格比选申请人，报经原审批部门批准可以不再比选。</w:t>
      </w:r>
    </w:p>
    <w:p w14:paraId="190977A2">
      <w:pPr>
        <w:pStyle w:val="4"/>
        <w:numPr>
          <w:ilvl w:val="0"/>
          <w:numId w:val="0"/>
        </w:numPr>
        <w:tabs>
          <w:tab w:val="left" w:pos="720"/>
          <w:tab w:val="clear" w:pos="709"/>
        </w:tabs>
        <w:snapToGrid w:val="0"/>
        <w:spacing w:line="360" w:lineRule="auto"/>
        <w:rPr>
          <w:rFonts w:hint="eastAsia" w:ascii="宋体" w:hAnsi="宋体" w:eastAsia="宋体" w:cs="宋体"/>
          <w:bCs/>
          <w:color w:val="auto"/>
          <w:szCs w:val="21"/>
          <w:highlight w:val="none"/>
        </w:rPr>
      </w:pPr>
      <w:bookmarkStart w:id="374" w:name="_Toc21681"/>
      <w:r>
        <w:rPr>
          <w:rFonts w:hint="eastAsia" w:ascii="宋体" w:hAnsi="宋体" w:eastAsia="宋体" w:cs="宋体"/>
          <w:bCs/>
          <w:color w:val="auto"/>
          <w:szCs w:val="21"/>
          <w:highlight w:val="none"/>
        </w:rPr>
        <w:t>9.  纪律和监督</w:t>
      </w:r>
      <w:bookmarkEnd w:id="111"/>
      <w:bookmarkEnd w:id="112"/>
      <w:bookmarkEnd w:id="113"/>
      <w:bookmarkEnd w:id="114"/>
      <w:bookmarkEnd w:id="115"/>
      <w:bookmarkEnd w:id="374"/>
    </w:p>
    <w:p w14:paraId="600EF22C">
      <w:pPr>
        <w:pStyle w:val="4"/>
        <w:numPr>
          <w:ilvl w:val="0"/>
          <w:numId w:val="0"/>
        </w:numPr>
        <w:tabs>
          <w:tab w:val="left" w:pos="720"/>
          <w:tab w:val="clear" w:pos="709"/>
        </w:tabs>
        <w:snapToGrid w:val="0"/>
        <w:spacing w:line="360" w:lineRule="auto"/>
        <w:ind w:firstLine="422" w:firstLineChars="200"/>
        <w:rPr>
          <w:rFonts w:hint="eastAsia" w:ascii="宋体" w:hAnsi="宋体" w:eastAsia="宋体" w:cs="宋体"/>
          <w:bCs/>
          <w:color w:val="auto"/>
          <w:szCs w:val="21"/>
          <w:highlight w:val="none"/>
        </w:rPr>
      </w:pPr>
      <w:bookmarkStart w:id="375" w:name="_Toc277082599"/>
      <w:bookmarkStart w:id="376" w:name="_Toc287607793"/>
      <w:bookmarkStart w:id="377" w:name="_Toc14391"/>
      <w:bookmarkStart w:id="378" w:name="_Toc287620732"/>
      <w:bookmarkStart w:id="379" w:name="_Toc224103364"/>
      <w:bookmarkStart w:id="380" w:name="_Toc200513173"/>
      <w:r>
        <w:rPr>
          <w:rFonts w:hint="eastAsia" w:ascii="宋体" w:hAnsi="宋体" w:eastAsia="宋体" w:cs="宋体"/>
          <w:bCs/>
          <w:color w:val="auto"/>
          <w:szCs w:val="21"/>
          <w:highlight w:val="none"/>
        </w:rPr>
        <w:t>9.1  对比选人的纪律要求</w:t>
      </w:r>
      <w:bookmarkEnd w:id="375"/>
      <w:bookmarkEnd w:id="376"/>
      <w:bookmarkEnd w:id="377"/>
      <w:bookmarkEnd w:id="378"/>
      <w:bookmarkEnd w:id="379"/>
      <w:bookmarkEnd w:id="380"/>
    </w:p>
    <w:p w14:paraId="61DAE0A6">
      <w:pPr>
        <w:autoSpaceDE w:val="0"/>
        <w:autoSpaceDN w:val="0"/>
        <w:adjustRightInd w:val="0"/>
        <w:snapToGrid w:val="0"/>
        <w:spacing w:line="360" w:lineRule="auto"/>
        <w:ind w:firstLine="420"/>
        <w:jc w:val="left"/>
        <w:rPr>
          <w:rFonts w:hint="eastAsia" w:ascii="宋体" w:hAnsi="宋体" w:cs="宋体"/>
          <w:color w:val="auto"/>
          <w:highlight w:val="none"/>
        </w:rPr>
      </w:pPr>
      <w:r>
        <w:rPr>
          <w:rFonts w:hint="eastAsia" w:ascii="宋体" w:hAnsi="宋体" w:cs="宋体"/>
          <w:snapToGrid w:val="0"/>
          <w:color w:val="auto"/>
          <w:kern w:val="0"/>
          <w:szCs w:val="21"/>
          <w:highlight w:val="none"/>
        </w:rPr>
        <w:t>比选人不得泄漏比选比选申请活动中应当保密的情况和资料，不得与比选申请人串通损害国家利 益、社会公共利益或者他人合法权益，</w:t>
      </w:r>
      <w:r>
        <w:rPr>
          <w:rFonts w:hint="eastAsia" w:ascii="宋体" w:hAnsi="宋体" w:cs="宋体"/>
          <w:color w:val="auto"/>
          <w:highlight w:val="none"/>
        </w:rPr>
        <w:t>禁止比选人与比选申请人串通比选申请。</w:t>
      </w:r>
    </w:p>
    <w:p w14:paraId="3FF17393">
      <w:pPr>
        <w:autoSpaceDE w:val="0"/>
        <w:autoSpaceDN w:val="0"/>
        <w:adjustRightInd w:val="0"/>
        <w:snapToGrid w:val="0"/>
        <w:spacing w:line="360" w:lineRule="auto"/>
        <w:ind w:firstLine="420"/>
        <w:jc w:val="left"/>
        <w:rPr>
          <w:rFonts w:hint="eastAsia" w:ascii="宋体" w:hAnsi="宋体" w:cs="宋体"/>
          <w:color w:val="auto"/>
          <w:highlight w:val="none"/>
        </w:rPr>
      </w:pPr>
      <w:r>
        <w:rPr>
          <w:rFonts w:hint="eastAsia" w:ascii="宋体" w:hAnsi="宋体" w:cs="宋体"/>
          <w:color w:val="auto"/>
          <w:highlight w:val="none"/>
        </w:rPr>
        <w:t>有下列情形之一的，属于比选人与比选申请人串通比选申请：</w:t>
      </w:r>
    </w:p>
    <w:p w14:paraId="74212BED">
      <w:pPr>
        <w:autoSpaceDE w:val="0"/>
        <w:autoSpaceDN w:val="0"/>
        <w:adjustRightInd w:val="0"/>
        <w:snapToGrid w:val="0"/>
        <w:spacing w:line="360" w:lineRule="auto"/>
        <w:ind w:firstLine="420"/>
        <w:jc w:val="left"/>
        <w:rPr>
          <w:rFonts w:hint="eastAsia" w:ascii="宋体" w:hAnsi="宋体" w:cs="宋体"/>
          <w:color w:val="auto"/>
          <w:highlight w:val="none"/>
        </w:rPr>
      </w:pPr>
      <w:r>
        <w:rPr>
          <w:rFonts w:hint="eastAsia" w:ascii="宋体" w:hAnsi="宋体" w:cs="宋体"/>
          <w:color w:val="auto"/>
          <w:highlight w:val="none"/>
        </w:rPr>
        <w:t>（1）比选人在开标前开启比选申请文件并将有关信息泄露给其他比选申请人;</w:t>
      </w:r>
    </w:p>
    <w:p w14:paraId="46E388D1">
      <w:pPr>
        <w:autoSpaceDE w:val="0"/>
        <w:autoSpaceDN w:val="0"/>
        <w:adjustRightInd w:val="0"/>
        <w:snapToGrid w:val="0"/>
        <w:spacing w:line="360" w:lineRule="auto"/>
        <w:ind w:firstLine="420"/>
        <w:jc w:val="left"/>
        <w:rPr>
          <w:rFonts w:hint="eastAsia" w:ascii="宋体" w:hAnsi="宋体" w:cs="宋体"/>
          <w:color w:val="auto"/>
          <w:highlight w:val="none"/>
        </w:rPr>
      </w:pPr>
      <w:r>
        <w:rPr>
          <w:rFonts w:hint="eastAsia" w:ascii="宋体" w:hAnsi="宋体" w:cs="宋体"/>
          <w:color w:val="auto"/>
          <w:highlight w:val="none"/>
        </w:rPr>
        <w:t>（2）比选人直接或者间接向比选申请人泄露标底、评标委员会成员等信息；</w:t>
      </w:r>
    </w:p>
    <w:p w14:paraId="4686CBD5">
      <w:pPr>
        <w:autoSpaceDE w:val="0"/>
        <w:autoSpaceDN w:val="0"/>
        <w:adjustRightInd w:val="0"/>
        <w:snapToGrid w:val="0"/>
        <w:spacing w:line="360" w:lineRule="auto"/>
        <w:ind w:firstLine="420"/>
        <w:jc w:val="left"/>
        <w:rPr>
          <w:rFonts w:hint="eastAsia" w:ascii="宋体" w:hAnsi="宋体" w:cs="宋体"/>
          <w:color w:val="auto"/>
          <w:highlight w:val="none"/>
        </w:rPr>
      </w:pPr>
      <w:r>
        <w:rPr>
          <w:rFonts w:hint="eastAsia" w:ascii="宋体" w:hAnsi="宋体" w:cs="宋体"/>
          <w:color w:val="auto"/>
          <w:highlight w:val="none"/>
        </w:rPr>
        <w:t>（3）比选人明示或者暗示比选申请人压低或者抬高比选申请报价；</w:t>
      </w:r>
    </w:p>
    <w:p w14:paraId="056961F5">
      <w:pPr>
        <w:autoSpaceDE w:val="0"/>
        <w:autoSpaceDN w:val="0"/>
        <w:adjustRightInd w:val="0"/>
        <w:snapToGrid w:val="0"/>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（4）比选人授意比选申请人撤换、修改比选申请文件；</w:t>
      </w:r>
    </w:p>
    <w:p w14:paraId="3B55DF63">
      <w:pPr>
        <w:autoSpaceDE w:val="0"/>
        <w:autoSpaceDN w:val="0"/>
        <w:adjustRightInd w:val="0"/>
        <w:snapToGrid w:val="0"/>
        <w:spacing w:line="360" w:lineRule="auto"/>
        <w:ind w:firstLine="420"/>
        <w:jc w:val="left"/>
        <w:rPr>
          <w:rFonts w:hint="eastAsia" w:ascii="宋体" w:hAnsi="宋体" w:cs="宋体"/>
          <w:color w:val="auto"/>
          <w:highlight w:val="none"/>
        </w:rPr>
      </w:pPr>
      <w:r>
        <w:rPr>
          <w:rFonts w:hint="eastAsia" w:ascii="宋体" w:hAnsi="宋体" w:cs="宋体"/>
          <w:color w:val="auto"/>
          <w:highlight w:val="none"/>
        </w:rPr>
        <w:t>（5）比选人明示或者暗示比选申请人为特定比选申请人中标提供方便；</w:t>
      </w:r>
    </w:p>
    <w:p w14:paraId="6E575AF2">
      <w:pPr>
        <w:autoSpaceDE w:val="0"/>
        <w:autoSpaceDN w:val="0"/>
        <w:adjustRightInd w:val="0"/>
        <w:snapToGrid w:val="0"/>
        <w:spacing w:line="360" w:lineRule="auto"/>
        <w:ind w:firstLine="420"/>
        <w:jc w:val="left"/>
        <w:rPr>
          <w:rFonts w:hint="eastAsia" w:ascii="宋体" w:hAnsi="宋体" w:cs="宋体"/>
          <w:snapToGrid w:val="0"/>
          <w:color w:val="auto"/>
          <w:kern w:val="0"/>
          <w:szCs w:val="21"/>
          <w:highlight w:val="none"/>
        </w:rPr>
      </w:pPr>
      <w:r>
        <w:rPr>
          <w:rFonts w:hint="eastAsia" w:ascii="宋体" w:hAnsi="宋体" w:cs="宋体"/>
          <w:color w:val="auto"/>
          <w:highlight w:val="none"/>
        </w:rPr>
        <w:t>（6）比选人与比选申请人为谋求特定比选申请人中标而采取的其他串通行为。</w:t>
      </w:r>
    </w:p>
    <w:p w14:paraId="0DAC41A0">
      <w:pPr>
        <w:pStyle w:val="4"/>
        <w:numPr>
          <w:ilvl w:val="0"/>
          <w:numId w:val="0"/>
        </w:numPr>
        <w:tabs>
          <w:tab w:val="left" w:pos="720"/>
          <w:tab w:val="clear" w:pos="709"/>
        </w:tabs>
        <w:snapToGrid w:val="0"/>
        <w:spacing w:line="360" w:lineRule="auto"/>
        <w:ind w:firstLine="422" w:firstLineChars="200"/>
        <w:rPr>
          <w:rFonts w:hint="eastAsia" w:ascii="宋体" w:hAnsi="宋体" w:eastAsia="宋体" w:cs="宋体"/>
          <w:bCs/>
          <w:color w:val="auto"/>
          <w:szCs w:val="21"/>
          <w:highlight w:val="none"/>
        </w:rPr>
      </w:pPr>
      <w:bookmarkStart w:id="381" w:name="_Toc200513174"/>
      <w:bookmarkStart w:id="382" w:name="_Toc277082600"/>
      <w:bookmarkStart w:id="383" w:name="_Toc24151"/>
      <w:bookmarkStart w:id="384" w:name="_Toc224103365"/>
      <w:bookmarkStart w:id="385" w:name="_Toc287607794"/>
      <w:bookmarkStart w:id="386" w:name="_Toc287620733"/>
      <w:r>
        <w:rPr>
          <w:rFonts w:hint="eastAsia" w:ascii="宋体" w:hAnsi="宋体" w:eastAsia="宋体" w:cs="宋体"/>
          <w:bCs/>
          <w:color w:val="auto"/>
          <w:szCs w:val="21"/>
          <w:highlight w:val="none"/>
        </w:rPr>
        <w:t>9.2  对比选申请人的纪律要求</w:t>
      </w:r>
      <w:bookmarkEnd w:id="381"/>
      <w:bookmarkEnd w:id="382"/>
      <w:bookmarkEnd w:id="383"/>
      <w:bookmarkEnd w:id="384"/>
      <w:bookmarkEnd w:id="385"/>
      <w:bookmarkEnd w:id="386"/>
    </w:p>
    <w:p w14:paraId="77073A0D">
      <w:pPr>
        <w:spacing w:line="400" w:lineRule="exact"/>
        <w:rPr>
          <w:rFonts w:hint="eastAsia" w:ascii="宋体" w:hAnsi="宋体" w:cs="宋体"/>
          <w:color w:val="auto"/>
          <w:szCs w:val="21"/>
          <w:highlight w:val="none"/>
        </w:rPr>
      </w:pPr>
      <w:bookmarkStart w:id="387" w:name="_Toc287607795"/>
      <w:bookmarkStart w:id="388" w:name="_Toc224103366"/>
      <w:bookmarkStart w:id="389" w:name="_Toc277082601"/>
      <w:bookmarkStart w:id="390" w:name="_Toc287620734"/>
      <w:bookmarkStart w:id="391" w:name="_Toc200513175"/>
      <w:r>
        <w:rPr>
          <w:rFonts w:hint="eastAsia" w:ascii="宋体" w:hAnsi="宋体" w:cs="宋体"/>
          <w:color w:val="auto"/>
          <w:szCs w:val="21"/>
          <w:highlight w:val="none"/>
        </w:rPr>
        <w:t xml:space="preserve">   比选申请人不得相互串通比选申请或者与比选人串通比选申请，不得向比选申请人或者评审委员会成员行贿谋取中标，不得以他人名义比选申请或者以其他方式弄虚作假骗取中标；比选申请人不得以任何方式干扰、影响评审工作。</w:t>
      </w:r>
    </w:p>
    <w:p w14:paraId="2E133422">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有下列情形之一的，属于比选申请人相互串通比选申请：</w:t>
      </w:r>
    </w:p>
    <w:p w14:paraId="66D7B717">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（1）比选申请人之间协商比选申请总报价等比选申请文件的实质性内容；</w:t>
      </w:r>
    </w:p>
    <w:p w14:paraId="48B7BF1E">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（2）比选申请人之间约定中选人；</w:t>
      </w:r>
    </w:p>
    <w:p w14:paraId="0B2E1603">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（3）比选申请人之间约定部分比选申请人放弃比选申请或者中标；</w:t>
      </w:r>
    </w:p>
    <w:p w14:paraId="2AD92DF8">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（4）属于同一集团、协会、商会等组织成员的比选申请人按照该组织要求协同比选申请；</w:t>
      </w:r>
    </w:p>
    <w:p w14:paraId="4AAB24E4">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（5）比选申请人之间为谋取中标或者排斥特定比选申请人而采取的其他联合行动。</w:t>
      </w:r>
    </w:p>
    <w:p w14:paraId="4A4045C4">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有下列情形之一的，视为比选申请人相互串通比选申请：</w:t>
      </w:r>
    </w:p>
    <w:p w14:paraId="18668C4F">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（1）不同比选申请人的比选申请文件由同一单位或者个人编制；</w:t>
      </w:r>
    </w:p>
    <w:p w14:paraId="765C01F7">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（2）不同比选申请人委托同一单位或者个人办理比选申请事宜；</w:t>
      </w:r>
    </w:p>
    <w:p w14:paraId="220BFE98">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（3）不同比选申请人的比选申请文件载明的项目管理成员为同一人；</w:t>
      </w:r>
    </w:p>
    <w:p w14:paraId="1531BC8C">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（4）不同比选申请人的比选申请文件相互混装；</w:t>
      </w:r>
    </w:p>
    <w:p w14:paraId="7B83C6ED">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（5）不同比选申请人的比选申请保证金从同一单位或者个人的账户转出。</w:t>
      </w:r>
    </w:p>
    <w:p w14:paraId="6F295F9E">
      <w:pPr>
        <w:pStyle w:val="4"/>
        <w:numPr>
          <w:ilvl w:val="0"/>
          <w:numId w:val="0"/>
        </w:numPr>
        <w:tabs>
          <w:tab w:val="left" w:pos="720"/>
          <w:tab w:val="clear" w:pos="709"/>
        </w:tabs>
        <w:snapToGrid w:val="0"/>
        <w:spacing w:line="360" w:lineRule="auto"/>
        <w:rPr>
          <w:rFonts w:hint="eastAsia" w:ascii="宋体" w:hAnsi="宋体" w:eastAsia="宋体" w:cs="宋体"/>
          <w:b w:val="0"/>
          <w:color w:val="auto"/>
          <w:szCs w:val="21"/>
          <w:highlight w:val="none"/>
        </w:rPr>
      </w:pPr>
      <w:bookmarkStart w:id="392" w:name="_Toc893"/>
      <w:bookmarkStart w:id="393" w:name="_Toc22154"/>
      <w:bookmarkStart w:id="394" w:name="_Toc13774"/>
      <w:bookmarkStart w:id="395" w:name="_Toc24696"/>
      <w:bookmarkStart w:id="396" w:name="_Toc30102"/>
      <w:bookmarkStart w:id="397" w:name="_Toc30925"/>
      <w:bookmarkStart w:id="398" w:name="_Toc85618731"/>
      <w:bookmarkStart w:id="399" w:name="_Toc21371"/>
      <w:bookmarkStart w:id="400" w:name="_Toc23946"/>
      <w:r>
        <w:rPr>
          <w:rFonts w:hint="eastAsia" w:ascii="宋体" w:hAnsi="宋体" w:eastAsia="宋体" w:cs="宋体"/>
          <w:b w:val="0"/>
          <w:color w:val="auto"/>
          <w:szCs w:val="21"/>
          <w:highlight w:val="none"/>
        </w:rPr>
        <w:t>使用通过受让或者租借等方式获取的资格、资质证书比选申请的，属于以他人名义比选申请。</w:t>
      </w:r>
    </w:p>
    <w:p w14:paraId="1EAA986D">
      <w:pPr>
        <w:pStyle w:val="4"/>
        <w:numPr>
          <w:ilvl w:val="0"/>
          <w:numId w:val="0"/>
        </w:numPr>
        <w:tabs>
          <w:tab w:val="left" w:pos="720"/>
          <w:tab w:val="clear" w:pos="709"/>
        </w:tabs>
        <w:snapToGrid w:val="0"/>
        <w:spacing w:line="360" w:lineRule="auto"/>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  比选申请人有下列情形之一的，属于以其他方式弄虚作假的行为，将取消比选申请或中标资格。</w:t>
      </w:r>
    </w:p>
    <w:p w14:paraId="5EAF5987">
      <w:pPr>
        <w:pStyle w:val="4"/>
        <w:numPr>
          <w:ilvl w:val="0"/>
          <w:numId w:val="0"/>
        </w:numPr>
        <w:tabs>
          <w:tab w:val="left" w:pos="720"/>
          <w:tab w:val="clear" w:pos="709"/>
        </w:tabs>
        <w:snapToGrid w:val="0"/>
        <w:spacing w:line="360" w:lineRule="auto"/>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  （一）使用伪造、变造的许可证件；</w:t>
      </w:r>
    </w:p>
    <w:p w14:paraId="206BEB5A">
      <w:pPr>
        <w:pStyle w:val="4"/>
        <w:numPr>
          <w:ilvl w:val="0"/>
          <w:numId w:val="0"/>
        </w:numPr>
        <w:tabs>
          <w:tab w:val="left" w:pos="720"/>
          <w:tab w:val="clear" w:pos="709"/>
        </w:tabs>
        <w:snapToGrid w:val="0"/>
        <w:spacing w:line="360" w:lineRule="auto"/>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  （二）提供虚假的财务状况或者业绩；</w:t>
      </w:r>
    </w:p>
    <w:p w14:paraId="75782F6B">
      <w:pPr>
        <w:pStyle w:val="4"/>
        <w:numPr>
          <w:ilvl w:val="0"/>
          <w:numId w:val="0"/>
        </w:numPr>
        <w:tabs>
          <w:tab w:val="left" w:pos="720"/>
          <w:tab w:val="clear" w:pos="709"/>
        </w:tabs>
        <w:snapToGrid w:val="0"/>
        <w:spacing w:line="360" w:lineRule="auto"/>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  （三）提供虚假的项目负责人或者主要技术人员简历、劳动关系证明；</w:t>
      </w:r>
    </w:p>
    <w:p w14:paraId="63FFA8DD">
      <w:pPr>
        <w:pStyle w:val="4"/>
        <w:numPr>
          <w:ilvl w:val="0"/>
          <w:numId w:val="0"/>
        </w:numPr>
        <w:tabs>
          <w:tab w:val="left" w:pos="720"/>
          <w:tab w:val="clear" w:pos="709"/>
        </w:tabs>
        <w:snapToGrid w:val="0"/>
        <w:spacing w:line="360" w:lineRule="auto"/>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  （四）提供虚假的信用状况；</w:t>
      </w:r>
    </w:p>
    <w:p w14:paraId="2E20D774">
      <w:pPr>
        <w:pStyle w:val="4"/>
        <w:numPr>
          <w:ilvl w:val="0"/>
          <w:numId w:val="0"/>
        </w:numPr>
        <w:tabs>
          <w:tab w:val="left" w:pos="720"/>
          <w:tab w:val="clear" w:pos="709"/>
        </w:tabs>
        <w:snapToGrid w:val="0"/>
        <w:spacing w:line="360" w:lineRule="auto"/>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  （五）其他弄虚作假的行为。</w:t>
      </w:r>
      <w:bookmarkEnd w:id="392"/>
      <w:bookmarkEnd w:id="393"/>
      <w:bookmarkEnd w:id="394"/>
      <w:bookmarkEnd w:id="395"/>
      <w:bookmarkEnd w:id="396"/>
      <w:bookmarkEnd w:id="397"/>
      <w:bookmarkEnd w:id="398"/>
      <w:bookmarkEnd w:id="399"/>
      <w:bookmarkEnd w:id="400"/>
    </w:p>
    <w:p w14:paraId="3AD7ED14">
      <w:pPr>
        <w:pStyle w:val="4"/>
        <w:numPr>
          <w:ilvl w:val="0"/>
          <w:numId w:val="0"/>
        </w:numPr>
        <w:tabs>
          <w:tab w:val="left" w:pos="720"/>
          <w:tab w:val="clear" w:pos="709"/>
        </w:tabs>
        <w:snapToGrid w:val="0"/>
        <w:spacing w:line="360" w:lineRule="auto"/>
        <w:ind w:firstLine="422" w:firstLineChars="200"/>
        <w:rPr>
          <w:rFonts w:hint="eastAsia" w:ascii="宋体" w:hAnsi="宋体" w:eastAsia="宋体" w:cs="宋体"/>
          <w:bCs/>
          <w:color w:val="auto"/>
          <w:szCs w:val="21"/>
          <w:highlight w:val="none"/>
        </w:rPr>
      </w:pPr>
      <w:bookmarkStart w:id="401" w:name="_Toc17942"/>
      <w:r>
        <w:rPr>
          <w:rFonts w:hint="eastAsia" w:ascii="宋体" w:hAnsi="宋体" w:eastAsia="宋体" w:cs="宋体"/>
          <w:bCs/>
          <w:color w:val="auto"/>
          <w:szCs w:val="21"/>
          <w:highlight w:val="none"/>
        </w:rPr>
        <w:t>9.3  对评标委员会成员的纪律要求</w:t>
      </w:r>
      <w:bookmarkEnd w:id="387"/>
      <w:bookmarkEnd w:id="388"/>
      <w:bookmarkEnd w:id="389"/>
      <w:bookmarkEnd w:id="390"/>
      <w:bookmarkEnd w:id="391"/>
      <w:bookmarkEnd w:id="401"/>
    </w:p>
    <w:p w14:paraId="6439B1E1">
      <w:pPr>
        <w:autoSpaceDE w:val="0"/>
        <w:autoSpaceDN w:val="0"/>
        <w:adjustRightInd w:val="0"/>
        <w:snapToGrid w:val="0"/>
        <w:spacing w:line="360" w:lineRule="auto"/>
        <w:ind w:firstLine="420"/>
        <w:rPr>
          <w:rFonts w:hint="eastAsia" w:ascii="宋体" w:hAnsi="宋体" w:cs="宋体"/>
          <w:snapToGrid w:val="0"/>
          <w:color w:val="auto"/>
          <w:kern w:val="0"/>
          <w:szCs w:val="21"/>
          <w:highlight w:val="none"/>
        </w:rPr>
      </w:pPr>
      <w:bookmarkStart w:id="402" w:name="_Toc224103367"/>
      <w:bookmarkStart w:id="403" w:name="_Toc287607796"/>
      <w:bookmarkStart w:id="404" w:name="_Toc200513176"/>
      <w:bookmarkStart w:id="405" w:name="_Toc277082602"/>
      <w:bookmarkStart w:id="406" w:name="_Toc287620735"/>
      <w:r>
        <w:rPr>
          <w:rFonts w:hint="eastAsia" w:ascii="宋体" w:hAnsi="宋体" w:cs="宋体"/>
          <w:snapToGrid w:val="0"/>
          <w:color w:val="auto"/>
          <w:kern w:val="0"/>
          <w:szCs w:val="21"/>
          <w:highlight w:val="none"/>
        </w:rPr>
        <w:t>评选委员会成员不得收受他人的财物或者其他好处，不得向他人透漏对比选申请文件的评审和比较、中选候选人的推荐情况以及评选有关的其他情况。在评选活动中，评选委员会成员不得擅离职守，影响评选程序正常进行，不得使用第三章“评标办法”没有规定的评审因素和标准进行评选。</w:t>
      </w:r>
    </w:p>
    <w:p w14:paraId="413BA2BB">
      <w:pPr>
        <w:pStyle w:val="4"/>
        <w:numPr>
          <w:ilvl w:val="0"/>
          <w:numId w:val="0"/>
        </w:numPr>
        <w:tabs>
          <w:tab w:val="left" w:pos="720"/>
          <w:tab w:val="clear" w:pos="709"/>
        </w:tabs>
        <w:snapToGrid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9.4  对与评标活动有关的工作人员的纪律要求</w:t>
      </w:r>
      <w:bookmarkEnd w:id="402"/>
      <w:bookmarkEnd w:id="403"/>
      <w:bookmarkEnd w:id="404"/>
      <w:bookmarkEnd w:id="405"/>
      <w:bookmarkEnd w:id="406"/>
    </w:p>
    <w:p w14:paraId="494AD69B">
      <w:pPr>
        <w:autoSpaceDE w:val="0"/>
        <w:autoSpaceDN w:val="0"/>
        <w:adjustRightInd w:val="0"/>
        <w:snapToGrid w:val="0"/>
        <w:spacing w:line="360" w:lineRule="auto"/>
        <w:ind w:firstLine="42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与评标活动有关的工作人员不得收受他人的财物或者其他好处，不得向他人透漏对比选申请文件的评审和比较、中标候选人的推荐情况以及与评标有关的其他情况。在评标活动中，与评标活动有关的工作人员不得擅离职守，影响评标程序正常进行。</w:t>
      </w:r>
    </w:p>
    <w:p w14:paraId="39FFCC1A">
      <w:pPr>
        <w:pStyle w:val="4"/>
        <w:numPr>
          <w:ilvl w:val="0"/>
          <w:numId w:val="0"/>
        </w:numPr>
        <w:tabs>
          <w:tab w:val="left" w:pos="720"/>
          <w:tab w:val="clear" w:pos="709"/>
        </w:tabs>
        <w:snapToGrid w:val="0"/>
        <w:spacing w:line="360" w:lineRule="auto"/>
        <w:ind w:firstLine="422" w:firstLineChars="200"/>
        <w:rPr>
          <w:rFonts w:hint="eastAsia" w:ascii="宋体" w:hAnsi="宋体" w:eastAsia="宋体" w:cs="宋体"/>
          <w:bCs/>
          <w:color w:val="auto"/>
          <w:szCs w:val="21"/>
          <w:highlight w:val="none"/>
        </w:rPr>
      </w:pPr>
      <w:bookmarkStart w:id="407" w:name="_Toc32428"/>
      <w:bookmarkStart w:id="408" w:name="_Toc277082603"/>
      <w:bookmarkStart w:id="409" w:name="_Toc200513177"/>
      <w:bookmarkStart w:id="410" w:name="_Toc287607797"/>
      <w:bookmarkStart w:id="411" w:name="_Toc224103368"/>
      <w:bookmarkStart w:id="412" w:name="_Toc287620736"/>
      <w:r>
        <w:rPr>
          <w:rFonts w:hint="eastAsia" w:ascii="宋体" w:hAnsi="宋体" w:eastAsia="宋体" w:cs="宋体"/>
          <w:bCs/>
          <w:color w:val="auto"/>
          <w:szCs w:val="21"/>
          <w:highlight w:val="none"/>
        </w:rPr>
        <w:t>9.5  投诉</w:t>
      </w:r>
      <w:bookmarkEnd w:id="407"/>
      <w:bookmarkEnd w:id="408"/>
      <w:bookmarkEnd w:id="409"/>
      <w:bookmarkEnd w:id="410"/>
      <w:bookmarkEnd w:id="411"/>
      <w:bookmarkEnd w:id="412"/>
    </w:p>
    <w:p w14:paraId="30EE570B">
      <w:pPr>
        <w:autoSpaceDE w:val="0"/>
        <w:autoSpaceDN w:val="0"/>
        <w:adjustRightInd w:val="0"/>
        <w:snapToGrid w:val="0"/>
        <w:spacing w:line="360" w:lineRule="auto"/>
        <w:ind w:firstLine="42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比选申请人和其他利害关系人认为本次比选活动违反法律、法规和规章规定的，有权向有关行政监督部门投诉。</w:t>
      </w:r>
    </w:p>
    <w:p w14:paraId="6D6D85E6">
      <w:pPr>
        <w:pStyle w:val="4"/>
        <w:numPr>
          <w:ilvl w:val="0"/>
          <w:numId w:val="0"/>
        </w:numPr>
        <w:tabs>
          <w:tab w:val="left" w:pos="720"/>
          <w:tab w:val="clear" w:pos="709"/>
        </w:tabs>
        <w:snapToGrid w:val="0"/>
        <w:spacing w:line="360" w:lineRule="auto"/>
        <w:rPr>
          <w:rFonts w:hint="eastAsia" w:ascii="宋体" w:hAnsi="宋体" w:eastAsia="宋体" w:cs="宋体"/>
          <w:bCs/>
          <w:color w:val="auto"/>
          <w:szCs w:val="21"/>
          <w:highlight w:val="none"/>
        </w:rPr>
      </w:pPr>
      <w:bookmarkStart w:id="413" w:name="_Toc277082604"/>
      <w:bookmarkStart w:id="414" w:name="_Toc200513178"/>
      <w:bookmarkStart w:id="415" w:name="_Toc20557"/>
      <w:bookmarkStart w:id="416" w:name="_Toc287607798"/>
      <w:bookmarkStart w:id="417" w:name="_Toc224103369"/>
      <w:bookmarkStart w:id="418" w:name="_Toc287620737"/>
      <w:r>
        <w:rPr>
          <w:rFonts w:hint="eastAsia" w:ascii="宋体" w:hAnsi="宋体" w:eastAsia="宋体" w:cs="宋体"/>
          <w:bCs/>
          <w:color w:val="auto"/>
          <w:szCs w:val="21"/>
          <w:highlight w:val="none"/>
        </w:rPr>
        <w:t>10. 需要补充的其他内容</w:t>
      </w:r>
      <w:bookmarkEnd w:id="413"/>
      <w:bookmarkEnd w:id="414"/>
      <w:bookmarkEnd w:id="415"/>
      <w:bookmarkEnd w:id="416"/>
      <w:bookmarkEnd w:id="417"/>
      <w:bookmarkEnd w:id="418"/>
    </w:p>
    <w:p w14:paraId="7F33FE9A">
      <w:pPr>
        <w:autoSpaceDE w:val="0"/>
        <w:autoSpaceDN w:val="0"/>
        <w:adjustRightInd w:val="0"/>
        <w:snapToGrid w:val="0"/>
        <w:spacing w:line="360" w:lineRule="auto"/>
        <w:ind w:firstLine="42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需要补充的其他内容：见比选申请人须知前附表。</w:t>
      </w:r>
    </w:p>
    <w:bookmarkEnd w:id="27"/>
    <w:p w14:paraId="7ADEB5D1">
      <w:pPr>
        <w:rPr>
          <w:rFonts w:hint="eastAsia" w:ascii="宋体" w:hAnsi="宋体" w:cs="宋体"/>
          <w:color w:val="auto"/>
          <w:highlight w:val="none"/>
        </w:rPr>
      </w:pPr>
      <w:bookmarkStart w:id="419" w:name="F6102ACA19974746A180FCBC8DA401C4"/>
      <w:bookmarkStart w:id="420" w:name="_Toc287607854"/>
    </w:p>
    <w:p w14:paraId="126A14F5">
      <w:pPr>
        <w:pStyle w:val="19"/>
        <w:rPr>
          <w:rFonts w:hint="eastAsia" w:cs="宋体"/>
          <w:color w:val="auto"/>
          <w:highlight w:val="none"/>
        </w:rPr>
      </w:pPr>
    </w:p>
    <w:p w14:paraId="717707EB">
      <w:pPr>
        <w:rPr>
          <w:rFonts w:hint="eastAsia" w:ascii="宋体" w:hAnsi="宋体" w:cs="宋体"/>
          <w:color w:val="auto"/>
          <w:highlight w:val="none"/>
        </w:rPr>
      </w:pPr>
    </w:p>
    <w:p w14:paraId="52EC640D">
      <w:pPr>
        <w:pStyle w:val="19"/>
        <w:rPr>
          <w:rFonts w:hint="eastAsia" w:cs="宋体"/>
          <w:color w:val="auto"/>
          <w:highlight w:val="none"/>
        </w:rPr>
      </w:pPr>
    </w:p>
    <w:p w14:paraId="481DD89E">
      <w:pPr>
        <w:rPr>
          <w:rFonts w:hint="eastAsia" w:ascii="宋体" w:hAnsi="宋体" w:cs="宋体"/>
          <w:color w:val="auto"/>
          <w:highlight w:val="none"/>
        </w:rPr>
      </w:pPr>
    </w:p>
    <w:p w14:paraId="11A177AB">
      <w:pPr>
        <w:rPr>
          <w:rFonts w:hint="eastAsia" w:ascii="宋体" w:hAnsi="宋体" w:cs="宋体"/>
          <w:color w:val="auto"/>
          <w:highlight w:val="none"/>
        </w:rPr>
      </w:pPr>
      <w:bookmarkStart w:id="421" w:name="_Toc27886"/>
      <w:bookmarkStart w:id="422" w:name="_Toc4916"/>
      <w:bookmarkStart w:id="423" w:name="BigMark"/>
      <w:r>
        <w:rPr>
          <w:rFonts w:hint="eastAsia" w:ascii="宋体" w:hAnsi="宋体" w:cs="宋体"/>
          <w:color w:val="auto"/>
          <w:highlight w:val="none"/>
        </w:rPr>
        <w:br w:type="page"/>
      </w:r>
    </w:p>
    <w:p w14:paraId="21FB3D96">
      <w:pPr>
        <w:pStyle w:val="2"/>
        <w:spacing w:line="240" w:lineRule="auto"/>
        <w:jc w:val="center"/>
        <w:rPr>
          <w:rFonts w:hint="eastAsia" w:ascii="宋体" w:hAnsi="宋体" w:cs="宋体"/>
          <w:color w:val="auto"/>
          <w:highlight w:val="none"/>
        </w:rPr>
      </w:pPr>
      <w:r>
        <w:rPr>
          <w:rFonts w:hint="eastAsia" w:ascii="宋体" w:hAnsi="宋体" w:cs="宋体"/>
          <w:color w:val="auto"/>
          <w:highlight w:val="none"/>
        </w:rPr>
        <w:t>第三章 评标办法(</w:t>
      </w:r>
      <w:r>
        <w:rPr>
          <w:rFonts w:hint="eastAsia" w:ascii="宋体" w:hAnsi="宋体"/>
          <w:snapToGrid w:val="0"/>
          <w:kern w:val="0"/>
          <w:highlight w:val="none"/>
        </w:rPr>
        <w:t>经评审的最低投标价法</w:t>
      </w:r>
      <w:r>
        <w:rPr>
          <w:rFonts w:hint="eastAsia" w:ascii="宋体" w:hAnsi="宋体" w:cs="宋体"/>
          <w:color w:val="auto"/>
          <w:highlight w:val="none"/>
        </w:rPr>
        <w:t>)</w:t>
      </w:r>
      <w:bookmarkEnd w:id="421"/>
      <w:bookmarkEnd w:id="422"/>
    </w:p>
    <w:bookmarkEnd w:id="419"/>
    <w:bookmarkEnd w:id="420"/>
    <w:bookmarkEnd w:id="423"/>
    <w:p w14:paraId="2B40C4F7">
      <w:pPr>
        <w:pStyle w:val="3"/>
        <w:numPr>
          <w:ilvl w:val="0"/>
          <w:numId w:val="0"/>
        </w:numPr>
        <w:tabs>
          <w:tab w:val="clear" w:pos="567"/>
          <w:tab w:val="clear" w:pos="576"/>
        </w:tabs>
        <w:ind w:left="2"/>
        <w:rPr>
          <w:rFonts w:hint="eastAsia" w:ascii="宋体" w:hAnsi="宋体" w:eastAsia="宋体" w:cs="宋体"/>
          <w:color w:val="auto"/>
          <w:highlight w:val="none"/>
        </w:rPr>
      </w:pPr>
      <w:bookmarkStart w:id="424" w:name="_Toc25932"/>
      <w:bookmarkStart w:id="425" w:name="_Toc224103383"/>
      <w:bookmarkStart w:id="426" w:name="_Toc391220190"/>
      <w:r>
        <w:rPr>
          <w:rFonts w:hint="eastAsia" w:ascii="宋体" w:hAnsi="宋体" w:eastAsia="宋体" w:cs="宋体"/>
          <w:color w:val="auto"/>
          <w:highlight w:val="none"/>
        </w:rPr>
        <w:t>评标办法前附表</w:t>
      </w:r>
      <w:bookmarkEnd w:id="424"/>
      <w:bookmarkEnd w:id="425"/>
      <w:bookmarkEnd w:id="426"/>
    </w:p>
    <w:p w14:paraId="0F0E88E4">
      <w:pPr>
        <w:ind w:firstLine="420" w:firstLineChars="200"/>
        <w:rPr>
          <w:rFonts w:hint="eastAsia" w:ascii="宋体" w:hAnsi="宋体" w:cs="宋体"/>
          <w:color w:val="auto"/>
          <w:highlight w:val="none"/>
        </w:rPr>
      </w:pPr>
      <w:r>
        <w:rPr>
          <w:rFonts w:hint="eastAsia" w:ascii="宋体" w:hAnsi="宋体" w:cs="宋体"/>
          <w:color w:val="auto"/>
          <w:highlight w:val="none"/>
        </w:rPr>
        <w:t>评标办法前附表中的评审内容必须和比选申请人须知前附表中的对应内容一致，若比选申请人须知前附表中未作要求的内容，不得列入评标办法前附表作为评定依据。</w:t>
      </w:r>
    </w:p>
    <w:tbl>
      <w:tblPr>
        <w:tblStyle w:val="51"/>
        <w:tblpPr w:leftFromText="180" w:rightFromText="180" w:vertAnchor="text" w:horzAnchor="page" w:tblpX="1240" w:tblpY="299"/>
        <w:tblOverlap w:val="never"/>
        <w:tblW w:w="10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8"/>
        <w:gridCol w:w="733"/>
        <w:gridCol w:w="2143"/>
        <w:gridCol w:w="6437"/>
      </w:tblGrid>
      <w:tr w14:paraId="05819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482" w:type="dxa"/>
            <w:gridSpan w:val="3"/>
            <w:noWrap w:val="0"/>
            <w:vAlign w:val="center"/>
          </w:tcPr>
          <w:p w14:paraId="2262361F">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条款号</w:t>
            </w:r>
          </w:p>
        </w:tc>
        <w:tc>
          <w:tcPr>
            <w:tcW w:w="2143" w:type="dxa"/>
            <w:noWrap w:val="0"/>
            <w:vAlign w:val="center"/>
          </w:tcPr>
          <w:p w14:paraId="305890B3">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评审因素</w:t>
            </w:r>
          </w:p>
        </w:tc>
        <w:tc>
          <w:tcPr>
            <w:tcW w:w="6437" w:type="dxa"/>
            <w:noWrap w:val="0"/>
            <w:vAlign w:val="center"/>
          </w:tcPr>
          <w:p w14:paraId="7BBBAF8B">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评审标准</w:t>
            </w:r>
          </w:p>
        </w:tc>
      </w:tr>
      <w:tr w14:paraId="6D965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482" w:type="dxa"/>
            <w:gridSpan w:val="3"/>
            <w:noWrap w:val="0"/>
            <w:vAlign w:val="center"/>
          </w:tcPr>
          <w:p w14:paraId="011BF93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color w:val="auto"/>
                <w:kern w:val="0"/>
                <w:highlight w:val="none"/>
              </w:rPr>
            </w:pPr>
            <w:r>
              <w:rPr>
                <w:rFonts w:hint="eastAsia" w:ascii="宋体" w:hAnsi="宋体" w:eastAsia="Times New Roman" w:cs="宋体"/>
                <w:b/>
                <w:color w:val="000000"/>
                <w:kern w:val="0"/>
                <w:highlight w:val="none"/>
              </w:rPr>
              <w:t>1</w:t>
            </w:r>
          </w:p>
        </w:tc>
        <w:tc>
          <w:tcPr>
            <w:tcW w:w="2143" w:type="dxa"/>
            <w:noWrap w:val="0"/>
            <w:vAlign w:val="center"/>
          </w:tcPr>
          <w:p w14:paraId="7F8648DA">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kern w:val="0"/>
                <w:highlight w:val="none"/>
              </w:rPr>
            </w:pPr>
            <w:r>
              <w:rPr>
                <w:rFonts w:hint="eastAsia" w:ascii="宋体" w:hAnsi="宋体" w:eastAsia="Times New Roman" w:cs="Times New Roman"/>
                <w:color w:val="000000"/>
                <w:kern w:val="0"/>
                <w:highlight w:val="none"/>
              </w:rPr>
              <w:t>评标办法</w:t>
            </w:r>
          </w:p>
        </w:tc>
        <w:tc>
          <w:tcPr>
            <w:tcW w:w="6437" w:type="dxa"/>
            <w:noWrap w:val="0"/>
            <w:vAlign w:val="center"/>
          </w:tcPr>
          <w:p w14:paraId="5CCB19CD">
            <w:pPr>
              <w:keepNext w:val="0"/>
              <w:keepLines w:val="0"/>
              <w:suppressLineNumbers w:val="0"/>
              <w:spacing w:before="0" w:beforeAutospacing="0" w:after="0" w:afterAutospacing="0" w:line="360" w:lineRule="auto"/>
              <w:ind w:left="0" w:right="0" w:firstLine="422" w:firstLineChars="200"/>
              <w:jc w:val="left"/>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本次评标采用经评审的最低投标价法，评标委员会按照本章第2.1款进行报价排序，按照本章第2.2款进行符合性审查，符合性审查合格的</w:t>
            </w:r>
            <w:r>
              <w:rPr>
                <w:rFonts w:hint="eastAsia" w:ascii="宋体" w:hAnsi="宋体" w:eastAsia="宋体" w:cs="宋体"/>
                <w:b/>
                <w:color w:val="auto"/>
                <w:kern w:val="0"/>
                <w:highlight w:val="none"/>
                <w:lang w:eastAsia="zh-CN"/>
              </w:rPr>
              <w:t>比选申请人</w:t>
            </w:r>
            <w:r>
              <w:rPr>
                <w:rFonts w:hint="eastAsia" w:ascii="宋体" w:hAnsi="宋体" w:eastAsia="宋体" w:cs="宋体"/>
                <w:b/>
                <w:color w:val="auto"/>
                <w:kern w:val="0"/>
                <w:highlight w:val="none"/>
              </w:rPr>
              <w:t>中按报价由低到高推荐</w:t>
            </w:r>
            <w:r>
              <w:rPr>
                <w:rFonts w:hint="eastAsia" w:ascii="宋体" w:hAnsi="宋体" w:eastAsia="宋体" w:cs="宋体"/>
                <w:b/>
                <w:color w:val="auto"/>
                <w:kern w:val="0"/>
                <w:highlight w:val="none"/>
                <w:lang w:eastAsia="zh-CN"/>
              </w:rPr>
              <w:t>中选</w:t>
            </w:r>
            <w:r>
              <w:rPr>
                <w:rFonts w:hint="eastAsia" w:ascii="宋体" w:hAnsi="宋体" w:eastAsia="宋体" w:cs="宋体"/>
                <w:b/>
                <w:color w:val="auto"/>
                <w:kern w:val="0"/>
                <w:highlight w:val="none"/>
              </w:rPr>
              <w:t>候选人，或根据</w:t>
            </w:r>
            <w:r>
              <w:rPr>
                <w:rFonts w:hint="eastAsia" w:ascii="宋体" w:hAnsi="宋体" w:eastAsia="宋体" w:cs="宋体"/>
                <w:b/>
                <w:color w:val="auto"/>
                <w:kern w:val="0"/>
                <w:highlight w:val="none"/>
                <w:lang w:eastAsia="zh-CN"/>
              </w:rPr>
              <w:t>比选人</w:t>
            </w:r>
            <w:r>
              <w:rPr>
                <w:rFonts w:hint="eastAsia" w:ascii="宋体" w:hAnsi="宋体" w:eastAsia="宋体" w:cs="宋体"/>
                <w:b/>
                <w:color w:val="auto"/>
                <w:kern w:val="0"/>
                <w:highlight w:val="none"/>
              </w:rPr>
              <w:t>授权直接确定</w:t>
            </w:r>
            <w:r>
              <w:rPr>
                <w:rFonts w:hint="eastAsia" w:ascii="宋体" w:hAnsi="宋体" w:eastAsia="宋体" w:cs="宋体"/>
                <w:b/>
                <w:color w:val="auto"/>
                <w:kern w:val="0"/>
                <w:highlight w:val="none"/>
                <w:lang w:eastAsia="zh-CN"/>
              </w:rPr>
              <w:t>中选人</w:t>
            </w:r>
            <w:r>
              <w:rPr>
                <w:rFonts w:hint="eastAsia" w:ascii="宋体" w:hAnsi="宋体" w:eastAsia="宋体" w:cs="宋体"/>
                <w:b/>
                <w:color w:val="auto"/>
                <w:kern w:val="0"/>
                <w:highlight w:val="none"/>
              </w:rPr>
              <w:t>。若出现</w:t>
            </w:r>
            <w:r>
              <w:rPr>
                <w:rFonts w:hint="eastAsia" w:ascii="宋体" w:hAnsi="宋体" w:eastAsia="宋体" w:cs="宋体"/>
                <w:b/>
                <w:color w:val="auto"/>
                <w:kern w:val="0"/>
                <w:highlight w:val="none"/>
                <w:lang w:eastAsia="zh-CN"/>
              </w:rPr>
              <w:t>比选申请人</w:t>
            </w:r>
            <w:r>
              <w:rPr>
                <w:rFonts w:hint="eastAsia" w:ascii="宋体" w:hAnsi="宋体" w:eastAsia="宋体" w:cs="宋体"/>
                <w:b/>
                <w:color w:val="auto"/>
                <w:kern w:val="0"/>
                <w:highlight w:val="none"/>
                <w:lang w:val="en-US" w:eastAsia="zh-CN"/>
              </w:rPr>
              <w:t>的比选申请总</w:t>
            </w:r>
            <w:r>
              <w:rPr>
                <w:rFonts w:hint="eastAsia" w:ascii="宋体" w:hAnsi="宋体" w:eastAsia="宋体" w:cs="宋体"/>
                <w:b/>
                <w:color w:val="auto"/>
                <w:kern w:val="0"/>
                <w:highlight w:val="none"/>
              </w:rPr>
              <w:t>报价相同的，以“</w:t>
            </w:r>
            <w:r>
              <w:rPr>
                <w:rFonts w:hint="eastAsia" w:ascii="宋体" w:hAnsi="宋体" w:eastAsia="宋体" w:cs="宋体"/>
                <w:b/>
                <w:color w:val="auto"/>
                <w:kern w:val="0"/>
                <w:highlight w:val="none"/>
                <w:lang w:eastAsia="zh-CN"/>
              </w:rPr>
              <w:t>比选申请人</w:t>
            </w:r>
            <w:r>
              <w:rPr>
                <w:rFonts w:hint="eastAsia" w:ascii="宋体" w:hAnsi="宋体" w:eastAsia="宋体" w:cs="宋体"/>
                <w:b/>
                <w:color w:val="auto"/>
                <w:kern w:val="0"/>
                <w:highlight w:val="none"/>
              </w:rPr>
              <w:t>在红名单中优先”的原则排序，</w:t>
            </w:r>
            <w:r>
              <w:rPr>
                <w:rFonts w:hint="eastAsia" w:ascii="宋体" w:hAnsi="宋体" w:eastAsia="宋体" w:cs="宋体"/>
                <w:b/>
                <w:color w:val="auto"/>
                <w:kern w:val="0"/>
                <w:highlight w:val="none"/>
                <w:lang w:eastAsia="zh-CN"/>
              </w:rPr>
              <w:t>比选申请人</w:t>
            </w:r>
            <w:r>
              <w:rPr>
                <w:rFonts w:hint="eastAsia" w:ascii="宋体" w:hAnsi="宋体" w:eastAsia="宋体" w:cs="宋体"/>
                <w:b/>
                <w:color w:val="auto"/>
                <w:kern w:val="0"/>
                <w:highlight w:val="none"/>
              </w:rPr>
              <w:t>是否属于红名单，以开标环节信用状况查询结果为准；</w:t>
            </w:r>
            <w:r>
              <w:rPr>
                <w:rFonts w:hint="eastAsia" w:ascii="宋体" w:hAnsi="宋体" w:eastAsia="宋体" w:cs="宋体"/>
                <w:b/>
                <w:color w:val="auto"/>
                <w:kern w:val="0"/>
                <w:highlight w:val="none"/>
                <w:lang w:eastAsia="zh-CN"/>
              </w:rPr>
              <w:t>比选申请人</w:t>
            </w:r>
            <w:r>
              <w:rPr>
                <w:rFonts w:hint="eastAsia" w:ascii="宋体" w:hAnsi="宋体" w:eastAsia="宋体" w:cs="宋体"/>
                <w:b/>
                <w:color w:val="auto"/>
                <w:kern w:val="0"/>
                <w:highlight w:val="none"/>
              </w:rPr>
              <w:t>均在红名单中或均不在红名单中的，由评标委员会按照</w:t>
            </w:r>
            <w:r>
              <w:rPr>
                <w:rFonts w:hint="eastAsia" w:ascii="宋体" w:hAnsi="宋体" w:eastAsia="宋体" w:cs="宋体"/>
                <w:b/>
                <w:color w:val="auto"/>
                <w:kern w:val="0"/>
                <w:highlight w:val="none"/>
                <w:u w:val="single"/>
                <w:lang w:val="en-US" w:eastAsia="zh-CN"/>
              </w:rPr>
              <w:t>举手表决</w:t>
            </w:r>
            <w:r>
              <w:rPr>
                <w:rFonts w:hint="eastAsia" w:ascii="宋体" w:hAnsi="宋体" w:eastAsia="宋体" w:cs="宋体"/>
                <w:b/>
                <w:color w:val="auto"/>
                <w:kern w:val="0"/>
                <w:highlight w:val="none"/>
              </w:rPr>
              <w:t>原则排序。</w:t>
            </w:r>
          </w:p>
        </w:tc>
      </w:tr>
      <w:tr w14:paraId="08431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482" w:type="dxa"/>
            <w:gridSpan w:val="3"/>
            <w:noWrap w:val="0"/>
            <w:vAlign w:val="center"/>
          </w:tcPr>
          <w:p w14:paraId="391E6595">
            <w:pPr>
              <w:keepNext w:val="0"/>
              <w:keepLines w:val="0"/>
              <w:suppressLineNumbers w:val="0"/>
              <w:spacing w:before="0" w:beforeAutospacing="0" w:after="0" w:afterAutospacing="0" w:line="400" w:lineRule="exact"/>
              <w:ind w:left="0" w:right="0"/>
              <w:jc w:val="center"/>
              <w:rPr>
                <w:rFonts w:hint="eastAsia" w:ascii="宋体" w:hAnsi="宋体" w:eastAsia="Times New Roman" w:cs="宋体"/>
                <w:b/>
                <w:color w:val="000000"/>
                <w:kern w:val="0"/>
                <w:highlight w:val="none"/>
              </w:rPr>
            </w:pPr>
            <w:r>
              <w:rPr>
                <w:rFonts w:hint="eastAsia" w:ascii="宋体" w:hAnsi="宋体" w:eastAsia="Times New Roman" w:cs="Times New Roman"/>
                <w:kern w:val="0"/>
                <w:highlight w:val="none"/>
              </w:rPr>
              <w:t>2.1</w:t>
            </w:r>
          </w:p>
        </w:tc>
        <w:tc>
          <w:tcPr>
            <w:tcW w:w="2143" w:type="dxa"/>
            <w:noWrap w:val="0"/>
            <w:vAlign w:val="center"/>
          </w:tcPr>
          <w:p w14:paraId="32811B8B">
            <w:pPr>
              <w:keepNext w:val="0"/>
              <w:keepLines w:val="0"/>
              <w:suppressLineNumbers w:val="0"/>
              <w:spacing w:before="0" w:beforeAutospacing="0" w:after="0" w:afterAutospacing="0" w:line="400" w:lineRule="exact"/>
              <w:ind w:left="0" w:right="0"/>
              <w:jc w:val="center"/>
              <w:rPr>
                <w:rFonts w:hint="eastAsia" w:ascii="宋体" w:hAnsi="宋体" w:eastAsia="Times New Roman" w:cs="Times New Roman"/>
                <w:color w:val="000000"/>
                <w:kern w:val="0"/>
                <w:highlight w:val="none"/>
              </w:rPr>
            </w:pPr>
            <w:r>
              <w:rPr>
                <w:rFonts w:hint="default" w:ascii="宋体" w:hAnsi="宋体" w:eastAsia="Times New Roman" w:cs="Times New Roman"/>
                <w:kern w:val="0"/>
                <w:highlight w:val="none"/>
              </w:rPr>
              <w:t>报价</w:t>
            </w:r>
            <w:r>
              <w:rPr>
                <w:rFonts w:hint="eastAsia" w:ascii="宋体" w:hAnsi="宋体" w:eastAsia="Times New Roman" w:cs="Times New Roman"/>
                <w:kern w:val="0"/>
                <w:highlight w:val="none"/>
              </w:rPr>
              <w:t>排序</w:t>
            </w:r>
          </w:p>
        </w:tc>
        <w:tc>
          <w:tcPr>
            <w:tcW w:w="6437" w:type="dxa"/>
            <w:noWrap w:val="0"/>
            <w:vAlign w:val="center"/>
          </w:tcPr>
          <w:p w14:paraId="07292AD6">
            <w:pPr>
              <w:keepNext w:val="0"/>
              <w:keepLines w:val="0"/>
              <w:suppressLineNumbers w:val="0"/>
              <w:spacing w:before="0" w:beforeAutospacing="0" w:after="0" w:afterAutospacing="0" w:line="400" w:lineRule="exact"/>
              <w:ind w:left="0" w:right="0" w:firstLine="420" w:firstLineChars="200"/>
              <w:jc w:val="left"/>
              <w:rPr>
                <w:rFonts w:hint="eastAsia" w:ascii="宋体" w:hAnsi="宋体" w:eastAsia="宋体" w:cs="宋体"/>
                <w:b/>
                <w:color w:val="auto"/>
                <w:kern w:val="0"/>
                <w:highlight w:val="none"/>
              </w:rPr>
            </w:pPr>
            <w:r>
              <w:rPr>
                <w:rFonts w:hint="eastAsia" w:ascii="宋体" w:hAnsi="宋体" w:eastAsia="Times New Roman" w:cs="Times New Roman"/>
                <w:kern w:val="0"/>
                <w:highlight w:val="none"/>
              </w:rPr>
              <w:t>对报价不高于最高限价的所有</w:t>
            </w:r>
            <w:r>
              <w:rPr>
                <w:rFonts w:hint="eastAsia" w:ascii="宋体" w:hAnsi="宋体" w:eastAsia="Times New Roman" w:cs="Times New Roman"/>
                <w:kern w:val="0"/>
                <w:highlight w:val="none"/>
                <w:lang w:eastAsia="zh-CN"/>
              </w:rPr>
              <w:t>比选申请人</w:t>
            </w:r>
            <w:r>
              <w:rPr>
                <w:rFonts w:hint="eastAsia" w:ascii="宋体" w:hAnsi="宋体" w:eastAsia="Times New Roman" w:cs="Times New Roman"/>
                <w:kern w:val="0"/>
                <w:highlight w:val="none"/>
              </w:rPr>
              <w:t>的</w:t>
            </w:r>
            <w:r>
              <w:rPr>
                <w:rFonts w:hint="eastAsia" w:ascii="宋体" w:hAnsi="宋体" w:eastAsia="Times New Roman" w:cs="Times New Roman"/>
                <w:kern w:val="0"/>
                <w:highlight w:val="none"/>
                <w:lang w:eastAsia="zh-CN"/>
              </w:rPr>
              <w:t>比选申请文件</w:t>
            </w:r>
            <w:r>
              <w:rPr>
                <w:rFonts w:hint="eastAsia" w:ascii="宋体" w:hAnsi="宋体" w:eastAsia="Times New Roman" w:cs="Times New Roman"/>
                <w:kern w:val="0"/>
                <w:highlight w:val="none"/>
              </w:rPr>
              <w:t>，按照报价由低到高的顺序排列。</w:t>
            </w:r>
          </w:p>
        </w:tc>
      </w:tr>
      <w:tr w14:paraId="32DDD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482" w:type="dxa"/>
            <w:gridSpan w:val="3"/>
            <w:noWrap w:val="0"/>
            <w:vAlign w:val="center"/>
          </w:tcPr>
          <w:p w14:paraId="18328BA8">
            <w:pPr>
              <w:keepNext w:val="0"/>
              <w:keepLines w:val="0"/>
              <w:suppressLineNumbers w:val="0"/>
              <w:spacing w:before="0" w:beforeAutospacing="0" w:after="0" w:afterAutospacing="0" w:line="400" w:lineRule="exact"/>
              <w:ind w:left="0" w:right="0"/>
              <w:jc w:val="center"/>
              <w:rPr>
                <w:rFonts w:hint="eastAsia" w:ascii="宋体" w:hAnsi="宋体" w:eastAsia="Times New Roman" w:cs="宋体"/>
                <w:b/>
                <w:color w:val="000000"/>
                <w:kern w:val="0"/>
                <w:highlight w:val="none"/>
              </w:rPr>
            </w:pPr>
            <w:r>
              <w:rPr>
                <w:rFonts w:hint="eastAsia" w:ascii="宋体" w:hAnsi="宋体" w:eastAsia="Times New Roman" w:cs="Times New Roman"/>
                <w:kern w:val="0"/>
                <w:highlight w:val="none"/>
              </w:rPr>
              <w:t>2.2</w:t>
            </w:r>
          </w:p>
        </w:tc>
        <w:tc>
          <w:tcPr>
            <w:tcW w:w="2143" w:type="dxa"/>
            <w:noWrap w:val="0"/>
            <w:vAlign w:val="center"/>
          </w:tcPr>
          <w:p w14:paraId="7D7C4AB4">
            <w:pPr>
              <w:keepNext w:val="0"/>
              <w:keepLines w:val="0"/>
              <w:suppressLineNumbers w:val="0"/>
              <w:spacing w:before="0" w:beforeAutospacing="0" w:after="0" w:afterAutospacing="0" w:line="400" w:lineRule="exact"/>
              <w:ind w:left="0" w:right="0"/>
              <w:jc w:val="center"/>
              <w:rPr>
                <w:rFonts w:hint="eastAsia" w:ascii="宋体" w:hAnsi="宋体" w:eastAsia="Times New Roman" w:cs="Times New Roman"/>
                <w:color w:val="000000"/>
                <w:kern w:val="0"/>
                <w:highlight w:val="none"/>
              </w:rPr>
            </w:pPr>
            <w:r>
              <w:rPr>
                <w:rFonts w:hint="eastAsia" w:ascii="宋体" w:hAnsi="宋体" w:eastAsia="Times New Roman" w:cs="Times New Roman"/>
                <w:kern w:val="0"/>
                <w:highlight w:val="none"/>
              </w:rPr>
              <w:t>符合性审查</w:t>
            </w:r>
          </w:p>
        </w:tc>
        <w:tc>
          <w:tcPr>
            <w:tcW w:w="6437" w:type="dxa"/>
            <w:noWrap w:val="0"/>
            <w:vAlign w:val="center"/>
          </w:tcPr>
          <w:p w14:paraId="5CE18F4A">
            <w:pPr>
              <w:keepNext w:val="0"/>
              <w:keepLines w:val="0"/>
              <w:suppressLineNumbers w:val="0"/>
              <w:spacing w:before="0" w:beforeAutospacing="0" w:after="0" w:afterAutospacing="0" w:line="400" w:lineRule="exact"/>
              <w:ind w:left="0" w:right="0" w:firstLine="420" w:firstLineChars="200"/>
              <w:jc w:val="left"/>
              <w:rPr>
                <w:rFonts w:hint="eastAsia" w:ascii="宋体" w:hAnsi="宋体" w:eastAsia="宋体" w:cs="宋体"/>
                <w:b/>
                <w:color w:val="auto"/>
                <w:kern w:val="0"/>
                <w:highlight w:val="none"/>
              </w:rPr>
            </w:pPr>
            <w:r>
              <w:rPr>
                <w:rFonts w:hint="eastAsia" w:ascii="宋体" w:hAnsi="宋体" w:eastAsia="Times New Roman" w:cs="Times New Roman"/>
                <w:kern w:val="0"/>
                <w:highlight w:val="none"/>
              </w:rPr>
              <w:t>取报价排序前</w:t>
            </w:r>
            <w:r>
              <w:rPr>
                <w:rFonts w:hint="eastAsia" w:ascii="宋体" w:hAnsi="宋体" w:eastAsia="宋体" w:cs="Times New Roman"/>
                <w:kern w:val="0"/>
                <w:highlight w:val="none"/>
                <w:lang w:val="en-US" w:eastAsia="zh-CN"/>
              </w:rPr>
              <w:t>5</w:t>
            </w:r>
            <w:r>
              <w:rPr>
                <w:rFonts w:hint="eastAsia" w:ascii="宋体" w:hAnsi="宋体" w:eastAsia="Times New Roman" w:cs="Times New Roman"/>
                <w:kern w:val="0"/>
                <w:highlight w:val="none"/>
              </w:rPr>
              <w:t>名（若实际</w:t>
            </w:r>
            <w:r>
              <w:rPr>
                <w:rFonts w:hint="eastAsia" w:ascii="宋体" w:hAnsi="宋体" w:eastAsia="Times New Roman" w:cs="Times New Roman"/>
                <w:kern w:val="0"/>
                <w:highlight w:val="none"/>
                <w:lang w:eastAsia="zh-CN"/>
              </w:rPr>
              <w:t>比选申请人</w:t>
            </w:r>
            <w:r>
              <w:rPr>
                <w:rFonts w:hint="eastAsia" w:ascii="宋体" w:hAnsi="宋体" w:eastAsia="Times New Roman" w:cs="Times New Roman"/>
                <w:kern w:val="0"/>
                <w:highlight w:val="none"/>
              </w:rPr>
              <w:t>数量小于数量，</w:t>
            </w:r>
            <w:r>
              <w:rPr>
                <w:rFonts w:hint="eastAsia" w:ascii="宋体" w:hAnsi="宋体" w:eastAsia="Times New Roman" w:cs="Times New Roman"/>
                <w:spacing w:val="4"/>
                <w:kern w:val="0"/>
                <w:szCs w:val="21"/>
                <w:highlight w:val="none"/>
              </w:rPr>
              <w:t>则全部纳入）进行符合性审查。符合性审查内容：资格评审、形式评审、响应性评审。符合性审查</w:t>
            </w:r>
            <w:r>
              <w:rPr>
                <w:rFonts w:hint="eastAsia" w:ascii="宋体" w:hAnsi="宋体" w:eastAsia="Times New Roman" w:cs="Times New Roman"/>
                <w:kern w:val="0"/>
                <w:highlight w:val="none"/>
              </w:rPr>
              <w:t>合格的</w:t>
            </w:r>
            <w:r>
              <w:rPr>
                <w:rFonts w:hint="eastAsia" w:ascii="宋体" w:hAnsi="宋体" w:eastAsia="Times New Roman" w:cs="Times New Roman"/>
                <w:kern w:val="0"/>
                <w:highlight w:val="none"/>
                <w:lang w:eastAsia="zh-CN"/>
              </w:rPr>
              <w:t>比选申请人</w:t>
            </w:r>
            <w:r>
              <w:rPr>
                <w:rFonts w:hint="eastAsia" w:ascii="宋体" w:hAnsi="宋体" w:eastAsia="Times New Roman" w:cs="Times New Roman"/>
                <w:kern w:val="0"/>
                <w:highlight w:val="none"/>
              </w:rPr>
              <w:t>中，报价最低的成为第一</w:t>
            </w:r>
            <w:r>
              <w:rPr>
                <w:rFonts w:hint="eastAsia" w:ascii="宋体" w:hAnsi="宋体" w:eastAsia="Times New Roman" w:cs="Times New Roman"/>
                <w:kern w:val="0"/>
                <w:highlight w:val="none"/>
                <w:lang w:eastAsia="zh-CN"/>
              </w:rPr>
              <w:t>中选</w:t>
            </w:r>
            <w:r>
              <w:rPr>
                <w:rFonts w:hint="eastAsia" w:ascii="宋体" w:hAnsi="宋体" w:eastAsia="Times New Roman" w:cs="Times New Roman"/>
                <w:kern w:val="0"/>
                <w:highlight w:val="none"/>
              </w:rPr>
              <w:t>候选人，报价次低的成为第二</w:t>
            </w:r>
            <w:r>
              <w:rPr>
                <w:rFonts w:hint="eastAsia" w:ascii="宋体" w:hAnsi="宋体" w:eastAsia="Times New Roman" w:cs="Times New Roman"/>
                <w:kern w:val="0"/>
                <w:highlight w:val="none"/>
                <w:lang w:eastAsia="zh-CN"/>
              </w:rPr>
              <w:t>中选</w:t>
            </w:r>
            <w:r>
              <w:rPr>
                <w:rFonts w:hint="eastAsia" w:ascii="宋体" w:hAnsi="宋体" w:eastAsia="Times New Roman" w:cs="Times New Roman"/>
                <w:kern w:val="0"/>
                <w:highlight w:val="none"/>
              </w:rPr>
              <w:t>候选人，依次类推。</w:t>
            </w:r>
          </w:p>
        </w:tc>
      </w:tr>
      <w:tr w14:paraId="5630F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741" w:type="dxa"/>
            <w:vMerge w:val="restart"/>
            <w:noWrap w:val="0"/>
            <w:vAlign w:val="center"/>
          </w:tcPr>
          <w:p w14:paraId="0351067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r>
              <w:rPr>
                <w:rFonts w:hint="eastAsia" w:ascii="宋体" w:hAnsi="宋体" w:eastAsia="宋体" w:cs="宋体"/>
                <w:color w:val="auto"/>
                <w:kern w:val="0"/>
                <w:highlight w:val="none"/>
                <w:lang w:val="en-US" w:eastAsia="zh-CN"/>
              </w:rPr>
              <w:t>2</w:t>
            </w:r>
            <w:r>
              <w:rPr>
                <w:rFonts w:hint="eastAsia" w:ascii="宋体" w:hAnsi="宋体" w:eastAsia="宋体" w:cs="宋体"/>
                <w:color w:val="auto"/>
                <w:kern w:val="0"/>
                <w:highlight w:val="none"/>
              </w:rPr>
              <w:t>.1</w:t>
            </w:r>
          </w:p>
        </w:tc>
        <w:tc>
          <w:tcPr>
            <w:tcW w:w="741" w:type="dxa"/>
            <w:gridSpan w:val="2"/>
            <w:vMerge w:val="restart"/>
            <w:noWrap w:val="0"/>
            <w:textDirection w:val="tbRlV"/>
            <w:vAlign w:val="center"/>
          </w:tcPr>
          <w:p w14:paraId="7FA1CA55">
            <w:pPr>
              <w:keepNext w:val="0"/>
              <w:keepLines w:val="0"/>
              <w:suppressLineNumbers w:val="0"/>
              <w:spacing w:before="0" w:beforeAutospacing="0" w:after="0" w:afterAutospacing="0" w:line="360" w:lineRule="auto"/>
              <w:ind w:left="113" w:right="113"/>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形式评审标准</w:t>
            </w:r>
          </w:p>
        </w:tc>
        <w:tc>
          <w:tcPr>
            <w:tcW w:w="2143" w:type="dxa"/>
            <w:noWrap w:val="0"/>
            <w:vAlign w:val="center"/>
          </w:tcPr>
          <w:p w14:paraId="7605FF2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比选申请人名称</w:t>
            </w:r>
          </w:p>
        </w:tc>
        <w:tc>
          <w:tcPr>
            <w:tcW w:w="6437" w:type="dxa"/>
            <w:noWrap w:val="0"/>
            <w:vAlign w:val="center"/>
          </w:tcPr>
          <w:p w14:paraId="002D5B0F">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与营业执照、资质证书一致</w:t>
            </w:r>
          </w:p>
        </w:tc>
      </w:tr>
      <w:tr w14:paraId="01E76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41" w:type="dxa"/>
            <w:vMerge w:val="continue"/>
            <w:noWrap w:val="0"/>
            <w:vAlign w:val="top"/>
          </w:tcPr>
          <w:p w14:paraId="540DD90B">
            <w:pPr>
              <w:keepNext w:val="0"/>
              <w:keepLines w:val="0"/>
              <w:suppressLineNumbers w:val="0"/>
              <w:spacing w:before="0" w:beforeAutospacing="0" w:after="0" w:afterAutospacing="0" w:line="360" w:lineRule="auto"/>
              <w:ind w:left="0" w:right="0"/>
              <w:rPr>
                <w:rFonts w:hint="eastAsia" w:ascii="宋体" w:hAnsi="宋体" w:eastAsia="宋体" w:cs="宋体"/>
                <w:color w:val="auto"/>
                <w:highlight w:val="none"/>
              </w:rPr>
            </w:pPr>
          </w:p>
        </w:tc>
        <w:tc>
          <w:tcPr>
            <w:tcW w:w="741" w:type="dxa"/>
            <w:gridSpan w:val="2"/>
            <w:vMerge w:val="continue"/>
            <w:noWrap w:val="0"/>
            <w:vAlign w:val="top"/>
          </w:tcPr>
          <w:p w14:paraId="27348E7C">
            <w:pPr>
              <w:keepNext w:val="0"/>
              <w:keepLines w:val="0"/>
              <w:suppressLineNumbers w:val="0"/>
              <w:spacing w:before="0" w:beforeAutospacing="0" w:after="0" w:afterAutospacing="0" w:line="360" w:lineRule="auto"/>
              <w:ind w:left="0" w:right="0"/>
              <w:rPr>
                <w:rFonts w:hint="eastAsia" w:ascii="宋体" w:hAnsi="宋体" w:eastAsia="宋体" w:cs="宋体"/>
                <w:color w:val="auto"/>
                <w:highlight w:val="none"/>
              </w:rPr>
            </w:pPr>
          </w:p>
        </w:tc>
        <w:tc>
          <w:tcPr>
            <w:tcW w:w="2143" w:type="dxa"/>
            <w:noWrap w:val="0"/>
            <w:vAlign w:val="center"/>
          </w:tcPr>
          <w:p w14:paraId="22C5086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比选申请函签字盖章</w:t>
            </w:r>
          </w:p>
        </w:tc>
        <w:tc>
          <w:tcPr>
            <w:tcW w:w="6437" w:type="dxa"/>
            <w:noWrap w:val="0"/>
            <w:vAlign w:val="center"/>
          </w:tcPr>
          <w:p w14:paraId="708E40F6">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有法定代表人或其委托代理人签字、加盖单位法人章</w:t>
            </w:r>
          </w:p>
        </w:tc>
      </w:tr>
      <w:tr w14:paraId="30D08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41" w:type="dxa"/>
            <w:vMerge w:val="continue"/>
            <w:noWrap w:val="0"/>
            <w:vAlign w:val="top"/>
          </w:tcPr>
          <w:p w14:paraId="76518268">
            <w:pPr>
              <w:keepNext w:val="0"/>
              <w:keepLines w:val="0"/>
              <w:suppressLineNumbers w:val="0"/>
              <w:spacing w:before="0" w:beforeAutospacing="0" w:after="0" w:afterAutospacing="0" w:line="360" w:lineRule="auto"/>
              <w:ind w:left="0" w:right="0"/>
              <w:rPr>
                <w:rFonts w:hint="eastAsia" w:ascii="宋体" w:hAnsi="宋体" w:eastAsia="宋体" w:cs="宋体"/>
                <w:color w:val="auto"/>
                <w:highlight w:val="none"/>
              </w:rPr>
            </w:pPr>
          </w:p>
        </w:tc>
        <w:tc>
          <w:tcPr>
            <w:tcW w:w="741" w:type="dxa"/>
            <w:gridSpan w:val="2"/>
            <w:vMerge w:val="continue"/>
            <w:noWrap w:val="0"/>
            <w:vAlign w:val="top"/>
          </w:tcPr>
          <w:p w14:paraId="62558490">
            <w:pPr>
              <w:keepNext w:val="0"/>
              <w:keepLines w:val="0"/>
              <w:suppressLineNumbers w:val="0"/>
              <w:spacing w:before="0" w:beforeAutospacing="0" w:after="0" w:afterAutospacing="0" w:line="360" w:lineRule="auto"/>
              <w:ind w:left="0" w:right="0"/>
              <w:rPr>
                <w:rFonts w:hint="eastAsia" w:ascii="宋体" w:hAnsi="宋体" w:eastAsia="宋体" w:cs="宋体"/>
                <w:color w:val="auto"/>
                <w:highlight w:val="none"/>
              </w:rPr>
            </w:pPr>
          </w:p>
        </w:tc>
        <w:tc>
          <w:tcPr>
            <w:tcW w:w="2143" w:type="dxa"/>
            <w:noWrap w:val="0"/>
            <w:vAlign w:val="center"/>
          </w:tcPr>
          <w:p w14:paraId="4AC33AE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比选申请文件格式</w:t>
            </w:r>
          </w:p>
        </w:tc>
        <w:tc>
          <w:tcPr>
            <w:tcW w:w="6437" w:type="dxa"/>
            <w:noWrap w:val="0"/>
            <w:vAlign w:val="center"/>
          </w:tcPr>
          <w:p w14:paraId="30253690">
            <w:pPr>
              <w:keepNext w:val="0"/>
              <w:keepLines w:val="0"/>
              <w:suppressLineNumbers w:val="0"/>
              <w:spacing w:before="156" w:beforeLines="50" w:beforeAutospacing="0" w:after="0" w:afterAutospacing="0" w:line="360" w:lineRule="auto"/>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符合第八章“比选申请文件格式”的要求，字迹清晰可辨。</w:t>
            </w:r>
          </w:p>
        </w:tc>
      </w:tr>
      <w:tr w14:paraId="3C907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35" w:hRule="atLeast"/>
        </w:trPr>
        <w:tc>
          <w:tcPr>
            <w:tcW w:w="741" w:type="dxa"/>
            <w:vMerge w:val="continue"/>
            <w:noWrap w:val="0"/>
            <w:vAlign w:val="top"/>
          </w:tcPr>
          <w:p w14:paraId="6A900E30">
            <w:pPr>
              <w:keepNext w:val="0"/>
              <w:keepLines w:val="0"/>
              <w:suppressLineNumbers w:val="0"/>
              <w:spacing w:before="0" w:beforeAutospacing="0" w:after="0" w:afterAutospacing="0" w:line="360" w:lineRule="auto"/>
              <w:ind w:left="0" w:right="0"/>
              <w:rPr>
                <w:rFonts w:hint="eastAsia" w:ascii="宋体" w:hAnsi="宋体" w:eastAsia="宋体" w:cs="宋体"/>
                <w:color w:val="auto"/>
                <w:highlight w:val="none"/>
              </w:rPr>
            </w:pPr>
          </w:p>
        </w:tc>
        <w:tc>
          <w:tcPr>
            <w:tcW w:w="741" w:type="dxa"/>
            <w:gridSpan w:val="2"/>
            <w:vMerge w:val="continue"/>
            <w:noWrap w:val="0"/>
            <w:vAlign w:val="top"/>
          </w:tcPr>
          <w:p w14:paraId="097EC154">
            <w:pPr>
              <w:keepNext w:val="0"/>
              <w:keepLines w:val="0"/>
              <w:suppressLineNumbers w:val="0"/>
              <w:spacing w:before="0" w:beforeAutospacing="0" w:after="0" w:afterAutospacing="0" w:line="360" w:lineRule="auto"/>
              <w:ind w:left="0" w:right="0"/>
              <w:rPr>
                <w:rFonts w:hint="eastAsia" w:ascii="宋体" w:hAnsi="宋体" w:eastAsia="宋体" w:cs="宋体"/>
                <w:color w:val="auto"/>
                <w:highlight w:val="none"/>
              </w:rPr>
            </w:pPr>
          </w:p>
        </w:tc>
        <w:tc>
          <w:tcPr>
            <w:tcW w:w="2143" w:type="dxa"/>
            <w:noWrap w:val="0"/>
            <w:vAlign w:val="center"/>
          </w:tcPr>
          <w:p w14:paraId="1A96108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报价唯一</w:t>
            </w:r>
          </w:p>
        </w:tc>
        <w:tc>
          <w:tcPr>
            <w:tcW w:w="6437" w:type="dxa"/>
            <w:noWrap w:val="0"/>
            <w:vAlign w:val="center"/>
          </w:tcPr>
          <w:p w14:paraId="38059630">
            <w:pPr>
              <w:keepNext w:val="0"/>
              <w:keepLines w:val="0"/>
              <w:suppressLineNumbers w:val="0"/>
              <w:spacing w:before="156" w:beforeLines="50" w:beforeAutospacing="0" w:after="0" w:afterAutospacing="0" w:line="360" w:lineRule="auto"/>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只能有一个有效报价，在比选文件没有规定的情况下，不得提交选择性报价。</w:t>
            </w:r>
          </w:p>
        </w:tc>
      </w:tr>
      <w:tr w14:paraId="21916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0" w:hRule="atLeast"/>
        </w:trPr>
        <w:tc>
          <w:tcPr>
            <w:tcW w:w="741" w:type="dxa"/>
            <w:vMerge w:val="continue"/>
            <w:noWrap w:val="0"/>
            <w:vAlign w:val="top"/>
          </w:tcPr>
          <w:p w14:paraId="28B9FBA6">
            <w:pPr>
              <w:keepNext w:val="0"/>
              <w:keepLines w:val="0"/>
              <w:suppressLineNumbers w:val="0"/>
              <w:spacing w:before="0" w:beforeAutospacing="0" w:after="0" w:afterAutospacing="0" w:line="360" w:lineRule="auto"/>
              <w:ind w:left="0" w:right="0"/>
              <w:rPr>
                <w:rFonts w:hint="eastAsia" w:ascii="宋体" w:hAnsi="宋体" w:eastAsia="宋体" w:cs="宋体"/>
                <w:color w:val="auto"/>
                <w:highlight w:val="none"/>
              </w:rPr>
            </w:pPr>
          </w:p>
        </w:tc>
        <w:tc>
          <w:tcPr>
            <w:tcW w:w="741" w:type="dxa"/>
            <w:gridSpan w:val="2"/>
            <w:vMerge w:val="continue"/>
            <w:noWrap w:val="0"/>
            <w:vAlign w:val="top"/>
          </w:tcPr>
          <w:p w14:paraId="73A06C7D">
            <w:pPr>
              <w:keepNext w:val="0"/>
              <w:keepLines w:val="0"/>
              <w:suppressLineNumbers w:val="0"/>
              <w:spacing w:before="0" w:beforeAutospacing="0" w:after="0" w:afterAutospacing="0" w:line="360" w:lineRule="auto"/>
              <w:ind w:left="0" w:right="0"/>
              <w:rPr>
                <w:rFonts w:hint="eastAsia" w:ascii="宋体" w:hAnsi="宋体" w:eastAsia="宋体" w:cs="宋体"/>
                <w:color w:val="auto"/>
                <w:highlight w:val="none"/>
              </w:rPr>
            </w:pPr>
          </w:p>
        </w:tc>
        <w:tc>
          <w:tcPr>
            <w:tcW w:w="2143" w:type="dxa"/>
            <w:noWrap w:val="0"/>
            <w:vAlign w:val="center"/>
          </w:tcPr>
          <w:p w14:paraId="177DB05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比选申请文件的签署</w:t>
            </w:r>
          </w:p>
        </w:tc>
        <w:tc>
          <w:tcPr>
            <w:tcW w:w="6437" w:type="dxa"/>
            <w:noWrap w:val="0"/>
            <w:vAlign w:val="center"/>
          </w:tcPr>
          <w:p w14:paraId="65431D2D">
            <w:pPr>
              <w:keepNext w:val="0"/>
              <w:keepLines w:val="0"/>
              <w:suppressLineNumbers w:val="0"/>
              <w:spacing w:before="156" w:beforeLines="50" w:beforeAutospacing="0" w:after="0" w:afterAutospacing="0" w:line="360" w:lineRule="auto"/>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比选申请文件上法定代表人或其委托代理人签名（或盖章）的须齐全。</w:t>
            </w:r>
          </w:p>
        </w:tc>
      </w:tr>
      <w:tr w14:paraId="2B143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27" w:hRule="atLeast"/>
        </w:trPr>
        <w:tc>
          <w:tcPr>
            <w:tcW w:w="741" w:type="dxa"/>
            <w:vMerge w:val="continue"/>
            <w:noWrap w:val="0"/>
            <w:vAlign w:val="top"/>
          </w:tcPr>
          <w:p w14:paraId="62EDB04F">
            <w:pPr>
              <w:keepNext w:val="0"/>
              <w:keepLines w:val="0"/>
              <w:suppressLineNumbers w:val="0"/>
              <w:spacing w:before="0" w:beforeAutospacing="0" w:after="0" w:afterAutospacing="0" w:line="360" w:lineRule="auto"/>
              <w:ind w:left="0" w:right="0"/>
              <w:rPr>
                <w:rFonts w:hint="eastAsia" w:ascii="宋体" w:hAnsi="宋体" w:eastAsia="宋体" w:cs="宋体"/>
                <w:color w:val="auto"/>
                <w:highlight w:val="none"/>
              </w:rPr>
            </w:pPr>
          </w:p>
        </w:tc>
        <w:tc>
          <w:tcPr>
            <w:tcW w:w="741" w:type="dxa"/>
            <w:gridSpan w:val="2"/>
            <w:vMerge w:val="continue"/>
            <w:noWrap w:val="0"/>
            <w:vAlign w:val="top"/>
          </w:tcPr>
          <w:p w14:paraId="0E3DB766">
            <w:pPr>
              <w:keepNext w:val="0"/>
              <w:keepLines w:val="0"/>
              <w:suppressLineNumbers w:val="0"/>
              <w:spacing w:before="0" w:beforeAutospacing="0" w:after="0" w:afterAutospacing="0" w:line="360" w:lineRule="auto"/>
              <w:ind w:left="0" w:right="0"/>
              <w:rPr>
                <w:rFonts w:hint="eastAsia" w:ascii="宋体" w:hAnsi="宋体" w:eastAsia="宋体" w:cs="宋体"/>
                <w:color w:val="auto"/>
                <w:highlight w:val="none"/>
              </w:rPr>
            </w:pPr>
          </w:p>
        </w:tc>
        <w:tc>
          <w:tcPr>
            <w:tcW w:w="2143" w:type="dxa"/>
            <w:noWrap w:val="0"/>
            <w:vAlign w:val="center"/>
          </w:tcPr>
          <w:p w14:paraId="3FD53E2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委托代理人</w:t>
            </w:r>
          </w:p>
        </w:tc>
        <w:tc>
          <w:tcPr>
            <w:tcW w:w="6437" w:type="dxa"/>
            <w:noWrap w:val="0"/>
            <w:vAlign w:val="center"/>
          </w:tcPr>
          <w:p w14:paraId="373B9E56">
            <w:pPr>
              <w:keepNext w:val="0"/>
              <w:keepLines w:val="0"/>
              <w:suppressLineNumbers w:val="0"/>
              <w:autoSpaceDE w:val="0"/>
              <w:autoSpaceDN w:val="0"/>
              <w:adjustRightInd w:val="0"/>
              <w:snapToGrid w:val="0"/>
              <w:spacing w:before="0" w:beforeAutospacing="0" w:after="0" w:afterAutospacing="0" w:line="360" w:lineRule="auto"/>
              <w:ind w:left="0" w:right="0" w:firstLine="415" w:firstLineChars="198"/>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比选申请人法定代表人的委托代理人有法定代表人签署的授权委托书和比选申请人为其缴纳的养老保险。</w:t>
            </w:r>
          </w:p>
        </w:tc>
      </w:tr>
      <w:tr w14:paraId="4429A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741" w:type="dxa"/>
            <w:vMerge w:val="restart"/>
            <w:noWrap w:val="0"/>
            <w:vAlign w:val="center"/>
          </w:tcPr>
          <w:p w14:paraId="79994B4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r>
              <w:rPr>
                <w:rFonts w:hint="eastAsia" w:ascii="宋体" w:hAnsi="宋体" w:eastAsia="宋体" w:cs="宋体"/>
                <w:color w:val="auto"/>
                <w:kern w:val="0"/>
                <w:highlight w:val="none"/>
                <w:lang w:val="en-US" w:eastAsia="zh-CN"/>
              </w:rPr>
              <w:t>2</w:t>
            </w:r>
            <w:r>
              <w:rPr>
                <w:rFonts w:hint="eastAsia" w:ascii="宋体" w:hAnsi="宋体" w:eastAsia="宋体" w:cs="宋体"/>
                <w:color w:val="auto"/>
                <w:kern w:val="0"/>
                <w:highlight w:val="none"/>
              </w:rPr>
              <w:t>.2</w:t>
            </w:r>
          </w:p>
        </w:tc>
        <w:tc>
          <w:tcPr>
            <w:tcW w:w="741" w:type="dxa"/>
            <w:gridSpan w:val="2"/>
            <w:vMerge w:val="restart"/>
            <w:noWrap w:val="0"/>
            <w:textDirection w:val="tbRlV"/>
            <w:vAlign w:val="center"/>
          </w:tcPr>
          <w:p w14:paraId="0236A1D7">
            <w:pPr>
              <w:keepNext w:val="0"/>
              <w:keepLines w:val="0"/>
              <w:suppressLineNumbers w:val="0"/>
              <w:spacing w:before="0" w:beforeAutospacing="0" w:after="0" w:afterAutospacing="0" w:line="360" w:lineRule="auto"/>
              <w:ind w:left="113" w:right="113"/>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资格评审标准</w:t>
            </w:r>
          </w:p>
        </w:tc>
        <w:tc>
          <w:tcPr>
            <w:tcW w:w="2143" w:type="dxa"/>
            <w:noWrap w:val="0"/>
            <w:vAlign w:val="center"/>
          </w:tcPr>
          <w:p w14:paraId="240E69A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营业执照</w:t>
            </w:r>
          </w:p>
        </w:tc>
        <w:tc>
          <w:tcPr>
            <w:tcW w:w="6437" w:type="dxa"/>
            <w:noWrap w:val="0"/>
            <w:vAlign w:val="center"/>
          </w:tcPr>
          <w:p w14:paraId="23F490BB">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符合第二章“比选申请人须知”第1.4.1项规定</w:t>
            </w:r>
          </w:p>
        </w:tc>
      </w:tr>
      <w:tr w14:paraId="72F2B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6" w:hRule="atLeast"/>
        </w:trPr>
        <w:tc>
          <w:tcPr>
            <w:tcW w:w="741" w:type="dxa"/>
            <w:vMerge w:val="continue"/>
            <w:noWrap w:val="0"/>
            <w:vAlign w:val="top"/>
          </w:tcPr>
          <w:p w14:paraId="00C6705F">
            <w:pPr>
              <w:keepNext w:val="0"/>
              <w:keepLines w:val="0"/>
              <w:suppressLineNumbers w:val="0"/>
              <w:spacing w:before="0" w:beforeAutospacing="0" w:after="0" w:afterAutospacing="0" w:line="360" w:lineRule="auto"/>
              <w:ind w:left="0" w:right="0"/>
              <w:rPr>
                <w:rFonts w:hint="eastAsia" w:ascii="宋体" w:hAnsi="宋体" w:eastAsia="宋体" w:cs="宋体"/>
                <w:color w:val="auto"/>
                <w:highlight w:val="none"/>
              </w:rPr>
            </w:pPr>
          </w:p>
        </w:tc>
        <w:tc>
          <w:tcPr>
            <w:tcW w:w="741" w:type="dxa"/>
            <w:gridSpan w:val="2"/>
            <w:vMerge w:val="continue"/>
            <w:noWrap w:val="0"/>
            <w:vAlign w:val="top"/>
          </w:tcPr>
          <w:p w14:paraId="300FDF2A">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0"/>
                <w:highlight w:val="none"/>
              </w:rPr>
            </w:pPr>
          </w:p>
        </w:tc>
        <w:tc>
          <w:tcPr>
            <w:tcW w:w="2143" w:type="dxa"/>
            <w:noWrap w:val="0"/>
            <w:vAlign w:val="center"/>
          </w:tcPr>
          <w:p w14:paraId="088CE7B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资质条件</w:t>
            </w:r>
          </w:p>
        </w:tc>
        <w:tc>
          <w:tcPr>
            <w:tcW w:w="6437" w:type="dxa"/>
            <w:noWrap w:val="0"/>
            <w:vAlign w:val="center"/>
          </w:tcPr>
          <w:p w14:paraId="4E75D549">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符合第二章“比选申请人须知”第1.4.1项规定</w:t>
            </w:r>
          </w:p>
        </w:tc>
      </w:tr>
      <w:tr w14:paraId="702BF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23" w:hRule="atLeast"/>
        </w:trPr>
        <w:tc>
          <w:tcPr>
            <w:tcW w:w="741" w:type="dxa"/>
            <w:vMerge w:val="continue"/>
            <w:noWrap w:val="0"/>
            <w:vAlign w:val="top"/>
          </w:tcPr>
          <w:p w14:paraId="4F74C84A">
            <w:pPr>
              <w:keepNext w:val="0"/>
              <w:keepLines w:val="0"/>
              <w:suppressLineNumbers w:val="0"/>
              <w:spacing w:before="0" w:beforeAutospacing="0" w:after="0" w:afterAutospacing="0" w:line="360" w:lineRule="auto"/>
              <w:ind w:left="0" w:right="0"/>
              <w:rPr>
                <w:rFonts w:hint="eastAsia" w:ascii="宋体" w:hAnsi="宋体" w:eastAsia="宋体" w:cs="宋体"/>
                <w:color w:val="auto"/>
                <w:highlight w:val="none"/>
              </w:rPr>
            </w:pPr>
          </w:p>
        </w:tc>
        <w:tc>
          <w:tcPr>
            <w:tcW w:w="741" w:type="dxa"/>
            <w:gridSpan w:val="2"/>
            <w:vMerge w:val="continue"/>
            <w:noWrap w:val="0"/>
            <w:vAlign w:val="top"/>
          </w:tcPr>
          <w:p w14:paraId="276BBBC5">
            <w:pPr>
              <w:keepNext w:val="0"/>
              <w:keepLines w:val="0"/>
              <w:suppressLineNumbers w:val="0"/>
              <w:spacing w:before="0" w:beforeAutospacing="0" w:after="0" w:afterAutospacing="0" w:line="360" w:lineRule="auto"/>
              <w:ind w:left="0" w:right="0" w:firstLine="105"/>
              <w:jc w:val="left"/>
              <w:rPr>
                <w:rFonts w:hint="eastAsia" w:ascii="宋体" w:hAnsi="宋体" w:eastAsia="宋体" w:cs="宋体"/>
                <w:color w:val="auto"/>
                <w:kern w:val="0"/>
                <w:highlight w:val="none"/>
              </w:rPr>
            </w:pPr>
          </w:p>
        </w:tc>
        <w:tc>
          <w:tcPr>
            <w:tcW w:w="2143" w:type="dxa"/>
            <w:noWrap w:val="0"/>
            <w:vAlign w:val="center"/>
          </w:tcPr>
          <w:p w14:paraId="7EB3F64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highlight w:val="none"/>
              </w:rPr>
            </w:pPr>
            <w:r>
              <w:rPr>
                <w:rFonts w:hint="default" w:ascii="宋体" w:hAnsi="宋体" w:eastAsia="Times New Roman" w:cs="Times New Roman"/>
                <w:color w:val="auto"/>
                <w:szCs w:val="21"/>
                <w:highlight w:val="none"/>
              </w:rPr>
              <w:t>投标截止日投标资格情况</w:t>
            </w:r>
          </w:p>
        </w:tc>
        <w:tc>
          <w:tcPr>
            <w:tcW w:w="6437" w:type="dxa"/>
            <w:noWrap w:val="0"/>
            <w:vAlign w:val="center"/>
          </w:tcPr>
          <w:p w14:paraId="4DB48D90">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符合第二章“比选申请人须知”第1.4.1项规定</w:t>
            </w:r>
          </w:p>
        </w:tc>
      </w:tr>
      <w:tr w14:paraId="5E3D8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5" w:hRule="atLeast"/>
        </w:trPr>
        <w:tc>
          <w:tcPr>
            <w:tcW w:w="741" w:type="dxa"/>
            <w:vMerge w:val="continue"/>
            <w:noWrap w:val="0"/>
            <w:vAlign w:val="top"/>
          </w:tcPr>
          <w:p w14:paraId="38B1B9D3">
            <w:pPr>
              <w:keepNext w:val="0"/>
              <w:keepLines w:val="0"/>
              <w:suppressLineNumbers w:val="0"/>
              <w:spacing w:before="0" w:beforeAutospacing="0" w:after="0" w:afterAutospacing="0" w:line="360" w:lineRule="auto"/>
              <w:ind w:left="0" w:right="0"/>
              <w:rPr>
                <w:rFonts w:hint="eastAsia" w:ascii="宋体" w:hAnsi="宋体" w:eastAsia="宋体" w:cs="宋体"/>
                <w:color w:val="auto"/>
                <w:highlight w:val="none"/>
              </w:rPr>
            </w:pPr>
          </w:p>
        </w:tc>
        <w:tc>
          <w:tcPr>
            <w:tcW w:w="741" w:type="dxa"/>
            <w:gridSpan w:val="2"/>
            <w:vMerge w:val="continue"/>
            <w:noWrap w:val="0"/>
            <w:vAlign w:val="top"/>
          </w:tcPr>
          <w:p w14:paraId="4162D4AE">
            <w:pPr>
              <w:keepNext w:val="0"/>
              <w:keepLines w:val="0"/>
              <w:suppressLineNumbers w:val="0"/>
              <w:spacing w:before="0" w:beforeAutospacing="0" w:after="0" w:afterAutospacing="0" w:line="360" w:lineRule="auto"/>
              <w:ind w:left="0" w:right="0" w:firstLine="105"/>
              <w:jc w:val="left"/>
              <w:rPr>
                <w:rFonts w:hint="eastAsia" w:ascii="宋体" w:hAnsi="宋体" w:eastAsia="宋体" w:cs="宋体"/>
                <w:color w:val="auto"/>
                <w:kern w:val="0"/>
                <w:highlight w:val="none"/>
              </w:rPr>
            </w:pPr>
          </w:p>
        </w:tc>
        <w:tc>
          <w:tcPr>
            <w:tcW w:w="2143" w:type="dxa"/>
            <w:noWrap w:val="0"/>
            <w:vAlign w:val="center"/>
          </w:tcPr>
          <w:p w14:paraId="253AAE7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其它要求</w:t>
            </w:r>
          </w:p>
        </w:tc>
        <w:tc>
          <w:tcPr>
            <w:tcW w:w="6437" w:type="dxa"/>
            <w:noWrap w:val="0"/>
            <w:vAlign w:val="center"/>
          </w:tcPr>
          <w:p w14:paraId="78DE948A">
            <w:pPr>
              <w:keepNext w:val="0"/>
              <w:keepLines w:val="0"/>
              <w:suppressLineNumbers w:val="0"/>
              <w:spacing w:before="156" w:beforeLines="50" w:beforeAutospacing="0" w:after="0" w:afterAutospacing="0" w:line="360" w:lineRule="auto"/>
              <w:ind w:left="0" w:right="0" w:firstLine="420" w:firstLineChars="200"/>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符合第二章“比选申请人须知”第1.4.1项规定</w:t>
            </w:r>
          </w:p>
        </w:tc>
      </w:tr>
      <w:tr w14:paraId="11CC9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1" w:type="dxa"/>
            <w:vMerge w:val="restart"/>
            <w:noWrap w:val="0"/>
            <w:vAlign w:val="center"/>
          </w:tcPr>
          <w:p w14:paraId="1F09B88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r>
              <w:rPr>
                <w:rFonts w:hint="eastAsia" w:ascii="宋体" w:hAnsi="宋体" w:eastAsia="宋体" w:cs="宋体"/>
                <w:color w:val="auto"/>
                <w:kern w:val="0"/>
                <w:highlight w:val="none"/>
              </w:rPr>
              <w:t>2.</w:t>
            </w:r>
            <w:r>
              <w:rPr>
                <w:rFonts w:hint="eastAsia" w:ascii="宋体" w:hAnsi="宋体" w:eastAsia="宋体" w:cs="宋体"/>
                <w:color w:val="auto"/>
                <w:kern w:val="0"/>
                <w:highlight w:val="none"/>
                <w:lang w:val="en-US" w:eastAsia="zh-CN"/>
              </w:rPr>
              <w:t>2</w:t>
            </w:r>
            <w:r>
              <w:rPr>
                <w:rFonts w:hint="eastAsia" w:ascii="宋体" w:hAnsi="宋体" w:eastAsia="宋体" w:cs="宋体"/>
                <w:color w:val="auto"/>
                <w:kern w:val="0"/>
                <w:highlight w:val="none"/>
              </w:rPr>
              <w:t>.3</w:t>
            </w:r>
          </w:p>
        </w:tc>
        <w:tc>
          <w:tcPr>
            <w:tcW w:w="741" w:type="dxa"/>
            <w:gridSpan w:val="2"/>
            <w:vMerge w:val="restart"/>
            <w:noWrap w:val="0"/>
            <w:textDirection w:val="tbRlV"/>
            <w:vAlign w:val="center"/>
          </w:tcPr>
          <w:p w14:paraId="5EC7246A">
            <w:pPr>
              <w:keepNext w:val="0"/>
              <w:keepLines w:val="0"/>
              <w:suppressLineNumbers w:val="0"/>
              <w:spacing w:before="0" w:beforeAutospacing="0" w:after="0" w:afterAutospacing="0" w:line="360" w:lineRule="auto"/>
              <w:ind w:left="113" w:right="113"/>
              <w:jc w:val="center"/>
              <w:rPr>
                <w:rFonts w:hint="eastAsia" w:ascii="宋体" w:hAnsi="宋体" w:eastAsia="宋体" w:cs="宋体"/>
                <w:color w:val="auto"/>
                <w:highlight w:val="none"/>
              </w:rPr>
            </w:pPr>
            <w:r>
              <w:rPr>
                <w:rFonts w:hint="eastAsia" w:ascii="宋体" w:hAnsi="宋体" w:eastAsia="宋体" w:cs="宋体"/>
                <w:color w:val="auto"/>
                <w:kern w:val="0"/>
                <w:highlight w:val="none"/>
              </w:rPr>
              <w:t>响应性评审标准</w:t>
            </w:r>
          </w:p>
        </w:tc>
        <w:tc>
          <w:tcPr>
            <w:tcW w:w="2143" w:type="dxa"/>
            <w:noWrap w:val="0"/>
            <w:vAlign w:val="center"/>
          </w:tcPr>
          <w:p w14:paraId="3984465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比选申请内容</w:t>
            </w:r>
          </w:p>
        </w:tc>
        <w:tc>
          <w:tcPr>
            <w:tcW w:w="6437" w:type="dxa"/>
            <w:noWrap w:val="0"/>
            <w:vAlign w:val="top"/>
          </w:tcPr>
          <w:p w14:paraId="7A4C125B">
            <w:pPr>
              <w:keepNext w:val="0"/>
              <w:keepLines w:val="0"/>
              <w:suppressLineNumbers w:val="0"/>
              <w:spacing w:before="0" w:beforeAutospacing="0" w:after="0" w:afterAutospacing="0" w:line="360" w:lineRule="auto"/>
              <w:ind w:left="0" w:right="0"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符合第二章“比选申请人须知”第1.3.1项规定</w:t>
            </w:r>
          </w:p>
        </w:tc>
      </w:tr>
      <w:tr w14:paraId="08F6F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1" w:type="dxa"/>
            <w:vMerge w:val="continue"/>
            <w:noWrap w:val="0"/>
            <w:vAlign w:val="center"/>
          </w:tcPr>
          <w:p w14:paraId="77D066E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highlight w:val="none"/>
              </w:rPr>
            </w:pPr>
          </w:p>
        </w:tc>
        <w:tc>
          <w:tcPr>
            <w:tcW w:w="741" w:type="dxa"/>
            <w:gridSpan w:val="2"/>
            <w:vMerge w:val="continue"/>
            <w:noWrap w:val="0"/>
            <w:textDirection w:val="tbRlV"/>
            <w:vAlign w:val="center"/>
          </w:tcPr>
          <w:p w14:paraId="36BE3FDB">
            <w:pPr>
              <w:keepNext w:val="0"/>
              <w:keepLines w:val="0"/>
              <w:suppressLineNumbers w:val="0"/>
              <w:spacing w:before="0" w:beforeAutospacing="0" w:after="0" w:afterAutospacing="0" w:line="360" w:lineRule="auto"/>
              <w:ind w:left="113" w:right="113"/>
              <w:jc w:val="center"/>
              <w:rPr>
                <w:rFonts w:hint="eastAsia" w:ascii="宋体" w:hAnsi="宋体" w:eastAsia="宋体" w:cs="宋体"/>
                <w:color w:val="auto"/>
                <w:kern w:val="0"/>
                <w:highlight w:val="none"/>
              </w:rPr>
            </w:pPr>
          </w:p>
        </w:tc>
        <w:tc>
          <w:tcPr>
            <w:tcW w:w="2143" w:type="dxa"/>
            <w:noWrap w:val="0"/>
            <w:vAlign w:val="center"/>
          </w:tcPr>
          <w:p w14:paraId="6C88A1CB">
            <w:pPr>
              <w:keepNext w:val="0"/>
              <w:keepLines w:val="0"/>
              <w:suppressLineNumbers w:val="0"/>
              <w:snapToGrid w:val="0"/>
              <w:spacing w:before="0" w:beforeAutospacing="0" w:after="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Times New Roman" w:cs="宋体"/>
                <w:kern w:val="0"/>
                <w:highlight w:val="none"/>
                <w:lang w:val="en-US" w:eastAsia="zh-CN"/>
              </w:rPr>
              <w:t>比选申请</w:t>
            </w:r>
            <w:r>
              <w:rPr>
                <w:rFonts w:hint="eastAsia" w:ascii="宋体" w:hAnsi="宋体" w:eastAsia="Times New Roman" w:cs="宋体"/>
                <w:kern w:val="0"/>
                <w:highlight w:val="none"/>
              </w:rPr>
              <w:t>总报价</w:t>
            </w:r>
          </w:p>
        </w:tc>
        <w:tc>
          <w:tcPr>
            <w:tcW w:w="6437" w:type="dxa"/>
            <w:noWrap w:val="0"/>
            <w:vAlign w:val="center"/>
          </w:tcPr>
          <w:p w14:paraId="4867BF13">
            <w:pPr>
              <w:keepNext w:val="0"/>
              <w:keepLines w:val="0"/>
              <w:suppressLineNumbers w:val="0"/>
              <w:snapToGrid w:val="0"/>
              <w:spacing w:before="0" w:beforeAutospacing="0" w:after="0" w:afterAutospacing="0" w:line="400" w:lineRule="exact"/>
              <w:ind w:left="0" w:right="0" w:firstLine="420" w:firstLineChars="200"/>
              <w:rPr>
                <w:rFonts w:hint="default" w:ascii="宋体" w:hAnsi="宋体" w:eastAsia="Times New Roman" w:cs="宋体"/>
                <w:szCs w:val="21"/>
                <w:highlight w:val="none"/>
              </w:rPr>
            </w:pPr>
            <w:r>
              <w:rPr>
                <w:rFonts w:hint="eastAsia" w:ascii="宋体" w:hAnsi="宋体" w:eastAsia="Times New Roman" w:cs="宋体"/>
                <w:szCs w:val="21"/>
                <w:highlight w:val="none"/>
              </w:rPr>
              <w:t>1.</w:t>
            </w:r>
            <w:r>
              <w:rPr>
                <w:rFonts w:hint="eastAsia" w:ascii="宋体" w:hAnsi="宋体" w:eastAsia="Times New Roman" w:cs="宋体"/>
                <w:szCs w:val="21"/>
                <w:highlight w:val="none"/>
                <w:lang w:val="en-US" w:eastAsia="zh-CN"/>
              </w:rPr>
              <w:t>比选申请</w:t>
            </w:r>
            <w:r>
              <w:rPr>
                <w:rFonts w:hint="eastAsia" w:ascii="宋体" w:hAnsi="宋体" w:eastAsia="Times New Roman" w:cs="宋体"/>
                <w:szCs w:val="21"/>
                <w:highlight w:val="none"/>
              </w:rPr>
              <w:t>总报价必须与已标价工程量清单总报价一致。</w:t>
            </w:r>
          </w:p>
          <w:p w14:paraId="7F2A85BA">
            <w:pPr>
              <w:keepNext w:val="0"/>
              <w:keepLines w:val="0"/>
              <w:suppressLineNumbers w:val="0"/>
              <w:snapToGrid w:val="0"/>
              <w:spacing w:before="0" w:beforeAutospacing="0" w:after="0" w:afterAutospacing="0" w:line="400" w:lineRule="exact"/>
              <w:ind w:left="0" w:right="0" w:firstLine="420" w:firstLineChars="200"/>
              <w:rPr>
                <w:rFonts w:hint="default" w:ascii="宋体" w:hAnsi="宋体" w:eastAsia="Times New Roman" w:cs="宋体"/>
                <w:szCs w:val="21"/>
                <w:highlight w:val="none"/>
              </w:rPr>
            </w:pPr>
            <w:r>
              <w:rPr>
                <w:rFonts w:hint="eastAsia" w:ascii="宋体" w:hAnsi="宋体" w:eastAsia="Times New Roman" w:cs="宋体"/>
                <w:szCs w:val="21"/>
                <w:highlight w:val="none"/>
              </w:rPr>
              <w:t>2</w:t>
            </w:r>
            <w:r>
              <w:rPr>
                <w:rFonts w:hint="default" w:ascii="宋体" w:hAnsi="宋体" w:eastAsia="Times New Roman" w:cs="宋体"/>
                <w:szCs w:val="21"/>
                <w:highlight w:val="none"/>
              </w:rPr>
              <w:t>.</w:t>
            </w:r>
            <w:r>
              <w:rPr>
                <w:rFonts w:hint="eastAsia" w:ascii="宋体" w:hAnsi="宋体" w:eastAsia="Times New Roman" w:cs="宋体"/>
                <w:szCs w:val="21"/>
                <w:highlight w:val="none"/>
                <w:lang w:val="en-US" w:eastAsia="zh-CN"/>
              </w:rPr>
              <w:t>比选申请</w:t>
            </w:r>
            <w:r>
              <w:rPr>
                <w:rFonts w:hint="eastAsia" w:ascii="宋体" w:hAnsi="宋体" w:eastAsia="Times New Roman" w:cs="宋体"/>
                <w:szCs w:val="21"/>
                <w:highlight w:val="none"/>
              </w:rPr>
              <w:t>总报价不得高于</w:t>
            </w:r>
            <w:r>
              <w:rPr>
                <w:rFonts w:hint="eastAsia" w:ascii="宋体" w:hAnsi="宋体" w:eastAsia="Times New Roman" w:cs="宋体"/>
                <w:szCs w:val="21"/>
                <w:highlight w:val="none"/>
                <w:lang w:val="en-US" w:eastAsia="zh-CN"/>
              </w:rPr>
              <w:t>比选</w:t>
            </w:r>
            <w:r>
              <w:rPr>
                <w:rFonts w:hint="eastAsia" w:ascii="宋体" w:hAnsi="宋体" w:eastAsia="Times New Roman" w:cs="宋体"/>
                <w:szCs w:val="21"/>
                <w:highlight w:val="none"/>
              </w:rPr>
              <w:t>人公布的</w:t>
            </w:r>
            <w:r>
              <w:rPr>
                <w:rFonts w:hint="eastAsia" w:ascii="宋体" w:hAnsi="宋体" w:eastAsia="Times New Roman" w:cs="宋体"/>
                <w:szCs w:val="21"/>
                <w:highlight w:val="none"/>
                <w:lang w:val="en-US" w:eastAsia="zh-CN"/>
              </w:rPr>
              <w:t>比选申请</w:t>
            </w:r>
            <w:r>
              <w:rPr>
                <w:rFonts w:hint="eastAsia" w:ascii="宋体" w:hAnsi="宋体" w:eastAsia="Times New Roman" w:cs="宋体"/>
                <w:szCs w:val="21"/>
                <w:highlight w:val="none"/>
              </w:rPr>
              <w:t>总报价最高限价。</w:t>
            </w:r>
          </w:p>
          <w:p w14:paraId="1D84A647">
            <w:pPr>
              <w:keepNext w:val="0"/>
              <w:keepLines w:val="0"/>
              <w:suppressLineNumbers w:val="0"/>
              <w:spacing w:before="0" w:beforeAutospacing="0" w:after="0" w:afterAutospacing="0" w:line="400" w:lineRule="exact"/>
              <w:ind w:left="0" w:right="0" w:firstLine="420" w:firstLineChars="200"/>
              <w:jc w:val="left"/>
              <w:rPr>
                <w:rFonts w:hint="eastAsia" w:ascii="宋体" w:hAnsi="宋体" w:eastAsia="宋体" w:cs="宋体"/>
                <w:color w:val="auto"/>
                <w:kern w:val="0"/>
                <w:highlight w:val="none"/>
              </w:rPr>
            </w:pPr>
            <w:r>
              <w:rPr>
                <w:rFonts w:hint="eastAsia" w:ascii="宋体" w:hAnsi="宋体" w:eastAsia="Times New Roman" w:cs="宋体"/>
                <w:szCs w:val="21"/>
                <w:highlight w:val="none"/>
              </w:rPr>
              <w:t>3.</w:t>
            </w:r>
            <w:r>
              <w:rPr>
                <w:rFonts w:hint="eastAsia" w:ascii="宋体" w:hAnsi="宋体" w:eastAsia="Times New Roman" w:cs="宋体"/>
                <w:szCs w:val="21"/>
                <w:highlight w:val="none"/>
                <w:lang w:val="en-US" w:eastAsia="zh-CN"/>
              </w:rPr>
              <w:t>比选申请</w:t>
            </w:r>
            <w:r>
              <w:rPr>
                <w:rFonts w:hint="eastAsia" w:ascii="宋体" w:hAnsi="宋体" w:eastAsia="Times New Roman" w:cs="宋体"/>
                <w:szCs w:val="21"/>
                <w:highlight w:val="none"/>
              </w:rPr>
              <w:t>总报价低于最高限价85%的，</w:t>
            </w:r>
            <w:r>
              <w:rPr>
                <w:rFonts w:hint="eastAsia" w:ascii="宋体" w:hAnsi="宋体" w:eastAsia="Times New Roman" w:cs="宋体"/>
                <w:szCs w:val="21"/>
                <w:highlight w:val="none"/>
                <w:lang w:val="en-US" w:eastAsia="zh-CN"/>
              </w:rPr>
              <w:t>比选申请</w:t>
            </w:r>
            <w:r>
              <w:rPr>
                <w:rFonts w:hint="eastAsia" w:ascii="宋体" w:hAnsi="宋体" w:eastAsia="Times New Roman" w:cs="宋体"/>
                <w:szCs w:val="21"/>
                <w:highlight w:val="none"/>
              </w:rPr>
              <w:t>人应在编制</w:t>
            </w:r>
            <w:r>
              <w:rPr>
                <w:rFonts w:hint="eastAsia" w:ascii="宋体" w:hAnsi="宋体" w:eastAsia="Times New Roman" w:cs="宋体"/>
                <w:szCs w:val="21"/>
                <w:highlight w:val="none"/>
                <w:lang w:val="en-US" w:eastAsia="zh-CN"/>
              </w:rPr>
              <w:t>比选申请</w:t>
            </w:r>
            <w:r>
              <w:rPr>
                <w:rFonts w:hint="eastAsia" w:ascii="宋体" w:hAnsi="宋体" w:eastAsia="Times New Roman" w:cs="宋体"/>
                <w:szCs w:val="21"/>
                <w:highlight w:val="none"/>
              </w:rPr>
              <w:t>文件时，在</w:t>
            </w:r>
            <w:r>
              <w:rPr>
                <w:rFonts w:hint="eastAsia" w:ascii="宋体" w:hAnsi="宋体" w:eastAsia="Times New Roman" w:cs="宋体"/>
                <w:szCs w:val="21"/>
                <w:highlight w:val="none"/>
                <w:lang w:val="en-US" w:eastAsia="zh-CN"/>
              </w:rPr>
              <w:t>比选申请</w:t>
            </w:r>
            <w:r>
              <w:rPr>
                <w:rFonts w:hint="eastAsia" w:ascii="宋体" w:hAnsi="宋体" w:eastAsia="Times New Roman" w:cs="宋体"/>
                <w:szCs w:val="21"/>
                <w:highlight w:val="none"/>
              </w:rPr>
              <w:t>函部分中递交低价风险担保提交承诺书。</w:t>
            </w:r>
            <w:r>
              <w:rPr>
                <w:rFonts w:hint="eastAsia" w:ascii="宋体" w:hAnsi="宋体" w:eastAsia="Times New Roman" w:cs="宋体"/>
                <w:bCs/>
                <w:szCs w:val="21"/>
                <w:highlight w:val="none"/>
              </w:rPr>
              <w:t>承诺书格式详见第八章</w:t>
            </w:r>
            <w:r>
              <w:rPr>
                <w:rFonts w:hint="eastAsia" w:ascii="宋体" w:hAnsi="宋体" w:eastAsia="Times New Roman" w:cs="宋体"/>
                <w:bCs/>
                <w:szCs w:val="21"/>
                <w:highlight w:val="none"/>
                <w:lang w:val="en-US" w:eastAsia="zh-CN"/>
              </w:rPr>
              <w:t>比选申请</w:t>
            </w:r>
            <w:r>
              <w:rPr>
                <w:rFonts w:hint="eastAsia" w:ascii="宋体" w:hAnsi="宋体" w:eastAsia="Times New Roman" w:cs="宋体"/>
                <w:bCs/>
                <w:szCs w:val="21"/>
                <w:highlight w:val="none"/>
              </w:rPr>
              <w:t>文件格式。</w:t>
            </w:r>
          </w:p>
        </w:tc>
      </w:tr>
      <w:tr w14:paraId="56B57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0" w:hRule="atLeast"/>
        </w:trPr>
        <w:tc>
          <w:tcPr>
            <w:tcW w:w="741" w:type="dxa"/>
            <w:vMerge w:val="continue"/>
            <w:noWrap w:val="0"/>
            <w:vAlign w:val="top"/>
          </w:tcPr>
          <w:p w14:paraId="1028A5F2">
            <w:pPr>
              <w:keepNext w:val="0"/>
              <w:keepLines w:val="0"/>
              <w:suppressLineNumbers w:val="0"/>
              <w:spacing w:before="0" w:beforeAutospacing="0" w:after="0" w:afterAutospacing="0" w:line="360" w:lineRule="auto"/>
              <w:ind w:left="0" w:right="0"/>
              <w:rPr>
                <w:rFonts w:hint="eastAsia" w:ascii="宋体" w:hAnsi="宋体" w:eastAsia="宋体" w:cs="宋体"/>
                <w:color w:val="auto"/>
                <w:highlight w:val="none"/>
              </w:rPr>
            </w:pPr>
          </w:p>
        </w:tc>
        <w:tc>
          <w:tcPr>
            <w:tcW w:w="741" w:type="dxa"/>
            <w:gridSpan w:val="2"/>
            <w:vMerge w:val="continue"/>
            <w:noWrap w:val="0"/>
            <w:vAlign w:val="top"/>
          </w:tcPr>
          <w:p w14:paraId="38BD414F">
            <w:pPr>
              <w:keepNext w:val="0"/>
              <w:keepLines w:val="0"/>
              <w:suppressLineNumbers w:val="0"/>
              <w:spacing w:before="0" w:beforeAutospacing="0" w:after="0" w:afterAutospacing="0" w:line="360" w:lineRule="auto"/>
              <w:ind w:left="0" w:right="0"/>
              <w:rPr>
                <w:rFonts w:hint="eastAsia" w:ascii="宋体" w:hAnsi="宋体" w:eastAsia="宋体" w:cs="宋体"/>
                <w:color w:val="auto"/>
                <w:highlight w:val="none"/>
              </w:rPr>
            </w:pPr>
          </w:p>
        </w:tc>
        <w:tc>
          <w:tcPr>
            <w:tcW w:w="2143" w:type="dxa"/>
            <w:noWrap w:val="0"/>
            <w:vAlign w:val="center"/>
          </w:tcPr>
          <w:p w14:paraId="2089C42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工期</w:t>
            </w:r>
          </w:p>
        </w:tc>
        <w:tc>
          <w:tcPr>
            <w:tcW w:w="6437" w:type="dxa"/>
            <w:noWrap w:val="0"/>
            <w:vAlign w:val="top"/>
          </w:tcPr>
          <w:p w14:paraId="4C7C794E">
            <w:pPr>
              <w:keepNext w:val="0"/>
              <w:keepLines w:val="0"/>
              <w:suppressLineNumbers w:val="0"/>
              <w:spacing w:before="0" w:beforeAutospacing="0" w:after="0" w:afterAutospacing="0" w:line="360" w:lineRule="auto"/>
              <w:ind w:left="0" w:right="0"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符合第二章“比选申请人须知”第1.3.2项规定</w:t>
            </w:r>
          </w:p>
        </w:tc>
      </w:tr>
      <w:tr w14:paraId="69FBA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1" w:type="dxa"/>
            <w:vMerge w:val="continue"/>
            <w:noWrap w:val="0"/>
            <w:vAlign w:val="top"/>
          </w:tcPr>
          <w:p w14:paraId="14319D3D">
            <w:pPr>
              <w:keepNext w:val="0"/>
              <w:keepLines w:val="0"/>
              <w:suppressLineNumbers w:val="0"/>
              <w:spacing w:before="0" w:beforeAutospacing="0" w:after="0" w:afterAutospacing="0" w:line="360" w:lineRule="auto"/>
              <w:ind w:left="0" w:right="0"/>
              <w:rPr>
                <w:rFonts w:hint="eastAsia" w:ascii="宋体" w:hAnsi="宋体" w:eastAsia="宋体" w:cs="宋体"/>
                <w:color w:val="auto"/>
                <w:highlight w:val="none"/>
              </w:rPr>
            </w:pPr>
          </w:p>
        </w:tc>
        <w:tc>
          <w:tcPr>
            <w:tcW w:w="741" w:type="dxa"/>
            <w:gridSpan w:val="2"/>
            <w:vMerge w:val="continue"/>
            <w:noWrap w:val="0"/>
            <w:vAlign w:val="top"/>
          </w:tcPr>
          <w:p w14:paraId="0E80444E">
            <w:pPr>
              <w:keepNext w:val="0"/>
              <w:keepLines w:val="0"/>
              <w:suppressLineNumbers w:val="0"/>
              <w:spacing w:before="0" w:beforeAutospacing="0" w:after="0" w:afterAutospacing="0" w:line="360" w:lineRule="auto"/>
              <w:ind w:left="0" w:right="0"/>
              <w:rPr>
                <w:rFonts w:hint="eastAsia" w:ascii="宋体" w:hAnsi="宋体" w:eastAsia="宋体" w:cs="宋体"/>
                <w:color w:val="auto"/>
                <w:highlight w:val="none"/>
              </w:rPr>
            </w:pPr>
          </w:p>
        </w:tc>
        <w:tc>
          <w:tcPr>
            <w:tcW w:w="2143" w:type="dxa"/>
            <w:noWrap w:val="0"/>
            <w:vAlign w:val="center"/>
          </w:tcPr>
          <w:p w14:paraId="0CFA02F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工程质量</w:t>
            </w:r>
          </w:p>
        </w:tc>
        <w:tc>
          <w:tcPr>
            <w:tcW w:w="6437" w:type="dxa"/>
            <w:noWrap w:val="0"/>
            <w:vAlign w:val="top"/>
          </w:tcPr>
          <w:p w14:paraId="61F14584">
            <w:pPr>
              <w:keepNext w:val="0"/>
              <w:keepLines w:val="0"/>
              <w:suppressLineNumbers w:val="0"/>
              <w:spacing w:before="0" w:beforeAutospacing="0" w:after="0" w:afterAutospacing="0" w:line="360" w:lineRule="auto"/>
              <w:ind w:left="0" w:right="0"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符合第二章“比选申请人须知”第1.3.3项规定</w:t>
            </w:r>
          </w:p>
        </w:tc>
      </w:tr>
      <w:tr w14:paraId="67ADC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1" w:type="dxa"/>
            <w:vMerge w:val="continue"/>
            <w:noWrap w:val="0"/>
            <w:vAlign w:val="top"/>
          </w:tcPr>
          <w:p w14:paraId="13FEDB1A">
            <w:pPr>
              <w:keepNext w:val="0"/>
              <w:keepLines w:val="0"/>
              <w:suppressLineNumbers w:val="0"/>
              <w:spacing w:before="0" w:beforeAutospacing="0" w:after="0" w:afterAutospacing="0" w:line="360" w:lineRule="auto"/>
              <w:ind w:left="0" w:right="0"/>
              <w:rPr>
                <w:rFonts w:hint="eastAsia" w:ascii="宋体" w:hAnsi="宋体" w:eastAsia="宋体" w:cs="宋体"/>
                <w:color w:val="auto"/>
                <w:highlight w:val="none"/>
              </w:rPr>
            </w:pPr>
          </w:p>
        </w:tc>
        <w:tc>
          <w:tcPr>
            <w:tcW w:w="741" w:type="dxa"/>
            <w:gridSpan w:val="2"/>
            <w:vMerge w:val="continue"/>
            <w:noWrap w:val="0"/>
            <w:vAlign w:val="top"/>
          </w:tcPr>
          <w:p w14:paraId="63CE3C2C">
            <w:pPr>
              <w:keepNext w:val="0"/>
              <w:keepLines w:val="0"/>
              <w:suppressLineNumbers w:val="0"/>
              <w:spacing w:before="0" w:beforeAutospacing="0" w:after="0" w:afterAutospacing="0" w:line="360" w:lineRule="auto"/>
              <w:ind w:left="0" w:right="0"/>
              <w:rPr>
                <w:rFonts w:hint="eastAsia" w:ascii="宋体" w:hAnsi="宋体" w:eastAsia="宋体" w:cs="宋体"/>
                <w:color w:val="auto"/>
                <w:highlight w:val="none"/>
              </w:rPr>
            </w:pPr>
          </w:p>
        </w:tc>
        <w:tc>
          <w:tcPr>
            <w:tcW w:w="2143" w:type="dxa"/>
            <w:noWrap w:val="0"/>
            <w:vAlign w:val="center"/>
          </w:tcPr>
          <w:p w14:paraId="5D8FCEE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比选申请有效期</w:t>
            </w:r>
          </w:p>
        </w:tc>
        <w:tc>
          <w:tcPr>
            <w:tcW w:w="6437" w:type="dxa"/>
            <w:noWrap w:val="0"/>
            <w:vAlign w:val="top"/>
          </w:tcPr>
          <w:p w14:paraId="6C338A17">
            <w:pPr>
              <w:keepNext w:val="0"/>
              <w:keepLines w:val="0"/>
              <w:suppressLineNumbers w:val="0"/>
              <w:spacing w:before="0" w:beforeAutospacing="0" w:after="0" w:afterAutospacing="0" w:line="360" w:lineRule="auto"/>
              <w:ind w:left="0" w:right="0"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符合第二章“比选申请人须知”第3.3.1项规定</w:t>
            </w:r>
          </w:p>
        </w:tc>
      </w:tr>
      <w:tr w14:paraId="00599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trPr>
        <w:tc>
          <w:tcPr>
            <w:tcW w:w="741" w:type="dxa"/>
            <w:vMerge w:val="continue"/>
            <w:noWrap w:val="0"/>
            <w:vAlign w:val="top"/>
          </w:tcPr>
          <w:p w14:paraId="540E9467">
            <w:pPr>
              <w:keepNext w:val="0"/>
              <w:keepLines w:val="0"/>
              <w:suppressLineNumbers w:val="0"/>
              <w:spacing w:before="0" w:beforeAutospacing="0" w:after="0" w:afterAutospacing="0" w:line="360" w:lineRule="auto"/>
              <w:ind w:left="0" w:right="0"/>
              <w:rPr>
                <w:rFonts w:hint="eastAsia" w:ascii="宋体" w:hAnsi="宋体" w:eastAsia="宋体" w:cs="宋体"/>
                <w:color w:val="auto"/>
                <w:highlight w:val="none"/>
              </w:rPr>
            </w:pPr>
          </w:p>
        </w:tc>
        <w:tc>
          <w:tcPr>
            <w:tcW w:w="741" w:type="dxa"/>
            <w:gridSpan w:val="2"/>
            <w:vMerge w:val="continue"/>
            <w:noWrap w:val="0"/>
            <w:vAlign w:val="top"/>
          </w:tcPr>
          <w:p w14:paraId="44A84C19">
            <w:pPr>
              <w:keepNext w:val="0"/>
              <w:keepLines w:val="0"/>
              <w:suppressLineNumbers w:val="0"/>
              <w:spacing w:before="0" w:beforeAutospacing="0" w:after="0" w:afterAutospacing="0" w:line="360" w:lineRule="auto"/>
              <w:ind w:left="0" w:right="0"/>
              <w:rPr>
                <w:rFonts w:hint="eastAsia" w:ascii="宋体" w:hAnsi="宋体" w:eastAsia="宋体" w:cs="宋体"/>
                <w:color w:val="auto"/>
                <w:highlight w:val="none"/>
              </w:rPr>
            </w:pPr>
          </w:p>
        </w:tc>
        <w:tc>
          <w:tcPr>
            <w:tcW w:w="2143" w:type="dxa"/>
            <w:noWrap w:val="0"/>
            <w:vAlign w:val="center"/>
          </w:tcPr>
          <w:p w14:paraId="0606F2D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权利义务</w:t>
            </w:r>
          </w:p>
        </w:tc>
        <w:tc>
          <w:tcPr>
            <w:tcW w:w="6437" w:type="dxa"/>
            <w:noWrap w:val="0"/>
            <w:vAlign w:val="center"/>
          </w:tcPr>
          <w:p w14:paraId="39D88898">
            <w:pPr>
              <w:keepNext w:val="0"/>
              <w:keepLines w:val="0"/>
              <w:suppressLineNumbers w:val="0"/>
              <w:spacing w:before="156" w:beforeLines="50" w:beforeAutospacing="0" w:after="0" w:afterAutospacing="0" w:line="360" w:lineRule="auto"/>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符合第四章“合同条款及格式”规定，比选申请文件不应附有比选人不能接受的条件。</w:t>
            </w:r>
          </w:p>
        </w:tc>
      </w:tr>
      <w:tr w14:paraId="01440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6" w:hRule="atLeast"/>
        </w:trPr>
        <w:tc>
          <w:tcPr>
            <w:tcW w:w="741" w:type="dxa"/>
            <w:vMerge w:val="continue"/>
            <w:noWrap w:val="0"/>
            <w:vAlign w:val="center"/>
          </w:tcPr>
          <w:p w14:paraId="0747EFC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p>
        </w:tc>
        <w:tc>
          <w:tcPr>
            <w:tcW w:w="741" w:type="dxa"/>
            <w:gridSpan w:val="2"/>
            <w:vMerge w:val="continue"/>
            <w:noWrap w:val="0"/>
            <w:textDirection w:val="tbRlV"/>
            <w:vAlign w:val="center"/>
          </w:tcPr>
          <w:p w14:paraId="578E945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p>
        </w:tc>
        <w:tc>
          <w:tcPr>
            <w:tcW w:w="2143" w:type="dxa"/>
            <w:noWrap w:val="0"/>
            <w:vAlign w:val="center"/>
          </w:tcPr>
          <w:p w14:paraId="04A1057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技术标准和要求</w:t>
            </w:r>
          </w:p>
        </w:tc>
        <w:tc>
          <w:tcPr>
            <w:tcW w:w="6437" w:type="dxa"/>
            <w:noWrap w:val="0"/>
            <w:vAlign w:val="center"/>
          </w:tcPr>
          <w:p w14:paraId="34BE5BCE">
            <w:pPr>
              <w:keepNext w:val="0"/>
              <w:keepLines w:val="0"/>
              <w:suppressLineNumbers w:val="0"/>
              <w:snapToGrid w:val="0"/>
              <w:spacing w:before="156" w:beforeLines="50" w:beforeAutospacing="0" w:after="0" w:afterAutospacing="0" w:line="360" w:lineRule="auto"/>
              <w:ind w:left="0" w:right="0" w:firstLine="420" w:firstLineChars="200"/>
              <w:rPr>
                <w:rFonts w:hint="eastAsia" w:ascii="宋体" w:hAnsi="宋体" w:eastAsia="宋体" w:cs="宋体"/>
                <w:b/>
                <w:color w:val="auto"/>
                <w:kern w:val="0"/>
                <w:highlight w:val="none"/>
              </w:rPr>
            </w:pPr>
            <w:r>
              <w:rPr>
                <w:rFonts w:hint="eastAsia" w:ascii="宋体" w:hAnsi="宋体" w:eastAsia="宋体" w:cs="宋体"/>
                <w:color w:val="auto"/>
                <w:kern w:val="0"/>
                <w:highlight w:val="none"/>
              </w:rPr>
              <w:t>符合第七章“技术标准和要求”规定，且比选申请文件中载明的主要施工技术和方法及质量检验标准符合国家规范、规程和强制性标准。</w:t>
            </w:r>
          </w:p>
        </w:tc>
      </w:tr>
      <w:tr w14:paraId="4853F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81" w:hRule="atLeast"/>
        </w:trPr>
        <w:tc>
          <w:tcPr>
            <w:tcW w:w="741" w:type="dxa"/>
            <w:vMerge w:val="continue"/>
            <w:noWrap w:val="0"/>
            <w:vAlign w:val="center"/>
          </w:tcPr>
          <w:p w14:paraId="7D96BA2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p>
        </w:tc>
        <w:tc>
          <w:tcPr>
            <w:tcW w:w="741" w:type="dxa"/>
            <w:gridSpan w:val="2"/>
            <w:vMerge w:val="continue"/>
            <w:noWrap w:val="0"/>
            <w:textDirection w:val="tbRlV"/>
            <w:vAlign w:val="center"/>
          </w:tcPr>
          <w:p w14:paraId="26BBC35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p>
        </w:tc>
        <w:tc>
          <w:tcPr>
            <w:tcW w:w="2143" w:type="dxa"/>
            <w:noWrap w:val="0"/>
            <w:vAlign w:val="center"/>
          </w:tcPr>
          <w:p w14:paraId="7C81C933">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kern w:val="0"/>
                <w:highlight w:val="none"/>
              </w:rPr>
            </w:pPr>
            <w:r>
              <w:rPr>
                <w:rFonts w:hint="default" w:ascii="宋体" w:hAnsi="宋体" w:eastAsia="Times New Roman" w:cs="Times New Roman"/>
                <w:color w:val="auto"/>
                <w:kern w:val="0"/>
                <w:highlight w:val="none"/>
              </w:rPr>
              <w:t>已标价工程量清单</w:t>
            </w:r>
          </w:p>
        </w:tc>
        <w:tc>
          <w:tcPr>
            <w:tcW w:w="6437" w:type="dxa"/>
            <w:noWrap w:val="0"/>
            <w:vAlign w:val="center"/>
          </w:tcPr>
          <w:p w14:paraId="6E5B3F10">
            <w:pPr>
              <w:keepNext w:val="0"/>
              <w:keepLines w:val="0"/>
              <w:suppressLineNumbers w:val="0"/>
              <w:spacing w:before="0" w:beforeAutospacing="0" w:after="62" w:afterLines="20" w:afterAutospacing="0" w:line="400" w:lineRule="exact"/>
              <w:ind w:left="0" w:right="0" w:firstLine="420" w:firstLineChars="200"/>
              <w:rPr>
                <w:rFonts w:hint="default" w:ascii="宋体" w:hAnsi="宋体" w:eastAsia="Times New Roman" w:cs="Times New Roman"/>
                <w:color w:val="auto"/>
                <w:kern w:val="0"/>
                <w:highlight w:val="none"/>
              </w:rPr>
            </w:pPr>
            <w:r>
              <w:rPr>
                <w:rFonts w:hint="eastAsia" w:ascii="宋体" w:hAnsi="宋体" w:eastAsia="Times New Roman" w:cs="Times New Roman"/>
                <w:color w:val="auto"/>
                <w:kern w:val="0"/>
                <w:highlight w:val="none"/>
              </w:rPr>
              <w:t>比选申请人承诺满足以下内容：</w:t>
            </w:r>
          </w:p>
          <w:p w14:paraId="795B300A">
            <w:pPr>
              <w:keepNext w:val="0"/>
              <w:keepLines w:val="0"/>
              <w:suppressLineNumbers w:val="0"/>
              <w:spacing w:before="0" w:beforeAutospacing="0" w:after="62" w:afterLines="20" w:afterAutospacing="0" w:line="400" w:lineRule="exact"/>
              <w:ind w:left="0" w:right="0" w:firstLine="420" w:firstLineChars="200"/>
              <w:rPr>
                <w:rFonts w:hint="default" w:ascii="宋体" w:hAnsi="宋体" w:eastAsia="Times New Roman" w:cs="Times New Roman"/>
                <w:color w:val="auto"/>
                <w:kern w:val="0"/>
                <w:highlight w:val="none"/>
              </w:rPr>
            </w:pPr>
            <w:r>
              <w:rPr>
                <w:rFonts w:hint="eastAsia" w:ascii="宋体" w:hAnsi="宋体" w:eastAsia="Times New Roman" w:cs="Times New Roman"/>
                <w:color w:val="auto"/>
                <w:kern w:val="0"/>
                <w:highlight w:val="none"/>
              </w:rPr>
              <w:t>1</w:t>
            </w:r>
            <w:r>
              <w:rPr>
                <w:rFonts w:hint="default" w:ascii="宋体" w:hAnsi="宋体" w:eastAsia="Times New Roman" w:cs="Times New Roman"/>
                <w:color w:val="auto"/>
                <w:kern w:val="0"/>
                <w:highlight w:val="none"/>
              </w:rPr>
              <w:t>.符合第五章“工程量清单”给出的范围及数量。</w:t>
            </w:r>
          </w:p>
          <w:p w14:paraId="31FB1BA2">
            <w:pPr>
              <w:keepNext w:val="0"/>
              <w:keepLines w:val="0"/>
              <w:suppressLineNumbers w:val="0"/>
              <w:spacing w:before="0" w:beforeAutospacing="0" w:after="62" w:afterLines="20" w:afterAutospacing="0" w:line="400" w:lineRule="exact"/>
              <w:ind w:left="0" w:right="0" w:firstLine="420" w:firstLineChars="200"/>
              <w:rPr>
                <w:rFonts w:hint="eastAsia" w:ascii="宋体" w:hAnsi="宋体" w:eastAsia="宋体" w:cs="宋体"/>
                <w:color w:val="auto"/>
                <w:kern w:val="0"/>
                <w:highlight w:val="none"/>
              </w:rPr>
            </w:pPr>
            <w:r>
              <w:rPr>
                <w:rFonts w:hint="default" w:ascii="宋体" w:hAnsi="宋体" w:eastAsia="Times New Roman" w:cs="Times New Roman"/>
                <w:color w:val="auto"/>
                <w:kern w:val="0"/>
                <w:highlight w:val="none"/>
              </w:rPr>
              <w:t>2.</w:t>
            </w:r>
            <w:r>
              <w:rPr>
                <w:rFonts w:hint="eastAsia" w:ascii="宋体" w:hAnsi="宋体" w:eastAsia="Times New Roman" w:cs="Times New Roman"/>
                <w:color w:val="auto"/>
                <w:kern w:val="0"/>
                <w:highlight w:val="none"/>
              </w:rPr>
              <w:t>竞争性比选文件中规定工程量清单不允许修改的内容不得修改。</w:t>
            </w:r>
          </w:p>
        </w:tc>
      </w:tr>
      <w:tr w14:paraId="72131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5" w:hRule="atLeast"/>
        </w:trPr>
        <w:tc>
          <w:tcPr>
            <w:tcW w:w="741" w:type="dxa"/>
            <w:vMerge w:val="continue"/>
            <w:noWrap w:val="0"/>
            <w:vAlign w:val="center"/>
          </w:tcPr>
          <w:p w14:paraId="56F5CAC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p>
        </w:tc>
        <w:tc>
          <w:tcPr>
            <w:tcW w:w="741" w:type="dxa"/>
            <w:gridSpan w:val="2"/>
            <w:vMerge w:val="continue"/>
            <w:noWrap w:val="0"/>
            <w:textDirection w:val="tbRlV"/>
            <w:vAlign w:val="center"/>
          </w:tcPr>
          <w:p w14:paraId="48B8052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p>
        </w:tc>
        <w:tc>
          <w:tcPr>
            <w:tcW w:w="2143" w:type="dxa"/>
            <w:noWrap w:val="0"/>
            <w:vAlign w:val="center"/>
          </w:tcPr>
          <w:p w14:paraId="7DA0AD38">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Times New Roman" w:cs="Times New Roman"/>
                <w:color w:val="auto"/>
                <w:kern w:val="0"/>
                <w:highlight w:val="none"/>
                <w:lang w:val="en-US" w:eastAsia="zh-CN"/>
              </w:rPr>
              <w:t>比选申请</w:t>
            </w:r>
            <w:r>
              <w:rPr>
                <w:rFonts w:hint="default" w:ascii="宋体" w:hAnsi="宋体" w:eastAsia="Times New Roman" w:cs="Times New Roman"/>
                <w:color w:val="auto"/>
                <w:kern w:val="0"/>
                <w:highlight w:val="none"/>
              </w:rPr>
              <w:t>报价算术错误修正</w:t>
            </w:r>
          </w:p>
        </w:tc>
        <w:tc>
          <w:tcPr>
            <w:tcW w:w="6437" w:type="dxa"/>
            <w:noWrap w:val="0"/>
            <w:vAlign w:val="center"/>
          </w:tcPr>
          <w:p w14:paraId="297FF860">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kern w:val="0"/>
                <w:highlight w:val="none"/>
              </w:rPr>
            </w:pPr>
            <w:r>
              <w:rPr>
                <w:rFonts w:hint="default" w:ascii="宋体" w:hAnsi="宋体" w:eastAsia="Times New Roman" w:cs="Times New Roman"/>
                <w:color w:val="auto"/>
                <w:kern w:val="0"/>
                <w:highlight w:val="none"/>
              </w:rPr>
              <w:t>符合第三章3.评标程序第3.1.3项规定。</w:t>
            </w:r>
          </w:p>
        </w:tc>
      </w:tr>
      <w:tr w14:paraId="73E9B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9" w:hRule="atLeast"/>
        </w:trPr>
        <w:tc>
          <w:tcPr>
            <w:tcW w:w="741" w:type="dxa"/>
            <w:vMerge w:val="continue"/>
            <w:noWrap w:val="0"/>
            <w:vAlign w:val="top"/>
          </w:tcPr>
          <w:p w14:paraId="093BC745">
            <w:pPr>
              <w:keepNext w:val="0"/>
              <w:keepLines w:val="0"/>
              <w:suppressLineNumbers w:val="0"/>
              <w:spacing w:before="0" w:beforeAutospacing="0" w:after="0" w:afterAutospacing="0" w:line="360" w:lineRule="auto"/>
              <w:ind w:left="0" w:right="0"/>
              <w:rPr>
                <w:rFonts w:hint="eastAsia" w:ascii="宋体" w:hAnsi="宋体" w:eastAsia="宋体" w:cs="宋体"/>
                <w:color w:val="auto"/>
                <w:highlight w:val="none"/>
              </w:rPr>
            </w:pPr>
          </w:p>
        </w:tc>
        <w:tc>
          <w:tcPr>
            <w:tcW w:w="741" w:type="dxa"/>
            <w:gridSpan w:val="2"/>
            <w:vMerge w:val="continue"/>
            <w:noWrap w:val="0"/>
            <w:vAlign w:val="top"/>
          </w:tcPr>
          <w:p w14:paraId="0F147F68">
            <w:pPr>
              <w:keepNext w:val="0"/>
              <w:keepLines w:val="0"/>
              <w:suppressLineNumbers w:val="0"/>
              <w:spacing w:before="0" w:beforeAutospacing="0" w:after="0" w:afterAutospacing="0" w:line="360" w:lineRule="auto"/>
              <w:ind w:left="0" w:right="0"/>
              <w:rPr>
                <w:rFonts w:hint="eastAsia" w:ascii="宋体" w:hAnsi="宋体" w:eastAsia="宋体" w:cs="宋体"/>
                <w:color w:val="auto"/>
                <w:highlight w:val="none"/>
              </w:rPr>
            </w:pPr>
          </w:p>
        </w:tc>
        <w:tc>
          <w:tcPr>
            <w:tcW w:w="2143" w:type="dxa"/>
            <w:noWrap w:val="0"/>
            <w:vAlign w:val="center"/>
          </w:tcPr>
          <w:p w14:paraId="44475E1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实质性要求</w:t>
            </w:r>
          </w:p>
        </w:tc>
        <w:tc>
          <w:tcPr>
            <w:tcW w:w="6437" w:type="dxa"/>
            <w:noWrap w:val="0"/>
            <w:vAlign w:val="center"/>
          </w:tcPr>
          <w:p w14:paraId="2B522D82">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符合比选文件中规定的其他实质性要求。</w:t>
            </w:r>
          </w:p>
        </w:tc>
      </w:tr>
      <w:tr w14:paraId="27114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482" w:type="dxa"/>
            <w:gridSpan w:val="3"/>
            <w:tcBorders>
              <w:bottom w:val="single" w:color="auto" w:sz="4" w:space="0"/>
            </w:tcBorders>
            <w:noWrap w:val="0"/>
            <w:vAlign w:val="top"/>
          </w:tcPr>
          <w:p w14:paraId="048FE8D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highlight w:val="none"/>
              </w:rPr>
            </w:pPr>
            <w:r>
              <w:rPr>
                <w:rFonts w:hint="eastAsia" w:ascii="宋体" w:hAnsi="宋体" w:eastAsia="宋体" w:cs="宋体"/>
                <w:b/>
                <w:color w:val="auto"/>
                <w:kern w:val="0"/>
                <w:highlight w:val="none"/>
              </w:rPr>
              <w:t>条款号</w:t>
            </w:r>
          </w:p>
        </w:tc>
        <w:tc>
          <w:tcPr>
            <w:tcW w:w="8580" w:type="dxa"/>
            <w:gridSpan w:val="2"/>
            <w:noWrap w:val="0"/>
            <w:vAlign w:val="center"/>
          </w:tcPr>
          <w:p w14:paraId="7E5FDA4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u w:val="single"/>
              </w:rPr>
            </w:pPr>
            <w:r>
              <w:rPr>
                <w:rFonts w:hint="eastAsia" w:ascii="宋体" w:hAnsi="宋体" w:eastAsia="宋体" w:cs="宋体"/>
                <w:b/>
                <w:color w:val="auto"/>
                <w:kern w:val="0"/>
                <w:highlight w:val="none"/>
              </w:rPr>
              <w:t xml:space="preserve">编列内容 </w:t>
            </w:r>
          </w:p>
        </w:tc>
      </w:tr>
      <w:tr w14:paraId="4E5D1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1" w:hRule="atLeast"/>
        </w:trPr>
        <w:tc>
          <w:tcPr>
            <w:tcW w:w="749" w:type="dxa"/>
            <w:gridSpan w:val="2"/>
            <w:noWrap w:val="0"/>
            <w:vAlign w:val="center"/>
          </w:tcPr>
          <w:p w14:paraId="78C593A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highlight w:val="none"/>
              </w:rPr>
            </w:pPr>
            <w:r>
              <w:rPr>
                <w:rFonts w:hint="eastAsia" w:ascii="宋体" w:hAnsi="宋体" w:eastAsia="宋体" w:cs="宋体"/>
                <w:color w:val="auto"/>
                <w:highlight w:val="none"/>
              </w:rPr>
              <w:t>3</w:t>
            </w:r>
          </w:p>
        </w:tc>
        <w:tc>
          <w:tcPr>
            <w:tcW w:w="733" w:type="dxa"/>
            <w:noWrap w:val="0"/>
            <w:textDirection w:val="tbRlV"/>
            <w:vAlign w:val="center"/>
          </w:tcPr>
          <w:p w14:paraId="5316904A">
            <w:pPr>
              <w:keepNext w:val="0"/>
              <w:keepLines w:val="0"/>
              <w:suppressLineNumbers w:val="0"/>
              <w:spacing w:before="0" w:beforeAutospacing="0" w:after="0" w:afterAutospacing="0" w:line="360" w:lineRule="auto"/>
              <w:ind w:left="113" w:right="113"/>
              <w:jc w:val="center"/>
              <w:rPr>
                <w:rFonts w:hint="eastAsia" w:ascii="宋体" w:hAnsi="宋体" w:eastAsia="宋体" w:cs="宋体"/>
                <w:color w:val="auto"/>
                <w:kern w:val="0"/>
                <w:highlight w:val="none"/>
              </w:rPr>
            </w:pPr>
            <w:r>
              <w:rPr>
                <w:rFonts w:hint="eastAsia" w:ascii="宋体" w:hAnsi="宋体" w:eastAsia="宋体" w:cs="宋体"/>
                <w:color w:val="auto"/>
                <w:highlight w:val="none"/>
              </w:rPr>
              <w:t>评标程序</w:t>
            </w:r>
          </w:p>
        </w:tc>
        <w:tc>
          <w:tcPr>
            <w:tcW w:w="8580" w:type="dxa"/>
            <w:gridSpan w:val="2"/>
            <w:noWrap w:val="0"/>
            <w:vAlign w:val="top"/>
          </w:tcPr>
          <w:p w14:paraId="1702727E">
            <w:pPr>
              <w:keepNext w:val="0"/>
              <w:keepLines w:val="0"/>
              <w:suppressLineNumbers w:val="0"/>
              <w:spacing w:before="0" w:beforeAutospacing="0" w:after="31" w:afterLines="10" w:afterAutospacing="0" w:line="400" w:lineRule="exact"/>
              <w:ind w:left="0" w:right="0" w:firstLine="420" w:firstLineChars="200"/>
              <w:jc w:val="left"/>
              <w:rPr>
                <w:rFonts w:hint="default" w:ascii="宋体" w:hAnsi="宋体" w:eastAsia="Times New Roman" w:cs="Times New Roman"/>
                <w:kern w:val="0"/>
                <w:szCs w:val="21"/>
                <w:highlight w:val="none"/>
              </w:rPr>
            </w:pPr>
            <w:r>
              <w:rPr>
                <w:rFonts w:hint="eastAsia" w:ascii="宋体" w:hAnsi="宋体" w:eastAsia="Times New Roman" w:cs="Times New Roman"/>
                <w:kern w:val="0"/>
                <w:szCs w:val="21"/>
                <w:highlight w:val="none"/>
              </w:rPr>
              <w:t>1.对报价不高于最高限价的所有</w:t>
            </w:r>
            <w:r>
              <w:rPr>
                <w:rFonts w:hint="eastAsia" w:ascii="宋体" w:hAnsi="宋体" w:eastAsia="Times New Roman" w:cs="Times New Roman"/>
                <w:kern w:val="0"/>
                <w:szCs w:val="21"/>
                <w:highlight w:val="none"/>
                <w:lang w:eastAsia="zh-CN"/>
              </w:rPr>
              <w:t>比选申请人</w:t>
            </w:r>
            <w:r>
              <w:rPr>
                <w:rFonts w:hint="eastAsia" w:ascii="宋体" w:hAnsi="宋体" w:eastAsia="Times New Roman" w:cs="Times New Roman"/>
                <w:kern w:val="0"/>
                <w:szCs w:val="21"/>
                <w:highlight w:val="none"/>
              </w:rPr>
              <w:t>的</w:t>
            </w:r>
            <w:r>
              <w:rPr>
                <w:rFonts w:hint="eastAsia" w:ascii="宋体" w:hAnsi="宋体" w:eastAsia="Times New Roman" w:cs="Times New Roman"/>
                <w:kern w:val="0"/>
                <w:szCs w:val="21"/>
                <w:highlight w:val="none"/>
                <w:lang w:eastAsia="zh-CN"/>
              </w:rPr>
              <w:t>比选申请文件</w:t>
            </w:r>
            <w:r>
              <w:rPr>
                <w:rFonts w:hint="eastAsia" w:ascii="宋体" w:hAnsi="宋体" w:eastAsia="Times New Roman" w:cs="Times New Roman"/>
                <w:kern w:val="0"/>
                <w:szCs w:val="21"/>
                <w:highlight w:val="none"/>
              </w:rPr>
              <w:t>，按照报价由低到高的顺序排序。</w:t>
            </w:r>
          </w:p>
          <w:p w14:paraId="508F7143">
            <w:pPr>
              <w:keepNext w:val="0"/>
              <w:keepLines w:val="0"/>
              <w:suppressLineNumbers w:val="0"/>
              <w:spacing w:before="0" w:beforeAutospacing="0" w:after="31" w:afterLines="10" w:afterAutospacing="0" w:line="400" w:lineRule="exact"/>
              <w:ind w:left="0" w:right="0" w:firstLine="420" w:firstLineChars="200"/>
              <w:jc w:val="left"/>
              <w:rPr>
                <w:rFonts w:hint="default" w:ascii="宋体" w:hAnsi="宋体" w:eastAsia="Times New Roman" w:cs="Times New Roman"/>
                <w:kern w:val="0"/>
                <w:szCs w:val="21"/>
                <w:highlight w:val="none"/>
              </w:rPr>
            </w:pPr>
            <w:r>
              <w:rPr>
                <w:rFonts w:hint="eastAsia" w:ascii="宋体" w:hAnsi="宋体" w:eastAsia="Times New Roman" w:cs="Times New Roman"/>
                <w:kern w:val="0"/>
                <w:szCs w:val="21"/>
                <w:highlight w:val="none"/>
              </w:rPr>
              <w:t>2.根据本章第2.2款约定进行符合性审查</w:t>
            </w:r>
            <w:r>
              <w:rPr>
                <w:rFonts w:hint="eastAsia" w:ascii="宋体" w:hAnsi="宋体" w:eastAsia="Times New Roman" w:cs="Times New Roman"/>
                <w:spacing w:val="4"/>
                <w:kern w:val="0"/>
                <w:szCs w:val="21"/>
                <w:highlight w:val="none"/>
              </w:rPr>
              <w:t>。符合性审查</w:t>
            </w:r>
            <w:r>
              <w:rPr>
                <w:rFonts w:hint="eastAsia" w:ascii="宋体" w:hAnsi="宋体" w:eastAsia="Times New Roman" w:cs="Times New Roman"/>
                <w:kern w:val="0"/>
                <w:szCs w:val="21"/>
                <w:highlight w:val="none"/>
              </w:rPr>
              <w:t>合格的</w:t>
            </w:r>
            <w:r>
              <w:rPr>
                <w:rFonts w:hint="eastAsia" w:ascii="宋体" w:hAnsi="宋体" w:eastAsia="Times New Roman" w:cs="Times New Roman"/>
                <w:kern w:val="0"/>
                <w:szCs w:val="21"/>
                <w:highlight w:val="none"/>
                <w:lang w:eastAsia="zh-CN"/>
              </w:rPr>
              <w:t>比选申请人</w:t>
            </w:r>
            <w:r>
              <w:rPr>
                <w:rFonts w:hint="eastAsia" w:ascii="宋体" w:hAnsi="宋体" w:eastAsia="Times New Roman" w:cs="Times New Roman"/>
                <w:kern w:val="0"/>
                <w:szCs w:val="21"/>
                <w:highlight w:val="none"/>
              </w:rPr>
              <w:t>中，报价最低的成为第一</w:t>
            </w:r>
            <w:r>
              <w:rPr>
                <w:rFonts w:hint="eastAsia" w:ascii="宋体" w:hAnsi="宋体" w:eastAsia="Times New Roman" w:cs="Times New Roman"/>
                <w:kern w:val="0"/>
                <w:szCs w:val="21"/>
                <w:highlight w:val="none"/>
                <w:lang w:eastAsia="zh-CN"/>
              </w:rPr>
              <w:t>中选</w:t>
            </w:r>
            <w:r>
              <w:rPr>
                <w:rFonts w:hint="eastAsia" w:ascii="宋体" w:hAnsi="宋体" w:eastAsia="Times New Roman" w:cs="Times New Roman"/>
                <w:kern w:val="0"/>
                <w:szCs w:val="21"/>
                <w:highlight w:val="none"/>
              </w:rPr>
              <w:t>候选人，报价次低的成为第二</w:t>
            </w:r>
            <w:r>
              <w:rPr>
                <w:rFonts w:hint="eastAsia" w:ascii="宋体" w:hAnsi="宋体" w:eastAsia="Times New Roman" w:cs="Times New Roman"/>
                <w:kern w:val="0"/>
                <w:szCs w:val="21"/>
                <w:highlight w:val="none"/>
                <w:lang w:eastAsia="zh-CN"/>
              </w:rPr>
              <w:t>中选</w:t>
            </w:r>
            <w:r>
              <w:rPr>
                <w:rFonts w:hint="eastAsia" w:ascii="宋体" w:hAnsi="宋体" w:eastAsia="Times New Roman" w:cs="Times New Roman"/>
                <w:kern w:val="0"/>
                <w:szCs w:val="21"/>
                <w:highlight w:val="none"/>
              </w:rPr>
              <w:t>候选人，依次类推。</w:t>
            </w:r>
          </w:p>
          <w:p w14:paraId="1CB92CF4">
            <w:pPr>
              <w:keepNext w:val="0"/>
              <w:keepLines w:val="0"/>
              <w:suppressLineNumbers w:val="0"/>
              <w:spacing w:before="0" w:beforeAutospacing="0" w:after="31" w:afterLines="10" w:afterAutospacing="0" w:line="400" w:lineRule="exact"/>
              <w:ind w:left="0" w:right="0" w:firstLine="420" w:firstLineChars="200"/>
              <w:jc w:val="left"/>
              <w:rPr>
                <w:rFonts w:hint="default" w:ascii="宋体" w:hAnsi="宋体" w:eastAsia="Times New Roman" w:cs="Times New Roman"/>
                <w:kern w:val="0"/>
                <w:szCs w:val="21"/>
                <w:highlight w:val="none"/>
              </w:rPr>
            </w:pPr>
            <w:r>
              <w:rPr>
                <w:rFonts w:hint="eastAsia" w:ascii="宋体" w:hAnsi="宋体" w:eastAsia="Times New Roman" w:cs="Times New Roman"/>
                <w:kern w:val="0"/>
                <w:szCs w:val="21"/>
                <w:highlight w:val="none"/>
              </w:rPr>
              <w:t>3.</w:t>
            </w:r>
            <w:r>
              <w:rPr>
                <w:rFonts w:hint="eastAsia" w:ascii="宋体" w:hAnsi="宋体" w:eastAsia="Times New Roman" w:cs="Times New Roman"/>
                <w:spacing w:val="4"/>
                <w:kern w:val="0"/>
                <w:szCs w:val="21"/>
                <w:highlight w:val="none"/>
              </w:rPr>
              <w:t>若上述程序未能评出三名</w:t>
            </w:r>
            <w:r>
              <w:rPr>
                <w:rFonts w:hint="eastAsia" w:ascii="宋体" w:hAnsi="宋体" w:eastAsia="Times New Roman" w:cs="Times New Roman"/>
                <w:spacing w:val="4"/>
                <w:kern w:val="0"/>
                <w:szCs w:val="21"/>
                <w:highlight w:val="none"/>
                <w:lang w:eastAsia="zh-CN"/>
              </w:rPr>
              <w:t>中选</w:t>
            </w:r>
            <w:r>
              <w:rPr>
                <w:rFonts w:hint="eastAsia" w:ascii="宋体" w:hAnsi="宋体" w:eastAsia="Times New Roman" w:cs="Times New Roman"/>
                <w:spacing w:val="4"/>
                <w:kern w:val="0"/>
                <w:szCs w:val="21"/>
                <w:highlight w:val="none"/>
              </w:rPr>
              <w:t>候选人</w:t>
            </w:r>
            <w:r>
              <w:rPr>
                <w:rFonts w:hint="eastAsia" w:ascii="宋体" w:hAnsi="宋体" w:eastAsia="Times New Roman" w:cs="Times New Roman"/>
                <w:kern w:val="0"/>
                <w:szCs w:val="21"/>
                <w:highlight w:val="none"/>
              </w:rPr>
              <w:t>，则评标委员会对剩余</w:t>
            </w:r>
            <w:r>
              <w:rPr>
                <w:rFonts w:hint="eastAsia" w:ascii="宋体" w:hAnsi="宋体" w:eastAsia="Times New Roman" w:cs="Times New Roman"/>
                <w:kern w:val="0"/>
                <w:szCs w:val="21"/>
                <w:highlight w:val="none"/>
                <w:lang w:eastAsia="zh-CN"/>
              </w:rPr>
              <w:t>比选申请文件</w:t>
            </w:r>
            <w:r>
              <w:rPr>
                <w:rFonts w:hint="eastAsia" w:ascii="宋体" w:hAnsi="宋体" w:eastAsia="Times New Roman" w:cs="Times New Roman"/>
                <w:kern w:val="0"/>
                <w:szCs w:val="21"/>
                <w:highlight w:val="none"/>
              </w:rPr>
              <w:t>继续按上述第2条进行评审，直至评出三名</w:t>
            </w:r>
            <w:r>
              <w:rPr>
                <w:rFonts w:hint="eastAsia" w:ascii="宋体" w:hAnsi="宋体" w:eastAsia="Times New Roman" w:cs="Times New Roman"/>
                <w:kern w:val="0"/>
                <w:szCs w:val="21"/>
                <w:highlight w:val="none"/>
                <w:lang w:eastAsia="zh-CN"/>
              </w:rPr>
              <w:t>中选</w:t>
            </w:r>
            <w:r>
              <w:rPr>
                <w:rFonts w:hint="eastAsia" w:ascii="宋体" w:hAnsi="宋体" w:eastAsia="Times New Roman" w:cs="Times New Roman"/>
                <w:kern w:val="0"/>
                <w:szCs w:val="21"/>
                <w:highlight w:val="none"/>
              </w:rPr>
              <w:t>候选人，或者评审完所有</w:t>
            </w:r>
            <w:r>
              <w:rPr>
                <w:rFonts w:hint="eastAsia" w:ascii="宋体" w:hAnsi="宋体" w:eastAsia="Times New Roman" w:cs="Times New Roman"/>
                <w:kern w:val="0"/>
                <w:szCs w:val="21"/>
                <w:highlight w:val="none"/>
                <w:lang w:eastAsia="zh-CN"/>
              </w:rPr>
              <w:t>比选申请文件</w:t>
            </w:r>
            <w:r>
              <w:rPr>
                <w:rFonts w:hint="eastAsia" w:ascii="宋体" w:hAnsi="宋体" w:eastAsia="Times New Roman" w:cs="Times New Roman"/>
                <w:kern w:val="0"/>
                <w:szCs w:val="21"/>
                <w:highlight w:val="none"/>
              </w:rPr>
              <w:t>。</w:t>
            </w:r>
          </w:p>
          <w:p w14:paraId="400B451D">
            <w:pPr>
              <w:keepNext w:val="0"/>
              <w:keepLines w:val="0"/>
              <w:suppressLineNumbers w:val="0"/>
              <w:spacing w:before="0" w:beforeAutospacing="0" w:after="31" w:afterLines="10" w:afterAutospacing="0" w:line="400" w:lineRule="exact"/>
              <w:ind w:left="0" w:right="0" w:firstLine="420" w:firstLineChars="200"/>
              <w:jc w:val="left"/>
              <w:rPr>
                <w:rFonts w:hint="default" w:ascii="宋体" w:hAnsi="宋体" w:eastAsia="Times New Roman" w:cs="Times New Roman"/>
                <w:kern w:val="0"/>
                <w:szCs w:val="21"/>
                <w:highlight w:val="none"/>
              </w:rPr>
            </w:pPr>
            <w:r>
              <w:rPr>
                <w:rFonts w:hint="eastAsia" w:ascii="宋体" w:hAnsi="宋体" w:eastAsia="Times New Roman" w:cs="Times New Roman"/>
                <w:kern w:val="0"/>
                <w:szCs w:val="21"/>
                <w:highlight w:val="none"/>
              </w:rPr>
              <w:t>4.</w:t>
            </w:r>
            <w:r>
              <w:rPr>
                <w:rFonts w:hint="eastAsia" w:ascii="Times New Roman" w:hAnsi="Times New Roman" w:eastAsia="Times New Roman" w:cs="Times New Roman"/>
                <w:highlight w:val="none"/>
              </w:rPr>
              <w:t xml:space="preserve"> </w:t>
            </w:r>
            <w:r>
              <w:rPr>
                <w:rFonts w:hint="eastAsia" w:ascii="宋体" w:hAnsi="宋体" w:eastAsia="Times New Roman" w:cs="Times New Roman"/>
                <w:kern w:val="0"/>
                <w:szCs w:val="21"/>
                <w:highlight w:val="none"/>
              </w:rPr>
              <w:t>因评标委员会作否决投标处理，导致有效</w:t>
            </w:r>
            <w:r>
              <w:rPr>
                <w:rFonts w:hint="eastAsia" w:ascii="宋体" w:hAnsi="宋体" w:eastAsia="Times New Roman" w:cs="Times New Roman"/>
                <w:kern w:val="0"/>
                <w:szCs w:val="21"/>
                <w:highlight w:val="none"/>
                <w:lang w:eastAsia="zh-CN"/>
              </w:rPr>
              <w:t>比选申请人</w:t>
            </w:r>
            <w:r>
              <w:rPr>
                <w:rFonts w:hint="eastAsia" w:ascii="宋体" w:hAnsi="宋体" w:eastAsia="Times New Roman" w:cs="Times New Roman"/>
                <w:kern w:val="0"/>
                <w:szCs w:val="21"/>
                <w:highlight w:val="none"/>
              </w:rPr>
              <w:t>不足三个的，评标委员会应当否决所有投标。但是有效</w:t>
            </w:r>
            <w:r>
              <w:rPr>
                <w:rFonts w:hint="eastAsia" w:ascii="宋体" w:hAnsi="宋体" w:eastAsia="Times New Roman" w:cs="Times New Roman"/>
                <w:kern w:val="0"/>
                <w:szCs w:val="21"/>
                <w:highlight w:val="none"/>
                <w:lang w:eastAsia="zh-CN"/>
              </w:rPr>
              <w:t>比选申请人</w:t>
            </w:r>
            <w:r>
              <w:rPr>
                <w:rFonts w:hint="eastAsia" w:ascii="宋体" w:hAnsi="宋体" w:eastAsia="Times New Roman" w:cs="Times New Roman"/>
                <w:kern w:val="0"/>
                <w:szCs w:val="21"/>
                <w:highlight w:val="none"/>
              </w:rPr>
              <w:t>的经济、技术等指标仍然具有市场竞争力，并满足</w:t>
            </w:r>
            <w:r>
              <w:rPr>
                <w:rFonts w:hint="eastAsia" w:ascii="宋体" w:hAnsi="宋体" w:eastAsia="Times New Roman" w:cs="Times New Roman"/>
                <w:kern w:val="0"/>
                <w:szCs w:val="21"/>
                <w:highlight w:val="none"/>
                <w:lang w:eastAsia="zh-CN"/>
              </w:rPr>
              <w:t>比选文件</w:t>
            </w:r>
            <w:r>
              <w:rPr>
                <w:rFonts w:hint="eastAsia" w:ascii="宋体" w:hAnsi="宋体" w:eastAsia="Times New Roman" w:cs="Times New Roman"/>
                <w:kern w:val="0"/>
                <w:szCs w:val="21"/>
                <w:highlight w:val="none"/>
              </w:rPr>
              <w:t>要求的，评标委员会可以继续评标并确定</w:t>
            </w:r>
            <w:r>
              <w:rPr>
                <w:rFonts w:hint="eastAsia" w:ascii="宋体" w:hAnsi="宋体" w:eastAsia="Times New Roman" w:cs="Times New Roman"/>
                <w:kern w:val="0"/>
                <w:szCs w:val="21"/>
                <w:highlight w:val="none"/>
                <w:lang w:eastAsia="zh-CN"/>
              </w:rPr>
              <w:t>中选</w:t>
            </w:r>
            <w:r>
              <w:rPr>
                <w:rFonts w:hint="eastAsia" w:ascii="宋体" w:hAnsi="宋体" w:eastAsia="Times New Roman" w:cs="Times New Roman"/>
                <w:kern w:val="0"/>
                <w:szCs w:val="21"/>
                <w:highlight w:val="none"/>
              </w:rPr>
              <w:t>候选人。</w:t>
            </w:r>
          </w:p>
          <w:p w14:paraId="6B61FAD8">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highlight w:val="none"/>
                <w:lang w:eastAsia="zh-CN"/>
              </w:rPr>
            </w:pPr>
            <w:r>
              <w:rPr>
                <w:rFonts w:hint="eastAsia" w:ascii="宋体" w:hAnsi="宋体" w:eastAsia="Times New Roman" w:cs="Times New Roman"/>
                <w:kern w:val="0"/>
                <w:szCs w:val="21"/>
                <w:highlight w:val="none"/>
              </w:rPr>
              <w:t>注：若出现</w:t>
            </w:r>
            <w:r>
              <w:rPr>
                <w:rFonts w:hint="eastAsia" w:ascii="宋体" w:hAnsi="宋体" w:eastAsia="Times New Roman" w:cs="Times New Roman"/>
                <w:kern w:val="0"/>
                <w:szCs w:val="21"/>
                <w:highlight w:val="none"/>
                <w:lang w:eastAsia="zh-CN"/>
              </w:rPr>
              <w:t>比选申请人</w:t>
            </w:r>
            <w:r>
              <w:rPr>
                <w:rFonts w:hint="eastAsia" w:ascii="宋体" w:hAnsi="宋体" w:eastAsia="Times New Roman" w:cs="Times New Roman"/>
                <w:kern w:val="0"/>
                <w:szCs w:val="21"/>
                <w:highlight w:val="none"/>
                <w:lang w:val="en-US" w:eastAsia="zh-CN"/>
              </w:rPr>
              <w:t>的比选申请总</w:t>
            </w:r>
            <w:r>
              <w:rPr>
                <w:rFonts w:hint="eastAsia" w:ascii="宋体" w:hAnsi="宋体" w:eastAsia="Times New Roman" w:cs="Times New Roman"/>
                <w:kern w:val="0"/>
                <w:szCs w:val="21"/>
                <w:highlight w:val="none"/>
              </w:rPr>
              <w:t>报价相同的，以“</w:t>
            </w:r>
            <w:r>
              <w:rPr>
                <w:rFonts w:hint="eastAsia" w:ascii="宋体" w:hAnsi="宋体" w:eastAsia="Times New Roman" w:cs="Times New Roman"/>
                <w:kern w:val="0"/>
                <w:szCs w:val="21"/>
                <w:highlight w:val="none"/>
                <w:lang w:eastAsia="zh-CN"/>
              </w:rPr>
              <w:t>比选申请人</w:t>
            </w:r>
            <w:r>
              <w:rPr>
                <w:rFonts w:hint="eastAsia" w:ascii="宋体" w:hAnsi="宋体" w:eastAsia="Times New Roman" w:cs="Times New Roman"/>
                <w:kern w:val="0"/>
                <w:szCs w:val="21"/>
                <w:highlight w:val="none"/>
              </w:rPr>
              <w:t>在红名单中优先”的原则排序</w:t>
            </w:r>
            <w:r>
              <w:rPr>
                <w:rFonts w:hint="eastAsia" w:ascii="宋体" w:hAnsi="宋体" w:eastAsia="Times New Roman" w:cs="Times New Roman"/>
                <w:spacing w:val="4"/>
                <w:kern w:val="0"/>
                <w:szCs w:val="21"/>
                <w:highlight w:val="none"/>
              </w:rPr>
              <w:t>，</w:t>
            </w:r>
            <w:r>
              <w:rPr>
                <w:rFonts w:hint="eastAsia" w:ascii="宋体" w:hAnsi="宋体" w:eastAsia="Times New Roman" w:cs="Times New Roman"/>
                <w:spacing w:val="4"/>
                <w:kern w:val="0"/>
                <w:szCs w:val="21"/>
                <w:highlight w:val="none"/>
                <w:lang w:eastAsia="zh-CN"/>
              </w:rPr>
              <w:t>比选申请人</w:t>
            </w:r>
            <w:r>
              <w:rPr>
                <w:rFonts w:hint="eastAsia" w:ascii="宋体" w:hAnsi="宋体" w:eastAsia="Times New Roman" w:cs="Times New Roman"/>
                <w:spacing w:val="4"/>
                <w:kern w:val="0"/>
                <w:szCs w:val="21"/>
                <w:highlight w:val="none"/>
              </w:rPr>
              <w:t>是否属于红名单，以开标环节信用状况查询结果为准</w:t>
            </w:r>
            <w:r>
              <w:rPr>
                <w:rFonts w:hint="eastAsia" w:ascii="宋体" w:hAnsi="宋体" w:eastAsia="Times New Roman" w:cs="Times New Roman"/>
                <w:kern w:val="0"/>
                <w:szCs w:val="21"/>
                <w:highlight w:val="none"/>
              </w:rPr>
              <w:t>；</w:t>
            </w:r>
            <w:r>
              <w:rPr>
                <w:rFonts w:hint="eastAsia" w:ascii="宋体" w:hAnsi="宋体" w:eastAsia="Times New Roman" w:cs="Times New Roman"/>
                <w:kern w:val="0"/>
                <w:szCs w:val="21"/>
                <w:highlight w:val="none"/>
                <w:lang w:eastAsia="zh-CN"/>
              </w:rPr>
              <w:t>比选申请人</w:t>
            </w:r>
            <w:r>
              <w:rPr>
                <w:rFonts w:hint="eastAsia" w:ascii="宋体" w:hAnsi="宋体" w:eastAsia="Times New Roman" w:cs="Times New Roman"/>
                <w:kern w:val="0"/>
                <w:szCs w:val="21"/>
                <w:highlight w:val="none"/>
              </w:rPr>
              <w:t>均在红名单中</w:t>
            </w:r>
            <w:r>
              <w:rPr>
                <w:rFonts w:hint="eastAsia" w:ascii="宋体" w:hAnsi="宋体" w:eastAsia="Times New Roman" w:cs="Times New Roman"/>
                <w:spacing w:val="4"/>
                <w:kern w:val="0"/>
                <w:szCs w:val="21"/>
                <w:highlight w:val="none"/>
              </w:rPr>
              <w:t>或均不在红名单中的，由评标委员会按照</w:t>
            </w:r>
            <w:r>
              <w:rPr>
                <w:rFonts w:hint="eastAsia" w:ascii="宋体" w:hAnsi="宋体" w:eastAsia="Times New Roman" w:cs="Times New Roman"/>
                <w:spacing w:val="4"/>
                <w:kern w:val="0"/>
                <w:szCs w:val="21"/>
                <w:highlight w:val="none"/>
                <w:u w:val="single"/>
              </w:rPr>
              <w:t xml:space="preserve">  </w:t>
            </w:r>
            <w:r>
              <w:rPr>
                <w:rFonts w:hint="eastAsia" w:ascii="宋体" w:hAnsi="宋体" w:eastAsia="Times New Roman" w:cs="Times New Roman"/>
                <w:spacing w:val="4"/>
                <w:kern w:val="0"/>
                <w:szCs w:val="21"/>
                <w:highlight w:val="none"/>
                <w:u w:val="single"/>
                <w:lang w:val="en-US" w:eastAsia="zh-CN"/>
              </w:rPr>
              <w:t>举手表决</w:t>
            </w:r>
            <w:r>
              <w:rPr>
                <w:rFonts w:hint="eastAsia" w:ascii="宋体" w:hAnsi="宋体" w:eastAsia="Times New Roman" w:cs="Times New Roman"/>
                <w:spacing w:val="4"/>
                <w:kern w:val="0"/>
                <w:szCs w:val="21"/>
                <w:highlight w:val="none"/>
                <w:u w:val="single"/>
              </w:rPr>
              <w:t xml:space="preserve">  </w:t>
            </w:r>
            <w:r>
              <w:rPr>
                <w:rFonts w:hint="eastAsia" w:ascii="宋体" w:hAnsi="宋体" w:eastAsia="Times New Roman" w:cs="Times New Roman"/>
                <w:spacing w:val="4"/>
                <w:kern w:val="0"/>
                <w:szCs w:val="21"/>
                <w:highlight w:val="none"/>
              </w:rPr>
              <w:t>原则排序</w:t>
            </w:r>
            <w:r>
              <w:rPr>
                <w:rFonts w:hint="eastAsia" w:ascii="宋体" w:hAnsi="宋体" w:eastAsia="Times New Roman" w:cs="Times New Roman"/>
                <w:spacing w:val="4"/>
                <w:kern w:val="0"/>
                <w:szCs w:val="21"/>
                <w:highlight w:val="none"/>
                <w:lang w:eastAsia="zh-CN"/>
              </w:rPr>
              <w:t>。</w:t>
            </w:r>
          </w:p>
        </w:tc>
      </w:tr>
      <w:tr w14:paraId="09214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5" w:hRule="atLeast"/>
        </w:trPr>
        <w:tc>
          <w:tcPr>
            <w:tcW w:w="749" w:type="dxa"/>
            <w:gridSpan w:val="2"/>
            <w:noWrap w:val="0"/>
            <w:vAlign w:val="center"/>
          </w:tcPr>
          <w:p w14:paraId="43AA48D1">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Times New Roman" w:cs="Times New Roman"/>
                <w:highlight w:val="none"/>
              </w:rPr>
              <w:t>3.4</w:t>
            </w:r>
          </w:p>
        </w:tc>
        <w:tc>
          <w:tcPr>
            <w:tcW w:w="733" w:type="dxa"/>
            <w:noWrap w:val="0"/>
            <w:vAlign w:val="center"/>
          </w:tcPr>
          <w:p w14:paraId="538EC013">
            <w:pPr>
              <w:keepNext w:val="0"/>
              <w:keepLines w:val="0"/>
              <w:suppressLineNumbers w:val="0"/>
              <w:spacing w:before="0" w:beforeAutospacing="0" w:after="0" w:afterAutospacing="0" w:line="400" w:lineRule="exact"/>
              <w:ind w:left="0" w:right="0"/>
              <w:jc w:val="center"/>
              <w:rPr>
                <w:rFonts w:hint="eastAsia" w:ascii="宋体" w:hAnsi="宋体" w:eastAsia="Times New Roman" w:cs="Times New Roman"/>
                <w:highlight w:val="none"/>
              </w:rPr>
            </w:pPr>
            <w:r>
              <w:rPr>
                <w:rFonts w:hint="default" w:ascii="宋体" w:hAnsi="宋体" w:eastAsia="Times New Roman" w:cs="Times New Roman"/>
                <w:highlight w:val="none"/>
              </w:rPr>
              <w:t>评标结果</w:t>
            </w:r>
          </w:p>
        </w:tc>
        <w:tc>
          <w:tcPr>
            <w:tcW w:w="8580" w:type="dxa"/>
            <w:gridSpan w:val="2"/>
            <w:noWrap w:val="0"/>
            <w:vAlign w:val="center"/>
          </w:tcPr>
          <w:p w14:paraId="705E5121">
            <w:pPr>
              <w:keepNext w:val="0"/>
              <w:keepLines w:val="0"/>
              <w:suppressLineNumbers w:val="0"/>
              <w:autoSpaceDE w:val="0"/>
              <w:autoSpaceDN w:val="0"/>
              <w:adjustRightInd w:val="0"/>
              <w:snapToGrid w:val="0"/>
              <w:spacing w:before="0" w:beforeAutospacing="0" w:after="0" w:afterAutospacing="0" w:line="400" w:lineRule="exact"/>
              <w:ind w:left="0" w:right="0" w:firstLine="420"/>
              <w:jc w:val="left"/>
              <w:rPr>
                <w:rFonts w:hint="default" w:ascii="宋体" w:hAnsi="宋体" w:eastAsia="Times New Roman" w:cs="Times New Roman"/>
                <w:kern w:val="0"/>
                <w:szCs w:val="21"/>
                <w:highlight w:val="none"/>
              </w:rPr>
            </w:pPr>
            <w:r>
              <w:rPr>
                <w:rFonts w:hint="default" w:ascii="宋体" w:hAnsi="宋体" w:eastAsia="Times New Roman" w:cs="Times New Roman"/>
                <w:kern w:val="0"/>
                <w:szCs w:val="21"/>
                <w:highlight w:val="none"/>
              </w:rPr>
              <w:t>3.</w:t>
            </w:r>
            <w:r>
              <w:rPr>
                <w:rFonts w:hint="default" w:ascii="宋体" w:hAnsi="宋体" w:eastAsia="Times New Roman" w:cs="Times New Roman"/>
                <w:spacing w:val="-1"/>
                <w:kern w:val="0"/>
                <w:szCs w:val="21"/>
                <w:highlight w:val="none"/>
              </w:rPr>
              <w:t>4</w:t>
            </w:r>
            <w:r>
              <w:rPr>
                <w:rFonts w:hint="default" w:ascii="宋体" w:hAnsi="宋体" w:eastAsia="Times New Roman" w:cs="Times New Roman"/>
                <w:kern w:val="0"/>
                <w:szCs w:val="21"/>
                <w:highlight w:val="none"/>
              </w:rPr>
              <w:t>.1</w:t>
            </w:r>
            <w:r>
              <w:rPr>
                <w:rFonts w:hint="eastAsia" w:ascii="宋体" w:hAnsi="宋体" w:eastAsia="Times New Roman" w:cs="Times New Roman"/>
                <w:kern w:val="0"/>
                <w:szCs w:val="21"/>
                <w:highlight w:val="none"/>
              </w:rPr>
              <w:t xml:space="preserve"> </w:t>
            </w:r>
            <w:r>
              <w:rPr>
                <w:rFonts w:hint="default" w:ascii="宋体" w:hAnsi="宋体" w:eastAsia="Times New Roman" w:cs="Times New Roman"/>
                <w:kern w:val="0"/>
                <w:szCs w:val="21"/>
                <w:highlight w:val="none"/>
              </w:rPr>
              <w:t>除第二章“</w:t>
            </w:r>
            <w:r>
              <w:rPr>
                <w:rFonts w:hint="eastAsia" w:ascii="宋体" w:hAnsi="宋体" w:eastAsia="Times New Roman" w:cs="Times New Roman"/>
                <w:kern w:val="0"/>
                <w:szCs w:val="21"/>
                <w:highlight w:val="none"/>
                <w:lang w:eastAsia="zh-CN"/>
              </w:rPr>
              <w:t>比选申请人</w:t>
            </w:r>
            <w:r>
              <w:rPr>
                <w:rFonts w:hint="default" w:ascii="宋体" w:hAnsi="宋体" w:eastAsia="Times New Roman" w:cs="Times New Roman"/>
                <w:kern w:val="0"/>
                <w:szCs w:val="21"/>
                <w:highlight w:val="none"/>
              </w:rPr>
              <w:t>须知”前</w:t>
            </w:r>
            <w:r>
              <w:rPr>
                <w:rFonts w:hint="default" w:ascii="宋体" w:hAnsi="宋体" w:eastAsia="Times New Roman" w:cs="Times New Roman"/>
                <w:spacing w:val="1"/>
                <w:kern w:val="0"/>
                <w:szCs w:val="21"/>
                <w:highlight w:val="none"/>
              </w:rPr>
              <w:t>附</w:t>
            </w:r>
            <w:r>
              <w:rPr>
                <w:rFonts w:hint="default" w:ascii="宋体" w:hAnsi="宋体" w:eastAsia="Times New Roman" w:cs="Times New Roman"/>
                <w:kern w:val="0"/>
                <w:szCs w:val="21"/>
                <w:highlight w:val="none"/>
              </w:rPr>
              <w:t>表授权直</w:t>
            </w:r>
            <w:r>
              <w:rPr>
                <w:rFonts w:hint="default" w:ascii="宋体" w:hAnsi="宋体" w:eastAsia="Times New Roman" w:cs="Times New Roman"/>
                <w:spacing w:val="1"/>
                <w:kern w:val="0"/>
                <w:szCs w:val="21"/>
                <w:highlight w:val="none"/>
              </w:rPr>
              <w:t>接</w:t>
            </w:r>
            <w:r>
              <w:rPr>
                <w:rFonts w:hint="default" w:ascii="宋体" w:hAnsi="宋体" w:eastAsia="Times New Roman" w:cs="Times New Roman"/>
                <w:kern w:val="0"/>
                <w:szCs w:val="21"/>
                <w:highlight w:val="none"/>
              </w:rPr>
              <w:t>确定</w:t>
            </w:r>
            <w:r>
              <w:rPr>
                <w:rFonts w:hint="eastAsia" w:ascii="宋体" w:hAnsi="宋体" w:eastAsia="Times New Roman" w:cs="Times New Roman"/>
                <w:kern w:val="0"/>
                <w:szCs w:val="21"/>
                <w:highlight w:val="none"/>
                <w:lang w:eastAsia="zh-CN"/>
              </w:rPr>
              <w:t>中选人</w:t>
            </w:r>
            <w:r>
              <w:rPr>
                <w:rFonts w:hint="default" w:ascii="宋体" w:hAnsi="宋体" w:eastAsia="Times New Roman" w:cs="Times New Roman"/>
                <w:kern w:val="0"/>
                <w:szCs w:val="21"/>
                <w:highlight w:val="none"/>
              </w:rPr>
              <w:t>外，评标</w:t>
            </w:r>
            <w:r>
              <w:rPr>
                <w:rFonts w:hint="default" w:ascii="宋体" w:hAnsi="宋体" w:eastAsia="Times New Roman" w:cs="Times New Roman"/>
                <w:spacing w:val="1"/>
                <w:kern w:val="0"/>
                <w:szCs w:val="21"/>
                <w:highlight w:val="none"/>
              </w:rPr>
              <w:t>委</w:t>
            </w:r>
            <w:r>
              <w:rPr>
                <w:rFonts w:hint="default" w:ascii="宋体" w:hAnsi="宋体" w:eastAsia="Times New Roman" w:cs="Times New Roman"/>
                <w:kern w:val="0"/>
                <w:szCs w:val="21"/>
                <w:highlight w:val="none"/>
              </w:rPr>
              <w:t>员会</w:t>
            </w:r>
            <w:r>
              <w:rPr>
                <w:rFonts w:hint="eastAsia" w:ascii="宋体" w:hAnsi="宋体" w:eastAsia="Times New Roman" w:cs="Times New Roman"/>
                <w:kern w:val="0"/>
                <w:szCs w:val="21"/>
                <w:highlight w:val="none"/>
              </w:rPr>
              <w:t>按经评审的最低投标价法</w:t>
            </w:r>
            <w:r>
              <w:rPr>
                <w:rFonts w:hint="default" w:ascii="宋体" w:hAnsi="宋体" w:eastAsia="Times New Roman" w:cs="Times New Roman"/>
                <w:kern w:val="0"/>
                <w:szCs w:val="21"/>
                <w:highlight w:val="none"/>
              </w:rPr>
              <w:t>推荐</w:t>
            </w:r>
            <w:r>
              <w:rPr>
                <w:rFonts w:hint="eastAsia" w:ascii="宋体" w:hAnsi="宋体" w:eastAsia="Times New Roman" w:cs="Times New Roman"/>
                <w:kern w:val="0"/>
                <w:szCs w:val="21"/>
                <w:highlight w:val="none"/>
                <w:lang w:eastAsia="zh-CN"/>
              </w:rPr>
              <w:t>中选</w:t>
            </w:r>
            <w:r>
              <w:rPr>
                <w:rFonts w:hint="default" w:ascii="宋体" w:hAnsi="宋体" w:eastAsia="Times New Roman" w:cs="Times New Roman"/>
                <w:kern w:val="0"/>
                <w:szCs w:val="21"/>
                <w:highlight w:val="none"/>
              </w:rPr>
              <w:t>候选人。</w:t>
            </w:r>
          </w:p>
          <w:p w14:paraId="3A7B1753">
            <w:pPr>
              <w:keepNext w:val="0"/>
              <w:keepLines w:val="0"/>
              <w:suppressLineNumbers w:val="0"/>
              <w:spacing w:before="0" w:beforeAutospacing="0" w:after="0" w:afterAutospacing="0" w:line="400" w:lineRule="exact"/>
              <w:ind w:left="0" w:right="0" w:firstLine="424" w:firstLineChars="200"/>
              <w:rPr>
                <w:rFonts w:hint="default" w:ascii="宋体" w:hAnsi="宋体" w:eastAsia="宋体" w:cs="宋体"/>
                <w:color w:val="auto"/>
                <w:kern w:val="0"/>
                <w:szCs w:val="21"/>
                <w:highlight w:val="none"/>
                <w:lang w:val="en-US" w:eastAsia="zh-CN"/>
              </w:rPr>
            </w:pPr>
            <w:r>
              <w:rPr>
                <w:rFonts w:hint="default" w:ascii="宋体" w:hAnsi="宋体" w:eastAsia="Times New Roman" w:cs="Times New Roman"/>
                <w:spacing w:val="1"/>
                <w:kern w:val="0"/>
                <w:szCs w:val="21"/>
                <w:highlight w:val="none"/>
              </w:rPr>
              <w:t>3</w:t>
            </w:r>
            <w:r>
              <w:rPr>
                <w:rFonts w:hint="default" w:ascii="宋体" w:hAnsi="宋体" w:eastAsia="Times New Roman" w:cs="Times New Roman"/>
                <w:kern w:val="0"/>
                <w:szCs w:val="21"/>
                <w:highlight w:val="none"/>
              </w:rPr>
              <w:t>.4.2</w:t>
            </w:r>
            <w:r>
              <w:rPr>
                <w:rFonts w:hint="eastAsia" w:ascii="宋体" w:hAnsi="宋体" w:eastAsia="Times New Roman" w:cs="Times New Roman"/>
                <w:kern w:val="0"/>
                <w:szCs w:val="21"/>
                <w:highlight w:val="none"/>
              </w:rPr>
              <w:t xml:space="preserve"> </w:t>
            </w:r>
            <w:r>
              <w:rPr>
                <w:rFonts w:hint="default" w:ascii="宋体" w:hAnsi="宋体" w:eastAsia="Times New Roman" w:cs="Times New Roman"/>
                <w:kern w:val="0"/>
                <w:szCs w:val="21"/>
                <w:highlight w:val="none"/>
              </w:rPr>
              <w:t>评标</w:t>
            </w:r>
            <w:r>
              <w:rPr>
                <w:rFonts w:hint="default" w:ascii="宋体" w:hAnsi="宋体" w:eastAsia="Times New Roman" w:cs="Times New Roman"/>
                <w:spacing w:val="-1"/>
                <w:kern w:val="0"/>
                <w:szCs w:val="21"/>
                <w:highlight w:val="none"/>
              </w:rPr>
              <w:t>委</w:t>
            </w:r>
            <w:r>
              <w:rPr>
                <w:rFonts w:hint="default" w:ascii="宋体" w:hAnsi="宋体" w:eastAsia="Times New Roman" w:cs="Times New Roman"/>
                <w:kern w:val="0"/>
                <w:szCs w:val="21"/>
                <w:highlight w:val="none"/>
              </w:rPr>
              <w:t>员会完成评标后，应当向</w:t>
            </w:r>
            <w:r>
              <w:rPr>
                <w:rFonts w:hint="eastAsia" w:ascii="宋体" w:hAnsi="宋体" w:eastAsia="Times New Roman" w:cs="Times New Roman"/>
                <w:kern w:val="0"/>
                <w:szCs w:val="21"/>
                <w:highlight w:val="none"/>
                <w:lang w:eastAsia="zh-CN"/>
              </w:rPr>
              <w:t>比选人</w:t>
            </w:r>
            <w:r>
              <w:rPr>
                <w:rFonts w:hint="default" w:ascii="宋体" w:hAnsi="宋体" w:eastAsia="Times New Roman" w:cs="Times New Roman"/>
                <w:kern w:val="0"/>
                <w:szCs w:val="21"/>
                <w:highlight w:val="none"/>
              </w:rPr>
              <w:t>提交书面评标报告。</w:t>
            </w:r>
          </w:p>
        </w:tc>
      </w:tr>
    </w:tbl>
    <w:p w14:paraId="5E50C40A">
      <w:pPr>
        <w:rPr>
          <w:rFonts w:hint="eastAsia" w:ascii="宋体" w:hAnsi="宋体" w:cs="宋体"/>
          <w:color w:val="auto"/>
          <w:highlight w:val="none"/>
        </w:rPr>
      </w:pPr>
    </w:p>
    <w:p w14:paraId="5C6670B2">
      <w:pPr>
        <w:pStyle w:val="3"/>
        <w:numPr>
          <w:ilvl w:val="0"/>
          <w:numId w:val="0"/>
        </w:numPr>
        <w:spacing w:before="0" w:after="0" w:line="360" w:lineRule="auto"/>
        <w:ind w:leftChars="0"/>
        <w:rPr>
          <w:rFonts w:hint="eastAsia" w:ascii="宋体" w:hAnsi="宋体" w:eastAsia="宋体" w:cs="宋体"/>
          <w:bCs w:val="0"/>
          <w:snapToGrid w:val="0"/>
          <w:sz w:val="21"/>
          <w:szCs w:val="21"/>
          <w:highlight w:val="none"/>
        </w:rPr>
      </w:pPr>
      <w:r>
        <w:rPr>
          <w:rFonts w:hint="eastAsia" w:ascii="宋体" w:hAnsi="宋体" w:eastAsia="宋体" w:cs="宋体"/>
          <w:color w:val="auto"/>
          <w:w w:val="99"/>
          <w:kern w:val="0"/>
          <w:szCs w:val="21"/>
          <w:highlight w:val="none"/>
        </w:rPr>
        <w:br w:type="page"/>
      </w:r>
      <w:bookmarkStart w:id="427" w:name="_Toc27750"/>
      <w:bookmarkStart w:id="428" w:name="_Toc57905886"/>
      <w:r>
        <w:rPr>
          <w:rFonts w:hint="eastAsia" w:ascii="宋体" w:hAnsi="宋体" w:eastAsia="宋体" w:cs="宋体"/>
          <w:b/>
          <w:kern w:val="2"/>
          <w:sz w:val="21"/>
          <w:szCs w:val="21"/>
          <w:highlight w:val="none"/>
          <w:lang w:val="en-US" w:eastAsia="zh-CN" w:bidi="ar-SA"/>
        </w:rPr>
        <w:t>1.  评标方法</w:t>
      </w:r>
      <w:bookmarkEnd w:id="427"/>
      <w:bookmarkEnd w:id="428"/>
    </w:p>
    <w:p w14:paraId="13B8BB24">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本次评标采用经评审的最低投标价法，评标委员会按照本章第2.1款进行报价排序，按照本章第2.2款进行符合性审查，符合性审查合格的</w:t>
      </w:r>
      <w:r>
        <w:rPr>
          <w:rFonts w:hint="eastAsia" w:ascii="宋体" w:hAnsi="宋体" w:eastAsia="宋体" w:cs="宋体"/>
          <w:sz w:val="21"/>
          <w:szCs w:val="21"/>
          <w:highlight w:val="none"/>
          <w:lang w:eastAsia="zh-CN"/>
        </w:rPr>
        <w:t>比选申请人</w:t>
      </w:r>
      <w:r>
        <w:rPr>
          <w:rFonts w:hint="eastAsia" w:ascii="宋体" w:hAnsi="宋体" w:eastAsia="宋体" w:cs="宋体"/>
          <w:sz w:val="21"/>
          <w:szCs w:val="21"/>
          <w:highlight w:val="none"/>
        </w:rPr>
        <w:t>中按报价由低到高推荐</w:t>
      </w:r>
      <w:r>
        <w:rPr>
          <w:rFonts w:hint="eastAsia" w:ascii="宋体" w:hAnsi="宋体" w:eastAsia="宋体" w:cs="宋体"/>
          <w:sz w:val="21"/>
          <w:szCs w:val="21"/>
          <w:highlight w:val="none"/>
          <w:lang w:eastAsia="zh-CN"/>
        </w:rPr>
        <w:t>中选</w:t>
      </w:r>
      <w:r>
        <w:rPr>
          <w:rFonts w:hint="eastAsia" w:ascii="宋体" w:hAnsi="宋体" w:eastAsia="宋体" w:cs="宋体"/>
          <w:sz w:val="21"/>
          <w:szCs w:val="21"/>
          <w:highlight w:val="none"/>
        </w:rPr>
        <w:t>候选人，或根据</w:t>
      </w:r>
      <w:r>
        <w:rPr>
          <w:rFonts w:hint="eastAsia" w:ascii="宋体" w:hAnsi="宋体" w:eastAsia="宋体" w:cs="宋体"/>
          <w:sz w:val="21"/>
          <w:szCs w:val="21"/>
          <w:highlight w:val="none"/>
          <w:lang w:eastAsia="zh-CN"/>
        </w:rPr>
        <w:t>比选人</w:t>
      </w:r>
      <w:r>
        <w:rPr>
          <w:rFonts w:hint="eastAsia" w:ascii="宋体" w:hAnsi="宋体" w:eastAsia="宋体" w:cs="宋体"/>
          <w:sz w:val="21"/>
          <w:szCs w:val="21"/>
          <w:highlight w:val="none"/>
        </w:rPr>
        <w:t>授权直接确定</w:t>
      </w:r>
      <w:r>
        <w:rPr>
          <w:rFonts w:hint="eastAsia" w:ascii="宋体" w:hAnsi="宋体" w:eastAsia="宋体" w:cs="宋体"/>
          <w:sz w:val="21"/>
          <w:szCs w:val="21"/>
          <w:highlight w:val="none"/>
          <w:lang w:eastAsia="zh-CN"/>
        </w:rPr>
        <w:t>中选人</w:t>
      </w:r>
      <w:r>
        <w:rPr>
          <w:rFonts w:hint="eastAsia" w:ascii="宋体" w:hAnsi="宋体" w:eastAsia="宋体" w:cs="宋体"/>
          <w:sz w:val="21"/>
          <w:szCs w:val="21"/>
          <w:highlight w:val="none"/>
        </w:rPr>
        <w:t>。若出现</w:t>
      </w:r>
      <w:r>
        <w:rPr>
          <w:rFonts w:hint="eastAsia" w:ascii="宋体" w:hAnsi="宋体" w:eastAsia="宋体" w:cs="宋体"/>
          <w:sz w:val="21"/>
          <w:szCs w:val="21"/>
          <w:highlight w:val="none"/>
          <w:lang w:eastAsia="zh-CN"/>
        </w:rPr>
        <w:t>比选申请人</w:t>
      </w:r>
      <w:r>
        <w:rPr>
          <w:rFonts w:hint="eastAsia" w:ascii="宋体" w:hAnsi="宋体" w:eastAsia="宋体" w:cs="宋体"/>
          <w:sz w:val="21"/>
          <w:szCs w:val="21"/>
          <w:highlight w:val="none"/>
          <w:lang w:val="en-US" w:eastAsia="zh-CN"/>
        </w:rPr>
        <w:t>的比选申请总</w:t>
      </w:r>
      <w:r>
        <w:rPr>
          <w:rFonts w:hint="eastAsia" w:ascii="宋体" w:hAnsi="宋体" w:eastAsia="宋体" w:cs="宋体"/>
          <w:sz w:val="21"/>
          <w:szCs w:val="21"/>
          <w:highlight w:val="none"/>
        </w:rPr>
        <w:t>报价相同的，以评标办法前附表约定的原则确定排序。</w:t>
      </w:r>
    </w:p>
    <w:p w14:paraId="327B57D7">
      <w:pPr>
        <w:pStyle w:val="3"/>
        <w:numPr>
          <w:ilvl w:val="1"/>
          <w:numId w:val="0"/>
        </w:numPr>
        <w:spacing w:before="0" w:after="0" w:line="360" w:lineRule="auto"/>
        <w:ind w:leftChars="0"/>
        <w:rPr>
          <w:rFonts w:hint="eastAsia" w:ascii="宋体" w:hAnsi="宋体" w:eastAsia="宋体" w:cs="宋体"/>
          <w:b/>
          <w:kern w:val="2"/>
          <w:sz w:val="21"/>
          <w:szCs w:val="21"/>
          <w:highlight w:val="none"/>
          <w:lang w:val="en-US" w:eastAsia="zh-CN" w:bidi="ar-SA"/>
        </w:rPr>
      </w:pPr>
      <w:bookmarkStart w:id="429" w:name="_Toc20502"/>
      <w:bookmarkStart w:id="430" w:name="_Toc57905887"/>
      <w:r>
        <w:rPr>
          <w:rFonts w:hint="eastAsia" w:ascii="宋体" w:hAnsi="宋体" w:eastAsia="宋体" w:cs="宋体"/>
          <w:b/>
          <w:kern w:val="2"/>
          <w:sz w:val="21"/>
          <w:szCs w:val="21"/>
          <w:highlight w:val="none"/>
          <w:lang w:val="en-US" w:eastAsia="zh-CN" w:bidi="ar-SA"/>
        </w:rPr>
        <w:t>2.  评审标准</w:t>
      </w:r>
      <w:bookmarkEnd w:id="429"/>
      <w:bookmarkEnd w:id="430"/>
      <w:bookmarkStart w:id="431" w:name="_Toc3739"/>
      <w:bookmarkStart w:id="432" w:name="_Toc57905888"/>
    </w:p>
    <w:p w14:paraId="125E369A">
      <w:pPr>
        <w:pStyle w:val="3"/>
        <w:numPr>
          <w:ilvl w:val="0"/>
          <w:numId w:val="0"/>
        </w:numPr>
        <w:spacing w:before="0" w:after="0" w:line="360" w:lineRule="auto"/>
        <w:ind w:leftChars="0"/>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2.1报价排序</w:t>
      </w:r>
      <w:bookmarkEnd w:id="431"/>
      <w:r>
        <w:rPr>
          <w:rFonts w:hint="eastAsia" w:ascii="宋体" w:hAnsi="宋体" w:eastAsia="宋体" w:cs="宋体"/>
          <w:b w:val="0"/>
          <w:kern w:val="2"/>
          <w:sz w:val="21"/>
          <w:szCs w:val="21"/>
          <w:highlight w:val="none"/>
          <w:lang w:val="en-US" w:eastAsia="zh-CN" w:bidi="ar-SA"/>
        </w:rPr>
        <w:t>标准</w:t>
      </w:r>
      <w:bookmarkEnd w:id="432"/>
    </w:p>
    <w:p w14:paraId="65EF64F7">
      <w:pPr>
        <w:spacing w:line="360" w:lineRule="auto"/>
        <w:ind w:firstLine="413" w:firstLineChars="197"/>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见评标办法前附表。</w:t>
      </w:r>
    </w:p>
    <w:p w14:paraId="31FCEF9F">
      <w:pPr>
        <w:pStyle w:val="3"/>
        <w:numPr>
          <w:ilvl w:val="1"/>
          <w:numId w:val="0"/>
        </w:numPr>
        <w:spacing w:before="0" w:after="0" w:line="360" w:lineRule="auto"/>
        <w:ind w:leftChars="0"/>
        <w:rPr>
          <w:rFonts w:hint="eastAsia" w:ascii="宋体" w:hAnsi="宋体" w:eastAsia="宋体" w:cs="宋体"/>
          <w:b w:val="0"/>
          <w:kern w:val="2"/>
          <w:sz w:val="21"/>
          <w:szCs w:val="21"/>
          <w:highlight w:val="none"/>
          <w:lang w:val="en-US" w:eastAsia="zh-CN" w:bidi="ar-SA"/>
        </w:rPr>
      </w:pPr>
      <w:bookmarkStart w:id="433" w:name="_Toc16832"/>
      <w:bookmarkStart w:id="434" w:name="_Toc57905889"/>
      <w:r>
        <w:rPr>
          <w:rFonts w:hint="eastAsia" w:ascii="宋体" w:hAnsi="宋体" w:eastAsia="宋体" w:cs="宋体"/>
          <w:b w:val="0"/>
          <w:kern w:val="2"/>
          <w:sz w:val="21"/>
          <w:szCs w:val="21"/>
          <w:highlight w:val="none"/>
          <w:lang w:val="en-US" w:eastAsia="zh-CN" w:bidi="ar-SA"/>
        </w:rPr>
        <w:t>2.2符合性审查</w:t>
      </w:r>
      <w:bookmarkEnd w:id="433"/>
      <w:r>
        <w:rPr>
          <w:rFonts w:hint="eastAsia" w:ascii="宋体" w:hAnsi="宋体" w:eastAsia="宋体" w:cs="宋体"/>
          <w:b w:val="0"/>
          <w:kern w:val="2"/>
          <w:sz w:val="21"/>
          <w:szCs w:val="21"/>
          <w:highlight w:val="none"/>
          <w:lang w:val="en-US" w:eastAsia="zh-CN" w:bidi="ar-SA"/>
        </w:rPr>
        <w:t>标准</w:t>
      </w:r>
      <w:bookmarkEnd w:id="434"/>
    </w:p>
    <w:p w14:paraId="17357428">
      <w:pPr>
        <w:autoSpaceDE w:val="0"/>
        <w:autoSpaceDN w:val="0"/>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按评标办法前附表约定的</w:t>
      </w:r>
      <w:r>
        <w:rPr>
          <w:rFonts w:hint="eastAsia" w:ascii="宋体" w:hAnsi="宋体" w:eastAsia="宋体" w:cs="宋体"/>
          <w:sz w:val="21"/>
          <w:szCs w:val="21"/>
          <w:highlight w:val="none"/>
          <w:lang w:val="en-US" w:eastAsia="zh-CN"/>
        </w:rPr>
        <w:t>比选申请</w:t>
      </w:r>
      <w:r>
        <w:rPr>
          <w:rFonts w:hint="eastAsia" w:ascii="宋体" w:hAnsi="宋体" w:eastAsia="宋体" w:cs="宋体"/>
          <w:sz w:val="21"/>
          <w:szCs w:val="21"/>
          <w:highlight w:val="none"/>
        </w:rPr>
        <w:t>单位报价排序数量进行符合性审查</w:t>
      </w:r>
      <w:r>
        <w:rPr>
          <w:rFonts w:hint="eastAsia" w:ascii="宋体" w:hAnsi="宋体" w:eastAsia="宋体" w:cs="宋体"/>
          <w:spacing w:val="4"/>
          <w:kern w:val="0"/>
          <w:sz w:val="21"/>
          <w:szCs w:val="21"/>
          <w:highlight w:val="none"/>
        </w:rPr>
        <w:t>。符合性审查内容：资格评审、形式评审、响应性评审。</w:t>
      </w:r>
    </w:p>
    <w:p w14:paraId="2E6DB127">
      <w:pPr>
        <w:autoSpaceDE w:val="0"/>
        <w:autoSpaceDN w:val="0"/>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2.2.</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 xml:space="preserve"> 资格评审标准：见评标办法前附表。</w:t>
      </w:r>
    </w:p>
    <w:p w14:paraId="706A49A9">
      <w:pPr>
        <w:autoSpaceDE w:val="0"/>
        <w:autoSpaceDN w:val="0"/>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2.2.</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 xml:space="preserve"> 形式评审标准：见评标办法前附表。</w:t>
      </w:r>
    </w:p>
    <w:p w14:paraId="346E2336">
      <w:pPr>
        <w:autoSpaceDE w:val="0"/>
        <w:autoSpaceDN w:val="0"/>
        <w:adjustRightInd w:val="0"/>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2.2.</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 xml:space="preserve">  响应性评审标准：见评标办法前附表。</w:t>
      </w:r>
    </w:p>
    <w:p w14:paraId="0F0F0CFF">
      <w:pPr>
        <w:pStyle w:val="3"/>
        <w:numPr>
          <w:ilvl w:val="1"/>
          <w:numId w:val="0"/>
        </w:numPr>
        <w:spacing w:before="0" w:after="0" w:line="360" w:lineRule="auto"/>
        <w:ind w:leftChars="0"/>
        <w:rPr>
          <w:rFonts w:hint="eastAsia" w:ascii="宋体" w:hAnsi="宋体" w:eastAsia="宋体" w:cs="宋体"/>
          <w:b/>
          <w:kern w:val="2"/>
          <w:sz w:val="21"/>
          <w:szCs w:val="21"/>
          <w:highlight w:val="none"/>
          <w:lang w:val="en-US" w:eastAsia="zh-CN" w:bidi="ar-SA"/>
        </w:rPr>
      </w:pPr>
      <w:bookmarkStart w:id="435" w:name="_Toc57905890"/>
      <w:bookmarkStart w:id="436" w:name="_Toc6630"/>
      <w:r>
        <w:rPr>
          <w:rFonts w:hint="eastAsia" w:ascii="宋体" w:hAnsi="宋体" w:eastAsia="宋体" w:cs="宋体"/>
          <w:b/>
          <w:kern w:val="2"/>
          <w:sz w:val="21"/>
          <w:szCs w:val="21"/>
          <w:highlight w:val="none"/>
          <w:lang w:val="en-US" w:eastAsia="zh-CN" w:bidi="ar-SA"/>
        </w:rPr>
        <w:t>3.  评标程序</w:t>
      </w:r>
      <w:bookmarkEnd w:id="435"/>
      <w:bookmarkEnd w:id="436"/>
    </w:p>
    <w:p w14:paraId="61CBB4BD">
      <w:pPr>
        <w:pStyle w:val="3"/>
        <w:numPr>
          <w:ilvl w:val="1"/>
          <w:numId w:val="0"/>
        </w:numPr>
        <w:spacing w:before="0" w:after="0" w:line="360" w:lineRule="auto"/>
        <w:ind w:leftChars="0"/>
        <w:rPr>
          <w:rFonts w:hint="eastAsia" w:ascii="宋体" w:hAnsi="宋体" w:eastAsia="宋体" w:cs="宋体"/>
          <w:b w:val="0"/>
          <w:kern w:val="2"/>
          <w:sz w:val="21"/>
          <w:szCs w:val="21"/>
          <w:highlight w:val="none"/>
          <w:lang w:val="en-US" w:eastAsia="zh-CN" w:bidi="ar-SA"/>
        </w:rPr>
      </w:pPr>
      <w:bookmarkStart w:id="437" w:name="_Toc57905891"/>
      <w:bookmarkStart w:id="438" w:name="_Toc17317"/>
      <w:r>
        <w:rPr>
          <w:rFonts w:hint="eastAsia" w:ascii="宋体" w:hAnsi="宋体" w:eastAsia="宋体" w:cs="宋体"/>
          <w:b w:val="0"/>
          <w:kern w:val="2"/>
          <w:sz w:val="21"/>
          <w:szCs w:val="21"/>
          <w:highlight w:val="none"/>
          <w:lang w:val="en-US" w:eastAsia="zh-CN" w:bidi="ar-SA"/>
        </w:rPr>
        <w:t>3.1报价排序</w:t>
      </w:r>
      <w:bookmarkEnd w:id="437"/>
      <w:bookmarkEnd w:id="438"/>
    </w:p>
    <w:p w14:paraId="7A336127">
      <w:pPr>
        <w:spacing w:line="360" w:lineRule="auto"/>
        <w:ind w:firstLine="413" w:firstLineChars="197"/>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对报价不高于最高限价的所有比选申请人的比选申请文件，按照报价由低到高的顺序排序。</w:t>
      </w:r>
    </w:p>
    <w:p w14:paraId="7DD830BA">
      <w:pPr>
        <w:pStyle w:val="3"/>
        <w:numPr>
          <w:ilvl w:val="1"/>
          <w:numId w:val="0"/>
        </w:numPr>
        <w:spacing w:before="0" w:after="0" w:line="360" w:lineRule="auto"/>
        <w:ind w:leftChars="0"/>
        <w:rPr>
          <w:rFonts w:hint="eastAsia" w:ascii="宋体" w:hAnsi="宋体" w:eastAsia="宋体" w:cs="宋体"/>
          <w:b w:val="0"/>
          <w:kern w:val="2"/>
          <w:sz w:val="21"/>
          <w:szCs w:val="21"/>
          <w:highlight w:val="none"/>
          <w:lang w:val="en-US" w:eastAsia="zh-CN" w:bidi="ar-SA"/>
        </w:rPr>
      </w:pPr>
      <w:bookmarkStart w:id="439" w:name="_Toc23300"/>
      <w:bookmarkStart w:id="440" w:name="_Toc57905892"/>
      <w:r>
        <w:rPr>
          <w:rFonts w:hint="eastAsia" w:ascii="宋体" w:hAnsi="宋体" w:eastAsia="宋体" w:cs="宋体"/>
          <w:b w:val="0"/>
          <w:kern w:val="2"/>
          <w:sz w:val="21"/>
          <w:szCs w:val="21"/>
          <w:highlight w:val="none"/>
          <w:lang w:val="en-US" w:eastAsia="zh-CN" w:bidi="ar-SA"/>
        </w:rPr>
        <w:t>3.2符合性审查</w:t>
      </w:r>
      <w:bookmarkEnd w:id="439"/>
      <w:bookmarkEnd w:id="440"/>
    </w:p>
    <w:p w14:paraId="15A69E86">
      <w:pPr>
        <w:spacing w:line="360" w:lineRule="auto"/>
        <w:ind w:firstLine="413" w:firstLineChars="197"/>
        <w:rPr>
          <w:rFonts w:hint="eastAsia" w:ascii="宋体" w:hAnsi="宋体" w:eastAsia="宋体" w:cs="宋体"/>
          <w:sz w:val="21"/>
          <w:szCs w:val="21"/>
          <w:highlight w:val="none"/>
        </w:rPr>
      </w:pPr>
      <w:r>
        <w:rPr>
          <w:rFonts w:hint="eastAsia" w:ascii="宋体" w:hAnsi="宋体" w:eastAsia="宋体" w:cs="宋体"/>
          <w:sz w:val="21"/>
          <w:szCs w:val="21"/>
          <w:highlight w:val="none"/>
        </w:rPr>
        <w:t>3.2.1评标委员会依据本章第2.2 款规定的标准对</w:t>
      </w:r>
      <w:r>
        <w:rPr>
          <w:rFonts w:hint="eastAsia" w:ascii="宋体" w:hAnsi="宋体" w:eastAsia="宋体" w:cs="宋体"/>
          <w:sz w:val="21"/>
          <w:szCs w:val="21"/>
          <w:highlight w:val="none"/>
          <w:lang w:eastAsia="zh-CN"/>
        </w:rPr>
        <w:t>比选申请文件</w:t>
      </w:r>
      <w:r>
        <w:rPr>
          <w:rFonts w:hint="eastAsia" w:ascii="宋体" w:hAnsi="宋体" w:eastAsia="宋体" w:cs="宋体"/>
          <w:sz w:val="21"/>
          <w:szCs w:val="21"/>
          <w:highlight w:val="none"/>
        </w:rPr>
        <w:t>进行符合性审查。符合性审查顺序：资格评审、形式评审、响应性评审。</w:t>
      </w:r>
    </w:p>
    <w:p w14:paraId="489E89D5">
      <w:pPr>
        <w:spacing w:line="360" w:lineRule="auto"/>
        <w:ind w:firstLine="413" w:firstLineChars="197"/>
        <w:rPr>
          <w:rFonts w:hint="eastAsia" w:ascii="宋体" w:hAnsi="宋体" w:eastAsia="宋体" w:cs="宋体"/>
          <w:sz w:val="21"/>
          <w:szCs w:val="21"/>
          <w:highlight w:val="none"/>
        </w:rPr>
      </w:pPr>
      <w:r>
        <w:rPr>
          <w:rFonts w:hint="eastAsia" w:ascii="宋体" w:hAnsi="宋体" w:eastAsia="宋体" w:cs="宋体"/>
          <w:sz w:val="21"/>
          <w:szCs w:val="21"/>
          <w:highlight w:val="none"/>
        </w:rPr>
        <w:t>符合性审查应按照资格、形式、响应性的顺序进行评审。有一项不符合评审标准的，作否决投标处理。</w:t>
      </w:r>
    </w:p>
    <w:p w14:paraId="23E82966">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3.2.2 </w:t>
      </w:r>
      <w:r>
        <w:rPr>
          <w:rFonts w:hint="eastAsia" w:ascii="宋体" w:hAnsi="宋体" w:eastAsia="宋体" w:cs="宋体"/>
          <w:sz w:val="21"/>
          <w:szCs w:val="21"/>
          <w:highlight w:val="none"/>
          <w:lang w:eastAsia="zh-CN"/>
        </w:rPr>
        <w:t>比选申请人</w:t>
      </w:r>
      <w:r>
        <w:rPr>
          <w:rFonts w:hint="eastAsia" w:ascii="宋体" w:hAnsi="宋体" w:eastAsia="宋体" w:cs="宋体"/>
          <w:sz w:val="21"/>
          <w:szCs w:val="21"/>
          <w:highlight w:val="none"/>
        </w:rPr>
        <w:t>有以下情形之一的，其</w:t>
      </w:r>
      <w:r>
        <w:rPr>
          <w:rFonts w:hint="eastAsia" w:ascii="宋体" w:hAnsi="宋体" w:eastAsia="宋体" w:cs="宋体"/>
          <w:sz w:val="21"/>
          <w:szCs w:val="21"/>
          <w:highlight w:val="none"/>
          <w:lang w:eastAsia="zh-CN"/>
        </w:rPr>
        <w:t>比选申请文件</w:t>
      </w:r>
      <w:r>
        <w:rPr>
          <w:rFonts w:hint="eastAsia" w:ascii="宋体" w:hAnsi="宋体" w:eastAsia="宋体" w:cs="宋体"/>
          <w:sz w:val="21"/>
          <w:szCs w:val="21"/>
          <w:highlight w:val="none"/>
        </w:rPr>
        <w:t>将被否决：</w:t>
      </w:r>
    </w:p>
    <w:p w14:paraId="6549BCFC">
      <w:pPr>
        <w:spacing w:line="360" w:lineRule="auto"/>
        <w:ind w:firstLine="405" w:firstLineChars="193"/>
        <w:rPr>
          <w:rFonts w:hint="eastAsia" w:ascii="宋体" w:hAnsi="宋体" w:eastAsia="宋体" w:cs="宋体"/>
          <w:sz w:val="21"/>
          <w:szCs w:val="21"/>
          <w:highlight w:val="none"/>
        </w:rPr>
      </w:pPr>
      <w:r>
        <w:rPr>
          <w:rFonts w:hint="eastAsia" w:ascii="宋体" w:hAnsi="宋体" w:eastAsia="宋体" w:cs="宋体"/>
          <w:sz w:val="21"/>
          <w:szCs w:val="21"/>
          <w:highlight w:val="none"/>
        </w:rPr>
        <w:t>（1）第二章“</w:t>
      </w:r>
      <w:r>
        <w:rPr>
          <w:rFonts w:hint="eastAsia" w:ascii="宋体" w:hAnsi="宋体" w:eastAsia="宋体" w:cs="宋体"/>
          <w:sz w:val="21"/>
          <w:szCs w:val="21"/>
          <w:highlight w:val="none"/>
          <w:lang w:eastAsia="zh-CN"/>
        </w:rPr>
        <w:t>比选申请人</w:t>
      </w:r>
      <w:r>
        <w:rPr>
          <w:rFonts w:hint="eastAsia" w:ascii="宋体" w:hAnsi="宋体" w:eastAsia="宋体" w:cs="宋体"/>
          <w:sz w:val="21"/>
          <w:szCs w:val="21"/>
          <w:highlight w:val="none"/>
        </w:rPr>
        <w:t>须知”第1.4.3 项规定的任何一种情形的；</w:t>
      </w:r>
    </w:p>
    <w:p w14:paraId="7A6B6F25">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（2）本次投标有串通投标、弄虚作假等其他违反招投标相关法律、法规行为的；</w:t>
      </w:r>
    </w:p>
    <w:p w14:paraId="028EB384">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（3）拒绝按评标委员会要求澄清、说明或补正的。</w:t>
      </w:r>
    </w:p>
    <w:p w14:paraId="18F13FB9">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3.2.3 投标报价有算术错误的，评标委员会按以下原则对投标报价进行修正，修正的价格经</w:t>
      </w:r>
      <w:r>
        <w:rPr>
          <w:rFonts w:hint="eastAsia" w:ascii="宋体" w:hAnsi="宋体" w:eastAsia="宋体" w:cs="宋体"/>
          <w:sz w:val="21"/>
          <w:szCs w:val="21"/>
          <w:highlight w:val="none"/>
          <w:lang w:eastAsia="zh-CN"/>
        </w:rPr>
        <w:t>比选申请人</w:t>
      </w:r>
      <w:r>
        <w:rPr>
          <w:rFonts w:hint="eastAsia" w:ascii="宋体" w:hAnsi="宋体" w:eastAsia="宋体" w:cs="宋体"/>
          <w:sz w:val="21"/>
          <w:szCs w:val="21"/>
          <w:highlight w:val="none"/>
        </w:rPr>
        <w:t>书面确认后具有约束力，修正原则如下：</w:t>
      </w:r>
    </w:p>
    <w:p w14:paraId="3093DF91">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比选申请文件</w:t>
      </w:r>
      <w:r>
        <w:rPr>
          <w:rFonts w:hint="eastAsia" w:ascii="宋体" w:hAnsi="宋体" w:eastAsia="宋体" w:cs="宋体"/>
          <w:sz w:val="21"/>
          <w:szCs w:val="21"/>
          <w:highlight w:val="none"/>
        </w:rPr>
        <w:t>中的大写金额与小写金额不一致的，以大写金额为准；</w:t>
      </w:r>
    </w:p>
    <w:p w14:paraId="13C74374">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比选申请</w:t>
      </w:r>
      <w:r>
        <w:rPr>
          <w:rFonts w:hint="eastAsia" w:ascii="宋体" w:hAnsi="宋体" w:eastAsia="宋体" w:cs="宋体"/>
          <w:sz w:val="21"/>
          <w:szCs w:val="21"/>
          <w:highlight w:val="none"/>
        </w:rPr>
        <w:t>函中的总报价与已标价工程量清单总报价不一致的，由评标委员会作否决投标处理。</w:t>
      </w:r>
    </w:p>
    <w:p w14:paraId="2D4F3723">
      <w:pPr>
        <w:pStyle w:val="3"/>
        <w:numPr>
          <w:ilvl w:val="1"/>
          <w:numId w:val="0"/>
        </w:numPr>
        <w:spacing w:before="0" w:after="0" w:line="360" w:lineRule="auto"/>
        <w:ind w:leftChars="0"/>
        <w:rPr>
          <w:rFonts w:hint="eastAsia" w:ascii="宋体" w:hAnsi="宋体" w:eastAsia="宋体" w:cs="宋体"/>
          <w:b w:val="0"/>
          <w:kern w:val="2"/>
          <w:sz w:val="21"/>
          <w:szCs w:val="21"/>
          <w:highlight w:val="none"/>
          <w:lang w:val="en-US" w:eastAsia="zh-CN" w:bidi="ar-SA"/>
        </w:rPr>
      </w:pPr>
      <w:bookmarkStart w:id="441" w:name="_Toc57905893"/>
      <w:bookmarkStart w:id="442" w:name="_Toc5505"/>
      <w:r>
        <w:rPr>
          <w:rFonts w:hint="eastAsia" w:ascii="宋体" w:hAnsi="宋体" w:eastAsia="宋体" w:cs="宋体"/>
          <w:b w:val="0"/>
          <w:kern w:val="2"/>
          <w:sz w:val="21"/>
          <w:szCs w:val="21"/>
          <w:highlight w:val="none"/>
          <w:lang w:val="en-US" w:eastAsia="zh-CN" w:bidi="ar-SA"/>
        </w:rPr>
        <w:t>3.3 比选申请文件的澄清和补正</w:t>
      </w:r>
      <w:bookmarkEnd w:id="441"/>
      <w:bookmarkEnd w:id="442"/>
    </w:p>
    <w:p w14:paraId="29A83C0F">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3.3.1 在评标过程中，评标委员会可以书面形式要求</w:t>
      </w:r>
      <w:r>
        <w:rPr>
          <w:rFonts w:hint="eastAsia" w:ascii="宋体" w:hAnsi="宋体" w:eastAsia="宋体" w:cs="宋体"/>
          <w:sz w:val="21"/>
          <w:szCs w:val="21"/>
          <w:highlight w:val="none"/>
          <w:lang w:eastAsia="zh-CN"/>
        </w:rPr>
        <w:t>比选申请人</w:t>
      </w:r>
      <w:r>
        <w:rPr>
          <w:rFonts w:hint="eastAsia" w:ascii="宋体" w:hAnsi="宋体" w:eastAsia="宋体" w:cs="宋体"/>
          <w:sz w:val="21"/>
          <w:szCs w:val="21"/>
          <w:highlight w:val="none"/>
        </w:rPr>
        <w:t>对所提交</w:t>
      </w:r>
      <w:r>
        <w:rPr>
          <w:rFonts w:hint="eastAsia" w:ascii="宋体" w:hAnsi="宋体" w:eastAsia="宋体" w:cs="宋体"/>
          <w:sz w:val="21"/>
          <w:szCs w:val="21"/>
          <w:highlight w:val="none"/>
          <w:lang w:eastAsia="zh-CN"/>
        </w:rPr>
        <w:t>比选申请文件</w:t>
      </w:r>
      <w:r>
        <w:rPr>
          <w:rFonts w:hint="eastAsia" w:ascii="宋体" w:hAnsi="宋体" w:eastAsia="宋体" w:cs="宋体"/>
          <w:sz w:val="21"/>
          <w:szCs w:val="21"/>
          <w:highlight w:val="none"/>
        </w:rPr>
        <w:t>中不明确的内容进行书面澄清或说明，或者对细微偏差进行补正。评标委员会不接受</w:t>
      </w:r>
      <w:r>
        <w:rPr>
          <w:rFonts w:hint="eastAsia" w:ascii="宋体" w:hAnsi="宋体" w:eastAsia="宋体" w:cs="宋体"/>
          <w:sz w:val="21"/>
          <w:szCs w:val="21"/>
          <w:highlight w:val="none"/>
          <w:lang w:eastAsia="zh-CN"/>
        </w:rPr>
        <w:t>比选申请人</w:t>
      </w:r>
      <w:r>
        <w:rPr>
          <w:rFonts w:hint="eastAsia" w:ascii="宋体" w:hAnsi="宋体" w:eastAsia="宋体" w:cs="宋体"/>
          <w:sz w:val="21"/>
          <w:szCs w:val="21"/>
          <w:highlight w:val="none"/>
        </w:rPr>
        <w:t>主动提出的澄清、说明或补正。</w:t>
      </w:r>
    </w:p>
    <w:p w14:paraId="7407B970">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3.3.2 澄清、说明和补正不得改变</w:t>
      </w:r>
      <w:r>
        <w:rPr>
          <w:rFonts w:hint="eastAsia" w:ascii="宋体" w:hAnsi="宋体" w:eastAsia="宋体" w:cs="宋体"/>
          <w:sz w:val="21"/>
          <w:szCs w:val="21"/>
          <w:highlight w:val="none"/>
          <w:lang w:eastAsia="zh-CN"/>
        </w:rPr>
        <w:t>比选申请文件</w:t>
      </w:r>
      <w:r>
        <w:rPr>
          <w:rFonts w:hint="eastAsia" w:ascii="宋体" w:hAnsi="宋体" w:eastAsia="宋体" w:cs="宋体"/>
          <w:sz w:val="21"/>
          <w:szCs w:val="21"/>
          <w:highlight w:val="none"/>
        </w:rPr>
        <w:t>的实质性内容（算术性错误修正的除外）。</w:t>
      </w:r>
      <w:r>
        <w:rPr>
          <w:rFonts w:hint="eastAsia" w:ascii="宋体" w:hAnsi="宋体" w:eastAsia="宋体" w:cs="宋体"/>
          <w:sz w:val="21"/>
          <w:szCs w:val="21"/>
          <w:highlight w:val="none"/>
          <w:lang w:eastAsia="zh-CN"/>
        </w:rPr>
        <w:t>比选申请人</w:t>
      </w:r>
      <w:r>
        <w:rPr>
          <w:rFonts w:hint="eastAsia" w:ascii="宋体" w:hAnsi="宋体" w:eastAsia="宋体" w:cs="宋体"/>
          <w:sz w:val="21"/>
          <w:szCs w:val="21"/>
          <w:highlight w:val="none"/>
        </w:rPr>
        <w:t>的书面澄清、说明和补正属于</w:t>
      </w:r>
      <w:r>
        <w:rPr>
          <w:rFonts w:hint="eastAsia" w:ascii="宋体" w:hAnsi="宋体" w:eastAsia="宋体" w:cs="宋体"/>
          <w:sz w:val="21"/>
          <w:szCs w:val="21"/>
          <w:highlight w:val="none"/>
          <w:lang w:eastAsia="zh-CN"/>
        </w:rPr>
        <w:t>比选申请文件</w:t>
      </w:r>
      <w:r>
        <w:rPr>
          <w:rFonts w:hint="eastAsia" w:ascii="宋体" w:hAnsi="宋体" w:eastAsia="宋体" w:cs="宋体"/>
          <w:sz w:val="21"/>
          <w:szCs w:val="21"/>
          <w:highlight w:val="none"/>
        </w:rPr>
        <w:t>的组成部分。</w:t>
      </w:r>
    </w:p>
    <w:p w14:paraId="23B5AE68">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3.3.3 评标委员会对</w:t>
      </w:r>
      <w:r>
        <w:rPr>
          <w:rFonts w:hint="eastAsia" w:ascii="宋体" w:hAnsi="宋体" w:eastAsia="宋体" w:cs="宋体"/>
          <w:sz w:val="21"/>
          <w:szCs w:val="21"/>
          <w:highlight w:val="none"/>
          <w:lang w:eastAsia="zh-CN"/>
        </w:rPr>
        <w:t>比选申请人</w:t>
      </w:r>
      <w:r>
        <w:rPr>
          <w:rFonts w:hint="eastAsia" w:ascii="宋体" w:hAnsi="宋体" w:eastAsia="宋体" w:cs="宋体"/>
          <w:sz w:val="21"/>
          <w:szCs w:val="21"/>
          <w:highlight w:val="none"/>
        </w:rPr>
        <w:t>提交的澄清、说明或补正有疑问的，可以要求</w:t>
      </w:r>
      <w:r>
        <w:rPr>
          <w:rFonts w:hint="eastAsia" w:ascii="宋体" w:hAnsi="宋体" w:eastAsia="宋体" w:cs="宋体"/>
          <w:sz w:val="21"/>
          <w:szCs w:val="21"/>
          <w:highlight w:val="none"/>
          <w:lang w:eastAsia="zh-CN"/>
        </w:rPr>
        <w:t>比选申请人</w:t>
      </w:r>
      <w:r>
        <w:rPr>
          <w:rFonts w:hint="eastAsia" w:ascii="宋体" w:hAnsi="宋体" w:eastAsia="宋体" w:cs="宋体"/>
          <w:sz w:val="21"/>
          <w:szCs w:val="21"/>
          <w:highlight w:val="none"/>
        </w:rPr>
        <w:t>进一步澄清、说明或补正，直至满足评标委员会的要求。</w:t>
      </w:r>
    </w:p>
    <w:p w14:paraId="4B8C7F0F">
      <w:pPr>
        <w:pStyle w:val="3"/>
        <w:numPr>
          <w:ilvl w:val="1"/>
          <w:numId w:val="0"/>
        </w:numPr>
        <w:spacing w:before="0" w:after="0" w:line="360" w:lineRule="auto"/>
        <w:ind w:leftChars="0"/>
        <w:rPr>
          <w:rFonts w:hint="eastAsia" w:ascii="宋体" w:hAnsi="宋体" w:eastAsia="宋体" w:cs="宋体"/>
          <w:b w:val="0"/>
          <w:kern w:val="2"/>
          <w:sz w:val="21"/>
          <w:szCs w:val="21"/>
          <w:highlight w:val="none"/>
          <w:lang w:val="en-US" w:eastAsia="zh-CN" w:bidi="ar-SA"/>
        </w:rPr>
      </w:pPr>
      <w:bookmarkStart w:id="443" w:name="_Toc479262406"/>
      <w:bookmarkStart w:id="444" w:name="_Toc26860"/>
      <w:bookmarkStart w:id="445" w:name="_Toc57905894"/>
      <w:bookmarkStart w:id="446" w:name="_Toc484465184"/>
      <w:r>
        <w:rPr>
          <w:rFonts w:hint="eastAsia" w:ascii="宋体" w:hAnsi="宋体" w:eastAsia="宋体" w:cs="宋体"/>
          <w:b w:val="0"/>
          <w:kern w:val="2"/>
          <w:sz w:val="21"/>
          <w:szCs w:val="21"/>
          <w:highlight w:val="none"/>
          <w:lang w:val="en-US" w:eastAsia="zh-CN" w:bidi="ar-SA"/>
        </w:rPr>
        <w:t>3.4 评标结果</w:t>
      </w:r>
      <w:bookmarkEnd w:id="443"/>
      <w:bookmarkEnd w:id="444"/>
      <w:bookmarkEnd w:id="445"/>
      <w:bookmarkEnd w:id="446"/>
    </w:p>
    <w:p w14:paraId="71F9D4F7">
      <w:pPr>
        <w:autoSpaceDE w:val="0"/>
        <w:autoSpaceDN w:val="0"/>
        <w:adjustRightInd w:val="0"/>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sz w:val="21"/>
          <w:szCs w:val="21"/>
          <w:highlight w:val="none"/>
        </w:rPr>
        <w:t>3.4.1除第二章“</w:t>
      </w:r>
      <w:r>
        <w:rPr>
          <w:rFonts w:hint="eastAsia" w:ascii="宋体" w:hAnsi="宋体" w:eastAsia="宋体" w:cs="宋体"/>
          <w:sz w:val="21"/>
          <w:szCs w:val="21"/>
          <w:highlight w:val="none"/>
          <w:lang w:eastAsia="zh-CN"/>
        </w:rPr>
        <w:t>比选申请人</w:t>
      </w:r>
      <w:r>
        <w:rPr>
          <w:rFonts w:hint="eastAsia" w:ascii="宋体" w:hAnsi="宋体" w:eastAsia="宋体" w:cs="宋体"/>
          <w:sz w:val="21"/>
          <w:szCs w:val="21"/>
          <w:highlight w:val="none"/>
        </w:rPr>
        <w:t>须知”前附表授权直接确定</w:t>
      </w:r>
      <w:r>
        <w:rPr>
          <w:rFonts w:hint="eastAsia" w:ascii="宋体" w:hAnsi="宋体" w:eastAsia="宋体" w:cs="宋体"/>
          <w:sz w:val="21"/>
          <w:szCs w:val="21"/>
          <w:highlight w:val="none"/>
          <w:lang w:eastAsia="zh-CN"/>
        </w:rPr>
        <w:t>中选人</w:t>
      </w:r>
      <w:r>
        <w:rPr>
          <w:rFonts w:hint="eastAsia" w:ascii="宋体" w:hAnsi="宋体" w:eastAsia="宋体" w:cs="宋体"/>
          <w:sz w:val="21"/>
          <w:szCs w:val="21"/>
          <w:highlight w:val="none"/>
        </w:rPr>
        <w:t>外，评标委员会按经评审的最低投标价法推荐</w:t>
      </w:r>
      <w:r>
        <w:rPr>
          <w:rFonts w:hint="eastAsia" w:ascii="宋体" w:hAnsi="宋体" w:eastAsia="宋体" w:cs="宋体"/>
          <w:sz w:val="21"/>
          <w:szCs w:val="21"/>
          <w:highlight w:val="none"/>
          <w:lang w:eastAsia="zh-CN"/>
        </w:rPr>
        <w:t>中选</w:t>
      </w:r>
      <w:r>
        <w:rPr>
          <w:rFonts w:hint="eastAsia" w:ascii="宋体" w:hAnsi="宋体" w:eastAsia="宋体" w:cs="宋体"/>
          <w:sz w:val="21"/>
          <w:szCs w:val="21"/>
          <w:highlight w:val="none"/>
        </w:rPr>
        <w:t>候选人。</w:t>
      </w:r>
    </w:p>
    <w:p w14:paraId="32FBB6F1">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3.4.2 评标委员会完成评标后，应当向</w:t>
      </w:r>
      <w:r>
        <w:rPr>
          <w:rFonts w:hint="eastAsia" w:ascii="宋体" w:hAnsi="宋体" w:eastAsia="宋体" w:cs="宋体"/>
          <w:sz w:val="21"/>
          <w:szCs w:val="21"/>
          <w:highlight w:val="none"/>
          <w:lang w:eastAsia="zh-CN"/>
        </w:rPr>
        <w:t>比选人</w:t>
      </w:r>
      <w:r>
        <w:rPr>
          <w:rFonts w:hint="eastAsia" w:ascii="宋体" w:hAnsi="宋体" w:eastAsia="宋体" w:cs="宋体"/>
          <w:sz w:val="21"/>
          <w:szCs w:val="21"/>
          <w:highlight w:val="none"/>
        </w:rPr>
        <w:t>提交书面评标报告和</w:t>
      </w:r>
      <w:r>
        <w:rPr>
          <w:rFonts w:hint="eastAsia" w:ascii="宋体" w:hAnsi="宋体" w:eastAsia="宋体" w:cs="宋体"/>
          <w:sz w:val="21"/>
          <w:szCs w:val="21"/>
          <w:highlight w:val="none"/>
          <w:lang w:eastAsia="zh-CN"/>
        </w:rPr>
        <w:t>中选</w:t>
      </w:r>
      <w:r>
        <w:rPr>
          <w:rFonts w:hint="eastAsia" w:ascii="宋体" w:hAnsi="宋体" w:eastAsia="宋体" w:cs="宋体"/>
          <w:sz w:val="21"/>
          <w:szCs w:val="21"/>
          <w:highlight w:val="none"/>
        </w:rPr>
        <w:t>候选人名单。</w:t>
      </w:r>
    </w:p>
    <w:p w14:paraId="0795AEB6">
      <w:pPr>
        <w:pStyle w:val="37"/>
        <w:spacing w:line="360" w:lineRule="auto"/>
        <w:rPr>
          <w:rFonts w:ascii="宋体" w:hAnsi="宋体"/>
          <w:b/>
          <w:sz w:val="28"/>
          <w:szCs w:val="28"/>
          <w:highlight w:val="none"/>
          <w:u w:val="none"/>
          <w:lang w:eastAsia="zh-CN"/>
        </w:rPr>
      </w:pPr>
      <w:r>
        <w:rPr>
          <w:rFonts w:hint="eastAsia" w:ascii="宋体" w:hAnsi="宋体" w:eastAsia="宋体" w:cs="宋体"/>
          <w:szCs w:val="21"/>
          <w:highlight w:val="none"/>
          <w:lang w:eastAsia="zh-CN"/>
        </w:rPr>
        <w:br w:type="page"/>
      </w:r>
      <w:r>
        <w:rPr>
          <w:rFonts w:ascii="宋体" w:hAnsi="宋体"/>
          <w:b/>
          <w:sz w:val="28"/>
          <w:szCs w:val="28"/>
          <w:highlight w:val="none"/>
          <w:u w:val="none"/>
          <w:lang w:eastAsia="zh-CN"/>
        </w:rPr>
        <w:t>附件A：</w:t>
      </w:r>
      <w:r>
        <w:rPr>
          <w:rFonts w:hint="eastAsia" w:ascii="宋体" w:hAnsi="宋体"/>
          <w:b/>
          <w:sz w:val="28"/>
          <w:szCs w:val="28"/>
          <w:highlight w:val="none"/>
          <w:u w:val="none"/>
          <w:lang w:eastAsia="zh-CN"/>
        </w:rPr>
        <w:t>经评审的最低投标价法</w:t>
      </w:r>
      <w:r>
        <w:rPr>
          <w:rFonts w:ascii="宋体" w:hAnsi="宋体"/>
          <w:b/>
          <w:sz w:val="28"/>
          <w:szCs w:val="28"/>
          <w:highlight w:val="none"/>
          <w:u w:val="none"/>
          <w:lang w:eastAsia="zh-CN"/>
        </w:rPr>
        <w:t>否决投标情况一览表</w:t>
      </w:r>
    </w:p>
    <w:p w14:paraId="6F5B7F97">
      <w:pPr>
        <w:pStyle w:val="37"/>
        <w:spacing w:line="360" w:lineRule="auto"/>
        <w:ind w:firstLine="420" w:firstLineChars="200"/>
        <w:jc w:val="both"/>
        <w:rPr>
          <w:rFonts w:ascii="宋体" w:hAnsi="宋体"/>
          <w:sz w:val="21"/>
          <w:szCs w:val="21"/>
          <w:highlight w:val="none"/>
          <w:u w:val="none"/>
          <w:lang w:eastAsia="zh-CN"/>
        </w:rPr>
      </w:pPr>
      <w:r>
        <w:rPr>
          <w:rFonts w:hint="eastAsia" w:ascii="宋体" w:hAnsi="宋体"/>
          <w:sz w:val="21"/>
          <w:szCs w:val="21"/>
          <w:highlight w:val="none"/>
          <w:u w:val="none"/>
          <w:lang w:eastAsia="zh-CN"/>
        </w:rPr>
        <w:t>比选申请文件存在本一览表下列情形之一的，比选申请文件视为重大偏差并作否决投标处理，否则，评标委员会不得视为重大偏差而否决比选申请人的比选申请文件</w:t>
      </w:r>
      <w:r>
        <w:rPr>
          <w:rFonts w:ascii="宋体" w:hAnsi="宋体"/>
          <w:sz w:val="21"/>
          <w:szCs w:val="21"/>
          <w:highlight w:val="none"/>
          <w:u w:val="none"/>
          <w:lang w:eastAsia="zh-CN"/>
        </w:rPr>
        <w:t>。</w:t>
      </w:r>
    </w:p>
    <w:tbl>
      <w:tblPr>
        <w:tblStyle w:val="51"/>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2F4B925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noWrap w:val="0"/>
            <w:vAlign w:val="center"/>
          </w:tcPr>
          <w:p w14:paraId="1C0976EF">
            <w:pPr>
              <w:keepNext w:val="0"/>
              <w:keepLines w:val="0"/>
              <w:suppressLineNumbers w:val="0"/>
              <w:spacing w:before="0" w:beforeAutospacing="0" w:after="0" w:afterAutospacing="0" w:line="400" w:lineRule="exact"/>
              <w:ind w:left="0" w:right="0"/>
              <w:jc w:val="center"/>
              <w:rPr>
                <w:rFonts w:hint="default" w:ascii="宋体" w:hAnsi="宋体" w:eastAsia="Times New Roman" w:cs="Times New Roman"/>
                <w:b/>
                <w:szCs w:val="21"/>
                <w:highlight w:val="none"/>
              </w:rPr>
            </w:pPr>
            <w:r>
              <w:rPr>
                <w:rFonts w:hint="default" w:ascii="宋体" w:hAnsi="宋体" w:eastAsia="Times New Roman" w:cs="Times New Roman"/>
                <w:b/>
                <w:szCs w:val="21"/>
                <w:highlight w:val="none"/>
              </w:rPr>
              <w:t>章节号</w:t>
            </w:r>
          </w:p>
        </w:tc>
        <w:tc>
          <w:tcPr>
            <w:tcW w:w="1899" w:type="dxa"/>
            <w:noWrap w:val="0"/>
            <w:vAlign w:val="center"/>
          </w:tcPr>
          <w:p w14:paraId="1C0029AA">
            <w:pPr>
              <w:keepNext w:val="0"/>
              <w:keepLines w:val="0"/>
              <w:suppressLineNumbers w:val="0"/>
              <w:spacing w:before="0" w:beforeAutospacing="0" w:after="0" w:afterAutospacing="0" w:line="400" w:lineRule="exact"/>
              <w:ind w:left="0" w:right="0"/>
              <w:jc w:val="center"/>
              <w:rPr>
                <w:rFonts w:hint="default" w:ascii="宋体" w:hAnsi="宋体" w:eastAsia="Times New Roman" w:cs="Times New Roman"/>
                <w:b/>
                <w:szCs w:val="21"/>
                <w:highlight w:val="none"/>
              </w:rPr>
            </w:pPr>
            <w:r>
              <w:rPr>
                <w:rFonts w:hint="default" w:ascii="宋体" w:hAnsi="宋体" w:eastAsia="Times New Roman" w:cs="Times New Roman"/>
                <w:b/>
                <w:szCs w:val="21"/>
                <w:highlight w:val="none"/>
              </w:rPr>
              <w:t>条款名称</w:t>
            </w:r>
          </w:p>
        </w:tc>
        <w:tc>
          <w:tcPr>
            <w:tcW w:w="6333" w:type="dxa"/>
            <w:noWrap w:val="0"/>
            <w:vAlign w:val="center"/>
          </w:tcPr>
          <w:p w14:paraId="12B05FD4">
            <w:pPr>
              <w:keepNext w:val="0"/>
              <w:keepLines w:val="0"/>
              <w:suppressLineNumbers w:val="0"/>
              <w:spacing w:before="0" w:beforeAutospacing="0" w:after="0" w:afterAutospacing="0" w:line="400" w:lineRule="exact"/>
              <w:ind w:left="0" w:right="0"/>
              <w:jc w:val="center"/>
              <w:rPr>
                <w:rFonts w:hint="default" w:ascii="宋体" w:hAnsi="宋体" w:eastAsia="Times New Roman" w:cs="Times New Roman"/>
                <w:b/>
                <w:szCs w:val="21"/>
                <w:highlight w:val="none"/>
              </w:rPr>
            </w:pPr>
            <w:r>
              <w:rPr>
                <w:rFonts w:hint="default" w:ascii="宋体" w:hAnsi="宋体" w:eastAsia="Times New Roman" w:cs="Times New Roman"/>
                <w:b/>
                <w:szCs w:val="21"/>
                <w:highlight w:val="none"/>
              </w:rPr>
              <w:t>否决投标条件</w:t>
            </w:r>
          </w:p>
        </w:tc>
      </w:tr>
      <w:tr w14:paraId="72989E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noWrap w:val="0"/>
            <w:vAlign w:val="center"/>
          </w:tcPr>
          <w:p w14:paraId="6613C0CA">
            <w:pPr>
              <w:keepNext w:val="0"/>
              <w:keepLines w:val="0"/>
              <w:suppressLineNumbers w:val="0"/>
              <w:spacing w:before="0" w:beforeAutospacing="0" w:after="0" w:afterAutospacing="0" w:line="400" w:lineRule="exact"/>
              <w:ind w:left="0" w:right="0"/>
              <w:jc w:val="center"/>
              <w:rPr>
                <w:rFonts w:hint="default" w:ascii="宋体" w:hAnsi="宋体" w:eastAsia="Times New Roman" w:cs="Times New Roman"/>
                <w:szCs w:val="21"/>
                <w:highlight w:val="none"/>
              </w:rPr>
            </w:pPr>
          </w:p>
        </w:tc>
        <w:tc>
          <w:tcPr>
            <w:tcW w:w="1899" w:type="dxa"/>
            <w:vMerge w:val="restart"/>
            <w:noWrap w:val="0"/>
            <w:vAlign w:val="center"/>
          </w:tcPr>
          <w:p w14:paraId="05DDDB9D">
            <w:pPr>
              <w:keepNext w:val="0"/>
              <w:keepLines w:val="0"/>
              <w:suppressLineNumbers w:val="0"/>
              <w:spacing w:before="0" w:beforeAutospacing="0" w:after="0" w:afterAutospacing="0" w:line="400" w:lineRule="exact"/>
              <w:ind w:left="0" w:right="0"/>
              <w:jc w:val="center"/>
              <w:rPr>
                <w:rFonts w:hint="default" w:ascii="宋体" w:hAnsi="宋体" w:eastAsia="Times New Roman" w:cs="Times New Roman"/>
                <w:szCs w:val="21"/>
                <w:highlight w:val="none"/>
              </w:rPr>
            </w:pPr>
            <w:r>
              <w:rPr>
                <w:rFonts w:hint="eastAsia" w:ascii="宋体" w:hAnsi="宋体" w:eastAsia="Times New Roman" w:cs="Times New Roman"/>
                <w:szCs w:val="21"/>
                <w:highlight w:val="none"/>
              </w:rPr>
              <w:t>资格评审</w:t>
            </w:r>
          </w:p>
        </w:tc>
        <w:tc>
          <w:tcPr>
            <w:tcW w:w="6333" w:type="dxa"/>
            <w:noWrap w:val="0"/>
            <w:vAlign w:val="center"/>
          </w:tcPr>
          <w:p w14:paraId="318E468F">
            <w:pPr>
              <w:keepNext w:val="0"/>
              <w:keepLines w:val="0"/>
              <w:suppressLineNumbers w:val="0"/>
              <w:spacing w:before="0" w:beforeAutospacing="0" w:after="0" w:afterAutospacing="0" w:line="400" w:lineRule="exact"/>
              <w:ind w:left="0" w:right="0" w:firstLine="420" w:firstLineChars="200"/>
              <w:rPr>
                <w:rFonts w:hint="default" w:ascii="宋体" w:hAnsi="宋体" w:eastAsia="Times New Roman" w:cs="Times New Roman"/>
                <w:szCs w:val="21"/>
                <w:highlight w:val="none"/>
              </w:rPr>
            </w:pPr>
            <w:r>
              <w:rPr>
                <w:rFonts w:hint="eastAsia" w:ascii="宋体" w:hAnsi="宋体" w:eastAsia="Times New Roman" w:cs="Times New Roman"/>
                <w:szCs w:val="21"/>
                <w:highlight w:val="none"/>
              </w:rPr>
              <w:t>A-</w:t>
            </w:r>
            <w:r>
              <w:rPr>
                <w:rFonts w:hint="eastAsia" w:ascii="宋体" w:hAnsi="宋体" w:eastAsia="Times New Roman" w:cs="Times New Roman"/>
                <w:szCs w:val="21"/>
                <w:highlight w:val="none"/>
                <w:lang w:val="en-US" w:eastAsia="zh-CN"/>
              </w:rPr>
              <w:t>1</w:t>
            </w:r>
            <w:r>
              <w:rPr>
                <w:rFonts w:hint="eastAsia" w:ascii="宋体" w:hAnsi="宋体" w:eastAsia="Times New Roman" w:cs="Times New Roman"/>
                <w:szCs w:val="21"/>
                <w:highlight w:val="none"/>
                <w:lang w:eastAsia="zh-CN"/>
              </w:rPr>
              <w:t>比选申请人</w:t>
            </w:r>
            <w:r>
              <w:rPr>
                <w:rFonts w:hint="eastAsia" w:ascii="宋体" w:hAnsi="宋体" w:eastAsia="Times New Roman" w:cs="Times New Roman"/>
                <w:szCs w:val="21"/>
                <w:highlight w:val="none"/>
              </w:rPr>
              <w:t>的资质条件、营业执照须满足</w:t>
            </w:r>
            <w:r>
              <w:rPr>
                <w:rFonts w:hint="eastAsia" w:ascii="宋体" w:hAnsi="宋体" w:eastAsia="Times New Roman" w:cs="Times New Roman"/>
                <w:szCs w:val="21"/>
                <w:highlight w:val="none"/>
                <w:lang w:eastAsia="zh-CN"/>
              </w:rPr>
              <w:t>比选申请人</w:t>
            </w:r>
            <w:r>
              <w:rPr>
                <w:rFonts w:hint="eastAsia" w:ascii="宋体" w:hAnsi="宋体" w:eastAsia="Times New Roman" w:cs="Times New Roman"/>
                <w:szCs w:val="21"/>
                <w:highlight w:val="none"/>
              </w:rPr>
              <w:t>须知前附表第1.4.1项的要求，否则由评标委员会作否决投标处理。</w:t>
            </w:r>
          </w:p>
        </w:tc>
      </w:tr>
      <w:tr w14:paraId="092B3B7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noWrap w:val="0"/>
            <w:vAlign w:val="center"/>
          </w:tcPr>
          <w:p w14:paraId="5CB1B5A4">
            <w:pPr>
              <w:keepNext w:val="0"/>
              <w:keepLines w:val="0"/>
              <w:suppressLineNumbers w:val="0"/>
              <w:spacing w:before="0" w:beforeAutospacing="0" w:after="0" w:afterAutospacing="0" w:line="400" w:lineRule="exact"/>
              <w:ind w:left="0" w:right="0"/>
              <w:jc w:val="center"/>
              <w:rPr>
                <w:rFonts w:hint="default" w:ascii="宋体" w:hAnsi="宋体" w:eastAsia="Times New Roman" w:cs="Times New Roman"/>
                <w:szCs w:val="21"/>
                <w:highlight w:val="none"/>
              </w:rPr>
            </w:pPr>
          </w:p>
        </w:tc>
        <w:tc>
          <w:tcPr>
            <w:tcW w:w="1899" w:type="dxa"/>
            <w:vMerge w:val="continue"/>
            <w:noWrap w:val="0"/>
            <w:vAlign w:val="center"/>
          </w:tcPr>
          <w:p w14:paraId="2C29E159">
            <w:pPr>
              <w:keepNext w:val="0"/>
              <w:keepLines w:val="0"/>
              <w:suppressLineNumbers w:val="0"/>
              <w:spacing w:before="0" w:beforeAutospacing="0" w:after="0" w:afterAutospacing="0" w:line="400" w:lineRule="exact"/>
              <w:ind w:left="0" w:right="0"/>
              <w:jc w:val="center"/>
              <w:rPr>
                <w:rFonts w:hint="default" w:ascii="宋体" w:hAnsi="宋体" w:eastAsia="Times New Roman" w:cs="Times New Roman"/>
                <w:szCs w:val="21"/>
                <w:highlight w:val="none"/>
              </w:rPr>
            </w:pPr>
          </w:p>
        </w:tc>
        <w:tc>
          <w:tcPr>
            <w:tcW w:w="6333" w:type="dxa"/>
            <w:noWrap w:val="0"/>
            <w:vAlign w:val="center"/>
          </w:tcPr>
          <w:p w14:paraId="362F9DBF">
            <w:pPr>
              <w:keepNext w:val="0"/>
              <w:keepLines w:val="0"/>
              <w:suppressLineNumbers w:val="0"/>
              <w:spacing w:before="0" w:beforeAutospacing="0" w:after="0" w:afterAutospacing="0" w:line="400" w:lineRule="exact"/>
              <w:ind w:left="0" w:right="0" w:firstLine="420" w:firstLineChars="200"/>
              <w:rPr>
                <w:rFonts w:hint="default" w:ascii="宋体" w:hAnsi="宋体" w:eastAsia="Times New Roman" w:cs="Times New Roman"/>
                <w:szCs w:val="21"/>
                <w:highlight w:val="none"/>
              </w:rPr>
            </w:pPr>
            <w:r>
              <w:rPr>
                <w:rFonts w:hint="eastAsia" w:ascii="宋体" w:hAnsi="宋体" w:eastAsia="Times New Roman" w:cs="Times New Roman"/>
                <w:szCs w:val="21"/>
                <w:highlight w:val="none"/>
              </w:rPr>
              <w:t>A-</w:t>
            </w:r>
            <w:r>
              <w:rPr>
                <w:rFonts w:hint="eastAsia" w:ascii="宋体" w:hAnsi="宋体" w:eastAsia="Times New Roman" w:cs="Times New Roman"/>
                <w:szCs w:val="21"/>
                <w:highlight w:val="none"/>
                <w:lang w:val="en-US" w:eastAsia="zh-CN"/>
              </w:rPr>
              <w:t>2</w:t>
            </w:r>
            <w:r>
              <w:rPr>
                <w:rFonts w:hint="eastAsia" w:ascii="宋体" w:hAnsi="宋体" w:eastAsia="Times New Roman" w:cs="Times New Roman"/>
                <w:szCs w:val="21"/>
                <w:highlight w:val="none"/>
                <w:lang w:eastAsia="zh-CN"/>
              </w:rPr>
              <w:t>比选申请人</w:t>
            </w:r>
            <w:r>
              <w:rPr>
                <w:rFonts w:hint="eastAsia" w:ascii="宋体" w:hAnsi="宋体" w:eastAsia="Times New Roman" w:cs="Times New Roman"/>
                <w:szCs w:val="21"/>
                <w:highlight w:val="none"/>
              </w:rPr>
              <w:t>的投标截止日投标资格情况须满足</w:t>
            </w:r>
            <w:r>
              <w:rPr>
                <w:rFonts w:hint="eastAsia" w:ascii="宋体" w:hAnsi="宋体" w:eastAsia="Times New Roman" w:cs="Times New Roman"/>
                <w:szCs w:val="21"/>
                <w:highlight w:val="none"/>
                <w:lang w:eastAsia="zh-CN"/>
              </w:rPr>
              <w:t>比选申请人</w:t>
            </w:r>
            <w:r>
              <w:rPr>
                <w:rFonts w:hint="eastAsia" w:ascii="宋体" w:hAnsi="宋体" w:eastAsia="Times New Roman" w:cs="Times New Roman"/>
                <w:szCs w:val="21"/>
                <w:highlight w:val="none"/>
              </w:rPr>
              <w:t>须知前附表1.4.1项的要求，否则由评标委员会作否决投标处理。</w:t>
            </w:r>
          </w:p>
        </w:tc>
      </w:tr>
      <w:tr w14:paraId="4FE4F17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blHeader/>
          <w:jc w:val="center"/>
        </w:trPr>
        <w:tc>
          <w:tcPr>
            <w:tcW w:w="1237" w:type="dxa"/>
            <w:vMerge w:val="continue"/>
            <w:noWrap w:val="0"/>
            <w:vAlign w:val="center"/>
          </w:tcPr>
          <w:p w14:paraId="3D01CF9F">
            <w:pPr>
              <w:keepNext w:val="0"/>
              <w:keepLines w:val="0"/>
              <w:suppressLineNumbers w:val="0"/>
              <w:spacing w:before="0" w:beforeAutospacing="0" w:after="0" w:afterAutospacing="0" w:line="400" w:lineRule="exact"/>
              <w:ind w:left="0" w:right="0"/>
              <w:jc w:val="center"/>
              <w:rPr>
                <w:rFonts w:hint="default" w:ascii="宋体" w:hAnsi="宋体" w:eastAsia="Times New Roman" w:cs="Times New Roman"/>
                <w:szCs w:val="21"/>
                <w:highlight w:val="none"/>
              </w:rPr>
            </w:pPr>
          </w:p>
        </w:tc>
        <w:tc>
          <w:tcPr>
            <w:tcW w:w="1899" w:type="dxa"/>
            <w:vMerge w:val="continue"/>
            <w:noWrap w:val="0"/>
            <w:vAlign w:val="center"/>
          </w:tcPr>
          <w:p w14:paraId="033D4358">
            <w:pPr>
              <w:keepNext w:val="0"/>
              <w:keepLines w:val="0"/>
              <w:suppressLineNumbers w:val="0"/>
              <w:spacing w:before="0" w:beforeAutospacing="0" w:after="0" w:afterAutospacing="0" w:line="400" w:lineRule="exact"/>
              <w:ind w:left="0" w:right="0"/>
              <w:jc w:val="center"/>
              <w:rPr>
                <w:rFonts w:hint="default" w:ascii="宋体" w:hAnsi="宋体" w:eastAsia="Times New Roman" w:cs="Times New Roman"/>
                <w:szCs w:val="21"/>
                <w:highlight w:val="none"/>
              </w:rPr>
            </w:pPr>
          </w:p>
        </w:tc>
        <w:tc>
          <w:tcPr>
            <w:tcW w:w="6333" w:type="dxa"/>
            <w:noWrap w:val="0"/>
            <w:vAlign w:val="center"/>
          </w:tcPr>
          <w:p w14:paraId="2690F755">
            <w:pPr>
              <w:keepNext w:val="0"/>
              <w:keepLines w:val="0"/>
              <w:suppressLineNumbers w:val="0"/>
              <w:spacing w:before="0" w:beforeAutospacing="0" w:after="0" w:afterAutospacing="0" w:line="400" w:lineRule="exact"/>
              <w:ind w:left="0" w:right="0" w:firstLine="420" w:firstLineChars="200"/>
              <w:rPr>
                <w:rFonts w:hint="default" w:ascii="宋体" w:hAnsi="宋体" w:eastAsia="Times New Roman" w:cs="Times New Roman"/>
                <w:szCs w:val="21"/>
                <w:highlight w:val="none"/>
              </w:rPr>
            </w:pPr>
            <w:r>
              <w:rPr>
                <w:rFonts w:hint="eastAsia" w:ascii="宋体" w:hAnsi="宋体" w:eastAsia="Times New Roman" w:cs="Times New Roman"/>
                <w:szCs w:val="21"/>
                <w:highlight w:val="none"/>
              </w:rPr>
              <w:t>A-</w:t>
            </w:r>
            <w:r>
              <w:rPr>
                <w:rFonts w:hint="eastAsia" w:ascii="宋体" w:hAnsi="宋体" w:eastAsia="Times New Roman" w:cs="Times New Roman"/>
                <w:szCs w:val="21"/>
                <w:highlight w:val="none"/>
                <w:lang w:val="en-US" w:eastAsia="zh-CN"/>
              </w:rPr>
              <w:t>3</w:t>
            </w:r>
            <w:r>
              <w:rPr>
                <w:rFonts w:hint="eastAsia" w:ascii="宋体" w:hAnsi="宋体" w:eastAsia="Times New Roman" w:cs="Times New Roman"/>
                <w:szCs w:val="21"/>
                <w:highlight w:val="none"/>
                <w:lang w:eastAsia="zh-CN"/>
              </w:rPr>
              <w:t>比选申请人</w:t>
            </w:r>
            <w:r>
              <w:rPr>
                <w:rFonts w:hint="eastAsia" w:ascii="宋体" w:hAnsi="宋体" w:eastAsia="Times New Roman" w:cs="Times New Roman"/>
                <w:szCs w:val="21"/>
                <w:highlight w:val="none"/>
              </w:rPr>
              <w:t>的其他要求须满足</w:t>
            </w:r>
            <w:r>
              <w:rPr>
                <w:rFonts w:hint="eastAsia" w:ascii="宋体" w:hAnsi="宋体" w:eastAsia="Times New Roman" w:cs="Times New Roman"/>
                <w:szCs w:val="21"/>
                <w:highlight w:val="none"/>
                <w:lang w:eastAsia="zh-CN"/>
              </w:rPr>
              <w:t>比选申请人</w:t>
            </w:r>
            <w:r>
              <w:rPr>
                <w:rFonts w:hint="eastAsia" w:ascii="宋体" w:hAnsi="宋体" w:eastAsia="Times New Roman" w:cs="Times New Roman"/>
                <w:szCs w:val="21"/>
                <w:highlight w:val="none"/>
              </w:rPr>
              <w:t>须知前附表第1.4.1项的要求，否则由评标委员会作否决投标处理。</w:t>
            </w:r>
          </w:p>
        </w:tc>
      </w:tr>
      <w:tr w14:paraId="01105BA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12EB8AA1">
            <w:pPr>
              <w:keepNext w:val="0"/>
              <w:keepLines w:val="0"/>
              <w:suppressLineNumbers w:val="0"/>
              <w:spacing w:before="0" w:beforeAutospacing="0" w:after="0" w:afterAutospacing="0" w:line="400" w:lineRule="exact"/>
              <w:ind w:left="0" w:right="0"/>
              <w:jc w:val="center"/>
              <w:rPr>
                <w:rFonts w:hint="default" w:ascii="宋体" w:hAnsi="宋体" w:eastAsia="Times New Roman" w:cs="Times New Roman"/>
                <w:szCs w:val="21"/>
                <w:highlight w:val="none"/>
              </w:rPr>
            </w:pPr>
          </w:p>
        </w:tc>
        <w:tc>
          <w:tcPr>
            <w:tcW w:w="1899" w:type="dxa"/>
            <w:vMerge w:val="restart"/>
            <w:noWrap w:val="0"/>
            <w:vAlign w:val="center"/>
          </w:tcPr>
          <w:p w14:paraId="2E00F6C8">
            <w:pPr>
              <w:keepNext w:val="0"/>
              <w:keepLines w:val="0"/>
              <w:suppressLineNumbers w:val="0"/>
              <w:spacing w:before="0" w:beforeAutospacing="0" w:after="0" w:afterAutospacing="0" w:line="400" w:lineRule="exact"/>
              <w:ind w:left="0" w:right="0"/>
              <w:jc w:val="center"/>
              <w:rPr>
                <w:rFonts w:hint="default" w:ascii="宋体" w:hAnsi="宋体" w:eastAsia="Times New Roman" w:cs="Times New Roman"/>
                <w:szCs w:val="21"/>
                <w:highlight w:val="none"/>
              </w:rPr>
            </w:pPr>
            <w:r>
              <w:rPr>
                <w:rFonts w:hint="eastAsia" w:ascii="宋体" w:hAnsi="宋体" w:eastAsia="Times New Roman" w:cs="Times New Roman"/>
                <w:szCs w:val="21"/>
                <w:highlight w:val="none"/>
              </w:rPr>
              <w:t>形式评审</w:t>
            </w:r>
          </w:p>
        </w:tc>
        <w:tc>
          <w:tcPr>
            <w:tcW w:w="6333" w:type="dxa"/>
            <w:noWrap w:val="0"/>
            <w:vAlign w:val="top"/>
          </w:tcPr>
          <w:p w14:paraId="741C3F54">
            <w:pPr>
              <w:keepNext w:val="0"/>
              <w:keepLines w:val="0"/>
              <w:suppressLineNumbers w:val="0"/>
              <w:spacing w:before="0" w:beforeAutospacing="0" w:after="0" w:afterAutospacing="0" w:line="400" w:lineRule="exact"/>
              <w:ind w:left="0" w:right="0" w:firstLine="420" w:firstLineChars="200"/>
              <w:rPr>
                <w:rFonts w:hint="default" w:ascii="宋体" w:hAnsi="宋体" w:eastAsia="Times New Roman" w:cs="Times New Roman"/>
                <w:szCs w:val="21"/>
                <w:highlight w:val="none"/>
              </w:rPr>
            </w:pPr>
            <w:r>
              <w:rPr>
                <w:rFonts w:hint="eastAsia" w:ascii="宋体" w:hAnsi="宋体" w:eastAsia="Times New Roman" w:cs="Times New Roman"/>
                <w:szCs w:val="21"/>
                <w:highlight w:val="none"/>
              </w:rPr>
              <w:t>A-</w:t>
            </w:r>
            <w:r>
              <w:rPr>
                <w:rFonts w:hint="eastAsia" w:ascii="宋体" w:hAnsi="宋体" w:eastAsia="Times New Roman" w:cs="Times New Roman"/>
                <w:szCs w:val="21"/>
                <w:highlight w:val="none"/>
                <w:lang w:val="en-US" w:eastAsia="zh-CN"/>
              </w:rPr>
              <w:t>4</w:t>
            </w:r>
            <w:r>
              <w:rPr>
                <w:rFonts w:hint="eastAsia" w:ascii="宋体" w:hAnsi="宋体" w:eastAsia="Times New Roman" w:cs="Times New Roman"/>
                <w:szCs w:val="21"/>
                <w:highlight w:val="none"/>
                <w:lang w:eastAsia="zh-CN"/>
              </w:rPr>
              <w:t>比选申请人</w:t>
            </w:r>
            <w:r>
              <w:rPr>
                <w:rFonts w:hint="eastAsia" w:ascii="宋体" w:hAnsi="宋体" w:eastAsia="Times New Roman" w:cs="Times New Roman"/>
                <w:szCs w:val="21"/>
                <w:highlight w:val="none"/>
              </w:rPr>
              <w:t>名称必须与营业执照、资质证书一致，依法变更名称的应提交相应证明材料，</w:t>
            </w:r>
            <w:r>
              <w:rPr>
                <w:rFonts w:hint="default" w:ascii="宋体" w:hAnsi="宋体" w:eastAsia="Times New Roman" w:cs="Times New Roman"/>
                <w:szCs w:val="21"/>
                <w:highlight w:val="none"/>
              </w:rPr>
              <w:t>否则</w:t>
            </w:r>
            <w:r>
              <w:rPr>
                <w:rFonts w:hint="eastAsia" w:ascii="宋体" w:hAnsi="宋体" w:eastAsia="Times New Roman" w:cs="Times New Roman"/>
                <w:szCs w:val="21"/>
                <w:highlight w:val="none"/>
              </w:rPr>
              <w:t>由评标委员会</w:t>
            </w:r>
            <w:r>
              <w:rPr>
                <w:rFonts w:hint="default" w:ascii="宋体" w:hAnsi="宋体" w:eastAsia="Times New Roman" w:cs="Times New Roman"/>
                <w:szCs w:val="21"/>
                <w:highlight w:val="none"/>
              </w:rPr>
              <w:t>作否决投标处理。</w:t>
            </w:r>
          </w:p>
        </w:tc>
      </w:tr>
      <w:tr w14:paraId="121F18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198B7F9B">
            <w:pPr>
              <w:keepNext w:val="0"/>
              <w:keepLines w:val="0"/>
              <w:suppressLineNumbers w:val="0"/>
              <w:spacing w:before="0" w:beforeAutospacing="0" w:after="0" w:afterAutospacing="0" w:line="400" w:lineRule="exact"/>
              <w:ind w:left="0" w:right="0"/>
              <w:jc w:val="center"/>
              <w:rPr>
                <w:rFonts w:hint="default" w:ascii="宋体" w:hAnsi="宋体" w:eastAsia="Times New Roman" w:cs="Times New Roman"/>
                <w:szCs w:val="21"/>
                <w:highlight w:val="none"/>
              </w:rPr>
            </w:pPr>
          </w:p>
        </w:tc>
        <w:tc>
          <w:tcPr>
            <w:tcW w:w="1899" w:type="dxa"/>
            <w:vMerge w:val="continue"/>
            <w:noWrap w:val="0"/>
            <w:vAlign w:val="center"/>
          </w:tcPr>
          <w:p w14:paraId="6CA40A78">
            <w:pPr>
              <w:keepNext w:val="0"/>
              <w:keepLines w:val="0"/>
              <w:suppressLineNumbers w:val="0"/>
              <w:spacing w:before="0" w:beforeAutospacing="0" w:after="0" w:afterAutospacing="0" w:line="400" w:lineRule="exact"/>
              <w:ind w:left="0" w:right="0"/>
              <w:jc w:val="center"/>
              <w:rPr>
                <w:rFonts w:hint="default" w:ascii="宋体" w:hAnsi="宋体" w:eastAsia="Times New Roman" w:cs="Times New Roman"/>
                <w:szCs w:val="21"/>
                <w:highlight w:val="none"/>
              </w:rPr>
            </w:pPr>
          </w:p>
        </w:tc>
        <w:tc>
          <w:tcPr>
            <w:tcW w:w="6333" w:type="dxa"/>
            <w:noWrap w:val="0"/>
            <w:vAlign w:val="top"/>
          </w:tcPr>
          <w:p w14:paraId="6B94987E">
            <w:pPr>
              <w:keepNext w:val="0"/>
              <w:keepLines w:val="0"/>
              <w:suppressLineNumbers w:val="0"/>
              <w:spacing w:before="0" w:beforeAutospacing="0" w:after="0" w:afterAutospacing="0" w:line="400" w:lineRule="exact"/>
              <w:ind w:left="0" w:right="0" w:firstLine="420" w:firstLineChars="200"/>
              <w:rPr>
                <w:rFonts w:hint="default" w:ascii="宋体" w:hAnsi="宋体" w:eastAsia="Times New Roman" w:cs="Times New Roman"/>
                <w:szCs w:val="21"/>
                <w:highlight w:val="none"/>
              </w:rPr>
            </w:pPr>
            <w:r>
              <w:rPr>
                <w:rFonts w:hint="eastAsia" w:ascii="宋体" w:hAnsi="宋体" w:eastAsia="Times New Roman" w:cs="Times New Roman"/>
                <w:szCs w:val="21"/>
                <w:highlight w:val="none"/>
              </w:rPr>
              <w:t>A-</w:t>
            </w:r>
            <w:r>
              <w:rPr>
                <w:rFonts w:hint="eastAsia" w:ascii="宋体" w:hAnsi="宋体" w:eastAsia="Times New Roman" w:cs="Times New Roman"/>
                <w:szCs w:val="21"/>
                <w:highlight w:val="none"/>
                <w:lang w:val="en-US" w:eastAsia="zh-CN"/>
              </w:rPr>
              <w:t>5</w:t>
            </w:r>
            <w:r>
              <w:rPr>
                <w:rFonts w:hint="eastAsia" w:ascii="宋体" w:hAnsi="宋体" w:eastAsia="Times New Roman" w:cs="Times New Roman"/>
                <w:szCs w:val="21"/>
                <w:highlight w:val="none"/>
                <w:lang w:eastAsia="zh-CN"/>
              </w:rPr>
              <w:t>比选申请</w:t>
            </w:r>
            <w:r>
              <w:rPr>
                <w:rFonts w:hint="eastAsia" w:ascii="宋体" w:hAnsi="宋体" w:eastAsia="Times New Roman" w:cs="Times New Roman"/>
                <w:szCs w:val="21"/>
                <w:highlight w:val="none"/>
              </w:rPr>
              <w:t>函格式规定签名、盖章的位置有法定代表人或其委托代理人签名（或盖章）、加盖单位法人章，否则由评标委员会作否决投标处理。</w:t>
            </w:r>
          </w:p>
        </w:tc>
      </w:tr>
      <w:tr w14:paraId="75DBD6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19270F3A">
            <w:pPr>
              <w:keepNext w:val="0"/>
              <w:keepLines w:val="0"/>
              <w:suppressLineNumbers w:val="0"/>
              <w:spacing w:before="0" w:beforeAutospacing="0" w:after="0" w:afterAutospacing="0" w:line="400" w:lineRule="exact"/>
              <w:ind w:left="0" w:right="0"/>
              <w:jc w:val="center"/>
              <w:rPr>
                <w:rFonts w:hint="default" w:ascii="宋体" w:hAnsi="宋体" w:eastAsia="Times New Roman" w:cs="Times New Roman"/>
                <w:szCs w:val="21"/>
                <w:highlight w:val="none"/>
              </w:rPr>
            </w:pPr>
          </w:p>
        </w:tc>
        <w:tc>
          <w:tcPr>
            <w:tcW w:w="1899" w:type="dxa"/>
            <w:vMerge w:val="continue"/>
            <w:noWrap w:val="0"/>
            <w:vAlign w:val="center"/>
          </w:tcPr>
          <w:p w14:paraId="19C03F09">
            <w:pPr>
              <w:keepNext w:val="0"/>
              <w:keepLines w:val="0"/>
              <w:suppressLineNumbers w:val="0"/>
              <w:spacing w:before="0" w:beforeAutospacing="0" w:after="0" w:afterAutospacing="0" w:line="400" w:lineRule="exact"/>
              <w:ind w:left="0" w:right="0"/>
              <w:jc w:val="center"/>
              <w:rPr>
                <w:rFonts w:hint="default" w:ascii="宋体" w:hAnsi="宋体" w:eastAsia="Times New Roman" w:cs="Times New Roman"/>
                <w:szCs w:val="21"/>
                <w:highlight w:val="none"/>
              </w:rPr>
            </w:pPr>
          </w:p>
        </w:tc>
        <w:tc>
          <w:tcPr>
            <w:tcW w:w="6333" w:type="dxa"/>
            <w:noWrap w:val="0"/>
            <w:vAlign w:val="top"/>
          </w:tcPr>
          <w:p w14:paraId="74E82167">
            <w:pPr>
              <w:keepNext w:val="0"/>
              <w:keepLines w:val="0"/>
              <w:suppressLineNumbers w:val="0"/>
              <w:spacing w:before="0" w:beforeAutospacing="0" w:after="0" w:afterAutospacing="0" w:line="400" w:lineRule="exact"/>
              <w:ind w:left="0" w:right="0" w:firstLine="420" w:firstLineChars="200"/>
              <w:rPr>
                <w:rFonts w:hint="default" w:ascii="宋体" w:hAnsi="宋体" w:eastAsia="Times New Roman" w:cs="Times New Roman"/>
                <w:szCs w:val="21"/>
                <w:highlight w:val="none"/>
              </w:rPr>
            </w:pPr>
            <w:r>
              <w:rPr>
                <w:rFonts w:hint="eastAsia" w:ascii="宋体" w:hAnsi="宋体" w:eastAsia="Times New Roman" w:cs="Times New Roman"/>
                <w:szCs w:val="21"/>
                <w:highlight w:val="none"/>
              </w:rPr>
              <w:t>A-</w:t>
            </w:r>
            <w:r>
              <w:rPr>
                <w:rFonts w:hint="eastAsia" w:ascii="宋体" w:hAnsi="宋体" w:eastAsia="Times New Roman" w:cs="Times New Roman"/>
                <w:szCs w:val="21"/>
                <w:highlight w:val="none"/>
                <w:lang w:val="en-US" w:eastAsia="zh-CN"/>
              </w:rPr>
              <w:t>6</w:t>
            </w:r>
            <w:r>
              <w:rPr>
                <w:rFonts w:hint="eastAsia" w:ascii="宋体" w:hAnsi="宋体" w:eastAsia="Times New Roman" w:cs="Times New Roman"/>
                <w:szCs w:val="21"/>
                <w:highlight w:val="none"/>
                <w:lang w:eastAsia="zh-CN"/>
              </w:rPr>
              <w:t>比选申请文件</w:t>
            </w:r>
            <w:r>
              <w:rPr>
                <w:rFonts w:hint="eastAsia" w:ascii="宋体" w:hAnsi="宋体" w:eastAsia="Times New Roman" w:cs="Times New Roman"/>
                <w:szCs w:val="21"/>
                <w:highlight w:val="none"/>
              </w:rPr>
              <w:t>格式符合第二章“</w:t>
            </w:r>
            <w:r>
              <w:rPr>
                <w:rFonts w:hint="eastAsia" w:ascii="宋体" w:hAnsi="宋体" w:eastAsia="Times New Roman" w:cs="Times New Roman"/>
                <w:szCs w:val="21"/>
                <w:highlight w:val="none"/>
                <w:lang w:eastAsia="zh-CN"/>
              </w:rPr>
              <w:t>比选申请人</w:t>
            </w:r>
            <w:r>
              <w:rPr>
                <w:rFonts w:hint="eastAsia" w:ascii="宋体" w:hAnsi="宋体" w:eastAsia="Times New Roman" w:cs="Times New Roman"/>
                <w:szCs w:val="21"/>
                <w:highlight w:val="none"/>
              </w:rPr>
              <w:t>须知”第3.7款的要求，否则由评标委员会作否决投标处理。</w:t>
            </w:r>
          </w:p>
          <w:p w14:paraId="728566EF">
            <w:pPr>
              <w:keepNext w:val="0"/>
              <w:keepLines w:val="0"/>
              <w:suppressLineNumbers w:val="0"/>
              <w:spacing w:before="0" w:beforeAutospacing="0" w:after="0" w:afterAutospacing="0" w:line="400" w:lineRule="exact"/>
              <w:ind w:left="0" w:right="0" w:firstLine="420" w:firstLineChars="200"/>
              <w:rPr>
                <w:rFonts w:hint="default" w:ascii="宋体" w:hAnsi="宋体" w:eastAsia="Times New Roman" w:cs="Times New Roman"/>
                <w:szCs w:val="21"/>
                <w:highlight w:val="none"/>
              </w:rPr>
            </w:pPr>
            <w:r>
              <w:rPr>
                <w:rFonts w:hint="eastAsia" w:ascii="宋体" w:hAnsi="宋体" w:eastAsia="Times New Roman" w:cs="Times New Roman"/>
                <w:kern w:val="0"/>
                <w:szCs w:val="21"/>
                <w:highlight w:val="none"/>
              </w:rPr>
              <w:t>编制</w:t>
            </w:r>
            <w:r>
              <w:rPr>
                <w:rFonts w:hint="eastAsia" w:ascii="宋体" w:hAnsi="宋体" w:eastAsia="Times New Roman" w:cs="Times New Roman"/>
                <w:kern w:val="0"/>
                <w:szCs w:val="21"/>
                <w:highlight w:val="none"/>
                <w:lang w:eastAsia="zh-CN"/>
              </w:rPr>
              <w:t>比选申请文件</w:t>
            </w:r>
            <w:r>
              <w:rPr>
                <w:rFonts w:hint="eastAsia" w:ascii="宋体" w:hAnsi="宋体" w:eastAsia="Times New Roman" w:cs="Times New Roman"/>
                <w:kern w:val="0"/>
                <w:szCs w:val="21"/>
                <w:highlight w:val="none"/>
              </w:rPr>
              <w:t>时不得对第八章“</w:t>
            </w:r>
            <w:r>
              <w:rPr>
                <w:rFonts w:hint="eastAsia" w:ascii="Times New Roman" w:hAnsi="Times New Roman" w:eastAsia="Times New Roman" w:cs="Times New Roman"/>
                <w:highlight w:val="none"/>
              </w:rPr>
              <w:t>比选申请文件格式</w:t>
            </w:r>
            <w:r>
              <w:rPr>
                <w:rFonts w:hint="eastAsia" w:ascii="宋体" w:hAnsi="宋体" w:eastAsia="Times New Roman" w:cs="Times New Roman"/>
                <w:kern w:val="0"/>
                <w:szCs w:val="21"/>
                <w:highlight w:val="none"/>
              </w:rPr>
              <w:t>”的相应要素作实质性修改，否则由评标委员会作否决投标处理。</w:t>
            </w:r>
          </w:p>
        </w:tc>
      </w:tr>
      <w:tr w14:paraId="1B6B948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jc w:val="center"/>
        </w:trPr>
        <w:tc>
          <w:tcPr>
            <w:tcW w:w="1237" w:type="dxa"/>
            <w:vMerge w:val="continue"/>
            <w:noWrap w:val="0"/>
            <w:vAlign w:val="center"/>
          </w:tcPr>
          <w:p w14:paraId="4C9F2E1E">
            <w:pPr>
              <w:keepNext w:val="0"/>
              <w:keepLines w:val="0"/>
              <w:suppressLineNumbers w:val="0"/>
              <w:spacing w:before="0" w:beforeAutospacing="0" w:after="0" w:afterAutospacing="0" w:line="400" w:lineRule="exact"/>
              <w:ind w:left="0" w:right="0"/>
              <w:jc w:val="center"/>
              <w:rPr>
                <w:rFonts w:hint="default" w:ascii="宋体" w:hAnsi="宋体" w:eastAsia="Times New Roman" w:cs="Times New Roman"/>
                <w:szCs w:val="21"/>
                <w:highlight w:val="none"/>
              </w:rPr>
            </w:pPr>
          </w:p>
        </w:tc>
        <w:tc>
          <w:tcPr>
            <w:tcW w:w="1899" w:type="dxa"/>
            <w:vMerge w:val="continue"/>
            <w:noWrap w:val="0"/>
            <w:vAlign w:val="center"/>
          </w:tcPr>
          <w:p w14:paraId="2FE0A3F8">
            <w:pPr>
              <w:keepNext w:val="0"/>
              <w:keepLines w:val="0"/>
              <w:suppressLineNumbers w:val="0"/>
              <w:spacing w:before="0" w:beforeAutospacing="0" w:after="0" w:afterAutospacing="0" w:line="400" w:lineRule="exact"/>
              <w:ind w:left="0" w:right="0"/>
              <w:jc w:val="center"/>
              <w:rPr>
                <w:rFonts w:hint="default" w:ascii="宋体" w:hAnsi="宋体" w:eastAsia="Times New Roman" w:cs="Times New Roman"/>
                <w:szCs w:val="21"/>
                <w:highlight w:val="none"/>
              </w:rPr>
            </w:pPr>
          </w:p>
        </w:tc>
        <w:tc>
          <w:tcPr>
            <w:tcW w:w="6333" w:type="dxa"/>
            <w:noWrap w:val="0"/>
            <w:vAlign w:val="top"/>
          </w:tcPr>
          <w:p w14:paraId="5C215F47">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ascii="宋体" w:hAnsi="宋体" w:eastAsia="Times New Roman" w:cs="Times New Roman"/>
                <w:i/>
                <w:szCs w:val="21"/>
                <w:highlight w:val="none"/>
              </w:rPr>
            </w:pPr>
            <w:r>
              <w:rPr>
                <w:rFonts w:hint="eastAsia" w:ascii="宋体" w:hAnsi="宋体" w:eastAsia="Times New Roman" w:cs="Times New Roman"/>
                <w:szCs w:val="21"/>
                <w:highlight w:val="none"/>
              </w:rPr>
              <w:t>A-</w:t>
            </w:r>
            <w:r>
              <w:rPr>
                <w:rFonts w:hint="eastAsia" w:ascii="宋体" w:hAnsi="宋体" w:eastAsia="Times New Roman" w:cs="Times New Roman"/>
                <w:szCs w:val="21"/>
                <w:highlight w:val="none"/>
                <w:lang w:val="en-US" w:eastAsia="zh-CN"/>
              </w:rPr>
              <w:t xml:space="preserve">7 </w:t>
            </w:r>
            <w:r>
              <w:rPr>
                <w:rFonts w:hint="eastAsia" w:ascii="宋体" w:hAnsi="宋体" w:eastAsia="Times New Roman" w:cs="Times New Roman"/>
                <w:szCs w:val="21"/>
                <w:highlight w:val="none"/>
                <w:lang w:eastAsia="zh-CN"/>
              </w:rPr>
              <w:t>比选申请文件</w:t>
            </w:r>
            <w:r>
              <w:rPr>
                <w:rFonts w:hint="eastAsia" w:ascii="宋体" w:hAnsi="宋体" w:eastAsia="Times New Roman" w:cs="Times New Roman"/>
                <w:szCs w:val="21"/>
                <w:highlight w:val="none"/>
              </w:rPr>
              <w:t>份数符合第二章“</w:t>
            </w:r>
            <w:r>
              <w:rPr>
                <w:rFonts w:hint="eastAsia" w:ascii="宋体" w:hAnsi="宋体" w:eastAsia="Times New Roman" w:cs="Times New Roman"/>
                <w:szCs w:val="21"/>
                <w:highlight w:val="none"/>
                <w:lang w:eastAsia="zh-CN"/>
              </w:rPr>
              <w:t>比选申请人</w:t>
            </w:r>
            <w:r>
              <w:rPr>
                <w:rFonts w:hint="eastAsia" w:ascii="宋体" w:hAnsi="宋体" w:eastAsia="Times New Roman" w:cs="Times New Roman"/>
                <w:szCs w:val="21"/>
                <w:highlight w:val="none"/>
              </w:rPr>
              <w:t>须知”第3.7.4项的规定，</w:t>
            </w:r>
            <w:r>
              <w:rPr>
                <w:rFonts w:hint="eastAsia" w:ascii="宋体" w:hAnsi="宋体" w:eastAsia="Times New Roman" w:cs="Times New Roman"/>
                <w:kern w:val="0"/>
                <w:szCs w:val="21"/>
                <w:highlight w:val="none"/>
              </w:rPr>
              <w:t>否则由评标委员会作否决投标处理。</w:t>
            </w:r>
          </w:p>
        </w:tc>
      </w:tr>
      <w:tr w14:paraId="3A05D19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3953A05A">
            <w:pPr>
              <w:keepNext w:val="0"/>
              <w:keepLines w:val="0"/>
              <w:suppressLineNumbers w:val="0"/>
              <w:spacing w:before="0" w:beforeAutospacing="0" w:after="0" w:afterAutospacing="0" w:line="400" w:lineRule="exact"/>
              <w:ind w:left="0" w:right="0"/>
              <w:jc w:val="center"/>
              <w:rPr>
                <w:rFonts w:hint="default" w:ascii="宋体" w:hAnsi="宋体" w:eastAsia="Times New Roman" w:cs="Times New Roman"/>
                <w:szCs w:val="21"/>
                <w:highlight w:val="none"/>
              </w:rPr>
            </w:pPr>
          </w:p>
        </w:tc>
        <w:tc>
          <w:tcPr>
            <w:tcW w:w="1899" w:type="dxa"/>
            <w:vMerge w:val="continue"/>
            <w:noWrap w:val="0"/>
            <w:vAlign w:val="center"/>
          </w:tcPr>
          <w:p w14:paraId="509F5374">
            <w:pPr>
              <w:keepNext w:val="0"/>
              <w:keepLines w:val="0"/>
              <w:suppressLineNumbers w:val="0"/>
              <w:spacing w:before="0" w:beforeAutospacing="0" w:after="0" w:afterAutospacing="0" w:line="400" w:lineRule="exact"/>
              <w:ind w:left="0" w:right="0"/>
              <w:jc w:val="center"/>
              <w:rPr>
                <w:rFonts w:hint="default" w:ascii="宋体" w:hAnsi="宋体" w:eastAsia="Times New Roman" w:cs="Times New Roman"/>
                <w:szCs w:val="21"/>
                <w:highlight w:val="none"/>
              </w:rPr>
            </w:pPr>
          </w:p>
        </w:tc>
        <w:tc>
          <w:tcPr>
            <w:tcW w:w="6333" w:type="dxa"/>
            <w:noWrap w:val="0"/>
            <w:vAlign w:val="top"/>
          </w:tcPr>
          <w:p w14:paraId="71807AC5">
            <w:pPr>
              <w:keepNext w:val="0"/>
              <w:keepLines w:val="0"/>
              <w:suppressLineNumbers w:val="0"/>
              <w:spacing w:before="0" w:beforeAutospacing="0" w:after="0" w:afterAutospacing="0" w:line="400" w:lineRule="exact"/>
              <w:ind w:left="0" w:right="0" w:firstLine="420" w:firstLineChars="200"/>
              <w:rPr>
                <w:rFonts w:hint="default" w:ascii="宋体" w:hAnsi="宋体" w:eastAsia="Times New Roman" w:cs="Times New Roman"/>
                <w:szCs w:val="21"/>
                <w:highlight w:val="none"/>
              </w:rPr>
            </w:pPr>
            <w:r>
              <w:rPr>
                <w:rFonts w:hint="eastAsia" w:ascii="宋体" w:hAnsi="宋体" w:eastAsia="Times New Roman" w:cs="Times New Roman"/>
                <w:szCs w:val="21"/>
                <w:highlight w:val="none"/>
              </w:rPr>
              <w:t>A-</w:t>
            </w:r>
            <w:r>
              <w:rPr>
                <w:rFonts w:hint="eastAsia" w:ascii="宋体" w:hAnsi="宋体" w:eastAsia="Times New Roman" w:cs="Times New Roman"/>
                <w:szCs w:val="21"/>
                <w:highlight w:val="none"/>
                <w:lang w:val="en-US" w:eastAsia="zh-CN"/>
              </w:rPr>
              <w:t>8</w:t>
            </w:r>
            <w:r>
              <w:rPr>
                <w:rFonts w:hint="eastAsia" w:ascii="宋体" w:hAnsi="宋体" w:eastAsia="Times New Roman" w:cs="Times New Roman"/>
                <w:szCs w:val="21"/>
                <w:highlight w:val="none"/>
              </w:rPr>
              <w:t>只能有一个有效报价。在</w:t>
            </w:r>
            <w:r>
              <w:rPr>
                <w:rFonts w:hint="eastAsia" w:ascii="宋体" w:hAnsi="宋体" w:eastAsia="Times New Roman" w:cs="Times New Roman"/>
                <w:szCs w:val="21"/>
                <w:highlight w:val="none"/>
                <w:lang w:eastAsia="zh-CN"/>
              </w:rPr>
              <w:t>比选文件</w:t>
            </w:r>
            <w:r>
              <w:rPr>
                <w:rFonts w:hint="eastAsia" w:ascii="宋体" w:hAnsi="宋体" w:eastAsia="Times New Roman" w:cs="Times New Roman"/>
                <w:szCs w:val="21"/>
                <w:highlight w:val="none"/>
              </w:rPr>
              <w:t>没有规定的情况下，不得提交选择性报价，否则由评标委员会作否决投标处理。</w:t>
            </w:r>
          </w:p>
        </w:tc>
      </w:tr>
      <w:tr w14:paraId="100E237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6024CCD4">
            <w:pPr>
              <w:keepNext w:val="0"/>
              <w:keepLines w:val="0"/>
              <w:suppressLineNumbers w:val="0"/>
              <w:spacing w:before="0" w:beforeAutospacing="0" w:after="0" w:afterAutospacing="0" w:line="400" w:lineRule="exact"/>
              <w:ind w:left="0" w:right="0"/>
              <w:jc w:val="center"/>
              <w:rPr>
                <w:rFonts w:hint="default" w:ascii="宋体" w:hAnsi="宋体" w:eastAsia="Times New Roman" w:cs="Times New Roman"/>
                <w:szCs w:val="21"/>
                <w:highlight w:val="none"/>
              </w:rPr>
            </w:pPr>
          </w:p>
        </w:tc>
        <w:tc>
          <w:tcPr>
            <w:tcW w:w="1899" w:type="dxa"/>
            <w:vMerge w:val="continue"/>
            <w:noWrap w:val="0"/>
            <w:vAlign w:val="center"/>
          </w:tcPr>
          <w:p w14:paraId="5B39821F">
            <w:pPr>
              <w:keepNext w:val="0"/>
              <w:keepLines w:val="0"/>
              <w:suppressLineNumbers w:val="0"/>
              <w:spacing w:before="0" w:beforeAutospacing="0" w:after="0" w:afterAutospacing="0" w:line="400" w:lineRule="exact"/>
              <w:ind w:left="0" w:right="0"/>
              <w:jc w:val="center"/>
              <w:rPr>
                <w:rFonts w:hint="default" w:ascii="宋体" w:hAnsi="宋体" w:eastAsia="Times New Roman" w:cs="Times New Roman"/>
                <w:szCs w:val="21"/>
                <w:highlight w:val="none"/>
              </w:rPr>
            </w:pPr>
          </w:p>
        </w:tc>
        <w:tc>
          <w:tcPr>
            <w:tcW w:w="6333" w:type="dxa"/>
            <w:noWrap w:val="0"/>
            <w:vAlign w:val="top"/>
          </w:tcPr>
          <w:p w14:paraId="5F55A07D">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ascii="宋体" w:hAnsi="宋体" w:eastAsia="Times New Roman" w:cs="Times New Roman"/>
                <w:szCs w:val="21"/>
                <w:highlight w:val="none"/>
              </w:rPr>
            </w:pPr>
            <w:r>
              <w:rPr>
                <w:rFonts w:hint="eastAsia" w:ascii="宋体" w:hAnsi="宋体" w:eastAsia="Times New Roman" w:cs="Times New Roman"/>
                <w:szCs w:val="21"/>
                <w:highlight w:val="none"/>
              </w:rPr>
              <w:t>A-</w:t>
            </w:r>
            <w:r>
              <w:rPr>
                <w:rFonts w:hint="eastAsia" w:ascii="宋体" w:hAnsi="宋体" w:eastAsia="Times New Roman" w:cs="Times New Roman"/>
                <w:szCs w:val="21"/>
                <w:highlight w:val="none"/>
                <w:lang w:val="en-US" w:eastAsia="zh-CN"/>
              </w:rPr>
              <w:t xml:space="preserve">9 </w:t>
            </w:r>
            <w:r>
              <w:rPr>
                <w:rFonts w:hint="eastAsia" w:ascii="宋体" w:hAnsi="宋体" w:eastAsia="Times New Roman" w:cs="宋体"/>
                <w:kern w:val="0"/>
                <w:highlight w:val="none"/>
              </w:rPr>
              <w:t xml:space="preserve">第八章 </w:t>
            </w:r>
            <w:r>
              <w:rPr>
                <w:rFonts w:hint="eastAsia" w:ascii="Times New Roman" w:hAnsi="Times New Roman" w:eastAsia="Times New Roman" w:cs="Times New Roman"/>
                <w:highlight w:val="none"/>
              </w:rPr>
              <w:t>比选申请文件格式</w:t>
            </w:r>
            <w:r>
              <w:rPr>
                <w:rFonts w:hint="eastAsia" w:ascii="宋体" w:hAnsi="宋体" w:eastAsia="Times New Roman" w:cs="宋体"/>
                <w:kern w:val="0"/>
                <w:highlight w:val="none"/>
              </w:rPr>
              <w:t>要求法定代表人或其委托代理人签名（或盖章）的须齐全。</w:t>
            </w:r>
          </w:p>
        </w:tc>
      </w:tr>
      <w:tr w14:paraId="0D6D57C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0049BB44">
            <w:pPr>
              <w:keepNext w:val="0"/>
              <w:keepLines w:val="0"/>
              <w:suppressLineNumbers w:val="0"/>
              <w:spacing w:before="0" w:beforeAutospacing="0" w:after="0" w:afterAutospacing="0" w:line="400" w:lineRule="exact"/>
              <w:ind w:left="0" w:right="0"/>
              <w:jc w:val="center"/>
              <w:rPr>
                <w:rFonts w:hint="default" w:ascii="宋体" w:hAnsi="宋体" w:eastAsia="Times New Roman" w:cs="Times New Roman"/>
                <w:szCs w:val="21"/>
                <w:highlight w:val="none"/>
              </w:rPr>
            </w:pPr>
          </w:p>
        </w:tc>
        <w:tc>
          <w:tcPr>
            <w:tcW w:w="1899" w:type="dxa"/>
            <w:vMerge w:val="continue"/>
            <w:noWrap w:val="0"/>
            <w:vAlign w:val="center"/>
          </w:tcPr>
          <w:p w14:paraId="596142CF">
            <w:pPr>
              <w:keepNext w:val="0"/>
              <w:keepLines w:val="0"/>
              <w:suppressLineNumbers w:val="0"/>
              <w:spacing w:before="0" w:beforeAutospacing="0" w:after="0" w:afterAutospacing="0" w:line="400" w:lineRule="exact"/>
              <w:ind w:left="0" w:right="0"/>
              <w:jc w:val="center"/>
              <w:rPr>
                <w:rFonts w:hint="default" w:ascii="宋体" w:hAnsi="宋体" w:eastAsia="Times New Roman" w:cs="Times New Roman"/>
                <w:szCs w:val="21"/>
                <w:highlight w:val="none"/>
              </w:rPr>
            </w:pPr>
          </w:p>
        </w:tc>
        <w:tc>
          <w:tcPr>
            <w:tcW w:w="6333" w:type="dxa"/>
            <w:noWrap w:val="0"/>
            <w:vAlign w:val="top"/>
          </w:tcPr>
          <w:p w14:paraId="6B79507E">
            <w:pPr>
              <w:keepNext w:val="0"/>
              <w:keepLines w:val="0"/>
              <w:suppressLineNumbers w:val="0"/>
              <w:spacing w:before="0" w:beforeAutospacing="0" w:after="0" w:afterAutospacing="0" w:line="400" w:lineRule="exact"/>
              <w:ind w:left="0" w:right="0" w:firstLine="420" w:firstLineChars="200"/>
              <w:rPr>
                <w:rFonts w:hint="default" w:ascii="宋体" w:hAnsi="宋体" w:eastAsia="Times New Roman" w:cs="Times New Roman"/>
                <w:szCs w:val="21"/>
                <w:highlight w:val="none"/>
              </w:rPr>
            </w:pPr>
            <w:r>
              <w:rPr>
                <w:rFonts w:hint="eastAsia" w:ascii="宋体" w:hAnsi="宋体" w:eastAsia="Times New Roman" w:cs="Times New Roman"/>
                <w:szCs w:val="21"/>
                <w:highlight w:val="none"/>
              </w:rPr>
              <w:t>A-</w:t>
            </w:r>
            <w:r>
              <w:rPr>
                <w:rFonts w:hint="eastAsia" w:ascii="宋体" w:hAnsi="宋体" w:eastAsia="Times New Roman" w:cs="Times New Roman"/>
                <w:szCs w:val="21"/>
                <w:highlight w:val="none"/>
                <w:lang w:val="en-US" w:eastAsia="zh-CN"/>
              </w:rPr>
              <w:t>10</w:t>
            </w:r>
            <w:r>
              <w:rPr>
                <w:rFonts w:hint="eastAsia" w:ascii="宋体" w:hAnsi="宋体" w:eastAsia="Times New Roman" w:cs="Times New Roman"/>
                <w:szCs w:val="21"/>
                <w:highlight w:val="none"/>
                <w:lang w:eastAsia="zh-CN"/>
              </w:rPr>
              <w:t>比选申请人</w:t>
            </w:r>
            <w:r>
              <w:rPr>
                <w:rFonts w:hint="eastAsia" w:ascii="宋体" w:hAnsi="宋体" w:eastAsia="Times New Roman" w:cs="Times New Roman"/>
                <w:szCs w:val="21"/>
                <w:highlight w:val="none"/>
              </w:rPr>
              <w:t>法定代表人的委托代理人有法定代表人签署的授权委托书和</w:t>
            </w:r>
            <w:r>
              <w:rPr>
                <w:rFonts w:hint="eastAsia" w:ascii="宋体" w:hAnsi="宋体" w:eastAsia="Times New Roman" w:cs="Times New Roman"/>
                <w:szCs w:val="21"/>
                <w:highlight w:val="none"/>
                <w:lang w:eastAsia="zh-CN"/>
              </w:rPr>
              <w:t>比选申请人</w:t>
            </w:r>
            <w:r>
              <w:rPr>
                <w:rFonts w:hint="eastAsia" w:ascii="宋体" w:hAnsi="宋体" w:eastAsia="Times New Roman" w:cs="Times New Roman"/>
                <w:szCs w:val="21"/>
                <w:highlight w:val="none"/>
              </w:rPr>
              <w:t>为其缴纳的养老保险证明材料，否则由评标委员会作否决投标处理。</w:t>
            </w:r>
          </w:p>
        </w:tc>
      </w:tr>
      <w:tr w14:paraId="4623DBD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jc w:val="center"/>
        </w:trPr>
        <w:tc>
          <w:tcPr>
            <w:tcW w:w="1237" w:type="dxa"/>
            <w:vMerge w:val="continue"/>
            <w:noWrap w:val="0"/>
            <w:vAlign w:val="center"/>
          </w:tcPr>
          <w:p w14:paraId="46AFDFE4">
            <w:pPr>
              <w:keepNext w:val="0"/>
              <w:keepLines w:val="0"/>
              <w:suppressLineNumbers w:val="0"/>
              <w:spacing w:before="0" w:beforeAutospacing="0" w:after="0" w:afterAutospacing="0" w:line="400" w:lineRule="exact"/>
              <w:ind w:left="0" w:right="0"/>
              <w:jc w:val="center"/>
              <w:rPr>
                <w:rFonts w:hint="default" w:ascii="宋体" w:hAnsi="宋体" w:eastAsia="Times New Roman" w:cs="Times New Roman"/>
                <w:szCs w:val="21"/>
                <w:highlight w:val="none"/>
              </w:rPr>
            </w:pPr>
          </w:p>
        </w:tc>
        <w:tc>
          <w:tcPr>
            <w:tcW w:w="1899" w:type="dxa"/>
            <w:vMerge w:val="restart"/>
            <w:noWrap w:val="0"/>
            <w:vAlign w:val="center"/>
          </w:tcPr>
          <w:p w14:paraId="324057C6">
            <w:pPr>
              <w:keepNext w:val="0"/>
              <w:keepLines w:val="0"/>
              <w:suppressLineNumbers w:val="0"/>
              <w:spacing w:before="0" w:beforeAutospacing="0" w:after="0" w:afterAutospacing="0" w:line="400" w:lineRule="exact"/>
              <w:ind w:left="0" w:right="0"/>
              <w:jc w:val="center"/>
              <w:rPr>
                <w:rFonts w:hint="default" w:ascii="宋体" w:hAnsi="宋体" w:eastAsia="Times New Roman" w:cs="Times New Roman"/>
                <w:szCs w:val="21"/>
                <w:highlight w:val="none"/>
              </w:rPr>
            </w:pPr>
            <w:r>
              <w:rPr>
                <w:rFonts w:hint="eastAsia" w:ascii="宋体" w:hAnsi="宋体" w:eastAsia="Times New Roman" w:cs="Times New Roman"/>
                <w:szCs w:val="21"/>
                <w:highlight w:val="none"/>
              </w:rPr>
              <w:t>响应性评审</w:t>
            </w:r>
          </w:p>
        </w:tc>
        <w:tc>
          <w:tcPr>
            <w:tcW w:w="6333" w:type="dxa"/>
            <w:noWrap w:val="0"/>
            <w:vAlign w:val="center"/>
          </w:tcPr>
          <w:p w14:paraId="69803A14">
            <w:pPr>
              <w:keepNext w:val="0"/>
              <w:keepLines w:val="0"/>
              <w:suppressLineNumbers w:val="0"/>
              <w:spacing w:before="0" w:beforeAutospacing="0" w:after="0" w:afterAutospacing="0" w:line="400" w:lineRule="exact"/>
              <w:ind w:left="0" w:right="0" w:firstLine="420" w:firstLineChars="200"/>
              <w:rPr>
                <w:rFonts w:hint="default" w:ascii="宋体" w:hAnsi="宋体" w:eastAsia="Times New Roman" w:cs="Times New Roman"/>
                <w:szCs w:val="21"/>
                <w:highlight w:val="none"/>
              </w:rPr>
            </w:pPr>
            <w:r>
              <w:rPr>
                <w:rFonts w:hint="eastAsia" w:ascii="宋体" w:hAnsi="宋体" w:eastAsia="Times New Roman" w:cs="Times New Roman"/>
                <w:szCs w:val="21"/>
                <w:highlight w:val="none"/>
              </w:rPr>
              <w:t>A-1</w:t>
            </w:r>
            <w:r>
              <w:rPr>
                <w:rFonts w:hint="eastAsia" w:ascii="宋体" w:hAnsi="宋体" w:eastAsia="Times New Roman" w:cs="Times New Roman"/>
                <w:szCs w:val="21"/>
                <w:highlight w:val="none"/>
                <w:lang w:val="en-US" w:eastAsia="zh-CN"/>
              </w:rPr>
              <w:t>1</w:t>
            </w:r>
            <w:r>
              <w:rPr>
                <w:rFonts w:hint="eastAsia" w:ascii="宋体" w:hAnsi="宋体" w:eastAsia="Times New Roman" w:cs="宋体"/>
                <w:szCs w:val="21"/>
                <w:highlight w:val="none"/>
                <w:lang w:eastAsia="zh-CN"/>
              </w:rPr>
              <w:t>比选申请</w:t>
            </w:r>
            <w:r>
              <w:rPr>
                <w:rFonts w:hint="eastAsia" w:ascii="宋体" w:hAnsi="宋体" w:eastAsia="Times New Roman" w:cs="宋体"/>
                <w:szCs w:val="21"/>
                <w:highlight w:val="none"/>
              </w:rPr>
              <w:t>总报价必须与已标价工程量清单总报价一致</w:t>
            </w:r>
            <w:r>
              <w:rPr>
                <w:rFonts w:hint="eastAsia" w:ascii="宋体" w:hAnsi="宋体" w:eastAsia="Times New Roman" w:cs="Times New Roman"/>
                <w:szCs w:val="21"/>
                <w:highlight w:val="none"/>
              </w:rPr>
              <w:t>，否则由评标委员会作否决投标处理。</w:t>
            </w:r>
          </w:p>
        </w:tc>
      </w:tr>
      <w:tr w14:paraId="11BF39D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07022FC7">
            <w:pPr>
              <w:keepNext w:val="0"/>
              <w:keepLines w:val="0"/>
              <w:suppressLineNumbers w:val="0"/>
              <w:spacing w:before="0" w:beforeAutospacing="0" w:after="0" w:afterAutospacing="0" w:line="400" w:lineRule="exact"/>
              <w:ind w:left="0" w:right="0"/>
              <w:jc w:val="center"/>
              <w:rPr>
                <w:rFonts w:hint="default" w:ascii="宋体" w:hAnsi="宋体" w:eastAsia="Times New Roman" w:cs="Times New Roman"/>
                <w:szCs w:val="21"/>
                <w:highlight w:val="none"/>
              </w:rPr>
            </w:pPr>
          </w:p>
        </w:tc>
        <w:tc>
          <w:tcPr>
            <w:tcW w:w="1899" w:type="dxa"/>
            <w:vMerge w:val="continue"/>
            <w:noWrap w:val="0"/>
            <w:vAlign w:val="center"/>
          </w:tcPr>
          <w:p w14:paraId="582373CB">
            <w:pPr>
              <w:keepNext w:val="0"/>
              <w:keepLines w:val="0"/>
              <w:suppressLineNumbers w:val="0"/>
              <w:spacing w:before="0" w:beforeAutospacing="0" w:after="0" w:afterAutospacing="0" w:line="400" w:lineRule="exact"/>
              <w:ind w:left="0" w:right="0"/>
              <w:jc w:val="center"/>
              <w:rPr>
                <w:rFonts w:hint="default" w:ascii="宋体" w:hAnsi="宋体" w:eastAsia="Times New Roman" w:cs="Times New Roman"/>
                <w:szCs w:val="21"/>
                <w:highlight w:val="none"/>
              </w:rPr>
            </w:pPr>
          </w:p>
        </w:tc>
        <w:tc>
          <w:tcPr>
            <w:tcW w:w="6333" w:type="dxa"/>
            <w:noWrap w:val="0"/>
            <w:vAlign w:val="center"/>
          </w:tcPr>
          <w:p w14:paraId="0193FFA4">
            <w:pPr>
              <w:keepNext w:val="0"/>
              <w:keepLines w:val="0"/>
              <w:suppressLineNumbers w:val="0"/>
              <w:spacing w:before="0" w:beforeAutospacing="0" w:after="0" w:afterAutospacing="0" w:line="400" w:lineRule="exact"/>
              <w:ind w:left="0" w:right="0" w:firstLine="420" w:firstLineChars="200"/>
              <w:rPr>
                <w:rFonts w:hint="default" w:ascii="宋体" w:hAnsi="宋体" w:eastAsia="Times New Roman" w:cs="Times New Roman"/>
                <w:szCs w:val="21"/>
                <w:highlight w:val="none"/>
              </w:rPr>
            </w:pPr>
            <w:r>
              <w:rPr>
                <w:rFonts w:hint="eastAsia" w:ascii="宋体" w:hAnsi="宋体" w:eastAsia="Times New Roman" w:cs="Times New Roman"/>
                <w:szCs w:val="21"/>
                <w:highlight w:val="none"/>
              </w:rPr>
              <w:t>A-1</w:t>
            </w:r>
            <w:r>
              <w:rPr>
                <w:rFonts w:hint="eastAsia" w:ascii="宋体" w:hAnsi="宋体" w:eastAsia="Times New Roman" w:cs="Times New Roman"/>
                <w:szCs w:val="21"/>
                <w:highlight w:val="none"/>
                <w:lang w:val="en-US" w:eastAsia="zh-CN"/>
              </w:rPr>
              <w:t>2</w:t>
            </w:r>
            <w:r>
              <w:rPr>
                <w:rFonts w:hint="eastAsia" w:ascii="宋体" w:hAnsi="宋体" w:eastAsia="Times New Roman" w:cs="Times New Roman"/>
                <w:szCs w:val="21"/>
                <w:highlight w:val="none"/>
                <w:lang w:eastAsia="zh-CN"/>
              </w:rPr>
              <w:t>比选申请</w:t>
            </w:r>
            <w:r>
              <w:rPr>
                <w:rFonts w:hint="eastAsia" w:ascii="宋体" w:hAnsi="宋体" w:eastAsia="Times New Roman" w:cs="Times New Roman"/>
                <w:szCs w:val="21"/>
                <w:highlight w:val="none"/>
              </w:rPr>
              <w:t>总报价不得高于</w:t>
            </w:r>
            <w:r>
              <w:rPr>
                <w:rFonts w:hint="eastAsia" w:ascii="宋体" w:hAnsi="宋体" w:eastAsia="Times New Roman" w:cs="Times New Roman"/>
                <w:szCs w:val="21"/>
                <w:highlight w:val="none"/>
                <w:lang w:eastAsia="zh-CN"/>
              </w:rPr>
              <w:t>比选人</w:t>
            </w:r>
            <w:r>
              <w:rPr>
                <w:rFonts w:hint="eastAsia" w:ascii="宋体" w:hAnsi="宋体" w:eastAsia="Times New Roman" w:cs="Times New Roman"/>
                <w:szCs w:val="21"/>
                <w:highlight w:val="none"/>
              </w:rPr>
              <w:t>公布的</w:t>
            </w:r>
            <w:r>
              <w:rPr>
                <w:rFonts w:hint="eastAsia" w:ascii="宋体" w:hAnsi="宋体" w:eastAsia="Times New Roman" w:cs="Times New Roman"/>
                <w:szCs w:val="21"/>
                <w:highlight w:val="none"/>
                <w:lang w:eastAsia="zh-CN"/>
              </w:rPr>
              <w:t>比选申请</w:t>
            </w:r>
            <w:r>
              <w:rPr>
                <w:rFonts w:hint="eastAsia" w:ascii="宋体" w:hAnsi="宋体" w:eastAsia="Times New Roman" w:cs="Times New Roman"/>
                <w:szCs w:val="21"/>
                <w:highlight w:val="none"/>
              </w:rPr>
              <w:t>总报价最高限价，否则由评标委员会作否决投标处理。</w:t>
            </w:r>
          </w:p>
        </w:tc>
      </w:tr>
      <w:tr w14:paraId="5C9F178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29339DA9">
            <w:pPr>
              <w:keepNext w:val="0"/>
              <w:keepLines w:val="0"/>
              <w:suppressLineNumbers w:val="0"/>
              <w:spacing w:before="0" w:beforeAutospacing="0" w:after="0" w:afterAutospacing="0" w:line="400" w:lineRule="exact"/>
              <w:ind w:left="0" w:right="0"/>
              <w:jc w:val="center"/>
              <w:rPr>
                <w:rFonts w:hint="default" w:ascii="宋体" w:hAnsi="宋体" w:eastAsia="Times New Roman" w:cs="Times New Roman"/>
                <w:szCs w:val="21"/>
                <w:highlight w:val="none"/>
              </w:rPr>
            </w:pPr>
          </w:p>
        </w:tc>
        <w:tc>
          <w:tcPr>
            <w:tcW w:w="1899" w:type="dxa"/>
            <w:vMerge w:val="continue"/>
            <w:noWrap w:val="0"/>
            <w:vAlign w:val="center"/>
          </w:tcPr>
          <w:p w14:paraId="6D61C413">
            <w:pPr>
              <w:keepNext w:val="0"/>
              <w:keepLines w:val="0"/>
              <w:suppressLineNumbers w:val="0"/>
              <w:spacing w:before="0" w:beforeAutospacing="0" w:after="0" w:afterAutospacing="0" w:line="400" w:lineRule="exact"/>
              <w:ind w:left="0" w:right="0"/>
              <w:jc w:val="center"/>
              <w:rPr>
                <w:rFonts w:hint="default" w:ascii="宋体" w:hAnsi="宋体" w:eastAsia="Times New Roman" w:cs="Times New Roman"/>
                <w:szCs w:val="21"/>
                <w:highlight w:val="none"/>
              </w:rPr>
            </w:pPr>
          </w:p>
        </w:tc>
        <w:tc>
          <w:tcPr>
            <w:tcW w:w="6333" w:type="dxa"/>
            <w:noWrap w:val="0"/>
            <w:vAlign w:val="center"/>
          </w:tcPr>
          <w:p w14:paraId="389D483E">
            <w:pPr>
              <w:keepNext w:val="0"/>
              <w:keepLines w:val="0"/>
              <w:suppressLineNumbers w:val="0"/>
              <w:spacing w:before="0" w:beforeAutospacing="0" w:after="0" w:afterAutospacing="0" w:line="400" w:lineRule="exact"/>
              <w:ind w:left="0" w:right="0" w:firstLine="420" w:firstLineChars="200"/>
              <w:rPr>
                <w:rFonts w:hint="default" w:ascii="宋体" w:hAnsi="宋体" w:eastAsia="Times New Roman" w:cs="Times New Roman"/>
                <w:szCs w:val="21"/>
                <w:highlight w:val="none"/>
              </w:rPr>
            </w:pPr>
            <w:r>
              <w:rPr>
                <w:rFonts w:hint="eastAsia" w:ascii="宋体" w:hAnsi="宋体" w:eastAsia="Times New Roman" w:cs="Times New Roman"/>
                <w:szCs w:val="21"/>
                <w:highlight w:val="none"/>
              </w:rPr>
              <w:t>A-1</w:t>
            </w:r>
            <w:r>
              <w:rPr>
                <w:rFonts w:hint="eastAsia" w:ascii="宋体" w:hAnsi="宋体" w:eastAsia="Times New Roman" w:cs="Times New Roman"/>
                <w:szCs w:val="21"/>
                <w:highlight w:val="none"/>
                <w:lang w:val="en-US" w:eastAsia="zh-CN"/>
              </w:rPr>
              <w:t>3</w:t>
            </w:r>
            <w:r>
              <w:rPr>
                <w:rFonts w:hint="eastAsia" w:ascii="宋体" w:hAnsi="宋体" w:eastAsia="Times New Roman" w:cs="Times New Roman"/>
                <w:szCs w:val="21"/>
                <w:highlight w:val="none"/>
                <w:lang w:eastAsia="zh-CN"/>
              </w:rPr>
              <w:t>比选申请</w:t>
            </w:r>
            <w:r>
              <w:rPr>
                <w:rFonts w:hint="eastAsia" w:ascii="宋体" w:hAnsi="宋体" w:eastAsia="Times New Roman" w:cs="Times New Roman"/>
                <w:szCs w:val="21"/>
                <w:highlight w:val="none"/>
              </w:rPr>
              <w:t>总报价低于最高限价85%的，</w:t>
            </w:r>
            <w:r>
              <w:rPr>
                <w:rFonts w:hint="eastAsia" w:ascii="宋体" w:hAnsi="宋体" w:eastAsia="Times New Roman" w:cs="Times New Roman"/>
                <w:szCs w:val="21"/>
                <w:highlight w:val="none"/>
                <w:lang w:eastAsia="zh-CN"/>
              </w:rPr>
              <w:t>比选申请人</w:t>
            </w:r>
            <w:r>
              <w:rPr>
                <w:rFonts w:hint="eastAsia" w:ascii="宋体" w:hAnsi="宋体" w:eastAsia="Times New Roman" w:cs="Times New Roman"/>
                <w:szCs w:val="21"/>
                <w:highlight w:val="none"/>
              </w:rPr>
              <w:t>应在编制</w:t>
            </w:r>
            <w:r>
              <w:rPr>
                <w:rFonts w:hint="eastAsia" w:ascii="宋体" w:hAnsi="宋体" w:eastAsia="Times New Roman" w:cs="Times New Roman"/>
                <w:szCs w:val="21"/>
                <w:highlight w:val="none"/>
                <w:lang w:eastAsia="zh-CN"/>
              </w:rPr>
              <w:t>比选申请文件</w:t>
            </w:r>
            <w:r>
              <w:rPr>
                <w:rFonts w:hint="eastAsia" w:ascii="宋体" w:hAnsi="宋体" w:eastAsia="Times New Roman" w:cs="Times New Roman"/>
                <w:szCs w:val="21"/>
                <w:highlight w:val="none"/>
              </w:rPr>
              <w:t>时，在</w:t>
            </w:r>
            <w:r>
              <w:rPr>
                <w:rFonts w:hint="eastAsia" w:ascii="宋体" w:hAnsi="宋体" w:eastAsia="Times New Roman" w:cs="Times New Roman"/>
                <w:szCs w:val="21"/>
                <w:highlight w:val="none"/>
                <w:lang w:eastAsia="zh-CN"/>
              </w:rPr>
              <w:t>比选申请</w:t>
            </w:r>
            <w:r>
              <w:rPr>
                <w:rFonts w:hint="eastAsia" w:ascii="宋体" w:hAnsi="宋体" w:eastAsia="Times New Roman" w:cs="Times New Roman"/>
                <w:szCs w:val="21"/>
                <w:highlight w:val="none"/>
              </w:rPr>
              <w:t>函部分中递交低价风险担保提交承诺书。承诺书格式详见第八章</w:t>
            </w:r>
            <w:r>
              <w:rPr>
                <w:rFonts w:hint="eastAsia" w:ascii="Times New Roman" w:hAnsi="Times New Roman" w:eastAsia="Times New Roman" w:cs="Times New Roman"/>
                <w:highlight w:val="none"/>
              </w:rPr>
              <w:t>比选申请文件</w:t>
            </w:r>
            <w:r>
              <w:rPr>
                <w:rFonts w:hint="eastAsia" w:ascii="宋体" w:hAnsi="宋体" w:eastAsia="Times New Roman" w:cs="Times New Roman"/>
                <w:szCs w:val="21"/>
                <w:highlight w:val="none"/>
              </w:rPr>
              <w:t>格式，否则由评标委员会作否决投标处理。</w:t>
            </w:r>
          </w:p>
        </w:tc>
      </w:tr>
      <w:tr w14:paraId="1D16CD8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48122C14">
            <w:pPr>
              <w:keepNext w:val="0"/>
              <w:keepLines w:val="0"/>
              <w:suppressLineNumbers w:val="0"/>
              <w:spacing w:before="0" w:beforeAutospacing="0" w:after="0" w:afterAutospacing="0" w:line="400" w:lineRule="exact"/>
              <w:ind w:left="0" w:right="0"/>
              <w:jc w:val="center"/>
              <w:rPr>
                <w:rFonts w:hint="default" w:ascii="宋体" w:hAnsi="宋体" w:eastAsia="Times New Roman" w:cs="Times New Roman"/>
                <w:szCs w:val="21"/>
                <w:highlight w:val="none"/>
              </w:rPr>
            </w:pPr>
          </w:p>
        </w:tc>
        <w:tc>
          <w:tcPr>
            <w:tcW w:w="1899" w:type="dxa"/>
            <w:vMerge w:val="continue"/>
            <w:noWrap w:val="0"/>
            <w:vAlign w:val="center"/>
          </w:tcPr>
          <w:p w14:paraId="4174F4F6">
            <w:pPr>
              <w:keepNext w:val="0"/>
              <w:keepLines w:val="0"/>
              <w:suppressLineNumbers w:val="0"/>
              <w:spacing w:before="0" w:beforeAutospacing="0" w:after="0" w:afterAutospacing="0" w:line="400" w:lineRule="exact"/>
              <w:ind w:left="0" w:right="0"/>
              <w:jc w:val="center"/>
              <w:rPr>
                <w:rFonts w:hint="default" w:ascii="宋体" w:hAnsi="宋体" w:eastAsia="Times New Roman" w:cs="Times New Roman"/>
                <w:szCs w:val="21"/>
                <w:highlight w:val="none"/>
              </w:rPr>
            </w:pPr>
          </w:p>
        </w:tc>
        <w:tc>
          <w:tcPr>
            <w:tcW w:w="6333" w:type="dxa"/>
            <w:noWrap w:val="0"/>
            <w:vAlign w:val="center"/>
          </w:tcPr>
          <w:p w14:paraId="4DAD93D9">
            <w:pPr>
              <w:keepNext w:val="0"/>
              <w:keepLines w:val="0"/>
              <w:suppressLineNumbers w:val="0"/>
              <w:spacing w:before="0" w:beforeAutospacing="0" w:after="0" w:afterAutospacing="0" w:line="400" w:lineRule="exact"/>
              <w:ind w:left="0" w:right="0" w:firstLine="420" w:firstLineChars="200"/>
              <w:rPr>
                <w:rFonts w:hint="default" w:ascii="宋体" w:hAnsi="宋体" w:eastAsia="Times New Roman" w:cs="Times New Roman"/>
                <w:szCs w:val="21"/>
                <w:highlight w:val="none"/>
              </w:rPr>
            </w:pPr>
            <w:r>
              <w:rPr>
                <w:rFonts w:hint="eastAsia" w:ascii="宋体" w:hAnsi="宋体" w:eastAsia="Times New Roman" w:cs="Times New Roman"/>
                <w:szCs w:val="21"/>
                <w:highlight w:val="none"/>
              </w:rPr>
              <w:t>A-</w:t>
            </w:r>
            <w:r>
              <w:rPr>
                <w:rFonts w:hint="eastAsia" w:ascii="宋体" w:hAnsi="宋体" w:eastAsia="Times New Roman" w:cs="Times New Roman"/>
                <w:szCs w:val="21"/>
                <w:highlight w:val="none"/>
                <w:lang w:val="en-US" w:eastAsia="zh-CN"/>
              </w:rPr>
              <w:t>14</w:t>
            </w:r>
            <w:r>
              <w:rPr>
                <w:rFonts w:hint="eastAsia" w:ascii="宋体" w:hAnsi="宋体" w:eastAsia="Times New Roman" w:cs="Times New Roman"/>
                <w:szCs w:val="21"/>
                <w:highlight w:val="none"/>
                <w:lang w:eastAsia="zh-CN"/>
              </w:rPr>
              <w:t>比选申请</w:t>
            </w:r>
            <w:r>
              <w:rPr>
                <w:rFonts w:hint="eastAsia" w:ascii="宋体" w:hAnsi="宋体" w:eastAsia="Times New Roman" w:cs="Times New Roman"/>
                <w:szCs w:val="21"/>
                <w:highlight w:val="none"/>
              </w:rPr>
              <w:t>内容符合第二章“</w:t>
            </w:r>
            <w:r>
              <w:rPr>
                <w:rFonts w:hint="eastAsia" w:ascii="宋体" w:hAnsi="宋体" w:eastAsia="Times New Roman" w:cs="Times New Roman"/>
                <w:szCs w:val="21"/>
                <w:highlight w:val="none"/>
                <w:lang w:eastAsia="zh-CN"/>
              </w:rPr>
              <w:t>比选申请人</w:t>
            </w:r>
            <w:r>
              <w:rPr>
                <w:rFonts w:hint="eastAsia" w:ascii="宋体" w:hAnsi="宋体" w:eastAsia="Times New Roman" w:cs="Times New Roman"/>
                <w:szCs w:val="21"/>
                <w:highlight w:val="none"/>
              </w:rPr>
              <w:t>须知”第1.3.1项规定，否则由评标委员会作否决投标处理。</w:t>
            </w:r>
          </w:p>
        </w:tc>
      </w:tr>
      <w:tr w14:paraId="5B49F39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jc w:val="center"/>
        </w:trPr>
        <w:tc>
          <w:tcPr>
            <w:tcW w:w="1237" w:type="dxa"/>
            <w:vMerge w:val="continue"/>
            <w:noWrap w:val="0"/>
            <w:vAlign w:val="center"/>
          </w:tcPr>
          <w:p w14:paraId="7200A8A1">
            <w:pPr>
              <w:keepNext w:val="0"/>
              <w:keepLines w:val="0"/>
              <w:suppressLineNumbers w:val="0"/>
              <w:spacing w:before="0" w:beforeAutospacing="0" w:after="0" w:afterAutospacing="0" w:line="400" w:lineRule="exact"/>
              <w:ind w:left="0" w:right="0"/>
              <w:jc w:val="center"/>
              <w:rPr>
                <w:rFonts w:hint="default" w:ascii="宋体" w:hAnsi="宋体" w:eastAsia="Times New Roman" w:cs="Times New Roman"/>
                <w:szCs w:val="21"/>
                <w:highlight w:val="none"/>
              </w:rPr>
            </w:pPr>
          </w:p>
        </w:tc>
        <w:tc>
          <w:tcPr>
            <w:tcW w:w="1899" w:type="dxa"/>
            <w:vMerge w:val="continue"/>
            <w:noWrap w:val="0"/>
            <w:vAlign w:val="center"/>
          </w:tcPr>
          <w:p w14:paraId="5966300A">
            <w:pPr>
              <w:keepNext w:val="0"/>
              <w:keepLines w:val="0"/>
              <w:suppressLineNumbers w:val="0"/>
              <w:spacing w:before="0" w:beforeAutospacing="0" w:after="0" w:afterAutospacing="0" w:line="400" w:lineRule="exact"/>
              <w:ind w:left="0" w:right="0"/>
              <w:jc w:val="center"/>
              <w:rPr>
                <w:rFonts w:hint="default" w:ascii="宋体" w:hAnsi="宋体" w:eastAsia="Times New Roman" w:cs="Times New Roman"/>
                <w:szCs w:val="21"/>
                <w:highlight w:val="none"/>
              </w:rPr>
            </w:pPr>
          </w:p>
        </w:tc>
        <w:tc>
          <w:tcPr>
            <w:tcW w:w="6333" w:type="dxa"/>
            <w:noWrap w:val="0"/>
            <w:vAlign w:val="center"/>
          </w:tcPr>
          <w:p w14:paraId="66240FFC">
            <w:pPr>
              <w:keepNext w:val="0"/>
              <w:keepLines w:val="0"/>
              <w:suppressLineNumbers w:val="0"/>
              <w:spacing w:before="0" w:beforeAutospacing="0" w:after="0" w:afterAutospacing="0" w:line="400" w:lineRule="exact"/>
              <w:ind w:left="0" w:right="0" w:firstLine="420" w:firstLineChars="200"/>
              <w:rPr>
                <w:rFonts w:hint="default" w:ascii="宋体" w:hAnsi="宋体" w:eastAsia="Times New Roman" w:cs="Times New Roman"/>
                <w:szCs w:val="21"/>
                <w:highlight w:val="none"/>
              </w:rPr>
            </w:pPr>
            <w:r>
              <w:rPr>
                <w:rFonts w:hint="eastAsia" w:ascii="宋体" w:hAnsi="宋体" w:eastAsia="Times New Roman" w:cs="Times New Roman"/>
                <w:szCs w:val="21"/>
                <w:highlight w:val="none"/>
              </w:rPr>
              <w:t>A-</w:t>
            </w:r>
            <w:r>
              <w:rPr>
                <w:rFonts w:hint="eastAsia" w:ascii="宋体" w:hAnsi="宋体" w:eastAsia="Times New Roman" w:cs="Times New Roman"/>
                <w:szCs w:val="21"/>
                <w:highlight w:val="none"/>
                <w:lang w:val="en-US" w:eastAsia="zh-CN"/>
              </w:rPr>
              <w:t>15</w:t>
            </w:r>
            <w:r>
              <w:rPr>
                <w:rFonts w:hint="eastAsia" w:ascii="宋体" w:hAnsi="宋体" w:eastAsia="Times New Roman" w:cs="Times New Roman"/>
                <w:szCs w:val="21"/>
                <w:highlight w:val="none"/>
              </w:rPr>
              <w:t>工期符合第二章“</w:t>
            </w:r>
            <w:r>
              <w:rPr>
                <w:rFonts w:hint="eastAsia" w:ascii="宋体" w:hAnsi="宋体" w:eastAsia="Times New Roman" w:cs="Times New Roman"/>
                <w:szCs w:val="21"/>
                <w:highlight w:val="none"/>
                <w:lang w:eastAsia="zh-CN"/>
              </w:rPr>
              <w:t>比选申请人</w:t>
            </w:r>
            <w:r>
              <w:rPr>
                <w:rFonts w:hint="eastAsia" w:ascii="宋体" w:hAnsi="宋体" w:eastAsia="Times New Roman" w:cs="Times New Roman"/>
                <w:szCs w:val="21"/>
                <w:highlight w:val="none"/>
              </w:rPr>
              <w:t>须知”第1.3.2项规定，否则由评标委员会作否决投标处理。</w:t>
            </w:r>
          </w:p>
        </w:tc>
      </w:tr>
      <w:tr w14:paraId="6DC20D6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4263788A">
            <w:pPr>
              <w:keepNext w:val="0"/>
              <w:keepLines w:val="0"/>
              <w:suppressLineNumbers w:val="0"/>
              <w:spacing w:before="0" w:beforeAutospacing="0" w:after="0" w:afterAutospacing="0" w:line="400" w:lineRule="exact"/>
              <w:ind w:left="0" w:right="0"/>
              <w:jc w:val="center"/>
              <w:rPr>
                <w:rFonts w:hint="default" w:ascii="宋体" w:hAnsi="宋体" w:eastAsia="Times New Roman" w:cs="Times New Roman"/>
                <w:szCs w:val="21"/>
                <w:highlight w:val="none"/>
              </w:rPr>
            </w:pPr>
          </w:p>
        </w:tc>
        <w:tc>
          <w:tcPr>
            <w:tcW w:w="1899" w:type="dxa"/>
            <w:vMerge w:val="continue"/>
            <w:noWrap w:val="0"/>
            <w:vAlign w:val="center"/>
          </w:tcPr>
          <w:p w14:paraId="0473A6D6">
            <w:pPr>
              <w:keepNext w:val="0"/>
              <w:keepLines w:val="0"/>
              <w:suppressLineNumbers w:val="0"/>
              <w:spacing w:before="0" w:beforeAutospacing="0" w:after="0" w:afterAutospacing="0" w:line="400" w:lineRule="exact"/>
              <w:ind w:left="0" w:right="0"/>
              <w:jc w:val="center"/>
              <w:rPr>
                <w:rFonts w:hint="default" w:ascii="宋体" w:hAnsi="宋体" w:eastAsia="Times New Roman" w:cs="Times New Roman"/>
                <w:szCs w:val="21"/>
                <w:highlight w:val="none"/>
              </w:rPr>
            </w:pPr>
          </w:p>
        </w:tc>
        <w:tc>
          <w:tcPr>
            <w:tcW w:w="6333" w:type="dxa"/>
            <w:noWrap w:val="0"/>
            <w:vAlign w:val="center"/>
          </w:tcPr>
          <w:p w14:paraId="22E74754">
            <w:pPr>
              <w:keepNext w:val="0"/>
              <w:keepLines w:val="0"/>
              <w:suppressLineNumbers w:val="0"/>
              <w:spacing w:before="0" w:beforeAutospacing="0" w:after="0" w:afterAutospacing="0" w:line="400" w:lineRule="exact"/>
              <w:ind w:left="0" w:right="0" w:firstLine="420" w:firstLineChars="200"/>
              <w:rPr>
                <w:rFonts w:hint="default" w:ascii="宋体" w:hAnsi="宋体" w:eastAsia="Times New Roman" w:cs="Times New Roman"/>
                <w:szCs w:val="21"/>
                <w:highlight w:val="none"/>
              </w:rPr>
            </w:pPr>
            <w:r>
              <w:rPr>
                <w:rFonts w:hint="eastAsia" w:ascii="宋体" w:hAnsi="宋体" w:eastAsia="Times New Roman" w:cs="Times New Roman"/>
                <w:szCs w:val="21"/>
                <w:highlight w:val="none"/>
              </w:rPr>
              <w:t>A-</w:t>
            </w:r>
            <w:r>
              <w:rPr>
                <w:rFonts w:hint="eastAsia" w:ascii="宋体" w:hAnsi="宋体" w:eastAsia="Times New Roman" w:cs="Times New Roman"/>
                <w:szCs w:val="21"/>
                <w:highlight w:val="none"/>
                <w:lang w:val="en-US" w:eastAsia="zh-CN"/>
              </w:rPr>
              <w:t>16</w:t>
            </w:r>
            <w:r>
              <w:rPr>
                <w:rFonts w:hint="eastAsia" w:ascii="宋体" w:hAnsi="宋体" w:eastAsia="Times New Roman" w:cs="Times New Roman"/>
                <w:szCs w:val="21"/>
                <w:highlight w:val="none"/>
              </w:rPr>
              <w:t>工程质量符合第二章“</w:t>
            </w:r>
            <w:r>
              <w:rPr>
                <w:rFonts w:hint="eastAsia" w:ascii="宋体" w:hAnsi="宋体" w:eastAsia="Times New Roman" w:cs="Times New Roman"/>
                <w:szCs w:val="21"/>
                <w:highlight w:val="none"/>
                <w:lang w:eastAsia="zh-CN"/>
              </w:rPr>
              <w:t>比选申请人</w:t>
            </w:r>
            <w:r>
              <w:rPr>
                <w:rFonts w:hint="eastAsia" w:ascii="宋体" w:hAnsi="宋体" w:eastAsia="Times New Roman" w:cs="Times New Roman"/>
                <w:szCs w:val="21"/>
                <w:highlight w:val="none"/>
              </w:rPr>
              <w:t>须知”第1.3.3项规定，否则由评标委员会作否决投标处理。</w:t>
            </w:r>
          </w:p>
        </w:tc>
      </w:tr>
      <w:tr w14:paraId="51D54A1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09186407">
            <w:pPr>
              <w:keepNext w:val="0"/>
              <w:keepLines w:val="0"/>
              <w:suppressLineNumbers w:val="0"/>
              <w:spacing w:before="0" w:beforeAutospacing="0" w:after="0" w:afterAutospacing="0" w:line="400" w:lineRule="exact"/>
              <w:ind w:left="0" w:right="0"/>
              <w:jc w:val="center"/>
              <w:rPr>
                <w:rFonts w:hint="default" w:ascii="宋体" w:hAnsi="宋体" w:eastAsia="Times New Roman" w:cs="Times New Roman"/>
                <w:szCs w:val="21"/>
                <w:highlight w:val="none"/>
              </w:rPr>
            </w:pPr>
          </w:p>
        </w:tc>
        <w:tc>
          <w:tcPr>
            <w:tcW w:w="1899" w:type="dxa"/>
            <w:vMerge w:val="continue"/>
            <w:noWrap w:val="0"/>
            <w:vAlign w:val="center"/>
          </w:tcPr>
          <w:p w14:paraId="4974B579">
            <w:pPr>
              <w:keepNext w:val="0"/>
              <w:keepLines w:val="0"/>
              <w:suppressLineNumbers w:val="0"/>
              <w:spacing w:before="0" w:beforeAutospacing="0" w:after="0" w:afterAutospacing="0" w:line="400" w:lineRule="exact"/>
              <w:ind w:left="0" w:right="0"/>
              <w:jc w:val="center"/>
              <w:rPr>
                <w:rFonts w:hint="default" w:ascii="宋体" w:hAnsi="宋体" w:eastAsia="Times New Roman" w:cs="Times New Roman"/>
                <w:szCs w:val="21"/>
                <w:highlight w:val="none"/>
              </w:rPr>
            </w:pPr>
          </w:p>
        </w:tc>
        <w:tc>
          <w:tcPr>
            <w:tcW w:w="6333" w:type="dxa"/>
            <w:noWrap w:val="0"/>
            <w:vAlign w:val="center"/>
          </w:tcPr>
          <w:p w14:paraId="3F28F96E">
            <w:pPr>
              <w:keepNext w:val="0"/>
              <w:keepLines w:val="0"/>
              <w:suppressLineNumbers w:val="0"/>
              <w:spacing w:before="0" w:beforeAutospacing="0" w:after="0" w:afterAutospacing="0" w:line="400" w:lineRule="exact"/>
              <w:ind w:left="0" w:right="0" w:firstLine="420" w:firstLineChars="200"/>
              <w:rPr>
                <w:rFonts w:hint="default" w:ascii="宋体" w:hAnsi="宋体" w:eastAsia="Times New Roman" w:cs="Times New Roman"/>
                <w:szCs w:val="21"/>
                <w:highlight w:val="none"/>
              </w:rPr>
            </w:pPr>
            <w:r>
              <w:rPr>
                <w:rFonts w:hint="eastAsia" w:ascii="宋体" w:hAnsi="宋体" w:eastAsia="Times New Roman" w:cs="Times New Roman"/>
                <w:szCs w:val="21"/>
                <w:highlight w:val="none"/>
              </w:rPr>
              <w:t>A-</w:t>
            </w:r>
            <w:r>
              <w:rPr>
                <w:rFonts w:hint="eastAsia" w:ascii="宋体" w:hAnsi="宋体" w:eastAsia="Times New Roman" w:cs="Times New Roman"/>
                <w:szCs w:val="21"/>
                <w:highlight w:val="none"/>
                <w:lang w:val="en-US" w:eastAsia="zh-CN"/>
              </w:rPr>
              <w:t>17</w:t>
            </w:r>
            <w:r>
              <w:rPr>
                <w:rFonts w:hint="eastAsia" w:ascii="宋体" w:hAnsi="宋体" w:eastAsia="Times New Roman" w:cs="Times New Roman"/>
                <w:szCs w:val="21"/>
                <w:highlight w:val="none"/>
                <w:lang w:eastAsia="zh-CN"/>
              </w:rPr>
              <w:t>比选申请</w:t>
            </w:r>
            <w:r>
              <w:rPr>
                <w:rFonts w:hint="eastAsia" w:ascii="宋体" w:hAnsi="宋体" w:eastAsia="Times New Roman" w:cs="Times New Roman"/>
                <w:szCs w:val="21"/>
                <w:highlight w:val="none"/>
              </w:rPr>
              <w:t>有效期符合第二章“</w:t>
            </w:r>
            <w:r>
              <w:rPr>
                <w:rFonts w:hint="eastAsia" w:ascii="宋体" w:hAnsi="宋体" w:eastAsia="Times New Roman" w:cs="Times New Roman"/>
                <w:szCs w:val="21"/>
                <w:highlight w:val="none"/>
                <w:lang w:eastAsia="zh-CN"/>
              </w:rPr>
              <w:t>比选申请人</w:t>
            </w:r>
            <w:r>
              <w:rPr>
                <w:rFonts w:hint="eastAsia" w:ascii="宋体" w:hAnsi="宋体" w:eastAsia="Times New Roman" w:cs="Times New Roman"/>
                <w:szCs w:val="21"/>
                <w:highlight w:val="none"/>
              </w:rPr>
              <w:t>须知”第3.3.1项规定，否则由评标委员会作否决投标处理。</w:t>
            </w:r>
          </w:p>
        </w:tc>
      </w:tr>
      <w:tr w14:paraId="4AA943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3EF3F9D9">
            <w:pPr>
              <w:keepNext w:val="0"/>
              <w:keepLines w:val="0"/>
              <w:suppressLineNumbers w:val="0"/>
              <w:spacing w:before="0" w:beforeAutospacing="0" w:after="0" w:afterAutospacing="0" w:line="400" w:lineRule="exact"/>
              <w:ind w:left="0" w:right="0"/>
              <w:jc w:val="center"/>
              <w:rPr>
                <w:rFonts w:hint="default" w:ascii="宋体" w:hAnsi="宋体" w:eastAsia="Times New Roman" w:cs="Times New Roman"/>
                <w:szCs w:val="21"/>
                <w:highlight w:val="none"/>
              </w:rPr>
            </w:pPr>
          </w:p>
        </w:tc>
        <w:tc>
          <w:tcPr>
            <w:tcW w:w="1899" w:type="dxa"/>
            <w:vMerge w:val="continue"/>
            <w:noWrap w:val="0"/>
            <w:vAlign w:val="center"/>
          </w:tcPr>
          <w:p w14:paraId="20DF015B">
            <w:pPr>
              <w:keepNext w:val="0"/>
              <w:keepLines w:val="0"/>
              <w:suppressLineNumbers w:val="0"/>
              <w:spacing w:before="0" w:beforeAutospacing="0" w:after="0" w:afterAutospacing="0" w:line="400" w:lineRule="exact"/>
              <w:ind w:left="0" w:right="0"/>
              <w:jc w:val="center"/>
              <w:rPr>
                <w:rFonts w:hint="default" w:ascii="宋体" w:hAnsi="宋体" w:eastAsia="Times New Roman" w:cs="Times New Roman"/>
                <w:szCs w:val="21"/>
                <w:highlight w:val="none"/>
              </w:rPr>
            </w:pPr>
          </w:p>
        </w:tc>
        <w:tc>
          <w:tcPr>
            <w:tcW w:w="6333" w:type="dxa"/>
            <w:noWrap w:val="0"/>
            <w:vAlign w:val="center"/>
          </w:tcPr>
          <w:p w14:paraId="4E92CFED">
            <w:pPr>
              <w:keepNext w:val="0"/>
              <w:keepLines w:val="0"/>
              <w:suppressLineNumbers w:val="0"/>
              <w:spacing w:before="0" w:beforeAutospacing="0" w:after="0" w:afterAutospacing="0" w:line="400" w:lineRule="exact"/>
              <w:ind w:left="0" w:right="0" w:firstLine="420" w:firstLineChars="200"/>
              <w:rPr>
                <w:rFonts w:hint="default" w:ascii="宋体" w:hAnsi="宋体" w:eastAsia="Times New Roman" w:cs="Times New Roman"/>
                <w:szCs w:val="21"/>
                <w:highlight w:val="none"/>
              </w:rPr>
            </w:pPr>
            <w:r>
              <w:rPr>
                <w:rFonts w:hint="eastAsia" w:ascii="宋体" w:hAnsi="宋体" w:eastAsia="Times New Roman" w:cs="Times New Roman"/>
                <w:szCs w:val="21"/>
                <w:highlight w:val="none"/>
              </w:rPr>
              <w:t>A-</w:t>
            </w:r>
            <w:r>
              <w:rPr>
                <w:rFonts w:hint="eastAsia" w:ascii="宋体" w:hAnsi="宋体" w:eastAsia="Times New Roman" w:cs="Times New Roman"/>
                <w:szCs w:val="21"/>
                <w:highlight w:val="none"/>
                <w:lang w:val="en-US" w:eastAsia="zh-CN"/>
              </w:rPr>
              <w:t>18</w:t>
            </w:r>
            <w:r>
              <w:rPr>
                <w:rFonts w:hint="eastAsia" w:ascii="宋体" w:hAnsi="宋体" w:eastAsia="Times New Roman" w:cs="Times New Roman"/>
                <w:szCs w:val="21"/>
                <w:highlight w:val="none"/>
                <w:lang w:eastAsia="zh-CN"/>
              </w:rPr>
              <w:t>比选申请人</w:t>
            </w:r>
            <w:r>
              <w:rPr>
                <w:rFonts w:hint="default" w:ascii="宋体" w:hAnsi="宋体" w:eastAsia="Times New Roman" w:cs="Times New Roman"/>
                <w:szCs w:val="21"/>
                <w:highlight w:val="none"/>
              </w:rPr>
              <w:t>应按</w:t>
            </w:r>
            <w:r>
              <w:rPr>
                <w:rFonts w:hint="eastAsia" w:ascii="宋体" w:hAnsi="宋体" w:eastAsia="Times New Roman" w:cs="Times New Roman"/>
                <w:szCs w:val="21"/>
                <w:highlight w:val="none"/>
                <w:lang w:eastAsia="zh-CN"/>
              </w:rPr>
              <w:t>比选申请人</w:t>
            </w:r>
            <w:r>
              <w:rPr>
                <w:rFonts w:hint="default" w:ascii="宋体" w:hAnsi="宋体" w:eastAsia="Times New Roman" w:cs="Times New Roman"/>
                <w:szCs w:val="21"/>
                <w:highlight w:val="none"/>
              </w:rPr>
              <w:t>须知前附表</w:t>
            </w:r>
            <w:r>
              <w:rPr>
                <w:rFonts w:hint="eastAsia" w:ascii="宋体" w:hAnsi="宋体" w:eastAsia="Times New Roman" w:cs="Times New Roman"/>
                <w:szCs w:val="21"/>
                <w:highlight w:val="none"/>
              </w:rPr>
              <w:t>第3.4款的</w:t>
            </w:r>
            <w:r>
              <w:rPr>
                <w:rFonts w:hint="default" w:ascii="宋体" w:hAnsi="宋体" w:eastAsia="Times New Roman" w:cs="Times New Roman"/>
                <w:szCs w:val="21"/>
                <w:highlight w:val="none"/>
              </w:rPr>
              <w:t>规定递交</w:t>
            </w:r>
            <w:r>
              <w:rPr>
                <w:rFonts w:hint="eastAsia" w:ascii="宋体" w:hAnsi="宋体" w:eastAsia="Times New Roman" w:cs="Times New Roman"/>
                <w:szCs w:val="21"/>
                <w:highlight w:val="none"/>
                <w:lang w:eastAsia="zh-CN"/>
              </w:rPr>
              <w:t>比选申请</w:t>
            </w:r>
            <w:r>
              <w:rPr>
                <w:rFonts w:hint="default" w:ascii="宋体" w:hAnsi="宋体" w:eastAsia="Times New Roman" w:cs="Times New Roman"/>
                <w:szCs w:val="21"/>
                <w:highlight w:val="none"/>
              </w:rPr>
              <w:t>保证金，并作为其</w:t>
            </w:r>
            <w:r>
              <w:rPr>
                <w:rFonts w:hint="eastAsia" w:ascii="宋体" w:hAnsi="宋体" w:eastAsia="Times New Roman" w:cs="Times New Roman"/>
                <w:szCs w:val="21"/>
                <w:highlight w:val="none"/>
                <w:lang w:eastAsia="zh-CN"/>
              </w:rPr>
              <w:t>比选申请文件</w:t>
            </w:r>
            <w:r>
              <w:rPr>
                <w:rFonts w:hint="default" w:ascii="宋体" w:hAnsi="宋体" w:eastAsia="Times New Roman" w:cs="Times New Roman"/>
                <w:szCs w:val="21"/>
                <w:highlight w:val="none"/>
              </w:rPr>
              <w:t>的组成部分</w:t>
            </w:r>
            <w:r>
              <w:rPr>
                <w:rFonts w:hint="eastAsia" w:ascii="宋体" w:hAnsi="宋体" w:eastAsia="Times New Roman" w:cs="Times New Roman"/>
                <w:szCs w:val="21"/>
                <w:highlight w:val="none"/>
              </w:rPr>
              <w:t>，</w:t>
            </w:r>
            <w:r>
              <w:rPr>
                <w:rFonts w:hint="default" w:ascii="宋体" w:hAnsi="宋体" w:eastAsia="Times New Roman" w:cs="Times New Roman"/>
                <w:szCs w:val="21"/>
                <w:highlight w:val="none"/>
              </w:rPr>
              <w:t>否则</w:t>
            </w:r>
            <w:r>
              <w:rPr>
                <w:rFonts w:hint="eastAsia" w:ascii="宋体" w:hAnsi="宋体" w:eastAsia="Times New Roman" w:cs="Times New Roman"/>
                <w:szCs w:val="21"/>
                <w:highlight w:val="none"/>
              </w:rPr>
              <w:t>由评标委员会</w:t>
            </w:r>
            <w:r>
              <w:rPr>
                <w:rFonts w:hint="default" w:ascii="宋体" w:hAnsi="宋体" w:eastAsia="Times New Roman" w:cs="Times New Roman"/>
                <w:szCs w:val="21"/>
                <w:highlight w:val="none"/>
              </w:rPr>
              <w:t>作否决投标处理。</w:t>
            </w:r>
          </w:p>
        </w:tc>
      </w:tr>
      <w:tr w14:paraId="6F393D1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jc w:val="center"/>
        </w:trPr>
        <w:tc>
          <w:tcPr>
            <w:tcW w:w="1237" w:type="dxa"/>
            <w:vMerge w:val="continue"/>
            <w:noWrap w:val="0"/>
            <w:vAlign w:val="center"/>
          </w:tcPr>
          <w:p w14:paraId="449193DC">
            <w:pPr>
              <w:keepNext w:val="0"/>
              <w:keepLines w:val="0"/>
              <w:suppressLineNumbers w:val="0"/>
              <w:spacing w:before="0" w:beforeAutospacing="0" w:after="0" w:afterAutospacing="0" w:line="400" w:lineRule="exact"/>
              <w:ind w:left="0" w:right="0"/>
              <w:jc w:val="center"/>
              <w:rPr>
                <w:rFonts w:hint="default" w:ascii="宋体" w:hAnsi="宋体" w:eastAsia="Times New Roman" w:cs="Times New Roman"/>
                <w:szCs w:val="21"/>
                <w:highlight w:val="none"/>
              </w:rPr>
            </w:pPr>
          </w:p>
        </w:tc>
        <w:tc>
          <w:tcPr>
            <w:tcW w:w="1899" w:type="dxa"/>
            <w:vMerge w:val="continue"/>
            <w:noWrap w:val="0"/>
            <w:vAlign w:val="center"/>
          </w:tcPr>
          <w:p w14:paraId="7CEFEE7A">
            <w:pPr>
              <w:keepNext w:val="0"/>
              <w:keepLines w:val="0"/>
              <w:suppressLineNumbers w:val="0"/>
              <w:spacing w:before="0" w:beforeAutospacing="0" w:after="0" w:afterAutospacing="0" w:line="400" w:lineRule="exact"/>
              <w:ind w:left="0" w:right="0"/>
              <w:jc w:val="center"/>
              <w:rPr>
                <w:rFonts w:hint="default" w:ascii="宋体" w:hAnsi="宋体" w:eastAsia="Times New Roman" w:cs="Times New Roman"/>
                <w:szCs w:val="21"/>
                <w:highlight w:val="none"/>
              </w:rPr>
            </w:pPr>
          </w:p>
        </w:tc>
        <w:tc>
          <w:tcPr>
            <w:tcW w:w="6333" w:type="dxa"/>
            <w:noWrap w:val="0"/>
            <w:vAlign w:val="center"/>
          </w:tcPr>
          <w:p w14:paraId="45311EBE">
            <w:pPr>
              <w:keepNext w:val="0"/>
              <w:keepLines w:val="0"/>
              <w:suppressLineNumbers w:val="0"/>
              <w:spacing w:before="0" w:beforeAutospacing="0" w:after="0" w:afterAutospacing="0" w:line="400" w:lineRule="exact"/>
              <w:ind w:left="0" w:right="0" w:firstLine="420" w:firstLineChars="200"/>
              <w:rPr>
                <w:rFonts w:hint="default" w:ascii="宋体" w:hAnsi="宋体" w:eastAsia="Times New Roman" w:cs="Times New Roman"/>
                <w:szCs w:val="21"/>
                <w:highlight w:val="none"/>
              </w:rPr>
            </w:pPr>
            <w:r>
              <w:rPr>
                <w:rFonts w:hint="eastAsia" w:ascii="宋体" w:hAnsi="宋体" w:eastAsia="Times New Roman" w:cs="Times New Roman"/>
                <w:szCs w:val="21"/>
                <w:highlight w:val="none"/>
              </w:rPr>
              <w:t>A-</w:t>
            </w:r>
            <w:r>
              <w:rPr>
                <w:rFonts w:hint="eastAsia" w:ascii="宋体" w:hAnsi="宋体" w:eastAsia="Times New Roman" w:cs="Times New Roman"/>
                <w:szCs w:val="21"/>
                <w:highlight w:val="none"/>
                <w:lang w:val="en-US" w:eastAsia="zh-CN"/>
              </w:rPr>
              <w:t>19</w:t>
            </w:r>
            <w:r>
              <w:rPr>
                <w:rFonts w:hint="eastAsia" w:ascii="宋体" w:hAnsi="宋体" w:eastAsia="Times New Roman" w:cs="Times New Roman"/>
                <w:szCs w:val="21"/>
                <w:highlight w:val="none"/>
              </w:rPr>
              <w:t>符合第四章“合同条款及格式”规定，</w:t>
            </w:r>
            <w:r>
              <w:rPr>
                <w:rFonts w:hint="eastAsia" w:ascii="宋体" w:hAnsi="宋体" w:eastAsia="Times New Roman" w:cs="Times New Roman"/>
                <w:szCs w:val="21"/>
                <w:highlight w:val="none"/>
                <w:lang w:eastAsia="zh-CN"/>
              </w:rPr>
              <w:t>比选申请文件</w:t>
            </w:r>
            <w:r>
              <w:rPr>
                <w:rFonts w:hint="eastAsia" w:ascii="宋体" w:hAnsi="宋体" w:eastAsia="Times New Roman" w:cs="Times New Roman"/>
                <w:szCs w:val="21"/>
                <w:highlight w:val="none"/>
              </w:rPr>
              <w:t>不应附有</w:t>
            </w:r>
            <w:r>
              <w:rPr>
                <w:rFonts w:hint="eastAsia" w:ascii="宋体" w:hAnsi="宋体" w:eastAsia="Times New Roman" w:cs="Times New Roman"/>
                <w:szCs w:val="21"/>
                <w:highlight w:val="none"/>
                <w:lang w:eastAsia="zh-CN"/>
              </w:rPr>
              <w:t>比选人</w:t>
            </w:r>
            <w:r>
              <w:rPr>
                <w:rFonts w:hint="eastAsia" w:ascii="宋体" w:hAnsi="宋体" w:eastAsia="Times New Roman" w:cs="Times New Roman"/>
                <w:szCs w:val="21"/>
                <w:highlight w:val="none"/>
              </w:rPr>
              <w:t>不能接受的条件，否则由评标委员会作否决投标处理。（由</w:t>
            </w:r>
            <w:r>
              <w:rPr>
                <w:rFonts w:hint="eastAsia" w:ascii="宋体" w:hAnsi="宋体" w:eastAsia="Times New Roman" w:cs="Times New Roman"/>
                <w:szCs w:val="21"/>
                <w:highlight w:val="none"/>
                <w:lang w:eastAsia="zh-CN"/>
              </w:rPr>
              <w:t>比选申请人</w:t>
            </w:r>
            <w:r>
              <w:rPr>
                <w:rFonts w:hint="eastAsia" w:ascii="宋体" w:hAnsi="宋体" w:eastAsia="Times New Roman" w:cs="Times New Roman"/>
                <w:szCs w:val="21"/>
                <w:highlight w:val="none"/>
              </w:rPr>
              <w:t>承诺，承诺书格式详见第八章</w:t>
            </w:r>
            <w:r>
              <w:rPr>
                <w:rFonts w:hint="eastAsia" w:ascii="Times New Roman" w:hAnsi="Times New Roman" w:eastAsia="Times New Roman" w:cs="Times New Roman"/>
                <w:highlight w:val="none"/>
              </w:rPr>
              <w:t>比选申请文件格式</w:t>
            </w:r>
            <w:r>
              <w:rPr>
                <w:rFonts w:hint="eastAsia" w:ascii="宋体" w:hAnsi="宋体" w:eastAsia="Times New Roman" w:cs="Times New Roman"/>
                <w:szCs w:val="21"/>
                <w:highlight w:val="none"/>
              </w:rPr>
              <w:t>。）</w:t>
            </w:r>
          </w:p>
        </w:tc>
      </w:tr>
      <w:tr w14:paraId="411315A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3F1B3B58">
            <w:pPr>
              <w:keepNext w:val="0"/>
              <w:keepLines w:val="0"/>
              <w:suppressLineNumbers w:val="0"/>
              <w:spacing w:before="0" w:beforeAutospacing="0" w:after="0" w:afterAutospacing="0" w:line="400" w:lineRule="exact"/>
              <w:ind w:left="0" w:right="0"/>
              <w:jc w:val="center"/>
              <w:rPr>
                <w:rFonts w:hint="default" w:ascii="宋体" w:hAnsi="宋体" w:eastAsia="Times New Roman" w:cs="Times New Roman"/>
                <w:szCs w:val="21"/>
                <w:highlight w:val="none"/>
              </w:rPr>
            </w:pPr>
          </w:p>
        </w:tc>
        <w:tc>
          <w:tcPr>
            <w:tcW w:w="1899" w:type="dxa"/>
            <w:vMerge w:val="continue"/>
            <w:noWrap w:val="0"/>
            <w:vAlign w:val="center"/>
          </w:tcPr>
          <w:p w14:paraId="232D4368">
            <w:pPr>
              <w:keepNext w:val="0"/>
              <w:keepLines w:val="0"/>
              <w:suppressLineNumbers w:val="0"/>
              <w:spacing w:before="0" w:beforeAutospacing="0" w:after="0" w:afterAutospacing="0" w:line="400" w:lineRule="exact"/>
              <w:ind w:left="0" w:right="0"/>
              <w:jc w:val="center"/>
              <w:rPr>
                <w:rFonts w:hint="default" w:ascii="宋体" w:hAnsi="宋体" w:eastAsia="Times New Roman" w:cs="Times New Roman"/>
                <w:szCs w:val="21"/>
                <w:highlight w:val="none"/>
              </w:rPr>
            </w:pPr>
          </w:p>
        </w:tc>
        <w:tc>
          <w:tcPr>
            <w:tcW w:w="6333" w:type="dxa"/>
            <w:noWrap w:val="0"/>
            <w:vAlign w:val="center"/>
          </w:tcPr>
          <w:p w14:paraId="2BBEA32F">
            <w:pPr>
              <w:keepNext w:val="0"/>
              <w:keepLines w:val="0"/>
              <w:suppressLineNumbers w:val="0"/>
              <w:spacing w:before="0" w:beforeAutospacing="0" w:after="0" w:afterAutospacing="0" w:line="400" w:lineRule="exact"/>
              <w:ind w:left="0" w:right="0" w:firstLine="420" w:firstLineChars="200"/>
              <w:rPr>
                <w:rFonts w:hint="default" w:ascii="宋体" w:hAnsi="宋体" w:eastAsia="Times New Roman" w:cs="Times New Roman"/>
                <w:szCs w:val="21"/>
                <w:highlight w:val="none"/>
              </w:rPr>
            </w:pPr>
            <w:r>
              <w:rPr>
                <w:rFonts w:hint="eastAsia" w:ascii="宋体" w:hAnsi="宋体" w:eastAsia="Times New Roman" w:cs="Times New Roman"/>
                <w:szCs w:val="21"/>
                <w:highlight w:val="none"/>
              </w:rPr>
              <w:t>A-2</w:t>
            </w:r>
            <w:r>
              <w:rPr>
                <w:rFonts w:hint="eastAsia" w:ascii="宋体" w:hAnsi="宋体" w:eastAsia="Times New Roman" w:cs="Times New Roman"/>
                <w:szCs w:val="21"/>
                <w:highlight w:val="none"/>
                <w:lang w:val="en-US" w:eastAsia="zh-CN"/>
              </w:rPr>
              <w:t>0</w:t>
            </w:r>
            <w:r>
              <w:rPr>
                <w:rFonts w:hint="eastAsia" w:ascii="宋体" w:hAnsi="宋体" w:eastAsia="Times New Roman" w:cs="Times New Roman"/>
                <w:szCs w:val="21"/>
                <w:highlight w:val="none"/>
              </w:rPr>
              <w:t>符合第七章“技术标准和要求”规定。否则由评标委员会作否决投标处理（如有）。（由</w:t>
            </w:r>
            <w:r>
              <w:rPr>
                <w:rFonts w:hint="eastAsia" w:ascii="宋体" w:hAnsi="宋体" w:eastAsia="Times New Roman" w:cs="Times New Roman"/>
                <w:szCs w:val="21"/>
                <w:highlight w:val="none"/>
                <w:lang w:eastAsia="zh-CN"/>
              </w:rPr>
              <w:t>比选申请人</w:t>
            </w:r>
            <w:r>
              <w:rPr>
                <w:rFonts w:hint="eastAsia" w:ascii="宋体" w:hAnsi="宋体" w:eastAsia="Times New Roman" w:cs="Times New Roman"/>
                <w:szCs w:val="21"/>
                <w:highlight w:val="none"/>
              </w:rPr>
              <w:t>承诺，承诺书格式详见第八章</w:t>
            </w:r>
            <w:r>
              <w:rPr>
                <w:rFonts w:hint="eastAsia" w:ascii="Times New Roman" w:hAnsi="Times New Roman" w:eastAsia="Times New Roman" w:cs="Times New Roman"/>
                <w:highlight w:val="none"/>
              </w:rPr>
              <w:t>比选申请文件格式</w:t>
            </w:r>
            <w:r>
              <w:rPr>
                <w:rFonts w:hint="eastAsia" w:ascii="宋体" w:hAnsi="宋体" w:eastAsia="Times New Roman" w:cs="Times New Roman"/>
                <w:szCs w:val="21"/>
                <w:highlight w:val="none"/>
              </w:rPr>
              <w:t>。）</w:t>
            </w:r>
          </w:p>
        </w:tc>
      </w:tr>
      <w:tr w14:paraId="6EF7673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6400AE49">
            <w:pPr>
              <w:keepNext w:val="0"/>
              <w:keepLines w:val="0"/>
              <w:suppressLineNumbers w:val="0"/>
              <w:spacing w:before="0" w:beforeAutospacing="0" w:after="0" w:afterAutospacing="0" w:line="400" w:lineRule="exact"/>
              <w:ind w:left="0" w:right="0"/>
              <w:jc w:val="center"/>
              <w:rPr>
                <w:rFonts w:hint="default" w:ascii="宋体" w:hAnsi="宋体" w:eastAsia="Times New Roman" w:cs="Times New Roman"/>
                <w:szCs w:val="21"/>
                <w:highlight w:val="none"/>
              </w:rPr>
            </w:pPr>
          </w:p>
        </w:tc>
        <w:tc>
          <w:tcPr>
            <w:tcW w:w="1899" w:type="dxa"/>
            <w:vMerge w:val="continue"/>
            <w:noWrap w:val="0"/>
            <w:vAlign w:val="center"/>
          </w:tcPr>
          <w:p w14:paraId="4C486B39">
            <w:pPr>
              <w:keepNext w:val="0"/>
              <w:keepLines w:val="0"/>
              <w:suppressLineNumbers w:val="0"/>
              <w:spacing w:before="0" w:beforeAutospacing="0" w:after="0" w:afterAutospacing="0" w:line="400" w:lineRule="exact"/>
              <w:ind w:left="0" w:right="0"/>
              <w:jc w:val="center"/>
              <w:rPr>
                <w:rFonts w:hint="default" w:ascii="宋体" w:hAnsi="宋体" w:eastAsia="Times New Roman" w:cs="Times New Roman"/>
                <w:szCs w:val="21"/>
                <w:highlight w:val="none"/>
              </w:rPr>
            </w:pPr>
          </w:p>
        </w:tc>
        <w:tc>
          <w:tcPr>
            <w:tcW w:w="6333" w:type="dxa"/>
            <w:noWrap w:val="0"/>
            <w:vAlign w:val="center"/>
          </w:tcPr>
          <w:p w14:paraId="023EA3C1">
            <w:pPr>
              <w:keepNext w:val="0"/>
              <w:keepLines w:val="0"/>
              <w:suppressLineNumbers w:val="0"/>
              <w:spacing w:before="0" w:beforeAutospacing="0" w:after="0" w:afterAutospacing="0" w:line="400" w:lineRule="exact"/>
              <w:ind w:left="0" w:right="0" w:firstLine="420" w:firstLineChars="200"/>
              <w:rPr>
                <w:rFonts w:hint="default" w:ascii="宋体" w:hAnsi="宋体" w:eastAsia="Times New Roman" w:cs="Times New Roman"/>
                <w:szCs w:val="21"/>
                <w:highlight w:val="none"/>
              </w:rPr>
            </w:pPr>
            <w:r>
              <w:rPr>
                <w:rFonts w:hint="eastAsia" w:ascii="宋体" w:hAnsi="宋体" w:eastAsia="Times New Roman" w:cs="Times New Roman"/>
                <w:szCs w:val="21"/>
                <w:highlight w:val="none"/>
              </w:rPr>
              <w:t>A-2</w:t>
            </w:r>
            <w:r>
              <w:rPr>
                <w:rFonts w:hint="eastAsia" w:ascii="宋体" w:hAnsi="宋体" w:eastAsia="Times New Roman" w:cs="Times New Roman"/>
                <w:szCs w:val="21"/>
                <w:highlight w:val="none"/>
                <w:lang w:val="en-US" w:eastAsia="zh-CN"/>
              </w:rPr>
              <w:t>1</w:t>
            </w:r>
            <w:r>
              <w:rPr>
                <w:rFonts w:hint="eastAsia" w:ascii="宋体" w:hAnsi="宋体" w:eastAsia="Times New Roman" w:cs="Times New Roman"/>
                <w:szCs w:val="21"/>
                <w:highlight w:val="none"/>
                <w:lang w:eastAsia="zh-CN"/>
              </w:rPr>
              <w:t>比选申请人</w:t>
            </w:r>
            <w:r>
              <w:rPr>
                <w:rFonts w:hint="eastAsia" w:ascii="宋体" w:hAnsi="宋体" w:eastAsia="Times New Roman" w:cs="Times New Roman"/>
                <w:szCs w:val="21"/>
                <w:highlight w:val="none"/>
              </w:rPr>
              <w:t>提供的关于已标价工程量清单的承诺符合</w:t>
            </w:r>
            <w:r>
              <w:rPr>
                <w:rFonts w:hint="eastAsia" w:ascii="宋体" w:hAnsi="宋体" w:eastAsia="Times New Roman" w:cs="Times New Roman"/>
                <w:szCs w:val="21"/>
                <w:highlight w:val="none"/>
                <w:lang w:eastAsia="zh-CN"/>
              </w:rPr>
              <w:t>比选文件</w:t>
            </w:r>
            <w:r>
              <w:rPr>
                <w:rFonts w:hint="eastAsia" w:ascii="宋体" w:hAnsi="宋体" w:eastAsia="Times New Roman" w:cs="Times New Roman"/>
                <w:szCs w:val="21"/>
                <w:highlight w:val="none"/>
              </w:rPr>
              <w:t>的要求，</w:t>
            </w:r>
            <w:r>
              <w:rPr>
                <w:rFonts w:hint="default" w:ascii="宋体" w:hAnsi="宋体" w:eastAsia="Times New Roman" w:cs="Times New Roman"/>
                <w:szCs w:val="21"/>
                <w:highlight w:val="none"/>
              </w:rPr>
              <w:t>否则</w:t>
            </w:r>
            <w:r>
              <w:rPr>
                <w:rFonts w:hint="eastAsia" w:ascii="宋体" w:hAnsi="宋体" w:eastAsia="Times New Roman" w:cs="Times New Roman"/>
                <w:szCs w:val="21"/>
                <w:highlight w:val="none"/>
              </w:rPr>
              <w:t>由评标委员会</w:t>
            </w:r>
            <w:r>
              <w:rPr>
                <w:rFonts w:hint="default" w:ascii="宋体" w:hAnsi="宋体" w:eastAsia="Times New Roman" w:cs="Times New Roman"/>
                <w:szCs w:val="21"/>
                <w:highlight w:val="none"/>
              </w:rPr>
              <w:t>作否决投标处理。</w:t>
            </w:r>
          </w:p>
        </w:tc>
      </w:tr>
      <w:tr w14:paraId="71DA5AD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0E933A59">
            <w:pPr>
              <w:keepNext w:val="0"/>
              <w:keepLines w:val="0"/>
              <w:suppressLineNumbers w:val="0"/>
              <w:spacing w:before="0" w:beforeAutospacing="0" w:after="0" w:afterAutospacing="0" w:line="400" w:lineRule="exact"/>
              <w:ind w:left="0" w:right="0"/>
              <w:jc w:val="center"/>
              <w:rPr>
                <w:rFonts w:hint="default" w:ascii="宋体" w:hAnsi="宋体" w:eastAsia="Times New Roman" w:cs="Times New Roman"/>
                <w:szCs w:val="21"/>
                <w:highlight w:val="none"/>
              </w:rPr>
            </w:pPr>
          </w:p>
        </w:tc>
        <w:tc>
          <w:tcPr>
            <w:tcW w:w="1899" w:type="dxa"/>
            <w:vMerge w:val="continue"/>
            <w:noWrap w:val="0"/>
            <w:vAlign w:val="center"/>
          </w:tcPr>
          <w:p w14:paraId="4AD59E29">
            <w:pPr>
              <w:keepNext w:val="0"/>
              <w:keepLines w:val="0"/>
              <w:suppressLineNumbers w:val="0"/>
              <w:spacing w:before="0" w:beforeAutospacing="0" w:after="0" w:afterAutospacing="0" w:line="400" w:lineRule="exact"/>
              <w:ind w:left="0" w:right="0"/>
              <w:jc w:val="center"/>
              <w:rPr>
                <w:rFonts w:hint="default" w:ascii="宋体" w:hAnsi="宋体" w:eastAsia="Times New Roman" w:cs="Times New Roman"/>
                <w:szCs w:val="21"/>
                <w:highlight w:val="none"/>
              </w:rPr>
            </w:pPr>
          </w:p>
        </w:tc>
        <w:tc>
          <w:tcPr>
            <w:tcW w:w="6333" w:type="dxa"/>
            <w:noWrap w:val="0"/>
            <w:vAlign w:val="center"/>
          </w:tcPr>
          <w:p w14:paraId="50D4EBFB">
            <w:pPr>
              <w:keepNext w:val="0"/>
              <w:keepLines w:val="0"/>
              <w:suppressLineNumbers w:val="0"/>
              <w:spacing w:before="0" w:beforeAutospacing="0" w:after="0" w:afterAutospacing="0" w:line="400" w:lineRule="exact"/>
              <w:ind w:left="0" w:right="0" w:firstLine="420" w:firstLineChars="200"/>
              <w:rPr>
                <w:rFonts w:hint="default" w:ascii="宋体" w:hAnsi="宋体" w:eastAsia="Times New Roman" w:cs="Times New Roman"/>
                <w:szCs w:val="21"/>
                <w:highlight w:val="none"/>
              </w:rPr>
            </w:pPr>
            <w:r>
              <w:rPr>
                <w:rFonts w:hint="eastAsia" w:ascii="宋体" w:hAnsi="宋体" w:eastAsia="Times New Roman" w:cs="Times New Roman"/>
                <w:szCs w:val="21"/>
                <w:highlight w:val="none"/>
              </w:rPr>
              <w:t>A-2</w:t>
            </w:r>
            <w:r>
              <w:rPr>
                <w:rFonts w:hint="eastAsia" w:ascii="宋体" w:hAnsi="宋体" w:eastAsia="Times New Roman" w:cs="Times New Roman"/>
                <w:szCs w:val="21"/>
                <w:highlight w:val="none"/>
                <w:lang w:val="en-US" w:eastAsia="zh-CN"/>
              </w:rPr>
              <w:t>2</w:t>
            </w:r>
            <w:r>
              <w:rPr>
                <w:rFonts w:hint="eastAsia" w:ascii="宋体" w:hAnsi="宋体" w:eastAsia="Times New Roman" w:cs="Times New Roman"/>
                <w:szCs w:val="21"/>
                <w:highlight w:val="none"/>
                <w:lang w:eastAsia="zh-CN"/>
              </w:rPr>
              <w:t>比选申请</w:t>
            </w:r>
            <w:r>
              <w:rPr>
                <w:rFonts w:hint="eastAsia" w:ascii="宋体" w:hAnsi="宋体" w:eastAsia="Times New Roman" w:cs="Times New Roman"/>
                <w:szCs w:val="21"/>
                <w:highlight w:val="none"/>
              </w:rPr>
              <w:t>报价有算术错误的，按照第三章“评标办法”第3.2.3项规定执行，否则由评标委员会作否决投标处理。</w:t>
            </w:r>
          </w:p>
        </w:tc>
      </w:tr>
      <w:tr w14:paraId="47FA021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jc w:val="center"/>
        </w:trPr>
        <w:tc>
          <w:tcPr>
            <w:tcW w:w="1237" w:type="dxa"/>
            <w:vMerge w:val="continue"/>
            <w:noWrap w:val="0"/>
            <w:vAlign w:val="center"/>
          </w:tcPr>
          <w:p w14:paraId="077BD9EB">
            <w:pPr>
              <w:keepNext w:val="0"/>
              <w:keepLines w:val="0"/>
              <w:suppressLineNumbers w:val="0"/>
              <w:spacing w:before="0" w:beforeAutospacing="0" w:after="0" w:afterAutospacing="0" w:line="400" w:lineRule="exact"/>
              <w:ind w:left="0" w:right="0"/>
              <w:jc w:val="center"/>
              <w:rPr>
                <w:rFonts w:hint="default" w:ascii="宋体" w:hAnsi="宋体" w:eastAsia="Times New Roman" w:cs="Times New Roman"/>
                <w:szCs w:val="21"/>
                <w:highlight w:val="none"/>
              </w:rPr>
            </w:pPr>
          </w:p>
        </w:tc>
        <w:tc>
          <w:tcPr>
            <w:tcW w:w="1899" w:type="dxa"/>
            <w:vMerge w:val="continue"/>
            <w:noWrap w:val="0"/>
            <w:vAlign w:val="center"/>
          </w:tcPr>
          <w:p w14:paraId="25870678">
            <w:pPr>
              <w:keepNext w:val="0"/>
              <w:keepLines w:val="0"/>
              <w:suppressLineNumbers w:val="0"/>
              <w:spacing w:before="0" w:beforeAutospacing="0" w:after="0" w:afterAutospacing="0" w:line="400" w:lineRule="exact"/>
              <w:ind w:left="0" w:right="0"/>
              <w:jc w:val="center"/>
              <w:rPr>
                <w:rFonts w:hint="default" w:ascii="宋体" w:hAnsi="宋体" w:eastAsia="Times New Roman" w:cs="Times New Roman"/>
                <w:szCs w:val="21"/>
                <w:highlight w:val="none"/>
              </w:rPr>
            </w:pPr>
          </w:p>
        </w:tc>
        <w:tc>
          <w:tcPr>
            <w:tcW w:w="6333" w:type="dxa"/>
            <w:noWrap w:val="0"/>
            <w:vAlign w:val="center"/>
          </w:tcPr>
          <w:p w14:paraId="04F77C98">
            <w:pPr>
              <w:keepNext w:val="0"/>
              <w:keepLines w:val="0"/>
              <w:suppressLineNumbers w:val="0"/>
              <w:spacing w:before="0" w:beforeAutospacing="0" w:after="0" w:afterAutospacing="0" w:line="400" w:lineRule="exact"/>
              <w:ind w:left="0" w:right="0" w:firstLine="420" w:firstLineChars="200"/>
              <w:rPr>
                <w:rFonts w:hint="default" w:ascii="宋体" w:hAnsi="宋体" w:eastAsia="Times New Roman" w:cs="Times New Roman"/>
                <w:szCs w:val="21"/>
                <w:highlight w:val="none"/>
              </w:rPr>
            </w:pPr>
            <w:r>
              <w:rPr>
                <w:rFonts w:hint="eastAsia" w:ascii="宋体" w:hAnsi="宋体" w:eastAsia="Times New Roman" w:cs="Times New Roman"/>
                <w:szCs w:val="21"/>
                <w:highlight w:val="none"/>
              </w:rPr>
              <w:t>A-</w:t>
            </w:r>
            <w:r>
              <w:rPr>
                <w:rFonts w:hint="eastAsia" w:ascii="宋体" w:hAnsi="宋体" w:eastAsia="Times New Roman" w:cs="Times New Roman"/>
                <w:szCs w:val="21"/>
                <w:highlight w:val="none"/>
                <w:lang w:val="en-US" w:eastAsia="zh-CN"/>
              </w:rPr>
              <w:t>23</w:t>
            </w:r>
            <w:r>
              <w:rPr>
                <w:rFonts w:hint="eastAsia" w:ascii="宋体" w:hAnsi="宋体" w:eastAsia="Times New Roman" w:cs="Times New Roman"/>
                <w:szCs w:val="21"/>
                <w:highlight w:val="none"/>
                <w:lang w:eastAsia="zh-CN"/>
              </w:rPr>
              <w:t>比选申请人</w:t>
            </w:r>
            <w:r>
              <w:rPr>
                <w:rFonts w:hint="eastAsia" w:ascii="宋体" w:hAnsi="宋体" w:eastAsia="Times New Roman" w:cs="Times New Roman"/>
                <w:szCs w:val="21"/>
                <w:highlight w:val="none"/>
              </w:rPr>
              <w:t>有以下情形之一的，其</w:t>
            </w:r>
            <w:r>
              <w:rPr>
                <w:rFonts w:hint="eastAsia" w:ascii="宋体" w:hAnsi="宋体" w:eastAsia="Times New Roman" w:cs="Times New Roman"/>
                <w:szCs w:val="21"/>
                <w:highlight w:val="none"/>
                <w:lang w:eastAsia="zh-CN"/>
              </w:rPr>
              <w:t>比选申请文件</w:t>
            </w:r>
            <w:r>
              <w:rPr>
                <w:rFonts w:hint="eastAsia" w:ascii="宋体" w:hAnsi="宋体" w:eastAsia="Times New Roman" w:cs="Times New Roman"/>
                <w:szCs w:val="21"/>
                <w:highlight w:val="none"/>
              </w:rPr>
              <w:t>由评标委员会</w:t>
            </w:r>
            <w:r>
              <w:rPr>
                <w:rFonts w:hint="default" w:ascii="宋体" w:hAnsi="宋体" w:eastAsia="Times New Roman" w:cs="Times New Roman"/>
                <w:szCs w:val="21"/>
                <w:highlight w:val="none"/>
              </w:rPr>
              <w:t>作否决投标处理</w:t>
            </w:r>
            <w:r>
              <w:rPr>
                <w:rFonts w:hint="eastAsia" w:ascii="宋体" w:hAnsi="宋体" w:eastAsia="Times New Roman" w:cs="Times New Roman"/>
                <w:szCs w:val="21"/>
                <w:highlight w:val="none"/>
              </w:rPr>
              <w:t>：</w:t>
            </w:r>
          </w:p>
          <w:p w14:paraId="48F8F076">
            <w:pPr>
              <w:keepNext w:val="0"/>
              <w:keepLines w:val="0"/>
              <w:suppressLineNumbers w:val="0"/>
              <w:spacing w:before="0" w:beforeAutospacing="0" w:after="0" w:afterAutospacing="0" w:line="400" w:lineRule="exact"/>
              <w:ind w:left="0" w:right="0" w:firstLine="420" w:firstLineChars="200"/>
              <w:rPr>
                <w:rFonts w:hint="default" w:ascii="宋体" w:hAnsi="宋体" w:eastAsia="Times New Roman" w:cs="Times New Roman"/>
                <w:szCs w:val="21"/>
                <w:highlight w:val="none"/>
              </w:rPr>
            </w:pPr>
            <w:r>
              <w:rPr>
                <w:rFonts w:hint="eastAsia" w:ascii="宋体" w:hAnsi="宋体" w:eastAsia="Times New Roman" w:cs="Times New Roman"/>
                <w:szCs w:val="21"/>
                <w:highlight w:val="none"/>
              </w:rPr>
              <w:t>1.第二章“</w:t>
            </w:r>
            <w:r>
              <w:rPr>
                <w:rFonts w:hint="eastAsia" w:ascii="宋体" w:hAnsi="宋体" w:eastAsia="Times New Roman" w:cs="Times New Roman"/>
                <w:szCs w:val="21"/>
                <w:highlight w:val="none"/>
                <w:lang w:eastAsia="zh-CN"/>
              </w:rPr>
              <w:t>比选申请人</w:t>
            </w:r>
            <w:r>
              <w:rPr>
                <w:rFonts w:hint="eastAsia" w:ascii="宋体" w:hAnsi="宋体" w:eastAsia="Times New Roman" w:cs="Times New Roman"/>
                <w:szCs w:val="21"/>
                <w:highlight w:val="none"/>
              </w:rPr>
              <w:t>须知”第1.4.3项规定的任何一种情形的；</w:t>
            </w:r>
          </w:p>
          <w:p w14:paraId="3B8DF419">
            <w:pPr>
              <w:keepNext w:val="0"/>
              <w:keepLines w:val="0"/>
              <w:suppressLineNumbers w:val="0"/>
              <w:spacing w:before="0" w:beforeAutospacing="0" w:after="0" w:afterAutospacing="0" w:line="400" w:lineRule="exact"/>
              <w:ind w:left="0" w:right="0" w:firstLine="420" w:firstLineChars="200"/>
              <w:rPr>
                <w:rFonts w:hint="default" w:ascii="宋体" w:hAnsi="宋体" w:eastAsia="Times New Roman" w:cs="Times New Roman"/>
                <w:szCs w:val="21"/>
                <w:highlight w:val="none"/>
              </w:rPr>
            </w:pPr>
            <w:r>
              <w:rPr>
                <w:rFonts w:hint="eastAsia" w:ascii="宋体" w:hAnsi="宋体" w:eastAsia="Times New Roman" w:cs="Times New Roman"/>
                <w:szCs w:val="21"/>
                <w:highlight w:val="none"/>
              </w:rPr>
              <w:t>2.本次</w:t>
            </w:r>
            <w:r>
              <w:rPr>
                <w:rFonts w:hint="eastAsia" w:ascii="宋体" w:hAnsi="宋体" w:eastAsia="Times New Roman" w:cs="Times New Roman"/>
                <w:szCs w:val="21"/>
                <w:highlight w:val="none"/>
                <w:lang w:eastAsia="zh-CN"/>
              </w:rPr>
              <w:t>比选申请</w:t>
            </w:r>
            <w:r>
              <w:rPr>
                <w:rFonts w:hint="eastAsia" w:ascii="宋体" w:hAnsi="宋体" w:eastAsia="Times New Roman" w:cs="Times New Roman"/>
                <w:szCs w:val="21"/>
                <w:highlight w:val="none"/>
              </w:rPr>
              <w:t>有串通投标、弄虚作假等违反招投标相关法律、法规的行为的；</w:t>
            </w:r>
          </w:p>
          <w:p w14:paraId="11C9B210">
            <w:pPr>
              <w:keepNext w:val="0"/>
              <w:keepLines w:val="0"/>
              <w:suppressLineNumbers w:val="0"/>
              <w:spacing w:before="0" w:beforeAutospacing="0" w:after="0" w:afterAutospacing="0" w:line="400" w:lineRule="exact"/>
              <w:ind w:left="0" w:right="0" w:firstLine="420" w:firstLineChars="200"/>
              <w:rPr>
                <w:rFonts w:hint="default" w:ascii="宋体" w:hAnsi="宋体" w:eastAsia="Times New Roman" w:cs="Times New Roman"/>
                <w:szCs w:val="21"/>
                <w:highlight w:val="none"/>
              </w:rPr>
            </w:pPr>
            <w:r>
              <w:rPr>
                <w:rFonts w:hint="eastAsia" w:ascii="宋体" w:hAnsi="宋体" w:eastAsia="Times New Roman" w:cs="Times New Roman"/>
                <w:szCs w:val="21"/>
                <w:highlight w:val="none"/>
              </w:rPr>
              <w:t>3.拒绝按评标委员会要求澄清、说明或补正的。</w:t>
            </w:r>
          </w:p>
        </w:tc>
      </w:tr>
      <w:tr w14:paraId="6ABB7BA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noWrap w:val="0"/>
            <w:vAlign w:val="center"/>
          </w:tcPr>
          <w:p w14:paraId="597D3CA9">
            <w:pPr>
              <w:keepNext w:val="0"/>
              <w:keepLines w:val="0"/>
              <w:suppressLineNumbers w:val="0"/>
              <w:spacing w:before="0" w:beforeAutospacing="0" w:after="0" w:afterAutospacing="0" w:line="400" w:lineRule="exact"/>
              <w:ind w:left="0" w:right="0"/>
              <w:jc w:val="center"/>
              <w:rPr>
                <w:rFonts w:hint="default" w:ascii="宋体" w:hAnsi="宋体" w:eastAsia="Times New Roman" w:cs="Times New Roman"/>
                <w:szCs w:val="21"/>
                <w:highlight w:val="none"/>
              </w:rPr>
            </w:pPr>
            <w:r>
              <w:rPr>
                <w:rFonts w:hint="default" w:ascii="宋体" w:hAnsi="宋体" w:eastAsia="Times New Roman" w:cs="Times New Roman"/>
                <w:szCs w:val="21"/>
                <w:highlight w:val="none"/>
              </w:rPr>
              <w:t>其他</w:t>
            </w:r>
          </w:p>
        </w:tc>
        <w:tc>
          <w:tcPr>
            <w:tcW w:w="1899" w:type="dxa"/>
            <w:noWrap w:val="0"/>
            <w:vAlign w:val="center"/>
          </w:tcPr>
          <w:p w14:paraId="168F7968">
            <w:pPr>
              <w:keepNext w:val="0"/>
              <w:keepLines w:val="0"/>
              <w:suppressLineNumbers w:val="0"/>
              <w:spacing w:before="0" w:beforeAutospacing="0" w:after="0" w:afterAutospacing="0" w:line="400" w:lineRule="exact"/>
              <w:ind w:left="0" w:right="0"/>
              <w:jc w:val="center"/>
              <w:rPr>
                <w:rFonts w:hint="default" w:ascii="宋体" w:hAnsi="宋体" w:eastAsia="Times New Roman" w:cs="Times New Roman"/>
                <w:szCs w:val="21"/>
                <w:highlight w:val="none"/>
              </w:rPr>
            </w:pPr>
          </w:p>
        </w:tc>
        <w:tc>
          <w:tcPr>
            <w:tcW w:w="6333" w:type="dxa"/>
            <w:noWrap w:val="0"/>
            <w:vAlign w:val="top"/>
          </w:tcPr>
          <w:p w14:paraId="2D170F84">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Times New Roman"/>
                <w:i/>
                <w:szCs w:val="21"/>
                <w:highlight w:val="none"/>
                <w:lang w:eastAsia="zh-CN"/>
              </w:rPr>
            </w:pPr>
            <w:r>
              <w:rPr>
                <w:rFonts w:hint="eastAsia" w:ascii="宋体" w:hAnsi="宋体" w:eastAsia="Times New Roman" w:cs="Times New Roman"/>
                <w:i/>
                <w:szCs w:val="21"/>
                <w:highlight w:val="none"/>
                <w:lang w:val="en-US" w:eastAsia="zh-CN"/>
              </w:rPr>
              <w:t>/</w:t>
            </w:r>
          </w:p>
        </w:tc>
      </w:tr>
    </w:tbl>
    <w:p w14:paraId="3CFB92F1">
      <w:pPr>
        <w:autoSpaceDE w:val="0"/>
        <w:autoSpaceDN w:val="0"/>
        <w:adjustRightInd w:val="0"/>
        <w:snapToGrid w:val="0"/>
        <w:spacing w:line="380" w:lineRule="exact"/>
        <w:jc w:val="left"/>
        <w:rPr>
          <w:rFonts w:hint="eastAsia" w:ascii="宋体" w:hAnsi="宋体" w:cs="宋体"/>
          <w:color w:val="auto"/>
          <w:kern w:val="0"/>
          <w:szCs w:val="21"/>
          <w:highlight w:val="none"/>
        </w:rPr>
      </w:pPr>
    </w:p>
    <w:p w14:paraId="5C5497AF">
      <w:pPr>
        <w:spacing w:line="360" w:lineRule="auto"/>
        <w:jc w:val="center"/>
        <w:rPr>
          <w:rFonts w:hint="eastAsia" w:ascii="宋体" w:hAnsi="宋体" w:cs="宋体"/>
          <w:color w:val="auto"/>
          <w:highlight w:val="none"/>
        </w:rPr>
      </w:pPr>
      <w:bookmarkStart w:id="447" w:name="招标文件04章合同条款及格式"/>
      <w:bookmarkEnd w:id="447"/>
      <w:bookmarkStart w:id="448" w:name="招标文件03章02评标办法综合评估法02附件02"/>
      <w:bookmarkEnd w:id="448"/>
    </w:p>
    <w:p w14:paraId="4C8CA8E7">
      <w:pPr>
        <w:pStyle w:val="2"/>
        <w:spacing w:before="0" w:after="0" w:line="360" w:lineRule="auto"/>
        <w:jc w:val="center"/>
        <w:rPr>
          <w:rFonts w:hint="eastAsia" w:ascii="宋体" w:hAnsi="宋体" w:cs="宋体"/>
          <w:color w:val="auto"/>
          <w:kern w:val="0"/>
          <w:sz w:val="32"/>
          <w:highlight w:val="none"/>
        </w:rPr>
      </w:pPr>
      <w:bookmarkStart w:id="449" w:name="_Toc17852"/>
      <w:bookmarkStart w:id="450" w:name="_Toc10177"/>
      <w:bookmarkStart w:id="451" w:name="_Toc391220200"/>
      <w:r>
        <w:rPr>
          <w:rFonts w:hint="eastAsia" w:ascii="宋体" w:hAnsi="宋体" w:cs="宋体"/>
          <w:color w:val="auto"/>
          <w:kern w:val="0"/>
          <w:sz w:val="32"/>
          <w:highlight w:val="none"/>
        </w:rPr>
        <w:t>第四章　合同条款及格式</w:t>
      </w:r>
      <w:bookmarkEnd w:id="449"/>
      <w:bookmarkEnd w:id="450"/>
      <w:bookmarkEnd w:id="451"/>
    </w:p>
    <w:p w14:paraId="2CBBE61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right"/>
        <w:textAlignment w:val="auto"/>
        <w:rPr>
          <w:rFonts w:hint="eastAsia" w:ascii="宋体" w:hAnsi="宋体" w:eastAsia="宋体" w:cs="宋体"/>
          <w:sz w:val="21"/>
          <w:szCs w:val="21"/>
          <w:highlight w:val="none"/>
          <w:lang w:val="en-US" w:eastAsia="zh-CN"/>
        </w:rPr>
      </w:pPr>
      <w:r>
        <w:rPr>
          <w:rFonts w:hint="eastAsia" w:ascii="宋体" w:hAnsi="宋体" w:cs="宋体"/>
          <w:color w:val="auto"/>
          <w:highlight w:val="none"/>
        </w:rPr>
        <w:br w:type="page"/>
      </w:r>
      <w:r>
        <w:rPr>
          <w:rFonts w:hint="eastAsia" w:ascii="宋体" w:hAnsi="宋体" w:eastAsia="宋体" w:cs="宋体"/>
          <w:b/>
          <w:bCs/>
          <w:sz w:val="21"/>
          <w:szCs w:val="21"/>
          <w:highlight w:val="none"/>
          <w:lang w:val="en-US" w:eastAsia="zh-CN"/>
        </w:rPr>
        <w:t xml:space="preserve"> </w:t>
      </w:r>
      <w:r>
        <w:rPr>
          <w:rFonts w:hint="eastAsia" w:ascii="宋体" w:hAnsi="宋体" w:eastAsia="宋体" w:cs="宋体"/>
          <w:sz w:val="21"/>
          <w:szCs w:val="21"/>
          <w:highlight w:val="none"/>
          <w:lang w:val="en-US" w:eastAsia="zh-CN"/>
        </w:rPr>
        <w:t>（合同编号：                       ）</w:t>
      </w:r>
    </w:p>
    <w:p w14:paraId="621A5325">
      <w:pPr>
        <w:keepNext w:val="0"/>
        <w:keepLines w:val="0"/>
        <w:pageBreakBefore w:val="0"/>
        <w:widowControl w:val="0"/>
        <w:numPr>
          <w:ilvl w:val="0"/>
          <w:numId w:val="0"/>
        </w:numPr>
        <w:kinsoku/>
        <w:wordWrap/>
        <w:overflowPunct/>
        <w:topLinePunct w:val="0"/>
        <w:autoSpaceDE/>
        <w:autoSpaceDN/>
        <w:bidi w:val="0"/>
        <w:adjustRightInd w:val="0"/>
        <w:snapToGrid/>
        <w:spacing w:line="240" w:lineRule="atLeast"/>
        <w:ind w:leftChars="0"/>
        <w:jc w:val="left"/>
        <w:textAlignment w:val="auto"/>
        <w:rPr>
          <w:rFonts w:hint="default" w:ascii="宋体" w:hAnsi="宋体" w:cs="宋体"/>
          <w:b/>
          <w:bCs/>
          <w:sz w:val="28"/>
          <w:szCs w:val="28"/>
          <w:highlight w:val="none"/>
          <w:u w:val="none"/>
          <w:lang w:val="en-US" w:eastAsia="zh-CN"/>
        </w:rPr>
      </w:pPr>
      <w:r>
        <w:rPr>
          <w:rFonts w:hint="eastAsia" w:ascii="宋体" w:hAnsi="宋体" w:cs="宋体"/>
          <w:b/>
          <w:bCs/>
          <w:sz w:val="28"/>
          <w:szCs w:val="28"/>
          <w:highlight w:val="none"/>
          <w:u w:val="none"/>
          <w:lang w:val="en-US" w:eastAsia="zh-CN"/>
        </w:rPr>
        <w:t>1标段</w:t>
      </w:r>
    </w:p>
    <w:p w14:paraId="5D0EAC4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center"/>
        <w:textAlignment w:val="auto"/>
        <w:rPr>
          <w:rFonts w:hint="eastAsia" w:ascii="宋体" w:hAnsi="宋体" w:eastAsia="宋体" w:cs="宋体"/>
          <w:sz w:val="21"/>
          <w:szCs w:val="21"/>
          <w:highlight w:val="none"/>
          <w:lang w:val="en-US" w:eastAsia="zh-CN"/>
        </w:rPr>
      </w:pPr>
    </w:p>
    <w:p w14:paraId="07954EC4">
      <w:pPr>
        <w:pStyle w:val="71"/>
        <w:jc w:val="center"/>
        <w:rPr>
          <w:rFonts w:hint="eastAsia" w:ascii="宋体" w:hAnsi="宋体" w:eastAsia="宋体" w:cs="宋体"/>
          <w:b w:val="0"/>
          <w:bCs w:val="0"/>
          <w:sz w:val="21"/>
          <w:szCs w:val="21"/>
          <w:highlight w:val="none"/>
          <w:lang w:val="en-US" w:eastAsia="zh-CN"/>
        </w:rPr>
      </w:pPr>
    </w:p>
    <w:p w14:paraId="7B5006B1">
      <w:pPr>
        <w:rPr>
          <w:rFonts w:hint="eastAsia"/>
          <w:lang w:val="en-US" w:eastAsia="zh-CN"/>
        </w:rPr>
      </w:pPr>
    </w:p>
    <w:p w14:paraId="64750ED4">
      <w:pPr>
        <w:pStyle w:val="71"/>
        <w:jc w:val="center"/>
        <w:rPr>
          <w:rFonts w:hint="eastAsia" w:ascii="宋体" w:hAnsi="宋体" w:eastAsia="宋体" w:cs="宋体"/>
          <w:b w:val="0"/>
          <w:bCs w:val="0"/>
          <w:sz w:val="36"/>
          <w:szCs w:val="36"/>
          <w:highlight w:val="none"/>
          <w:lang w:val="en-US" w:eastAsia="zh-CN"/>
        </w:rPr>
      </w:pPr>
      <w:r>
        <w:rPr>
          <w:rFonts w:hint="eastAsia" w:ascii="宋体" w:hAnsi="宋体" w:eastAsia="宋体" w:cs="宋体"/>
          <w:b w:val="0"/>
          <w:bCs w:val="0"/>
          <w:sz w:val="36"/>
          <w:szCs w:val="36"/>
          <w:highlight w:val="none"/>
          <w:u w:val="single"/>
          <w:lang w:val="en-US" w:eastAsia="zh-CN"/>
        </w:rPr>
        <w:t xml:space="preserve">         设备采购安装</w:t>
      </w:r>
      <w:r>
        <w:rPr>
          <w:rFonts w:hint="eastAsia" w:ascii="宋体" w:hAnsi="宋体" w:eastAsia="宋体" w:cs="宋体"/>
          <w:b w:val="0"/>
          <w:bCs w:val="0"/>
          <w:sz w:val="36"/>
          <w:szCs w:val="36"/>
          <w:highlight w:val="none"/>
          <w:lang w:val="en-US" w:eastAsia="zh-CN"/>
        </w:rPr>
        <w:t>合同</w:t>
      </w:r>
    </w:p>
    <w:p w14:paraId="4A5E05AD">
      <w:pPr>
        <w:pStyle w:val="71"/>
        <w:rPr>
          <w:rFonts w:hint="eastAsia" w:ascii="宋体" w:hAnsi="宋体" w:eastAsia="宋体" w:cs="宋体"/>
          <w:sz w:val="21"/>
          <w:szCs w:val="21"/>
          <w:highlight w:val="none"/>
          <w:lang w:val="en-US" w:eastAsia="zh-CN"/>
        </w:rPr>
      </w:pPr>
    </w:p>
    <w:p w14:paraId="730D8B82">
      <w:pPr>
        <w:rPr>
          <w:rFonts w:hint="eastAsia" w:ascii="宋体" w:hAnsi="宋体" w:eastAsia="宋体" w:cs="宋体"/>
          <w:sz w:val="21"/>
          <w:szCs w:val="21"/>
          <w:highlight w:val="none"/>
          <w:lang w:val="en-US" w:eastAsia="zh-CN"/>
        </w:rPr>
      </w:pPr>
    </w:p>
    <w:p w14:paraId="0D4139B6">
      <w:pPr>
        <w:pStyle w:val="4"/>
        <w:numPr>
          <w:ilvl w:val="2"/>
          <w:numId w:val="0"/>
        </w:numPr>
        <w:tabs>
          <w:tab w:val="clear" w:pos="709"/>
        </w:tabs>
        <w:ind w:leftChars="0"/>
        <w:rPr>
          <w:rFonts w:hint="eastAsia"/>
          <w:lang w:val="en-US" w:eastAsia="zh-CN"/>
        </w:rPr>
      </w:pPr>
    </w:p>
    <w:p w14:paraId="3E534445">
      <w:pPr>
        <w:rPr>
          <w:rFonts w:hint="eastAsia"/>
          <w:lang w:val="en-US" w:eastAsia="zh-CN"/>
        </w:rPr>
      </w:pPr>
    </w:p>
    <w:p w14:paraId="60B76426">
      <w:pPr>
        <w:pStyle w:val="4"/>
        <w:numPr>
          <w:ilvl w:val="2"/>
          <w:numId w:val="0"/>
        </w:numPr>
        <w:tabs>
          <w:tab w:val="clear" w:pos="709"/>
        </w:tabs>
        <w:ind w:leftChars="0"/>
        <w:rPr>
          <w:rFonts w:hint="eastAsia"/>
          <w:lang w:val="en-US" w:eastAsia="zh-CN"/>
        </w:rPr>
      </w:pPr>
    </w:p>
    <w:p w14:paraId="000A4FEE">
      <w:pPr>
        <w:pStyle w:val="71"/>
        <w:rPr>
          <w:rFonts w:hint="eastAsia" w:ascii="宋体" w:hAnsi="宋体" w:eastAsia="宋体" w:cs="宋体"/>
          <w:sz w:val="21"/>
          <w:szCs w:val="21"/>
          <w:highlight w:val="none"/>
          <w:lang w:val="en-US" w:eastAsia="zh-CN"/>
        </w:rPr>
      </w:pPr>
    </w:p>
    <w:p w14:paraId="76A5141C">
      <w:pPr>
        <w:rPr>
          <w:rFonts w:hint="eastAsia" w:ascii="宋体" w:hAnsi="宋体" w:eastAsia="宋体" w:cs="宋体"/>
          <w:sz w:val="21"/>
          <w:szCs w:val="21"/>
          <w:highlight w:val="none"/>
          <w:lang w:val="en-US" w:eastAsia="zh-CN"/>
        </w:rPr>
      </w:pPr>
    </w:p>
    <w:p w14:paraId="46EDE45A">
      <w:pPr>
        <w:rPr>
          <w:rFonts w:hint="eastAsia" w:ascii="宋体" w:hAnsi="宋体" w:eastAsia="宋体" w:cs="宋体"/>
          <w:sz w:val="21"/>
          <w:szCs w:val="21"/>
          <w:highlight w:val="none"/>
          <w:lang w:val="en-US" w:eastAsia="zh-CN"/>
        </w:rPr>
      </w:pPr>
    </w:p>
    <w:p w14:paraId="0462353D">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sz w:val="21"/>
          <w:szCs w:val="21"/>
          <w:highlight w:val="none"/>
          <w:u w:val="single"/>
          <w:lang w:val="en-US" w:eastAsia="zh-CN"/>
        </w:rPr>
      </w:pPr>
      <w:r>
        <w:rPr>
          <w:rFonts w:hint="eastAsia" w:ascii="宋体" w:hAnsi="宋体" w:eastAsia="宋体" w:cs="宋体"/>
          <w:sz w:val="21"/>
          <w:szCs w:val="21"/>
          <w:highlight w:val="none"/>
          <w:lang w:eastAsia="zh-CN"/>
        </w:rPr>
        <w:t>甲</w:t>
      </w:r>
      <w:r>
        <w:rPr>
          <w:rFonts w:hint="eastAsia" w:ascii="宋体" w:hAnsi="宋体" w:eastAsia="宋体" w:cs="宋体"/>
          <w:sz w:val="21"/>
          <w:szCs w:val="21"/>
          <w:highlight w:val="none"/>
        </w:rPr>
        <w:t>方（</w:t>
      </w:r>
      <w:r>
        <w:rPr>
          <w:rFonts w:hint="eastAsia" w:ascii="宋体" w:hAnsi="宋体" w:eastAsia="宋体" w:cs="宋体"/>
          <w:sz w:val="21"/>
          <w:szCs w:val="21"/>
          <w:highlight w:val="none"/>
          <w:lang w:eastAsia="zh-CN"/>
        </w:rPr>
        <w:t>发</w:t>
      </w:r>
      <w:r>
        <w:rPr>
          <w:rFonts w:hint="eastAsia" w:ascii="宋体" w:hAnsi="宋体" w:eastAsia="宋体" w:cs="宋体"/>
          <w:sz w:val="21"/>
          <w:szCs w:val="21"/>
          <w:highlight w:val="none"/>
        </w:rPr>
        <w:t>包人）：</w:t>
      </w:r>
      <w:r>
        <w:rPr>
          <w:rFonts w:hint="eastAsia" w:ascii="宋体" w:hAnsi="宋体" w:eastAsia="宋体" w:cs="宋体"/>
          <w:b/>
          <w:bCs/>
          <w:sz w:val="21"/>
          <w:szCs w:val="21"/>
          <w:highlight w:val="none"/>
          <w:u w:val="single"/>
          <w:lang w:eastAsia="zh-CN"/>
        </w:rPr>
        <w:t>垫江县小厦建筑有限公司</w:t>
      </w:r>
      <w:r>
        <w:rPr>
          <w:rFonts w:hint="eastAsia" w:ascii="宋体" w:hAnsi="宋体" w:eastAsia="宋体" w:cs="宋体"/>
          <w:b/>
          <w:bCs/>
          <w:sz w:val="21"/>
          <w:szCs w:val="21"/>
          <w:highlight w:val="none"/>
          <w:u w:val="single"/>
          <w:lang w:val="en-US" w:eastAsia="zh-CN"/>
        </w:rPr>
        <w:t xml:space="preserve"> </w:t>
      </w:r>
    </w:p>
    <w:p w14:paraId="36D675D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sz w:val="21"/>
          <w:szCs w:val="21"/>
          <w:highlight w:val="none"/>
          <w:u w:val="single"/>
          <w:lang w:eastAsia="zh-CN"/>
        </w:rPr>
      </w:pPr>
    </w:p>
    <w:p w14:paraId="45E7243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val="0"/>
          <w:bCs w:val="0"/>
          <w:sz w:val="21"/>
          <w:szCs w:val="21"/>
          <w:highlight w:val="none"/>
          <w:u w:val="none"/>
          <w:lang w:eastAsia="zh-CN"/>
        </w:rPr>
      </w:pPr>
    </w:p>
    <w:p w14:paraId="6724FD7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b w:val="0"/>
          <w:bCs w:val="0"/>
          <w:sz w:val="21"/>
          <w:szCs w:val="21"/>
          <w:highlight w:val="none"/>
          <w:u w:val="none"/>
          <w:lang w:eastAsia="zh-CN"/>
        </w:rPr>
        <w:t>乙方（承包人）：</w:t>
      </w:r>
      <w:r>
        <w:rPr>
          <w:rFonts w:hint="eastAsia" w:ascii="宋体" w:hAnsi="宋体" w:eastAsia="宋体" w:cs="宋体"/>
          <w:b/>
          <w:bCs/>
          <w:sz w:val="21"/>
          <w:szCs w:val="21"/>
          <w:highlight w:val="none"/>
          <w:u w:val="single"/>
          <w:lang w:val="en-US" w:eastAsia="zh-CN"/>
        </w:rPr>
        <w:t xml:space="preserve">                     </w:t>
      </w:r>
    </w:p>
    <w:p w14:paraId="0E9CF76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sz w:val="21"/>
          <w:szCs w:val="21"/>
          <w:highlight w:val="none"/>
          <w:u w:val="single"/>
          <w:lang w:val="en-US" w:eastAsia="zh-CN"/>
        </w:rPr>
      </w:pPr>
    </w:p>
    <w:p w14:paraId="775524A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sz w:val="21"/>
          <w:szCs w:val="21"/>
          <w:highlight w:val="none"/>
          <w:u w:val="single"/>
          <w:lang w:val="en-US" w:eastAsia="zh-CN"/>
        </w:rPr>
      </w:pPr>
    </w:p>
    <w:p w14:paraId="399FC9B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sz w:val="21"/>
          <w:szCs w:val="21"/>
          <w:highlight w:val="none"/>
          <w:u w:val="single"/>
          <w:lang w:val="en-US" w:eastAsia="zh-CN"/>
        </w:rPr>
      </w:pPr>
    </w:p>
    <w:p w14:paraId="3A5CC55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sz w:val="21"/>
          <w:szCs w:val="21"/>
          <w:highlight w:val="none"/>
          <w:u w:val="single"/>
          <w:lang w:val="en-US" w:eastAsia="zh-CN"/>
        </w:rPr>
      </w:pPr>
    </w:p>
    <w:p w14:paraId="67B76B6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sz w:val="21"/>
          <w:szCs w:val="21"/>
          <w:highlight w:val="none"/>
          <w:lang w:eastAsia="zh-CN"/>
        </w:rPr>
        <w:sectPr>
          <w:footerReference r:id="rId6" w:type="default"/>
          <w:pgSz w:w="11906" w:h="16838"/>
          <w:pgMar w:top="1417" w:right="1701" w:bottom="1417" w:left="1701" w:header="851" w:footer="992" w:gutter="0"/>
          <w:pgNumType w:fmt="decimal" w:start="1"/>
          <w:cols w:space="720" w:num="1"/>
          <w:docGrid w:type="lines" w:linePitch="312" w:charSpace="0"/>
        </w:sectPr>
      </w:pPr>
      <w:r>
        <w:rPr>
          <w:rFonts w:hint="eastAsia" w:ascii="宋体" w:hAnsi="宋体" w:eastAsia="宋体" w:cs="宋体"/>
          <w:b/>
          <w:bCs/>
          <w:sz w:val="21"/>
          <w:szCs w:val="21"/>
          <w:highlight w:val="none"/>
          <w:u w:val="single"/>
          <w:lang w:val="en-US" w:eastAsia="zh-CN"/>
        </w:rPr>
        <w:t xml:space="preserve">2023年  月  日 </w:t>
      </w:r>
    </w:p>
    <w:p w14:paraId="5816A907">
      <w:pPr>
        <w:keepNext w:val="0"/>
        <w:keepLines w:val="0"/>
        <w:pageBreakBefore w:val="0"/>
        <w:widowControl w:val="0"/>
        <w:kinsoku/>
        <w:wordWrap/>
        <w:overflowPunct/>
        <w:topLinePunct w:val="0"/>
        <w:autoSpaceDE/>
        <w:autoSpaceDN/>
        <w:bidi w:val="0"/>
        <w:adjustRightInd w:val="0"/>
        <w:snapToGrid/>
        <w:spacing w:line="240" w:lineRule="atLeast"/>
        <w:ind w:left="0" w:left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u w:val="single"/>
          <w:lang w:val="en-US" w:eastAsia="zh-CN"/>
        </w:rPr>
        <w:t xml:space="preserve">              </w:t>
      </w:r>
      <w:r>
        <w:rPr>
          <w:rFonts w:hint="eastAsia" w:ascii="宋体" w:hAnsi="宋体" w:eastAsia="宋体" w:cs="宋体"/>
          <w:b/>
          <w:bCs/>
          <w:sz w:val="21"/>
          <w:szCs w:val="21"/>
          <w:highlight w:val="none"/>
          <w:lang w:val="en-US" w:eastAsia="zh-CN"/>
        </w:rPr>
        <w:t xml:space="preserve"> </w:t>
      </w:r>
      <w:r>
        <w:rPr>
          <w:rFonts w:hint="eastAsia" w:ascii="宋体" w:hAnsi="宋体" w:eastAsia="宋体" w:cs="宋体"/>
          <w:b/>
          <w:bCs/>
          <w:sz w:val="21"/>
          <w:szCs w:val="21"/>
          <w:highlight w:val="none"/>
        </w:rPr>
        <w:t>项目</w:t>
      </w:r>
    </w:p>
    <w:p w14:paraId="45255315">
      <w:pPr>
        <w:keepNext w:val="0"/>
        <w:keepLines w:val="0"/>
        <w:pageBreakBefore w:val="0"/>
        <w:widowControl w:val="0"/>
        <w:kinsoku/>
        <w:wordWrap/>
        <w:overflowPunct/>
        <w:topLinePunct w:val="0"/>
        <w:autoSpaceDE/>
        <w:autoSpaceDN/>
        <w:bidi w:val="0"/>
        <w:adjustRightInd w:val="0"/>
        <w:snapToGrid/>
        <w:spacing w:line="240" w:lineRule="atLeast"/>
        <w:ind w:left="0" w:leftChars="0"/>
        <w:jc w:val="center"/>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设备采购安装</w:t>
      </w:r>
      <w:r>
        <w:rPr>
          <w:rFonts w:hint="eastAsia" w:ascii="宋体" w:hAnsi="宋体" w:eastAsia="宋体" w:cs="宋体"/>
          <w:b/>
          <w:bCs/>
          <w:sz w:val="21"/>
          <w:szCs w:val="21"/>
          <w:highlight w:val="none"/>
        </w:rPr>
        <w:t>合同</w:t>
      </w:r>
    </w:p>
    <w:p w14:paraId="55C55662">
      <w:pPr>
        <w:keepNext w:val="0"/>
        <w:keepLines w:val="0"/>
        <w:pageBreakBefore w:val="0"/>
        <w:widowControl w:val="0"/>
        <w:kinsoku/>
        <w:wordWrap/>
        <w:overflowPunct/>
        <w:topLinePunct w:val="0"/>
        <w:autoSpaceDE/>
        <w:autoSpaceDN/>
        <w:bidi w:val="0"/>
        <w:adjustRightInd/>
        <w:snapToGrid/>
        <w:spacing w:line="380" w:lineRule="exact"/>
        <w:ind w:left="0" w:leftChars="0"/>
        <w:textAlignment w:val="auto"/>
        <w:rPr>
          <w:rFonts w:hint="eastAsia" w:ascii="宋体" w:hAnsi="宋体" w:eastAsia="宋体" w:cs="宋体"/>
          <w:b/>
          <w:bCs/>
          <w:sz w:val="21"/>
          <w:szCs w:val="21"/>
          <w:highlight w:val="none"/>
          <w:lang w:eastAsia="zh-CN"/>
        </w:rPr>
      </w:pPr>
    </w:p>
    <w:p w14:paraId="1B3200A9">
      <w:pPr>
        <w:keepNext w:val="0"/>
        <w:keepLines w:val="0"/>
        <w:pageBreakBefore w:val="0"/>
        <w:widowControl w:val="0"/>
        <w:kinsoku/>
        <w:wordWrap/>
        <w:overflowPunct/>
        <w:topLinePunct w:val="0"/>
        <w:autoSpaceDE/>
        <w:autoSpaceDN/>
        <w:bidi w:val="0"/>
        <w:adjustRightInd/>
        <w:snapToGrid/>
        <w:spacing w:line="380" w:lineRule="exact"/>
        <w:ind w:left="0" w:leftChars="0"/>
        <w:textAlignment w:val="auto"/>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eastAsia="zh-CN"/>
        </w:rPr>
        <w:t>甲</w:t>
      </w:r>
      <w:r>
        <w:rPr>
          <w:rFonts w:hint="eastAsia" w:ascii="宋体" w:hAnsi="宋体" w:eastAsia="宋体" w:cs="宋体"/>
          <w:b/>
          <w:bCs/>
          <w:sz w:val="21"/>
          <w:szCs w:val="21"/>
          <w:highlight w:val="none"/>
        </w:rPr>
        <w:t>方（</w:t>
      </w:r>
      <w:r>
        <w:rPr>
          <w:rFonts w:hint="eastAsia" w:ascii="宋体" w:hAnsi="宋体" w:eastAsia="宋体" w:cs="宋体"/>
          <w:b/>
          <w:bCs/>
          <w:sz w:val="21"/>
          <w:szCs w:val="21"/>
          <w:highlight w:val="none"/>
          <w:lang w:eastAsia="zh-CN"/>
        </w:rPr>
        <w:t>发</w:t>
      </w:r>
      <w:r>
        <w:rPr>
          <w:rFonts w:hint="eastAsia" w:ascii="宋体" w:hAnsi="宋体" w:eastAsia="宋体" w:cs="宋体"/>
          <w:b/>
          <w:bCs/>
          <w:sz w:val="21"/>
          <w:szCs w:val="21"/>
          <w:highlight w:val="none"/>
        </w:rPr>
        <w:t>包人）：</w:t>
      </w:r>
      <w:r>
        <w:rPr>
          <w:rFonts w:hint="eastAsia" w:ascii="宋体" w:hAnsi="宋体" w:eastAsia="宋体" w:cs="宋体"/>
          <w:b/>
          <w:bCs/>
          <w:sz w:val="21"/>
          <w:szCs w:val="21"/>
          <w:highlight w:val="none"/>
          <w:u w:val="single"/>
          <w:lang w:eastAsia="zh-CN"/>
        </w:rPr>
        <w:t>垫江县小厦建筑有限公司</w:t>
      </w:r>
      <w:r>
        <w:rPr>
          <w:rFonts w:hint="eastAsia" w:ascii="宋体" w:hAnsi="宋体" w:eastAsia="宋体" w:cs="宋体"/>
          <w:b/>
          <w:bCs/>
          <w:sz w:val="21"/>
          <w:szCs w:val="21"/>
          <w:highlight w:val="none"/>
          <w:u w:val="single"/>
          <w:lang w:val="en-US" w:eastAsia="zh-CN"/>
        </w:rPr>
        <w:t xml:space="preserve">  </w:t>
      </w:r>
    </w:p>
    <w:p w14:paraId="7EDD887C">
      <w:pPr>
        <w:keepNext w:val="0"/>
        <w:keepLines w:val="0"/>
        <w:pageBreakBefore w:val="0"/>
        <w:widowControl w:val="0"/>
        <w:kinsoku/>
        <w:wordWrap/>
        <w:overflowPunct/>
        <w:topLinePunct w:val="0"/>
        <w:autoSpaceDE/>
        <w:autoSpaceDN/>
        <w:bidi w:val="0"/>
        <w:adjustRightInd/>
        <w:snapToGrid/>
        <w:spacing w:line="380" w:lineRule="exact"/>
        <w:ind w:left="0" w:leftChars="0"/>
        <w:textAlignment w:val="auto"/>
        <w:rPr>
          <w:rFonts w:hint="eastAsia" w:ascii="宋体" w:hAnsi="宋体" w:eastAsia="宋体" w:cs="宋体"/>
          <w:b/>
          <w:bCs/>
          <w:sz w:val="21"/>
          <w:szCs w:val="21"/>
          <w:highlight w:val="none"/>
          <w:lang w:eastAsia="zh-CN"/>
        </w:rPr>
      </w:pPr>
    </w:p>
    <w:p w14:paraId="227FEC48">
      <w:pPr>
        <w:keepNext w:val="0"/>
        <w:keepLines w:val="0"/>
        <w:pageBreakBefore w:val="0"/>
        <w:widowControl w:val="0"/>
        <w:kinsoku/>
        <w:wordWrap/>
        <w:overflowPunct/>
        <w:topLinePunct w:val="0"/>
        <w:autoSpaceDE/>
        <w:autoSpaceDN/>
        <w:bidi w:val="0"/>
        <w:adjustRightInd/>
        <w:snapToGrid/>
        <w:spacing w:line="380" w:lineRule="exact"/>
        <w:ind w:left="0" w:leftChars="0"/>
        <w:textAlignment w:val="auto"/>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eastAsia="zh-CN"/>
        </w:rPr>
        <w:t>乙方（承包人）：</w:t>
      </w:r>
      <w:r>
        <w:rPr>
          <w:rFonts w:hint="eastAsia" w:ascii="宋体" w:hAnsi="宋体" w:eastAsia="宋体" w:cs="宋体"/>
          <w:b/>
          <w:bCs/>
          <w:sz w:val="21"/>
          <w:szCs w:val="21"/>
          <w:highlight w:val="none"/>
          <w:u w:val="single"/>
          <w:lang w:val="en-US" w:eastAsia="zh-CN"/>
        </w:rPr>
        <w:t xml:space="preserve">                       </w:t>
      </w:r>
    </w:p>
    <w:p w14:paraId="6FBA4CD8">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依照《中华人民共和国</w:t>
      </w:r>
      <w:r>
        <w:rPr>
          <w:rFonts w:hint="eastAsia" w:ascii="宋体" w:hAnsi="宋体" w:eastAsia="宋体" w:cs="宋体"/>
          <w:sz w:val="21"/>
          <w:szCs w:val="21"/>
          <w:highlight w:val="none"/>
          <w:lang w:val="en-US" w:eastAsia="zh-CN"/>
        </w:rPr>
        <w:t>民法典</w:t>
      </w:r>
      <w:r>
        <w:rPr>
          <w:rFonts w:hint="eastAsia" w:ascii="宋体" w:hAnsi="宋体" w:eastAsia="宋体" w:cs="宋体"/>
          <w:sz w:val="21"/>
          <w:szCs w:val="21"/>
          <w:highlight w:val="none"/>
        </w:rPr>
        <w:t>》、《中华人民共和国建筑法》及其它相关法律、行政法规，遵循平等、自愿、公平和诚实信用的原则，承包人和</w:t>
      </w:r>
      <w:r>
        <w:rPr>
          <w:rFonts w:hint="eastAsia" w:ascii="宋体" w:hAnsi="宋体" w:eastAsia="宋体" w:cs="宋体"/>
          <w:sz w:val="21"/>
          <w:szCs w:val="21"/>
          <w:highlight w:val="none"/>
          <w:lang w:eastAsia="zh-CN"/>
        </w:rPr>
        <w:t>发</w:t>
      </w:r>
      <w:r>
        <w:rPr>
          <w:rFonts w:hint="eastAsia" w:ascii="宋体" w:hAnsi="宋体" w:eastAsia="宋体" w:cs="宋体"/>
          <w:sz w:val="21"/>
          <w:szCs w:val="21"/>
          <w:highlight w:val="none"/>
        </w:rPr>
        <w:t>包人双方就</w:t>
      </w:r>
      <w:r>
        <w:rPr>
          <w:rFonts w:hint="eastAsia" w:ascii="宋体" w:hAnsi="宋体" w:eastAsia="宋体" w:cs="宋体"/>
          <w:sz w:val="21"/>
          <w:szCs w:val="21"/>
          <w:highlight w:val="none"/>
          <w:lang w:eastAsia="zh-CN"/>
        </w:rPr>
        <w:t>本项目</w:t>
      </w:r>
      <w:r>
        <w:rPr>
          <w:rFonts w:hint="eastAsia" w:ascii="宋体" w:hAnsi="宋体" w:eastAsia="宋体" w:cs="宋体"/>
          <w:sz w:val="21"/>
          <w:szCs w:val="21"/>
          <w:highlight w:val="none"/>
        </w:rPr>
        <w:t>施工事项经协商达成一致，订立本合同。</w:t>
      </w:r>
    </w:p>
    <w:p w14:paraId="5C3E5D50">
      <w:pPr>
        <w:keepNext w:val="0"/>
        <w:keepLines w:val="0"/>
        <w:pageBreakBefore w:val="0"/>
        <w:widowControl w:val="0"/>
        <w:kinsoku/>
        <w:wordWrap/>
        <w:overflowPunct/>
        <w:topLinePunct w:val="0"/>
        <w:autoSpaceDE/>
        <w:autoSpaceDN/>
        <w:bidi w:val="0"/>
        <w:adjustRightInd/>
        <w:snapToGrid/>
        <w:spacing w:line="380" w:lineRule="exact"/>
        <w:ind w:left="0" w:leftChars="0" w:firstLine="422" w:firstLineChars="200"/>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第一条</w:t>
      </w:r>
      <w:r>
        <w:rPr>
          <w:rFonts w:hint="eastAsia" w:ascii="宋体" w:hAnsi="宋体" w:eastAsia="宋体" w:cs="宋体"/>
          <w:b/>
          <w:bCs/>
          <w:sz w:val="21"/>
          <w:szCs w:val="21"/>
          <w:highlight w:val="none"/>
          <w:lang w:val="en-US" w:eastAsia="zh-CN"/>
        </w:rPr>
        <w:t xml:space="preserve"> </w:t>
      </w:r>
      <w:r>
        <w:rPr>
          <w:rFonts w:hint="eastAsia" w:ascii="宋体" w:hAnsi="宋体" w:eastAsia="宋体" w:cs="宋体"/>
          <w:b/>
          <w:bCs/>
          <w:sz w:val="21"/>
          <w:szCs w:val="21"/>
          <w:highlight w:val="none"/>
        </w:rPr>
        <w:t>工程概况</w:t>
      </w:r>
    </w:p>
    <w:p w14:paraId="53FF4879">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u w:val="single"/>
          <w:lang w:val="en-US"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工程名称：</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w:t>
      </w:r>
    </w:p>
    <w:p w14:paraId="1A68C3B0">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工程地点：</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eastAsia="zh-CN"/>
        </w:rPr>
        <w:t>；</w:t>
      </w:r>
    </w:p>
    <w:p w14:paraId="1032D786">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工程规模：</w:t>
      </w:r>
      <w:r>
        <w:rPr>
          <w:rFonts w:hint="eastAsia" w:ascii="宋体" w:hAnsi="宋体" w:eastAsia="宋体" w:cs="宋体"/>
          <w:sz w:val="21"/>
          <w:szCs w:val="21"/>
          <w:highlight w:val="none"/>
          <w:u w:val="single"/>
          <w:lang w:eastAsia="zh-CN"/>
        </w:rPr>
        <w:t>详见施工图、清单</w:t>
      </w:r>
      <w:r>
        <w:rPr>
          <w:rFonts w:hint="eastAsia" w:ascii="宋体" w:hAnsi="宋体" w:cs="宋体"/>
          <w:sz w:val="21"/>
          <w:szCs w:val="21"/>
          <w:highlight w:val="none"/>
          <w:u w:val="single"/>
          <w:lang w:eastAsia="zh-CN"/>
        </w:rPr>
        <w:t>及</w:t>
      </w:r>
      <w:r>
        <w:rPr>
          <w:rFonts w:hint="eastAsia" w:ascii="宋体" w:hAnsi="宋体" w:eastAsia="宋体" w:cs="宋体"/>
          <w:sz w:val="21"/>
          <w:szCs w:val="21"/>
          <w:highlight w:val="none"/>
          <w:u w:val="single"/>
          <w:lang w:eastAsia="zh-CN"/>
        </w:rPr>
        <w:t>《</w:t>
      </w:r>
      <w:r>
        <w:rPr>
          <w:rFonts w:hint="eastAsia" w:ascii="宋体" w:hAnsi="宋体" w:eastAsia="宋体" w:cs="宋体"/>
          <w:sz w:val="21"/>
          <w:szCs w:val="21"/>
          <w:highlight w:val="none"/>
          <w:u w:val="single"/>
          <w:lang w:val="en-US" w:eastAsia="zh-CN"/>
        </w:rPr>
        <w:t xml:space="preserve">         竞争性比选</w:t>
      </w:r>
      <w:r>
        <w:rPr>
          <w:rFonts w:hint="eastAsia" w:ascii="宋体" w:hAnsi="宋体" w:eastAsia="宋体" w:cs="宋体"/>
          <w:sz w:val="21"/>
          <w:szCs w:val="21"/>
          <w:highlight w:val="none"/>
          <w:u w:val="single"/>
          <w:lang w:eastAsia="zh-CN"/>
        </w:rPr>
        <w:t>公告》内容</w:t>
      </w:r>
      <w:r>
        <w:rPr>
          <w:rFonts w:hint="eastAsia" w:ascii="宋体" w:hAnsi="宋体" w:eastAsia="宋体" w:cs="宋体"/>
          <w:sz w:val="21"/>
          <w:szCs w:val="21"/>
          <w:highlight w:val="none"/>
          <w:lang w:eastAsia="zh-CN"/>
        </w:rPr>
        <w:t>；</w:t>
      </w:r>
    </w:p>
    <w:p w14:paraId="3D32AAB8">
      <w:pPr>
        <w:keepNext w:val="0"/>
        <w:keepLines w:val="0"/>
        <w:pageBreakBefore w:val="0"/>
        <w:widowControl w:val="0"/>
        <w:numPr>
          <w:ilvl w:val="0"/>
          <w:numId w:val="7"/>
        </w:numPr>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分包范围：</w:t>
      </w:r>
    </w:p>
    <w:p w14:paraId="1A0FD36D">
      <w:pPr>
        <w:keepNext w:val="0"/>
        <w:keepLines w:val="0"/>
        <w:pageBreakBefore w:val="0"/>
        <w:widowControl w:val="0"/>
        <w:numPr>
          <w:ilvl w:val="0"/>
          <w:numId w:val="8"/>
        </w:numPr>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eastAsia="zh-CN"/>
        </w:rPr>
        <w:t>；</w:t>
      </w:r>
    </w:p>
    <w:p w14:paraId="45149AFF">
      <w:pPr>
        <w:keepNext w:val="0"/>
        <w:keepLines w:val="0"/>
        <w:pageBreakBefore w:val="0"/>
        <w:widowControl w:val="0"/>
        <w:numPr>
          <w:ilvl w:val="0"/>
          <w:numId w:val="8"/>
        </w:numPr>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eastAsia="zh-CN"/>
        </w:rPr>
        <w:t>；</w:t>
      </w:r>
    </w:p>
    <w:p w14:paraId="081364E3">
      <w:pPr>
        <w:keepNext w:val="0"/>
        <w:keepLines w:val="0"/>
        <w:pageBreakBefore w:val="0"/>
        <w:widowControl w:val="0"/>
        <w:numPr>
          <w:ilvl w:val="0"/>
          <w:numId w:val="8"/>
        </w:numPr>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eastAsia="zh-CN"/>
        </w:rPr>
        <w:t>；</w:t>
      </w:r>
    </w:p>
    <w:p w14:paraId="66E3E651">
      <w:pPr>
        <w:keepNext w:val="0"/>
        <w:keepLines w:val="0"/>
        <w:pageBreakBefore w:val="0"/>
        <w:widowControl w:val="0"/>
        <w:numPr>
          <w:ilvl w:val="0"/>
          <w:numId w:val="8"/>
        </w:numPr>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eastAsia="zh-CN"/>
        </w:rPr>
        <w:t>。</w:t>
      </w:r>
    </w:p>
    <w:p w14:paraId="65D38FEB">
      <w:pPr>
        <w:keepNext w:val="0"/>
        <w:keepLines w:val="0"/>
        <w:pageBreakBefore w:val="0"/>
        <w:widowControl w:val="0"/>
        <w:kinsoku/>
        <w:wordWrap/>
        <w:overflowPunct/>
        <w:topLinePunct w:val="0"/>
        <w:autoSpaceDE/>
        <w:autoSpaceDN/>
        <w:bidi w:val="0"/>
        <w:adjustRightInd/>
        <w:snapToGrid/>
        <w:spacing w:line="380" w:lineRule="exact"/>
        <w:ind w:left="0" w:leftChars="0"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第</w:t>
      </w:r>
      <w:r>
        <w:rPr>
          <w:rFonts w:hint="eastAsia" w:ascii="宋体" w:hAnsi="宋体" w:eastAsia="宋体" w:cs="宋体"/>
          <w:b/>
          <w:bCs/>
          <w:sz w:val="21"/>
          <w:szCs w:val="21"/>
          <w:highlight w:val="none"/>
          <w:lang w:eastAsia="zh-CN"/>
        </w:rPr>
        <w:t>二</w:t>
      </w:r>
      <w:r>
        <w:rPr>
          <w:rFonts w:hint="eastAsia" w:ascii="宋体" w:hAnsi="宋体" w:eastAsia="宋体" w:cs="宋体"/>
          <w:b/>
          <w:bCs/>
          <w:sz w:val="21"/>
          <w:szCs w:val="21"/>
          <w:highlight w:val="none"/>
        </w:rPr>
        <w:t>条</w:t>
      </w:r>
      <w:r>
        <w:rPr>
          <w:rFonts w:hint="eastAsia" w:ascii="宋体" w:hAnsi="宋体" w:eastAsia="宋体" w:cs="宋体"/>
          <w:b/>
          <w:bCs/>
          <w:sz w:val="21"/>
          <w:szCs w:val="21"/>
          <w:highlight w:val="none"/>
          <w:lang w:val="en-US" w:eastAsia="zh-CN"/>
        </w:rPr>
        <w:t xml:space="preserve"> 承包方式、</w:t>
      </w:r>
      <w:r>
        <w:rPr>
          <w:rFonts w:hint="eastAsia" w:ascii="宋体" w:hAnsi="宋体" w:eastAsia="宋体" w:cs="宋体"/>
          <w:b/>
          <w:bCs/>
          <w:sz w:val="21"/>
          <w:szCs w:val="21"/>
          <w:highlight w:val="none"/>
        </w:rPr>
        <w:t>合同价款的确定、结算与支付</w:t>
      </w:r>
    </w:p>
    <w:p w14:paraId="71E77643">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1、承包方式：</w:t>
      </w:r>
      <w:r>
        <w:rPr>
          <w:rFonts w:hint="eastAsia" w:ascii="宋体" w:hAnsi="宋体" w:eastAsia="宋体" w:cs="宋体"/>
          <w:sz w:val="21"/>
          <w:szCs w:val="21"/>
          <w:highlight w:val="none"/>
          <w:u w:val="single"/>
          <w:lang w:val="en-US" w:eastAsia="zh-CN"/>
        </w:rPr>
        <w:t>包工包料</w:t>
      </w:r>
      <w:r>
        <w:rPr>
          <w:rFonts w:hint="eastAsia" w:ascii="宋体" w:hAnsi="宋体" w:eastAsia="宋体" w:cs="宋体"/>
          <w:sz w:val="21"/>
          <w:szCs w:val="21"/>
          <w:highlight w:val="none"/>
          <w:lang w:val="en-US" w:eastAsia="zh-CN"/>
        </w:rPr>
        <w:t>。</w:t>
      </w:r>
    </w:p>
    <w:p w14:paraId="02930BAE">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、合同</w:t>
      </w:r>
      <w:r>
        <w:rPr>
          <w:rFonts w:hint="eastAsia" w:ascii="宋体" w:hAnsi="宋体" w:eastAsia="宋体" w:cs="宋体"/>
          <w:sz w:val="21"/>
          <w:szCs w:val="21"/>
          <w:highlight w:val="none"/>
          <w:lang w:eastAsia="zh-CN"/>
        </w:rPr>
        <w:t>总价</w:t>
      </w:r>
      <w:r>
        <w:rPr>
          <w:rFonts w:hint="eastAsia" w:ascii="宋体" w:hAnsi="宋体" w:eastAsia="宋体" w:cs="宋体"/>
          <w:sz w:val="21"/>
          <w:szCs w:val="21"/>
          <w:highlight w:val="none"/>
        </w:rPr>
        <w:t>为</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元（大写</w:t>
      </w:r>
      <w:r>
        <w:rPr>
          <w:rFonts w:hint="eastAsia" w:ascii="宋体" w:hAnsi="宋体" w:eastAsia="宋体" w:cs="宋体"/>
          <w:sz w:val="21"/>
          <w:szCs w:val="21"/>
          <w:highlight w:val="none"/>
          <w:lang w:val="en-US" w:eastAsia="zh-CN"/>
        </w:rPr>
        <w:t>人民币</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lang w:eastAsia="zh-CN"/>
        </w:rPr>
        <w:t>元整</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此价作为拨付承包</w:t>
      </w:r>
      <w:r>
        <w:rPr>
          <w:rFonts w:hint="eastAsia" w:ascii="宋体" w:hAnsi="宋体" w:eastAsia="宋体" w:cs="宋体"/>
          <w:sz w:val="21"/>
          <w:szCs w:val="21"/>
          <w:highlight w:val="none"/>
          <w:u w:val="single"/>
          <w:lang w:eastAsia="zh-CN"/>
        </w:rPr>
        <w:t>进度款</w:t>
      </w:r>
      <w:r>
        <w:rPr>
          <w:rFonts w:hint="eastAsia" w:ascii="宋体" w:hAnsi="宋体" w:eastAsia="宋体" w:cs="宋体"/>
          <w:sz w:val="21"/>
          <w:szCs w:val="21"/>
          <w:highlight w:val="none"/>
          <w:u w:val="single"/>
        </w:rPr>
        <w:t>的依据</w:t>
      </w: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single"/>
          <w:lang w:val="en-US" w:eastAsia="zh-CN"/>
        </w:rPr>
        <w:t>该</w:t>
      </w:r>
      <w:r>
        <w:rPr>
          <w:rFonts w:hint="eastAsia" w:ascii="宋体" w:hAnsi="宋体" w:eastAsia="宋体" w:cs="宋体"/>
          <w:sz w:val="21"/>
          <w:szCs w:val="21"/>
          <w:highlight w:val="none"/>
          <w:u w:val="single"/>
          <w:lang w:eastAsia="zh-CN"/>
        </w:rPr>
        <w:t>价格包含</w:t>
      </w:r>
      <w:r>
        <w:rPr>
          <w:rFonts w:hint="eastAsia" w:ascii="宋体" w:hAnsi="宋体" w:eastAsia="宋体" w:cs="宋体"/>
          <w:sz w:val="21"/>
          <w:szCs w:val="21"/>
          <w:highlight w:val="none"/>
          <w:u w:val="single"/>
          <w:lang w:val="en-US" w:eastAsia="zh-CN"/>
        </w:rPr>
        <w:t>完成比选范围内工程项目的人工费、材料费、机械费、企业管理费、利润、风险费用、措施费（含安全文明施工费和竣工图及档案资料编制费）、除渣费、卫生费、转运费、</w:t>
      </w:r>
      <w:r>
        <w:rPr>
          <w:rFonts w:hint="eastAsia" w:ascii="宋体" w:hAnsi="宋体" w:cs="宋体"/>
          <w:sz w:val="21"/>
          <w:szCs w:val="21"/>
          <w:highlight w:val="none"/>
          <w:u w:val="single"/>
          <w:lang w:val="en-US" w:eastAsia="zh-CN"/>
        </w:rPr>
        <w:t>外机基础费、</w:t>
      </w:r>
      <w:r>
        <w:rPr>
          <w:rFonts w:hint="eastAsia" w:ascii="宋体" w:hAnsi="宋体" w:eastAsia="宋体" w:cs="宋体"/>
          <w:sz w:val="21"/>
          <w:szCs w:val="21"/>
          <w:highlight w:val="none"/>
          <w:u w:val="single"/>
          <w:lang w:val="en-US" w:eastAsia="zh-CN"/>
        </w:rPr>
        <w:t>协调费、规费、9%增值税税金等全部费用</w:t>
      </w:r>
      <w:r>
        <w:rPr>
          <w:rFonts w:hint="eastAsia" w:ascii="宋体" w:hAnsi="宋体" w:eastAsia="宋体" w:cs="宋体"/>
          <w:sz w:val="21"/>
          <w:szCs w:val="21"/>
          <w:highlight w:val="none"/>
          <w:u w:val="none"/>
          <w:lang w:eastAsia="zh-CN"/>
        </w:rPr>
        <w:t>。</w:t>
      </w:r>
    </w:p>
    <w:p w14:paraId="5871F12B">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3、结算：</w:t>
      </w:r>
    </w:p>
    <w:p w14:paraId="29BB8D90">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（1）单价包干，工程量按实际完成的合格工程量结算，结算总价=</w:t>
      </w:r>
      <w:r>
        <w:rPr>
          <w:rFonts w:hint="eastAsia" w:ascii="宋体" w:hAnsi="宋体" w:eastAsia="宋体" w:cs="宋体"/>
          <w:sz w:val="21"/>
          <w:szCs w:val="21"/>
          <w:highlight w:val="none"/>
          <w:u w:val="single"/>
          <w:lang w:val="en-US" w:eastAsia="zh-CN"/>
        </w:rPr>
        <w:t>成交单价×实际</w:t>
      </w:r>
      <w:r>
        <w:rPr>
          <w:rFonts w:hint="eastAsia" w:ascii="宋体" w:hAnsi="宋体" w:cs="宋体"/>
          <w:sz w:val="21"/>
          <w:szCs w:val="21"/>
          <w:highlight w:val="none"/>
          <w:u w:val="single"/>
          <w:lang w:val="en-US" w:eastAsia="zh-CN"/>
        </w:rPr>
        <w:t>安装</w:t>
      </w:r>
      <w:r>
        <w:rPr>
          <w:rFonts w:hint="eastAsia" w:ascii="宋体" w:hAnsi="宋体" w:eastAsia="宋体" w:cs="宋体"/>
          <w:sz w:val="21"/>
          <w:szCs w:val="21"/>
          <w:highlight w:val="none"/>
          <w:u w:val="single"/>
          <w:lang w:val="en-US" w:eastAsia="zh-CN"/>
        </w:rPr>
        <w:t>合格工程量</w:t>
      </w:r>
      <w:r>
        <w:rPr>
          <w:rFonts w:hint="eastAsia" w:ascii="宋体" w:hAnsi="宋体" w:eastAsia="宋体" w:cs="宋体"/>
          <w:sz w:val="21"/>
          <w:szCs w:val="21"/>
          <w:highlight w:val="none"/>
          <w:lang w:eastAsia="zh-CN"/>
        </w:rPr>
        <w:t>。</w:t>
      </w:r>
    </w:p>
    <w:p w14:paraId="2F9442D9">
      <w:pPr>
        <w:pStyle w:val="19"/>
        <w:keepNext w:val="0"/>
        <w:keepLines w:val="0"/>
        <w:numPr>
          <w:ilvl w:val="0"/>
          <w:numId w:val="0"/>
        </w:numPr>
        <w:suppressLineNumbers w:val="0"/>
        <w:tabs>
          <w:tab w:val="left" w:pos="546"/>
          <w:tab w:val="left" w:pos="711"/>
        </w:tabs>
        <w:snapToGrid w:val="0"/>
        <w:spacing w:before="0" w:beforeAutospacing="0" w:after="0" w:afterAutospacing="0" w:line="360" w:lineRule="auto"/>
        <w:ind w:leftChars="200" w:right="0" w:right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r>
        <w:rPr>
          <w:rFonts w:hint="eastAsia"/>
          <w:highlight w:val="none"/>
          <w:lang w:val="en-US" w:eastAsia="zh-CN"/>
        </w:rPr>
        <w:t>施工过程中所需的配电箱至外机主电缆（50米内）、铜管、线管、开关、插座、面板、制冷剂等所有材料的报价包含到内外机里，结算时不单独结算。</w:t>
      </w:r>
    </w:p>
    <w:p w14:paraId="12555AE8">
      <w:pPr>
        <w:pStyle w:val="71"/>
        <w:keepNext w:val="0"/>
        <w:keepLines w:val="0"/>
        <w:pageBreakBefore w:val="0"/>
        <w:widowControl w:val="0"/>
        <w:kinsoku/>
        <w:wordWrap/>
        <w:overflowPunct/>
        <w:topLinePunct w:val="0"/>
        <w:autoSpaceDE/>
        <w:autoSpaceDN/>
        <w:bidi w:val="0"/>
        <w:adjustRightInd/>
        <w:snapToGrid/>
        <w:spacing w:before="0" w:line="380" w:lineRule="exact"/>
        <w:ind w:left="0" w:leftChars="0" w:firstLine="562"/>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4、款项支付节点：</w:t>
      </w:r>
    </w:p>
    <w:p w14:paraId="0F017F6E">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eastAsia="zh-CN"/>
        </w:rPr>
        <w:t>；</w:t>
      </w:r>
    </w:p>
    <w:p w14:paraId="22433BD9">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eastAsia="zh-CN"/>
        </w:rPr>
        <w:t>；</w:t>
      </w:r>
    </w:p>
    <w:p w14:paraId="36845875">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u w:val="single"/>
          <w:lang w:eastAsia="zh-CN"/>
        </w:rPr>
        <w:t>完工验收合格后支付至结算金额的97%</w:t>
      </w:r>
      <w:r>
        <w:rPr>
          <w:rFonts w:hint="eastAsia" w:ascii="宋体" w:hAnsi="宋体" w:eastAsia="宋体" w:cs="宋体"/>
          <w:sz w:val="21"/>
          <w:szCs w:val="21"/>
          <w:highlight w:val="none"/>
          <w:lang w:eastAsia="zh-CN"/>
        </w:rPr>
        <w:t>；</w:t>
      </w:r>
    </w:p>
    <w:p w14:paraId="3CC82EC7">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）剩</w:t>
      </w:r>
      <w:r>
        <w:rPr>
          <w:rFonts w:hint="eastAsia" w:ascii="宋体" w:hAnsi="宋体" w:eastAsia="宋体" w:cs="宋体"/>
          <w:sz w:val="21"/>
          <w:szCs w:val="21"/>
          <w:highlight w:val="none"/>
          <w:u w:val="single"/>
          <w:lang w:eastAsia="zh-CN"/>
        </w:rPr>
        <w:t>余结算价款3%作为质保金，两年后无质量问题一次性无息支付</w:t>
      </w:r>
      <w:r>
        <w:rPr>
          <w:rFonts w:hint="eastAsia" w:ascii="宋体" w:hAnsi="宋体" w:eastAsia="宋体" w:cs="宋体"/>
          <w:sz w:val="21"/>
          <w:szCs w:val="21"/>
          <w:highlight w:val="none"/>
          <w:lang w:eastAsia="zh-CN"/>
        </w:rPr>
        <w:t>；</w:t>
      </w:r>
    </w:p>
    <w:p w14:paraId="279BA167">
      <w:pPr>
        <w:pStyle w:val="71"/>
        <w:keepNext w:val="0"/>
        <w:keepLines w:val="0"/>
        <w:pageBreakBefore w:val="0"/>
        <w:widowControl w:val="0"/>
        <w:kinsoku/>
        <w:wordWrap/>
        <w:overflowPunct/>
        <w:topLinePunct w:val="0"/>
        <w:autoSpaceDE/>
        <w:autoSpaceDN/>
        <w:bidi w:val="0"/>
        <w:adjustRightInd/>
        <w:snapToGrid/>
        <w:spacing w:before="0" w:line="380" w:lineRule="exact"/>
        <w:ind w:left="0" w:leftChars="0" w:firstLine="562"/>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w:t>
      </w:r>
      <w:r>
        <w:rPr>
          <w:rFonts w:hint="eastAsia" w:ascii="宋体" w:hAnsi="宋体" w:eastAsia="宋体" w:cs="宋体"/>
          <w:b w:val="0"/>
          <w:bCs w:val="0"/>
          <w:sz w:val="21"/>
          <w:szCs w:val="21"/>
          <w:highlight w:val="none"/>
          <w:u w:val="single"/>
          <w:lang w:val="en-US" w:eastAsia="zh-CN"/>
        </w:rPr>
        <w:t>支付款项时需提供付款金额等额的9%增值税专用发票</w:t>
      </w:r>
      <w:r>
        <w:rPr>
          <w:rFonts w:hint="eastAsia" w:ascii="宋体" w:hAnsi="宋体" w:eastAsia="宋体" w:cs="宋体"/>
          <w:b w:val="0"/>
          <w:bCs w:val="0"/>
          <w:sz w:val="21"/>
          <w:szCs w:val="21"/>
          <w:highlight w:val="none"/>
          <w:lang w:val="en-US" w:eastAsia="zh-CN"/>
        </w:rPr>
        <w:t>。</w:t>
      </w:r>
    </w:p>
    <w:p w14:paraId="5D23D767">
      <w:pPr>
        <w:keepNext w:val="0"/>
        <w:keepLines w:val="0"/>
        <w:pageBreakBefore w:val="0"/>
        <w:widowControl w:val="0"/>
        <w:kinsoku/>
        <w:wordWrap/>
        <w:overflowPunct/>
        <w:topLinePunct w:val="0"/>
        <w:autoSpaceDE/>
        <w:autoSpaceDN/>
        <w:bidi w:val="0"/>
        <w:adjustRightInd/>
        <w:snapToGrid/>
        <w:spacing w:line="380" w:lineRule="exact"/>
        <w:ind w:left="0" w:leftChars="0" w:firstLine="422" w:firstLineChars="200"/>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 xml:space="preserve">第三条 </w:t>
      </w:r>
      <w:r>
        <w:rPr>
          <w:rFonts w:hint="eastAsia" w:ascii="宋体" w:hAnsi="宋体" w:eastAsia="宋体" w:cs="宋体"/>
          <w:b/>
          <w:bCs/>
          <w:sz w:val="21"/>
          <w:szCs w:val="21"/>
          <w:highlight w:val="none"/>
          <w:lang w:eastAsia="zh-CN"/>
        </w:rPr>
        <w:t>工程履约保证金</w:t>
      </w:r>
    </w:p>
    <w:p w14:paraId="4462BA29">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本工程履约保证金为¥</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元（大写人民</w:t>
      </w:r>
      <w:r>
        <w:rPr>
          <w:rFonts w:hint="eastAsia" w:ascii="宋体" w:hAnsi="宋体" w:eastAsia="宋体" w:cs="宋体"/>
          <w:sz w:val="21"/>
          <w:szCs w:val="21"/>
          <w:highlight w:val="none"/>
          <w:u w:val="none"/>
          <w:lang w:val="en-US" w:eastAsia="zh-CN"/>
        </w:rPr>
        <w:t>币</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u w:val="single"/>
          <w:lang w:val="en-US" w:eastAsia="zh-CN"/>
        </w:rPr>
        <w:t>合同签订前向甲方缴纳，工程完工并经甲方验收合格后一次性无息退还</w:t>
      </w:r>
      <w:r>
        <w:rPr>
          <w:rFonts w:hint="eastAsia" w:ascii="宋体" w:hAnsi="宋体" w:eastAsia="宋体" w:cs="宋体"/>
          <w:sz w:val="21"/>
          <w:szCs w:val="21"/>
          <w:highlight w:val="none"/>
          <w:lang w:val="en-US" w:eastAsia="zh-CN"/>
        </w:rPr>
        <w:t>。</w:t>
      </w:r>
    </w:p>
    <w:p w14:paraId="6EFF3879">
      <w:pPr>
        <w:keepNext w:val="0"/>
        <w:keepLines w:val="0"/>
        <w:pageBreakBefore w:val="0"/>
        <w:widowControl w:val="0"/>
        <w:kinsoku/>
        <w:wordWrap/>
        <w:overflowPunct/>
        <w:topLinePunct w:val="0"/>
        <w:autoSpaceDE/>
        <w:autoSpaceDN/>
        <w:bidi w:val="0"/>
        <w:adjustRightInd/>
        <w:snapToGrid/>
        <w:spacing w:line="380" w:lineRule="exact"/>
        <w:ind w:left="0" w:leftChars="0"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第四条 合同工期</w:t>
      </w:r>
    </w:p>
    <w:p w14:paraId="44437AC8">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1、本工程合同工期为:</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eastAsia="zh-CN"/>
        </w:rPr>
        <w:t>。</w:t>
      </w:r>
    </w:p>
    <w:p w14:paraId="06085671">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、延期</w:t>
      </w:r>
      <w:r>
        <w:rPr>
          <w:rFonts w:hint="eastAsia" w:ascii="宋体" w:hAnsi="宋体" w:eastAsia="宋体" w:cs="宋体"/>
          <w:sz w:val="21"/>
          <w:szCs w:val="21"/>
          <w:highlight w:val="none"/>
          <w:lang w:val="en-US" w:eastAsia="zh-CN"/>
        </w:rPr>
        <w:t>按</w:t>
      </w:r>
      <w:r>
        <w:rPr>
          <w:rFonts w:hint="eastAsia" w:ascii="宋体" w:hAnsi="宋体" w:eastAsia="宋体" w:cs="宋体"/>
          <w:sz w:val="21"/>
          <w:szCs w:val="21"/>
          <w:highlight w:val="none"/>
          <w:u w:val="single"/>
          <w:lang w:eastAsia="zh-CN"/>
        </w:rPr>
        <w:t>1000</w:t>
      </w:r>
      <w:r>
        <w:rPr>
          <w:rFonts w:hint="eastAsia" w:ascii="宋体" w:hAnsi="宋体" w:eastAsia="宋体" w:cs="宋体"/>
          <w:sz w:val="21"/>
          <w:szCs w:val="21"/>
          <w:highlight w:val="none"/>
          <w:u w:val="single"/>
          <w:lang w:val="en-US" w:eastAsia="zh-CN"/>
        </w:rPr>
        <w:t>.00</w:t>
      </w:r>
      <w:r>
        <w:rPr>
          <w:rFonts w:hint="eastAsia" w:ascii="宋体" w:hAnsi="宋体" w:eastAsia="宋体" w:cs="宋体"/>
          <w:sz w:val="21"/>
          <w:szCs w:val="21"/>
          <w:highlight w:val="none"/>
          <w:u w:val="single"/>
          <w:lang w:eastAsia="zh-CN"/>
        </w:rPr>
        <w:t>元</w:t>
      </w:r>
      <w:r>
        <w:rPr>
          <w:rFonts w:hint="eastAsia" w:ascii="宋体" w:hAnsi="宋体" w:eastAsia="宋体" w:cs="宋体"/>
          <w:sz w:val="21"/>
          <w:szCs w:val="21"/>
          <w:highlight w:val="none"/>
          <w:u w:val="single"/>
          <w:lang w:val="en-US" w:eastAsia="zh-CN"/>
        </w:rPr>
        <w:t>/天</w:t>
      </w:r>
      <w:r>
        <w:rPr>
          <w:rFonts w:hint="eastAsia" w:ascii="宋体" w:hAnsi="宋体" w:eastAsia="宋体" w:cs="宋体"/>
          <w:sz w:val="21"/>
          <w:szCs w:val="21"/>
          <w:highlight w:val="none"/>
          <w:lang w:eastAsia="zh-CN"/>
        </w:rPr>
        <w:t>收取乙方违约金；非乙方原因造成工期延期的，只顺延工期，乙方不得向甲方索赔任何费用。</w:t>
      </w:r>
    </w:p>
    <w:p w14:paraId="48C41934">
      <w:pPr>
        <w:keepNext w:val="0"/>
        <w:keepLines w:val="0"/>
        <w:pageBreakBefore w:val="0"/>
        <w:widowControl w:val="0"/>
        <w:kinsoku/>
        <w:wordWrap/>
        <w:overflowPunct/>
        <w:topLinePunct w:val="0"/>
        <w:autoSpaceDE/>
        <w:autoSpaceDN/>
        <w:bidi w:val="0"/>
        <w:adjustRightInd/>
        <w:snapToGrid/>
        <w:spacing w:line="380" w:lineRule="exact"/>
        <w:ind w:left="0" w:leftChars="0"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第五条 工程质量与验收</w:t>
      </w:r>
    </w:p>
    <w:p w14:paraId="7ACD222D">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1、乙方按国家现行施工及验收规范、评定标准、设计变更洽商单等组织施工，经建设单位及监理检验，达到交工验收条件为准</w:t>
      </w:r>
      <w:r>
        <w:rPr>
          <w:rFonts w:hint="eastAsia" w:ascii="宋体" w:hAnsi="宋体" w:eastAsia="宋体" w:cs="宋体"/>
          <w:sz w:val="21"/>
          <w:szCs w:val="21"/>
          <w:highlight w:val="none"/>
          <w:lang w:val="en-US" w:eastAsia="zh-CN"/>
        </w:rPr>
        <w:t>，并验收合格</w:t>
      </w:r>
      <w:r>
        <w:rPr>
          <w:rFonts w:hint="eastAsia" w:ascii="宋体" w:hAnsi="宋体" w:eastAsia="宋体" w:cs="宋体"/>
          <w:sz w:val="21"/>
          <w:szCs w:val="21"/>
          <w:highlight w:val="none"/>
        </w:rPr>
        <w:t>；</w:t>
      </w:r>
    </w:p>
    <w:p w14:paraId="6C3BC7E0">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2、乙方必须严格按照施工图纸、交底记录和甲方要求组织施工。未经甲方有关人员的书面通知，不得</w:t>
      </w:r>
      <w:r>
        <w:rPr>
          <w:rFonts w:hint="eastAsia" w:ascii="宋体" w:hAnsi="宋体" w:eastAsia="宋体" w:cs="宋体"/>
          <w:sz w:val="21"/>
          <w:szCs w:val="21"/>
          <w:highlight w:val="none"/>
          <w:lang w:val="en-US" w:eastAsia="zh-CN"/>
        </w:rPr>
        <w:t>擅自</w:t>
      </w:r>
      <w:r>
        <w:rPr>
          <w:rFonts w:hint="eastAsia" w:ascii="宋体" w:hAnsi="宋体" w:eastAsia="宋体" w:cs="宋体"/>
          <w:sz w:val="21"/>
          <w:szCs w:val="21"/>
          <w:highlight w:val="none"/>
        </w:rPr>
        <w:t>变更施工工序、质量标准、设计要求或进行材料代换</w:t>
      </w:r>
      <w:r>
        <w:rPr>
          <w:rFonts w:hint="eastAsia" w:ascii="宋体" w:hAnsi="宋体" w:eastAsia="宋体" w:cs="宋体"/>
          <w:sz w:val="21"/>
          <w:szCs w:val="21"/>
          <w:highlight w:val="none"/>
          <w:lang w:eastAsia="zh-CN"/>
        </w:rPr>
        <w:t>；</w:t>
      </w:r>
    </w:p>
    <w:p w14:paraId="55603502">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3、工程质量</w:t>
      </w:r>
      <w:r>
        <w:rPr>
          <w:rFonts w:hint="eastAsia" w:ascii="宋体" w:hAnsi="宋体" w:eastAsia="宋体" w:cs="宋体"/>
          <w:sz w:val="21"/>
          <w:szCs w:val="21"/>
          <w:highlight w:val="none"/>
          <w:lang w:val="en-US" w:eastAsia="zh-CN"/>
        </w:rPr>
        <w:t>必须满足施工图</w:t>
      </w:r>
      <w:r>
        <w:rPr>
          <w:rFonts w:hint="eastAsia" w:ascii="宋体" w:hAnsi="宋体" w:eastAsia="宋体" w:cs="宋体"/>
          <w:sz w:val="21"/>
          <w:szCs w:val="21"/>
          <w:highlight w:val="none"/>
        </w:rPr>
        <w:t>设计和施工规范</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验收标准</w:t>
      </w:r>
      <w:r>
        <w:rPr>
          <w:rFonts w:hint="eastAsia" w:ascii="宋体" w:hAnsi="宋体" w:eastAsia="宋体" w:cs="宋体"/>
          <w:sz w:val="21"/>
          <w:szCs w:val="21"/>
          <w:highlight w:val="none"/>
        </w:rPr>
        <w:t>规定</w:t>
      </w:r>
      <w:r>
        <w:rPr>
          <w:rFonts w:hint="eastAsia" w:ascii="宋体" w:hAnsi="宋体" w:eastAsia="宋体" w:cs="宋体"/>
          <w:sz w:val="21"/>
          <w:szCs w:val="21"/>
          <w:highlight w:val="none"/>
          <w:lang w:val="en-US" w:eastAsia="zh-CN"/>
        </w:rPr>
        <w:t>和</w:t>
      </w:r>
      <w:r>
        <w:rPr>
          <w:rFonts w:hint="eastAsia" w:ascii="宋体" w:hAnsi="宋体" w:eastAsia="宋体" w:cs="宋体"/>
          <w:sz w:val="21"/>
          <w:szCs w:val="21"/>
          <w:highlight w:val="none"/>
        </w:rPr>
        <w:t>建设单位要求</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达到</w:t>
      </w:r>
      <w:r>
        <w:rPr>
          <w:rFonts w:hint="eastAsia" w:ascii="宋体" w:hAnsi="宋体" w:eastAsia="宋体" w:cs="宋体"/>
          <w:sz w:val="21"/>
          <w:szCs w:val="21"/>
          <w:highlight w:val="none"/>
        </w:rPr>
        <w:t>合格</w:t>
      </w:r>
      <w:r>
        <w:rPr>
          <w:rFonts w:hint="eastAsia" w:ascii="宋体" w:hAnsi="宋体" w:eastAsia="宋体" w:cs="宋体"/>
          <w:sz w:val="21"/>
          <w:szCs w:val="21"/>
          <w:highlight w:val="none"/>
          <w:lang w:val="en-US" w:eastAsia="zh-CN"/>
        </w:rPr>
        <w:t>验收标准</w:t>
      </w:r>
      <w:r>
        <w:rPr>
          <w:rFonts w:hint="eastAsia" w:ascii="宋体" w:hAnsi="宋体" w:eastAsia="宋体" w:cs="宋体"/>
          <w:sz w:val="21"/>
          <w:szCs w:val="21"/>
          <w:highlight w:val="none"/>
          <w:lang w:eastAsia="zh-CN"/>
        </w:rPr>
        <w:t>；</w:t>
      </w:r>
    </w:p>
    <w:p w14:paraId="68B49738">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、若因乙方原因工程质量达不到约定的质量标准，乙方应承担的违约责任</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处乙方</w:t>
      </w:r>
      <w:r>
        <w:rPr>
          <w:rFonts w:hint="eastAsia" w:ascii="宋体" w:hAnsi="宋体" w:eastAsia="宋体" w:cs="宋体"/>
          <w:color w:val="auto"/>
          <w:sz w:val="21"/>
          <w:szCs w:val="21"/>
          <w:highlight w:val="none"/>
          <w:lang w:val="en-US" w:eastAsia="zh-CN"/>
        </w:rPr>
        <w:t>每次</w:t>
      </w:r>
      <w:r>
        <w:rPr>
          <w:rFonts w:hint="eastAsia" w:ascii="宋体" w:hAnsi="宋体" w:eastAsia="宋体" w:cs="宋体"/>
          <w:color w:val="auto"/>
          <w:sz w:val="21"/>
          <w:szCs w:val="21"/>
          <w:highlight w:val="none"/>
          <w:lang w:eastAsia="zh-CN"/>
        </w:rPr>
        <w:t>最低</w:t>
      </w:r>
      <w:r>
        <w:rPr>
          <w:rFonts w:hint="eastAsia" w:ascii="宋体" w:hAnsi="宋体" w:eastAsia="宋体" w:cs="宋体"/>
          <w:color w:val="auto"/>
          <w:sz w:val="21"/>
          <w:szCs w:val="21"/>
          <w:highlight w:val="none"/>
          <w:lang w:val="en-US" w:eastAsia="zh-CN"/>
        </w:rPr>
        <w:t>1000.00元的违约金，最高视情况确定但不超过合同金额）</w:t>
      </w:r>
      <w:r>
        <w:rPr>
          <w:rFonts w:hint="eastAsia" w:ascii="宋体" w:hAnsi="宋体" w:eastAsia="宋体" w:cs="宋体"/>
          <w:sz w:val="21"/>
          <w:szCs w:val="21"/>
          <w:highlight w:val="none"/>
          <w:lang w:eastAsia="zh-CN"/>
        </w:rPr>
        <w:t>，乙方无条件自费返修达到合同约定质量要求，并承担相应质量责任和由此造成的甲方损失，或由甲方另行找人整改，由乙方承担整改费用</w:t>
      </w:r>
      <w:r>
        <w:rPr>
          <w:rFonts w:hint="eastAsia" w:ascii="宋体" w:hAnsi="宋体" w:eastAsia="宋体" w:cs="宋体"/>
          <w:sz w:val="21"/>
          <w:szCs w:val="21"/>
          <w:highlight w:val="none"/>
        </w:rPr>
        <w:t>，费用从承包费用中扣除</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若因</w:t>
      </w:r>
      <w:r>
        <w:rPr>
          <w:rFonts w:hint="eastAsia" w:ascii="宋体" w:hAnsi="宋体" w:eastAsia="宋体" w:cs="宋体"/>
          <w:sz w:val="21"/>
          <w:szCs w:val="21"/>
          <w:highlight w:val="none"/>
        </w:rPr>
        <w:t>甲方</w:t>
      </w:r>
      <w:r>
        <w:rPr>
          <w:rFonts w:hint="eastAsia" w:ascii="宋体" w:hAnsi="宋体" w:eastAsia="宋体" w:cs="宋体"/>
          <w:sz w:val="21"/>
          <w:szCs w:val="21"/>
          <w:highlight w:val="none"/>
          <w:lang w:val="en-US" w:eastAsia="zh-CN"/>
        </w:rPr>
        <w:t>原因</w:t>
      </w:r>
      <w:r>
        <w:rPr>
          <w:rFonts w:hint="eastAsia" w:ascii="宋体" w:hAnsi="宋体" w:eastAsia="宋体" w:cs="宋体"/>
          <w:sz w:val="21"/>
          <w:szCs w:val="21"/>
          <w:highlight w:val="none"/>
        </w:rPr>
        <w:t>造成的损失，由甲方承担</w:t>
      </w:r>
      <w:r>
        <w:rPr>
          <w:rFonts w:hint="eastAsia" w:ascii="宋体" w:hAnsi="宋体" w:eastAsia="宋体" w:cs="宋体"/>
          <w:sz w:val="21"/>
          <w:szCs w:val="21"/>
          <w:highlight w:val="none"/>
          <w:lang w:eastAsia="zh-CN"/>
        </w:rPr>
        <w:t>。</w:t>
      </w:r>
    </w:p>
    <w:p w14:paraId="1D869DA5">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w:t>
      </w:r>
    </w:p>
    <w:p w14:paraId="4BED6BC9">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p>
    <w:p w14:paraId="45AA5F9A">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w:t>
      </w:r>
    </w:p>
    <w:p w14:paraId="750425CE">
      <w:pPr>
        <w:keepNext w:val="0"/>
        <w:keepLines w:val="0"/>
        <w:pageBreakBefore w:val="0"/>
        <w:widowControl w:val="0"/>
        <w:kinsoku/>
        <w:wordWrap/>
        <w:overflowPunct/>
        <w:topLinePunct w:val="0"/>
        <w:autoSpaceDE/>
        <w:autoSpaceDN/>
        <w:bidi w:val="0"/>
        <w:adjustRightInd/>
        <w:snapToGrid/>
        <w:spacing w:line="380" w:lineRule="exact"/>
        <w:ind w:left="0" w:leftChars="0"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第六条 材料、机械设备供应与管理</w:t>
      </w:r>
    </w:p>
    <w:p w14:paraId="1DFA3769">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1、本承包工程所需全部材料、成品、构配件等由</w:t>
      </w:r>
      <w:r>
        <w:rPr>
          <w:rFonts w:hint="eastAsia" w:ascii="宋体" w:hAnsi="宋体" w:eastAsia="宋体" w:cs="宋体"/>
          <w:sz w:val="21"/>
          <w:szCs w:val="21"/>
          <w:highlight w:val="none"/>
          <w:lang w:eastAsia="zh-CN"/>
        </w:rPr>
        <w:t>乙</w:t>
      </w:r>
      <w:r>
        <w:rPr>
          <w:rFonts w:hint="eastAsia" w:ascii="宋体" w:hAnsi="宋体" w:eastAsia="宋体" w:cs="宋体"/>
          <w:sz w:val="21"/>
          <w:szCs w:val="21"/>
          <w:highlight w:val="none"/>
        </w:rPr>
        <w:t>方供应管理；</w:t>
      </w:r>
    </w:p>
    <w:p w14:paraId="7F2D2F0C">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2、乙方在施工过程中应做到现场材料按甲方指定位置堆放，日用日清，保持现场的整洁</w:t>
      </w:r>
      <w:r>
        <w:rPr>
          <w:rFonts w:hint="eastAsia" w:ascii="宋体" w:hAnsi="宋体" w:eastAsia="宋体" w:cs="宋体"/>
          <w:sz w:val="21"/>
          <w:szCs w:val="21"/>
          <w:highlight w:val="none"/>
          <w:lang w:eastAsia="zh-CN"/>
        </w:rPr>
        <w:t>；</w:t>
      </w:r>
    </w:p>
    <w:p w14:paraId="0E41AB41">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3、乙方在施工过程中使用剩余的废材料</w:t>
      </w:r>
      <w:r>
        <w:rPr>
          <w:rFonts w:hint="eastAsia" w:ascii="宋体" w:hAnsi="宋体" w:eastAsia="宋体" w:cs="宋体"/>
          <w:sz w:val="21"/>
          <w:szCs w:val="21"/>
          <w:highlight w:val="none"/>
          <w:lang w:eastAsia="zh-CN"/>
        </w:rPr>
        <w:t>由乙方自行处理，不得随意、乱堆放丢弃于施工现场；</w:t>
      </w:r>
    </w:p>
    <w:p w14:paraId="07C4EF07">
      <w:pPr>
        <w:pStyle w:val="71"/>
        <w:keepNext w:val="0"/>
        <w:keepLines w:val="0"/>
        <w:pageBreakBefore w:val="0"/>
        <w:widowControl w:val="0"/>
        <w:kinsoku/>
        <w:wordWrap/>
        <w:overflowPunct/>
        <w:topLinePunct w:val="0"/>
        <w:autoSpaceDE/>
        <w:autoSpaceDN/>
        <w:bidi w:val="0"/>
        <w:adjustRightInd/>
        <w:snapToGrid/>
        <w:spacing w:before="0" w:line="380" w:lineRule="exact"/>
        <w:ind w:left="0" w:left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b w:val="0"/>
          <w:bCs w:val="0"/>
          <w:sz w:val="21"/>
          <w:szCs w:val="21"/>
          <w:highlight w:val="none"/>
          <w:lang w:val="en-US" w:eastAsia="zh-CN"/>
        </w:rPr>
        <w:t xml:space="preserve"> 4、项目所需的施工机具由乙方自行提供。</w:t>
      </w:r>
    </w:p>
    <w:p w14:paraId="074A55D6">
      <w:pPr>
        <w:keepNext w:val="0"/>
        <w:keepLines w:val="0"/>
        <w:pageBreakBefore w:val="0"/>
        <w:widowControl w:val="0"/>
        <w:kinsoku/>
        <w:wordWrap/>
        <w:overflowPunct/>
        <w:topLinePunct w:val="0"/>
        <w:autoSpaceDE/>
        <w:autoSpaceDN/>
        <w:bidi w:val="0"/>
        <w:adjustRightInd/>
        <w:snapToGrid/>
        <w:spacing w:line="380" w:lineRule="exact"/>
        <w:ind w:left="0" w:leftChars="0"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第七条 双方责任</w:t>
      </w:r>
    </w:p>
    <w:p w14:paraId="45B8AD2C">
      <w:pPr>
        <w:keepNext w:val="0"/>
        <w:keepLines w:val="0"/>
        <w:pageBreakBefore w:val="0"/>
        <w:widowControl w:val="0"/>
        <w:kinsoku/>
        <w:wordWrap/>
        <w:overflowPunct/>
        <w:topLinePunct w:val="0"/>
        <w:autoSpaceDE/>
        <w:autoSpaceDN/>
        <w:bidi w:val="0"/>
        <w:adjustRightInd/>
        <w:snapToGrid/>
        <w:spacing w:line="380" w:lineRule="exact"/>
        <w:ind w:left="0" w:leftChars="0"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一、</w:t>
      </w:r>
      <w:r>
        <w:rPr>
          <w:rFonts w:hint="eastAsia" w:ascii="宋体" w:hAnsi="宋体" w:eastAsia="宋体" w:cs="宋体"/>
          <w:b/>
          <w:bCs/>
          <w:sz w:val="21"/>
          <w:szCs w:val="21"/>
          <w:highlight w:val="none"/>
        </w:rPr>
        <w:t>甲方责任</w:t>
      </w:r>
    </w:p>
    <w:p w14:paraId="34804E7C">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负责协助乙方对项目的施工组织与管理工作，保证按时开工</w:t>
      </w:r>
      <w:r>
        <w:rPr>
          <w:rFonts w:hint="eastAsia" w:ascii="宋体" w:hAnsi="宋体" w:eastAsia="宋体" w:cs="宋体"/>
          <w:sz w:val="21"/>
          <w:szCs w:val="21"/>
          <w:highlight w:val="none"/>
          <w:lang w:eastAsia="zh-CN"/>
        </w:rPr>
        <w:t>；</w:t>
      </w:r>
    </w:p>
    <w:p w14:paraId="3EC7F2EB">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按双方的协商制订生产、技术、质量、安全、材料等方面的管理规定和责任制，有权要求乙方按有关规定执行；</w:t>
      </w:r>
    </w:p>
    <w:p w14:paraId="3F8B467B">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及</w:t>
      </w:r>
      <w:r>
        <w:rPr>
          <w:rFonts w:hint="eastAsia" w:ascii="宋体" w:hAnsi="宋体" w:eastAsia="宋体" w:cs="宋体"/>
          <w:sz w:val="21"/>
          <w:szCs w:val="21"/>
          <w:highlight w:val="none"/>
        </w:rPr>
        <w:t>时向乙方提供施工图纸、图套，并组织图纸会审和技术交底</w:t>
      </w:r>
      <w:r>
        <w:rPr>
          <w:rFonts w:hint="eastAsia" w:ascii="宋体" w:hAnsi="宋体" w:eastAsia="宋体" w:cs="宋体"/>
          <w:sz w:val="21"/>
          <w:szCs w:val="21"/>
          <w:highlight w:val="none"/>
          <w:lang w:eastAsia="zh-CN"/>
        </w:rPr>
        <w:t>；</w:t>
      </w:r>
    </w:p>
    <w:p w14:paraId="3E6CEC0A">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负责本工程的全面技术管理，批准施工技术方案，解决图纸和施工中的技术问题，检查监督乙方施工中的技术工作，认定合格后在有关技术资料中签认；</w:t>
      </w:r>
    </w:p>
    <w:p w14:paraId="0D5502B3">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5、负责向乙方进行质量、安全、环保、技术交底，</w:t>
      </w:r>
      <w:r>
        <w:rPr>
          <w:rFonts w:hint="eastAsia" w:ascii="宋体" w:hAnsi="宋体" w:eastAsia="宋体" w:cs="宋体"/>
          <w:sz w:val="21"/>
          <w:szCs w:val="21"/>
          <w:highlight w:val="none"/>
          <w:lang w:eastAsia="zh-CN"/>
        </w:rPr>
        <w:t>对施工质量、</w:t>
      </w:r>
      <w:r>
        <w:rPr>
          <w:rFonts w:hint="eastAsia" w:ascii="宋体" w:hAnsi="宋体" w:eastAsia="宋体" w:cs="宋体"/>
          <w:sz w:val="21"/>
          <w:szCs w:val="21"/>
          <w:highlight w:val="none"/>
          <w:lang w:val="en-US" w:eastAsia="zh-CN"/>
        </w:rPr>
        <w:t>安全、环保、</w:t>
      </w:r>
      <w:r>
        <w:rPr>
          <w:rFonts w:hint="eastAsia" w:ascii="宋体" w:hAnsi="宋体" w:eastAsia="宋体" w:cs="宋体"/>
          <w:sz w:val="21"/>
          <w:szCs w:val="21"/>
          <w:highlight w:val="none"/>
          <w:lang w:eastAsia="zh-CN"/>
        </w:rPr>
        <w:t>进度以及现场工程量签证进行监督与控制；</w:t>
      </w:r>
    </w:p>
    <w:p w14:paraId="48C6938A">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p w14:paraId="6D099BC8">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6、根据施工组织设计要求，对工程的进度进行检</w:t>
      </w:r>
      <w:r>
        <w:rPr>
          <w:rFonts w:hint="eastAsia" w:ascii="宋体" w:hAnsi="宋体" w:eastAsia="宋体" w:cs="宋体"/>
          <w:sz w:val="21"/>
          <w:szCs w:val="21"/>
          <w:highlight w:val="none"/>
        </w:rPr>
        <w:t>查落实，及时完成验收工作；</w:t>
      </w:r>
    </w:p>
    <w:p w14:paraId="13D63546">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甲方应按合同约定及时支付乙方的各种款项</w:t>
      </w:r>
      <w:r>
        <w:rPr>
          <w:rFonts w:hint="eastAsia" w:ascii="宋体" w:hAnsi="宋体" w:eastAsia="宋体" w:cs="宋体"/>
          <w:sz w:val="21"/>
          <w:szCs w:val="21"/>
          <w:highlight w:val="none"/>
          <w:lang w:eastAsia="zh-CN"/>
        </w:rPr>
        <w:t>。</w:t>
      </w:r>
    </w:p>
    <w:p w14:paraId="0EA05750">
      <w:pPr>
        <w:keepNext w:val="0"/>
        <w:keepLines w:val="0"/>
        <w:pageBreakBefore w:val="0"/>
        <w:widowControl w:val="0"/>
        <w:kinsoku/>
        <w:wordWrap/>
        <w:overflowPunct/>
        <w:topLinePunct w:val="0"/>
        <w:autoSpaceDE/>
        <w:autoSpaceDN/>
        <w:bidi w:val="0"/>
        <w:adjustRightInd/>
        <w:snapToGrid/>
        <w:spacing w:line="380" w:lineRule="exact"/>
        <w:ind w:left="0" w:leftChars="0" w:firstLine="422" w:firstLineChars="200"/>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lang w:val="en-US" w:eastAsia="zh-CN"/>
        </w:rPr>
        <w:t>二、</w:t>
      </w:r>
      <w:r>
        <w:rPr>
          <w:rFonts w:hint="eastAsia" w:ascii="宋体" w:hAnsi="宋体" w:eastAsia="宋体" w:cs="宋体"/>
          <w:b/>
          <w:bCs/>
          <w:sz w:val="21"/>
          <w:szCs w:val="21"/>
          <w:highlight w:val="none"/>
        </w:rPr>
        <w:t>乙方责任</w:t>
      </w:r>
    </w:p>
    <w:p w14:paraId="036DC22F">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对本合同分包范围内的工程质量向甲方负责，组织具有相应资质的熟练工人投入工作；严格按照甲方提供的图纸、图套、验收规范等施工，严格遵守安全</w:t>
      </w:r>
      <w:r>
        <w:rPr>
          <w:rFonts w:hint="eastAsia" w:ascii="宋体" w:hAnsi="宋体" w:eastAsia="宋体" w:cs="宋体"/>
          <w:sz w:val="21"/>
          <w:szCs w:val="21"/>
          <w:highlight w:val="none"/>
          <w:lang w:val="en-US" w:eastAsia="zh-CN"/>
        </w:rPr>
        <w:t>操作规范</w:t>
      </w:r>
      <w:r>
        <w:rPr>
          <w:rFonts w:hint="eastAsia" w:ascii="宋体" w:hAnsi="宋体" w:eastAsia="宋体" w:cs="宋体"/>
          <w:sz w:val="21"/>
          <w:szCs w:val="21"/>
          <w:highlight w:val="none"/>
        </w:rPr>
        <w:t>，保证施工安全；加强现场管理，严格执行建设主管部门及环保、消防、环卫等部门对施工现场的管理规定；自行承担由于自身责任造成的质量修改、返工、工期拖延、安全事故、现场脏乱造成的损失及各项</w:t>
      </w:r>
      <w:r>
        <w:rPr>
          <w:rFonts w:hint="eastAsia" w:ascii="宋体" w:hAnsi="宋体" w:eastAsia="宋体" w:cs="宋体"/>
          <w:sz w:val="21"/>
          <w:szCs w:val="21"/>
          <w:highlight w:val="none"/>
          <w:lang w:val="en-US" w:eastAsia="zh-CN"/>
        </w:rPr>
        <w:t>违约金（处以1000.00元/次及以上的违约金）</w:t>
      </w:r>
      <w:r>
        <w:rPr>
          <w:rFonts w:hint="eastAsia" w:ascii="宋体" w:hAnsi="宋体" w:eastAsia="宋体" w:cs="宋体"/>
          <w:sz w:val="21"/>
          <w:szCs w:val="21"/>
          <w:highlight w:val="none"/>
        </w:rPr>
        <w:t>；</w:t>
      </w:r>
    </w:p>
    <w:p w14:paraId="429FE2CE">
      <w:pPr>
        <w:keepNext w:val="0"/>
        <w:keepLines w:val="0"/>
        <w:pageBreakBefore w:val="0"/>
        <w:kinsoku/>
        <w:wordWrap/>
        <w:overflowPunct/>
        <w:topLinePunct w:val="0"/>
        <w:autoSpaceDE/>
        <w:autoSpaceDN/>
        <w:bidi w:val="0"/>
        <w:spacing w:line="38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乙方不得将本合同项下的劳务作业转包或再分包给他人，若乙方违反这一规定，甲方有权单方终止本合同，将拒付已完工程量未付部分的款项和没收履约保证金，并对乙方处以合同金额</w:t>
      </w:r>
      <w:r>
        <w:rPr>
          <w:rFonts w:hint="eastAsia" w:ascii="宋体" w:hAnsi="宋体" w:eastAsia="宋体" w:cs="宋体"/>
          <w:sz w:val="21"/>
          <w:szCs w:val="21"/>
          <w:highlight w:val="none"/>
          <w:lang w:val="en-US" w:eastAsia="zh-CN"/>
        </w:rPr>
        <w:t>20%的违约金</w:t>
      </w:r>
      <w:r>
        <w:rPr>
          <w:rFonts w:hint="eastAsia" w:ascii="宋体" w:hAnsi="宋体" w:eastAsia="宋体" w:cs="宋体"/>
          <w:sz w:val="21"/>
          <w:szCs w:val="21"/>
          <w:highlight w:val="none"/>
          <w:lang w:eastAsia="zh-CN"/>
        </w:rPr>
        <w:t>。</w:t>
      </w:r>
    </w:p>
    <w:p w14:paraId="0F30642E">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乙方要及时派驻合格的工地代表，施工期间如须更换代表，不得擅自更换，更换前，应提前通知甲方，并保证更换的代表是具有相应资质的</w:t>
      </w:r>
      <w:r>
        <w:rPr>
          <w:rFonts w:hint="eastAsia" w:ascii="宋体" w:hAnsi="宋体" w:eastAsia="宋体" w:cs="宋体"/>
          <w:sz w:val="21"/>
          <w:szCs w:val="21"/>
          <w:highlight w:val="none"/>
          <w:lang w:val="en-US" w:eastAsia="zh-CN"/>
        </w:rPr>
        <w:t>人员</w:t>
      </w:r>
      <w:r>
        <w:rPr>
          <w:rFonts w:hint="eastAsia" w:ascii="宋体" w:hAnsi="宋体" w:eastAsia="宋体" w:cs="宋体"/>
          <w:sz w:val="21"/>
          <w:szCs w:val="21"/>
          <w:highlight w:val="none"/>
        </w:rPr>
        <w:t>；</w:t>
      </w:r>
    </w:p>
    <w:p w14:paraId="72D15E7B">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4、乙方自行协调和排除施工的一切障碍，并承担费用。并主动配合本项目其他有关的劳务（专业）分包单位的工作。</w:t>
      </w:r>
    </w:p>
    <w:p w14:paraId="5F38ADFD">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自觉接受甲方及有关部门的管理、监督和检查；接受甲方随时检查其设备、材料保管和操作人员的有效证件、持证上岗情况</w:t>
      </w:r>
      <w:r>
        <w:rPr>
          <w:rFonts w:hint="eastAsia" w:ascii="宋体" w:hAnsi="宋体" w:eastAsia="宋体" w:cs="宋体"/>
          <w:sz w:val="21"/>
          <w:szCs w:val="21"/>
          <w:highlight w:val="none"/>
          <w:lang w:eastAsia="zh-CN"/>
        </w:rPr>
        <w:t>，否则</w:t>
      </w:r>
      <w:r>
        <w:rPr>
          <w:rFonts w:hint="eastAsia" w:ascii="宋体" w:hAnsi="宋体" w:eastAsia="宋体" w:cs="宋体"/>
          <w:sz w:val="21"/>
          <w:szCs w:val="21"/>
          <w:highlight w:val="none"/>
          <w:lang w:val="en-US" w:eastAsia="zh-CN"/>
        </w:rPr>
        <w:t>处以乙方1000.00元/次及以上的违约金</w:t>
      </w:r>
      <w:r>
        <w:rPr>
          <w:rFonts w:hint="eastAsia" w:ascii="宋体" w:hAnsi="宋体" w:eastAsia="宋体" w:cs="宋体"/>
          <w:sz w:val="21"/>
          <w:szCs w:val="21"/>
          <w:highlight w:val="none"/>
        </w:rPr>
        <w:t>；</w:t>
      </w:r>
    </w:p>
    <w:p w14:paraId="63C42E27">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乙方须保证甲方交付后的工地条件良好，妥善保管、合理使用甲方提供的机具、周转材料及其他设施，同时做好工地周边建筑群、地下管线和已完工部分的成品保护工作；</w:t>
      </w:r>
    </w:p>
    <w:p w14:paraId="7F1FD137">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乙方应与施工人员签订劳动合同且必须为施工人员办理意外伤害保险，并对施工场地内自有人员生命财产和施工机械设备办理保险，且支付保险费用；</w:t>
      </w:r>
    </w:p>
    <w:p w14:paraId="5A71D020">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配合甲方进行材料、设备、工艺检测，</w:t>
      </w:r>
      <w:r>
        <w:rPr>
          <w:rFonts w:hint="eastAsia" w:ascii="宋体" w:hAnsi="宋体" w:eastAsia="宋体" w:cs="宋体"/>
          <w:sz w:val="21"/>
          <w:szCs w:val="21"/>
          <w:highlight w:val="none"/>
        </w:rPr>
        <w:t>配合办理交工验收</w:t>
      </w:r>
      <w:r>
        <w:rPr>
          <w:rFonts w:hint="eastAsia" w:ascii="宋体" w:hAnsi="宋体" w:eastAsia="宋体" w:cs="宋体"/>
          <w:sz w:val="21"/>
          <w:szCs w:val="21"/>
          <w:highlight w:val="none"/>
          <w:lang w:eastAsia="zh-CN"/>
        </w:rPr>
        <w:t>；</w:t>
      </w:r>
    </w:p>
    <w:p w14:paraId="1ED0FFFB">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按期完成项目，按时提交有关报表、完整的原始技术资料，配合甲方办理交工验收</w:t>
      </w:r>
      <w:r>
        <w:rPr>
          <w:rFonts w:hint="eastAsia" w:ascii="宋体" w:hAnsi="宋体" w:eastAsia="宋体" w:cs="宋体"/>
          <w:sz w:val="21"/>
          <w:szCs w:val="21"/>
          <w:highlight w:val="none"/>
          <w:lang w:eastAsia="zh-CN"/>
        </w:rPr>
        <w:t>。若不能按时完成相应施工内容，甲方有权组织其他</w:t>
      </w:r>
      <w:r>
        <w:rPr>
          <w:rFonts w:hint="eastAsia" w:ascii="宋体" w:hAnsi="宋体" w:eastAsia="宋体" w:cs="宋体"/>
          <w:sz w:val="21"/>
          <w:szCs w:val="21"/>
          <w:highlight w:val="none"/>
          <w:lang w:val="en-US" w:eastAsia="zh-CN"/>
        </w:rPr>
        <w:t>单位</w:t>
      </w:r>
      <w:r>
        <w:rPr>
          <w:rFonts w:hint="eastAsia" w:ascii="宋体" w:hAnsi="宋体" w:eastAsia="宋体" w:cs="宋体"/>
          <w:sz w:val="21"/>
          <w:szCs w:val="21"/>
          <w:highlight w:val="none"/>
          <w:lang w:eastAsia="zh-CN"/>
        </w:rPr>
        <w:t>施工，费用从本</w:t>
      </w:r>
      <w:r>
        <w:rPr>
          <w:rFonts w:hint="eastAsia" w:ascii="宋体" w:hAnsi="宋体" w:eastAsia="宋体" w:cs="宋体"/>
          <w:sz w:val="21"/>
          <w:szCs w:val="21"/>
          <w:highlight w:val="none"/>
          <w:lang w:val="en-US" w:eastAsia="zh-CN"/>
        </w:rPr>
        <w:t>承包费</w:t>
      </w:r>
      <w:r>
        <w:rPr>
          <w:rFonts w:hint="eastAsia" w:ascii="宋体" w:hAnsi="宋体" w:eastAsia="宋体" w:cs="宋体"/>
          <w:sz w:val="21"/>
          <w:szCs w:val="21"/>
          <w:highlight w:val="none"/>
          <w:lang w:eastAsia="zh-CN"/>
        </w:rPr>
        <w:t>中扣除；</w:t>
      </w:r>
    </w:p>
    <w:p w14:paraId="2D17571F">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乙方必须保证项目资金全部用于本项目，不被挪用，如因挪用不能够按时支付民工工资、材料和设备等费用，并造成停工、上访等事件的发生，甲方有权解除本合同，另行委托他人进行承包；或发现挪用后所有民工工资，将由甲方在垫江县小厦建筑有限公司民工集中账户按月直接打入民工账户上，待节点支付时扣除所有民工工资外的余款按合同直接划入乙方账户上。</w:t>
      </w:r>
    </w:p>
    <w:p w14:paraId="48B04558">
      <w:pPr>
        <w:pStyle w:val="71"/>
        <w:keepNext w:val="0"/>
        <w:keepLines w:val="0"/>
        <w:pageBreakBefore w:val="0"/>
        <w:kinsoku/>
        <w:wordWrap/>
        <w:overflowPunct/>
        <w:topLinePunct w:val="0"/>
        <w:autoSpaceDE/>
        <w:autoSpaceDN/>
        <w:bidi w:val="0"/>
        <w:spacing w:before="0" w:line="380" w:lineRule="exact"/>
        <w:ind w:left="0" w:leftChars="0" w:firstLine="420" w:firstLineChars="200"/>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11、按时支付民工工资，如果发生违反规定拖欠或克扣民工工资行为,或工资发放处置不力,导致民工有不同形式的上访、闹访、集访等事件的发生,主动接受人力资源社会保障、建设、公安等部门依照有关规定作出的处罚和决定，并承担一切损失。</w:t>
      </w:r>
    </w:p>
    <w:p w14:paraId="4CCE6F8D">
      <w:pPr>
        <w:rPr>
          <w:rFonts w:hint="eastAsia" w:ascii="宋体" w:hAnsi="宋体" w:eastAsia="宋体" w:cs="宋体"/>
          <w:sz w:val="21"/>
          <w:szCs w:val="21"/>
          <w:highlight w:val="none"/>
          <w:u w:val="single"/>
          <w:lang w:val="en-US"/>
        </w:rPr>
      </w:pPr>
      <w:r>
        <w:rPr>
          <w:rFonts w:hint="eastAsia" w:ascii="宋体" w:hAnsi="宋体" w:eastAsia="宋体" w:cs="宋体"/>
          <w:b w:val="0"/>
          <w:bCs w:val="0"/>
          <w:kern w:val="2"/>
          <w:sz w:val="21"/>
          <w:szCs w:val="21"/>
          <w:highlight w:val="none"/>
          <w:lang w:val="en-US" w:eastAsia="zh-CN" w:bidi="ar-SA"/>
        </w:rPr>
        <w:t xml:space="preserve">    12、</w:t>
      </w:r>
      <w:r>
        <w:rPr>
          <w:rFonts w:hint="eastAsia" w:ascii="宋体" w:hAnsi="宋体" w:eastAsia="宋体" w:cs="宋体"/>
          <w:b w:val="0"/>
          <w:bCs w:val="0"/>
          <w:kern w:val="2"/>
          <w:sz w:val="21"/>
          <w:szCs w:val="21"/>
          <w:highlight w:val="none"/>
          <w:u w:val="single"/>
          <w:lang w:val="en-US" w:eastAsia="zh-CN" w:bidi="ar-SA"/>
        </w:rPr>
        <w:t>乙方需提供取芯检查报告及验收相关的检测报告，并配合通过验收。</w:t>
      </w:r>
    </w:p>
    <w:p w14:paraId="3A7BC368">
      <w:pPr>
        <w:keepNext w:val="0"/>
        <w:keepLines w:val="0"/>
        <w:pageBreakBefore w:val="0"/>
        <w:widowControl w:val="0"/>
        <w:kinsoku/>
        <w:wordWrap/>
        <w:overflowPunct/>
        <w:topLinePunct w:val="0"/>
        <w:autoSpaceDE/>
        <w:autoSpaceDN/>
        <w:bidi w:val="0"/>
        <w:adjustRightInd/>
        <w:snapToGrid/>
        <w:spacing w:line="380" w:lineRule="exact"/>
        <w:ind w:left="0" w:leftChars="0"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第七条 安全生产与文明施工</w:t>
      </w:r>
    </w:p>
    <w:p w14:paraId="10507C85">
      <w:pPr>
        <w:keepNext w:val="0"/>
        <w:keepLines w:val="0"/>
        <w:pageBreakBefore w:val="0"/>
        <w:widowControl w:val="0"/>
        <w:kinsoku/>
        <w:wordWrap/>
        <w:overflowPunct/>
        <w:topLinePunct w:val="0"/>
        <w:autoSpaceDE/>
        <w:autoSpaceDN/>
        <w:bidi w:val="0"/>
        <w:adjustRightInd/>
        <w:snapToGrid/>
        <w:spacing w:line="380" w:lineRule="exact"/>
        <w:ind w:left="0" w:leftChars="0" w:firstLine="422" w:firstLineChars="200"/>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lang w:val="en-US" w:eastAsia="zh-CN"/>
        </w:rPr>
        <w:t>一、</w:t>
      </w:r>
      <w:r>
        <w:rPr>
          <w:rFonts w:hint="eastAsia" w:ascii="宋体" w:hAnsi="宋体" w:eastAsia="宋体" w:cs="宋体"/>
          <w:b/>
          <w:bCs/>
          <w:sz w:val="21"/>
          <w:szCs w:val="21"/>
          <w:highlight w:val="none"/>
        </w:rPr>
        <w:t>甲方的权利和义务</w:t>
      </w:r>
    </w:p>
    <w:p w14:paraId="4E3905EA">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应遵守国家法律法规、标准及其他安全生产管理规定。</w:t>
      </w:r>
    </w:p>
    <w:p w14:paraId="0644D096">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施工期间，应积极协调乙方做好现场的安全</w:t>
      </w:r>
      <w:r>
        <w:rPr>
          <w:rFonts w:hint="eastAsia" w:ascii="宋体" w:hAnsi="宋体" w:eastAsia="宋体" w:cs="宋体"/>
          <w:sz w:val="21"/>
          <w:szCs w:val="21"/>
          <w:highlight w:val="none"/>
          <w:lang w:val="en-US" w:eastAsia="zh-CN"/>
        </w:rPr>
        <w:t>生产</w:t>
      </w:r>
      <w:r>
        <w:rPr>
          <w:rFonts w:hint="eastAsia" w:ascii="宋体" w:hAnsi="宋体" w:eastAsia="宋体" w:cs="宋体"/>
          <w:sz w:val="21"/>
          <w:szCs w:val="21"/>
          <w:highlight w:val="none"/>
        </w:rPr>
        <w:t>管理工作，保证工程顺利进行。</w:t>
      </w:r>
    </w:p>
    <w:p w14:paraId="6A3BEE9E">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应当</w:t>
      </w:r>
      <w:r>
        <w:rPr>
          <w:rFonts w:hint="eastAsia" w:ascii="宋体" w:hAnsi="宋体" w:eastAsia="宋体" w:cs="宋体"/>
          <w:sz w:val="21"/>
          <w:szCs w:val="21"/>
          <w:highlight w:val="none"/>
          <w:lang w:val="en-US" w:eastAsia="zh-CN"/>
        </w:rPr>
        <w:t>向乙方进行</w:t>
      </w:r>
      <w:r>
        <w:rPr>
          <w:rFonts w:hint="eastAsia" w:ascii="宋体" w:hAnsi="宋体" w:eastAsia="宋体" w:cs="宋体"/>
          <w:sz w:val="21"/>
          <w:szCs w:val="21"/>
          <w:highlight w:val="none"/>
        </w:rPr>
        <w:t>安全</w:t>
      </w:r>
      <w:r>
        <w:rPr>
          <w:rFonts w:hint="eastAsia" w:ascii="宋体" w:hAnsi="宋体" w:eastAsia="宋体" w:cs="宋体"/>
          <w:sz w:val="21"/>
          <w:szCs w:val="21"/>
          <w:highlight w:val="none"/>
          <w:lang w:val="en-US" w:eastAsia="zh-CN"/>
        </w:rPr>
        <w:t>生产、环境保护和</w:t>
      </w:r>
      <w:r>
        <w:rPr>
          <w:rFonts w:hint="eastAsia" w:ascii="宋体" w:hAnsi="宋体" w:eastAsia="宋体" w:cs="宋体"/>
          <w:sz w:val="21"/>
          <w:szCs w:val="21"/>
          <w:highlight w:val="none"/>
        </w:rPr>
        <w:t>职业卫</w:t>
      </w:r>
      <w:r>
        <w:rPr>
          <w:rFonts w:hint="eastAsia" w:ascii="宋体" w:hAnsi="宋体" w:eastAsia="宋体" w:cs="宋体"/>
          <w:sz w:val="21"/>
          <w:szCs w:val="21"/>
          <w:highlight w:val="none"/>
          <w:lang w:val="en-US" w:eastAsia="zh-CN"/>
        </w:rPr>
        <w:t>生等方面的技术交底，并双方相关人员签字确认。</w:t>
      </w:r>
    </w:p>
    <w:p w14:paraId="3B4E3042">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不得对乙方提出不符合建设工程安全生产法律、法规和强制性规定的要求，对建设单位提出的压缩合同约定的工期的要求应征得乙方同意。</w:t>
      </w:r>
    </w:p>
    <w:p w14:paraId="71E714CA">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不得明示或暗示乙方购买、租赁、使用不符合安全施工要求的安全防护用具、机械设备、施工机具及配件、消防设施和器材。但甲方有权对乙方采购或租赁安全设备设施进行监督检验，对不符合安全生产条件的物资有权责令退场。</w:t>
      </w:r>
    </w:p>
    <w:p w14:paraId="2E79ADDB">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有权审查乙方按规定必要的人员持证上岗证明，对不具备资格的人员或相关人员有不良记录的，不允许其进入现场施工，有权拒绝为其办理平安卡。甲方有权审查乙方资质证书和安全生产许可证等证书，对不符合施工</w:t>
      </w:r>
      <w:r>
        <w:rPr>
          <w:rFonts w:hint="eastAsia" w:ascii="宋体" w:hAnsi="宋体" w:eastAsia="宋体" w:cs="宋体"/>
          <w:sz w:val="21"/>
          <w:szCs w:val="21"/>
          <w:highlight w:val="none"/>
          <w:lang w:val="en-US" w:eastAsia="zh-CN"/>
        </w:rPr>
        <w:t>要求</w:t>
      </w:r>
      <w:r>
        <w:rPr>
          <w:rFonts w:hint="eastAsia" w:ascii="宋体" w:hAnsi="宋体" w:eastAsia="宋体" w:cs="宋体"/>
          <w:sz w:val="21"/>
          <w:szCs w:val="21"/>
          <w:highlight w:val="none"/>
        </w:rPr>
        <w:t>的，有权拒绝其施工。</w:t>
      </w:r>
    </w:p>
    <w:p w14:paraId="0DD0F631">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发现乙方配备的专职安全管理人员不称职或不胜任安全管理工作，乙方必须服从甲方的要求，更换专职安全管理人员。</w:t>
      </w:r>
    </w:p>
    <w:p w14:paraId="72E4F2A4">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有权对乙方</w:t>
      </w:r>
      <w:r>
        <w:rPr>
          <w:rFonts w:hint="eastAsia" w:ascii="宋体" w:hAnsi="宋体" w:eastAsia="宋体" w:cs="宋体"/>
          <w:bCs/>
          <w:sz w:val="21"/>
          <w:szCs w:val="21"/>
          <w:highlight w:val="none"/>
        </w:rPr>
        <w:t>的工作区域、工作内容进行安全生产、职业健康监督和检查，发现存在安全隐患的，甲方有权下发隐患整改通知书，责令乙方进行整改。并依据相关的法律法规及甲方规章制度对乙方及其违章人员实施罚款及作出停工整改等措施，直至对乙方清退出场。</w:t>
      </w:r>
    </w:p>
    <w:p w14:paraId="3EEEFA7B">
      <w:pPr>
        <w:keepNext w:val="0"/>
        <w:keepLines w:val="0"/>
        <w:pageBreakBefore w:val="0"/>
        <w:kinsoku/>
        <w:wordWrap/>
        <w:overflowPunct/>
        <w:topLinePunct w:val="0"/>
        <w:autoSpaceDE/>
        <w:autoSpaceDN/>
        <w:bidi w:val="0"/>
        <w:spacing w:line="380" w:lineRule="exact"/>
        <w:ind w:left="0" w:leftChars="0"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二、</w:t>
      </w:r>
      <w:r>
        <w:rPr>
          <w:rFonts w:hint="eastAsia" w:ascii="宋体" w:hAnsi="宋体" w:eastAsia="宋体" w:cs="宋体"/>
          <w:b/>
          <w:bCs/>
          <w:sz w:val="21"/>
          <w:szCs w:val="21"/>
          <w:highlight w:val="none"/>
        </w:rPr>
        <w:t>乙方的权利和义务</w:t>
      </w:r>
    </w:p>
    <w:p w14:paraId="6792AC70">
      <w:pPr>
        <w:keepNext w:val="0"/>
        <w:keepLines w:val="0"/>
        <w:pageBreakBefore w:val="0"/>
        <w:kinsoku/>
        <w:wordWrap/>
        <w:overflowPunct/>
        <w:topLinePunct w:val="0"/>
        <w:autoSpaceDE/>
        <w:autoSpaceDN/>
        <w:bidi w:val="0"/>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应遵守国家法律法规、标准及其他安全生产管理规定</w:t>
      </w:r>
      <w:r>
        <w:rPr>
          <w:rFonts w:hint="eastAsia" w:ascii="宋体" w:hAnsi="宋体" w:eastAsia="宋体" w:cs="宋体"/>
          <w:sz w:val="21"/>
          <w:szCs w:val="21"/>
          <w:highlight w:val="none"/>
          <w:lang w:val="en-US" w:eastAsia="zh-CN"/>
        </w:rPr>
        <w:t>和</w:t>
      </w:r>
      <w:r>
        <w:rPr>
          <w:rFonts w:hint="eastAsia" w:ascii="宋体" w:hAnsi="宋体" w:eastAsia="宋体" w:cs="宋体"/>
          <w:sz w:val="21"/>
          <w:szCs w:val="21"/>
          <w:highlight w:val="none"/>
        </w:rPr>
        <w:t>甲方安全生产规章制度、方案要求，</w:t>
      </w:r>
      <w:r>
        <w:rPr>
          <w:rFonts w:hint="eastAsia" w:ascii="宋体" w:hAnsi="宋体" w:eastAsia="宋体" w:cs="宋体"/>
          <w:sz w:val="21"/>
          <w:szCs w:val="21"/>
          <w:highlight w:val="none"/>
          <w:lang w:eastAsia="zh-CN"/>
        </w:rPr>
        <w:t>严格按安全文明标准组织施工，并随时接受甲方、</w:t>
      </w:r>
      <w:r>
        <w:rPr>
          <w:rFonts w:hint="eastAsia" w:ascii="宋体" w:hAnsi="宋体" w:eastAsia="宋体" w:cs="宋体"/>
          <w:sz w:val="21"/>
          <w:szCs w:val="21"/>
          <w:highlight w:val="none"/>
          <w:lang w:val="en-US" w:eastAsia="zh-CN"/>
        </w:rPr>
        <w:t>建设单位</w:t>
      </w:r>
      <w:r>
        <w:rPr>
          <w:rFonts w:hint="eastAsia" w:ascii="宋体" w:hAnsi="宋体" w:eastAsia="宋体" w:cs="宋体"/>
          <w:sz w:val="21"/>
          <w:szCs w:val="21"/>
          <w:highlight w:val="none"/>
          <w:lang w:eastAsia="zh-CN"/>
        </w:rPr>
        <w:t>及行业安全检查人员依法实施的监督检查。采取必要的安全防护措施，消除安全隐患。由于乙方自身安全措施不力以及其他自身原因造成事故的责任和因此发生的费用，由乙方承担。因乙方责任而受到政府部门的相关处罚，或因侵害周围居民、单位的合法利益而造成赔偿，所发生的费用由乙方承担。</w:t>
      </w:r>
    </w:p>
    <w:p w14:paraId="223AC93F">
      <w:pPr>
        <w:keepNext w:val="0"/>
        <w:keepLines w:val="0"/>
        <w:pageBreakBefore w:val="0"/>
        <w:kinsoku/>
        <w:wordWrap/>
        <w:overflowPunct/>
        <w:topLinePunct w:val="0"/>
        <w:autoSpaceDE/>
        <w:autoSpaceDN/>
        <w:bidi w:val="0"/>
        <w:spacing w:line="380" w:lineRule="exact"/>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合理安排身体素质、技术水平、安全意识都符合要求的人员上岗，严禁使用未满18周岁人员，严禁使用有职业禁忌、患有妨碍工作病症的人员，严禁使用患有传染病、精神病的人员</w:t>
      </w:r>
      <w:r>
        <w:rPr>
          <w:rFonts w:hint="eastAsia" w:ascii="宋体" w:hAnsi="宋体" w:eastAsia="宋体" w:cs="宋体"/>
          <w:sz w:val="21"/>
          <w:szCs w:val="21"/>
          <w:highlight w:val="none"/>
          <w:lang w:eastAsia="zh-CN"/>
        </w:rPr>
        <w:t>岗。</w:t>
      </w:r>
      <w:r>
        <w:rPr>
          <w:rFonts w:hint="eastAsia" w:ascii="宋体" w:hAnsi="宋体" w:eastAsia="宋体" w:cs="宋体"/>
          <w:color w:val="000000"/>
          <w:sz w:val="21"/>
          <w:szCs w:val="21"/>
          <w:highlight w:val="none"/>
        </w:rPr>
        <w:t>及时向甲方提供作业人员的身份证信息，</w:t>
      </w:r>
      <w:r>
        <w:rPr>
          <w:rFonts w:hint="eastAsia" w:ascii="宋体" w:hAnsi="宋体" w:eastAsia="宋体" w:cs="宋体"/>
          <w:sz w:val="21"/>
          <w:szCs w:val="21"/>
          <w:highlight w:val="none"/>
        </w:rPr>
        <w:t>乙方从事有</w:t>
      </w:r>
      <w:r>
        <w:rPr>
          <w:rFonts w:hint="eastAsia" w:ascii="宋体" w:hAnsi="宋体" w:eastAsia="宋体" w:cs="宋体"/>
          <w:color w:val="000000"/>
          <w:sz w:val="21"/>
          <w:szCs w:val="21"/>
          <w:highlight w:val="none"/>
        </w:rPr>
        <w:t>职业病危害因素作业的人员，必须</w:t>
      </w:r>
      <w:r>
        <w:rPr>
          <w:rFonts w:hint="eastAsia" w:ascii="宋体" w:hAnsi="宋体" w:eastAsia="宋体" w:cs="宋体"/>
          <w:color w:val="000000"/>
          <w:sz w:val="21"/>
          <w:szCs w:val="21"/>
          <w:highlight w:val="none"/>
          <w:lang w:val="en-US" w:eastAsia="zh-CN"/>
        </w:rPr>
        <w:t>做好</w:t>
      </w:r>
      <w:r>
        <w:rPr>
          <w:rFonts w:hint="eastAsia" w:ascii="宋体" w:hAnsi="宋体" w:eastAsia="宋体" w:cs="宋体"/>
          <w:color w:val="000000"/>
          <w:sz w:val="21"/>
          <w:szCs w:val="21"/>
          <w:highlight w:val="none"/>
        </w:rPr>
        <w:t>上岗前、在岗期间</w:t>
      </w:r>
      <w:r>
        <w:rPr>
          <w:rFonts w:hint="eastAsia" w:ascii="宋体" w:hAnsi="宋体" w:eastAsia="宋体" w:cs="宋体"/>
          <w:color w:val="000000"/>
          <w:sz w:val="21"/>
          <w:szCs w:val="21"/>
          <w:highlight w:val="none"/>
          <w:lang w:val="en-US" w:eastAsia="zh-CN"/>
        </w:rPr>
        <w:t>和离岗时的</w:t>
      </w:r>
      <w:r>
        <w:rPr>
          <w:rFonts w:hint="eastAsia" w:ascii="宋体" w:hAnsi="宋体" w:eastAsia="宋体" w:cs="宋体"/>
          <w:color w:val="000000"/>
          <w:sz w:val="21"/>
          <w:szCs w:val="21"/>
          <w:highlight w:val="none"/>
        </w:rPr>
        <w:t>职业健康体检。</w:t>
      </w:r>
    </w:p>
    <w:p w14:paraId="66717777">
      <w:pPr>
        <w:keepNext w:val="0"/>
        <w:keepLines w:val="0"/>
        <w:pageBreakBefore w:val="0"/>
        <w:kinsoku/>
        <w:wordWrap/>
        <w:overflowPunct/>
        <w:topLinePunct w:val="0"/>
        <w:autoSpaceDE/>
        <w:autoSpaceDN/>
        <w:bidi w:val="0"/>
        <w:spacing w:line="38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应当依法与从业人员订立劳动合同，载明有关保障从业人员劳动安全、防止职业病危害的事项。</w:t>
      </w:r>
      <w:r>
        <w:rPr>
          <w:rFonts w:hint="eastAsia" w:ascii="宋体" w:hAnsi="宋体" w:eastAsia="宋体" w:cs="宋体"/>
          <w:sz w:val="21"/>
          <w:szCs w:val="21"/>
          <w:highlight w:val="none"/>
          <w:lang w:val="en-US" w:eastAsia="zh-CN"/>
        </w:rPr>
        <w:t>必须为施工人员办理意外伤害保险，并对施工场地内自有人员生命财产和施工机械设备办理保险，且承担保险费用。</w:t>
      </w:r>
    </w:p>
    <w:p w14:paraId="184560B5">
      <w:pPr>
        <w:keepNext w:val="0"/>
        <w:keepLines w:val="0"/>
        <w:pageBreakBefore w:val="0"/>
        <w:kinsoku/>
        <w:wordWrap/>
        <w:overflowPunct/>
        <w:topLinePunct w:val="0"/>
        <w:autoSpaceDE/>
        <w:autoSpaceDN/>
        <w:bidi w:val="0"/>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应当主动接受甲方的安全</w:t>
      </w:r>
      <w:r>
        <w:rPr>
          <w:rFonts w:hint="eastAsia" w:ascii="宋体" w:hAnsi="宋体" w:eastAsia="宋体" w:cs="宋体"/>
          <w:sz w:val="21"/>
          <w:szCs w:val="21"/>
          <w:highlight w:val="none"/>
          <w:lang w:val="en-US" w:eastAsia="zh-CN"/>
        </w:rPr>
        <w:t>生产、环境保护和</w:t>
      </w:r>
      <w:r>
        <w:rPr>
          <w:rFonts w:hint="eastAsia" w:ascii="宋体" w:hAnsi="宋体" w:eastAsia="宋体" w:cs="宋体"/>
          <w:sz w:val="21"/>
          <w:szCs w:val="21"/>
          <w:highlight w:val="none"/>
        </w:rPr>
        <w:t>职业卫</w:t>
      </w:r>
      <w:r>
        <w:rPr>
          <w:rFonts w:hint="eastAsia" w:ascii="宋体" w:hAnsi="宋体" w:eastAsia="宋体" w:cs="宋体"/>
          <w:sz w:val="21"/>
          <w:szCs w:val="21"/>
          <w:highlight w:val="none"/>
          <w:lang w:val="en-US" w:eastAsia="zh-CN"/>
        </w:rPr>
        <w:t>生等方面的技术交底，</w:t>
      </w:r>
      <w:r>
        <w:rPr>
          <w:rFonts w:hint="eastAsia" w:ascii="宋体" w:hAnsi="宋体" w:eastAsia="宋体" w:cs="宋体"/>
          <w:sz w:val="21"/>
          <w:szCs w:val="21"/>
          <w:highlight w:val="none"/>
          <w:lang w:eastAsia="zh-CN"/>
        </w:rPr>
        <w:t>应对其在施工场地的</w:t>
      </w:r>
      <w:r>
        <w:rPr>
          <w:rFonts w:hint="eastAsia" w:ascii="宋体" w:hAnsi="宋体" w:eastAsia="宋体" w:cs="宋体"/>
          <w:sz w:val="21"/>
          <w:szCs w:val="21"/>
          <w:highlight w:val="none"/>
          <w:lang w:val="en-US" w:eastAsia="zh-CN"/>
        </w:rPr>
        <w:t>作业</w:t>
      </w:r>
      <w:r>
        <w:rPr>
          <w:rFonts w:hint="eastAsia" w:ascii="宋体" w:hAnsi="宋体" w:eastAsia="宋体" w:cs="宋体"/>
          <w:sz w:val="21"/>
          <w:szCs w:val="21"/>
          <w:highlight w:val="none"/>
          <w:lang w:eastAsia="zh-CN"/>
        </w:rPr>
        <w:t>人员进行安全教育，签订安全责任书和安全技术交底书，</w:t>
      </w:r>
      <w:r>
        <w:rPr>
          <w:rFonts w:hint="eastAsia" w:ascii="宋体" w:hAnsi="宋体" w:eastAsia="宋体" w:cs="宋体"/>
          <w:sz w:val="21"/>
          <w:szCs w:val="21"/>
          <w:highlight w:val="none"/>
        </w:rPr>
        <w:t>接受甲方的安全监督，并依法教育和督促乙方人员严格执行安全生产、职业健康规章制度和安全操作规程，如实告知作业场所和工作岗位存在的危险因素、防范措施以及事故应急措施</w:t>
      </w:r>
      <w:r>
        <w:rPr>
          <w:rFonts w:hint="eastAsia" w:ascii="宋体" w:hAnsi="宋体" w:eastAsia="宋体" w:cs="宋体"/>
          <w:sz w:val="21"/>
          <w:szCs w:val="21"/>
          <w:highlight w:val="none"/>
          <w:lang w:val="en-US" w:eastAsia="zh-CN"/>
        </w:rPr>
        <w:t>等</w:t>
      </w:r>
      <w:r>
        <w:rPr>
          <w:rFonts w:hint="eastAsia" w:ascii="宋体" w:hAnsi="宋体" w:eastAsia="宋体" w:cs="宋体"/>
          <w:sz w:val="21"/>
          <w:szCs w:val="21"/>
          <w:highlight w:val="none"/>
        </w:rPr>
        <w:t>。</w:t>
      </w:r>
    </w:p>
    <w:p w14:paraId="7FE8A511">
      <w:pPr>
        <w:keepNext w:val="0"/>
        <w:keepLines w:val="0"/>
        <w:pageBreakBefore w:val="0"/>
        <w:kinsoku/>
        <w:wordWrap/>
        <w:overflowPunct/>
        <w:topLinePunct w:val="0"/>
        <w:autoSpaceDE/>
        <w:autoSpaceDN/>
        <w:bidi w:val="0"/>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应向甲方提交资质证书和安全生产许可证等证书，接受甲方的审查，按照规定为所有员工办理平安卡，严格按平安卡制度要求，刷卡进出施工现场。</w:t>
      </w:r>
    </w:p>
    <w:p w14:paraId="4D16D4C0">
      <w:pPr>
        <w:keepNext w:val="0"/>
        <w:keepLines w:val="0"/>
        <w:pageBreakBefore w:val="0"/>
        <w:kinsoku/>
        <w:wordWrap/>
        <w:overflowPunct/>
        <w:topLinePunct w:val="0"/>
        <w:autoSpaceDE/>
        <w:autoSpaceDN/>
        <w:bidi w:val="0"/>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对本单位施工安全工作直接负责，依法配备安全生产管理人员</w:t>
      </w:r>
      <w:r>
        <w:rPr>
          <w:rFonts w:hint="eastAsia" w:ascii="宋体" w:hAnsi="宋体" w:eastAsia="宋体" w:cs="宋体"/>
          <w:color w:val="000000"/>
          <w:sz w:val="21"/>
          <w:szCs w:val="21"/>
          <w:highlight w:val="none"/>
        </w:rPr>
        <w:t>和专职或兼职的职业卫生管理人员</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其</w:t>
      </w:r>
      <w:r>
        <w:rPr>
          <w:rFonts w:hint="eastAsia" w:ascii="宋体" w:hAnsi="宋体" w:eastAsia="宋体" w:cs="宋体"/>
          <w:sz w:val="21"/>
          <w:szCs w:val="21"/>
          <w:highlight w:val="none"/>
        </w:rPr>
        <w:t>配备的专职安全管理人员应接受甲方监督指导和调配，发现违章指挥、违章操作和违反劳动纪律的，应当立即制止。</w:t>
      </w:r>
    </w:p>
    <w:p w14:paraId="443F748E">
      <w:pPr>
        <w:keepNext w:val="0"/>
        <w:keepLines w:val="0"/>
        <w:pageBreakBefore w:val="0"/>
        <w:kinsoku/>
        <w:wordWrap/>
        <w:overflowPunct/>
        <w:topLinePunct w:val="0"/>
        <w:autoSpaceDE/>
        <w:autoSpaceDN/>
        <w:bidi w:val="0"/>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应严格审核本单位特种作业人员的上岗资质，所有特种作业人员均应持证上岗，相关人员上岗证明资料提交至甲方备案，并接受甲方的检查。从事特种作业或危险作业时，乙方应配备安全防护设施或设备，并有专人负责现场安全。</w:t>
      </w:r>
    </w:p>
    <w:p w14:paraId="2AC027CE">
      <w:pPr>
        <w:keepNext w:val="0"/>
        <w:keepLines w:val="0"/>
        <w:pageBreakBefore w:val="0"/>
        <w:kinsoku/>
        <w:wordWrap/>
        <w:overflowPunct/>
        <w:topLinePunct w:val="0"/>
        <w:autoSpaceDE/>
        <w:autoSpaceDN/>
        <w:bidi w:val="0"/>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8、由乙方负责购买</w:t>
      </w:r>
      <w:r>
        <w:rPr>
          <w:rFonts w:hint="eastAsia" w:ascii="宋体" w:hAnsi="宋体" w:eastAsia="宋体" w:cs="宋体"/>
          <w:sz w:val="21"/>
          <w:szCs w:val="21"/>
          <w:highlight w:val="none"/>
        </w:rPr>
        <w:t>提供的安全帽、安全带、安全网和</w:t>
      </w:r>
      <w:r>
        <w:rPr>
          <w:rFonts w:hint="eastAsia" w:ascii="宋体" w:hAnsi="宋体" w:eastAsia="宋体" w:cs="宋体"/>
          <w:color w:val="000000"/>
          <w:sz w:val="21"/>
          <w:szCs w:val="21"/>
          <w:highlight w:val="none"/>
        </w:rPr>
        <w:t>防治职业病要求的个人防护用品</w:t>
      </w:r>
      <w:r>
        <w:rPr>
          <w:rFonts w:hint="eastAsia" w:ascii="宋体" w:hAnsi="宋体" w:eastAsia="宋体" w:cs="宋体"/>
          <w:color w:val="000000"/>
          <w:sz w:val="21"/>
          <w:szCs w:val="21"/>
          <w:highlight w:val="none"/>
          <w:lang w:val="en-US" w:eastAsia="zh-CN"/>
        </w:rPr>
        <w:t>等</w:t>
      </w:r>
      <w:r>
        <w:rPr>
          <w:rFonts w:hint="eastAsia" w:ascii="宋体" w:hAnsi="宋体" w:eastAsia="宋体" w:cs="宋体"/>
          <w:sz w:val="21"/>
          <w:szCs w:val="21"/>
          <w:highlight w:val="none"/>
        </w:rPr>
        <w:t>必须按符合国家标准或者行业标准的劳动防护用品品牌购买，接受甲方的查验，并监督、教育从业人员按照使用规定正确佩戴、使用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zh-CN" w:eastAsia="zh-CN"/>
        </w:rPr>
        <w:t>未按规定使用安全防护用品</w:t>
      </w:r>
      <w:r>
        <w:rPr>
          <w:rFonts w:hint="eastAsia" w:ascii="宋体" w:hAnsi="宋体" w:eastAsia="宋体" w:cs="宋体"/>
          <w:sz w:val="21"/>
          <w:szCs w:val="21"/>
          <w:highlight w:val="none"/>
          <w:lang w:val="en-US" w:eastAsia="zh-CN"/>
        </w:rPr>
        <w:t>按</w:t>
      </w:r>
      <w:r>
        <w:rPr>
          <w:rFonts w:hint="eastAsia" w:ascii="宋体" w:hAnsi="宋体" w:eastAsia="宋体" w:cs="宋体"/>
          <w:sz w:val="21"/>
          <w:szCs w:val="21"/>
          <w:highlight w:val="none"/>
          <w:lang w:val="zh-CN" w:eastAsia="zh-CN"/>
        </w:rPr>
        <w:t>100</w:t>
      </w:r>
      <w:r>
        <w:rPr>
          <w:rFonts w:hint="eastAsia" w:ascii="宋体" w:hAnsi="宋体" w:eastAsia="宋体" w:cs="宋体"/>
          <w:sz w:val="21"/>
          <w:szCs w:val="21"/>
          <w:highlight w:val="none"/>
          <w:lang w:val="en-US" w:eastAsia="zh-CN"/>
        </w:rPr>
        <w:t>.00</w:t>
      </w:r>
      <w:r>
        <w:rPr>
          <w:rFonts w:hint="eastAsia" w:ascii="宋体" w:hAnsi="宋体" w:eastAsia="宋体" w:cs="宋体"/>
          <w:sz w:val="21"/>
          <w:szCs w:val="21"/>
          <w:highlight w:val="none"/>
          <w:lang w:val="zh-CN" w:eastAsia="zh-CN"/>
        </w:rPr>
        <w:t>元/次/人</w:t>
      </w:r>
      <w:r>
        <w:rPr>
          <w:rFonts w:hint="eastAsia" w:ascii="宋体" w:hAnsi="宋体" w:eastAsia="宋体" w:cs="宋体"/>
          <w:sz w:val="21"/>
          <w:szCs w:val="21"/>
          <w:highlight w:val="none"/>
          <w:lang w:eastAsia="zh-CN"/>
        </w:rPr>
        <w:t>收取乙方违约金</w:t>
      </w:r>
      <w:r>
        <w:rPr>
          <w:rFonts w:hint="eastAsia" w:ascii="宋体" w:hAnsi="宋体" w:eastAsia="宋体" w:cs="宋体"/>
          <w:sz w:val="21"/>
          <w:szCs w:val="21"/>
          <w:highlight w:val="none"/>
        </w:rPr>
        <w:t>。合同约定由乙方提供的用于安全防护的设备、设施装置，在使用前，应由甲方组织相关方进行专项验收确认合格后方可投入使用。</w:t>
      </w:r>
    </w:p>
    <w:p w14:paraId="28368528">
      <w:pPr>
        <w:keepNext w:val="0"/>
        <w:keepLines w:val="0"/>
        <w:pageBreakBefore w:val="0"/>
        <w:kinsoku/>
        <w:wordWrap/>
        <w:overflowPunct/>
        <w:topLinePunct w:val="0"/>
        <w:autoSpaceDE/>
        <w:autoSpaceDN/>
        <w:bidi w:val="0"/>
        <w:spacing w:line="38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乙方作业前应对工作区域进行安全检查，如发现存在安全隐患，应整改完毕后才能施工。</w:t>
      </w:r>
      <w:r>
        <w:rPr>
          <w:rFonts w:hint="eastAsia" w:ascii="宋体" w:hAnsi="宋体" w:eastAsia="宋体" w:cs="宋体"/>
          <w:sz w:val="21"/>
          <w:szCs w:val="21"/>
          <w:highlight w:val="none"/>
          <w:lang w:val="en-US" w:eastAsia="zh-CN"/>
        </w:rPr>
        <w:t>施工过程中</w:t>
      </w:r>
      <w:r>
        <w:rPr>
          <w:rFonts w:hint="eastAsia" w:ascii="宋体" w:hAnsi="宋体" w:eastAsia="宋体" w:cs="宋体"/>
          <w:sz w:val="21"/>
          <w:szCs w:val="21"/>
          <w:highlight w:val="none"/>
          <w:lang w:eastAsia="zh-CN"/>
        </w:rPr>
        <w:t>乙方应保持场地整洁，做到工完场清，直到甲方满意</w:t>
      </w:r>
      <w:r>
        <w:rPr>
          <w:rFonts w:hint="eastAsia" w:ascii="宋体" w:hAnsi="宋体" w:eastAsia="宋体" w:cs="宋体"/>
          <w:sz w:val="21"/>
          <w:szCs w:val="21"/>
          <w:highlight w:val="none"/>
          <w:lang w:val="en-US" w:eastAsia="zh-CN"/>
        </w:rPr>
        <w:t>为止</w:t>
      </w:r>
      <w:r>
        <w:rPr>
          <w:rFonts w:hint="eastAsia" w:ascii="宋体" w:hAnsi="宋体" w:eastAsia="宋体" w:cs="宋体"/>
          <w:sz w:val="21"/>
          <w:szCs w:val="21"/>
          <w:highlight w:val="none"/>
          <w:lang w:eastAsia="zh-CN"/>
        </w:rPr>
        <w:t>，所有垃圾由乙方外运（渣场自找），</w:t>
      </w:r>
      <w:r>
        <w:rPr>
          <w:rFonts w:hint="eastAsia" w:ascii="宋体" w:hAnsi="宋体" w:eastAsia="宋体" w:cs="宋体"/>
          <w:sz w:val="21"/>
          <w:szCs w:val="21"/>
          <w:highlight w:val="none"/>
          <w:lang w:val="en-US" w:eastAsia="zh-CN"/>
        </w:rPr>
        <w:t>产生的费用由乙方自行承担</w:t>
      </w:r>
      <w:r>
        <w:rPr>
          <w:rFonts w:hint="eastAsia" w:ascii="宋体" w:hAnsi="宋体" w:eastAsia="宋体" w:cs="宋体"/>
          <w:sz w:val="21"/>
          <w:szCs w:val="21"/>
          <w:highlight w:val="none"/>
          <w:lang w:eastAsia="zh-CN"/>
        </w:rPr>
        <w:t>。</w:t>
      </w:r>
    </w:p>
    <w:p w14:paraId="6806BE5C">
      <w:pPr>
        <w:keepNext w:val="0"/>
        <w:keepLines w:val="0"/>
        <w:pageBreakBefore w:val="0"/>
        <w:kinsoku/>
        <w:wordWrap/>
        <w:overflowPunct/>
        <w:topLinePunct w:val="0"/>
        <w:autoSpaceDE/>
        <w:autoSpaceDN/>
        <w:bidi w:val="0"/>
        <w:spacing w:line="380" w:lineRule="exact"/>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sz w:val="21"/>
          <w:szCs w:val="21"/>
          <w:highlight w:val="none"/>
          <w:lang w:val="en-US" w:eastAsia="zh-CN"/>
        </w:rPr>
        <w:t>10、</w:t>
      </w:r>
      <w:r>
        <w:rPr>
          <w:rFonts w:hint="eastAsia" w:ascii="宋体" w:hAnsi="宋体" w:eastAsia="宋体" w:cs="宋体"/>
          <w:color w:val="000000"/>
          <w:sz w:val="21"/>
          <w:szCs w:val="21"/>
          <w:highlight w:val="none"/>
        </w:rPr>
        <w:t>乙方作业人员不准乱动与本工种无关的电气设备、机械设备和工具，不准擅自到非本工作范围以外的其他区域活动。</w:t>
      </w:r>
    </w:p>
    <w:p w14:paraId="762B4546">
      <w:pPr>
        <w:keepNext w:val="0"/>
        <w:keepLines w:val="0"/>
        <w:pageBreakBefore w:val="0"/>
        <w:kinsoku/>
        <w:wordWrap/>
        <w:overflowPunct/>
        <w:topLinePunct w:val="0"/>
        <w:autoSpaceDE/>
        <w:autoSpaceDN/>
        <w:bidi w:val="0"/>
        <w:spacing w:line="380" w:lineRule="exact"/>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sz w:val="21"/>
          <w:szCs w:val="21"/>
          <w:highlight w:val="none"/>
          <w:lang w:val="en-US" w:eastAsia="zh-CN"/>
        </w:rPr>
        <w:t>11、</w:t>
      </w:r>
      <w:r>
        <w:rPr>
          <w:rFonts w:hint="eastAsia" w:ascii="宋体" w:hAnsi="宋体" w:eastAsia="宋体" w:cs="宋体"/>
          <w:color w:val="000000"/>
          <w:sz w:val="21"/>
          <w:szCs w:val="21"/>
          <w:highlight w:val="none"/>
        </w:rPr>
        <w:t>乙方应当在施工现场出入口处、临时用电设施、脚手架、基坑边沿、高处作业、爆破物处等危险部位，设置明显的安全及职业病危害警示标志。安全及职业病危害警示标志必须符合国家标准。施工现场设置的安全防护设施、安全标志和警告牌，不得擅自拆除、变动。如确实需要拆除、变动的，必须经甲方的同意，并采取必要、可靠的安全措施后方能拆除。擅自拆除所造成的后果，均由乙方负责。</w:t>
      </w:r>
    </w:p>
    <w:p w14:paraId="0F2ED6C0">
      <w:pPr>
        <w:keepNext w:val="0"/>
        <w:keepLines w:val="0"/>
        <w:pageBreakBefore w:val="0"/>
        <w:kinsoku/>
        <w:wordWrap/>
        <w:overflowPunct/>
        <w:topLinePunct w:val="0"/>
        <w:autoSpaceDE/>
        <w:autoSpaceDN/>
        <w:bidi w:val="0"/>
        <w:spacing w:line="380" w:lineRule="exact"/>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sz w:val="21"/>
          <w:szCs w:val="21"/>
          <w:highlight w:val="none"/>
          <w:lang w:val="en-US" w:eastAsia="zh-CN"/>
        </w:rPr>
        <w:t>12、</w:t>
      </w:r>
      <w:r>
        <w:rPr>
          <w:rFonts w:hint="eastAsia" w:ascii="宋体" w:hAnsi="宋体" w:eastAsia="宋体" w:cs="宋体"/>
          <w:color w:val="000000"/>
          <w:sz w:val="21"/>
          <w:szCs w:val="21"/>
          <w:highlight w:val="none"/>
        </w:rPr>
        <w:t>乙方应当根据不同施工阶段和周围环境及季节、气候的变化，在施工现场采取相应的安全施工措施，但该安全施工措施在实施前必须经甲方同意。</w:t>
      </w:r>
    </w:p>
    <w:p w14:paraId="6E75B6FC">
      <w:pPr>
        <w:keepNext w:val="0"/>
        <w:keepLines w:val="0"/>
        <w:pageBreakBefore w:val="0"/>
        <w:kinsoku/>
        <w:wordWrap/>
        <w:overflowPunct/>
        <w:topLinePunct w:val="0"/>
        <w:autoSpaceDE/>
        <w:autoSpaceDN/>
        <w:bidi w:val="0"/>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13、</w:t>
      </w:r>
      <w:r>
        <w:rPr>
          <w:rFonts w:hint="eastAsia" w:ascii="宋体" w:hAnsi="宋体" w:eastAsia="宋体" w:cs="宋体"/>
          <w:sz w:val="21"/>
          <w:szCs w:val="21"/>
          <w:highlight w:val="none"/>
        </w:rPr>
        <w:t>乙方在接到甲方发出的隐患整改通知书后，必须按整改要求、整改期限落实整改措施组织整改，如整改不力而被甲方责令停工或处罚，所造成的损失由乙方全部承担</w:t>
      </w:r>
      <w:r>
        <w:rPr>
          <w:rFonts w:hint="eastAsia" w:ascii="宋体" w:hAnsi="宋体" w:eastAsia="宋体" w:cs="宋体"/>
          <w:sz w:val="21"/>
          <w:szCs w:val="21"/>
          <w:highlight w:val="none"/>
          <w:lang w:eastAsia="zh-CN"/>
        </w:rPr>
        <w:t>，且按情节严重情况</w:t>
      </w:r>
      <w:r>
        <w:rPr>
          <w:rFonts w:hint="eastAsia" w:ascii="宋体" w:hAnsi="宋体" w:eastAsia="宋体" w:cs="宋体"/>
          <w:color w:val="000000"/>
          <w:sz w:val="21"/>
          <w:szCs w:val="21"/>
          <w:highlight w:val="none"/>
          <w:lang w:val="en-US" w:eastAsia="zh-CN"/>
        </w:rPr>
        <w:t>甲方有权按其规定对乙方违规行为进行最低1000元/次的违约处理</w:t>
      </w:r>
      <w:r>
        <w:rPr>
          <w:rFonts w:hint="eastAsia" w:ascii="宋体" w:hAnsi="宋体" w:eastAsia="宋体" w:cs="宋体"/>
          <w:sz w:val="21"/>
          <w:szCs w:val="21"/>
          <w:highlight w:val="none"/>
        </w:rPr>
        <w:t>。</w:t>
      </w:r>
    </w:p>
    <w:p w14:paraId="1076F77B">
      <w:pPr>
        <w:keepNext w:val="0"/>
        <w:keepLines w:val="0"/>
        <w:pageBreakBefore w:val="0"/>
        <w:kinsoku/>
        <w:wordWrap/>
        <w:overflowPunct/>
        <w:topLinePunct w:val="0"/>
        <w:autoSpaceDE/>
        <w:autoSpaceDN/>
        <w:bidi w:val="0"/>
        <w:spacing w:line="380" w:lineRule="exact"/>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14、</w:t>
      </w:r>
      <w:r>
        <w:rPr>
          <w:rFonts w:hint="eastAsia" w:ascii="宋体" w:hAnsi="宋体" w:eastAsia="宋体" w:cs="宋体"/>
          <w:color w:val="000000"/>
          <w:sz w:val="21"/>
          <w:szCs w:val="21"/>
          <w:highlight w:val="none"/>
        </w:rPr>
        <w:t>由于乙方的责任，导致建设单位或其他单位在设备、生产、安全、文明施工受到人员伤害、经济损失和影响，由乙方负主要法律责任，并承担经济赔偿。</w:t>
      </w:r>
    </w:p>
    <w:p w14:paraId="1F5C470B">
      <w:pPr>
        <w:keepNext w:val="0"/>
        <w:keepLines w:val="0"/>
        <w:pageBreakBefore w:val="0"/>
        <w:kinsoku/>
        <w:wordWrap/>
        <w:overflowPunct/>
        <w:topLinePunct w:val="0"/>
        <w:autoSpaceDE/>
        <w:autoSpaceDN/>
        <w:bidi w:val="0"/>
        <w:spacing w:line="38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color w:val="000000"/>
          <w:sz w:val="21"/>
          <w:szCs w:val="21"/>
          <w:highlight w:val="none"/>
          <w:lang w:val="en-US" w:eastAsia="zh-CN"/>
        </w:rPr>
        <w:t>15、乙方承诺遵守政府、甲方及建设等单位的安全文明施工管理规定，如有违反甲方有权按其规定对乙方违规行为进行100~1000元/次的违约处理</w:t>
      </w:r>
      <w:r>
        <w:rPr>
          <w:rFonts w:hint="eastAsia" w:ascii="宋体" w:hAnsi="宋体" w:eastAsia="宋体" w:cs="宋体"/>
          <w:color w:val="000000"/>
          <w:sz w:val="21"/>
          <w:szCs w:val="21"/>
          <w:highlight w:val="none"/>
          <w:lang w:eastAsia="zh-CN"/>
        </w:rPr>
        <w:t>。</w:t>
      </w:r>
    </w:p>
    <w:p w14:paraId="480CC466">
      <w:pPr>
        <w:keepNext w:val="0"/>
        <w:keepLines w:val="0"/>
        <w:pageBreakBefore w:val="0"/>
        <w:kinsoku/>
        <w:wordWrap/>
        <w:overflowPunct/>
        <w:topLinePunct w:val="0"/>
        <w:autoSpaceDE/>
        <w:autoSpaceDN/>
        <w:bidi w:val="0"/>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lang w:val="en-US" w:eastAsia="zh-CN"/>
        </w:rPr>
        <w:t>16、</w:t>
      </w:r>
      <w:r>
        <w:rPr>
          <w:rFonts w:hint="eastAsia" w:ascii="宋体" w:hAnsi="宋体" w:eastAsia="宋体" w:cs="宋体"/>
          <w:color w:val="000000"/>
          <w:sz w:val="21"/>
          <w:szCs w:val="21"/>
          <w:highlight w:val="none"/>
        </w:rPr>
        <w:t>乙方在施工中发生生产安全事故、职业病危害事故，在场人员必须及时组织抢救伤员和保护事故现场，并立即上报甲方。配合甲方进行事故调查，根据调查结果认定的责任接受处罚。</w:t>
      </w:r>
    </w:p>
    <w:p w14:paraId="4032C4C0">
      <w:pPr>
        <w:keepNext w:val="0"/>
        <w:keepLines w:val="0"/>
        <w:pageBreakBefore w:val="0"/>
        <w:widowControl w:val="0"/>
        <w:kinsoku/>
        <w:wordWrap/>
        <w:overflowPunct/>
        <w:topLinePunct w:val="0"/>
        <w:autoSpaceDE/>
        <w:autoSpaceDN/>
        <w:bidi w:val="0"/>
        <w:adjustRightInd/>
        <w:snapToGrid/>
        <w:spacing w:line="380" w:lineRule="exact"/>
        <w:ind w:left="0" w:leftChars="0"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第八条  保密</w:t>
      </w:r>
    </w:p>
    <w:p w14:paraId="0BE17000">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1、在合同履行期间，乙方所获得的图纸资料及在施工过程中所取得的与履行合同有关的工作成果属甲方所有，乙方负有保密义务。未经甲方书面同意，乙方不得在合同期内或合同履行完毕后以任何方式泄露</w:t>
      </w:r>
      <w:r>
        <w:rPr>
          <w:rFonts w:hint="eastAsia" w:ascii="宋体" w:hAnsi="宋体" w:eastAsia="宋体" w:cs="宋体"/>
          <w:sz w:val="21"/>
          <w:szCs w:val="21"/>
          <w:highlight w:val="none"/>
          <w:lang w:eastAsia="zh-CN"/>
        </w:rPr>
        <w:t>；</w:t>
      </w:r>
    </w:p>
    <w:p w14:paraId="4F3B7CD6">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2、未经甲方书面同意，乙方不得把与合同有关的资料给出版社和新闻机构发表或学术引用，或者使用本合同任何部分进行促销和做广告宣传</w:t>
      </w:r>
      <w:r>
        <w:rPr>
          <w:rFonts w:hint="eastAsia" w:ascii="宋体" w:hAnsi="宋体" w:eastAsia="宋体" w:cs="宋体"/>
          <w:sz w:val="21"/>
          <w:szCs w:val="21"/>
          <w:highlight w:val="none"/>
          <w:lang w:eastAsia="zh-CN"/>
        </w:rPr>
        <w:t>；</w:t>
      </w:r>
    </w:p>
    <w:p w14:paraId="441C5D79">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3、未经甲方书面同意，乙方不得应用本工程图纸资料</w:t>
      </w:r>
      <w:r>
        <w:rPr>
          <w:rFonts w:hint="eastAsia" w:ascii="宋体" w:hAnsi="宋体" w:eastAsia="宋体" w:cs="宋体"/>
          <w:sz w:val="21"/>
          <w:szCs w:val="21"/>
          <w:highlight w:val="none"/>
          <w:lang w:eastAsia="zh-CN"/>
        </w:rPr>
        <w:t>；</w:t>
      </w:r>
    </w:p>
    <w:p w14:paraId="5D78DB79">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4、对于乙方使用的新技术和新方法，甲方负有保密义务，未经乙方书面同意，不得以任何方式泄露</w:t>
      </w:r>
      <w:r>
        <w:rPr>
          <w:rFonts w:hint="eastAsia" w:ascii="宋体" w:hAnsi="宋体" w:eastAsia="宋体" w:cs="宋体"/>
          <w:sz w:val="21"/>
          <w:szCs w:val="21"/>
          <w:highlight w:val="none"/>
          <w:lang w:eastAsia="zh-CN"/>
        </w:rPr>
        <w:t>；</w:t>
      </w:r>
    </w:p>
    <w:p w14:paraId="4CDB8788">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5、本合同的保密条款在合同解除或终止后，保密资料依法定途径公开前，同样具有约束力。</w:t>
      </w:r>
    </w:p>
    <w:p w14:paraId="2D426D02">
      <w:pPr>
        <w:keepNext w:val="0"/>
        <w:keepLines w:val="0"/>
        <w:pageBreakBefore w:val="0"/>
        <w:widowControl w:val="0"/>
        <w:kinsoku/>
        <w:wordWrap/>
        <w:overflowPunct/>
        <w:topLinePunct w:val="0"/>
        <w:autoSpaceDE/>
        <w:autoSpaceDN/>
        <w:bidi w:val="0"/>
        <w:adjustRightInd/>
        <w:snapToGrid/>
        <w:spacing w:line="380" w:lineRule="exact"/>
        <w:ind w:left="0" w:leftChars="0"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第九条 合同解除</w:t>
      </w:r>
    </w:p>
    <w:p w14:paraId="506FF1FC">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1、乙方有下列情形的，甲方有权解除合同：</w:t>
      </w:r>
    </w:p>
    <w:p w14:paraId="368E2CC5">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未</w:t>
      </w:r>
      <w:r>
        <w:rPr>
          <w:rFonts w:hint="eastAsia" w:ascii="宋体" w:hAnsi="宋体" w:eastAsia="宋体" w:cs="宋体"/>
          <w:sz w:val="21"/>
          <w:szCs w:val="21"/>
          <w:highlight w:val="none"/>
        </w:rPr>
        <w:t>按设计规范要求施工，</w:t>
      </w:r>
      <w:r>
        <w:rPr>
          <w:rFonts w:hint="eastAsia" w:ascii="宋体" w:hAnsi="宋体" w:eastAsia="宋体" w:cs="宋体"/>
          <w:sz w:val="21"/>
          <w:szCs w:val="21"/>
          <w:highlight w:val="none"/>
          <w:lang w:eastAsia="zh-CN"/>
        </w:rPr>
        <w:t>甲方或</w:t>
      </w:r>
      <w:r>
        <w:rPr>
          <w:rFonts w:hint="eastAsia" w:ascii="宋体" w:hAnsi="宋体" w:eastAsia="宋体" w:cs="宋体"/>
          <w:sz w:val="21"/>
          <w:szCs w:val="21"/>
          <w:highlight w:val="none"/>
        </w:rPr>
        <w:t>监理下发整改通知达三次的；</w:t>
      </w:r>
    </w:p>
    <w:p w14:paraId="5CAD8A64">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）发生重大工伤事故，或发生工伤事故后不及时处理影响工程进度或受害人向甲方主张权利的；</w:t>
      </w:r>
    </w:p>
    <w:p w14:paraId="1BA228EB">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）拖欠材料、人工费用不及时处理，致使相关人员向甲方主张权利的。</w:t>
      </w:r>
    </w:p>
    <w:p w14:paraId="7D5CAD77">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2、甲方</w:t>
      </w:r>
      <w:r>
        <w:rPr>
          <w:rFonts w:hint="eastAsia" w:ascii="宋体" w:hAnsi="宋体" w:eastAsia="宋体" w:cs="宋体"/>
          <w:sz w:val="21"/>
          <w:szCs w:val="21"/>
          <w:highlight w:val="none"/>
          <w:lang w:eastAsia="zh-CN"/>
        </w:rPr>
        <w:t>未</w:t>
      </w:r>
      <w:r>
        <w:rPr>
          <w:rFonts w:hint="eastAsia" w:ascii="宋体" w:hAnsi="宋体" w:eastAsia="宋体" w:cs="宋体"/>
          <w:sz w:val="21"/>
          <w:szCs w:val="21"/>
          <w:highlight w:val="none"/>
        </w:rPr>
        <w:t>按合同要求拨付工程款的，乙方有权解除合同。</w:t>
      </w:r>
    </w:p>
    <w:p w14:paraId="3540643A">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3、乙方应在甲方解除合同</w:t>
      </w:r>
      <w:r>
        <w:rPr>
          <w:rFonts w:hint="eastAsia" w:ascii="宋体" w:hAnsi="宋体" w:eastAsia="宋体" w:cs="宋体"/>
          <w:sz w:val="21"/>
          <w:szCs w:val="21"/>
          <w:highlight w:val="none"/>
          <w:u w:val="single"/>
          <w:lang w:val="en-US" w:eastAsia="zh-CN"/>
        </w:rPr>
        <w:t xml:space="preserve">  5  </w:t>
      </w:r>
      <w:r>
        <w:rPr>
          <w:rFonts w:hint="eastAsia" w:ascii="宋体" w:hAnsi="宋体" w:eastAsia="宋体" w:cs="宋体"/>
          <w:sz w:val="21"/>
          <w:szCs w:val="21"/>
          <w:highlight w:val="none"/>
        </w:rPr>
        <w:t>日内清场，乙方自愿按总工程价款的</w:t>
      </w:r>
      <w:r>
        <w:rPr>
          <w:rFonts w:hint="eastAsia" w:ascii="宋体" w:hAnsi="宋体" w:eastAsia="宋体" w:cs="宋体"/>
          <w:sz w:val="21"/>
          <w:szCs w:val="21"/>
          <w:highlight w:val="none"/>
          <w:u w:val="single"/>
          <w:lang w:val="en-US" w:eastAsia="zh-CN"/>
        </w:rPr>
        <w:t xml:space="preserve">  5%  </w:t>
      </w:r>
      <w:r>
        <w:rPr>
          <w:rFonts w:hint="eastAsia" w:ascii="宋体" w:hAnsi="宋体" w:eastAsia="宋体" w:cs="宋体"/>
          <w:sz w:val="21"/>
          <w:szCs w:val="21"/>
          <w:highlight w:val="none"/>
        </w:rPr>
        <w:t>作为违约金支付给甲方</w:t>
      </w:r>
      <w:r>
        <w:rPr>
          <w:rFonts w:hint="eastAsia" w:ascii="宋体" w:hAnsi="宋体" w:eastAsia="宋体" w:cs="宋体"/>
          <w:sz w:val="21"/>
          <w:szCs w:val="21"/>
          <w:highlight w:val="none"/>
          <w:lang w:eastAsia="zh-CN"/>
        </w:rPr>
        <w:t>，并不予退还履约保证金。</w:t>
      </w:r>
    </w:p>
    <w:p w14:paraId="389C2C9A">
      <w:pPr>
        <w:keepNext w:val="0"/>
        <w:keepLines w:val="0"/>
        <w:pageBreakBefore w:val="0"/>
        <w:widowControl w:val="0"/>
        <w:kinsoku/>
        <w:wordWrap/>
        <w:overflowPunct/>
        <w:topLinePunct w:val="0"/>
        <w:autoSpaceDE/>
        <w:autoSpaceDN/>
        <w:bidi w:val="0"/>
        <w:adjustRightInd/>
        <w:snapToGrid/>
        <w:spacing w:line="380" w:lineRule="exact"/>
        <w:ind w:left="0" w:leftChars="0"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第十条 违约责任</w:t>
      </w:r>
    </w:p>
    <w:p w14:paraId="0CABF2F6">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甲、乙双方本着诚实信用的原则履行本协议，任何一方违反上述条款，致使本合同不能履行或者履行瑕疵的，都应承担相应的违约责任。</w:t>
      </w:r>
    </w:p>
    <w:p w14:paraId="7A07448C">
      <w:pPr>
        <w:keepNext w:val="0"/>
        <w:keepLines w:val="0"/>
        <w:pageBreakBefore w:val="0"/>
        <w:widowControl w:val="0"/>
        <w:kinsoku/>
        <w:wordWrap/>
        <w:overflowPunct/>
        <w:topLinePunct w:val="0"/>
        <w:autoSpaceDE/>
        <w:autoSpaceDN/>
        <w:bidi w:val="0"/>
        <w:adjustRightInd/>
        <w:snapToGrid/>
        <w:spacing w:line="380" w:lineRule="exact"/>
        <w:ind w:left="0" w:leftChars="0"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第十一条 解决争议的方法</w:t>
      </w:r>
    </w:p>
    <w:p w14:paraId="1781CF96">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本合同属建设工程施工合同，因履行本合同所产生的纠纷属不动产纠纷，应由项目所在地人民法院予以管辖。</w:t>
      </w:r>
    </w:p>
    <w:p w14:paraId="2410ED86">
      <w:pPr>
        <w:keepNext w:val="0"/>
        <w:keepLines w:val="0"/>
        <w:pageBreakBefore w:val="0"/>
        <w:widowControl w:val="0"/>
        <w:kinsoku/>
        <w:wordWrap/>
        <w:overflowPunct/>
        <w:topLinePunct w:val="0"/>
        <w:autoSpaceDE/>
        <w:autoSpaceDN/>
        <w:bidi w:val="0"/>
        <w:adjustRightInd/>
        <w:snapToGrid/>
        <w:spacing w:line="380" w:lineRule="exact"/>
        <w:ind w:left="0" w:leftChars="0"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第十二条 组成分包合同的文件</w:t>
      </w:r>
    </w:p>
    <w:p w14:paraId="101C2287">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1、本合同；</w:t>
      </w:r>
    </w:p>
    <w:p w14:paraId="3B4A43EF">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2、成交（中标）通知书；</w:t>
      </w:r>
    </w:p>
    <w:p w14:paraId="5DD99531">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3、《 </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lang w:eastAsia="zh-CN"/>
        </w:rPr>
        <w:t>竞争性比选公告》；</w:t>
      </w:r>
    </w:p>
    <w:p w14:paraId="657C4F2B">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4、乙方对《</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lang w:eastAsia="zh-CN"/>
        </w:rPr>
        <w:t>竞争性比选公告》的响应文件。</w:t>
      </w:r>
    </w:p>
    <w:p w14:paraId="028EF2C8">
      <w:pPr>
        <w:keepNext w:val="0"/>
        <w:keepLines w:val="0"/>
        <w:pageBreakBefore w:val="0"/>
        <w:widowControl w:val="0"/>
        <w:kinsoku/>
        <w:wordWrap/>
        <w:overflowPunct/>
        <w:topLinePunct w:val="0"/>
        <w:autoSpaceDE/>
        <w:autoSpaceDN/>
        <w:bidi w:val="0"/>
        <w:adjustRightInd/>
        <w:snapToGrid/>
        <w:spacing w:line="380" w:lineRule="exact"/>
        <w:ind w:left="0" w:leftChars="0"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第十三条  合同生效与终止</w:t>
      </w:r>
    </w:p>
    <w:p w14:paraId="1DD6AF4D">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本合同一式陆份，甲方肆份，乙方贰份，</w:t>
      </w:r>
      <w:r>
        <w:rPr>
          <w:rFonts w:hint="eastAsia" w:ascii="宋体" w:hAnsi="宋体" w:eastAsia="宋体" w:cs="宋体"/>
          <w:sz w:val="21"/>
          <w:szCs w:val="21"/>
          <w:highlight w:val="none"/>
          <w:lang w:val="en-US" w:eastAsia="zh-CN"/>
        </w:rPr>
        <w:t>自双方签字盖章后生效；待工程质量保修期满、工程款付清后自行终止。</w:t>
      </w:r>
    </w:p>
    <w:p w14:paraId="40AD397E">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2、本合同未尽事宜，双方另行协商解决并根据实际和需要签订补充协议，补充协议和本合同具有同等的法律效力。</w:t>
      </w:r>
    </w:p>
    <w:p w14:paraId="6B101E56">
      <w:pPr>
        <w:keepNext w:val="0"/>
        <w:keepLines w:val="0"/>
        <w:pageBreakBefore w:val="0"/>
        <w:widowControl w:val="0"/>
        <w:kinsoku/>
        <w:wordWrap/>
        <w:overflowPunct/>
        <w:topLinePunct w:val="0"/>
        <w:autoSpaceDE/>
        <w:autoSpaceDN/>
        <w:bidi w:val="0"/>
        <w:adjustRightInd/>
        <w:snapToGrid/>
        <w:spacing w:line="380" w:lineRule="exact"/>
        <w:ind w:left="0" w:leftChars="0"/>
        <w:textAlignment w:val="auto"/>
        <w:rPr>
          <w:rFonts w:hint="eastAsia" w:ascii="宋体" w:hAnsi="宋体" w:eastAsia="宋体" w:cs="宋体"/>
          <w:sz w:val="21"/>
          <w:szCs w:val="21"/>
          <w:highlight w:val="none"/>
          <w:lang w:val="en-US" w:eastAsia="zh-CN"/>
        </w:rPr>
      </w:pPr>
    </w:p>
    <w:p w14:paraId="543471C7">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left"/>
        <w:textAlignment w:val="auto"/>
        <w:rPr>
          <w:rFonts w:hint="eastAsia" w:ascii="宋体" w:hAnsi="宋体" w:eastAsia="宋体" w:cs="宋体"/>
          <w:b/>
          <w:bCs/>
          <w:sz w:val="21"/>
          <w:szCs w:val="21"/>
          <w:highlight w:val="none"/>
          <w:lang w:val="zh-TW" w:eastAsia="zh-TW"/>
        </w:rPr>
      </w:pPr>
      <w:r>
        <w:rPr>
          <w:rFonts w:hint="eastAsia" w:ascii="宋体" w:hAnsi="宋体" w:eastAsia="宋体" w:cs="宋体"/>
          <w:b/>
          <w:bCs/>
          <w:sz w:val="21"/>
          <w:szCs w:val="21"/>
          <w:highlight w:val="none"/>
          <w:lang w:val="zh-TW" w:eastAsia="zh-TW"/>
        </w:rPr>
        <w:t>甲方单位名称（章）</w:t>
      </w:r>
      <w:r>
        <w:rPr>
          <w:rFonts w:hint="eastAsia" w:ascii="宋体" w:hAnsi="宋体" w:eastAsia="宋体" w:cs="宋体"/>
          <w:b/>
          <w:bCs/>
          <w:sz w:val="21"/>
          <w:szCs w:val="21"/>
          <w:highlight w:val="none"/>
          <w:lang w:val="zh-TW" w:eastAsia="zh-CN"/>
        </w:rPr>
        <w:t>：</w:t>
      </w:r>
      <w:r>
        <w:rPr>
          <w:rFonts w:hint="eastAsia" w:ascii="宋体" w:hAnsi="宋体" w:eastAsia="宋体" w:cs="宋体"/>
          <w:b/>
          <w:bCs/>
          <w:sz w:val="21"/>
          <w:szCs w:val="21"/>
          <w:highlight w:val="none"/>
          <w:lang w:val="en-US" w:eastAsia="zh-CN"/>
        </w:rPr>
        <w:t xml:space="preserve">              </w:t>
      </w:r>
      <w:r>
        <w:rPr>
          <w:rFonts w:hint="eastAsia" w:ascii="宋体" w:hAnsi="宋体" w:eastAsia="宋体" w:cs="宋体"/>
          <w:b/>
          <w:bCs/>
          <w:sz w:val="21"/>
          <w:szCs w:val="21"/>
          <w:highlight w:val="none"/>
          <w:lang w:val="zh-TW" w:eastAsia="zh-TW"/>
        </w:rPr>
        <w:t>乙方单位名称（章）：</w:t>
      </w:r>
    </w:p>
    <w:p w14:paraId="3347CB50">
      <w:pPr>
        <w:keepNext w:val="0"/>
        <w:keepLines w:val="0"/>
        <w:pageBreakBefore w:val="0"/>
        <w:widowControl w:val="0"/>
        <w:kinsoku/>
        <w:wordWrap/>
        <w:overflowPunct/>
        <w:topLinePunct w:val="0"/>
        <w:autoSpaceDE/>
        <w:autoSpaceDN/>
        <w:bidi w:val="0"/>
        <w:adjustRightInd/>
        <w:snapToGrid/>
        <w:spacing w:line="380" w:lineRule="exact"/>
        <w:ind w:right="0" w:rightChars="0"/>
        <w:jc w:val="left"/>
        <w:textAlignment w:val="auto"/>
        <w:rPr>
          <w:rFonts w:hint="eastAsia" w:ascii="宋体" w:hAnsi="宋体" w:eastAsia="宋体" w:cs="宋体"/>
          <w:b/>
          <w:bCs/>
          <w:sz w:val="21"/>
          <w:szCs w:val="21"/>
          <w:highlight w:val="none"/>
          <w:u w:val="none"/>
          <w:lang w:val="zh-TW" w:eastAsia="zh-TW"/>
        </w:rPr>
      </w:pPr>
      <w:r>
        <w:rPr>
          <w:rFonts w:hint="eastAsia" w:ascii="宋体" w:hAnsi="宋体" w:eastAsia="宋体" w:cs="宋体"/>
          <w:b/>
          <w:bCs/>
          <w:sz w:val="21"/>
          <w:szCs w:val="21"/>
          <w:highlight w:val="none"/>
          <w:u w:val="none"/>
          <w:lang w:eastAsia="zh-CN"/>
        </w:rPr>
        <w:t>垫江县小厦建筑有限公司</w:t>
      </w:r>
      <w:r>
        <w:rPr>
          <w:rFonts w:hint="eastAsia" w:ascii="宋体" w:hAnsi="宋体" w:eastAsia="宋体" w:cs="宋体"/>
          <w:b/>
          <w:bCs/>
          <w:sz w:val="21"/>
          <w:szCs w:val="21"/>
          <w:highlight w:val="none"/>
          <w:u w:val="none"/>
          <w:lang w:val="en-US" w:eastAsia="zh-CN"/>
        </w:rPr>
        <w:t xml:space="preserve">  </w:t>
      </w:r>
    </w:p>
    <w:p w14:paraId="31A4D5F3">
      <w:pPr>
        <w:keepNext w:val="0"/>
        <w:keepLines w:val="0"/>
        <w:pageBreakBefore w:val="0"/>
        <w:kinsoku/>
        <w:wordWrap/>
        <w:overflowPunct/>
        <w:topLinePunct w:val="0"/>
        <w:autoSpaceDE/>
        <w:autoSpaceDN/>
        <w:bidi w:val="0"/>
        <w:spacing w:line="380" w:lineRule="exact"/>
        <w:ind w:left="0" w:leftChars="0"/>
        <w:textAlignment w:val="auto"/>
        <w:rPr>
          <w:rFonts w:hint="eastAsia" w:ascii="宋体" w:hAnsi="宋体" w:eastAsia="宋体" w:cs="宋体"/>
          <w:b/>
          <w:bCs/>
          <w:color w:val="000000"/>
          <w:sz w:val="21"/>
          <w:szCs w:val="21"/>
          <w:highlight w:val="none"/>
        </w:rPr>
      </w:pPr>
    </w:p>
    <w:p w14:paraId="76A52FAD">
      <w:pPr>
        <w:keepNext w:val="0"/>
        <w:keepLines w:val="0"/>
        <w:pageBreakBefore w:val="0"/>
        <w:kinsoku/>
        <w:wordWrap/>
        <w:overflowPunct/>
        <w:topLinePunct w:val="0"/>
        <w:autoSpaceDE/>
        <w:autoSpaceDN/>
        <w:bidi w:val="0"/>
        <w:spacing w:line="380" w:lineRule="exact"/>
        <w:ind w:left="0" w:left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color w:val="000000"/>
          <w:sz w:val="21"/>
          <w:szCs w:val="21"/>
          <w:highlight w:val="none"/>
        </w:rPr>
        <w:t xml:space="preserve">法定代表人(或授权委托人) :       </w:t>
      </w:r>
      <w:r>
        <w:rPr>
          <w:rFonts w:hint="eastAsia" w:ascii="宋体" w:hAnsi="宋体" w:eastAsia="宋体" w:cs="宋体"/>
          <w:b/>
          <w:bCs/>
          <w:color w:val="000000"/>
          <w:sz w:val="21"/>
          <w:szCs w:val="21"/>
          <w:highlight w:val="none"/>
          <w:lang w:val="en-US" w:eastAsia="zh-CN"/>
        </w:rPr>
        <w:t xml:space="preserve"> </w:t>
      </w:r>
      <w:r>
        <w:rPr>
          <w:rFonts w:hint="eastAsia" w:ascii="宋体" w:hAnsi="宋体" w:eastAsia="宋体" w:cs="宋体"/>
          <w:b/>
          <w:bCs/>
          <w:color w:val="000000"/>
          <w:sz w:val="21"/>
          <w:szCs w:val="21"/>
          <w:highlight w:val="none"/>
        </w:rPr>
        <w:t>法定代表人 (或授权委托人)</w:t>
      </w:r>
      <w:r>
        <w:rPr>
          <w:rFonts w:hint="eastAsia" w:ascii="宋体" w:hAnsi="宋体" w:eastAsia="宋体" w:cs="宋体"/>
          <w:b/>
          <w:bCs/>
          <w:color w:val="000000"/>
          <w:sz w:val="21"/>
          <w:szCs w:val="21"/>
          <w:highlight w:val="none"/>
          <w:lang w:eastAsia="zh-CN"/>
        </w:rPr>
        <w:t>：</w:t>
      </w:r>
      <w:r>
        <w:rPr>
          <w:rFonts w:hint="eastAsia" w:ascii="宋体" w:hAnsi="宋体" w:eastAsia="宋体" w:cs="宋体"/>
          <w:b/>
          <w:bCs/>
          <w:sz w:val="21"/>
          <w:szCs w:val="21"/>
          <w:highlight w:val="none"/>
          <w:lang w:val="en-US" w:eastAsia="zh-CN"/>
        </w:rPr>
        <w:t xml:space="preserve">                  </w:t>
      </w:r>
    </w:p>
    <w:p w14:paraId="5893F0AB">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left"/>
        <w:textAlignment w:val="auto"/>
        <w:rPr>
          <w:rFonts w:hint="eastAsia" w:ascii="宋体" w:hAnsi="宋体" w:eastAsia="宋体" w:cs="宋体"/>
          <w:b/>
          <w:bCs/>
          <w:sz w:val="21"/>
          <w:szCs w:val="21"/>
          <w:highlight w:val="none"/>
          <w:lang w:val="en-US" w:eastAsia="zh-CN"/>
        </w:rPr>
      </w:pPr>
    </w:p>
    <w:p w14:paraId="024691C8">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经  办  人：                     经  办  人：</w:t>
      </w:r>
    </w:p>
    <w:p w14:paraId="5A2C771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left"/>
        <w:textAlignment w:val="auto"/>
        <w:rPr>
          <w:rFonts w:hint="eastAsia" w:ascii="宋体" w:hAnsi="宋体" w:eastAsia="宋体" w:cs="宋体"/>
          <w:b/>
          <w:bCs/>
          <w:sz w:val="21"/>
          <w:szCs w:val="21"/>
          <w:highlight w:val="none"/>
          <w:lang w:val="zh-TW" w:eastAsia="zh-TW"/>
        </w:rPr>
      </w:pPr>
    </w:p>
    <w:p w14:paraId="5CE16501">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zh-TW" w:eastAsia="zh-TW"/>
        </w:rPr>
        <w:t>开户银行：</w:t>
      </w:r>
      <w:r>
        <w:rPr>
          <w:rFonts w:hint="eastAsia" w:ascii="宋体" w:hAnsi="宋体" w:eastAsia="宋体" w:cs="宋体"/>
          <w:b/>
          <w:bCs/>
          <w:sz w:val="21"/>
          <w:szCs w:val="21"/>
          <w:highlight w:val="none"/>
          <w:lang w:val="en-US" w:eastAsia="zh-CN"/>
        </w:rPr>
        <w:t xml:space="preserve">                       </w:t>
      </w:r>
      <w:r>
        <w:rPr>
          <w:rFonts w:hint="eastAsia" w:ascii="宋体" w:hAnsi="宋体" w:eastAsia="宋体" w:cs="宋体"/>
          <w:b/>
          <w:bCs/>
          <w:sz w:val="21"/>
          <w:szCs w:val="21"/>
          <w:highlight w:val="none"/>
          <w:lang w:val="zh-TW" w:eastAsia="zh-TW"/>
        </w:rPr>
        <w:t>开户银行：</w:t>
      </w:r>
    </w:p>
    <w:p w14:paraId="097D1AB2">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left"/>
        <w:textAlignment w:val="auto"/>
        <w:rPr>
          <w:rFonts w:hint="eastAsia" w:ascii="宋体" w:hAnsi="宋体" w:eastAsia="宋体" w:cs="宋体"/>
          <w:b/>
          <w:bCs/>
          <w:sz w:val="21"/>
          <w:szCs w:val="21"/>
          <w:highlight w:val="none"/>
          <w:lang w:val="zh-TW" w:eastAsia="zh-TW"/>
        </w:rPr>
      </w:pPr>
    </w:p>
    <w:p w14:paraId="36659F0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left"/>
        <w:textAlignment w:val="auto"/>
        <w:rPr>
          <w:rFonts w:hint="eastAsia" w:ascii="宋体" w:hAnsi="宋体" w:eastAsia="宋体" w:cs="宋体"/>
          <w:b/>
          <w:bCs/>
          <w:sz w:val="21"/>
          <w:szCs w:val="21"/>
          <w:highlight w:val="none"/>
          <w:lang w:eastAsia="zh-TW"/>
        </w:rPr>
      </w:pPr>
      <w:r>
        <w:rPr>
          <w:rFonts w:hint="eastAsia" w:ascii="宋体" w:hAnsi="宋体" w:eastAsia="宋体" w:cs="宋体"/>
          <w:b/>
          <w:bCs/>
          <w:sz w:val="21"/>
          <w:szCs w:val="21"/>
          <w:highlight w:val="none"/>
          <w:lang w:val="zh-TW" w:eastAsia="zh-TW"/>
        </w:rPr>
        <w:t xml:space="preserve">账号： </w:t>
      </w:r>
      <w:r>
        <w:rPr>
          <w:rFonts w:hint="eastAsia" w:ascii="宋体" w:hAnsi="宋体" w:eastAsia="宋体" w:cs="宋体"/>
          <w:b/>
          <w:bCs/>
          <w:sz w:val="21"/>
          <w:szCs w:val="21"/>
          <w:highlight w:val="none"/>
          <w:lang w:val="en-US" w:eastAsia="zh-CN"/>
        </w:rPr>
        <w:t xml:space="preserve">                          </w:t>
      </w:r>
      <w:r>
        <w:rPr>
          <w:rFonts w:hint="eastAsia" w:ascii="宋体" w:hAnsi="宋体" w:eastAsia="宋体" w:cs="宋体"/>
          <w:b/>
          <w:bCs/>
          <w:sz w:val="21"/>
          <w:szCs w:val="21"/>
          <w:highlight w:val="none"/>
          <w:lang w:val="zh-TW" w:eastAsia="zh-TW"/>
        </w:rPr>
        <w:t xml:space="preserve">账号： </w:t>
      </w:r>
    </w:p>
    <w:p w14:paraId="699E5235">
      <w:pPr>
        <w:keepNext w:val="0"/>
        <w:keepLines w:val="0"/>
        <w:pageBreakBefore w:val="0"/>
        <w:widowControl w:val="0"/>
        <w:kinsoku/>
        <w:wordWrap/>
        <w:overflowPunct/>
        <w:topLinePunct w:val="0"/>
        <w:autoSpaceDE/>
        <w:autoSpaceDN/>
        <w:bidi w:val="0"/>
        <w:adjustRightInd/>
        <w:snapToGrid/>
        <w:spacing w:line="380" w:lineRule="exact"/>
        <w:ind w:right="0" w:rightChars="0"/>
        <w:jc w:val="left"/>
        <w:textAlignment w:val="auto"/>
        <w:rPr>
          <w:rFonts w:hint="eastAsia" w:ascii="宋体" w:hAnsi="宋体" w:eastAsia="宋体" w:cs="宋体"/>
          <w:b/>
          <w:bCs/>
          <w:sz w:val="21"/>
          <w:szCs w:val="21"/>
          <w:highlight w:val="none"/>
          <w:lang w:val="en-US" w:eastAsia="zh-CN"/>
        </w:rPr>
      </w:pPr>
    </w:p>
    <w:p w14:paraId="7A7AAC22">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2"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签订时间：      年     月      日</w:t>
      </w:r>
    </w:p>
    <w:p w14:paraId="7912B38D">
      <w:pPr>
        <w:keepNext w:val="0"/>
        <w:keepLines w:val="0"/>
        <w:pageBreakBefore w:val="0"/>
        <w:widowControl w:val="0"/>
        <w:kinsoku/>
        <w:wordWrap/>
        <w:overflowPunct/>
        <w:topLinePunct w:val="0"/>
        <w:autoSpaceDE/>
        <w:autoSpaceDN/>
        <w:bidi w:val="0"/>
        <w:spacing w:line="560" w:lineRule="exact"/>
        <w:jc w:val="both"/>
        <w:textAlignment w:val="auto"/>
        <w:rPr>
          <w:rFonts w:hint="eastAsia" w:ascii="宋体" w:hAnsi="宋体" w:eastAsia="宋体" w:cs="宋体"/>
          <w:b w:val="0"/>
          <w:bCs w:val="0"/>
          <w:sz w:val="21"/>
          <w:szCs w:val="21"/>
          <w:highlight w:val="none"/>
          <w:lang w:eastAsia="zh-CN"/>
        </w:rPr>
      </w:pPr>
    </w:p>
    <w:p w14:paraId="2EA56A0E">
      <w:pPr>
        <w:keepNext w:val="0"/>
        <w:keepLines w:val="0"/>
        <w:pageBreakBefore w:val="0"/>
        <w:tabs>
          <w:tab w:val="left" w:pos="0"/>
        </w:tabs>
        <w:kinsoku/>
        <w:wordWrap/>
        <w:overflowPunct/>
        <w:topLinePunct w:val="0"/>
        <w:autoSpaceDE/>
        <w:autoSpaceDN/>
        <w:bidi w:val="0"/>
        <w:spacing w:line="380" w:lineRule="exact"/>
        <w:ind w:left="0" w:leftChars="0"/>
        <w:textAlignment w:val="auto"/>
        <w:rPr>
          <w:rFonts w:hint="eastAsia" w:ascii="宋体" w:hAnsi="宋体" w:eastAsia="宋体" w:cs="宋体"/>
          <w:sz w:val="21"/>
          <w:szCs w:val="21"/>
          <w:highlight w:val="none"/>
          <w:lang w:val="zh-CN"/>
        </w:rPr>
      </w:pPr>
    </w:p>
    <w:p w14:paraId="48364495">
      <w:pPr>
        <w:keepNext w:val="0"/>
        <w:keepLines w:val="0"/>
        <w:pageBreakBefore w:val="0"/>
        <w:kinsoku/>
        <w:wordWrap/>
        <w:overflowPunct/>
        <w:topLinePunct w:val="0"/>
        <w:autoSpaceDE/>
        <w:autoSpaceDN/>
        <w:bidi w:val="0"/>
        <w:spacing w:line="380" w:lineRule="exact"/>
        <w:ind w:left="0" w:left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 xml:space="preserve"> </w:t>
      </w:r>
    </w:p>
    <w:p w14:paraId="106C9322">
      <w:pP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br w:type="page"/>
      </w:r>
    </w:p>
    <w:p w14:paraId="7CCA82DE">
      <w:pPr>
        <w:pStyle w:val="4"/>
        <w:numPr>
          <w:ilvl w:val="2"/>
          <w:numId w:val="0"/>
        </w:numPr>
        <w:ind w:leftChars="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附件1：工程量报价清单</w:t>
      </w:r>
    </w:p>
    <w:p w14:paraId="63734EF3">
      <w:pPr>
        <w:rPr>
          <w:rFonts w:hint="eastAsia" w:ascii="宋体" w:hAnsi="宋体" w:eastAsia="宋体" w:cs="宋体"/>
          <w:b/>
          <w:bCs/>
          <w:sz w:val="21"/>
          <w:szCs w:val="21"/>
          <w:highlight w:val="none"/>
          <w:lang w:val="en-US" w:eastAsia="zh-CN"/>
        </w:rPr>
      </w:pPr>
    </w:p>
    <w:p w14:paraId="6C4D5F10">
      <w:pPr>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br w:type="page"/>
      </w:r>
    </w:p>
    <w:p w14:paraId="051281F4">
      <w:pPr>
        <w:pStyle w:val="4"/>
        <w:numPr>
          <w:ilvl w:val="2"/>
          <w:numId w:val="0"/>
        </w:numPr>
        <w:ind w:leftChars="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附件2：</w:t>
      </w:r>
    </w:p>
    <w:p w14:paraId="7AC496D4">
      <w:pPr>
        <w:keepNext w:val="0"/>
        <w:keepLines w:val="0"/>
        <w:pageBreakBefore w:val="0"/>
        <w:widowControl w:val="0"/>
        <w:kinsoku/>
        <w:wordWrap/>
        <w:overflowPunct/>
        <w:topLinePunct w:val="0"/>
        <w:autoSpaceDE/>
        <w:autoSpaceDN/>
        <w:bidi w:val="0"/>
        <w:spacing w:line="560" w:lineRule="exact"/>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廉洁合作承诺书</w:t>
      </w:r>
    </w:p>
    <w:p w14:paraId="1F63A705">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sz w:val="21"/>
          <w:szCs w:val="21"/>
          <w:highlight w:val="none"/>
        </w:rPr>
      </w:pPr>
    </w:p>
    <w:p w14:paraId="07924297">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rPr>
        <w:t>甲</w:t>
      </w:r>
      <w:r>
        <w:rPr>
          <w:rFonts w:hint="eastAsia" w:ascii="宋体" w:hAnsi="宋体" w:eastAsia="宋体" w:cs="宋体"/>
          <w:b/>
          <w:bCs/>
          <w:sz w:val="21"/>
          <w:szCs w:val="21"/>
          <w:highlight w:val="none"/>
          <w:lang w:val="en-US" w:eastAsia="zh-CN"/>
        </w:rPr>
        <w:t xml:space="preserve">   </w:t>
      </w:r>
      <w:r>
        <w:rPr>
          <w:rFonts w:hint="eastAsia" w:ascii="宋体" w:hAnsi="宋体" w:eastAsia="宋体" w:cs="宋体"/>
          <w:b/>
          <w:bCs/>
          <w:sz w:val="21"/>
          <w:szCs w:val="21"/>
          <w:highlight w:val="none"/>
        </w:rPr>
        <w:t>方：</w:t>
      </w:r>
      <w:r>
        <w:rPr>
          <w:rFonts w:hint="eastAsia" w:ascii="宋体" w:hAnsi="宋体" w:eastAsia="宋体" w:cs="宋体"/>
          <w:b/>
          <w:bCs/>
          <w:sz w:val="21"/>
          <w:szCs w:val="21"/>
          <w:highlight w:val="none"/>
          <w:u w:val="single"/>
          <w:lang w:val="en-US" w:eastAsia="zh-CN"/>
        </w:rPr>
        <w:t>垫江县小厦建筑有限公司</w:t>
      </w:r>
    </w:p>
    <w:p w14:paraId="4F1FADC5">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b w:val="0"/>
          <w:bCs w:val="0"/>
          <w:sz w:val="21"/>
          <w:szCs w:val="21"/>
          <w:highlight w:val="none"/>
          <w:u w:val="single"/>
          <w:lang w:val="en-US" w:eastAsia="zh-CN"/>
        </w:rPr>
      </w:pPr>
      <w:r>
        <w:rPr>
          <w:rFonts w:hint="eastAsia" w:ascii="宋体" w:hAnsi="宋体" w:eastAsia="宋体" w:cs="宋体"/>
          <w:b/>
          <w:bCs/>
          <w:sz w:val="21"/>
          <w:szCs w:val="21"/>
          <w:highlight w:val="none"/>
        </w:rPr>
        <w:t>乙</w:t>
      </w:r>
      <w:r>
        <w:rPr>
          <w:rFonts w:hint="eastAsia" w:ascii="宋体" w:hAnsi="宋体" w:eastAsia="宋体" w:cs="宋体"/>
          <w:b/>
          <w:bCs/>
          <w:sz w:val="21"/>
          <w:szCs w:val="21"/>
          <w:highlight w:val="none"/>
          <w:lang w:val="en-US" w:eastAsia="zh-CN"/>
        </w:rPr>
        <w:t xml:space="preserve">   </w:t>
      </w:r>
      <w:r>
        <w:rPr>
          <w:rFonts w:hint="eastAsia" w:ascii="宋体" w:hAnsi="宋体" w:eastAsia="宋体" w:cs="宋体"/>
          <w:b/>
          <w:bCs/>
          <w:sz w:val="21"/>
          <w:szCs w:val="21"/>
          <w:highlight w:val="none"/>
        </w:rPr>
        <w:t>方</w:t>
      </w:r>
      <w:r>
        <w:rPr>
          <w:rFonts w:hint="eastAsia" w:ascii="宋体" w:hAnsi="宋体" w:eastAsia="宋体" w:cs="宋体"/>
          <w:b/>
          <w:bCs/>
          <w:sz w:val="21"/>
          <w:szCs w:val="21"/>
          <w:highlight w:val="none"/>
          <w:lang w:eastAsia="zh-CN"/>
        </w:rPr>
        <w:t>：</w:t>
      </w:r>
      <w:r>
        <w:rPr>
          <w:rFonts w:hint="eastAsia" w:ascii="宋体" w:hAnsi="宋体" w:eastAsia="宋体" w:cs="宋体"/>
          <w:b w:val="0"/>
          <w:bCs w:val="0"/>
          <w:sz w:val="21"/>
          <w:szCs w:val="21"/>
          <w:highlight w:val="none"/>
          <w:u w:val="single"/>
          <w:lang w:val="en-US" w:eastAsia="zh-CN"/>
        </w:rPr>
        <w:t xml:space="preserve">                       </w:t>
      </w:r>
    </w:p>
    <w:p w14:paraId="58201295">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sz w:val="21"/>
          <w:szCs w:val="21"/>
          <w:highlight w:val="none"/>
          <w:u w:val="single"/>
          <w:lang w:val="en-US" w:eastAsia="zh-CN"/>
        </w:rPr>
      </w:pPr>
      <w:r>
        <w:rPr>
          <w:rFonts w:hint="eastAsia" w:ascii="宋体" w:hAnsi="宋体" w:eastAsia="宋体" w:cs="宋体"/>
          <w:b/>
          <w:bCs/>
          <w:sz w:val="21"/>
          <w:szCs w:val="21"/>
          <w:highlight w:val="none"/>
        </w:rPr>
        <w:t>项目名称：</w:t>
      </w:r>
      <w:r>
        <w:rPr>
          <w:rFonts w:hint="eastAsia" w:ascii="宋体" w:hAnsi="宋体" w:eastAsia="宋体" w:cs="宋体"/>
          <w:sz w:val="21"/>
          <w:szCs w:val="21"/>
          <w:highlight w:val="none"/>
          <w:u w:val="single"/>
          <w:lang w:val="en-US" w:eastAsia="zh-CN"/>
        </w:rPr>
        <w:t xml:space="preserve">                      </w:t>
      </w:r>
    </w:p>
    <w:p w14:paraId="1E4B690C">
      <w:pPr>
        <w:pStyle w:val="71"/>
        <w:rPr>
          <w:rFonts w:hint="eastAsia" w:ascii="宋体" w:hAnsi="宋体" w:eastAsia="宋体" w:cs="宋体"/>
          <w:sz w:val="21"/>
          <w:szCs w:val="21"/>
          <w:highlight w:val="none"/>
          <w:lang w:val="en-US"/>
        </w:rPr>
      </w:pPr>
    </w:p>
    <w:p w14:paraId="40C0CE19">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为促进甲乙双方在涉及资金、资产、货物、股权、知识产权等商务、工程及经济往来事项的合作中保障相关人员依法履职、秉公办事、廉洁用权，构建清清爽爽、干干净净的合作关系，旗帜鲜明反腐败，推动</w:t>
      </w:r>
      <w:r>
        <w:rPr>
          <w:rFonts w:hint="eastAsia" w:ascii="宋体" w:hAnsi="宋体" w:cs="宋体"/>
          <w:sz w:val="21"/>
          <w:szCs w:val="21"/>
          <w:highlight w:val="none"/>
          <w:lang w:eastAsia="zh-CN"/>
        </w:rPr>
        <w:t>廉政建设</w:t>
      </w:r>
      <w:r>
        <w:rPr>
          <w:rFonts w:hint="eastAsia" w:ascii="宋体" w:hAnsi="宋体" w:eastAsia="宋体" w:cs="宋体"/>
          <w:sz w:val="21"/>
          <w:szCs w:val="21"/>
          <w:highlight w:val="none"/>
        </w:rPr>
        <w:t>，根据有关法律法规规定，经甲乙双方商定，特作如下廉洁承诺，共同严格遵守。</w:t>
      </w:r>
    </w:p>
    <w:p w14:paraId="2B0C5598">
      <w:pPr>
        <w:keepNext w:val="0"/>
        <w:keepLines w:val="0"/>
        <w:pageBreakBefore w:val="0"/>
        <w:widowControl w:val="0"/>
        <w:numPr>
          <w:ilvl w:val="0"/>
          <w:numId w:val="9"/>
        </w:numPr>
        <w:kinsoku/>
        <w:wordWrap/>
        <w:overflowPunct/>
        <w:topLinePunct w:val="0"/>
        <w:autoSpaceDE/>
        <w:autoSpaceDN/>
        <w:bidi w:val="0"/>
        <w:spacing w:line="560" w:lineRule="exact"/>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承诺主要内容</w:t>
      </w:r>
    </w:p>
    <w:p w14:paraId="1C41FC7E">
      <w:pPr>
        <w:keepNext w:val="0"/>
        <w:keepLines w:val="0"/>
        <w:pageBreakBefore w:val="0"/>
        <w:widowControl w:val="0"/>
        <w:numPr>
          <w:ilvl w:val="0"/>
          <w:numId w:val="0"/>
        </w:numPr>
        <w:kinsoku/>
        <w:wordWrap/>
        <w:overflowPunct/>
        <w:topLinePunct w:val="0"/>
        <w:autoSpaceDE/>
        <w:autoSpaceDN/>
        <w:bidi w:val="0"/>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甲乙双方人员（包含但不限于经办、协助和各级管理人员及其配偶、子女、亲属和其他特定关系人，下同）不得借商务、工程合作及经济往来事项之机谋取个人私利，承诺严禁下列行为：</w:t>
      </w:r>
    </w:p>
    <w:p w14:paraId="70907746">
      <w:pPr>
        <w:keepNext w:val="0"/>
        <w:keepLines w:val="0"/>
        <w:pageBreakBefore w:val="0"/>
        <w:widowControl w:val="0"/>
        <w:kinsoku/>
        <w:wordWrap/>
        <w:overflowPunct/>
        <w:topLinePunct w:val="0"/>
        <w:autoSpaceDE/>
        <w:autoSpaceDN/>
        <w:bidi w:val="0"/>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1.甲方人员不得借工作之机违规对乙方吃拿卡要报，严禁违规索取、收受或暗示乙方人员给予任何名目的钱物或好处。</w:t>
      </w:r>
    </w:p>
    <w:p w14:paraId="6304A335">
      <w:pPr>
        <w:keepNext w:val="0"/>
        <w:keepLines w:val="0"/>
        <w:pageBreakBefore w:val="0"/>
        <w:widowControl w:val="0"/>
        <w:kinsoku/>
        <w:wordWrap/>
        <w:overflowPunct/>
        <w:topLinePunct w:val="0"/>
        <w:autoSpaceDE/>
        <w:autoSpaceDN/>
        <w:bidi w:val="0"/>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2.乙方人员严禁以任何名义违规向甲方人员赠（输）送影响职务或职权廉洁的钱物或好处，严禁违规向甲方人员提供吃喝玩乐等消费，或支付应由甲方人员私人承担的费用。</w:t>
      </w:r>
    </w:p>
    <w:p w14:paraId="4CC75C22">
      <w:pPr>
        <w:keepNext w:val="0"/>
        <w:keepLines w:val="0"/>
        <w:pageBreakBefore w:val="0"/>
        <w:widowControl w:val="0"/>
        <w:kinsoku/>
        <w:wordWrap/>
        <w:overflowPunct/>
        <w:topLinePunct w:val="0"/>
        <w:autoSpaceDE/>
        <w:autoSpaceDN/>
        <w:bidi w:val="0"/>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3.双方人员严禁私人资金借贷或违规借用对方物品。</w:t>
      </w:r>
    </w:p>
    <w:p w14:paraId="53033524">
      <w:pPr>
        <w:keepNext w:val="0"/>
        <w:keepLines w:val="0"/>
        <w:pageBreakBefore w:val="0"/>
        <w:widowControl w:val="0"/>
        <w:numPr>
          <w:ilvl w:val="0"/>
          <w:numId w:val="0"/>
        </w:numPr>
        <w:kinsoku/>
        <w:wordWrap/>
        <w:overflowPunct/>
        <w:topLinePunct w:val="0"/>
        <w:autoSpaceDE/>
        <w:autoSpaceDN/>
        <w:bidi w:val="0"/>
        <w:spacing w:line="560" w:lineRule="exact"/>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二、违反承诺责任</w:t>
      </w:r>
    </w:p>
    <w:p w14:paraId="6517AA5B">
      <w:pPr>
        <w:keepNext w:val="0"/>
        <w:keepLines w:val="0"/>
        <w:pageBreakBefore w:val="0"/>
        <w:widowControl w:val="0"/>
        <w:kinsoku/>
        <w:wordWrap/>
        <w:overflowPunct/>
        <w:topLinePunct w:val="0"/>
        <w:autoSpaceDE/>
        <w:autoSpaceDN/>
        <w:bidi w:val="0"/>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甲乙双方若违反上述承诺，自愿接受如下责任和处理：</w:t>
      </w:r>
    </w:p>
    <w:p w14:paraId="19C71933">
      <w:pPr>
        <w:keepNext w:val="0"/>
        <w:keepLines w:val="0"/>
        <w:pageBreakBefore w:val="0"/>
        <w:widowControl w:val="0"/>
        <w:kinsoku/>
        <w:wordWrap/>
        <w:overflowPunct/>
        <w:topLinePunct w:val="0"/>
        <w:autoSpaceDE/>
        <w:autoSpaceDN/>
        <w:bidi w:val="0"/>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1.甲方人员违反上述承诺，由公司按照党纪党规、国家法律法规和单位规章制度予以经济处罚、组织处理、纪律处分或移送有关单位追究法律责任。</w:t>
      </w:r>
    </w:p>
    <w:p w14:paraId="166BF40A">
      <w:pPr>
        <w:keepNext w:val="0"/>
        <w:keepLines w:val="0"/>
        <w:pageBreakBefore w:val="0"/>
        <w:widowControl w:val="0"/>
        <w:kinsoku/>
        <w:wordWrap/>
        <w:overflowPunct/>
        <w:topLinePunct w:val="0"/>
        <w:autoSpaceDE/>
        <w:autoSpaceDN/>
        <w:bidi w:val="0"/>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乙方违反上述承诺致甲方人员违纪违规或违法的，自愿同意按照双方合作事项总金额1%-5%的数目支付赔偿金给甲方，列入甲方黄色失信企业和人员，取消三年内与甲方业务合作资格；致甲方人员犯罪的，自愿同意按照双方合作事项总金额5%-10%的数目支付赔偿金给甲方，列入甲方黑色失信企业和人员，取消十年内与甲方业务合作资格。</w:t>
      </w:r>
    </w:p>
    <w:p w14:paraId="6E276B14">
      <w:pPr>
        <w:keepNext w:val="0"/>
        <w:keepLines w:val="0"/>
        <w:pageBreakBefore w:val="0"/>
        <w:widowControl w:val="0"/>
        <w:kinsoku/>
        <w:wordWrap/>
        <w:overflowPunct/>
        <w:topLinePunct w:val="0"/>
        <w:autoSpaceDE/>
        <w:autoSpaceDN/>
        <w:bidi w:val="0"/>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3.双方有权向对方监督人员或上级主管部门举报其相关人员违反承诺的不廉洁行为，对方须严格保密，不得打击报复。</w:t>
      </w:r>
    </w:p>
    <w:p w14:paraId="626AFB51">
      <w:pPr>
        <w:keepNext w:val="0"/>
        <w:keepLines w:val="0"/>
        <w:pageBreakBefore w:val="0"/>
        <w:widowControl w:val="0"/>
        <w:kinsoku/>
        <w:wordWrap/>
        <w:overflowPunct/>
        <w:topLinePunct w:val="0"/>
        <w:autoSpaceDE/>
        <w:autoSpaceDN/>
        <w:bidi w:val="0"/>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三、本承诺书一式4份，由甲乙双方及监督部门各留存1份。</w:t>
      </w:r>
    </w:p>
    <w:p w14:paraId="7E544A48">
      <w:pPr>
        <w:keepNext w:val="0"/>
        <w:keepLines w:val="0"/>
        <w:pageBreakBefore w:val="0"/>
        <w:widowControl w:val="0"/>
        <w:kinsoku/>
        <w:wordWrap/>
        <w:overflowPunct/>
        <w:topLinePunct w:val="0"/>
        <w:autoSpaceDE/>
        <w:autoSpaceDN/>
        <w:bidi w:val="0"/>
        <w:spacing w:line="560" w:lineRule="exact"/>
        <w:ind w:firstLine="420" w:firstLineChars="200"/>
        <w:textAlignment w:val="auto"/>
        <w:rPr>
          <w:rFonts w:hint="eastAsia" w:ascii="宋体" w:hAnsi="宋体" w:eastAsia="宋体" w:cs="宋体"/>
          <w:sz w:val="21"/>
          <w:szCs w:val="21"/>
          <w:highlight w:val="none"/>
        </w:rPr>
      </w:pPr>
    </w:p>
    <w:p w14:paraId="6B3BDC11">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甲方</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公章</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 xml:space="preserve">：                </w:t>
      </w:r>
      <w:r>
        <w:rPr>
          <w:rFonts w:hint="eastAsia" w:ascii="宋体" w:hAnsi="宋体" w:eastAsia="宋体" w:cs="宋体"/>
          <w:b/>
          <w:bCs/>
          <w:sz w:val="21"/>
          <w:szCs w:val="21"/>
          <w:highlight w:val="none"/>
          <w:lang w:val="en-US" w:eastAsia="zh-CN"/>
        </w:rPr>
        <w:t xml:space="preserve">          </w:t>
      </w:r>
      <w:r>
        <w:rPr>
          <w:rFonts w:hint="eastAsia" w:ascii="宋体" w:hAnsi="宋体" w:eastAsia="宋体" w:cs="宋体"/>
          <w:b/>
          <w:bCs/>
          <w:sz w:val="21"/>
          <w:szCs w:val="21"/>
          <w:highlight w:val="none"/>
        </w:rPr>
        <w:t>乙方</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公章</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w:t>
      </w:r>
    </w:p>
    <w:p w14:paraId="75558BC2">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b/>
          <w:bCs/>
          <w:sz w:val="21"/>
          <w:szCs w:val="21"/>
          <w:highlight w:val="none"/>
        </w:rPr>
      </w:pPr>
    </w:p>
    <w:p w14:paraId="27CB478A">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甲方代表</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签字</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 xml:space="preserve">：            </w:t>
      </w:r>
      <w:r>
        <w:rPr>
          <w:rFonts w:hint="eastAsia" w:ascii="宋体" w:hAnsi="宋体" w:eastAsia="宋体" w:cs="宋体"/>
          <w:b/>
          <w:bCs/>
          <w:sz w:val="21"/>
          <w:szCs w:val="21"/>
          <w:highlight w:val="none"/>
          <w:lang w:val="en-US" w:eastAsia="zh-CN"/>
        </w:rPr>
        <w:t xml:space="preserve">          </w:t>
      </w:r>
      <w:r>
        <w:rPr>
          <w:rFonts w:hint="eastAsia" w:ascii="宋体" w:hAnsi="宋体" w:eastAsia="宋体" w:cs="宋体"/>
          <w:b/>
          <w:bCs/>
          <w:sz w:val="21"/>
          <w:szCs w:val="21"/>
          <w:highlight w:val="none"/>
        </w:rPr>
        <w:t>乙方代表</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签字</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w:t>
      </w:r>
    </w:p>
    <w:p w14:paraId="007B8965">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b/>
          <w:bCs/>
          <w:sz w:val="21"/>
          <w:szCs w:val="21"/>
          <w:highlight w:val="none"/>
        </w:rPr>
      </w:pPr>
    </w:p>
    <w:p w14:paraId="647B7946">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 xml:space="preserve">甲方监督单位及电话：         </w:t>
      </w:r>
      <w:r>
        <w:rPr>
          <w:rFonts w:hint="eastAsia" w:ascii="宋体" w:hAnsi="宋体" w:eastAsia="宋体" w:cs="宋体"/>
          <w:b/>
          <w:bCs/>
          <w:sz w:val="21"/>
          <w:szCs w:val="21"/>
          <w:highlight w:val="none"/>
          <w:lang w:val="en-US" w:eastAsia="zh-CN"/>
        </w:rPr>
        <w:t xml:space="preserve">            </w:t>
      </w:r>
      <w:r>
        <w:rPr>
          <w:rFonts w:hint="eastAsia" w:ascii="宋体" w:hAnsi="宋体" w:eastAsia="宋体" w:cs="宋体"/>
          <w:b/>
          <w:bCs/>
          <w:sz w:val="21"/>
          <w:szCs w:val="21"/>
          <w:highlight w:val="none"/>
        </w:rPr>
        <w:t>乙方监督单位及电话：</w:t>
      </w:r>
    </w:p>
    <w:p w14:paraId="32091B3E">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b/>
          <w:bCs/>
          <w:sz w:val="21"/>
          <w:szCs w:val="21"/>
          <w:highlight w:val="none"/>
        </w:rPr>
      </w:pPr>
    </w:p>
    <w:p w14:paraId="711D0BEE">
      <w:pPr>
        <w:keepNext w:val="0"/>
        <w:keepLines w:val="0"/>
        <w:pageBreakBefore w:val="0"/>
        <w:widowControl w:val="0"/>
        <w:kinsoku/>
        <w:wordWrap/>
        <w:overflowPunct/>
        <w:topLinePunct w:val="0"/>
        <w:autoSpaceDE/>
        <w:autoSpaceDN/>
        <w:bidi w:val="0"/>
        <w:spacing w:line="560" w:lineRule="exact"/>
        <w:ind w:firstLine="2310" w:firstLineChars="1100"/>
        <w:jc w:val="right"/>
        <w:textAlignment w:val="auto"/>
        <w:rPr>
          <w:rFonts w:hint="eastAsia" w:ascii="宋体" w:hAnsi="宋体" w:eastAsia="宋体" w:cs="宋体"/>
          <w:b/>
          <w:bCs/>
          <w:sz w:val="21"/>
          <w:szCs w:val="21"/>
          <w:highlight w:val="none"/>
        </w:rPr>
      </w:pPr>
      <w:r>
        <w:rPr>
          <w:rFonts w:hint="eastAsia" w:ascii="宋体" w:hAnsi="宋体" w:eastAsia="宋体" w:cs="宋体"/>
          <w:b w:val="0"/>
          <w:bCs w:val="0"/>
          <w:sz w:val="21"/>
          <w:szCs w:val="21"/>
          <w:highlight w:val="none"/>
          <w:u w:val="single"/>
          <w:lang w:val="en-US" w:eastAsia="zh-CN"/>
        </w:rPr>
        <w:t xml:space="preserve">     </w:t>
      </w:r>
      <w:r>
        <w:rPr>
          <w:rFonts w:hint="eastAsia" w:ascii="宋体" w:hAnsi="宋体" w:eastAsia="宋体" w:cs="宋体"/>
          <w:b/>
          <w:bCs/>
          <w:sz w:val="21"/>
          <w:szCs w:val="21"/>
          <w:highlight w:val="none"/>
        </w:rPr>
        <w:t>年</w:t>
      </w:r>
      <w:r>
        <w:rPr>
          <w:rFonts w:hint="eastAsia" w:ascii="宋体" w:hAnsi="宋体" w:eastAsia="宋体" w:cs="宋体"/>
          <w:b w:val="0"/>
          <w:bCs w:val="0"/>
          <w:sz w:val="21"/>
          <w:szCs w:val="21"/>
          <w:highlight w:val="none"/>
          <w:u w:val="single"/>
          <w:lang w:val="en-US" w:eastAsia="zh-CN"/>
        </w:rPr>
        <w:t xml:space="preserve">    </w:t>
      </w:r>
      <w:r>
        <w:rPr>
          <w:rFonts w:hint="eastAsia" w:ascii="宋体" w:hAnsi="宋体" w:eastAsia="宋体" w:cs="宋体"/>
          <w:b/>
          <w:bCs/>
          <w:sz w:val="21"/>
          <w:szCs w:val="21"/>
          <w:highlight w:val="none"/>
        </w:rPr>
        <w:t xml:space="preserve">月 </w:t>
      </w:r>
      <w:r>
        <w:rPr>
          <w:rFonts w:hint="eastAsia" w:ascii="宋体" w:hAnsi="宋体" w:eastAsia="宋体" w:cs="宋体"/>
          <w:b w:val="0"/>
          <w:bCs w:val="0"/>
          <w:sz w:val="21"/>
          <w:szCs w:val="21"/>
          <w:highlight w:val="none"/>
          <w:u w:val="single"/>
          <w:lang w:val="en-US" w:eastAsia="zh-CN"/>
        </w:rPr>
        <w:t xml:space="preserve">   </w:t>
      </w:r>
      <w:r>
        <w:rPr>
          <w:rFonts w:hint="eastAsia" w:ascii="宋体" w:hAnsi="宋体" w:eastAsia="宋体" w:cs="宋体"/>
          <w:b/>
          <w:bCs/>
          <w:sz w:val="21"/>
          <w:szCs w:val="21"/>
          <w:highlight w:val="none"/>
        </w:rPr>
        <w:t xml:space="preserve"> 日</w:t>
      </w:r>
    </w:p>
    <w:p w14:paraId="58E27351">
      <w:pPr>
        <w:keepNext w:val="0"/>
        <w:keepLines w:val="0"/>
        <w:pageBreakBefore w:val="0"/>
        <w:widowControl w:val="0"/>
        <w:kinsoku/>
        <w:wordWrap/>
        <w:overflowPunct/>
        <w:topLinePunct w:val="0"/>
        <w:autoSpaceDE/>
        <w:autoSpaceDN/>
        <w:bidi w:val="0"/>
        <w:spacing w:line="560" w:lineRule="exact"/>
        <w:ind w:firstLine="4095" w:firstLineChars="1950"/>
        <w:textAlignment w:val="auto"/>
        <w:rPr>
          <w:rFonts w:hint="default"/>
          <w:highlight w:val="none"/>
          <w:lang w:val="en-US" w:eastAsia="zh-CN"/>
        </w:rPr>
      </w:pPr>
    </w:p>
    <w:p w14:paraId="2B5F3D13">
      <w:pPr>
        <w:rPr>
          <w:rFonts w:hint="eastAsia" w:ascii="宋体" w:hAnsi="宋体" w:cs="宋体"/>
          <w:color w:val="auto"/>
          <w:highlight w:val="none"/>
        </w:rPr>
      </w:pPr>
    </w:p>
    <w:p w14:paraId="48E75F5F">
      <w:pPr>
        <w:pStyle w:val="19"/>
        <w:rPr>
          <w:rFonts w:hint="eastAsia"/>
          <w:highlight w:val="none"/>
        </w:rPr>
      </w:pPr>
    </w:p>
    <w:p w14:paraId="0F9D0034">
      <w:pPr>
        <w:rPr>
          <w:rFonts w:hint="eastAsia" w:ascii="宋体" w:hAnsi="宋体" w:cs="宋体"/>
          <w:color w:val="auto"/>
          <w:kern w:val="0"/>
          <w:sz w:val="30"/>
          <w:szCs w:val="30"/>
          <w:highlight w:val="none"/>
        </w:rPr>
      </w:pPr>
      <w:bookmarkStart w:id="452" w:name="_Toc11894"/>
      <w:bookmarkStart w:id="453" w:name="_Toc28402"/>
      <w:r>
        <w:rPr>
          <w:rFonts w:hint="eastAsia" w:ascii="宋体" w:hAnsi="宋体" w:cs="宋体"/>
          <w:color w:val="auto"/>
          <w:kern w:val="0"/>
          <w:sz w:val="30"/>
          <w:szCs w:val="30"/>
          <w:highlight w:val="none"/>
        </w:rPr>
        <w:br w:type="page"/>
      </w:r>
    </w:p>
    <w:p w14:paraId="46991DA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right"/>
        <w:textAlignment w:val="auto"/>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 xml:space="preserve"> </w:t>
      </w:r>
      <w:r>
        <w:rPr>
          <w:rFonts w:hint="eastAsia" w:ascii="宋体" w:hAnsi="宋体" w:eastAsia="宋体" w:cs="宋体"/>
          <w:sz w:val="21"/>
          <w:szCs w:val="21"/>
          <w:highlight w:val="none"/>
          <w:lang w:val="en-US" w:eastAsia="zh-CN"/>
        </w:rPr>
        <w:t>（合同编号：                       ）</w:t>
      </w:r>
    </w:p>
    <w:p w14:paraId="1A484EE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42" w:firstLineChars="200"/>
        <w:jc w:val="left"/>
        <w:textAlignment w:val="auto"/>
        <w:rPr>
          <w:rFonts w:hint="default"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2标段</w:t>
      </w:r>
    </w:p>
    <w:p w14:paraId="25EF44A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center"/>
        <w:textAlignment w:val="auto"/>
        <w:rPr>
          <w:rFonts w:hint="eastAsia" w:ascii="宋体" w:hAnsi="宋体" w:eastAsia="宋体" w:cs="宋体"/>
          <w:sz w:val="21"/>
          <w:szCs w:val="21"/>
          <w:highlight w:val="none"/>
          <w:lang w:val="en-US" w:eastAsia="zh-CN"/>
        </w:rPr>
      </w:pPr>
    </w:p>
    <w:p w14:paraId="4844C26C">
      <w:pPr>
        <w:pStyle w:val="71"/>
        <w:jc w:val="center"/>
        <w:rPr>
          <w:rFonts w:hint="eastAsia" w:ascii="宋体" w:hAnsi="宋体" w:eastAsia="宋体" w:cs="宋体"/>
          <w:b w:val="0"/>
          <w:bCs w:val="0"/>
          <w:sz w:val="21"/>
          <w:szCs w:val="21"/>
          <w:highlight w:val="none"/>
          <w:lang w:val="en-US" w:eastAsia="zh-CN"/>
        </w:rPr>
      </w:pPr>
    </w:p>
    <w:p w14:paraId="7BB09599">
      <w:pPr>
        <w:rPr>
          <w:rFonts w:hint="eastAsia"/>
          <w:lang w:val="en-US" w:eastAsia="zh-CN"/>
        </w:rPr>
      </w:pPr>
    </w:p>
    <w:p w14:paraId="12669DD8">
      <w:pPr>
        <w:pStyle w:val="71"/>
        <w:jc w:val="center"/>
        <w:rPr>
          <w:rFonts w:hint="eastAsia" w:ascii="宋体" w:hAnsi="宋体" w:eastAsia="宋体" w:cs="宋体"/>
          <w:b w:val="0"/>
          <w:bCs w:val="0"/>
          <w:sz w:val="36"/>
          <w:szCs w:val="36"/>
          <w:highlight w:val="none"/>
          <w:lang w:val="en-US" w:eastAsia="zh-CN"/>
        </w:rPr>
      </w:pPr>
      <w:r>
        <w:rPr>
          <w:rFonts w:hint="eastAsia" w:ascii="宋体" w:hAnsi="宋体" w:eastAsia="宋体" w:cs="宋体"/>
          <w:b w:val="0"/>
          <w:bCs w:val="0"/>
          <w:sz w:val="36"/>
          <w:szCs w:val="36"/>
          <w:highlight w:val="none"/>
          <w:u w:val="single"/>
          <w:lang w:val="en-US" w:eastAsia="zh-CN"/>
        </w:rPr>
        <w:t xml:space="preserve">         设备采购安装</w:t>
      </w:r>
      <w:r>
        <w:rPr>
          <w:rFonts w:hint="eastAsia" w:ascii="宋体" w:hAnsi="宋体" w:eastAsia="宋体" w:cs="宋体"/>
          <w:b w:val="0"/>
          <w:bCs w:val="0"/>
          <w:sz w:val="36"/>
          <w:szCs w:val="36"/>
          <w:highlight w:val="none"/>
          <w:lang w:val="en-US" w:eastAsia="zh-CN"/>
        </w:rPr>
        <w:t>合同</w:t>
      </w:r>
    </w:p>
    <w:p w14:paraId="3A1C6EC4">
      <w:pPr>
        <w:pStyle w:val="71"/>
        <w:rPr>
          <w:rFonts w:hint="eastAsia" w:ascii="宋体" w:hAnsi="宋体" w:eastAsia="宋体" w:cs="宋体"/>
          <w:sz w:val="21"/>
          <w:szCs w:val="21"/>
          <w:highlight w:val="none"/>
          <w:lang w:val="en-US" w:eastAsia="zh-CN"/>
        </w:rPr>
      </w:pPr>
    </w:p>
    <w:p w14:paraId="2C8E74D4">
      <w:pPr>
        <w:rPr>
          <w:rFonts w:hint="eastAsia" w:ascii="宋体" w:hAnsi="宋体" w:eastAsia="宋体" w:cs="宋体"/>
          <w:sz w:val="21"/>
          <w:szCs w:val="21"/>
          <w:highlight w:val="none"/>
          <w:lang w:val="en-US" w:eastAsia="zh-CN"/>
        </w:rPr>
      </w:pPr>
    </w:p>
    <w:p w14:paraId="405D3B3A">
      <w:pPr>
        <w:pStyle w:val="4"/>
        <w:numPr>
          <w:ilvl w:val="2"/>
          <w:numId w:val="0"/>
        </w:numPr>
        <w:tabs>
          <w:tab w:val="clear" w:pos="709"/>
        </w:tabs>
        <w:ind w:leftChars="0"/>
        <w:rPr>
          <w:rFonts w:hint="eastAsia"/>
          <w:lang w:val="en-US" w:eastAsia="zh-CN"/>
        </w:rPr>
      </w:pPr>
    </w:p>
    <w:p w14:paraId="1B45C12A">
      <w:pPr>
        <w:rPr>
          <w:rFonts w:hint="eastAsia"/>
          <w:lang w:val="en-US" w:eastAsia="zh-CN"/>
        </w:rPr>
      </w:pPr>
    </w:p>
    <w:p w14:paraId="03F9F0F3">
      <w:pPr>
        <w:pStyle w:val="4"/>
        <w:numPr>
          <w:ilvl w:val="2"/>
          <w:numId w:val="0"/>
        </w:numPr>
        <w:tabs>
          <w:tab w:val="clear" w:pos="709"/>
        </w:tabs>
        <w:ind w:leftChars="0"/>
        <w:rPr>
          <w:rFonts w:hint="eastAsia"/>
          <w:lang w:val="en-US" w:eastAsia="zh-CN"/>
        </w:rPr>
      </w:pPr>
    </w:p>
    <w:p w14:paraId="0C6547A4">
      <w:pPr>
        <w:pStyle w:val="71"/>
        <w:rPr>
          <w:rFonts w:hint="eastAsia" w:ascii="宋体" w:hAnsi="宋体" w:eastAsia="宋体" w:cs="宋体"/>
          <w:sz w:val="21"/>
          <w:szCs w:val="21"/>
          <w:highlight w:val="none"/>
          <w:lang w:val="en-US" w:eastAsia="zh-CN"/>
        </w:rPr>
      </w:pPr>
    </w:p>
    <w:p w14:paraId="0DC0B59E">
      <w:pPr>
        <w:rPr>
          <w:rFonts w:hint="eastAsia" w:ascii="宋体" w:hAnsi="宋体" w:eastAsia="宋体" w:cs="宋体"/>
          <w:sz w:val="21"/>
          <w:szCs w:val="21"/>
          <w:highlight w:val="none"/>
          <w:lang w:val="en-US" w:eastAsia="zh-CN"/>
        </w:rPr>
      </w:pPr>
    </w:p>
    <w:p w14:paraId="1001EDC9">
      <w:pPr>
        <w:rPr>
          <w:rFonts w:hint="eastAsia" w:ascii="宋体" w:hAnsi="宋体" w:eastAsia="宋体" w:cs="宋体"/>
          <w:sz w:val="21"/>
          <w:szCs w:val="21"/>
          <w:highlight w:val="none"/>
          <w:lang w:val="en-US" w:eastAsia="zh-CN"/>
        </w:rPr>
      </w:pPr>
    </w:p>
    <w:p w14:paraId="3C040D2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sz w:val="21"/>
          <w:szCs w:val="21"/>
          <w:highlight w:val="none"/>
          <w:u w:val="single"/>
          <w:lang w:val="en-US" w:eastAsia="zh-CN"/>
        </w:rPr>
      </w:pPr>
      <w:r>
        <w:rPr>
          <w:rFonts w:hint="eastAsia" w:ascii="宋体" w:hAnsi="宋体" w:eastAsia="宋体" w:cs="宋体"/>
          <w:sz w:val="21"/>
          <w:szCs w:val="21"/>
          <w:highlight w:val="none"/>
          <w:lang w:eastAsia="zh-CN"/>
        </w:rPr>
        <w:t>甲</w:t>
      </w:r>
      <w:r>
        <w:rPr>
          <w:rFonts w:hint="eastAsia" w:ascii="宋体" w:hAnsi="宋体" w:eastAsia="宋体" w:cs="宋体"/>
          <w:sz w:val="21"/>
          <w:szCs w:val="21"/>
          <w:highlight w:val="none"/>
        </w:rPr>
        <w:t>方（</w:t>
      </w:r>
      <w:r>
        <w:rPr>
          <w:rFonts w:hint="eastAsia" w:ascii="宋体" w:hAnsi="宋体" w:eastAsia="宋体" w:cs="宋体"/>
          <w:sz w:val="21"/>
          <w:szCs w:val="21"/>
          <w:highlight w:val="none"/>
          <w:lang w:eastAsia="zh-CN"/>
        </w:rPr>
        <w:t>发</w:t>
      </w:r>
      <w:r>
        <w:rPr>
          <w:rFonts w:hint="eastAsia" w:ascii="宋体" w:hAnsi="宋体" w:eastAsia="宋体" w:cs="宋体"/>
          <w:sz w:val="21"/>
          <w:szCs w:val="21"/>
          <w:highlight w:val="none"/>
        </w:rPr>
        <w:t>包人）：</w:t>
      </w:r>
      <w:r>
        <w:rPr>
          <w:rFonts w:hint="eastAsia" w:ascii="宋体" w:hAnsi="宋体" w:eastAsia="宋体" w:cs="宋体"/>
          <w:b/>
          <w:bCs/>
          <w:sz w:val="21"/>
          <w:szCs w:val="21"/>
          <w:highlight w:val="none"/>
          <w:u w:val="single"/>
          <w:lang w:eastAsia="zh-CN"/>
        </w:rPr>
        <w:t>垫江县小厦建筑有限公司</w:t>
      </w:r>
      <w:r>
        <w:rPr>
          <w:rFonts w:hint="eastAsia" w:ascii="宋体" w:hAnsi="宋体" w:eastAsia="宋体" w:cs="宋体"/>
          <w:b/>
          <w:bCs/>
          <w:sz w:val="21"/>
          <w:szCs w:val="21"/>
          <w:highlight w:val="none"/>
          <w:u w:val="single"/>
          <w:lang w:val="en-US" w:eastAsia="zh-CN"/>
        </w:rPr>
        <w:t xml:space="preserve"> </w:t>
      </w:r>
    </w:p>
    <w:p w14:paraId="688156F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sz w:val="21"/>
          <w:szCs w:val="21"/>
          <w:highlight w:val="none"/>
          <w:u w:val="single"/>
          <w:lang w:eastAsia="zh-CN"/>
        </w:rPr>
      </w:pPr>
    </w:p>
    <w:p w14:paraId="66C95AAD">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val="0"/>
          <w:bCs w:val="0"/>
          <w:sz w:val="21"/>
          <w:szCs w:val="21"/>
          <w:highlight w:val="none"/>
          <w:u w:val="none"/>
          <w:lang w:eastAsia="zh-CN"/>
        </w:rPr>
      </w:pPr>
    </w:p>
    <w:p w14:paraId="47466E0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b w:val="0"/>
          <w:bCs w:val="0"/>
          <w:sz w:val="21"/>
          <w:szCs w:val="21"/>
          <w:highlight w:val="none"/>
          <w:u w:val="none"/>
          <w:lang w:eastAsia="zh-CN"/>
        </w:rPr>
        <w:t>乙方（承包人）：</w:t>
      </w:r>
      <w:r>
        <w:rPr>
          <w:rFonts w:hint="eastAsia" w:ascii="宋体" w:hAnsi="宋体" w:eastAsia="宋体" w:cs="宋体"/>
          <w:b/>
          <w:bCs/>
          <w:sz w:val="21"/>
          <w:szCs w:val="21"/>
          <w:highlight w:val="none"/>
          <w:u w:val="single"/>
          <w:lang w:val="en-US" w:eastAsia="zh-CN"/>
        </w:rPr>
        <w:t xml:space="preserve">                     </w:t>
      </w:r>
    </w:p>
    <w:p w14:paraId="0B60299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sz w:val="21"/>
          <w:szCs w:val="21"/>
          <w:highlight w:val="none"/>
          <w:u w:val="single"/>
          <w:lang w:val="en-US" w:eastAsia="zh-CN"/>
        </w:rPr>
      </w:pPr>
    </w:p>
    <w:p w14:paraId="61A8F38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sz w:val="21"/>
          <w:szCs w:val="21"/>
          <w:highlight w:val="none"/>
          <w:u w:val="single"/>
          <w:lang w:val="en-US" w:eastAsia="zh-CN"/>
        </w:rPr>
      </w:pPr>
    </w:p>
    <w:p w14:paraId="0C9004D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sz w:val="21"/>
          <w:szCs w:val="21"/>
          <w:highlight w:val="none"/>
          <w:u w:val="single"/>
          <w:lang w:val="en-US" w:eastAsia="zh-CN"/>
        </w:rPr>
      </w:pPr>
    </w:p>
    <w:p w14:paraId="1CCA49D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bCs/>
          <w:sz w:val="21"/>
          <w:szCs w:val="21"/>
          <w:highlight w:val="none"/>
          <w:u w:val="single"/>
          <w:lang w:val="en-US" w:eastAsia="zh-CN"/>
        </w:rPr>
      </w:pPr>
    </w:p>
    <w:p w14:paraId="139079D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sz w:val="21"/>
          <w:szCs w:val="21"/>
          <w:highlight w:val="none"/>
          <w:lang w:eastAsia="zh-CN"/>
        </w:rPr>
        <w:sectPr>
          <w:footerReference r:id="rId7" w:type="default"/>
          <w:pgSz w:w="11906" w:h="16838"/>
          <w:pgMar w:top="1417" w:right="1701" w:bottom="1417" w:left="1701" w:header="851" w:footer="992" w:gutter="0"/>
          <w:pgNumType w:fmt="decimal" w:start="1"/>
          <w:cols w:space="720" w:num="1"/>
          <w:docGrid w:type="lines" w:linePitch="312" w:charSpace="0"/>
        </w:sectPr>
      </w:pPr>
      <w:r>
        <w:rPr>
          <w:rFonts w:hint="eastAsia" w:ascii="宋体" w:hAnsi="宋体" w:eastAsia="宋体" w:cs="宋体"/>
          <w:b/>
          <w:bCs/>
          <w:sz w:val="21"/>
          <w:szCs w:val="21"/>
          <w:highlight w:val="none"/>
          <w:u w:val="single"/>
          <w:lang w:val="en-US" w:eastAsia="zh-CN"/>
        </w:rPr>
        <w:t xml:space="preserve">2023年  月  日 </w:t>
      </w:r>
    </w:p>
    <w:p w14:paraId="522ECD26">
      <w:pPr>
        <w:keepNext w:val="0"/>
        <w:keepLines w:val="0"/>
        <w:pageBreakBefore w:val="0"/>
        <w:widowControl w:val="0"/>
        <w:numPr>
          <w:ilvl w:val="0"/>
          <w:numId w:val="0"/>
        </w:numPr>
        <w:kinsoku/>
        <w:wordWrap/>
        <w:overflowPunct/>
        <w:topLinePunct w:val="0"/>
        <w:autoSpaceDE/>
        <w:autoSpaceDN/>
        <w:bidi w:val="0"/>
        <w:adjustRightInd w:val="0"/>
        <w:snapToGrid/>
        <w:spacing w:line="240" w:lineRule="atLeast"/>
        <w:ind w:leftChars="0"/>
        <w:jc w:val="left"/>
        <w:textAlignment w:val="auto"/>
        <w:rPr>
          <w:rFonts w:hint="eastAsia" w:ascii="宋体" w:hAnsi="宋体" w:cs="宋体"/>
          <w:b/>
          <w:bCs/>
          <w:sz w:val="21"/>
          <w:szCs w:val="21"/>
          <w:highlight w:val="none"/>
          <w:u w:val="none"/>
          <w:lang w:val="en-US" w:eastAsia="zh-CN"/>
        </w:rPr>
      </w:pPr>
      <w:r>
        <w:rPr>
          <w:rFonts w:hint="eastAsia" w:ascii="宋体" w:hAnsi="宋体" w:cs="宋体"/>
          <w:b/>
          <w:bCs/>
          <w:sz w:val="28"/>
          <w:szCs w:val="28"/>
          <w:highlight w:val="none"/>
          <w:u w:val="none"/>
          <w:lang w:val="en-US" w:eastAsia="zh-CN"/>
        </w:rPr>
        <w:t>2标段</w:t>
      </w:r>
      <w:r>
        <w:rPr>
          <w:rFonts w:hint="eastAsia" w:ascii="宋体" w:hAnsi="宋体" w:cs="宋体"/>
          <w:b/>
          <w:bCs/>
          <w:sz w:val="21"/>
          <w:szCs w:val="21"/>
          <w:highlight w:val="none"/>
          <w:u w:val="none"/>
          <w:lang w:val="en-US" w:eastAsia="zh-CN"/>
        </w:rPr>
        <w:t xml:space="preserve"> </w:t>
      </w:r>
    </w:p>
    <w:p w14:paraId="3E0CAA0F">
      <w:pPr>
        <w:keepNext w:val="0"/>
        <w:keepLines w:val="0"/>
        <w:pageBreakBefore w:val="0"/>
        <w:widowControl w:val="0"/>
        <w:kinsoku/>
        <w:wordWrap/>
        <w:overflowPunct/>
        <w:topLinePunct w:val="0"/>
        <w:autoSpaceDE/>
        <w:autoSpaceDN/>
        <w:bidi w:val="0"/>
        <w:adjustRightInd w:val="0"/>
        <w:snapToGrid/>
        <w:spacing w:line="240" w:lineRule="atLeast"/>
        <w:ind w:left="0" w:left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u w:val="single"/>
          <w:lang w:val="en-US" w:eastAsia="zh-CN"/>
        </w:rPr>
        <w:t xml:space="preserve">              </w:t>
      </w:r>
      <w:r>
        <w:rPr>
          <w:rFonts w:hint="eastAsia" w:ascii="宋体" w:hAnsi="宋体" w:eastAsia="宋体" w:cs="宋体"/>
          <w:b/>
          <w:bCs/>
          <w:sz w:val="21"/>
          <w:szCs w:val="21"/>
          <w:highlight w:val="none"/>
          <w:lang w:val="en-US" w:eastAsia="zh-CN"/>
        </w:rPr>
        <w:t xml:space="preserve"> </w:t>
      </w:r>
      <w:r>
        <w:rPr>
          <w:rFonts w:hint="eastAsia" w:ascii="宋体" w:hAnsi="宋体" w:eastAsia="宋体" w:cs="宋体"/>
          <w:b/>
          <w:bCs/>
          <w:sz w:val="21"/>
          <w:szCs w:val="21"/>
          <w:highlight w:val="none"/>
        </w:rPr>
        <w:t>项目</w:t>
      </w:r>
    </w:p>
    <w:p w14:paraId="3E332601">
      <w:pPr>
        <w:keepNext w:val="0"/>
        <w:keepLines w:val="0"/>
        <w:pageBreakBefore w:val="0"/>
        <w:widowControl w:val="0"/>
        <w:kinsoku/>
        <w:wordWrap/>
        <w:overflowPunct/>
        <w:topLinePunct w:val="0"/>
        <w:autoSpaceDE/>
        <w:autoSpaceDN/>
        <w:bidi w:val="0"/>
        <w:adjustRightInd w:val="0"/>
        <w:snapToGrid/>
        <w:spacing w:line="240" w:lineRule="atLeast"/>
        <w:ind w:left="0" w:leftChars="0"/>
        <w:jc w:val="center"/>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设备采购安装</w:t>
      </w:r>
      <w:r>
        <w:rPr>
          <w:rFonts w:hint="eastAsia" w:ascii="宋体" w:hAnsi="宋体" w:eastAsia="宋体" w:cs="宋体"/>
          <w:b/>
          <w:bCs/>
          <w:sz w:val="21"/>
          <w:szCs w:val="21"/>
          <w:highlight w:val="none"/>
        </w:rPr>
        <w:t>合同</w:t>
      </w:r>
    </w:p>
    <w:p w14:paraId="195AE924">
      <w:pPr>
        <w:keepNext w:val="0"/>
        <w:keepLines w:val="0"/>
        <w:pageBreakBefore w:val="0"/>
        <w:widowControl w:val="0"/>
        <w:kinsoku/>
        <w:wordWrap/>
        <w:overflowPunct/>
        <w:topLinePunct w:val="0"/>
        <w:autoSpaceDE/>
        <w:autoSpaceDN/>
        <w:bidi w:val="0"/>
        <w:adjustRightInd/>
        <w:snapToGrid/>
        <w:spacing w:line="380" w:lineRule="exact"/>
        <w:ind w:left="0" w:leftChars="0"/>
        <w:textAlignment w:val="auto"/>
        <w:rPr>
          <w:rFonts w:hint="eastAsia" w:ascii="宋体" w:hAnsi="宋体" w:eastAsia="宋体" w:cs="宋体"/>
          <w:b/>
          <w:bCs/>
          <w:sz w:val="21"/>
          <w:szCs w:val="21"/>
          <w:highlight w:val="none"/>
          <w:lang w:eastAsia="zh-CN"/>
        </w:rPr>
      </w:pPr>
    </w:p>
    <w:p w14:paraId="7BB55B9C">
      <w:pPr>
        <w:keepNext w:val="0"/>
        <w:keepLines w:val="0"/>
        <w:pageBreakBefore w:val="0"/>
        <w:widowControl w:val="0"/>
        <w:kinsoku/>
        <w:wordWrap/>
        <w:overflowPunct/>
        <w:topLinePunct w:val="0"/>
        <w:autoSpaceDE/>
        <w:autoSpaceDN/>
        <w:bidi w:val="0"/>
        <w:adjustRightInd/>
        <w:snapToGrid/>
        <w:spacing w:line="380" w:lineRule="exact"/>
        <w:ind w:left="0" w:leftChars="0"/>
        <w:textAlignment w:val="auto"/>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eastAsia="zh-CN"/>
        </w:rPr>
        <w:t>甲</w:t>
      </w:r>
      <w:r>
        <w:rPr>
          <w:rFonts w:hint="eastAsia" w:ascii="宋体" w:hAnsi="宋体" w:eastAsia="宋体" w:cs="宋体"/>
          <w:b/>
          <w:bCs/>
          <w:sz w:val="21"/>
          <w:szCs w:val="21"/>
          <w:highlight w:val="none"/>
        </w:rPr>
        <w:t>方（</w:t>
      </w:r>
      <w:r>
        <w:rPr>
          <w:rFonts w:hint="eastAsia" w:ascii="宋体" w:hAnsi="宋体" w:eastAsia="宋体" w:cs="宋体"/>
          <w:b/>
          <w:bCs/>
          <w:sz w:val="21"/>
          <w:szCs w:val="21"/>
          <w:highlight w:val="none"/>
          <w:lang w:eastAsia="zh-CN"/>
        </w:rPr>
        <w:t>发</w:t>
      </w:r>
      <w:r>
        <w:rPr>
          <w:rFonts w:hint="eastAsia" w:ascii="宋体" w:hAnsi="宋体" w:eastAsia="宋体" w:cs="宋体"/>
          <w:b/>
          <w:bCs/>
          <w:sz w:val="21"/>
          <w:szCs w:val="21"/>
          <w:highlight w:val="none"/>
        </w:rPr>
        <w:t>包人）：</w:t>
      </w:r>
      <w:r>
        <w:rPr>
          <w:rFonts w:hint="eastAsia" w:ascii="宋体" w:hAnsi="宋体" w:eastAsia="宋体" w:cs="宋体"/>
          <w:b/>
          <w:bCs/>
          <w:sz w:val="21"/>
          <w:szCs w:val="21"/>
          <w:highlight w:val="none"/>
          <w:u w:val="single"/>
          <w:lang w:eastAsia="zh-CN"/>
        </w:rPr>
        <w:t>垫江县小厦建筑有限公司</w:t>
      </w:r>
      <w:r>
        <w:rPr>
          <w:rFonts w:hint="eastAsia" w:ascii="宋体" w:hAnsi="宋体" w:eastAsia="宋体" w:cs="宋体"/>
          <w:b/>
          <w:bCs/>
          <w:sz w:val="21"/>
          <w:szCs w:val="21"/>
          <w:highlight w:val="none"/>
          <w:u w:val="single"/>
          <w:lang w:val="en-US" w:eastAsia="zh-CN"/>
        </w:rPr>
        <w:t xml:space="preserve">  </w:t>
      </w:r>
    </w:p>
    <w:p w14:paraId="6048EB56">
      <w:pPr>
        <w:keepNext w:val="0"/>
        <w:keepLines w:val="0"/>
        <w:pageBreakBefore w:val="0"/>
        <w:widowControl w:val="0"/>
        <w:kinsoku/>
        <w:wordWrap/>
        <w:overflowPunct/>
        <w:topLinePunct w:val="0"/>
        <w:autoSpaceDE/>
        <w:autoSpaceDN/>
        <w:bidi w:val="0"/>
        <w:adjustRightInd/>
        <w:snapToGrid/>
        <w:spacing w:line="380" w:lineRule="exact"/>
        <w:ind w:left="0" w:leftChars="0"/>
        <w:textAlignment w:val="auto"/>
        <w:rPr>
          <w:rFonts w:hint="eastAsia" w:ascii="宋体" w:hAnsi="宋体" w:eastAsia="宋体" w:cs="宋体"/>
          <w:b/>
          <w:bCs/>
          <w:sz w:val="21"/>
          <w:szCs w:val="21"/>
          <w:highlight w:val="none"/>
          <w:lang w:eastAsia="zh-CN"/>
        </w:rPr>
      </w:pPr>
    </w:p>
    <w:p w14:paraId="3E5DC80C">
      <w:pPr>
        <w:keepNext w:val="0"/>
        <w:keepLines w:val="0"/>
        <w:pageBreakBefore w:val="0"/>
        <w:widowControl w:val="0"/>
        <w:kinsoku/>
        <w:wordWrap/>
        <w:overflowPunct/>
        <w:topLinePunct w:val="0"/>
        <w:autoSpaceDE/>
        <w:autoSpaceDN/>
        <w:bidi w:val="0"/>
        <w:adjustRightInd/>
        <w:snapToGrid/>
        <w:spacing w:line="380" w:lineRule="exact"/>
        <w:ind w:left="0" w:leftChars="0"/>
        <w:textAlignment w:val="auto"/>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eastAsia="zh-CN"/>
        </w:rPr>
        <w:t>乙方（承包人）：</w:t>
      </w:r>
      <w:r>
        <w:rPr>
          <w:rFonts w:hint="eastAsia" w:ascii="宋体" w:hAnsi="宋体" w:eastAsia="宋体" w:cs="宋体"/>
          <w:b/>
          <w:bCs/>
          <w:sz w:val="21"/>
          <w:szCs w:val="21"/>
          <w:highlight w:val="none"/>
          <w:u w:val="single"/>
          <w:lang w:val="en-US" w:eastAsia="zh-CN"/>
        </w:rPr>
        <w:t xml:space="preserve">                       </w:t>
      </w:r>
    </w:p>
    <w:p w14:paraId="2430474A">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依照《中华人民共和国</w:t>
      </w:r>
      <w:r>
        <w:rPr>
          <w:rFonts w:hint="eastAsia" w:ascii="宋体" w:hAnsi="宋体" w:eastAsia="宋体" w:cs="宋体"/>
          <w:sz w:val="21"/>
          <w:szCs w:val="21"/>
          <w:highlight w:val="none"/>
          <w:lang w:val="en-US" w:eastAsia="zh-CN"/>
        </w:rPr>
        <w:t>民法典</w:t>
      </w:r>
      <w:r>
        <w:rPr>
          <w:rFonts w:hint="eastAsia" w:ascii="宋体" w:hAnsi="宋体" w:eastAsia="宋体" w:cs="宋体"/>
          <w:sz w:val="21"/>
          <w:szCs w:val="21"/>
          <w:highlight w:val="none"/>
        </w:rPr>
        <w:t>》、《中华人民共和国建筑法》及其它相关法律、行政法规，遵循平等、自愿、公平和诚实信用的原则，承包人和</w:t>
      </w:r>
      <w:r>
        <w:rPr>
          <w:rFonts w:hint="eastAsia" w:ascii="宋体" w:hAnsi="宋体" w:eastAsia="宋体" w:cs="宋体"/>
          <w:sz w:val="21"/>
          <w:szCs w:val="21"/>
          <w:highlight w:val="none"/>
          <w:lang w:eastAsia="zh-CN"/>
        </w:rPr>
        <w:t>发</w:t>
      </w:r>
      <w:r>
        <w:rPr>
          <w:rFonts w:hint="eastAsia" w:ascii="宋体" w:hAnsi="宋体" w:eastAsia="宋体" w:cs="宋体"/>
          <w:sz w:val="21"/>
          <w:szCs w:val="21"/>
          <w:highlight w:val="none"/>
        </w:rPr>
        <w:t>包人双方就</w:t>
      </w:r>
      <w:r>
        <w:rPr>
          <w:rFonts w:hint="eastAsia" w:ascii="宋体" w:hAnsi="宋体" w:eastAsia="宋体" w:cs="宋体"/>
          <w:sz w:val="21"/>
          <w:szCs w:val="21"/>
          <w:highlight w:val="none"/>
          <w:lang w:eastAsia="zh-CN"/>
        </w:rPr>
        <w:t>本项目</w:t>
      </w:r>
      <w:r>
        <w:rPr>
          <w:rFonts w:hint="eastAsia" w:ascii="宋体" w:hAnsi="宋体" w:eastAsia="宋体" w:cs="宋体"/>
          <w:sz w:val="21"/>
          <w:szCs w:val="21"/>
          <w:highlight w:val="none"/>
        </w:rPr>
        <w:t>施工事项经协商达成一致，订立本合同。</w:t>
      </w:r>
    </w:p>
    <w:p w14:paraId="54BBDFDE">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第一条</w:t>
      </w:r>
      <w:r>
        <w:rPr>
          <w:rFonts w:hint="eastAsia" w:ascii="宋体" w:hAnsi="宋体" w:eastAsia="宋体" w:cs="宋体"/>
          <w:b/>
          <w:bCs/>
          <w:sz w:val="21"/>
          <w:szCs w:val="21"/>
          <w:highlight w:val="none"/>
          <w:lang w:val="en-US" w:eastAsia="zh-CN"/>
        </w:rPr>
        <w:t xml:space="preserve"> </w:t>
      </w:r>
      <w:r>
        <w:rPr>
          <w:rFonts w:hint="eastAsia" w:ascii="宋体" w:hAnsi="宋体" w:eastAsia="宋体" w:cs="宋体"/>
          <w:b/>
          <w:bCs/>
          <w:sz w:val="21"/>
          <w:szCs w:val="21"/>
          <w:highlight w:val="none"/>
        </w:rPr>
        <w:t>工程概况</w:t>
      </w:r>
    </w:p>
    <w:p w14:paraId="19B28E91">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u w:val="single"/>
          <w:lang w:val="en-US"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工程名称：</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w:t>
      </w:r>
    </w:p>
    <w:p w14:paraId="7484E232">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工程地点：</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eastAsia="zh-CN"/>
        </w:rPr>
        <w:t>；</w:t>
      </w:r>
    </w:p>
    <w:p w14:paraId="3A3F3910">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工程规模：</w:t>
      </w:r>
      <w:r>
        <w:rPr>
          <w:rFonts w:hint="eastAsia" w:ascii="宋体" w:hAnsi="宋体" w:eastAsia="宋体" w:cs="宋体"/>
          <w:sz w:val="21"/>
          <w:szCs w:val="21"/>
          <w:highlight w:val="none"/>
          <w:u w:val="single"/>
          <w:lang w:eastAsia="zh-CN"/>
        </w:rPr>
        <w:t>详见施工图、清单</w:t>
      </w:r>
      <w:r>
        <w:rPr>
          <w:rFonts w:hint="eastAsia" w:ascii="宋体" w:hAnsi="宋体" w:cs="宋体"/>
          <w:sz w:val="21"/>
          <w:szCs w:val="21"/>
          <w:highlight w:val="none"/>
          <w:u w:val="single"/>
          <w:lang w:eastAsia="zh-CN"/>
        </w:rPr>
        <w:t>及</w:t>
      </w:r>
      <w:r>
        <w:rPr>
          <w:rFonts w:hint="eastAsia" w:ascii="宋体" w:hAnsi="宋体" w:eastAsia="宋体" w:cs="宋体"/>
          <w:sz w:val="21"/>
          <w:szCs w:val="21"/>
          <w:highlight w:val="none"/>
          <w:u w:val="single"/>
          <w:lang w:eastAsia="zh-CN"/>
        </w:rPr>
        <w:t>《</w:t>
      </w:r>
      <w:r>
        <w:rPr>
          <w:rFonts w:hint="eastAsia" w:ascii="宋体" w:hAnsi="宋体" w:eastAsia="宋体" w:cs="宋体"/>
          <w:sz w:val="21"/>
          <w:szCs w:val="21"/>
          <w:highlight w:val="none"/>
          <w:u w:val="single"/>
          <w:lang w:val="en-US" w:eastAsia="zh-CN"/>
        </w:rPr>
        <w:t xml:space="preserve">         竞争性比选</w:t>
      </w:r>
      <w:r>
        <w:rPr>
          <w:rFonts w:hint="eastAsia" w:ascii="宋体" w:hAnsi="宋体" w:eastAsia="宋体" w:cs="宋体"/>
          <w:sz w:val="21"/>
          <w:szCs w:val="21"/>
          <w:highlight w:val="none"/>
          <w:u w:val="single"/>
          <w:lang w:eastAsia="zh-CN"/>
        </w:rPr>
        <w:t>公告》内容</w:t>
      </w:r>
      <w:r>
        <w:rPr>
          <w:rFonts w:hint="eastAsia" w:ascii="宋体" w:hAnsi="宋体" w:eastAsia="宋体" w:cs="宋体"/>
          <w:sz w:val="21"/>
          <w:szCs w:val="21"/>
          <w:highlight w:val="none"/>
          <w:lang w:eastAsia="zh-CN"/>
        </w:rPr>
        <w:t>；</w:t>
      </w:r>
    </w:p>
    <w:p w14:paraId="6642DACA">
      <w:pPr>
        <w:keepNext w:val="0"/>
        <w:keepLines w:val="0"/>
        <w:pageBreakBefore w:val="0"/>
        <w:widowControl w:val="0"/>
        <w:numPr>
          <w:ilvl w:val="0"/>
          <w:numId w:val="7"/>
        </w:numPr>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分包范围：</w:t>
      </w:r>
    </w:p>
    <w:p w14:paraId="6E3ED88D">
      <w:pPr>
        <w:keepNext w:val="0"/>
        <w:keepLines w:val="0"/>
        <w:pageBreakBefore w:val="0"/>
        <w:widowControl w:val="0"/>
        <w:numPr>
          <w:ilvl w:val="0"/>
          <w:numId w:val="8"/>
        </w:numPr>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eastAsia="zh-CN"/>
        </w:rPr>
        <w:t>；</w:t>
      </w:r>
    </w:p>
    <w:p w14:paraId="1DDC28B1">
      <w:pPr>
        <w:keepNext w:val="0"/>
        <w:keepLines w:val="0"/>
        <w:pageBreakBefore w:val="0"/>
        <w:widowControl w:val="0"/>
        <w:numPr>
          <w:ilvl w:val="0"/>
          <w:numId w:val="8"/>
        </w:numPr>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eastAsia="zh-CN"/>
        </w:rPr>
        <w:t>；</w:t>
      </w:r>
    </w:p>
    <w:p w14:paraId="74338605">
      <w:pPr>
        <w:keepNext w:val="0"/>
        <w:keepLines w:val="0"/>
        <w:pageBreakBefore w:val="0"/>
        <w:widowControl w:val="0"/>
        <w:numPr>
          <w:ilvl w:val="0"/>
          <w:numId w:val="8"/>
        </w:numPr>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eastAsia="zh-CN"/>
        </w:rPr>
        <w:t>；</w:t>
      </w:r>
    </w:p>
    <w:p w14:paraId="0E705640">
      <w:pPr>
        <w:keepNext w:val="0"/>
        <w:keepLines w:val="0"/>
        <w:pageBreakBefore w:val="0"/>
        <w:widowControl w:val="0"/>
        <w:numPr>
          <w:ilvl w:val="0"/>
          <w:numId w:val="8"/>
        </w:numPr>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eastAsia="zh-CN"/>
        </w:rPr>
        <w:t>。</w:t>
      </w:r>
    </w:p>
    <w:p w14:paraId="0DE92890">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第</w:t>
      </w:r>
      <w:r>
        <w:rPr>
          <w:rFonts w:hint="eastAsia" w:ascii="宋体" w:hAnsi="宋体" w:eastAsia="宋体" w:cs="宋体"/>
          <w:b/>
          <w:bCs/>
          <w:sz w:val="21"/>
          <w:szCs w:val="21"/>
          <w:highlight w:val="none"/>
          <w:lang w:eastAsia="zh-CN"/>
        </w:rPr>
        <w:t>二</w:t>
      </w:r>
      <w:r>
        <w:rPr>
          <w:rFonts w:hint="eastAsia" w:ascii="宋体" w:hAnsi="宋体" w:eastAsia="宋体" w:cs="宋体"/>
          <w:b/>
          <w:bCs/>
          <w:sz w:val="21"/>
          <w:szCs w:val="21"/>
          <w:highlight w:val="none"/>
        </w:rPr>
        <w:t>条</w:t>
      </w:r>
      <w:r>
        <w:rPr>
          <w:rFonts w:hint="eastAsia" w:ascii="宋体" w:hAnsi="宋体" w:eastAsia="宋体" w:cs="宋体"/>
          <w:b/>
          <w:bCs/>
          <w:sz w:val="21"/>
          <w:szCs w:val="21"/>
          <w:highlight w:val="none"/>
          <w:lang w:val="en-US" w:eastAsia="zh-CN"/>
        </w:rPr>
        <w:t xml:space="preserve"> 承包方式、</w:t>
      </w:r>
      <w:r>
        <w:rPr>
          <w:rFonts w:hint="eastAsia" w:ascii="宋体" w:hAnsi="宋体" w:eastAsia="宋体" w:cs="宋体"/>
          <w:b/>
          <w:bCs/>
          <w:sz w:val="21"/>
          <w:szCs w:val="21"/>
          <w:highlight w:val="none"/>
        </w:rPr>
        <w:t>合同价款的确定、结算与支付</w:t>
      </w:r>
    </w:p>
    <w:p w14:paraId="36086022">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1、承包方式：</w:t>
      </w:r>
      <w:r>
        <w:rPr>
          <w:rFonts w:hint="eastAsia" w:ascii="宋体" w:hAnsi="宋体" w:eastAsia="宋体" w:cs="宋体"/>
          <w:sz w:val="21"/>
          <w:szCs w:val="21"/>
          <w:highlight w:val="none"/>
          <w:u w:val="single"/>
          <w:lang w:val="en-US" w:eastAsia="zh-CN"/>
        </w:rPr>
        <w:t>包工包料</w:t>
      </w:r>
      <w:r>
        <w:rPr>
          <w:rFonts w:hint="eastAsia" w:ascii="宋体" w:hAnsi="宋体" w:eastAsia="宋体" w:cs="宋体"/>
          <w:sz w:val="21"/>
          <w:szCs w:val="21"/>
          <w:highlight w:val="none"/>
          <w:lang w:val="en-US" w:eastAsia="zh-CN"/>
        </w:rPr>
        <w:t>。</w:t>
      </w:r>
    </w:p>
    <w:p w14:paraId="097BBB39">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、合同</w:t>
      </w:r>
      <w:r>
        <w:rPr>
          <w:rFonts w:hint="eastAsia" w:ascii="宋体" w:hAnsi="宋体" w:eastAsia="宋体" w:cs="宋体"/>
          <w:sz w:val="21"/>
          <w:szCs w:val="21"/>
          <w:highlight w:val="none"/>
          <w:lang w:eastAsia="zh-CN"/>
        </w:rPr>
        <w:t>总价</w:t>
      </w:r>
      <w:r>
        <w:rPr>
          <w:rFonts w:hint="eastAsia" w:ascii="宋体" w:hAnsi="宋体" w:eastAsia="宋体" w:cs="宋体"/>
          <w:sz w:val="21"/>
          <w:szCs w:val="21"/>
          <w:highlight w:val="none"/>
        </w:rPr>
        <w:t>为</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元（大写</w:t>
      </w:r>
      <w:r>
        <w:rPr>
          <w:rFonts w:hint="eastAsia" w:ascii="宋体" w:hAnsi="宋体" w:eastAsia="宋体" w:cs="宋体"/>
          <w:sz w:val="21"/>
          <w:szCs w:val="21"/>
          <w:highlight w:val="none"/>
          <w:lang w:val="en-US" w:eastAsia="zh-CN"/>
        </w:rPr>
        <w:t>人民币</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lang w:eastAsia="zh-CN"/>
        </w:rPr>
        <w:t>元整</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此价作为拨付承包</w:t>
      </w:r>
      <w:r>
        <w:rPr>
          <w:rFonts w:hint="eastAsia" w:ascii="宋体" w:hAnsi="宋体" w:eastAsia="宋体" w:cs="宋体"/>
          <w:sz w:val="21"/>
          <w:szCs w:val="21"/>
          <w:highlight w:val="none"/>
          <w:u w:val="single"/>
          <w:lang w:eastAsia="zh-CN"/>
        </w:rPr>
        <w:t>进度款</w:t>
      </w:r>
      <w:r>
        <w:rPr>
          <w:rFonts w:hint="eastAsia" w:ascii="宋体" w:hAnsi="宋体" w:eastAsia="宋体" w:cs="宋体"/>
          <w:sz w:val="21"/>
          <w:szCs w:val="21"/>
          <w:highlight w:val="none"/>
          <w:u w:val="single"/>
        </w:rPr>
        <w:t>的依据</w:t>
      </w: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single"/>
          <w:lang w:val="en-US" w:eastAsia="zh-CN"/>
        </w:rPr>
        <w:t>该</w:t>
      </w:r>
      <w:r>
        <w:rPr>
          <w:rFonts w:hint="eastAsia" w:ascii="宋体" w:hAnsi="宋体" w:eastAsia="宋体" w:cs="宋体"/>
          <w:sz w:val="21"/>
          <w:szCs w:val="21"/>
          <w:highlight w:val="none"/>
          <w:u w:val="single"/>
          <w:lang w:eastAsia="zh-CN"/>
        </w:rPr>
        <w:t>价格包含</w:t>
      </w:r>
      <w:r>
        <w:rPr>
          <w:rFonts w:hint="eastAsia" w:ascii="宋体" w:hAnsi="宋体" w:eastAsia="宋体" w:cs="宋体"/>
          <w:sz w:val="21"/>
          <w:szCs w:val="21"/>
          <w:highlight w:val="none"/>
          <w:u w:val="single"/>
          <w:lang w:val="en-US" w:eastAsia="zh-CN"/>
        </w:rPr>
        <w:t>完成比选范围内工程项目的人工费、材料费、机械费、企业管理费、利润、风险费用、措施费（含安全文明施工费和竣工图及档案资料编制费）、除渣费、卫生费、转运费、</w:t>
      </w:r>
      <w:r>
        <w:rPr>
          <w:rFonts w:hint="eastAsia" w:ascii="宋体" w:hAnsi="宋体" w:cs="宋体"/>
          <w:sz w:val="21"/>
          <w:szCs w:val="21"/>
          <w:highlight w:val="none"/>
          <w:u w:val="single"/>
          <w:lang w:val="en-US" w:eastAsia="zh-CN"/>
        </w:rPr>
        <w:t>外机基础费、</w:t>
      </w:r>
      <w:r>
        <w:rPr>
          <w:rFonts w:hint="eastAsia" w:ascii="宋体" w:hAnsi="宋体" w:eastAsia="宋体" w:cs="宋体"/>
          <w:sz w:val="21"/>
          <w:szCs w:val="21"/>
          <w:highlight w:val="none"/>
          <w:u w:val="single"/>
          <w:lang w:val="en-US" w:eastAsia="zh-CN"/>
        </w:rPr>
        <w:t>协调费、规费、9%增值税税金等全部费用</w:t>
      </w:r>
      <w:r>
        <w:rPr>
          <w:rFonts w:hint="eastAsia" w:ascii="宋体" w:hAnsi="宋体" w:eastAsia="宋体" w:cs="宋体"/>
          <w:sz w:val="21"/>
          <w:szCs w:val="21"/>
          <w:highlight w:val="none"/>
          <w:u w:val="none"/>
          <w:lang w:eastAsia="zh-CN"/>
        </w:rPr>
        <w:t>。</w:t>
      </w:r>
    </w:p>
    <w:p w14:paraId="715C1D30">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3、结算：</w:t>
      </w:r>
    </w:p>
    <w:p w14:paraId="42A56742">
      <w:pPr>
        <w:keepNext w:val="0"/>
        <w:keepLines w:val="0"/>
        <w:suppressLineNumbers w:val="0"/>
        <w:spacing w:before="0" w:beforeAutospacing="0" w:after="0" w:afterAutospacing="0" w:line="360" w:lineRule="auto"/>
        <w:ind w:left="0" w:right="0" w:firstLine="420" w:firstLineChars="200"/>
        <w:rPr>
          <w:rFonts w:hint="eastAsia"/>
          <w:color w:val="FF0000"/>
          <w:highlight w:val="none"/>
          <w:lang w:val="en-US" w:eastAsia="zh-CN"/>
        </w:rPr>
      </w:pPr>
      <w:r>
        <w:rPr>
          <w:rFonts w:hint="eastAsia" w:ascii="宋体" w:hAnsi="宋体" w:eastAsia="宋体" w:cs="宋体"/>
          <w:sz w:val="21"/>
          <w:szCs w:val="21"/>
          <w:highlight w:val="none"/>
          <w:lang w:val="en-US" w:eastAsia="zh-CN"/>
        </w:rPr>
        <w:t>（1）</w:t>
      </w:r>
      <w:r>
        <w:rPr>
          <w:rFonts w:hint="eastAsia"/>
          <w:color w:val="FF0000"/>
          <w:highlight w:val="none"/>
          <w:lang w:val="en-US" w:eastAsia="zh-CN"/>
        </w:rPr>
        <w:t>单价包干，工程量按实际完成的合格工程量结算，结算总价=成交单价×实际现场收货合格工程量+变更（签证）部分价款。</w:t>
      </w:r>
    </w:p>
    <w:p w14:paraId="4EB79FA9">
      <w:pPr>
        <w:keepNext w:val="0"/>
        <w:keepLines w:val="0"/>
        <w:suppressLineNumbers w:val="0"/>
        <w:spacing w:before="0" w:beforeAutospacing="0" w:after="0" w:afterAutospacing="0" w:line="360" w:lineRule="auto"/>
        <w:ind w:left="0" w:right="0" w:firstLine="420" w:firstLineChars="200"/>
        <w:rPr>
          <w:rFonts w:hint="eastAsia"/>
          <w:highlight w:val="none"/>
          <w:lang w:val="en-US" w:eastAsia="zh-CN"/>
        </w:rPr>
      </w:pPr>
      <w:r>
        <w:rPr>
          <w:rFonts w:hint="eastAsia"/>
          <w:color w:val="FF0000"/>
          <w:highlight w:val="none"/>
          <w:lang w:val="en-US" w:eastAsia="zh-CN"/>
        </w:rPr>
        <w:t>若施工过程中发生工程变更和新增工作内容，工程内容与中标工程量清单中有相同或相似的子项清单，则按中标工程量清单中单价的价格执行，若变更工程内容与中标工程量清单中无相同项目亦无类似项目的，按相关的重庆2018计价定额组价后（措施费不计算）按中标价同比例下浮，人材机按成交当月重庆信息价执行，信息价中没有的材料价双方认质认价共同确定；</w:t>
      </w:r>
    </w:p>
    <w:p w14:paraId="095D0AC6">
      <w:pPr>
        <w:pStyle w:val="71"/>
        <w:keepNext w:val="0"/>
        <w:keepLines w:val="0"/>
        <w:pageBreakBefore w:val="0"/>
        <w:widowControl w:val="0"/>
        <w:kinsoku/>
        <w:wordWrap/>
        <w:overflowPunct/>
        <w:topLinePunct w:val="0"/>
        <w:autoSpaceDE/>
        <w:autoSpaceDN/>
        <w:bidi w:val="0"/>
        <w:adjustRightInd/>
        <w:snapToGrid/>
        <w:spacing w:before="0" w:line="380" w:lineRule="exact"/>
        <w:textAlignment w:val="auto"/>
        <w:rPr>
          <w:rFonts w:hint="eastAsia" w:ascii="宋体" w:hAnsi="宋体" w:eastAsia="宋体" w:cs="宋体"/>
          <w:b w:val="0"/>
          <w:bCs w:val="0"/>
          <w:kern w:val="2"/>
          <w:sz w:val="21"/>
          <w:szCs w:val="21"/>
          <w:highlight w:val="none"/>
          <w:lang w:val="en-US" w:eastAsia="zh-CN" w:bidi="ar-SA"/>
        </w:rPr>
      </w:pPr>
      <w:r>
        <w:rPr>
          <w:rFonts w:hint="eastAsia"/>
          <w:highlight w:val="none"/>
          <w:lang w:val="en-US" w:eastAsia="zh-CN"/>
        </w:rPr>
        <w:t xml:space="preserve"> </w:t>
      </w:r>
      <w:r>
        <w:rPr>
          <w:rFonts w:hint="eastAsia" w:ascii="宋体" w:hAnsi="宋体" w:eastAsia="宋体" w:cs="宋体"/>
          <w:b w:val="0"/>
          <w:bCs w:val="0"/>
          <w:kern w:val="2"/>
          <w:sz w:val="21"/>
          <w:szCs w:val="21"/>
          <w:highlight w:val="none"/>
          <w:lang w:val="en-US" w:eastAsia="zh-CN" w:bidi="ar-SA"/>
        </w:rPr>
        <w:t>4、款项支付节点：</w:t>
      </w:r>
    </w:p>
    <w:p w14:paraId="1CA07975">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eastAsia="zh-CN"/>
        </w:rPr>
        <w:t>；</w:t>
      </w:r>
    </w:p>
    <w:p w14:paraId="1262F2FA">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eastAsia="zh-CN"/>
        </w:rPr>
        <w:t>；</w:t>
      </w:r>
    </w:p>
    <w:p w14:paraId="73F70B9F">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u w:val="single"/>
          <w:lang w:eastAsia="zh-CN"/>
        </w:rPr>
        <w:t>完工验收合格后支付至结算金额的97%</w:t>
      </w:r>
      <w:r>
        <w:rPr>
          <w:rFonts w:hint="eastAsia" w:ascii="宋体" w:hAnsi="宋体" w:eastAsia="宋体" w:cs="宋体"/>
          <w:sz w:val="21"/>
          <w:szCs w:val="21"/>
          <w:highlight w:val="none"/>
          <w:lang w:eastAsia="zh-CN"/>
        </w:rPr>
        <w:t>；</w:t>
      </w:r>
    </w:p>
    <w:p w14:paraId="3F25D389">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）剩</w:t>
      </w:r>
      <w:r>
        <w:rPr>
          <w:rFonts w:hint="eastAsia" w:ascii="宋体" w:hAnsi="宋体" w:eastAsia="宋体" w:cs="宋体"/>
          <w:sz w:val="21"/>
          <w:szCs w:val="21"/>
          <w:highlight w:val="none"/>
          <w:u w:val="single"/>
          <w:lang w:eastAsia="zh-CN"/>
        </w:rPr>
        <w:t>余结算价款3%作为质保金，两年后无质量问题一次性无息支付</w:t>
      </w:r>
      <w:r>
        <w:rPr>
          <w:rFonts w:hint="eastAsia" w:ascii="宋体" w:hAnsi="宋体" w:eastAsia="宋体" w:cs="宋体"/>
          <w:sz w:val="21"/>
          <w:szCs w:val="21"/>
          <w:highlight w:val="none"/>
          <w:lang w:eastAsia="zh-CN"/>
        </w:rPr>
        <w:t>；</w:t>
      </w:r>
    </w:p>
    <w:p w14:paraId="46B3F377">
      <w:pPr>
        <w:pStyle w:val="71"/>
        <w:keepNext w:val="0"/>
        <w:keepLines w:val="0"/>
        <w:pageBreakBefore w:val="0"/>
        <w:widowControl w:val="0"/>
        <w:kinsoku/>
        <w:wordWrap/>
        <w:overflowPunct/>
        <w:topLinePunct w:val="0"/>
        <w:autoSpaceDE/>
        <w:autoSpaceDN/>
        <w:bidi w:val="0"/>
        <w:adjustRightInd/>
        <w:snapToGrid/>
        <w:spacing w:before="0" w:line="380" w:lineRule="exact"/>
        <w:ind w:left="0" w:leftChars="0" w:firstLine="562"/>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w:t>
      </w:r>
      <w:r>
        <w:rPr>
          <w:rFonts w:hint="eastAsia" w:ascii="宋体" w:hAnsi="宋体" w:eastAsia="宋体" w:cs="宋体"/>
          <w:b w:val="0"/>
          <w:bCs w:val="0"/>
          <w:sz w:val="21"/>
          <w:szCs w:val="21"/>
          <w:highlight w:val="none"/>
          <w:u w:val="single"/>
          <w:lang w:val="en-US" w:eastAsia="zh-CN"/>
        </w:rPr>
        <w:t>支付款项时需提供付款金额等额的9%增值税专用发票</w:t>
      </w:r>
      <w:r>
        <w:rPr>
          <w:rFonts w:hint="eastAsia" w:ascii="宋体" w:hAnsi="宋体" w:eastAsia="宋体" w:cs="宋体"/>
          <w:b w:val="0"/>
          <w:bCs w:val="0"/>
          <w:sz w:val="21"/>
          <w:szCs w:val="21"/>
          <w:highlight w:val="none"/>
          <w:lang w:val="en-US" w:eastAsia="zh-CN"/>
        </w:rPr>
        <w:t>。</w:t>
      </w:r>
    </w:p>
    <w:p w14:paraId="6C25BEB7">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 xml:space="preserve">第三条 </w:t>
      </w:r>
      <w:r>
        <w:rPr>
          <w:rFonts w:hint="eastAsia" w:ascii="宋体" w:hAnsi="宋体" w:eastAsia="宋体" w:cs="宋体"/>
          <w:b/>
          <w:bCs/>
          <w:sz w:val="21"/>
          <w:szCs w:val="21"/>
          <w:highlight w:val="none"/>
          <w:lang w:eastAsia="zh-CN"/>
        </w:rPr>
        <w:t>工程履约保证金</w:t>
      </w:r>
    </w:p>
    <w:p w14:paraId="7B15F53F">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本工程履约保证金为¥</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元（大写人民</w:t>
      </w:r>
      <w:r>
        <w:rPr>
          <w:rFonts w:hint="eastAsia" w:ascii="宋体" w:hAnsi="宋体" w:eastAsia="宋体" w:cs="宋体"/>
          <w:sz w:val="21"/>
          <w:szCs w:val="21"/>
          <w:highlight w:val="none"/>
          <w:u w:val="none"/>
          <w:lang w:val="en-US" w:eastAsia="zh-CN"/>
        </w:rPr>
        <w:t>币</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u w:val="single"/>
          <w:lang w:val="en-US" w:eastAsia="zh-CN"/>
        </w:rPr>
        <w:t>合同签订前向甲方缴纳，工程完工并经甲方验收合格后一次性无息退还</w:t>
      </w:r>
      <w:r>
        <w:rPr>
          <w:rFonts w:hint="eastAsia" w:ascii="宋体" w:hAnsi="宋体" w:eastAsia="宋体" w:cs="宋体"/>
          <w:sz w:val="21"/>
          <w:szCs w:val="21"/>
          <w:highlight w:val="none"/>
          <w:lang w:val="en-US" w:eastAsia="zh-CN"/>
        </w:rPr>
        <w:t>。</w:t>
      </w:r>
    </w:p>
    <w:p w14:paraId="2D3B254E">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第四条 合同工期</w:t>
      </w:r>
    </w:p>
    <w:p w14:paraId="2BCC2362">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1、本工程合同工期为:</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eastAsia="zh-CN"/>
        </w:rPr>
        <w:t>。</w:t>
      </w:r>
    </w:p>
    <w:p w14:paraId="70F27EE6">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、延期</w:t>
      </w:r>
      <w:r>
        <w:rPr>
          <w:rFonts w:hint="eastAsia" w:ascii="宋体" w:hAnsi="宋体" w:eastAsia="宋体" w:cs="宋体"/>
          <w:sz w:val="21"/>
          <w:szCs w:val="21"/>
          <w:highlight w:val="none"/>
          <w:lang w:val="en-US" w:eastAsia="zh-CN"/>
        </w:rPr>
        <w:t>按</w:t>
      </w:r>
      <w:r>
        <w:rPr>
          <w:rFonts w:hint="eastAsia" w:ascii="宋体" w:hAnsi="宋体" w:eastAsia="宋体" w:cs="宋体"/>
          <w:sz w:val="21"/>
          <w:szCs w:val="21"/>
          <w:highlight w:val="none"/>
          <w:u w:val="single"/>
          <w:lang w:eastAsia="zh-CN"/>
        </w:rPr>
        <w:t>1000</w:t>
      </w:r>
      <w:r>
        <w:rPr>
          <w:rFonts w:hint="eastAsia" w:ascii="宋体" w:hAnsi="宋体" w:eastAsia="宋体" w:cs="宋体"/>
          <w:sz w:val="21"/>
          <w:szCs w:val="21"/>
          <w:highlight w:val="none"/>
          <w:u w:val="single"/>
          <w:lang w:val="en-US" w:eastAsia="zh-CN"/>
        </w:rPr>
        <w:t>.00</w:t>
      </w:r>
      <w:r>
        <w:rPr>
          <w:rFonts w:hint="eastAsia" w:ascii="宋体" w:hAnsi="宋体" w:eastAsia="宋体" w:cs="宋体"/>
          <w:sz w:val="21"/>
          <w:szCs w:val="21"/>
          <w:highlight w:val="none"/>
          <w:u w:val="single"/>
          <w:lang w:eastAsia="zh-CN"/>
        </w:rPr>
        <w:t>元</w:t>
      </w:r>
      <w:r>
        <w:rPr>
          <w:rFonts w:hint="eastAsia" w:ascii="宋体" w:hAnsi="宋体" w:eastAsia="宋体" w:cs="宋体"/>
          <w:sz w:val="21"/>
          <w:szCs w:val="21"/>
          <w:highlight w:val="none"/>
          <w:u w:val="single"/>
          <w:lang w:val="en-US" w:eastAsia="zh-CN"/>
        </w:rPr>
        <w:t>/天</w:t>
      </w:r>
      <w:r>
        <w:rPr>
          <w:rFonts w:hint="eastAsia" w:ascii="宋体" w:hAnsi="宋体" w:eastAsia="宋体" w:cs="宋体"/>
          <w:sz w:val="21"/>
          <w:szCs w:val="21"/>
          <w:highlight w:val="none"/>
          <w:lang w:eastAsia="zh-CN"/>
        </w:rPr>
        <w:t>收取乙方违约金；非乙方原因造成工期延期的，只顺延工期，乙方不得向甲方索赔任何费用。</w:t>
      </w:r>
    </w:p>
    <w:p w14:paraId="759DE677">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第五条 工程质量与验收</w:t>
      </w:r>
    </w:p>
    <w:p w14:paraId="419CFBBE">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1、乙方按国家现行施工及验收规范、评定标准、设计变更洽商单等组织施工，经建设单位及监理检验，达到交工验收条件为准</w:t>
      </w:r>
      <w:r>
        <w:rPr>
          <w:rFonts w:hint="eastAsia" w:ascii="宋体" w:hAnsi="宋体" w:eastAsia="宋体" w:cs="宋体"/>
          <w:sz w:val="21"/>
          <w:szCs w:val="21"/>
          <w:highlight w:val="none"/>
          <w:lang w:val="en-US" w:eastAsia="zh-CN"/>
        </w:rPr>
        <w:t>，并验收合格</w:t>
      </w:r>
      <w:r>
        <w:rPr>
          <w:rFonts w:hint="eastAsia" w:ascii="宋体" w:hAnsi="宋体" w:eastAsia="宋体" w:cs="宋体"/>
          <w:sz w:val="21"/>
          <w:szCs w:val="21"/>
          <w:highlight w:val="none"/>
        </w:rPr>
        <w:t>；</w:t>
      </w:r>
    </w:p>
    <w:p w14:paraId="5BF93E8D">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2、乙方必须严格按照施工图纸、交底记录和甲方要求组织施工。未经甲方有关人员的书面通知，不得</w:t>
      </w:r>
      <w:r>
        <w:rPr>
          <w:rFonts w:hint="eastAsia" w:ascii="宋体" w:hAnsi="宋体" w:eastAsia="宋体" w:cs="宋体"/>
          <w:sz w:val="21"/>
          <w:szCs w:val="21"/>
          <w:highlight w:val="none"/>
          <w:lang w:val="en-US" w:eastAsia="zh-CN"/>
        </w:rPr>
        <w:t>擅自</w:t>
      </w:r>
      <w:r>
        <w:rPr>
          <w:rFonts w:hint="eastAsia" w:ascii="宋体" w:hAnsi="宋体" w:eastAsia="宋体" w:cs="宋体"/>
          <w:sz w:val="21"/>
          <w:szCs w:val="21"/>
          <w:highlight w:val="none"/>
        </w:rPr>
        <w:t>变更施工工序、质量标准、设计要求或进行材料代换</w:t>
      </w:r>
      <w:r>
        <w:rPr>
          <w:rFonts w:hint="eastAsia" w:ascii="宋体" w:hAnsi="宋体" w:eastAsia="宋体" w:cs="宋体"/>
          <w:sz w:val="21"/>
          <w:szCs w:val="21"/>
          <w:highlight w:val="none"/>
          <w:lang w:eastAsia="zh-CN"/>
        </w:rPr>
        <w:t>；</w:t>
      </w:r>
    </w:p>
    <w:p w14:paraId="3A0F33AE">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3、工程质量</w:t>
      </w:r>
      <w:r>
        <w:rPr>
          <w:rFonts w:hint="eastAsia" w:ascii="宋体" w:hAnsi="宋体" w:eastAsia="宋体" w:cs="宋体"/>
          <w:sz w:val="21"/>
          <w:szCs w:val="21"/>
          <w:highlight w:val="none"/>
          <w:lang w:val="en-US" w:eastAsia="zh-CN"/>
        </w:rPr>
        <w:t>必须满足施工图</w:t>
      </w:r>
      <w:r>
        <w:rPr>
          <w:rFonts w:hint="eastAsia" w:ascii="宋体" w:hAnsi="宋体" w:eastAsia="宋体" w:cs="宋体"/>
          <w:sz w:val="21"/>
          <w:szCs w:val="21"/>
          <w:highlight w:val="none"/>
        </w:rPr>
        <w:t>设计和施工规范</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验收标准</w:t>
      </w:r>
      <w:r>
        <w:rPr>
          <w:rFonts w:hint="eastAsia" w:ascii="宋体" w:hAnsi="宋体" w:eastAsia="宋体" w:cs="宋体"/>
          <w:sz w:val="21"/>
          <w:szCs w:val="21"/>
          <w:highlight w:val="none"/>
        </w:rPr>
        <w:t>规定</w:t>
      </w:r>
      <w:r>
        <w:rPr>
          <w:rFonts w:hint="eastAsia" w:ascii="宋体" w:hAnsi="宋体" w:eastAsia="宋体" w:cs="宋体"/>
          <w:sz w:val="21"/>
          <w:szCs w:val="21"/>
          <w:highlight w:val="none"/>
          <w:lang w:val="en-US" w:eastAsia="zh-CN"/>
        </w:rPr>
        <w:t>和</w:t>
      </w:r>
      <w:r>
        <w:rPr>
          <w:rFonts w:hint="eastAsia" w:ascii="宋体" w:hAnsi="宋体" w:eastAsia="宋体" w:cs="宋体"/>
          <w:sz w:val="21"/>
          <w:szCs w:val="21"/>
          <w:highlight w:val="none"/>
        </w:rPr>
        <w:t>建设单位要求</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达到</w:t>
      </w:r>
      <w:r>
        <w:rPr>
          <w:rFonts w:hint="eastAsia" w:ascii="宋体" w:hAnsi="宋体" w:eastAsia="宋体" w:cs="宋体"/>
          <w:sz w:val="21"/>
          <w:szCs w:val="21"/>
          <w:highlight w:val="none"/>
        </w:rPr>
        <w:t>合格</w:t>
      </w:r>
      <w:r>
        <w:rPr>
          <w:rFonts w:hint="eastAsia" w:ascii="宋体" w:hAnsi="宋体" w:eastAsia="宋体" w:cs="宋体"/>
          <w:sz w:val="21"/>
          <w:szCs w:val="21"/>
          <w:highlight w:val="none"/>
          <w:lang w:val="en-US" w:eastAsia="zh-CN"/>
        </w:rPr>
        <w:t>验收标准</w:t>
      </w:r>
      <w:r>
        <w:rPr>
          <w:rFonts w:hint="eastAsia" w:ascii="宋体" w:hAnsi="宋体" w:eastAsia="宋体" w:cs="宋体"/>
          <w:sz w:val="21"/>
          <w:szCs w:val="21"/>
          <w:highlight w:val="none"/>
          <w:lang w:eastAsia="zh-CN"/>
        </w:rPr>
        <w:t>；</w:t>
      </w:r>
    </w:p>
    <w:p w14:paraId="1259D0B7">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、若因乙方原因工程质量达不到约定的质量标准，乙方应承担的违约责任</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处乙方</w:t>
      </w:r>
      <w:r>
        <w:rPr>
          <w:rFonts w:hint="eastAsia" w:ascii="宋体" w:hAnsi="宋体" w:eastAsia="宋体" w:cs="宋体"/>
          <w:color w:val="auto"/>
          <w:sz w:val="21"/>
          <w:szCs w:val="21"/>
          <w:highlight w:val="none"/>
          <w:lang w:val="en-US" w:eastAsia="zh-CN"/>
        </w:rPr>
        <w:t>每次</w:t>
      </w:r>
      <w:r>
        <w:rPr>
          <w:rFonts w:hint="eastAsia" w:ascii="宋体" w:hAnsi="宋体" w:eastAsia="宋体" w:cs="宋体"/>
          <w:color w:val="auto"/>
          <w:sz w:val="21"/>
          <w:szCs w:val="21"/>
          <w:highlight w:val="none"/>
          <w:lang w:eastAsia="zh-CN"/>
        </w:rPr>
        <w:t>最低</w:t>
      </w:r>
      <w:r>
        <w:rPr>
          <w:rFonts w:hint="eastAsia" w:ascii="宋体" w:hAnsi="宋体" w:eastAsia="宋体" w:cs="宋体"/>
          <w:color w:val="auto"/>
          <w:sz w:val="21"/>
          <w:szCs w:val="21"/>
          <w:highlight w:val="none"/>
          <w:lang w:val="en-US" w:eastAsia="zh-CN"/>
        </w:rPr>
        <w:t>1000.00元的违约金，最高视情况确定但不超过合同金额）</w:t>
      </w:r>
      <w:r>
        <w:rPr>
          <w:rFonts w:hint="eastAsia" w:ascii="宋体" w:hAnsi="宋体" w:eastAsia="宋体" w:cs="宋体"/>
          <w:sz w:val="21"/>
          <w:szCs w:val="21"/>
          <w:highlight w:val="none"/>
          <w:lang w:eastAsia="zh-CN"/>
        </w:rPr>
        <w:t>，乙方无条件自费返修达到合同约定质量要求，并承担相应质量责任和由此造成的甲方损失，或由甲方另行找人整改，由乙方承担整改费用</w:t>
      </w:r>
      <w:r>
        <w:rPr>
          <w:rFonts w:hint="eastAsia" w:ascii="宋体" w:hAnsi="宋体" w:eastAsia="宋体" w:cs="宋体"/>
          <w:sz w:val="21"/>
          <w:szCs w:val="21"/>
          <w:highlight w:val="none"/>
        </w:rPr>
        <w:t>，费用从承包费用中扣除</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若因</w:t>
      </w:r>
      <w:r>
        <w:rPr>
          <w:rFonts w:hint="eastAsia" w:ascii="宋体" w:hAnsi="宋体" w:eastAsia="宋体" w:cs="宋体"/>
          <w:sz w:val="21"/>
          <w:szCs w:val="21"/>
          <w:highlight w:val="none"/>
        </w:rPr>
        <w:t>甲方</w:t>
      </w:r>
      <w:r>
        <w:rPr>
          <w:rFonts w:hint="eastAsia" w:ascii="宋体" w:hAnsi="宋体" w:eastAsia="宋体" w:cs="宋体"/>
          <w:sz w:val="21"/>
          <w:szCs w:val="21"/>
          <w:highlight w:val="none"/>
          <w:lang w:val="en-US" w:eastAsia="zh-CN"/>
        </w:rPr>
        <w:t>原因</w:t>
      </w:r>
      <w:r>
        <w:rPr>
          <w:rFonts w:hint="eastAsia" w:ascii="宋体" w:hAnsi="宋体" w:eastAsia="宋体" w:cs="宋体"/>
          <w:sz w:val="21"/>
          <w:szCs w:val="21"/>
          <w:highlight w:val="none"/>
        </w:rPr>
        <w:t>造成的损失，由甲方承担</w:t>
      </w:r>
      <w:r>
        <w:rPr>
          <w:rFonts w:hint="eastAsia" w:ascii="宋体" w:hAnsi="宋体" w:eastAsia="宋体" w:cs="宋体"/>
          <w:sz w:val="21"/>
          <w:szCs w:val="21"/>
          <w:highlight w:val="none"/>
          <w:lang w:eastAsia="zh-CN"/>
        </w:rPr>
        <w:t>。</w:t>
      </w:r>
    </w:p>
    <w:p w14:paraId="2E95DF87">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w:t>
      </w:r>
    </w:p>
    <w:p w14:paraId="4D96F4AD">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p>
    <w:p w14:paraId="14AAB0BD">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w:t>
      </w:r>
    </w:p>
    <w:p w14:paraId="77007AB4">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第六条 材料、机械设备供应与管理</w:t>
      </w:r>
    </w:p>
    <w:p w14:paraId="3F78DCD2">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1、本承包工程所需全部材料、成品、构配件等由</w:t>
      </w:r>
      <w:r>
        <w:rPr>
          <w:rFonts w:hint="eastAsia" w:ascii="宋体" w:hAnsi="宋体" w:eastAsia="宋体" w:cs="宋体"/>
          <w:sz w:val="21"/>
          <w:szCs w:val="21"/>
          <w:highlight w:val="none"/>
          <w:lang w:eastAsia="zh-CN"/>
        </w:rPr>
        <w:t>乙</w:t>
      </w:r>
      <w:r>
        <w:rPr>
          <w:rFonts w:hint="eastAsia" w:ascii="宋体" w:hAnsi="宋体" w:eastAsia="宋体" w:cs="宋体"/>
          <w:sz w:val="21"/>
          <w:szCs w:val="21"/>
          <w:highlight w:val="none"/>
        </w:rPr>
        <w:t>方供应管理；</w:t>
      </w:r>
    </w:p>
    <w:p w14:paraId="061786A0">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2、乙方在施工过程中应做到现场材料按甲方指定位置堆放，日用日清，保持现场的整洁</w:t>
      </w:r>
      <w:r>
        <w:rPr>
          <w:rFonts w:hint="eastAsia" w:ascii="宋体" w:hAnsi="宋体" w:eastAsia="宋体" w:cs="宋体"/>
          <w:sz w:val="21"/>
          <w:szCs w:val="21"/>
          <w:highlight w:val="none"/>
          <w:lang w:eastAsia="zh-CN"/>
        </w:rPr>
        <w:t>；</w:t>
      </w:r>
    </w:p>
    <w:p w14:paraId="304D553F">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3、乙方在施工过程中使用剩余的废材料</w:t>
      </w:r>
      <w:r>
        <w:rPr>
          <w:rFonts w:hint="eastAsia" w:ascii="宋体" w:hAnsi="宋体" w:eastAsia="宋体" w:cs="宋体"/>
          <w:sz w:val="21"/>
          <w:szCs w:val="21"/>
          <w:highlight w:val="none"/>
          <w:lang w:eastAsia="zh-CN"/>
        </w:rPr>
        <w:t>由乙方自行处理，不得随意、乱堆放丢弃于施工现场；</w:t>
      </w:r>
    </w:p>
    <w:p w14:paraId="39F2DD97">
      <w:pPr>
        <w:pStyle w:val="71"/>
        <w:keepNext w:val="0"/>
        <w:keepLines w:val="0"/>
        <w:pageBreakBefore w:val="0"/>
        <w:widowControl w:val="0"/>
        <w:kinsoku/>
        <w:wordWrap/>
        <w:overflowPunct/>
        <w:topLinePunct w:val="0"/>
        <w:autoSpaceDE/>
        <w:autoSpaceDN/>
        <w:bidi w:val="0"/>
        <w:adjustRightInd/>
        <w:snapToGrid/>
        <w:spacing w:before="0" w:line="380" w:lineRule="exact"/>
        <w:ind w:left="0" w:left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b w:val="0"/>
          <w:bCs w:val="0"/>
          <w:sz w:val="21"/>
          <w:szCs w:val="21"/>
          <w:highlight w:val="none"/>
          <w:lang w:val="en-US" w:eastAsia="zh-CN"/>
        </w:rPr>
        <w:t xml:space="preserve"> 4、项目所需的施工机具由乙方自行提供。</w:t>
      </w:r>
    </w:p>
    <w:p w14:paraId="09CAB153">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第七条 双方责任</w:t>
      </w:r>
    </w:p>
    <w:p w14:paraId="0BE14C1C">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一、</w:t>
      </w:r>
      <w:r>
        <w:rPr>
          <w:rFonts w:hint="eastAsia" w:ascii="宋体" w:hAnsi="宋体" w:eastAsia="宋体" w:cs="宋体"/>
          <w:b/>
          <w:bCs/>
          <w:sz w:val="21"/>
          <w:szCs w:val="21"/>
          <w:highlight w:val="none"/>
        </w:rPr>
        <w:t>甲方责任</w:t>
      </w:r>
    </w:p>
    <w:p w14:paraId="78336AFF">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负责协助乙方对项目的施工组织与管理工作，保证按时开工</w:t>
      </w:r>
      <w:r>
        <w:rPr>
          <w:rFonts w:hint="eastAsia" w:ascii="宋体" w:hAnsi="宋体" w:eastAsia="宋体" w:cs="宋体"/>
          <w:sz w:val="21"/>
          <w:szCs w:val="21"/>
          <w:highlight w:val="none"/>
          <w:lang w:eastAsia="zh-CN"/>
        </w:rPr>
        <w:t>；</w:t>
      </w:r>
    </w:p>
    <w:p w14:paraId="0B1E9281">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按双方的协商制订生产、技术、质量、安全、材料等方面的管理规定和责任制，有权要求乙方按有关规定执行；</w:t>
      </w:r>
    </w:p>
    <w:p w14:paraId="28DD3E8C">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及</w:t>
      </w:r>
      <w:r>
        <w:rPr>
          <w:rFonts w:hint="eastAsia" w:ascii="宋体" w:hAnsi="宋体" w:eastAsia="宋体" w:cs="宋体"/>
          <w:sz w:val="21"/>
          <w:szCs w:val="21"/>
          <w:highlight w:val="none"/>
        </w:rPr>
        <w:t>时向乙方提供施工图纸、图套，并组织图纸会审和技术交底</w:t>
      </w:r>
      <w:r>
        <w:rPr>
          <w:rFonts w:hint="eastAsia" w:ascii="宋体" w:hAnsi="宋体" w:eastAsia="宋体" w:cs="宋体"/>
          <w:sz w:val="21"/>
          <w:szCs w:val="21"/>
          <w:highlight w:val="none"/>
          <w:lang w:eastAsia="zh-CN"/>
        </w:rPr>
        <w:t>；</w:t>
      </w:r>
    </w:p>
    <w:p w14:paraId="36ABB80D">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负责本工程的全面技术管理，批准施工技术方案，解决图纸和施工中的技术问题，检查监督乙方施工中的技术工作，认定合格后在有关技术资料中签认；</w:t>
      </w:r>
    </w:p>
    <w:p w14:paraId="24EE0DE5">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5、负责向乙方进行质量、安全、环保、技术交底，</w:t>
      </w:r>
      <w:r>
        <w:rPr>
          <w:rFonts w:hint="eastAsia" w:ascii="宋体" w:hAnsi="宋体" w:eastAsia="宋体" w:cs="宋体"/>
          <w:sz w:val="21"/>
          <w:szCs w:val="21"/>
          <w:highlight w:val="none"/>
          <w:lang w:eastAsia="zh-CN"/>
        </w:rPr>
        <w:t>对施工质量、</w:t>
      </w:r>
      <w:r>
        <w:rPr>
          <w:rFonts w:hint="eastAsia" w:ascii="宋体" w:hAnsi="宋体" w:eastAsia="宋体" w:cs="宋体"/>
          <w:sz w:val="21"/>
          <w:szCs w:val="21"/>
          <w:highlight w:val="none"/>
          <w:lang w:val="en-US" w:eastAsia="zh-CN"/>
        </w:rPr>
        <w:t>安全、环保、</w:t>
      </w:r>
      <w:r>
        <w:rPr>
          <w:rFonts w:hint="eastAsia" w:ascii="宋体" w:hAnsi="宋体" w:eastAsia="宋体" w:cs="宋体"/>
          <w:sz w:val="21"/>
          <w:szCs w:val="21"/>
          <w:highlight w:val="none"/>
          <w:lang w:eastAsia="zh-CN"/>
        </w:rPr>
        <w:t>进度以及现场工程量签证进行监督与控制；</w:t>
      </w:r>
    </w:p>
    <w:p w14:paraId="117406CD">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p w14:paraId="589DDFBF">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6、根据施工组织设计要求，对工程的进度进行检</w:t>
      </w:r>
      <w:r>
        <w:rPr>
          <w:rFonts w:hint="eastAsia" w:ascii="宋体" w:hAnsi="宋体" w:eastAsia="宋体" w:cs="宋体"/>
          <w:sz w:val="21"/>
          <w:szCs w:val="21"/>
          <w:highlight w:val="none"/>
        </w:rPr>
        <w:t>查落实，及时完成验收工作；</w:t>
      </w:r>
    </w:p>
    <w:p w14:paraId="200F9A23">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甲方应按合同约定及时支付乙方的各种款项</w:t>
      </w:r>
      <w:r>
        <w:rPr>
          <w:rFonts w:hint="eastAsia" w:ascii="宋体" w:hAnsi="宋体" w:eastAsia="宋体" w:cs="宋体"/>
          <w:sz w:val="21"/>
          <w:szCs w:val="21"/>
          <w:highlight w:val="none"/>
          <w:lang w:eastAsia="zh-CN"/>
        </w:rPr>
        <w:t>。</w:t>
      </w:r>
    </w:p>
    <w:p w14:paraId="5D599B55">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lang w:val="en-US" w:eastAsia="zh-CN"/>
        </w:rPr>
        <w:t>二、</w:t>
      </w:r>
      <w:r>
        <w:rPr>
          <w:rFonts w:hint="eastAsia" w:ascii="宋体" w:hAnsi="宋体" w:eastAsia="宋体" w:cs="宋体"/>
          <w:b/>
          <w:bCs/>
          <w:sz w:val="21"/>
          <w:szCs w:val="21"/>
          <w:highlight w:val="none"/>
        </w:rPr>
        <w:t>乙方责任</w:t>
      </w:r>
    </w:p>
    <w:p w14:paraId="44053B50">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对本合同分包范围内的工程质量向甲方负责，组织具有相应资质的熟练工人投入工作；严格按照甲方提供的图纸、图套、验收规范等施工，严格遵守安全</w:t>
      </w:r>
      <w:r>
        <w:rPr>
          <w:rFonts w:hint="eastAsia" w:ascii="宋体" w:hAnsi="宋体" w:eastAsia="宋体" w:cs="宋体"/>
          <w:sz w:val="21"/>
          <w:szCs w:val="21"/>
          <w:highlight w:val="none"/>
          <w:lang w:val="en-US" w:eastAsia="zh-CN"/>
        </w:rPr>
        <w:t>操作规范</w:t>
      </w:r>
      <w:r>
        <w:rPr>
          <w:rFonts w:hint="eastAsia" w:ascii="宋体" w:hAnsi="宋体" w:eastAsia="宋体" w:cs="宋体"/>
          <w:sz w:val="21"/>
          <w:szCs w:val="21"/>
          <w:highlight w:val="none"/>
        </w:rPr>
        <w:t>，保证施工安全；加强现场管理，严格执行建设主管部门及环保、消防、环卫等部门对施工现场的管理规定；自行承担由于自身责任造成的质量修改、返工、工期拖延、安全事故、现场脏乱造成的损失及各项</w:t>
      </w:r>
      <w:r>
        <w:rPr>
          <w:rFonts w:hint="eastAsia" w:ascii="宋体" w:hAnsi="宋体" w:eastAsia="宋体" w:cs="宋体"/>
          <w:sz w:val="21"/>
          <w:szCs w:val="21"/>
          <w:highlight w:val="none"/>
          <w:lang w:val="en-US" w:eastAsia="zh-CN"/>
        </w:rPr>
        <w:t>违约金（处以1000.00元/次及以上的违约金）</w:t>
      </w:r>
      <w:r>
        <w:rPr>
          <w:rFonts w:hint="eastAsia" w:ascii="宋体" w:hAnsi="宋体" w:eastAsia="宋体" w:cs="宋体"/>
          <w:sz w:val="21"/>
          <w:szCs w:val="21"/>
          <w:highlight w:val="none"/>
        </w:rPr>
        <w:t>；</w:t>
      </w:r>
    </w:p>
    <w:p w14:paraId="7AA811A6">
      <w:pPr>
        <w:keepNext w:val="0"/>
        <w:keepLines w:val="0"/>
        <w:pageBreakBefore w:val="0"/>
        <w:kinsoku/>
        <w:wordWrap/>
        <w:overflowPunct/>
        <w:topLinePunct w:val="0"/>
        <w:autoSpaceDE/>
        <w:autoSpaceDN/>
        <w:bidi w:val="0"/>
        <w:spacing w:line="38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乙方不得将本合同项下的劳务作业转包或再分包给他人，若乙方违反这一规定，甲方有权单方终止本合同，将拒付已完工程量未付部分的款项和没收履约保证金，并对乙方处以合同金额</w:t>
      </w:r>
      <w:r>
        <w:rPr>
          <w:rFonts w:hint="eastAsia" w:ascii="宋体" w:hAnsi="宋体" w:eastAsia="宋体" w:cs="宋体"/>
          <w:sz w:val="21"/>
          <w:szCs w:val="21"/>
          <w:highlight w:val="none"/>
          <w:lang w:val="en-US" w:eastAsia="zh-CN"/>
        </w:rPr>
        <w:t>20%的违约金</w:t>
      </w:r>
      <w:r>
        <w:rPr>
          <w:rFonts w:hint="eastAsia" w:ascii="宋体" w:hAnsi="宋体" w:eastAsia="宋体" w:cs="宋体"/>
          <w:sz w:val="21"/>
          <w:szCs w:val="21"/>
          <w:highlight w:val="none"/>
          <w:lang w:eastAsia="zh-CN"/>
        </w:rPr>
        <w:t>。</w:t>
      </w:r>
    </w:p>
    <w:p w14:paraId="622B339A">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乙方要及时派驻合格的工地代表，施工期间如须更换代表，不得擅自更换，更换前，应提前通知甲方，并保证更换的代表是具有相应资质的</w:t>
      </w:r>
      <w:r>
        <w:rPr>
          <w:rFonts w:hint="eastAsia" w:ascii="宋体" w:hAnsi="宋体" w:eastAsia="宋体" w:cs="宋体"/>
          <w:sz w:val="21"/>
          <w:szCs w:val="21"/>
          <w:highlight w:val="none"/>
          <w:lang w:val="en-US" w:eastAsia="zh-CN"/>
        </w:rPr>
        <w:t>人员</w:t>
      </w:r>
      <w:r>
        <w:rPr>
          <w:rFonts w:hint="eastAsia" w:ascii="宋体" w:hAnsi="宋体" w:eastAsia="宋体" w:cs="宋体"/>
          <w:sz w:val="21"/>
          <w:szCs w:val="21"/>
          <w:highlight w:val="none"/>
        </w:rPr>
        <w:t>；</w:t>
      </w:r>
    </w:p>
    <w:p w14:paraId="607B8008">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4、乙方自行协调和排除施工的一切障碍，并承担费用。并主动配合本项目其他有关的劳务（专业）分包单位的工作。</w:t>
      </w:r>
    </w:p>
    <w:p w14:paraId="776CA650">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自觉接受甲方及有关部门的管理、监督和检查；接受甲方随时检查其设备、材料保管和操作人员的有效证件、持证上岗情况</w:t>
      </w:r>
      <w:r>
        <w:rPr>
          <w:rFonts w:hint="eastAsia" w:ascii="宋体" w:hAnsi="宋体" w:eastAsia="宋体" w:cs="宋体"/>
          <w:sz w:val="21"/>
          <w:szCs w:val="21"/>
          <w:highlight w:val="none"/>
          <w:lang w:eastAsia="zh-CN"/>
        </w:rPr>
        <w:t>，否则</w:t>
      </w:r>
      <w:r>
        <w:rPr>
          <w:rFonts w:hint="eastAsia" w:ascii="宋体" w:hAnsi="宋体" w:eastAsia="宋体" w:cs="宋体"/>
          <w:sz w:val="21"/>
          <w:szCs w:val="21"/>
          <w:highlight w:val="none"/>
          <w:lang w:val="en-US" w:eastAsia="zh-CN"/>
        </w:rPr>
        <w:t>处以乙方1000.00元/次及以上的违约金</w:t>
      </w:r>
      <w:r>
        <w:rPr>
          <w:rFonts w:hint="eastAsia" w:ascii="宋体" w:hAnsi="宋体" w:eastAsia="宋体" w:cs="宋体"/>
          <w:sz w:val="21"/>
          <w:szCs w:val="21"/>
          <w:highlight w:val="none"/>
        </w:rPr>
        <w:t>；</w:t>
      </w:r>
    </w:p>
    <w:p w14:paraId="5F91B9D7">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乙方须保证甲方交付后的工地条件良好，妥善保管、合理使用甲方提供的机具、周转材料及其他设施，同时做好工地周边建筑群、地下管线和已完工部分的成品保护工作；</w:t>
      </w:r>
    </w:p>
    <w:p w14:paraId="51340327">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乙方应与施工人员签订劳动合同且必须为施工人员办理意外伤害保险，并对施工场地内自有人员生命财产和施工机械设备办理保险，且支付保险费用；</w:t>
      </w:r>
    </w:p>
    <w:p w14:paraId="03497999">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配合甲方进行材料、设备、工艺检测，</w:t>
      </w:r>
      <w:r>
        <w:rPr>
          <w:rFonts w:hint="eastAsia" w:ascii="宋体" w:hAnsi="宋体" w:eastAsia="宋体" w:cs="宋体"/>
          <w:sz w:val="21"/>
          <w:szCs w:val="21"/>
          <w:highlight w:val="none"/>
        </w:rPr>
        <w:t>配合办理交工验收</w:t>
      </w:r>
      <w:r>
        <w:rPr>
          <w:rFonts w:hint="eastAsia" w:ascii="宋体" w:hAnsi="宋体" w:eastAsia="宋体" w:cs="宋体"/>
          <w:sz w:val="21"/>
          <w:szCs w:val="21"/>
          <w:highlight w:val="none"/>
          <w:lang w:eastAsia="zh-CN"/>
        </w:rPr>
        <w:t>；</w:t>
      </w:r>
    </w:p>
    <w:p w14:paraId="6B393FF3">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按期完成项目，按时提交有关报表、完整的原始技术资料，配合甲方办理交工验收</w:t>
      </w:r>
      <w:r>
        <w:rPr>
          <w:rFonts w:hint="eastAsia" w:ascii="宋体" w:hAnsi="宋体" w:eastAsia="宋体" w:cs="宋体"/>
          <w:sz w:val="21"/>
          <w:szCs w:val="21"/>
          <w:highlight w:val="none"/>
          <w:lang w:eastAsia="zh-CN"/>
        </w:rPr>
        <w:t>。若不能按时完成相应施工内容，甲方有权组织其他</w:t>
      </w:r>
      <w:r>
        <w:rPr>
          <w:rFonts w:hint="eastAsia" w:ascii="宋体" w:hAnsi="宋体" w:eastAsia="宋体" w:cs="宋体"/>
          <w:sz w:val="21"/>
          <w:szCs w:val="21"/>
          <w:highlight w:val="none"/>
          <w:lang w:val="en-US" w:eastAsia="zh-CN"/>
        </w:rPr>
        <w:t>单位</w:t>
      </w:r>
      <w:r>
        <w:rPr>
          <w:rFonts w:hint="eastAsia" w:ascii="宋体" w:hAnsi="宋体" w:eastAsia="宋体" w:cs="宋体"/>
          <w:sz w:val="21"/>
          <w:szCs w:val="21"/>
          <w:highlight w:val="none"/>
          <w:lang w:eastAsia="zh-CN"/>
        </w:rPr>
        <w:t>施工，费用从本</w:t>
      </w:r>
      <w:r>
        <w:rPr>
          <w:rFonts w:hint="eastAsia" w:ascii="宋体" w:hAnsi="宋体" w:eastAsia="宋体" w:cs="宋体"/>
          <w:sz w:val="21"/>
          <w:szCs w:val="21"/>
          <w:highlight w:val="none"/>
          <w:lang w:val="en-US" w:eastAsia="zh-CN"/>
        </w:rPr>
        <w:t>承包费</w:t>
      </w:r>
      <w:r>
        <w:rPr>
          <w:rFonts w:hint="eastAsia" w:ascii="宋体" w:hAnsi="宋体" w:eastAsia="宋体" w:cs="宋体"/>
          <w:sz w:val="21"/>
          <w:szCs w:val="21"/>
          <w:highlight w:val="none"/>
          <w:lang w:eastAsia="zh-CN"/>
        </w:rPr>
        <w:t>中扣除；</w:t>
      </w:r>
    </w:p>
    <w:p w14:paraId="465A270D">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乙方必须保证项目资金全部用于本项目，不被挪用，如因挪用不能够按时支付民工工资、材料和设备等费用，并造成停工、上访等事件的发生，甲方有权解除本合同，另行委托他人进行承包；或发现挪用后所有民工工资，将由甲方在垫江县小厦建筑有限公司民工集中账户按月直接打入民工账户上，待节点支付时扣除所有民工工资外的余款按合同直接划入乙方账户上。</w:t>
      </w:r>
    </w:p>
    <w:p w14:paraId="450D3B01">
      <w:pPr>
        <w:pStyle w:val="71"/>
        <w:keepNext w:val="0"/>
        <w:keepLines w:val="0"/>
        <w:pageBreakBefore w:val="0"/>
        <w:kinsoku/>
        <w:wordWrap/>
        <w:overflowPunct/>
        <w:topLinePunct w:val="0"/>
        <w:autoSpaceDE/>
        <w:autoSpaceDN/>
        <w:bidi w:val="0"/>
        <w:spacing w:before="0" w:line="380" w:lineRule="exact"/>
        <w:ind w:left="0" w:leftChars="0" w:firstLine="420" w:firstLineChars="200"/>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11、按时支付民工工资，如果发生违反规定拖欠或克扣民工工资行为,或工资发放处置不力,导致民工有不同形式的上访、闹访、集访等事件的发生,主动接受人力资源社会保障、建设、公安等部门依照有关规定作出的处罚和决定，并承担一切损失。</w:t>
      </w:r>
    </w:p>
    <w:p w14:paraId="483F6106">
      <w:pPr>
        <w:rPr>
          <w:rFonts w:hint="eastAsia" w:ascii="宋体" w:hAnsi="宋体" w:eastAsia="宋体" w:cs="宋体"/>
          <w:sz w:val="21"/>
          <w:szCs w:val="21"/>
          <w:highlight w:val="none"/>
          <w:u w:val="single"/>
          <w:lang w:val="en-US"/>
        </w:rPr>
      </w:pPr>
      <w:r>
        <w:rPr>
          <w:rFonts w:hint="eastAsia" w:ascii="宋体" w:hAnsi="宋体" w:eastAsia="宋体" w:cs="宋体"/>
          <w:b w:val="0"/>
          <w:bCs w:val="0"/>
          <w:kern w:val="2"/>
          <w:sz w:val="21"/>
          <w:szCs w:val="21"/>
          <w:highlight w:val="none"/>
          <w:lang w:val="en-US" w:eastAsia="zh-CN" w:bidi="ar-SA"/>
        </w:rPr>
        <w:t xml:space="preserve">    12、</w:t>
      </w:r>
      <w:r>
        <w:rPr>
          <w:rFonts w:hint="eastAsia" w:ascii="宋体" w:hAnsi="宋体" w:eastAsia="宋体" w:cs="宋体"/>
          <w:b w:val="0"/>
          <w:bCs w:val="0"/>
          <w:kern w:val="2"/>
          <w:sz w:val="21"/>
          <w:szCs w:val="21"/>
          <w:highlight w:val="none"/>
          <w:u w:val="single"/>
          <w:lang w:val="en-US" w:eastAsia="zh-CN" w:bidi="ar-SA"/>
        </w:rPr>
        <w:t>乙方需提供取芯检查报告及验收相关的检测报告，并配合通过验收。</w:t>
      </w:r>
    </w:p>
    <w:p w14:paraId="6C5A238E">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第七条 安全生产与文明施工</w:t>
      </w:r>
    </w:p>
    <w:p w14:paraId="6AFD8755">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lang w:val="en-US" w:eastAsia="zh-CN"/>
        </w:rPr>
        <w:t>一、</w:t>
      </w:r>
      <w:r>
        <w:rPr>
          <w:rFonts w:hint="eastAsia" w:ascii="宋体" w:hAnsi="宋体" w:eastAsia="宋体" w:cs="宋体"/>
          <w:b/>
          <w:bCs/>
          <w:sz w:val="21"/>
          <w:szCs w:val="21"/>
          <w:highlight w:val="none"/>
        </w:rPr>
        <w:t>甲方的权利和义务</w:t>
      </w:r>
    </w:p>
    <w:p w14:paraId="2786A350">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应遵守国家法律法规、标准及其他安全生产管理规定。</w:t>
      </w:r>
    </w:p>
    <w:p w14:paraId="7DD1EC98">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施工期间，应积极协调乙方做好现场的安全</w:t>
      </w:r>
      <w:r>
        <w:rPr>
          <w:rFonts w:hint="eastAsia" w:ascii="宋体" w:hAnsi="宋体" w:eastAsia="宋体" w:cs="宋体"/>
          <w:sz w:val="21"/>
          <w:szCs w:val="21"/>
          <w:highlight w:val="none"/>
          <w:lang w:val="en-US" w:eastAsia="zh-CN"/>
        </w:rPr>
        <w:t>生产</w:t>
      </w:r>
      <w:r>
        <w:rPr>
          <w:rFonts w:hint="eastAsia" w:ascii="宋体" w:hAnsi="宋体" w:eastAsia="宋体" w:cs="宋体"/>
          <w:sz w:val="21"/>
          <w:szCs w:val="21"/>
          <w:highlight w:val="none"/>
        </w:rPr>
        <w:t>管理工作，保证工程顺利进行。</w:t>
      </w:r>
    </w:p>
    <w:p w14:paraId="157B30C7">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应当</w:t>
      </w:r>
      <w:r>
        <w:rPr>
          <w:rFonts w:hint="eastAsia" w:ascii="宋体" w:hAnsi="宋体" w:eastAsia="宋体" w:cs="宋体"/>
          <w:sz w:val="21"/>
          <w:szCs w:val="21"/>
          <w:highlight w:val="none"/>
          <w:lang w:val="en-US" w:eastAsia="zh-CN"/>
        </w:rPr>
        <w:t>向乙方进行</w:t>
      </w:r>
      <w:r>
        <w:rPr>
          <w:rFonts w:hint="eastAsia" w:ascii="宋体" w:hAnsi="宋体" w:eastAsia="宋体" w:cs="宋体"/>
          <w:sz w:val="21"/>
          <w:szCs w:val="21"/>
          <w:highlight w:val="none"/>
        </w:rPr>
        <w:t>安全</w:t>
      </w:r>
      <w:r>
        <w:rPr>
          <w:rFonts w:hint="eastAsia" w:ascii="宋体" w:hAnsi="宋体" w:eastAsia="宋体" w:cs="宋体"/>
          <w:sz w:val="21"/>
          <w:szCs w:val="21"/>
          <w:highlight w:val="none"/>
          <w:lang w:val="en-US" w:eastAsia="zh-CN"/>
        </w:rPr>
        <w:t>生产、环境保护和</w:t>
      </w:r>
      <w:r>
        <w:rPr>
          <w:rFonts w:hint="eastAsia" w:ascii="宋体" w:hAnsi="宋体" w:eastAsia="宋体" w:cs="宋体"/>
          <w:sz w:val="21"/>
          <w:szCs w:val="21"/>
          <w:highlight w:val="none"/>
        </w:rPr>
        <w:t>职业卫</w:t>
      </w:r>
      <w:r>
        <w:rPr>
          <w:rFonts w:hint="eastAsia" w:ascii="宋体" w:hAnsi="宋体" w:eastAsia="宋体" w:cs="宋体"/>
          <w:sz w:val="21"/>
          <w:szCs w:val="21"/>
          <w:highlight w:val="none"/>
          <w:lang w:val="en-US" w:eastAsia="zh-CN"/>
        </w:rPr>
        <w:t>生等方面的技术交底，并双方相关人员签字确认。</w:t>
      </w:r>
    </w:p>
    <w:p w14:paraId="54804E2C">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不得对乙方提出不符合建设工程安全生产法律、法规和强制性规定的要求，对建设单位提出的压缩合同约定的工期的要求应征得乙方同意。</w:t>
      </w:r>
    </w:p>
    <w:p w14:paraId="24D85296">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不得明示或暗示乙方购买、租赁、使用不符合安全施工要求的安全防护用具、机械设备、施工机具及配件、消防设施和器材。但甲方有权对乙方采购或租赁安全设备设施进行监督检验，对不符合安全生产条件的物资有权责令退场。</w:t>
      </w:r>
    </w:p>
    <w:p w14:paraId="038F8A8A">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有权审查乙方按规定必要的人员持证上岗证明，对不具备资格的人员或相关人员有不良记录的，不允许其进入现场施工，有权拒绝为其办理平安卡。甲方有权审查乙方资质证书和安全生产许可证等证书，对不符合施工</w:t>
      </w:r>
      <w:r>
        <w:rPr>
          <w:rFonts w:hint="eastAsia" w:ascii="宋体" w:hAnsi="宋体" w:eastAsia="宋体" w:cs="宋体"/>
          <w:sz w:val="21"/>
          <w:szCs w:val="21"/>
          <w:highlight w:val="none"/>
          <w:lang w:val="en-US" w:eastAsia="zh-CN"/>
        </w:rPr>
        <w:t>要求</w:t>
      </w:r>
      <w:r>
        <w:rPr>
          <w:rFonts w:hint="eastAsia" w:ascii="宋体" w:hAnsi="宋体" w:eastAsia="宋体" w:cs="宋体"/>
          <w:sz w:val="21"/>
          <w:szCs w:val="21"/>
          <w:highlight w:val="none"/>
        </w:rPr>
        <w:t>的，有权拒绝其施工。</w:t>
      </w:r>
    </w:p>
    <w:p w14:paraId="1104E3D6">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发现乙方配备的专职安全管理人员不称职或不胜任安全管理工作，乙方必须服从甲方的要求，更换专职安全管理人员。</w:t>
      </w:r>
    </w:p>
    <w:p w14:paraId="10754420">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有权对乙方</w:t>
      </w:r>
      <w:r>
        <w:rPr>
          <w:rFonts w:hint="eastAsia" w:ascii="宋体" w:hAnsi="宋体" w:eastAsia="宋体" w:cs="宋体"/>
          <w:bCs/>
          <w:sz w:val="21"/>
          <w:szCs w:val="21"/>
          <w:highlight w:val="none"/>
        </w:rPr>
        <w:t>的工作区域、工作内容进行安全生产、职业健康监督和检查，发现存在安全隐患的，甲方有权下发隐患整改通知书，责令乙方进行整改。并依据相关的法律法规及甲方规章制度对乙方及其违章人员实施罚款及作出停工整改等措施，直至对乙方清退出场。</w:t>
      </w:r>
    </w:p>
    <w:p w14:paraId="5468CEBC">
      <w:pPr>
        <w:keepNext w:val="0"/>
        <w:keepLines w:val="0"/>
        <w:pageBreakBefore w:val="0"/>
        <w:kinsoku/>
        <w:wordWrap/>
        <w:overflowPunct/>
        <w:topLinePunct w:val="0"/>
        <w:autoSpaceDE/>
        <w:autoSpaceDN/>
        <w:bidi w:val="0"/>
        <w:spacing w:line="380" w:lineRule="exact"/>
        <w:ind w:left="0" w:leftChars="0" w:firstLine="420"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二、</w:t>
      </w:r>
      <w:r>
        <w:rPr>
          <w:rFonts w:hint="eastAsia" w:ascii="宋体" w:hAnsi="宋体" w:eastAsia="宋体" w:cs="宋体"/>
          <w:b/>
          <w:bCs/>
          <w:sz w:val="21"/>
          <w:szCs w:val="21"/>
          <w:highlight w:val="none"/>
        </w:rPr>
        <w:t>乙方的权利和义务</w:t>
      </w:r>
    </w:p>
    <w:p w14:paraId="12591CE4">
      <w:pPr>
        <w:keepNext w:val="0"/>
        <w:keepLines w:val="0"/>
        <w:pageBreakBefore w:val="0"/>
        <w:kinsoku/>
        <w:wordWrap/>
        <w:overflowPunct/>
        <w:topLinePunct w:val="0"/>
        <w:autoSpaceDE/>
        <w:autoSpaceDN/>
        <w:bidi w:val="0"/>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应遵守国家法律法规、标准及其他安全生产管理规定</w:t>
      </w:r>
      <w:r>
        <w:rPr>
          <w:rFonts w:hint="eastAsia" w:ascii="宋体" w:hAnsi="宋体" w:eastAsia="宋体" w:cs="宋体"/>
          <w:sz w:val="21"/>
          <w:szCs w:val="21"/>
          <w:highlight w:val="none"/>
          <w:lang w:val="en-US" w:eastAsia="zh-CN"/>
        </w:rPr>
        <w:t>和</w:t>
      </w:r>
      <w:r>
        <w:rPr>
          <w:rFonts w:hint="eastAsia" w:ascii="宋体" w:hAnsi="宋体" w:eastAsia="宋体" w:cs="宋体"/>
          <w:sz w:val="21"/>
          <w:szCs w:val="21"/>
          <w:highlight w:val="none"/>
        </w:rPr>
        <w:t>甲方安全生产规章制度、方案要求，</w:t>
      </w:r>
      <w:r>
        <w:rPr>
          <w:rFonts w:hint="eastAsia" w:ascii="宋体" w:hAnsi="宋体" w:eastAsia="宋体" w:cs="宋体"/>
          <w:sz w:val="21"/>
          <w:szCs w:val="21"/>
          <w:highlight w:val="none"/>
          <w:lang w:eastAsia="zh-CN"/>
        </w:rPr>
        <w:t>严格按安全文明标准组织施工，并随时接受甲方、</w:t>
      </w:r>
      <w:r>
        <w:rPr>
          <w:rFonts w:hint="eastAsia" w:ascii="宋体" w:hAnsi="宋体" w:eastAsia="宋体" w:cs="宋体"/>
          <w:sz w:val="21"/>
          <w:szCs w:val="21"/>
          <w:highlight w:val="none"/>
          <w:lang w:val="en-US" w:eastAsia="zh-CN"/>
        </w:rPr>
        <w:t>建设单位</w:t>
      </w:r>
      <w:r>
        <w:rPr>
          <w:rFonts w:hint="eastAsia" w:ascii="宋体" w:hAnsi="宋体" w:eastAsia="宋体" w:cs="宋体"/>
          <w:sz w:val="21"/>
          <w:szCs w:val="21"/>
          <w:highlight w:val="none"/>
          <w:lang w:eastAsia="zh-CN"/>
        </w:rPr>
        <w:t>及行业安全检查人员依法实施的监督检查。采取必要的安全防护措施，消除安全隐患。由于乙方自身安全措施不力以及其他自身原因造成事故的责任和因此发生的费用，由乙方承担。因乙方责任而受到政府部门的相关处罚，或因侵害周围居民、单位的合法利益而造成赔偿，所发生的费用由乙方承担。</w:t>
      </w:r>
    </w:p>
    <w:p w14:paraId="57ADD5B5">
      <w:pPr>
        <w:keepNext w:val="0"/>
        <w:keepLines w:val="0"/>
        <w:pageBreakBefore w:val="0"/>
        <w:kinsoku/>
        <w:wordWrap/>
        <w:overflowPunct/>
        <w:topLinePunct w:val="0"/>
        <w:autoSpaceDE/>
        <w:autoSpaceDN/>
        <w:bidi w:val="0"/>
        <w:spacing w:line="380" w:lineRule="exact"/>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合理安排身体素质、技术水平、安全意识都符合要求的人员上岗，严禁使用未满18周岁人员，严禁使用有职业禁忌、患有妨碍工作病症的人员，严禁使用患有传染病、精神病的人员</w:t>
      </w:r>
      <w:r>
        <w:rPr>
          <w:rFonts w:hint="eastAsia" w:ascii="宋体" w:hAnsi="宋体" w:eastAsia="宋体" w:cs="宋体"/>
          <w:sz w:val="21"/>
          <w:szCs w:val="21"/>
          <w:highlight w:val="none"/>
          <w:lang w:eastAsia="zh-CN"/>
        </w:rPr>
        <w:t>岗。</w:t>
      </w:r>
      <w:r>
        <w:rPr>
          <w:rFonts w:hint="eastAsia" w:ascii="宋体" w:hAnsi="宋体" w:eastAsia="宋体" w:cs="宋体"/>
          <w:color w:val="000000"/>
          <w:sz w:val="21"/>
          <w:szCs w:val="21"/>
          <w:highlight w:val="none"/>
        </w:rPr>
        <w:t>及时向甲方提供作业人员的身份证信息，</w:t>
      </w:r>
      <w:r>
        <w:rPr>
          <w:rFonts w:hint="eastAsia" w:ascii="宋体" w:hAnsi="宋体" w:eastAsia="宋体" w:cs="宋体"/>
          <w:sz w:val="21"/>
          <w:szCs w:val="21"/>
          <w:highlight w:val="none"/>
        </w:rPr>
        <w:t>乙方从事有</w:t>
      </w:r>
      <w:r>
        <w:rPr>
          <w:rFonts w:hint="eastAsia" w:ascii="宋体" w:hAnsi="宋体" w:eastAsia="宋体" w:cs="宋体"/>
          <w:color w:val="000000"/>
          <w:sz w:val="21"/>
          <w:szCs w:val="21"/>
          <w:highlight w:val="none"/>
        </w:rPr>
        <w:t>职业病危害因素作业的人员，必须</w:t>
      </w:r>
      <w:r>
        <w:rPr>
          <w:rFonts w:hint="eastAsia" w:ascii="宋体" w:hAnsi="宋体" w:eastAsia="宋体" w:cs="宋体"/>
          <w:color w:val="000000"/>
          <w:sz w:val="21"/>
          <w:szCs w:val="21"/>
          <w:highlight w:val="none"/>
          <w:lang w:val="en-US" w:eastAsia="zh-CN"/>
        </w:rPr>
        <w:t>做好</w:t>
      </w:r>
      <w:r>
        <w:rPr>
          <w:rFonts w:hint="eastAsia" w:ascii="宋体" w:hAnsi="宋体" w:eastAsia="宋体" w:cs="宋体"/>
          <w:color w:val="000000"/>
          <w:sz w:val="21"/>
          <w:szCs w:val="21"/>
          <w:highlight w:val="none"/>
        </w:rPr>
        <w:t>上岗前、在岗期间</w:t>
      </w:r>
      <w:r>
        <w:rPr>
          <w:rFonts w:hint="eastAsia" w:ascii="宋体" w:hAnsi="宋体" w:eastAsia="宋体" w:cs="宋体"/>
          <w:color w:val="000000"/>
          <w:sz w:val="21"/>
          <w:szCs w:val="21"/>
          <w:highlight w:val="none"/>
          <w:lang w:val="en-US" w:eastAsia="zh-CN"/>
        </w:rPr>
        <w:t>和离岗时的</w:t>
      </w:r>
      <w:r>
        <w:rPr>
          <w:rFonts w:hint="eastAsia" w:ascii="宋体" w:hAnsi="宋体" w:eastAsia="宋体" w:cs="宋体"/>
          <w:color w:val="000000"/>
          <w:sz w:val="21"/>
          <w:szCs w:val="21"/>
          <w:highlight w:val="none"/>
        </w:rPr>
        <w:t>职业健康体检。</w:t>
      </w:r>
    </w:p>
    <w:p w14:paraId="383DA2C8">
      <w:pPr>
        <w:keepNext w:val="0"/>
        <w:keepLines w:val="0"/>
        <w:pageBreakBefore w:val="0"/>
        <w:kinsoku/>
        <w:wordWrap/>
        <w:overflowPunct/>
        <w:topLinePunct w:val="0"/>
        <w:autoSpaceDE/>
        <w:autoSpaceDN/>
        <w:bidi w:val="0"/>
        <w:spacing w:line="38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应当依法与从业人员订立劳动合同，载明有关保障从业人员劳动安全、防止职业病危害的事项。</w:t>
      </w:r>
      <w:r>
        <w:rPr>
          <w:rFonts w:hint="eastAsia" w:ascii="宋体" w:hAnsi="宋体" w:eastAsia="宋体" w:cs="宋体"/>
          <w:sz w:val="21"/>
          <w:szCs w:val="21"/>
          <w:highlight w:val="none"/>
          <w:lang w:val="en-US" w:eastAsia="zh-CN"/>
        </w:rPr>
        <w:t>必须为施工人员办理意外伤害保险，并对施工场地内自有人员生命财产和施工机械设备办理保险，且承担保险费用。</w:t>
      </w:r>
    </w:p>
    <w:p w14:paraId="11BEDBDA">
      <w:pPr>
        <w:keepNext w:val="0"/>
        <w:keepLines w:val="0"/>
        <w:pageBreakBefore w:val="0"/>
        <w:kinsoku/>
        <w:wordWrap/>
        <w:overflowPunct/>
        <w:topLinePunct w:val="0"/>
        <w:autoSpaceDE/>
        <w:autoSpaceDN/>
        <w:bidi w:val="0"/>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应当主动接受甲方的安全</w:t>
      </w:r>
      <w:r>
        <w:rPr>
          <w:rFonts w:hint="eastAsia" w:ascii="宋体" w:hAnsi="宋体" w:eastAsia="宋体" w:cs="宋体"/>
          <w:sz w:val="21"/>
          <w:szCs w:val="21"/>
          <w:highlight w:val="none"/>
          <w:lang w:val="en-US" w:eastAsia="zh-CN"/>
        </w:rPr>
        <w:t>生产、环境保护和</w:t>
      </w:r>
      <w:r>
        <w:rPr>
          <w:rFonts w:hint="eastAsia" w:ascii="宋体" w:hAnsi="宋体" w:eastAsia="宋体" w:cs="宋体"/>
          <w:sz w:val="21"/>
          <w:szCs w:val="21"/>
          <w:highlight w:val="none"/>
        </w:rPr>
        <w:t>职业卫</w:t>
      </w:r>
      <w:r>
        <w:rPr>
          <w:rFonts w:hint="eastAsia" w:ascii="宋体" w:hAnsi="宋体" w:eastAsia="宋体" w:cs="宋体"/>
          <w:sz w:val="21"/>
          <w:szCs w:val="21"/>
          <w:highlight w:val="none"/>
          <w:lang w:val="en-US" w:eastAsia="zh-CN"/>
        </w:rPr>
        <w:t>生等方面的技术交底，</w:t>
      </w:r>
      <w:r>
        <w:rPr>
          <w:rFonts w:hint="eastAsia" w:ascii="宋体" w:hAnsi="宋体" w:eastAsia="宋体" w:cs="宋体"/>
          <w:sz w:val="21"/>
          <w:szCs w:val="21"/>
          <w:highlight w:val="none"/>
          <w:lang w:eastAsia="zh-CN"/>
        </w:rPr>
        <w:t>应对其在施工场地的</w:t>
      </w:r>
      <w:r>
        <w:rPr>
          <w:rFonts w:hint="eastAsia" w:ascii="宋体" w:hAnsi="宋体" w:eastAsia="宋体" w:cs="宋体"/>
          <w:sz w:val="21"/>
          <w:szCs w:val="21"/>
          <w:highlight w:val="none"/>
          <w:lang w:val="en-US" w:eastAsia="zh-CN"/>
        </w:rPr>
        <w:t>作业</w:t>
      </w:r>
      <w:r>
        <w:rPr>
          <w:rFonts w:hint="eastAsia" w:ascii="宋体" w:hAnsi="宋体" w:eastAsia="宋体" w:cs="宋体"/>
          <w:sz w:val="21"/>
          <w:szCs w:val="21"/>
          <w:highlight w:val="none"/>
          <w:lang w:eastAsia="zh-CN"/>
        </w:rPr>
        <w:t>人员进行安全教育，签订安全责任书和安全技术交底书，</w:t>
      </w:r>
      <w:r>
        <w:rPr>
          <w:rFonts w:hint="eastAsia" w:ascii="宋体" w:hAnsi="宋体" w:eastAsia="宋体" w:cs="宋体"/>
          <w:sz w:val="21"/>
          <w:szCs w:val="21"/>
          <w:highlight w:val="none"/>
        </w:rPr>
        <w:t>接受甲方的安全监督，并依法教育和督促乙方人员严格执行安全生产、职业健康规章制度和安全操作规程，如实告知作业场所和工作岗位存在的危险因素、防范措施以及事故应急措施</w:t>
      </w:r>
      <w:r>
        <w:rPr>
          <w:rFonts w:hint="eastAsia" w:ascii="宋体" w:hAnsi="宋体" w:eastAsia="宋体" w:cs="宋体"/>
          <w:sz w:val="21"/>
          <w:szCs w:val="21"/>
          <w:highlight w:val="none"/>
          <w:lang w:val="en-US" w:eastAsia="zh-CN"/>
        </w:rPr>
        <w:t>等</w:t>
      </w:r>
      <w:r>
        <w:rPr>
          <w:rFonts w:hint="eastAsia" w:ascii="宋体" w:hAnsi="宋体" w:eastAsia="宋体" w:cs="宋体"/>
          <w:sz w:val="21"/>
          <w:szCs w:val="21"/>
          <w:highlight w:val="none"/>
        </w:rPr>
        <w:t>。</w:t>
      </w:r>
    </w:p>
    <w:p w14:paraId="16F17884">
      <w:pPr>
        <w:keepNext w:val="0"/>
        <w:keepLines w:val="0"/>
        <w:pageBreakBefore w:val="0"/>
        <w:kinsoku/>
        <w:wordWrap/>
        <w:overflowPunct/>
        <w:topLinePunct w:val="0"/>
        <w:autoSpaceDE/>
        <w:autoSpaceDN/>
        <w:bidi w:val="0"/>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应向甲方提交资质证书和安全生产许可证等证书，接受甲方的审查，按照规定为所有员工办理平安卡，严格按平安卡制度要求，刷卡进出施工现场。</w:t>
      </w:r>
    </w:p>
    <w:p w14:paraId="28EC7123">
      <w:pPr>
        <w:keepNext w:val="0"/>
        <w:keepLines w:val="0"/>
        <w:pageBreakBefore w:val="0"/>
        <w:kinsoku/>
        <w:wordWrap/>
        <w:overflowPunct/>
        <w:topLinePunct w:val="0"/>
        <w:autoSpaceDE/>
        <w:autoSpaceDN/>
        <w:bidi w:val="0"/>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对本单位施工安全工作直接负责，依法配备安全生产管理人员</w:t>
      </w:r>
      <w:r>
        <w:rPr>
          <w:rFonts w:hint="eastAsia" w:ascii="宋体" w:hAnsi="宋体" w:eastAsia="宋体" w:cs="宋体"/>
          <w:color w:val="000000"/>
          <w:sz w:val="21"/>
          <w:szCs w:val="21"/>
          <w:highlight w:val="none"/>
        </w:rPr>
        <w:t>和专职或兼职的职业卫生管理人员</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其</w:t>
      </w:r>
      <w:r>
        <w:rPr>
          <w:rFonts w:hint="eastAsia" w:ascii="宋体" w:hAnsi="宋体" w:eastAsia="宋体" w:cs="宋体"/>
          <w:sz w:val="21"/>
          <w:szCs w:val="21"/>
          <w:highlight w:val="none"/>
        </w:rPr>
        <w:t>配备的专职安全管理人员应接受甲方监督指导和调配，发现违章指挥、违章操作和违反劳动纪律的，应当立即制止。</w:t>
      </w:r>
    </w:p>
    <w:p w14:paraId="5F145757">
      <w:pPr>
        <w:keepNext w:val="0"/>
        <w:keepLines w:val="0"/>
        <w:pageBreakBefore w:val="0"/>
        <w:kinsoku/>
        <w:wordWrap/>
        <w:overflowPunct/>
        <w:topLinePunct w:val="0"/>
        <w:autoSpaceDE/>
        <w:autoSpaceDN/>
        <w:bidi w:val="0"/>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应严格审核本单位特种作业人员的上岗资质，所有特种作业人员均应持证上岗，相关人员上岗证明资料提交至甲方备案，并接受甲方的检查。从事特种作业或危险作业时，乙方应配备安全防护设施或设备，并有专人负责现场安全。</w:t>
      </w:r>
    </w:p>
    <w:p w14:paraId="0829F302">
      <w:pPr>
        <w:keepNext w:val="0"/>
        <w:keepLines w:val="0"/>
        <w:pageBreakBefore w:val="0"/>
        <w:kinsoku/>
        <w:wordWrap/>
        <w:overflowPunct/>
        <w:topLinePunct w:val="0"/>
        <w:autoSpaceDE/>
        <w:autoSpaceDN/>
        <w:bidi w:val="0"/>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8、由乙方负责购买</w:t>
      </w:r>
      <w:r>
        <w:rPr>
          <w:rFonts w:hint="eastAsia" w:ascii="宋体" w:hAnsi="宋体" w:eastAsia="宋体" w:cs="宋体"/>
          <w:sz w:val="21"/>
          <w:szCs w:val="21"/>
          <w:highlight w:val="none"/>
        </w:rPr>
        <w:t>提供的安全帽、安全带、安全网和</w:t>
      </w:r>
      <w:r>
        <w:rPr>
          <w:rFonts w:hint="eastAsia" w:ascii="宋体" w:hAnsi="宋体" w:eastAsia="宋体" w:cs="宋体"/>
          <w:color w:val="000000"/>
          <w:sz w:val="21"/>
          <w:szCs w:val="21"/>
          <w:highlight w:val="none"/>
        </w:rPr>
        <w:t>防治职业病要求的个人防护用品</w:t>
      </w:r>
      <w:r>
        <w:rPr>
          <w:rFonts w:hint="eastAsia" w:ascii="宋体" w:hAnsi="宋体" w:eastAsia="宋体" w:cs="宋体"/>
          <w:color w:val="000000"/>
          <w:sz w:val="21"/>
          <w:szCs w:val="21"/>
          <w:highlight w:val="none"/>
          <w:lang w:val="en-US" w:eastAsia="zh-CN"/>
        </w:rPr>
        <w:t>等</w:t>
      </w:r>
      <w:r>
        <w:rPr>
          <w:rFonts w:hint="eastAsia" w:ascii="宋体" w:hAnsi="宋体" w:eastAsia="宋体" w:cs="宋体"/>
          <w:sz w:val="21"/>
          <w:szCs w:val="21"/>
          <w:highlight w:val="none"/>
        </w:rPr>
        <w:t>必须按符合国家标准或者行业标准的劳动防护用品品牌购买，接受甲方的查验，并监督、教育从业人员按照使用规定正确佩戴、使用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zh-CN" w:eastAsia="zh-CN"/>
        </w:rPr>
        <w:t>未按规定使用安全防护用品</w:t>
      </w:r>
      <w:r>
        <w:rPr>
          <w:rFonts w:hint="eastAsia" w:ascii="宋体" w:hAnsi="宋体" w:eastAsia="宋体" w:cs="宋体"/>
          <w:sz w:val="21"/>
          <w:szCs w:val="21"/>
          <w:highlight w:val="none"/>
          <w:lang w:val="en-US" w:eastAsia="zh-CN"/>
        </w:rPr>
        <w:t>按</w:t>
      </w:r>
      <w:r>
        <w:rPr>
          <w:rFonts w:hint="eastAsia" w:ascii="宋体" w:hAnsi="宋体" w:eastAsia="宋体" w:cs="宋体"/>
          <w:sz w:val="21"/>
          <w:szCs w:val="21"/>
          <w:highlight w:val="none"/>
          <w:lang w:val="zh-CN" w:eastAsia="zh-CN"/>
        </w:rPr>
        <w:t>100</w:t>
      </w:r>
      <w:r>
        <w:rPr>
          <w:rFonts w:hint="eastAsia" w:ascii="宋体" w:hAnsi="宋体" w:eastAsia="宋体" w:cs="宋体"/>
          <w:sz w:val="21"/>
          <w:szCs w:val="21"/>
          <w:highlight w:val="none"/>
          <w:lang w:val="en-US" w:eastAsia="zh-CN"/>
        </w:rPr>
        <w:t>.00</w:t>
      </w:r>
      <w:r>
        <w:rPr>
          <w:rFonts w:hint="eastAsia" w:ascii="宋体" w:hAnsi="宋体" w:eastAsia="宋体" w:cs="宋体"/>
          <w:sz w:val="21"/>
          <w:szCs w:val="21"/>
          <w:highlight w:val="none"/>
          <w:lang w:val="zh-CN" w:eastAsia="zh-CN"/>
        </w:rPr>
        <w:t>元/次/人</w:t>
      </w:r>
      <w:r>
        <w:rPr>
          <w:rFonts w:hint="eastAsia" w:ascii="宋体" w:hAnsi="宋体" w:eastAsia="宋体" w:cs="宋体"/>
          <w:sz w:val="21"/>
          <w:szCs w:val="21"/>
          <w:highlight w:val="none"/>
          <w:lang w:eastAsia="zh-CN"/>
        </w:rPr>
        <w:t>收取乙方违约金</w:t>
      </w:r>
      <w:r>
        <w:rPr>
          <w:rFonts w:hint="eastAsia" w:ascii="宋体" w:hAnsi="宋体" w:eastAsia="宋体" w:cs="宋体"/>
          <w:sz w:val="21"/>
          <w:szCs w:val="21"/>
          <w:highlight w:val="none"/>
        </w:rPr>
        <w:t>。合同约定由乙方提供的用于安全防护的设备、设施装置，在使用前，应由甲方组织相关方进行专项验收确认合格后方可投入使用。</w:t>
      </w:r>
    </w:p>
    <w:p w14:paraId="35DD9D9C">
      <w:pPr>
        <w:keepNext w:val="0"/>
        <w:keepLines w:val="0"/>
        <w:pageBreakBefore w:val="0"/>
        <w:kinsoku/>
        <w:wordWrap/>
        <w:overflowPunct/>
        <w:topLinePunct w:val="0"/>
        <w:autoSpaceDE/>
        <w:autoSpaceDN/>
        <w:bidi w:val="0"/>
        <w:spacing w:line="38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乙方作业前应对工作区域进行安全检查，如发现存在安全隐患，应整改完毕后才能施工。</w:t>
      </w:r>
      <w:r>
        <w:rPr>
          <w:rFonts w:hint="eastAsia" w:ascii="宋体" w:hAnsi="宋体" w:eastAsia="宋体" w:cs="宋体"/>
          <w:sz w:val="21"/>
          <w:szCs w:val="21"/>
          <w:highlight w:val="none"/>
          <w:lang w:val="en-US" w:eastAsia="zh-CN"/>
        </w:rPr>
        <w:t>施工过程中</w:t>
      </w:r>
      <w:r>
        <w:rPr>
          <w:rFonts w:hint="eastAsia" w:ascii="宋体" w:hAnsi="宋体" w:eastAsia="宋体" w:cs="宋体"/>
          <w:sz w:val="21"/>
          <w:szCs w:val="21"/>
          <w:highlight w:val="none"/>
          <w:lang w:eastAsia="zh-CN"/>
        </w:rPr>
        <w:t>乙方应保持场地整洁，做到工完场清，直到甲方满意</w:t>
      </w:r>
      <w:r>
        <w:rPr>
          <w:rFonts w:hint="eastAsia" w:ascii="宋体" w:hAnsi="宋体" w:eastAsia="宋体" w:cs="宋体"/>
          <w:sz w:val="21"/>
          <w:szCs w:val="21"/>
          <w:highlight w:val="none"/>
          <w:lang w:val="en-US" w:eastAsia="zh-CN"/>
        </w:rPr>
        <w:t>为止</w:t>
      </w:r>
      <w:r>
        <w:rPr>
          <w:rFonts w:hint="eastAsia" w:ascii="宋体" w:hAnsi="宋体" w:eastAsia="宋体" w:cs="宋体"/>
          <w:sz w:val="21"/>
          <w:szCs w:val="21"/>
          <w:highlight w:val="none"/>
          <w:lang w:eastAsia="zh-CN"/>
        </w:rPr>
        <w:t>，所有垃圾由乙方外运（渣场自找），</w:t>
      </w:r>
      <w:r>
        <w:rPr>
          <w:rFonts w:hint="eastAsia" w:ascii="宋体" w:hAnsi="宋体" w:eastAsia="宋体" w:cs="宋体"/>
          <w:sz w:val="21"/>
          <w:szCs w:val="21"/>
          <w:highlight w:val="none"/>
          <w:lang w:val="en-US" w:eastAsia="zh-CN"/>
        </w:rPr>
        <w:t>产生的费用由乙方自行承担</w:t>
      </w:r>
      <w:r>
        <w:rPr>
          <w:rFonts w:hint="eastAsia" w:ascii="宋体" w:hAnsi="宋体" w:eastAsia="宋体" w:cs="宋体"/>
          <w:sz w:val="21"/>
          <w:szCs w:val="21"/>
          <w:highlight w:val="none"/>
          <w:lang w:eastAsia="zh-CN"/>
        </w:rPr>
        <w:t>。</w:t>
      </w:r>
    </w:p>
    <w:p w14:paraId="395326F2">
      <w:pPr>
        <w:keepNext w:val="0"/>
        <w:keepLines w:val="0"/>
        <w:pageBreakBefore w:val="0"/>
        <w:kinsoku/>
        <w:wordWrap/>
        <w:overflowPunct/>
        <w:topLinePunct w:val="0"/>
        <w:autoSpaceDE/>
        <w:autoSpaceDN/>
        <w:bidi w:val="0"/>
        <w:spacing w:line="380" w:lineRule="exact"/>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sz w:val="21"/>
          <w:szCs w:val="21"/>
          <w:highlight w:val="none"/>
          <w:lang w:val="en-US" w:eastAsia="zh-CN"/>
        </w:rPr>
        <w:t>10、</w:t>
      </w:r>
      <w:r>
        <w:rPr>
          <w:rFonts w:hint="eastAsia" w:ascii="宋体" w:hAnsi="宋体" w:eastAsia="宋体" w:cs="宋体"/>
          <w:color w:val="000000"/>
          <w:sz w:val="21"/>
          <w:szCs w:val="21"/>
          <w:highlight w:val="none"/>
        </w:rPr>
        <w:t>乙方作业人员不准乱动与本工种无关的电气设备、机械设备和工具，不准擅自到非本工作范围以外的其他区域活动。</w:t>
      </w:r>
    </w:p>
    <w:p w14:paraId="22491E23">
      <w:pPr>
        <w:keepNext w:val="0"/>
        <w:keepLines w:val="0"/>
        <w:pageBreakBefore w:val="0"/>
        <w:kinsoku/>
        <w:wordWrap/>
        <w:overflowPunct/>
        <w:topLinePunct w:val="0"/>
        <w:autoSpaceDE/>
        <w:autoSpaceDN/>
        <w:bidi w:val="0"/>
        <w:spacing w:line="380" w:lineRule="exact"/>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sz w:val="21"/>
          <w:szCs w:val="21"/>
          <w:highlight w:val="none"/>
          <w:lang w:val="en-US" w:eastAsia="zh-CN"/>
        </w:rPr>
        <w:t>11、</w:t>
      </w:r>
      <w:r>
        <w:rPr>
          <w:rFonts w:hint="eastAsia" w:ascii="宋体" w:hAnsi="宋体" w:eastAsia="宋体" w:cs="宋体"/>
          <w:color w:val="000000"/>
          <w:sz w:val="21"/>
          <w:szCs w:val="21"/>
          <w:highlight w:val="none"/>
        </w:rPr>
        <w:t>乙方应当在施工现场出入口处、临时用电设施、脚手架、基坑边沿、高处作业、爆破物处等危险部位，设置明显的安全及职业病危害警示标志。安全及职业病危害警示标志必须符合国家标准。施工现场设置的安全防护设施、安全标志和警告牌，不得擅自拆除、变动。如确实需要拆除、变动的，必须经甲方的同意，并采取必要、可靠的安全措施后方能拆除。擅自拆除所造成的后果，均由乙方负责。</w:t>
      </w:r>
    </w:p>
    <w:p w14:paraId="37C33DA2">
      <w:pPr>
        <w:keepNext w:val="0"/>
        <w:keepLines w:val="0"/>
        <w:pageBreakBefore w:val="0"/>
        <w:kinsoku/>
        <w:wordWrap/>
        <w:overflowPunct/>
        <w:topLinePunct w:val="0"/>
        <w:autoSpaceDE/>
        <w:autoSpaceDN/>
        <w:bidi w:val="0"/>
        <w:spacing w:line="380" w:lineRule="exact"/>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sz w:val="21"/>
          <w:szCs w:val="21"/>
          <w:highlight w:val="none"/>
          <w:lang w:val="en-US" w:eastAsia="zh-CN"/>
        </w:rPr>
        <w:t>12、</w:t>
      </w:r>
      <w:r>
        <w:rPr>
          <w:rFonts w:hint="eastAsia" w:ascii="宋体" w:hAnsi="宋体" w:eastAsia="宋体" w:cs="宋体"/>
          <w:color w:val="000000"/>
          <w:sz w:val="21"/>
          <w:szCs w:val="21"/>
          <w:highlight w:val="none"/>
        </w:rPr>
        <w:t>乙方应当根据不同施工阶段和周围环境及季节、气候的变化，在施工现场采取相应的安全施工措施，但该安全施工措施在实施前必须经甲方同意。</w:t>
      </w:r>
    </w:p>
    <w:p w14:paraId="63AA6D24">
      <w:pPr>
        <w:keepNext w:val="0"/>
        <w:keepLines w:val="0"/>
        <w:pageBreakBefore w:val="0"/>
        <w:kinsoku/>
        <w:wordWrap/>
        <w:overflowPunct/>
        <w:topLinePunct w:val="0"/>
        <w:autoSpaceDE/>
        <w:autoSpaceDN/>
        <w:bidi w:val="0"/>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13、</w:t>
      </w:r>
      <w:r>
        <w:rPr>
          <w:rFonts w:hint="eastAsia" w:ascii="宋体" w:hAnsi="宋体" w:eastAsia="宋体" w:cs="宋体"/>
          <w:sz w:val="21"/>
          <w:szCs w:val="21"/>
          <w:highlight w:val="none"/>
        </w:rPr>
        <w:t>乙方在接到甲方发出的隐患整改通知书后，必须按整改要求、整改期限落实整改措施组织整改，如整改不力而被甲方责令停工或处罚，所造成的损失由乙方全部承担</w:t>
      </w:r>
      <w:r>
        <w:rPr>
          <w:rFonts w:hint="eastAsia" w:ascii="宋体" w:hAnsi="宋体" w:eastAsia="宋体" w:cs="宋体"/>
          <w:sz w:val="21"/>
          <w:szCs w:val="21"/>
          <w:highlight w:val="none"/>
          <w:lang w:eastAsia="zh-CN"/>
        </w:rPr>
        <w:t>，且按情节严重情况</w:t>
      </w:r>
      <w:r>
        <w:rPr>
          <w:rFonts w:hint="eastAsia" w:ascii="宋体" w:hAnsi="宋体" w:eastAsia="宋体" w:cs="宋体"/>
          <w:color w:val="000000"/>
          <w:sz w:val="21"/>
          <w:szCs w:val="21"/>
          <w:highlight w:val="none"/>
          <w:lang w:val="en-US" w:eastAsia="zh-CN"/>
        </w:rPr>
        <w:t>甲方有权按其规定对乙方违规行为进行最低1000元/次的违约处理</w:t>
      </w:r>
      <w:r>
        <w:rPr>
          <w:rFonts w:hint="eastAsia" w:ascii="宋体" w:hAnsi="宋体" w:eastAsia="宋体" w:cs="宋体"/>
          <w:sz w:val="21"/>
          <w:szCs w:val="21"/>
          <w:highlight w:val="none"/>
        </w:rPr>
        <w:t>。</w:t>
      </w:r>
    </w:p>
    <w:p w14:paraId="7CE5780A">
      <w:pPr>
        <w:keepNext w:val="0"/>
        <w:keepLines w:val="0"/>
        <w:pageBreakBefore w:val="0"/>
        <w:kinsoku/>
        <w:wordWrap/>
        <w:overflowPunct/>
        <w:topLinePunct w:val="0"/>
        <w:autoSpaceDE/>
        <w:autoSpaceDN/>
        <w:bidi w:val="0"/>
        <w:spacing w:line="380" w:lineRule="exact"/>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14、</w:t>
      </w:r>
      <w:r>
        <w:rPr>
          <w:rFonts w:hint="eastAsia" w:ascii="宋体" w:hAnsi="宋体" w:eastAsia="宋体" w:cs="宋体"/>
          <w:color w:val="000000"/>
          <w:sz w:val="21"/>
          <w:szCs w:val="21"/>
          <w:highlight w:val="none"/>
        </w:rPr>
        <w:t>由于乙方的责任，导致建设单位或其他单位在设备、生产、安全、文明施工受到人员伤害、经济损失和影响，由乙方负主要法律责任，并承担经济赔偿。</w:t>
      </w:r>
    </w:p>
    <w:p w14:paraId="50723471">
      <w:pPr>
        <w:keepNext w:val="0"/>
        <w:keepLines w:val="0"/>
        <w:pageBreakBefore w:val="0"/>
        <w:kinsoku/>
        <w:wordWrap/>
        <w:overflowPunct/>
        <w:topLinePunct w:val="0"/>
        <w:autoSpaceDE/>
        <w:autoSpaceDN/>
        <w:bidi w:val="0"/>
        <w:spacing w:line="38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color w:val="000000"/>
          <w:sz w:val="21"/>
          <w:szCs w:val="21"/>
          <w:highlight w:val="none"/>
          <w:lang w:val="en-US" w:eastAsia="zh-CN"/>
        </w:rPr>
        <w:t>15、乙方承诺遵守政府、甲方及建设等单位的安全文明施工管理规定，如有违反甲方有权按其规定对乙方违规行为进行100~1000元/次的违约处理</w:t>
      </w:r>
      <w:r>
        <w:rPr>
          <w:rFonts w:hint="eastAsia" w:ascii="宋体" w:hAnsi="宋体" w:eastAsia="宋体" w:cs="宋体"/>
          <w:color w:val="000000"/>
          <w:sz w:val="21"/>
          <w:szCs w:val="21"/>
          <w:highlight w:val="none"/>
          <w:lang w:eastAsia="zh-CN"/>
        </w:rPr>
        <w:t>。</w:t>
      </w:r>
    </w:p>
    <w:p w14:paraId="2704E869">
      <w:pPr>
        <w:keepNext w:val="0"/>
        <w:keepLines w:val="0"/>
        <w:pageBreakBefore w:val="0"/>
        <w:kinsoku/>
        <w:wordWrap/>
        <w:overflowPunct/>
        <w:topLinePunct w:val="0"/>
        <w:autoSpaceDE/>
        <w:autoSpaceDN/>
        <w:bidi w:val="0"/>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lang w:val="en-US" w:eastAsia="zh-CN"/>
        </w:rPr>
        <w:t>16、</w:t>
      </w:r>
      <w:r>
        <w:rPr>
          <w:rFonts w:hint="eastAsia" w:ascii="宋体" w:hAnsi="宋体" w:eastAsia="宋体" w:cs="宋体"/>
          <w:color w:val="000000"/>
          <w:sz w:val="21"/>
          <w:szCs w:val="21"/>
          <w:highlight w:val="none"/>
        </w:rPr>
        <w:t>乙方在施工中发生生产安全事故、职业病危害事故，在场人员必须及时组织抢救伤员和保护事故现场，并立即上报甲方。配合甲方进行事故调查，根据调查结果认定的责任接受处罚。</w:t>
      </w:r>
    </w:p>
    <w:p w14:paraId="06F7E7CD">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第八条  保密</w:t>
      </w:r>
    </w:p>
    <w:p w14:paraId="42E93A9B">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1、在合同履行期间，乙方所获得的图纸资料及在施工过程中所取得的与履行合同有关的工作成果属甲方所有，乙方负有保密义务。未经甲方书面同意，乙方不得在合同期内或合同履行完毕后以任何方式泄露</w:t>
      </w:r>
      <w:r>
        <w:rPr>
          <w:rFonts w:hint="eastAsia" w:ascii="宋体" w:hAnsi="宋体" w:eastAsia="宋体" w:cs="宋体"/>
          <w:sz w:val="21"/>
          <w:szCs w:val="21"/>
          <w:highlight w:val="none"/>
          <w:lang w:eastAsia="zh-CN"/>
        </w:rPr>
        <w:t>；</w:t>
      </w:r>
    </w:p>
    <w:p w14:paraId="4CA33518">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2、未经甲方书面同意，乙方不得把与合同有关的资料给出版社和新闻机构发表或学术引用，或者使用本合同任何部分进行促销和做广告宣传</w:t>
      </w:r>
      <w:r>
        <w:rPr>
          <w:rFonts w:hint="eastAsia" w:ascii="宋体" w:hAnsi="宋体" w:eastAsia="宋体" w:cs="宋体"/>
          <w:sz w:val="21"/>
          <w:szCs w:val="21"/>
          <w:highlight w:val="none"/>
          <w:lang w:eastAsia="zh-CN"/>
        </w:rPr>
        <w:t>；</w:t>
      </w:r>
    </w:p>
    <w:p w14:paraId="7AA94A50">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3、未经甲方书面同意，乙方不得应用本工程图纸资料</w:t>
      </w:r>
      <w:r>
        <w:rPr>
          <w:rFonts w:hint="eastAsia" w:ascii="宋体" w:hAnsi="宋体" w:eastAsia="宋体" w:cs="宋体"/>
          <w:sz w:val="21"/>
          <w:szCs w:val="21"/>
          <w:highlight w:val="none"/>
          <w:lang w:eastAsia="zh-CN"/>
        </w:rPr>
        <w:t>；</w:t>
      </w:r>
    </w:p>
    <w:p w14:paraId="29983E52">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4、对于乙方使用的新技术和新方法，甲方负有保密义务，未经乙方书面同意，不得以任何方式泄露</w:t>
      </w:r>
      <w:r>
        <w:rPr>
          <w:rFonts w:hint="eastAsia" w:ascii="宋体" w:hAnsi="宋体" w:eastAsia="宋体" w:cs="宋体"/>
          <w:sz w:val="21"/>
          <w:szCs w:val="21"/>
          <w:highlight w:val="none"/>
          <w:lang w:eastAsia="zh-CN"/>
        </w:rPr>
        <w:t>；</w:t>
      </w:r>
    </w:p>
    <w:p w14:paraId="3D28B140">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5、本合同的保密条款在合同解除或终止后，保密资料依法定途径公开前，同样具有约束力。</w:t>
      </w:r>
    </w:p>
    <w:p w14:paraId="0877D953">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第九条 合同解除</w:t>
      </w:r>
    </w:p>
    <w:p w14:paraId="5DEA304D">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1、乙方有下列情形的，甲方有权解除合同：</w:t>
      </w:r>
    </w:p>
    <w:p w14:paraId="021800BE">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未</w:t>
      </w:r>
      <w:r>
        <w:rPr>
          <w:rFonts w:hint="eastAsia" w:ascii="宋体" w:hAnsi="宋体" w:eastAsia="宋体" w:cs="宋体"/>
          <w:sz w:val="21"/>
          <w:szCs w:val="21"/>
          <w:highlight w:val="none"/>
        </w:rPr>
        <w:t>按设计规范要求施工，</w:t>
      </w:r>
      <w:r>
        <w:rPr>
          <w:rFonts w:hint="eastAsia" w:ascii="宋体" w:hAnsi="宋体" w:eastAsia="宋体" w:cs="宋体"/>
          <w:sz w:val="21"/>
          <w:szCs w:val="21"/>
          <w:highlight w:val="none"/>
          <w:lang w:eastAsia="zh-CN"/>
        </w:rPr>
        <w:t>甲方或</w:t>
      </w:r>
      <w:r>
        <w:rPr>
          <w:rFonts w:hint="eastAsia" w:ascii="宋体" w:hAnsi="宋体" w:eastAsia="宋体" w:cs="宋体"/>
          <w:sz w:val="21"/>
          <w:szCs w:val="21"/>
          <w:highlight w:val="none"/>
        </w:rPr>
        <w:t>监理下发整改通知达三次的；</w:t>
      </w:r>
    </w:p>
    <w:p w14:paraId="46E24F6D">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）发生重大工伤事故，或发生工伤事故后不及时处理影响工程进度或受害人向甲方主张权利的；</w:t>
      </w:r>
    </w:p>
    <w:p w14:paraId="6E433B43">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）拖欠材料、人工费用不及时处理，致使相关人员向甲方主张权利的。</w:t>
      </w:r>
    </w:p>
    <w:p w14:paraId="0F6B1EE6">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2、甲方</w:t>
      </w:r>
      <w:r>
        <w:rPr>
          <w:rFonts w:hint="eastAsia" w:ascii="宋体" w:hAnsi="宋体" w:eastAsia="宋体" w:cs="宋体"/>
          <w:sz w:val="21"/>
          <w:szCs w:val="21"/>
          <w:highlight w:val="none"/>
          <w:lang w:eastAsia="zh-CN"/>
        </w:rPr>
        <w:t>未</w:t>
      </w:r>
      <w:r>
        <w:rPr>
          <w:rFonts w:hint="eastAsia" w:ascii="宋体" w:hAnsi="宋体" w:eastAsia="宋体" w:cs="宋体"/>
          <w:sz w:val="21"/>
          <w:szCs w:val="21"/>
          <w:highlight w:val="none"/>
        </w:rPr>
        <w:t>按合同要求拨付工程款的，乙方有权解除合同。</w:t>
      </w:r>
    </w:p>
    <w:p w14:paraId="1EEC6A53">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3、乙方应在甲方解除合同</w:t>
      </w:r>
      <w:r>
        <w:rPr>
          <w:rFonts w:hint="eastAsia" w:ascii="宋体" w:hAnsi="宋体" w:eastAsia="宋体" w:cs="宋体"/>
          <w:sz w:val="21"/>
          <w:szCs w:val="21"/>
          <w:highlight w:val="none"/>
          <w:u w:val="single"/>
          <w:lang w:val="en-US" w:eastAsia="zh-CN"/>
        </w:rPr>
        <w:t xml:space="preserve">  5  </w:t>
      </w:r>
      <w:r>
        <w:rPr>
          <w:rFonts w:hint="eastAsia" w:ascii="宋体" w:hAnsi="宋体" w:eastAsia="宋体" w:cs="宋体"/>
          <w:sz w:val="21"/>
          <w:szCs w:val="21"/>
          <w:highlight w:val="none"/>
        </w:rPr>
        <w:t>日内清场，乙方自愿按总工程价款的</w:t>
      </w:r>
      <w:r>
        <w:rPr>
          <w:rFonts w:hint="eastAsia" w:ascii="宋体" w:hAnsi="宋体" w:eastAsia="宋体" w:cs="宋体"/>
          <w:sz w:val="21"/>
          <w:szCs w:val="21"/>
          <w:highlight w:val="none"/>
          <w:u w:val="single"/>
          <w:lang w:val="en-US" w:eastAsia="zh-CN"/>
        </w:rPr>
        <w:t xml:space="preserve">  5%  </w:t>
      </w:r>
      <w:r>
        <w:rPr>
          <w:rFonts w:hint="eastAsia" w:ascii="宋体" w:hAnsi="宋体" w:eastAsia="宋体" w:cs="宋体"/>
          <w:sz w:val="21"/>
          <w:szCs w:val="21"/>
          <w:highlight w:val="none"/>
        </w:rPr>
        <w:t>作为违约金支付给甲方</w:t>
      </w:r>
      <w:r>
        <w:rPr>
          <w:rFonts w:hint="eastAsia" w:ascii="宋体" w:hAnsi="宋体" w:eastAsia="宋体" w:cs="宋体"/>
          <w:sz w:val="21"/>
          <w:szCs w:val="21"/>
          <w:highlight w:val="none"/>
          <w:lang w:eastAsia="zh-CN"/>
        </w:rPr>
        <w:t>，并不予退还履约保证金。</w:t>
      </w:r>
    </w:p>
    <w:p w14:paraId="0B5EA33B">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第十条 违约责任</w:t>
      </w:r>
    </w:p>
    <w:p w14:paraId="50536C1E">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甲、乙双方本着诚实信用的原则履行本协议，任何一方违反上述条款，致使本合同不能履行或者履行瑕疵的，都应承担相应的违约责任。</w:t>
      </w:r>
    </w:p>
    <w:p w14:paraId="40F76863">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第十一条 解决争议的方法</w:t>
      </w:r>
    </w:p>
    <w:p w14:paraId="5E1D5E09">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本合同属建设工程施工合同，因履行本合同所产生的纠纷属不动产纠纷，应由项目所在地人民法院予以管辖。</w:t>
      </w:r>
    </w:p>
    <w:p w14:paraId="56B0B72F">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第十二条 组成分包合同的文件</w:t>
      </w:r>
    </w:p>
    <w:p w14:paraId="7972AA3A">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1、本合同；</w:t>
      </w:r>
    </w:p>
    <w:p w14:paraId="0971DE1B">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2、成交（中标）通知书；</w:t>
      </w:r>
    </w:p>
    <w:p w14:paraId="14AA0071">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 xml:space="preserve">3、《 </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lang w:eastAsia="zh-CN"/>
        </w:rPr>
        <w:t>竞争性比选公告》；</w:t>
      </w:r>
    </w:p>
    <w:p w14:paraId="2D99843D">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4、乙方对《</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lang w:eastAsia="zh-CN"/>
        </w:rPr>
        <w:t>竞争性比选公告》的响应文件。</w:t>
      </w:r>
    </w:p>
    <w:p w14:paraId="3EF4CA7B">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第十三条  合同生效与终止</w:t>
      </w:r>
    </w:p>
    <w:p w14:paraId="6053BE84">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本合同一式陆份，甲方肆份，乙方贰份，</w:t>
      </w:r>
      <w:r>
        <w:rPr>
          <w:rFonts w:hint="eastAsia" w:ascii="宋体" w:hAnsi="宋体" w:eastAsia="宋体" w:cs="宋体"/>
          <w:sz w:val="21"/>
          <w:szCs w:val="21"/>
          <w:highlight w:val="none"/>
          <w:lang w:val="en-US" w:eastAsia="zh-CN"/>
        </w:rPr>
        <w:t>自双方签字盖章后生效；待工程质量保修期满、工程款付清后自行终止。</w:t>
      </w:r>
    </w:p>
    <w:p w14:paraId="1A897D0E">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2、本合同未尽事宜，双方另行协商解决并根据实际和需要签订补充协议，补充协议和本合同具有同等的法律效力。</w:t>
      </w:r>
    </w:p>
    <w:p w14:paraId="3C1CFE77">
      <w:pPr>
        <w:keepNext w:val="0"/>
        <w:keepLines w:val="0"/>
        <w:pageBreakBefore w:val="0"/>
        <w:widowControl w:val="0"/>
        <w:kinsoku/>
        <w:wordWrap/>
        <w:overflowPunct/>
        <w:topLinePunct w:val="0"/>
        <w:autoSpaceDE/>
        <w:autoSpaceDN/>
        <w:bidi w:val="0"/>
        <w:adjustRightInd/>
        <w:snapToGrid/>
        <w:spacing w:line="380" w:lineRule="exact"/>
        <w:ind w:left="0" w:leftChars="0"/>
        <w:textAlignment w:val="auto"/>
        <w:rPr>
          <w:rFonts w:hint="eastAsia" w:ascii="宋体" w:hAnsi="宋体" w:eastAsia="宋体" w:cs="宋体"/>
          <w:sz w:val="21"/>
          <w:szCs w:val="21"/>
          <w:highlight w:val="none"/>
          <w:lang w:val="en-US" w:eastAsia="zh-CN"/>
        </w:rPr>
      </w:pPr>
    </w:p>
    <w:p w14:paraId="44C9EF61">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left"/>
        <w:textAlignment w:val="auto"/>
        <w:rPr>
          <w:rFonts w:hint="eastAsia" w:ascii="宋体" w:hAnsi="宋体" w:eastAsia="宋体" w:cs="宋体"/>
          <w:b/>
          <w:bCs/>
          <w:sz w:val="21"/>
          <w:szCs w:val="21"/>
          <w:highlight w:val="none"/>
          <w:lang w:val="zh-TW" w:eastAsia="zh-TW"/>
        </w:rPr>
      </w:pPr>
      <w:r>
        <w:rPr>
          <w:rFonts w:hint="eastAsia" w:ascii="宋体" w:hAnsi="宋体" w:eastAsia="宋体" w:cs="宋体"/>
          <w:b/>
          <w:bCs/>
          <w:sz w:val="21"/>
          <w:szCs w:val="21"/>
          <w:highlight w:val="none"/>
          <w:lang w:val="zh-TW" w:eastAsia="zh-TW"/>
        </w:rPr>
        <w:t>甲方单位名称（章）</w:t>
      </w:r>
      <w:r>
        <w:rPr>
          <w:rFonts w:hint="eastAsia" w:ascii="宋体" w:hAnsi="宋体" w:eastAsia="宋体" w:cs="宋体"/>
          <w:b/>
          <w:bCs/>
          <w:sz w:val="21"/>
          <w:szCs w:val="21"/>
          <w:highlight w:val="none"/>
          <w:lang w:val="zh-TW" w:eastAsia="zh-CN"/>
        </w:rPr>
        <w:t>：</w:t>
      </w:r>
      <w:r>
        <w:rPr>
          <w:rFonts w:hint="eastAsia" w:ascii="宋体" w:hAnsi="宋体" w:eastAsia="宋体" w:cs="宋体"/>
          <w:b/>
          <w:bCs/>
          <w:sz w:val="21"/>
          <w:szCs w:val="21"/>
          <w:highlight w:val="none"/>
          <w:lang w:val="en-US" w:eastAsia="zh-CN"/>
        </w:rPr>
        <w:t xml:space="preserve">              </w:t>
      </w:r>
      <w:r>
        <w:rPr>
          <w:rFonts w:hint="eastAsia" w:ascii="宋体" w:hAnsi="宋体" w:eastAsia="宋体" w:cs="宋体"/>
          <w:b/>
          <w:bCs/>
          <w:sz w:val="21"/>
          <w:szCs w:val="21"/>
          <w:highlight w:val="none"/>
          <w:lang w:val="zh-TW" w:eastAsia="zh-TW"/>
        </w:rPr>
        <w:t>乙方单位名称（章）：</w:t>
      </w:r>
    </w:p>
    <w:p w14:paraId="44232C67">
      <w:pPr>
        <w:keepNext w:val="0"/>
        <w:keepLines w:val="0"/>
        <w:pageBreakBefore w:val="0"/>
        <w:widowControl w:val="0"/>
        <w:kinsoku/>
        <w:wordWrap/>
        <w:overflowPunct/>
        <w:topLinePunct w:val="0"/>
        <w:autoSpaceDE/>
        <w:autoSpaceDN/>
        <w:bidi w:val="0"/>
        <w:adjustRightInd/>
        <w:snapToGrid/>
        <w:spacing w:line="380" w:lineRule="exact"/>
        <w:ind w:right="0" w:rightChars="0"/>
        <w:jc w:val="left"/>
        <w:textAlignment w:val="auto"/>
        <w:rPr>
          <w:rFonts w:hint="eastAsia" w:ascii="宋体" w:hAnsi="宋体" w:eastAsia="宋体" w:cs="宋体"/>
          <w:b/>
          <w:bCs/>
          <w:sz w:val="21"/>
          <w:szCs w:val="21"/>
          <w:highlight w:val="none"/>
          <w:u w:val="none"/>
          <w:lang w:val="zh-TW" w:eastAsia="zh-TW"/>
        </w:rPr>
      </w:pPr>
      <w:r>
        <w:rPr>
          <w:rFonts w:hint="eastAsia" w:ascii="宋体" w:hAnsi="宋体" w:eastAsia="宋体" w:cs="宋体"/>
          <w:b/>
          <w:bCs/>
          <w:sz w:val="21"/>
          <w:szCs w:val="21"/>
          <w:highlight w:val="none"/>
          <w:u w:val="none"/>
          <w:lang w:eastAsia="zh-CN"/>
        </w:rPr>
        <w:t>垫江县小厦建筑有限公司</w:t>
      </w:r>
      <w:r>
        <w:rPr>
          <w:rFonts w:hint="eastAsia" w:ascii="宋体" w:hAnsi="宋体" w:eastAsia="宋体" w:cs="宋体"/>
          <w:b/>
          <w:bCs/>
          <w:sz w:val="21"/>
          <w:szCs w:val="21"/>
          <w:highlight w:val="none"/>
          <w:u w:val="none"/>
          <w:lang w:val="en-US" w:eastAsia="zh-CN"/>
        </w:rPr>
        <w:t xml:space="preserve">  </w:t>
      </w:r>
    </w:p>
    <w:p w14:paraId="23859ECC">
      <w:pPr>
        <w:keepNext w:val="0"/>
        <w:keepLines w:val="0"/>
        <w:pageBreakBefore w:val="0"/>
        <w:kinsoku/>
        <w:wordWrap/>
        <w:overflowPunct/>
        <w:topLinePunct w:val="0"/>
        <w:autoSpaceDE/>
        <w:autoSpaceDN/>
        <w:bidi w:val="0"/>
        <w:spacing w:line="380" w:lineRule="exact"/>
        <w:ind w:left="0" w:leftChars="0"/>
        <w:textAlignment w:val="auto"/>
        <w:rPr>
          <w:rFonts w:hint="eastAsia" w:ascii="宋体" w:hAnsi="宋体" w:eastAsia="宋体" w:cs="宋体"/>
          <w:b/>
          <w:bCs/>
          <w:color w:val="000000"/>
          <w:sz w:val="21"/>
          <w:szCs w:val="21"/>
          <w:highlight w:val="none"/>
        </w:rPr>
      </w:pPr>
    </w:p>
    <w:p w14:paraId="7DE8579A">
      <w:pPr>
        <w:keepNext w:val="0"/>
        <w:keepLines w:val="0"/>
        <w:pageBreakBefore w:val="0"/>
        <w:kinsoku/>
        <w:wordWrap/>
        <w:overflowPunct/>
        <w:topLinePunct w:val="0"/>
        <w:autoSpaceDE/>
        <w:autoSpaceDN/>
        <w:bidi w:val="0"/>
        <w:spacing w:line="380" w:lineRule="exact"/>
        <w:ind w:left="0" w:left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color w:val="000000"/>
          <w:sz w:val="21"/>
          <w:szCs w:val="21"/>
          <w:highlight w:val="none"/>
        </w:rPr>
        <w:t xml:space="preserve">法定代表人(或授权委托人) :       </w:t>
      </w:r>
      <w:r>
        <w:rPr>
          <w:rFonts w:hint="eastAsia" w:ascii="宋体" w:hAnsi="宋体" w:eastAsia="宋体" w:cs="宋体"/>
          <w:b/>
          <w:bCs/>
          <w:color w:val="000000"/>
          <w:sz w:val="21"/>
          <w:szCs w:val="21"/>
          <w:highlight w:val="none"/>
          <w:lang w:val="en-US" w:eastAsia="zh-CN"/>
        </w:rPr>
        <w:t xml:space="preserve"> </w:t>
      </w:r>
      <w:r>
        <w:rPr>
          <w:rFonts w:hint="eastAsia" w:ascii="宋体" w:hAnsi="宋体" w:eastAsia="宋体" w:cs="宋体"/>
          <w:b/>
          <w:bCs/>
          <w:color w:val="000000"/>
          <w:sz w:val="21"/>
          <w:szCs w:val="21"/>
          <w:highlight w:val="none"/>
        </w:rPr>
        <w:t>法定代表人 (或授权委托人)</w:t>
      </w:r>
      <w:r>
        <w:rPr>
          <w:rFonts w:hint="eastAsia" w:ascii="宋体" w:hAnsi="宋体" w:eastAsia="宋体" w:cs="宋体"/>
          <w:b/>
          <w:bCs/>
          <w:color w:val="000000"/>
          <w:sz w:val="21"/>
          <w:szCs w:val="21"/>
          <w:highlight w:val="none"/>
          <w:lang w:eastAsia="zh-CN"/>
        </w:rPr>
        <w:t>：</w:t>
      </w:r>
      <w:r>
        <w:rPr>
          <w:rFonts w:hint="eastAsia" w:ascii="宋体" w:hAnsi="宋体" w:eastAsia="宋体" w:cs="宋体"/>
          <w:b/>
          <w:bCs/>
          <w:sz w:val="21"/>
          <w:szCs w:val="21"/>
          <w:highlight w:val="none"/>
          <w:lang w:val="en-US" w:eastAsia="zh-CN"/>
        </w:rPr>
        <w:t xml:space="preserve">                  </w:t>
      </w:r>
    </w:p>
    <w:p w14:paraId="7E20634E">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left"/>
        <w:textAlignment w:val="auto"/>
        <w:rPr>
          <w:rFonts w:hint="eastAsia" w:ascii="宋体" w:hAnsi="宋体" w:eastAsia="宋体" w:cs="宋体"/>
          <w:b/>
          <w:bCs/>
          <w:sz w:val="21"/>
          <w:szCs w:val="21"/>
          <w:highlight w:val="none"/>
          <w:lang w:val="en-US" w:eastAsia="zh-CN"/>
        </w:rPr>
      </w:pPr>
    </w:p>
    <w:p w14:paraId="507B717A">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经  办  人：                     经  办  人：</w:t>
      </w:r>
    </w:p>
    <w:p w14:paraId="641FFB3A">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left"/>
        <w:textAlignment w:val="auto"/>
        <w:rPr>
          <w:rFonts w:hint="eastAsia" w:ascii="宋体" w:hAnsi="宋体" w:eastAsia="宋体" w:cs="宋体"/>
          <w:b/>
          <w:bCs/>
          <w:sz w:val="21"/>
          <w:szCs w:val="21"/>
          <w:highlight w:val="none"/>
          <w:lang w:val="zh-TW" w:eastAsia="zh-TW"/>
        </w:rPr>
      </w:pPr>
    </w:p>
    <w:p w14:paraId="7D6F5B8B">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zh-TW" w:eastAsia="zh-TW"/>
        </w:rPr>
        <w:t>开户银行：</w:t>
      </w:r>
      <w:r>
        <w:rPr>
          <w:rFonts w:hint="eastAsia" w:ascii="宋体" w:hAnsi="宋体" w:eastAsia="宋体" w:cs="宋体"/>
          <w:b/>
          <w:bCs/>
          <w:sz w:val="21"/>
          <w:szCs w:val="21"/>
          <w:highlight w:val="none"/>
          <w:lang w:val="en-US" w:eastAsia="zh-CN"/>
        </w:rPr>
        <w:t xml:space="preserve">                       </w:t>
      </w:r>
      <w:r>
        <w:rPr>
          <w:rFonts w:hint="eastAsia" w:ascii="宋体" w:hAnsi="宋体" w:eastAsia="宋体" w:cs="宋体"/>
          <w:b/>
          <w:bCs/>
          <w:sz w:val="21"/>
          <w:szCs w:val="21"/>
          <w:highlight w:val="none"/>
          <w:lang w:val="zh-TW" w:eastAsia="zh-TW"/>
        </w:rPr>
        <w:t>开户银行：</w:t>
      </w:r>
    </w:p>
    <w:p w14:paraId="6DD7C21C">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left"/>
        <w:textAlignment w:val="auto"/>
        <w:rPr>
          <w:rFonts w:hint="eastAsia" w:ascii="宋体" w:hAnsi="宋体" w:eastAsia="宋体" w:cs="宋体"/>
          <w:b/>
          <w:bCs/>
          <w:sz w:val="21"/>
          <w:szCs w:val="21"/>
          <w:highlight w:val="none"/>
          <w:lang w:val="zh-TW" w:eastAsia="zh-TW"/>
        </w:rPr>
      </w:pPr>
    </w:p>
    <w:p w14:paraId="19040E2F">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left"/>
        <w:textAlignment w:val="auto"/>
        <w:rPr>
          <w:rFonts w:hint="eastAsia" w:ascii="宋体" w:hAnsi="宋体" w:eastAsia="宋体" w:cs="宋体"/>
          <w:b/>
          <w:bCs/>
          <w:sz w:val="21"/>
          <w:szCs w:val="21"/>
          <w:highlight w:val="none"/>
          <w:lang w:eastAsia="zh-TW"/>
        </w:rPr>
      </w:pPr>
      <w:r>
        <w:rPr>
          <w:rFonts w:hint="eastAsia" w:ascii="宋体" w:hAnsi="宋体" w:eastAsia="宋体" w:cs="宋体"/>
          <w:b/>
          <w:bCs/>
          <w:sz w:val="21"/>
          <w:szCs w:val="21"/>
          <w:highlight w:val="none"/>
          <w:lang w:val="zh-TW" w:eastAsia="zh-TW"/>
        </w:rPr>
        <w:t xml:space="preserve">账号： </w:t>
      </w:r>
      <w:r>
        <w:rPr>
          <w:rFonts w:hint="eastAsia" w:ascii="宋体" w:hAnsi="宋体" w:eastAsia="宋体" w:cs="宋体"/>
          <w:b/>
          <w:bCs/>
          <w:sz w:val="21"/>
          <w:szCs w:val="21"/>
          <w:highlight w:val="none"/>
          <w:lang w:val="en-US" w:eastAsia="zh-CN"/>
        </w:rPr>
        <w:t xml:space="preserve">                          </w:t>
      </w:r>
      <w:r>
        <w:rPr>
          <w:rFonts w:hint="eastAsia" w:ascii="宋体" w:hAnsi="宋体" w:eastAsia="宋体" w:cs="宋体"/>
          <w:b/>
          <w:bCs/>
          <w:sz w:val="21"/>
          <w:szCs w:val="21"/>
          <w:highlight w:val="none"/>
          <w:lang w:val="zh-TW" w:eastAsia="zh-TW"/>
        </w:rPr>
        <w:t xml:space="preserve">账号： </w:t>
      </w:r>
    </w:p>
    <w:p w14:paraId="34B98B75">
      <w:pPr>
        <w:keepNext w:val="0"/>
        <w:keepLines w:val="0"/>
        <w:pageBreakBefore w:val="0"/>
        <w:widowControl w:val="0"/>
        <w:kinsoku/>
        <w:wordWrap/>
        <w:overflowPunct/>
        <w:topLinePunct w:val="0"/>
        <w:autoSpaceDE/>
        <w:autoSpaceDN/>
        <w:bidi w:val="0"/>
        <w:adjustRightInd/>
        <w:snapToGrid/>
        <w:spacing w:line="380" w:lineRule="exact"/>
        <w:ind w:right="0" w:rightChars="0"/>
        <w:jc w:val="left"/>
        <w:textAlignment w:val="auto"/>
        <w:rPr>
          <w:rFonts w:hint="eastAsia" w:ascii="宋体" w:hAnsi="宋体" w:eastAsia="宋体" w:cs="宋体"/>
          <w:b/>
          <w:bCs/>
          <w:sz w:val="21"/>
          <w:szCs w:val="21"/>
          <w:highlight w:val="none"/>
          <w:lang w:val="en-US" w:eastAsia="zh-CN"/>
        </w:rPr>
      </w:pPr>
    </w:p>
    <w:p w14:paraId="472F9984">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签订时间：      年     月      日</w:t>
      </w:r>
    </w:p>
    <w:p w14:paraId="35F4D434">
      <w:pPr>
        <w:keepNext w:val="0"/>
        <w:keepLines w:val="0"/>
        <w:pageBreakBefore w:val="0"/>
        <w:kinsoku/>
        <w:wordWrap/>
        <w:overflowPunct/>
        <w:topLinePunct w:val="0"/>
        <w:autoSpaceDE/>
        <w:autoSpaceDN/>
        <w:bidi w:val="0"/>
        <w:spacing w:line="380" w:lineRule="exact"/>
        <w:ind w:left="0" w:left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附件1：工程量报价清单</w:t>
      </w:r>
    </w:p>
    <w:p w14:paraId="20D49CFB">
      <w:pPr>
        <w:rPr>
          <w:rFonts w:hint="eastAsia" w:ascii="宋体" w:hAnsi="宋体" w:eastAsia="宋体" w:cs="宋体"/>
          <w:b/>
          <w:bCs/>
          <w:sz w:val="21"/>
          <w:szCs w:val="21"/>
          <w:highlight w:val="none"/>
          <w:lang w:val="en-US" w:eastAsia="zh-CN"/>
        </w:rPr>
      </w:pPr>
    </w:p>
    <w:p w14:paraId="3CF3C255">
      <w:pPr>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br w:type="page"/>
      </w:r>
    </w:p>
    <w:p w14:paraId="3E7B4553">
      <w:pPr>
        <w:pStyle w:val="4"/>
        <w:numPr>
          <w:ilvl w:val="2"/>
          <w:numId w:val="0"/>
        </w:numPr>
        <w:ind w:leftChars="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附件2：</w:t>
      </w:r>
    </w:p>
    <w:p w14:paraId="45F84796">
      <w:pPr>
        <w:keepNext w:val="0"/>
        <w:keepLines w:val="0"/>
        <w:pageBreakBefore w:val="0"/>
        <w:widowControl w:val="0"/>
        <w:kinsoku/>
        <w:wordWrap/>
        <w:overflowPunct/>
        <w:topLinePunct w:val="0"/>
        <w:autoSpaceDE/>
        <w:autoSpaceDN/>
        <w:bidi w:val="0"/>
        <w:spacing w:line="560" w:lineRule="exact"/>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廉洁合作承诺书</w:t>
      </w:r>
    </w:p>
    <w:p w14:paraId="0DD5EF13">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sz w:val="21"/>
          <w:szCs w:val="21"/>
          <w:highlight w:val="none"/>
        </w:rPr>
      </w:pPr>
    </w:p>
    <w:p w14:paraId="76B14591">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rPr>
        <w:t>甲</w:t>
      </w:r>
      <w:r>
        <w:rPr>
          <w:rFonts w:hint="eastAsia" w:ascii="宋体" w:hAnsi="宋体" w:eastAsia="宋体" w:cs="宋体"/>
          <w:b/>
          <w:bCs/>
          <w:sz w:val="21"/>
          <w:szCs w:val="21"/>
          <w:highlight w:val="none"/>
          <w:lang w:val="en-US" w:eastAsia="zh-CN"/>
        </w:rPr>
        <w:t xml:space="preserve">   </w:t>
      </w:r>
      <w:r>
        <w:rPr>
          <w:rFonts w:hint="eastAsia" w:ascii="宋体" w:hAnsi="宋体" w:eastAsia="宋体" w:cs="宋体"/>
          <w:b/>
          <w:bCs/>
          <w:sz w:val="21"/>
          <w:szCs w:val="21"/>
          <w:highlight w:val="none"/>
        </w:rPr>
        <w:t>方：</w:t>
      </w:r>
      <w:r>
        <w:rPr>
          <w:rFonts w:hint="eastAsia" w:ascii="宋体" w:hAnsi="宋体" w:eastAsia="宋体" w:cs="宋体"/>
          <w:b/>
          <w:bCs/>
          <w:sz w:val="21"/>
          <w:szCs w:val="21"/>
          <w:highlight w:val="none"/>
          <w:u w:val="single"/>
          <w:lang w:val="en-US" w:eastAsia="zh-CN"/>
        </w:rPr>
        <w:t>垫江县小厦建筑有限公司</w:t>
      </w:r>
    </w:p>
    <w:p w14:paraId="516E9B0C">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b w:val="0"/>
          <w:bCs w:val="0"/>
          <w:sz w:val="21"/>
          <w:szCs w:val="21"/>
          <w:highlight w:val="none"/>
          <w:u w:val="single"/>
          <w:lang w:val="en-US" w:eastAsia="zh-CN"/>
        </w:rPr>
      </w:pPr>
      <w:r>
        <w:rPr>
          <w:rFonts w:hint="eastAsia" w:ascii="宋体" w:hAnsi="宋体" w:eastAsia="宋体" w:cs="宋体"/>
          <w:b/>
          <w:bCs/>
          <w:sz w:val="21"/>
          <w:szCs w:val="21"/>
          <w:highlight w:val="none"/>
        </w:rPr>
        <w:t>乙</w:t>
      </w:r>
      <w:r>
        <w:rPr>
          <w:rFonts w:hint="eastAsia" w:ascii="宋体" w:hAnsi="宋体" w:eastAsia="宋体" w:cs="宋体"/>
          <w:b/>
          <w:bCs/>
          <w:sz w:val="21"/>
          <w:szCs w:val="21"/>
          <w:highlight w:val="none"/>
          <w:lang w:val="en-US" w:eastAsia="zh-CN"/>
        </w:rPr>
        <w:t xml:space="preserve">   </w:t>
      </w:r>
      <w:r>
        <w:rPr>
          <w:rFonts w:hint="eastAsia" w:ascii="宋体" w:hAnsi="宋体" w:eastAsia="宋体" w:cs="宋体"/>
          <w:b/>
          <w:bCs/>
          <w:sz w:val="21"/>
          <w:szCs w:val="21"/>
          <w:highlight w:val="none"/>
        </w:rPr>
        <w:t>方</w:t>
      </w:r>
      <w:r>
        <w:rPr>
          <w:rFonts w:hint="eastAsia" w:ascii="宋体" w:hAnsi="宋体" w:eastAsia="宋体" w:cs="宋体"/>
          <w:b/>
          <w:bCs/>
          <w:sz w:val="21"/>
          <w:szCs w:val="21"/>
          <w:highlight w:val="none"/>
          <w:lang w:eastAsia="zh-CN"/>
        </w:rPr>
        <w:t>：</w:t>
      </w:r>
      <w:r>
        <w:rPr>
          <w:rFonts w:hint="eastAsia" w:ascii="宋体" w:hAnsi="宋体" w:eastAsia="宋体" w:cs="宋体"/>
          <w:b w:val="0"/>
          <w:bCs w:val="0"/>
          <w:sz w:val="21"/>
          <w:szCs w:val="21"/>
          <w:highlight w:val="none"/>
          <w:u w:val="single"/>
          <w:lang w:val="en-US" w:eastAsia="zh-CN"/>
        </w:rPr>
        <w:t xml:space="preserve">                       </w:t>
      </w:r>
    </w:p>
    <w:p w14:paraId="160B4EB9">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sz w:val="21"/>
          <w:szCs w:val="21"/>
          <w:highlight w:val="none"/>
          <w:u w:val="single"/>
          <w:lang w:val="en-US" w:eastAsia="zh-CN"/>
        </w:rPr>
      </w:pPr>
      <w:r>
        <w:rPr>
          <w:rFonts w:hint="eastAsia" w:ascii="宋体" w:hAnsi="宋体" w:eastAsia="宋体" w:cs="宋体"/>
          <w:b/>
          <w:bCs/>
          <w:sz w:val="21"/>
          <w:szCs w:val="21"/>
          <w:highlight w:val="none"/>
        </w:rPr>
        <w:t>项目名称：</w:t>
      </w:r>
      <w:r>
        <w:rPr>
          <w:rFonts w:hint="eastAsia" w:ascii="宋体" w:hAnsi="宋体" w:eastAsia="宋体" w:cs="宋体"/>
          <w:sz w:val="21"/>
          <w:szCs w:val="21"/>
          <w:highlight w:val="none"/>
          <w:u w:val="single"/>
          <w:lang w:val="en-US" w:eastAsia="zh-CN"/>
        </w:rPr>
        <w:t xml:space="preserve">                      </w:t>
      </w:r>
    </w:p>
    <w:p w14:paraId="5CD5D3F8">
      <w:pPr>
        <w:pStyle w:val="71"/>
        <w:rPr>
          <w:rFonts w:hint="eastAsia" w:ascii="宋体" w:hAnsi="宋体" w:eastAsia="宋体" w:cs="宋体"/>
          <w:sz w:val="21"/>
          <w:szCs w:val="21"/>
          <w:highlight w:val="none"/>
          <w:lang w:val="en-US"/>
        </w:rPr>
      </w:pPr>
    </w:p>
    <w:p w14:paraId="0148FDAB">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为促进甲乙双方在涉及资金、资产、货物、股权、知识产权等商务、工程及经济往来事项的合作中保障相关人员依法履职、秉公办事、廉洁用权，构建清清爽爽、干干净净的合作关系，旗帜鲜明反腐败，推动</w:t>
      </w:r>
      <w:r>
        <w:rPr>
          <w:rFonts w:hint="eastAsia" w:ascii="宋体" w:hAnsi="宋体" w:cs="宋体"/>
          <w:sz w:val="21"/>
          <w:szCs w:val="21"/>
          <w:highlight w:val="none"/>
          <w:lang w:eastAsia="zh-CN"/>
        </w:rPr>
        <w:t>廉政建设</w:t>
      </w:r>
      <w:r>
        <w:rPr>
          <w:rFonts w:hint="eastAsia" w:ascii="宋体" w:hAnsi="宋体" w:eastAsia="宋体" w:cs="宋体"/>
          <w:sz w:val="21"/>
          <w:szCs w:val="21"/>
          <w:highlight w:val="none"/>
        </w:rPr>
        <w:t>，根据有关法律法规规定，经甲乙双方商定，特作如下廉洁承诺，共同严格遵守。</w:t>
      </w:r>
    </w:p>
    <w:p w14:paraId="56E4015F">
      <w:pPr>
        <w:keepNext w:val="0"/>
        <w:keepLines w:val="0"/>
        <w:pageBreakBefore w:val="0"/>
        <w:widowControl w:val="0"/>
        <w:numPr>
          <w:ilvl w:val="0"/>
          <w:numId w:val="9"/>
        </w:numPr>
        <w:kinsoku/>
        <w:wordWrap/>
        <w:overflowPunct/>
        <w:topLinePunct w:val="0"/>
        <w:autoSpaceDE/>
        <w:autoSpaceDN/>
        <w:bidi w:val="0"/>
        <w:spacing w:line="560" w:lineRule="exact"/>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承诺主要内容</w:t>
      </w:r>
    </w:p>
    <w:p w14:paraId="7B9DA31E">
      <w:pPr>
        <w:keepNext w:val="0"/>
        <w:keepLines w:val="0"/>
        <w:pageBreakBefore w:val="0"/>
        <w:widowControl w:val="0"/>
        <w:numPr>
          <w:ilvl w:val="0"/>
          <w:numId w:val="0"/>
        </w:numPr>
        <w:kinsoku/>
        <w:wordWrap/>
        <w:overflowPunct/>
        <w:topLinePunct w:val="0"/>
        <w:autoSpaceDE/>
        <w:autoSpaceDN/>
        <w:bidi w:val="0"/>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甲乙双方人员（包含但不限于经办、协助和各级管理人员及其配偶、子女、亲属和其他特定关系人，下同）不得借商务、工程合作及经济往来事项之机谋取个人私利，承诺严禁下列行为：</w:t>
      </w:r>
    </w:p>
    <w:p w14:paraId="7B83C849">
      <w:pPr>
        <w:keepNext w:val="0"/>
        <w:keepLines w:val="0"/>
        <w:pageBreakBefore w:val="0"/>
        <w:widowControl w:val="0"/>
        <w:kinsoku/>
        <w:wordWrap/>
        <w:overflowPunct/>
        <w:topLinePunct w:val="0"/>
        <w:autoSpaceDE/>
        <w:autoSpaceDN/>
        <w:bidi w:val="0"/>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1.甲方人员不得借工作之机违规对乙方吃拿卡要报，严禁违规索取、收受或暗示乙方人员给予任何名目的钱物或好处。</w:t>
      </w:r>
    </w:p>
    <w:p w14:paraId="6B18DBC1">
      <w:pPr>
        <w:keepNext w:val="0"/>
        <w:keepLines w:val="0"/>
        <w:pageBreakBefore w:val="0"/>
        <w:widowControl w:val="0"/>
        <w:kinsoku/>
        <w:wordWrap/>
        <w:overflowPunct/>
        <w:topLinePunct w:val="0"/>
        <w:autoSpaceDE/>
        <w:autoSpaceDN/>
        <w:bidi w:val="0"/>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2.乙方人员严禁以任何名义违规向甲方人员赠（输）送影响职务或职权廉洁的钱物或好处，严禁违规向甲方人员提供吃喝玩乐等消费，或支付应由甲方人员私人承担的费用。</w:t>
      </w:r>
    </w:p>
    <w:p w14:paraId="682369D7">
      <w:pPr>
        <w:keepNext w:val="0"/>
        <w:keepLines w:val="0"/>
        <w:pageBreakBefore w:val="0"/>
        <w:widowControl w:val="0"/>
        <w:kinsoku/>
        <w:wordWrap/>
        <w:overflowPunct/>
        <w:topLinePunct w:val="0"/>
        <w:autoSpaceDE/>
        <w:autoSpaceDN/>
        <w:bidi w:val="0"/>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3.双方人员严禁私人资金借贷或违规借用对方物品。</w:t>
      </w:r>
    </w:p>
    <w:p w14:paraId="25F81ECA">
      <w:pPr>
        <w:keepNext w:val="0"/>
        <w:keepLines w:val="0"/>
        <w:pageBreakBefore w:val="0"/>
        <w:widowControl w:val="0"/>
        <w:numPr>
          <w:ilvl w:val="0"/>
          <w:numId w:val="0"/>
        </w:numPr>
        <w:kinsoku/>
        <w:wordWrap/>
        <w:overflowPunct/>
        <w:topLinePunct w:val="0"/>
        <w:autoSpaceDE/>
        <w:autoSpaceDN/>
        <w:bidi w:val="0"/>
        <w:spacing w:line="560" w:lineRule="exact"/>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二、违反承诺责任</w:t>
      </w:r>
    </w:p>
    <w:p w14:paraId="4A276819">
      <w:pPr>
        <w:keepNext w:val="0"/>
        <w:keepLines w:val="0"/>
        <w:pageBreakBefore w:val="0"/>
        <w:widowControl w:val="0"/>
        <w:kinsoku/>
        <w:wordWrap/>
        <w:overflowPunct/>
        <w:topLinePunct w:val="0"/>
        <w:autoSpaceDE/>
        <w:autoSpaceDN/>
        <w:bidi w:val="0"/>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甲乙双方若违反上述承诺，自愿接受如下责任和处理：</w:t>
      </w:r>
    </w:p>
    <w:p w14:paraId="797267FA">
      <w:pPr>
        <w:keepNext w:val="0"/>
        <w:keepLines w:val="0"/>
        <w:pageBreakBefore w:val="0"/>
        <w:widowControl w:val="0"/>
        <w:kinsoku/>
        <w:wordWrap/>
        <w:overflowPunct/>
        <w:topLinePunct w:val="0"/>
        <w:autoSpaceDE/>
        <w:autoSpaceDN/>
        <w:bidi w:val="0"/>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1.甲方人员违反上述承诺，由公司按照党纪党规、国家法律法规和单位规章制度予以经济处罚、组织处理、纪律处分或移送有关单位追究法律责任。</w:t>
      </w:r>
    </w:p>
    <w:p w14:paraId="4777CBCF">
      <w:pPr>
        <w:keepNext w:val="0"/>
        <w:keepLines w:val="0"/>
        <w:pageBreakBefore w:val="0"/>
        <w:widowControl w:val="0"/>
        <w:kinsoku/>
        <w:wordWrap/>
        <w:overflowPunct/>
        <w:topLinePunct w:val="0"/>
        <w:autoSpaceDE/>
        <w:autoSpaceDN/>
        <w:bidi w:val="0"/>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乙方违反上述承诺致甲方人员违纪违规或违法的，自愿同意按照双方合作事项总金额1%-5%的数目支付赔偿金给甲方，列入甲方黄色失信企业和人员，取消三年内与甲方业务合作资格；致甲方人员犯罪的，自愿同意按照双方合作事项总金额5%-10%的数目支付赔偿金给甲方，列入甲方黑色失信企业和人员，取消十年内与甲方业务合作资格。</w:t>
      </w:r>
    </w:p>
    <w:p w14:paraId="439DE3CF">
      <w:pPr>
        <w:keepNext w:val="0"/>
        <w:keepLines w:val="0"/>
        <w:pageBreakBefore w:val="0"/>
        <w:widowControl w:val="0"/>
        <w:kinsoku/>
        <w:wordWrap/>
        <w:overflowPunct/>
        <w:topLinePunct w:val="0"/>
        <w:autoSpaceDE/>
        <w:autoSpaceDN/>
        <w:bidi w:val="0"/>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3.双方有权向对方监督人员或上级主管部门举报其相关人员违反承诺的不廉洁行为，对方须严格保密，不得打击报复。</w:t>
      </w:r>
    </w:p>
    <w:p w14:paraId="5E3EA1FC">
      <w:pPr>
        <w:keepNext w:val="0"/>
        <w:keepLines w:val="0"/>
        <w:pageBreakBefore w:val="0"/>
        <w:widowControl w:val="0"/>
        <w:kinsoku/>
        <w:wordWrap/>
        <w:overflowPunct/>
        <w:topLinePunct w:val="0"/>
        <w:autoSpaceDE/>
        <w:autoSpaceDN/>
        <w:bidi w:val="0"/>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三、本承诺书一式4份，由甲乙双方及监督部门各留存1份。</w:t>
      </w:r>
    </w:p>
    <w:p w14:paraId="7FF57272">
      <w:pPr>
        <w:keepNext w:val="0"/>
        <w:keepLines w:val="0"/>
        <w:pageBreakBefore w:val="0"/>
        <w:widowControl w:val="0"/>
        <w:kinsoku/>
        <w:wordWrap/>
        <w:overflowPunct/>
        <w:topLinePunct w:val="0"/>
        <w:autoSpaceDE/>
        <w:autoSpaceDN/>
        <w:bidi w:val="0"/>
        <w:spacing w:line="560" w:lineRule="exact"/>
        <w:ind w:firstLine="420" w:firstLineChars="200"/>
        <w:textAlignment w:val="auto"/>
        <w:rPr>
          <w:rFonts w:hint="eastAsia" w:ascii="宋体" w:hAnsi="宋体" w:eastAsia="宋体" w:cs="宋体"/>
          <w:sz w:val="21"/>
          <w:szCs w:val="21"/>
          <w:highlight w:val="none"/>
        </w:rPr>
      </w:pPr>
    </w:p>
    <w:p w14:paraId="3F747E38">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甲方</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公章</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 xml:space="preserve">：                </w:t>
      </w:r>
      <w:r>
        <w:rPr>
          <w:rFonts w:hint="eastAsia" w:ascii="宋体" w:hAnsi="宋体" w:eastAsia="宋体" w:cs="宋体"/>
          <w:b/>
          <w:bCs/>
          <w:sz w:val="21"/>
          <w:szCs w:val="21"/>
          <w:highlight w:val="none"/>
          <w:lang w:val="en-US" w:eastAsia="zh-CN"/>
        </w:rPr>
        <w:t xml:space="preserve">          </w:t>
      </w:r>
      <w:r>
        <w:rPr>
          <w:rFonts w:hint="eastAsia" w:ascii="宋体" w:hAnsi="宋体" w:eastAsia="宋体" w:cs="宋体"/>
          <w:b/>
          <w:bCs/>
          <w:sz w:val="21"/>
          <w:szCs w:val="21"/>
          <w:highlight w:val="none"/>
        </w:rPr>
        <w:t>乙方</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公章</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w:t>
      </w:r>
    </w:p>
    <w:p w14:paraId="355F228D">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b/>
          <w:bCs/>
          <w:sz w:val="21"/>
          <w:szCs w:val="21"/>
          <w:highlight w:val="none"/>
        </w:rPr>
      </w:pPr>
    </w:p>
    <w:p w14:paraId="71804D81">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甲方代表</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签字</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 xml:space="preserve">：            </w:t>
      </w:r>
      <w:r>
        <w:rPr>
          <w:rFonts w:hint="eastAsia" w:ascii="宋体" w:hAnsi="宋体" w:eastAsia="宋体" w:cs="宋体"/>
          <w:b/>
          <w:bCs/>
          <w:sz w:val="21"/>
          <w:szCs w:val="21"/>
          <w:highlight w:val="none"/>
          <w:lang w:val="en-US" w:eastAsia="zh-CN"/>
        </w:rPr>
        <w:t xml:space="preserve">          </w:t>
      </w:r>
      <w:r>
        <w:rPr>
          <w:rFonts w:hint="eastAsia" w:ascii="宋体" w:hAnsi="宋体" w:eastAsia="宋体" w:cs="宋体"/>
          <w:b/>
          <w:bCs/>
          <w:sz w:val="21"/>
          <w:szCs w:val="21"/>
          <w:highlight w:val="none"/>
        </w:rPr>
        <w:t>乙方代表</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签字</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w:t>
      </w:r>
    </w:p>
    <w:p w14:paraId="7A6890A5">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b/>
          <w:bCs/>
          <w:sz w:val="21"/>
          <w:szCs w:val="21"/>
          <w:highlight w:val="none"/>
        </w:rPr>
      </w:pPr>
    </w:p>
    <w:p w14:paraId="1F974811">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 xml:space="preserve">甲方监督单位及电话：         </w:t>
      </w:r>
      <w:r>
        <w:rPr>
          <w:rFonts w:hint="eastAsia" w:ascii="宋体" w:hAnsi="宋体" w:eastAsia="宋体" w:cs="宋体"/>
          <w:b/>
          <w:bCs/>
          <w:sz w:val="21"/>
          <w:szCs w:val="21"/>
          <w:highlight w:val="none"/>
          <w:lang w:val="en-US" w:eastAsia="zh-CN"/>
        </w:rPr>
        <w:t xml:space="preserve">            </w:t>
      </w:r>
      <w:r>
        <w:rPr>
          <w:rFonts w:hint="eastAsia" w:ascii="宋体" w:hAnsi="宋体" w:eastAsia="宋体" w:cs="宋体"/>
          <w:b/>
          <w:bCs/>
          <w:sz w:val="21"/>
          <w:szCs w:val="21"/>
          <w:highlight w:val="none"/>
        </w:rPr>
        <w:t>乙方监督单位及电话：</w:t>
      </w:r>
    </w:p>
    <w:p w14:paraId="4C047159">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b/>
          <w:bCs/>
          <w:sz w:val="21"/>
          <w:szCs w:val="21"/>
          <w:highlight w:val="none"/>
        </w:rPr>
      </w:pPr>
    </w:p>
    <w:p w14:paraId="29F9CFA2">
      <w:pPr>
        <w:keepNext w:val="0"/>
        <w:keepLines w:val="0"/>
        <w:pageBreakBefore w:val="0"/>
        <w:widowControl w:val="0"/>
        <w:kinsoku/>
        <w:wordWrap/>
        <w:overflowPunct/>
        <w:topLinePunct w:val="0"/>
        <w:autoSpaceDE/>
        <w:autoSpaceDN/>
        <w:bidi w:val="0"/>
        <w:spacing w:line="560" w:lineRule="exact"/>
        <w:ind w:firstLine="2310" w:firstLineChars="1100"/>
        <w:jc w:val="right"/>
        <w:textAlignment w:val="auto"/>
        <w:rPr>
          <w:rFonts w:hint="eastAsia" w:ascii="宋体" w:hAnsi="宋体" w:eastAsia="宋体" w:cs="宋体"/>
          <w:b/>
          <w:bCs/>
          <w:sz w:val="21"/>
          <w:szCs w:val="21"/>
          <w:highlight w:val="none"/>
        </w:rPr>
      </w:pPr>
      <w:r>
        <w:rPr>
          <w:rFonts w:hint="eastAsia" w:ascii="宋体" w:hAnsi="宋体" w:eastAsia="宋体" w:cs="宋体"/>
          <w:b w:val="0"/>
          <w:bCs w:val="0"/>
          <w:sz w:val="21"/>
          <w:szCs w:val="21"/>
          <w:highlight w:val="none"/>
          <w:u w:val="single"/>
          <w:lang w:val="en-US" w:eastAsia="zh-CN"/>
        </w:rPr>
        <w:t xml:space="preserve">     </w:t>
      </w:r>
      <w:r>
        <w:rPr>
          <w:rFonts w:hint="eastAsia" w:ascii="宋体" w:hAnsi="宋体" w:eastAsia="宋体" w:cs="宋体"/>
          <w:b/>
          <w:bCs/>
          <w:sz w:val="21"/>
          <w:szCs w:val="21"/>
          <w:highlight w:val="none"/>
        </w:rPr>
        <w:t>年</w:t>
      </w:r>
      <w:r>
        <w:rPr>
          <w:rFonts w:hint="eastAsia" w:ascii="宋体" w:hAnsi="宋体" w:eastAsia="宋体" w:cs="宋体"/>
          <w:b w:val="0"/>
          <w:bCs w:val="0"/>
          <w:sz w:val="21"/>
          <w:szCs w:val="21"/>
          <w:highlight w:val="none"/>
          <w:u w:val="single"/>
          <w:lang w:val="en-US" w:eastAsia="zh-CN"/>
        </w:rPr>
        <w:t xml:space="preserve">    </w:t>
      </w:r>
      <w:r>
        <w:rPr>
          <w:rFonts w:hint="eastAsia" w:ascii="宋体" w:hAnsi="宋体" w:eastAsia="宋体" w:cs="宋体"/>
          <w:b/>
          <w:bCs/>
          <w:sz w:val="21"/>
          <w:szCs w:val="21"/>
          <w:highlight w:val="none"/>
        </w:rPr>
        <w:t xml:space="preserve">月 </w:t>
      </w:r>
      <w:r>
        <w:rPr>
          <w:rFonts w:hint="eastAsia" w:ascii="宋体" w:hAnsi="宋体" w:eastAsia="宋体" w:cs="宋体"/>
          <w:b w:val="0"/>
          <w:bCs w:val="0"/>
          <w:sz w:val="21"/>
          <w:szCs w:val="21"/>
          <w:highlight w:val="none"/>
          <w:u w:val="single"/>
          <w:lang w:val="en-US" w:eastAsia="zh-CN"/>
        </w:rPr>
        <w:t xml:space="preserve">   </w:t>
      </w:r>
      <w:r>
        <w:rPr>
          <w:rFonts w:hint="eastAsia" w:ascii="宋体" w:hAnsi="宋体" w:eastAsia="宋体" w:cs="宋体"/>
          <w:b/>
          <w:bCs/>
          <w:sz w:val="21"/>
          <w:szCs w:val="21"/>
          <w:highlight w:val="none"/>
        </w:rPr>
        <w:t xml:space="preserve"> 日</w:t>
      </w:r>
    </w:p>
    <w:p w14:paraId="41274FD1">
      <w:pPr>
        <w:keepNext w:val="0"/>
        <w:keepLines w:val="0"/>
        <w:pageBreakBefore w:val="0"/>
        <w:widowControl w:val="0"/>
        <w:kinsoku/>
        <w:wordWrap/>
        <w:overflowPunct/>
        <w:topLinePunct w:val="0"/>
        <w:autoSpaceDE/>
        <w:autoSpaceDN/>
        <w:bidi w:val="0"/>
        <w:spacing w:line="560" w:lineRule="exact"/>
        <w:ind w:firstLine="4095" w:firstLineChars="1950"/>
        <w:textAlignment w:val="auto"/>
        <w:rPr>
          <w:rFonts w:hint="default"/>
          <w:highlight w:val="none"/>
          <w:lang w:val="en-US" w:eastAsia="zh-CN"/>
        </w:rPr>
      </w:pPr>
    </w:p>
    <w:p w14:paraId="06BB7F17">
      <w:pPr>
        <w:rPr>
          <w:rFonts w:hint="eastAsia" w:ascii="宋体" w:hAnsi="宋体" w:cs="宋体"/>
          <w:color w:val="auto"/>
          <w:highlight w:val="none"/>
        </w:rPr>
      </w:pPr>
    </w:p>
    <w:p w14:paraId="1F3CC111">
      <w:pPr>
        <w:pStyle w:val="19"/>
        <w:rPr>
          <w:rFonts w:hint="eastAsia"/>
          <w:highlight w:val="none"/>
        </w:rPr>
      </w:pPr>
    </w:p>
    <w:p w14:paraId="5F34D8A4">
      <w:pPr>
        <w:rPr>
          <w:rFonts w:hint="eastAsia" w:ascii="宋体" w:hAnsi="宋体" w:cs="宋体"/>
          <w:color w:val="auto"/>
          <w:kern w:val="0"/>
          <w:sz w:val="30"/>
          <w:szCs w:val="30"/>
          <w:highlight w:val="none"/>
        </w:rPr>
      </w:pPr>
      <w:r>
        <w:rPr>
          <w:rFonts w:hint="eastAsia" w:ascii="宋体" w:hAnsi="宋体" w:cs="宋体"/>
          <w:color w:val="auto"/>
          <w:kern w:val="0"/>
          <w:sz w:val="30"/>
          <w:szCs w:val="30"/>
          <w:highlight w:val="none"/>
        </w:rPr>
        <w:br w:type="page"/>
      </w:r>
    </w:p>
    <w:p w14:paraId="7B8C4C9D">
      <w:pPr>
        <w:pStyle w:val="2"/>
        <w:jc w:val="center"/>
        <w:rPr>
          <w:rFonts w:hint="eastAsia" w:ascii="宋体" w:hAnsi="宋体" w:cs="宋体"/>
          <w:color w:val="auto"/>
          <w:kern w:val="0"/>
          <w:sz w:val="30"/>
          <w:szCs w:val="30"/>
          <w:highlight w:val="none"/>
        </w:rPr>
      </w:pPr>
      <w:r>
        <w:rPr>
          <w:rFonts w:hint="eastAsia" w:ascii="宋体" w:hAnsi="宋体" w:cs="宋体"/>
          <w:color w:val="auto"/>
          <w:kern w:val="0"/>
          <w:sz w:val="30"/>
          <w:szCs w:val="30"/>
          <w:highlight w:val="none"/>
        </w:rPr>
        <w:t>第五章    工程量清单</w:t>
      </w:r>
      <w:bookmarkEnd w:id="452"/>
      <w:bookmarkEnd w:id="453"/>
    </w:p>
    <w:p w14:paraId="0850076E">
      <w:pPr>
        <w:ind w:firstLine="525" w:firstLineChars="250"/>
        <w:rPr>
          <w:rFonts w:hint="eastAsia" w:ascii="宋体" w:hAnsi="宋体" w:cs="宋体"/>
          <w:color w:val="auto"/>
          <w:sz w:val="28"/>
          <w:szCs w:val="28"/>
          <w:highlight w:val="none"/>
        </w:rPr>
      </w:pPr>
      <w:r>
        <w:rPr>
          <w:rFonts w:hint="eastAsia" w:ascii="宋体" w:hAnsi="宋体"/>
          <w:color w:val="auto"/>
          <w:szCs w:val="20"/>
          <w:highlight w:val="none"/>
        </w:rPr>
        <w:t>在</w:t>
      </w:r>
      <w:r>
        <w:rPr>
          <w:rFonts w:hint="eastAsia" w:ascii="宋体" w:hAnsi="宋体"/>
          <w:color w:val="auto"/>
          <w:szCs w:val="20"/>
          <w:highlight w:val="none"/>
          <w:lang w:eastAsia="zh-CN"/>
        </w:rPr>
        <w:t>垫江县人民政府网（http://www.cqsdj.gov.cn/）</w:t>
      </w:r>
      <w:r>
        <w:rPr>
          <w:rFonts w:hint="eastAsia" w:ascii="宋体" w:hAnsi="宋体"/>
          <w:color w:val="auto"/>
          <w:szCs w:val="20"/>
          <w:highlight w:val="none"/>
        </w:rPr>
        <w:t xml:space="preserve">下载。 </w:t>
      </w:r>
      <w:r>
        <w:rPr>
          <w:rFonts w:hint="eastAsia" w:ascii="宋体" w:hAnsi="宋体" w:cs="宋体"/>
          <w:color w:val="auto"/>
          <w:szCs w:val="21"/>
          <w:highlight w:val="none"/>
          <w:shd w:val="clear" w:color="auto" w:fill="FFFFFF"/>
        </w:rPr>
        <w:t xml:space="preserve">  </w:t>
      </w:r>
      <w:r>
        <w:rPr>
          <w:rFonts w:hint="eastAsia" w:ascii="宋体" w:hAnsi="宋体" w:cs="宋体"/>
          <w:color w:val="auto"/>
          <w:sz w:val="28"/>
          <w:szCs w:val="28"/>
          <w:highlight w:val="none"/>
        </w:rPr>
        <w:t xml:space="preserve">     </w:t>
      </w:r>
    </w:p>
    <w:p w14:paraId="75E7FDED">
      <w:pPr>
        <w:tabs>
          <w:tab w:val="left" w:pos="5010"/>
        </w:tabs>
        <w:spacing w:line="400" w:lineRule="exact"/>
        <w:ind w:left="357" w:leftChars="170"/>
        <w:jc w:val="center"/>
        <w:rPr>
          <w:rFonts w:hint="eastAsia" w:ascii="宋体" w:hAnsi="宋体" w:cs="宋体"/>
          <w:b/>
          <w:bCs/>
          <w:color w:val="auto"/>
          <w:sz w:val="30"/>
          <w:highlight w:val="none"/>
        </w:rPr>
      </w:pPr>
    </w:p>
    <w:p w14:paraId="7E5F7932">
      <w:pPr>
        <w:tabs>
          <w:tab w:val="left" w:pos="5010"/>
        </w:tabs>
        <w:spacing w:line="400" w:lineRule="exact"/>
        <w:ind w:left="357" w:leftChars="170"/>
        <w:jc w:val="center"/>
        <w:rPr>
          <w:rFonts w:hint="eastAsia" w:ascii="宋体" w:hAnsi="宋体" w:cs="宋体"/>
          <w:b/>
          <w:bCs/>
          <w:color w:val="auto"/>
          <w:sz w:val="30"/>
          <w:highlight w:val="none"/>
        </w:rPr>
      </w:pPr>
    </w:p>
    <w:p w14:paraId="24553072">
      <w:pPr>
        <w:tabs>
          <w:tab w:val="left" w:pos="5010"/>
        </w:tabs>
        <w:spacing w:line="400" w:lineRule="exact"/>
        <w:ind w:left="357" w:leftChars="170"/>
        <w:jc w:val="center"/>
        <w:rPr>
          <w:rFonts w:hint="eastAsia" w:ascii="宋体" w:hAnsi="宋体" w:cs="宋体"/>
          <w:b/>
          <w:bCs/>
          <w:color w:val="auto"/>
          <w:sz w:val="30"/>
          <w:highlight w:val="none"/>
        </w:rPr>
      </w:pPr>
    </w:p>
    <w:p w14:paraId="39DEBAD4">
      <w:pPr>
        <w:tabs>
          <w:tab w:val="left" w:pos="5010"/>
        </w:tabs>
        <w:spacing w:line="400" w:lineRule="exact"/>
        <w:ind w:left="357" w:leftChars="170"/>
        <w:jc w:val="center"/>
        <w:rPr>
          <w:rFonts w:hint="eastAsia" w:ascii="宋体" w:hAnsi="宋体" w:cs="宋体"/>
          <w:b/>
          <w:bCs/>
          <w:color w:val="auto"/>
          <w:sz w:val="30"/>
          <w:highlight w:val="none"/>
        </w:rPr>
      </w:pPr>
    </w:p>
    <w:p w14:paraId="1B15A21C">
      <w:pPr>
        <w:tabs>
          <w:tab w:val="left" w:pos="5010"/>
        </w:tabs>
        <w:spacing w:line="400" w:lineRule="exact"/>
        <w:ind w:left="357" w:leftChars="170"/>
        <w:jc w:val="center"/>
        <w:rPr>
          <w:rFonts w:hint="eastAsia" w:ascii="宋体" w:hAnsi="宋体" w:cs="宋体"/>
          <w:b/>
          <w:bCs/>
          <w:color w:val="auto"/>
          <w:sz w:val="30"/>
          <w:highlight w:val="none"/>
        </w:rPr>
      </w:pPr>
    </w:p>
    <w:p w14:paraId="5EB1504D">
      <w:pPr>
        <w:tabs>
          <w:tab w:val="left" w:pos="5010"/>
        </w:tabs>
        <w:spacing w:line="400" w:lineRule="exact"/>
        <w:ind w:left="357" w:leftChars="170"/>
        <w:jc w:val="center"/>
        <w:rPr>
          <w:rFonts w:hint="eastAsia" w:ascii="宋体" w:hAnsi="宋体" w:cs="宋体"/>
          <w:b/>
          <w:bCs/>
          <w:color w:val="auto"/>
          <w:sz w:val="30"/>
          <w:highlight w:val="none"/>
        </w:rPr>
      </w:pPr>
    </w:p>
    <w:p w14:paraId="6067BFA0">
      <w:pPr>
        <w:tabs>
          <w:tab w:val="left" w:pos="5010"/>
        </w:tabs>
        <w:spacing w:line="400" w:lineRule="exact"/>
        <w:ind w:left="357" w:leftChars="170"/>
        <w:jc w:val="center"/>
        <w:rPr>
          <w:rFonts w:hint="eastAsia" w:ascii="宋体" w:hAnsi="宋体" w:cs="宋体"/>
          <w:b/>
          <w:bCs/>
          <w:color w:val="auto"/>
          <w:sz w:val="30"/>
          <w:highlight w:val="none"/>
        </w:rPr>
      </w:pPr>
    </w:p>
    <w:p w14:paraId="25BB07D8">
      <w:pPr>
        <w:tabs>
          <w:tab w:val="left" w:pos="5010"/>
        </w:tabs>
        <w:spacing w:line="400" w:lineRule="exact"/>
        <w:ind w:left="357" w:leftChars="170"/>
        <w:jc w:val="center"/>
        <w:rPr>
          <w:rFonts w:hint="eastAsia" w:ascii="宋体" w:hAnsi="宋体" w:cs="宋体"/>
          <w:b/>
          <w:bCs/>
          <w:color w:val="auto"/>
          <w:sz w:val="30"/>
          <w:highlight w:val="none"/>
        </w:rPr>
      </w:pPr>
    </w:p>
    <w:p w14:paraId="16BC9A26">
      <w:pPr>
        <w:tabs>
          <w:tab w:val="left" w:pos="5010"/>
        </w:tabs>
        <w:spacing w:line="400" w:lineRule="exact"/>
        <w:ind w:left="357" w:leftChars="170"/>
        <w:jc w:val="center"/>
        <w:rPr>
          <w:rFonts w:hint="eastAsia" w:ascii="宋体" w:hAnsi="宋体" w:cs="宋体"/>
          <w:b/>
          <w:bCs/>
          <w:color w:val="auto"/>
          <w:sz w:val="30"/>
          <w:highlight w:val="none"/>
        </w:rPr>
      </w:pPr>
    </w:p>
    <w:p w14:paraId="60D9D506">
      <w:pPr>
        <w:tabs>
          <w:tab w:val="left" w:pos="5010"/>
        </w:tabs>
        <w:spacing w:line="400" w:lineRule="exact"/>
        <w:ind w:left="357" w:leftChars="170"/>
        <w:jc w:val="center"/>
        <w:rPr>
          <w:rFonts w:hint="eastAsia" w:ascii="宋体" w:hAnsi="宋体" w:cs="宋体"/>
          <w:b/>
          <w:bCs/>
          <w:color w:val="auto"/>
          <w:sz w:val="30"/>
          <w:highlight w:val="none"/>
        </w:rPr>
      </w:pPr>
    </w:p>
    <w:p w14:paraId="7437EDC6">
      <w:pPr>
        <w:tabs>
          <w:tab w:val="left" w:pos="5010"/>
        </w:tabs>
        <w:spacing w:line="400" w:lineRule="exact"/>
        <w:ind w:left="357" w:leftChars="170"/>
        <w:jc w:val="center"/>
        <w:rPr>
          <w:rFonts w:hint="eastAsia" w:ascii="宋体" w:hAnsi="宋体" w:cs="宋体"/>
          <w:b/>
          <w:bCs/>
          <w:color w:val="auto"/>
          <w:sz w:val="30"/>
          <w:highlight w:val="none"/>
        </w:rPr>
      </w:pPr>
    </w:p>
    <w:p w14:paraId="568D27DA">
      <w:pPr>
        <w:tabs>
          <w:tab w:val="left" w:pos="5010"/>
        </w:tabs>
        <w:spacing w:line="400" w:lineRule="exact"/>
        <w:ind w:left="357" w:leftChars="170"/>
        <w:jc w:val="center"/>
        <w:rPr>
          <w:rFonts w:hint="eastAsia" w:ascii="宋体" w:hAnsi="宋体" w:cs="宋体"/>
          <w:b/>
          <w:bCs/>
          <w:color w:val="auto"/>
          <w:sz w:val="30"/>
          <w:highlight w:val="none"/>
        </w:rPr>
      </w:pPr>
    </w:p>
    <w:p w14:paraId="379821F9">
      <w:pPr>
        <w:tabs>
          <w:tab w:val="left" w:pos="5010"/>
        </w:tabs>
        <w:spacing w:line="400" w:lineRule="exact"/>
        <w:ind w:left="357" w:leftChars="170"/>
        <w:jc w:val="center"/>
        <w:rPr>
          <w:rFonts w:hint="eastAsia" w:ascii="宋体" w:hAnsi="宋体" w:cs="宋体"/>
          <w:b/>
          <w:bCs/>
          <w:color w:val="auto"/>
          <w:sz w:val="30"/>
          <w:highlight w:val="none"/>
        </w:rPr>
      </w:pPr>
    </w:p>
    <w:p w14:paraId="22C17F72">
      <w:pPr>
        <w:tabs>
          <w:tab w:val="left" w:pos="5010"/>
        </w:tabs>
        <w:spacing w:line="400" w:lineRule="exact"/>
        <w:ind w:left="357" w:leftChars="170"/>
        <w:jc w:val="center"/>
        <w:rPr>
          <w:rFonts w:hint="eastAsia" w:ascii="宋体" w:hAnsi="宋体" w:cs="宋体"/>
          <w:b/>
          <w:bCs/>
          <w:color w:val="auto"/>
          <w:sz w:val="30"/>
          <w:highlight w:val="none"/>
        </w:rPr>
      </w:pPr>
    </w:p>
    <w:p w14:paraId="5857D39E">
      <w:pPr>
        <w:tabs>
          <w:tab w:val="left" w:pos="5010"/>
        </w:tabs>
        <w:spacing w:line="400" w:lineRule="exact"/>
        <w:ind w:left="357" w:leftChars="170"/>
        <w:jc w:val="center"/>
        <w:rPr>
          <w:rFonts w:hint="eastAsia" w:ascii="宋体" w:hAnsi="宋体" w:cs="宋体"/>
          <w:b/>
          <w:bCs/>
          <w:color w:val="auto"/>
          <w:sz w:val="30"/>
          <w:highlight w:val="none"/>
        </w:rPr>
      </w:pPr>
    </w:p>
    <w:p w14:paraId="0FFC29BB">
      <w:pPr>
        <w:tabs>
          <w:tab w:val="left" w:pos="5010"/>
        </w:tabs>
        <w:spacing w:line="400" w:lineRule="exact"/>
        <w:ind w:left="357" w:leftChars="170"/>
        <w:jc w:val="center"/>
        <w:rPr>
          <w:rFonts w:hint="eastAsia" w:ascii="宋体" w:hAnsi="宋体" w:cs="宋体"/>
          <w:b/>
          <w:bCs/>
          <w:color w:val="auto"/>
          <w:sz w:val="30"/>
          <w:highlight w:val="none"/>
        </w:rPr>
      </w:pPr>
    </w:p>
    <w:p w14:paraId="15AA806D">
      <w:pPr>
        <w:tabs>
          <w:tab w:val="left" w:pos="5010"/>
        </w:tabs>
        <w:spacing w:line="400" w:lineRule="exact"/>
        <w:ind w:left="357" w:leftChars="170"/>
        <w:jc w:val="center"/>
        <w:rPr>
          <w:rFonts w:hint="eastAsia" w:ascii="宋体" w:hAnsi="宋体" w:cs="宋体"/>
          <w:b/>
          <w:bCs/>
          <w:color w:val="auto"/>
          <w:sz w:val="30"/>
          <w:highlight w:val="none"/>
        </w:rPr>
      </w:pPr>
    </w:p>
    <w:p w14:paraId="16216AA0">
      <w:pPr>
        <w:tabs>
          <w:tab w:val="left" w:pos="5010"/>
        </w:tabs>
        <w:spacing w:line="400" w:lineRule="exact"/>
        <w:ind w:left="357" w:leftChars="170"/>
        <w:jc w:val="center"/>
        <w:rPr>
          <w:rFonts w:hint="eastAsia" w:ascii="宋体" w:hAnsi="宋体" w:cs="宋体"/>
          <w:b/>
          <w:bCs/>
          <w:color w:val="auto"/>
          <w:sz w:val="30"/>
          <w:highlight w:val="none"/>
        </w:rPr>
      </w:pPr>
    </w:p>
    <w:p w14:paraId="4F6646F7">
      <w:pPr>
        <w:tabs>
          <w:tab w:val="left" w:pos="5010"/>
        </w:tabs>
        <w:spacing w:line="400" w:lineRule="exact"/>
        <w:ind w:left="357" w:leftChars="170"/>
        <w:jc w:val="center"/>
        <w:rPr>
          <w:rFonts w:hint="eastAsia" w:ascii="宋体" w:hAnsi="宋体" w:cs="宋体"/>
          <w:b/>
          <w:bCs/>
          <w:color w:val="auto"/>
          <w:sz w:val="30"/>
          <w:highlight w:val="none"/>
        </w:rPr>
      </w:pPr>
    </w:p>
    <w:p w14:paraId="1D0F9C61">
      <w:pPr>
        <w:tabs>
          <w:tab w:val="left" w:pos="5010"/>
        </w:tabs>
        <w:spacing w:line="400" w:lineRule="exact"/>
        <w:ind w:left="357" w:leftChars="170"/>
        <w:jc w:val="center"/>
        <w:rPr>
          <w:rFonts w:hint="eastAsia" w:ascii="宋体" w:hAnsi="宋体" w:cs="宋体"/>
          <w:b/>
          <w:bCs/>
          <w:color w:val="auto"/>
          <w:sz w:val="30"/>
          <w:highlight w:val="none"/>
        </w:rPr>
      </w:pPr>
    </w:p>
    <w:p w14:paraId="19306D17">
      <w:pPr>
        <w:tabs>
          <w:tab w:val="left" w:pos="5010"/>
        </w:tabs>
        <w:spacing w:line="400" w:lineRule="exact"/>
        <w:ind w:left="357" w:leftChars="170"/>
        <w:jc w:val="center"/>
        <w:rPr>
          <w:rFonts w:hint="eastAsia" w:ascii="宋体" w:hAnsi="宋体" w:cs="宋体"/>
          <w:b/>
          <w:bCs/>
          <w:color w:val="auto"/>
          <w:sz w:val="30"/>
          <w:highlight w:val="none"/>
        </w:rPr>
      </w:pPr>
    </w:p>
    <w:p w14:paraId="4B259C0A">
      <w:pPr>
        <w:tabs>
          <w:tab w:val="left" w:pos="5010"/>
        </w:tabs>
        <w:spacing w:line="400" w:lineRule="exact"/>
        <w:ind w:left="357" w:leftChars="170"/>
        <w:jc w:val="center"/>
        <w:rPr>
          <w:rFonts w:hint="eastAsia" w:ascii="宋体" w:hAnsi="宋体" w:cs="宋体"/>
          <w:b/>
          <w:bCs/>
          <w:color w:val="auto"/>
          <w:sz w:val="30"/>
          <w:highlight w:val="none"/>
        </w:rPr>
      </w:pPr>
    </w:p>
    <w:p w14:paraId="2F10D42F">
      <w:pPr>
        <w:tabs>
          <w:tab w:val="left" w:pos="5010"/>
        </w:tabs>
        <w:spacing w:line="400" w:lineRule="exact"/>
        <w:ind w:left="357" w:leftChars="170"/>
        <w:jc w:val="center"/>
        <w:rPr>
          <w:rFonts w:hint="eastAsia" w:ascii="宋体" w:hAnsi="宋体" w:cs="宋体"/>
          <w:b/>
          <w:bCs/>
          <w:color w:val="auto"/>
          <w:sz w:val="30"/>
          <w:highlight w:val="none"/>
        </w:rPr>
      </w:pPr>
    </w:p>
    <w:p w14:paraId="2A4F0528">
      <w:pPr>
        <w:tabs>
          <w:tab w:val="left" w:pos="5010"/>
        </w:tabs>
        <w:spacing w:line="400" w:lineRule="exact"/>
        <w:ind w:left="357" w:leftChars="170"/>
        <w:jc w:val="center"/>
        <w:rPr>
          <w:rFonts w:hint="eastAsia" w:ascii="宋体" w:hAnsi="宋体" w:cs="宋体"/>
          <w:b/>
          <w:bCs/>
          <w:color w:val="auto"/>
          <w:sz w:val="30"/>
          <w:highlight w:val="none"/>
        </w:rPr>
      </w:pPr>
    </w:p>
    <w:p w14:paraId="58B73120">
      <w:pPr>
        <w:tabs>
          <w:tab w:val="left" w:pos="5010"/>
        </w:tabs>
        <w:spacing w:line="400" w:lineRule="exact"/>
        <w:ind w:left="357" w:leftChars="170"/>
        <w:jc w:val="center"/>
        <w:rPr>
          <w:rFonts w:hint="eastAsia" w:ascii="宋体" w:hAnsi="宋体" w:cs="宋体"/>
          <w:b/>
          <w:bCs/>
          <w:color w:val="auto"/>
          <w:sz w:val="30"/>
          <w:highlight w:val="none"/>
        </w:rPr>
      </w:pPr>
    </w:p>
    <w:p w14:paraId="61A50B7F">
      <w:pPr>
        <w:tabs>
          <w:tab w:val="left" w:pos="5010"/>
        </w:tabs>
        <w:spacing w:line="400" w:lineRule="exact"/>
        <w:ind w:left="357" w:leftChars="170"/>
        <w:jc w:val="center"/>
        <w:rPr>
          <w:rFonts w:hint="eastAsia" w:ascii="宋体" w:hAnsi="宋体" w:cs="宋体"/>
          <w:b/>
          <w:bCs/>
          <w:color w:val="auto"/>
          <w:sz w:val="30"/>
          <w:highlight w:val="none"/>
        </w:rPr>
      </w:pPr>
    </w:p>
    <w:p w14:paraId="65CB6F84">
      <w:pPr>
        <w:tabs>
          <w:tab w:val="left" w:pos="5010"/>
        </w:tabs>
        <w:spacing w:line="400" w:lineRule="exact"/>
        <w:ind w:left="357" w:leftChars="170"/>
        <w:jc w:val="center"/>
        <w:rPr>
          <w:rFonts w:hint="eastAsia" w:ascii="宋体" w:hAnsi="宋体" w:cs="宋体"/>
          <w:b/>
          <w:bCs/>
          <w:color w:val="auto"/>
          <w:sz w:val="30"/>
          <w:highlight w:val="none"/>
        </w:rPr>
      </w:pPr>
    </w:p>
    <w:p w14:paraId="2CD0F1B1">
      <w:pPr>
        <w:tabs>
          <w:tab w:val="left" w:pos="5010"/>
        </w:tabs>
        <w:spacing w:line="400" w:lineRule="exact"/>
        <w:ind w:left="357" w:leftChars="170"/>
        <w:jc w:val="center"/>
        <w:rPr>
          <w:rFonts w:hint="eastAsia" w:ascii="宋体" w:hAnsi="宋体" w:cs="宋体"/>
          <w:b/>
          <w:bCs/>
          <w:color w:val="auto"/>
          <w:sz w:val="30"/>
          <w:highlight w:val="none"/>
        </w:rPr>
      </w:pPr>
    </w:p>
    <w:p w14:paraId="53BED09C">
      <w:pPr>
        <w:tabs>
          <w:tab w:val="left" w:pos="5010"/>
        </w:tabs>
        <w:spacing w:line="400" w:lineRule="exact"/>
        <w:ind w:left="357" w:leftChars="170"/>
        <w:jc w:val="center"/>
        <w:rPr>
          <w:rFonts w:hint="eastAsia" w:ascii="宋体" w:hAnsi="宋体" w:cs="宋体"/>
          <w:b/>
          <w:bCs/>
          <w:color w:val="auto"/>
          <w:sz w:val="30"/>
          <w:highlight w:val="none"/>
        </w:rPr>
      </w:pPr>
    </w:p>
    <w:p w14:paraId="7C184F38">
      <w:pPr>
        <w:pStyle w:val="2"/>
        <w:jc w:val="center"/>
        <w:rPr>
          <w:rFonts w:hint="eastAsia" w:ascii="宋体" w:hAnsi="宋体" w:cs="宋体"/>
          <w:color w:val="auto"/>
          <w:kern w:val="0"/>
          <w:sz w:val="30"/>
          <w:szCs w:val="30"/>
          <w:highlight w:val="none"/>
        </w:rPr>
      </w:pPr>
      <w:bookmarkStart w:id="454" w:name="_Toc4432"/>
      <w:bookmarkStart w:id="455" w:name="_Toc1813"/>
      <w:r>
        <w:rPr>
          <w:rFonts w:hint="eastAsia" w:ascii="宋体" w:hAnsi="宋体" w:cs="宋体"/>
          <w:color w:val="auto"/>
          <w:kern w:val="0"/>
          <w:sz w:val="30"/>
          <w:szCs w:val="30"/>
          <w:highlight w:val="none"/>
        </w:rPr>
        <w:t>第六章     图纸</w:t>
      </w:r>
      <w:bookmarkEnd w:id="454"/>
      <w:bookmarkEnd w:id="455"/>
    </w:p>
    <w:p w14:paraId="6B77928C">
      <w:pPr>
        <w:tabs>
          <w:tab w:val="left" w:pos="5010"/>
        </w:tabs>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在</w:t>
      </w:r>
      <w:r>
        <w:rPr>
          <w:rFonts w:hint="eastAsia" w:ascii="宋体" w:hAnsi="宋体" w:cs="宋体"/>
          <w:color w:val="auto"/>
          <w:kern w:val="0"/>
          <w:szCs w:val="21"/>
          <w:highlight w:val="none"/>
          <w:lang w:eastAsia="zh-CN"/>
        </w:rPr>
        <w:t>垫江县人民政府网（http://www.cqsdj.gov.cn/）</w:t>
      </w:r>
      <w:r>
        <w:rPr>
          <w:rFonts w:hint="eastAsia" w:ascii="宋体" w:hAnsi="宋体" w:cs="宋体"/>
          <w:color w:val="auto"/>
          <w:kern w:val="0"/>
          <w:szCs w:val="21"/>
          <w:highlight w:val="none"/>
        </w:rPr>
        <w:t>下载。</w:t>
      </w:r>
    </w:p>
    <w:p w14:paraId="56E2B93F">
      <w:pPr>
        <w:tabs>
          <w:tab w:val="left" w:pos="5010"/>
        </w:tabs>
        <w:spacing w:line="400" w:lineRule="exact"/>
        <w:rPr>
          <w:rFonts w:hint="eastAsia" w:ascii="宋体" w:hAnsi="宋体" w:cs="宋体"/>
          <w:color w:val="auto"/>
          <w:kern w:val="0"/>
          <w:szCs w:val="21"/>
          <w:highlight w:val="none"/>
        </w:rPr>
      </w:pPr>
    </w:p>
    <w:p w14:paraId="3DE8491E">
      <w:pPr>
        <w:tabs>
          <w:tab w:val="left" w:pos="5010"/>
        </w:tabs>
        <w:spacing w:line="400" w:lineRule="exact"/>
        <w:rPr>
          <w:rFonts w:hint="eastAsia" w:ascii="宋体" w:hAnsi="宋体" w:cs="宋体"/>
          <w:color w:val="auto"/>
          <w:kern w:val="0"/>
          <w:szCs w:val="21"/>
          <w:highlight w:val="none"/>
        </w:rPr>
      </w:pPr>
    </w:p>
    <w:p w14:paraId="5D68AD32">
      <w:pPr>
        <w:tabs>
          <w:tab w:val="left" w:pos="5010"/>
        </w:tabs>
        <w:spacing w:line="400" w:lineRule="exact"/>
        <w:rPr>
          <w:rFonts w:hint="eastAsia" w:ascii="宋体" w:hAnsi="宋体" w:cs="宋体"/>
          <w:color w:val="auto"/>
          <w:kern w:val="0"/>
          <w:szCs w:val="21"/>
          <w:highlight w:val="none"/>
        </w:rPr>
      </w:pPr>
    </w:p>
    <w:p w14:paraId="6AE37CA0">
      <w:pPr>
        <w:tabs>
          <w:tab w:val="left" w:pos="5010"/>
        </w:tabs>
        <w:spacing w:line="400" w:lineRule="exact"/>
        <w:rPr>
          <w:rFonts w:hint="eastAsia" w:ascii="宋体" w:hAnsi="宋体" w:cs="宋体"/>
          <w:color w:val="auto"/>
          <w:kern w:val="0"/>
          <w:szCs w:val="21"/>
          <w:highlight w:val="none"/>
        </w:rPr>
      </w:pPr>
    </w:p>
    <w:p w14:paraId="6D989841">
      <w:pPr>
        <w:tabs>
          <w:tab w:val="left" w:pos="5010"/>
        </w:tabs>
        <w:spacing w:line="400" w:lineRule="exact"/>
        <w:rPr>
          <w:rFonts w:hint="eastAsia" w:ascii="宋体" w:hAnsi="宋体" w:cs="宋体"/>
          <w:color w:val="auto"/>
          <w:kern w:val="0"/>
          <w:szCs w:val="21"/>
          <w:highlight w:val="none"/>
        </w:rPr>
      </w:pPr>
    </w:p>
    <w:p w14:paraId="6152FDE1">
      <w:pPr>
        <w:tabs>
          <w:tab w:val="left" w:pos="5010"/>
        </w:tabs>
        <w:spacing w:line="400" w:lineRule="exact"/>
        <w:rPr>
          <w:rFonts w:hint="eastAsia" w:ascii="宋体" w:hAnsi="宋体" w:cs="宋体"/>
          <w:color w:val="auto"/>
          <w:kern w:val="0"/>
          <w:szCs w:val="21"/>
          <w:highlight w:val="none"/>
        </w:rPr>
      </w:pPr>
    </w:p>
    <w:p w14:paraId="21902A73">
      <w:pPr>
        <w:tabs>
          <w:tab w:val="left" w:pos="5010"/>
        </w:tabs>
        <w:spacing w:line="400" w:lineRule="exact"/>
        <w:rPr>
          <w:rFonts w:hint="eastAsia" w:ascii="宋体" w:hAnsi="宋体" w:cs="宋体"/>
          <w:color w:val="auto"/>
          <w:kern w:val="0"/>
          <w:szCs w:val="21"/>
          <w:highlight w:val="none"/>
        </w:rPr>
      </w:pPr>
    </w:p>
    <w:p w14:paraId="604D3B4F">
      <w:pPr>
        <w:tabs>
          <w:tab w:val="left" w:pos="5010"/>
        </w:tabs>
        <w:spacing w:line="400" w:lineRule="exact"/>
        <w:rPr>
          <w:rFonts w:hint="eastAsia" w:ascii="宋体" w:hAnsi="宋体" w:cs="宋体"/>
          <w:color w:val="auto"/>
          <w:kern w:val="0"/>
          <w:szCs w:val="21"/>
          <w:highlight w:val="none"/>
        </w:rPr>
      </w:pPr>
    </w:p>
    <w:p w14:paraId="23A4E49A">
      <w:pPr>
        <w:tabs>
          <w:tab w:val="left" w:pos="5010"/>
        </w:tabs>
        <w:spacing w:line="400" w:lineRule="exact"/>
        <w:rPr>
          <w:rFonts w:hint="eastAsia" w:ascii="宋体" w:hAnsi="宋体" w:cs="宋体"/>
          <w:color w:val="auto"/>
          <w:kern w:val="0"/>
          <w:szCs w:val="21"/>
          <w:highlight w:val="none"/>
        </w:rPr>
      </w:pPr>
    </w:p>
    <w:p w14:paraId="7500AEE8">
      <w:pPr>
        <w:tabs>
          <w:tab w:val="left" w:pos="5010"/>
        </w:tabs>
        <w:spacing w:line="400" w:lineRule="exact"/>
        <w:rPr>
          <w:rFonts w:hint="eastAsia" w:ascii="宋体" w:hAnsi="宋体" w:cs="宋体"/>
          <w:color w:val="auto"/>
          <w:kern w:val="0"/>
          <w:szCs w:val="21"/>
          <w:highlight w:val="none"/>
        </w:rPr>
      </w:pPr>
    </w:p>
    <w:p w14:paraId="3CBFDC52">
      <w:pPr>
        <w:tabs>
          <w:tab w:val="left" w:pos="5010"/>
        </w:tabs>
        <w:spacing w:line="400" w:lineRule="exact"/>
        <w:rPr>
          <w:rFonts w:hint="eastAsia" w:ascii="宋体" w:hAnsi="宋体" w:cs="宋体"/>
          <w:color w:val="auto"/>
          <w:kern w:val="0"/>
          <w:szCs w:val="21"/>
          <w:highlight w:val="none"/>
        </w:rPr>
      </w:pPr>
    </w:p>
    <w:p w14:paraId="711A64AF">
      <w:pPr>
        <w:tabs>
          <w:tab w:val="left" w:pos="5010"/>
        </w:tabs>
        <w:spacing w:line="400" w:lineRule="exact"/>
        <w:rPr>
          <w:rFonts w:hint="eastAsia" w:ascii="宋体" w:hAnsi="宋体" w:cs="宋体"/>
          <w:color w:val="auto"/>
          <w:kern w:val="0"/>
          <w:szCs w:val="21"/>
          <w:highlight w:val="none"/>
        </w:rPr>
      </w:pPr>
    </w:p>
    <w:p w14:paraId="04D5B9E8">
      <w:pPr>
        <w:tabs>
          <w:tab w:val="left" w:pos="5010"/>
        </w:tabs>
        <w:spacing w:line="400" w:lineRule="exact"/>
        <w:rPr>
          <w:rFonts w:hint="eastAsia" w:ascii="宋体" w:hAnsi="宋体" w:cs="宋体"/>
          <w:color w:val="auto"/>
          <w:kern w:val="0"/>
          <w:szCs w:val="21"/>
          <w:highlight w:val="none"/>
        </w:rPr>
      </w:pPr>
    </w:p>
    <w:p w14:paraId="1AA31B6C">
      <w:pPr>
        <w:tabs>
          <w:tab w:val="left" w:pos="5010"/>
        </w:tabs>
        <w:spacing w:line="400" w:lineRule="exact"/>
        <w:rPr>
          <w:rFonts w:hint="eastAsia" w:ascii="宋体" w:hAnsi="宋体" w:cs="宋体"/>
          <w:color w:val="auto"/>
          <w:kern w:val="0"/>
          <w:szCs w:val="21"/>
          <w:highlight w:val="none"/>
        </w:rPr>
      </w:pPr>
    </w:p>
    <w:p w14:paraId="1FAFD861">
      <w:pPr>
        <w:tabs>
          <w:tab w:val="left" w:pos="5010"/>
        </w:tabs>
        <w:spacing w:line="400" w:lineRule="exact"/>
        <w:rPr>
          <w:rFonts w:hint="eastAsia" w:ascii="宋体" w:hAnsi="宋体" w:cs="宋体"/>
          <w:color w:val="auto"/>
          <w:kern w:val="0"/>
          <w:szCs w:val="21"/>
          <w:highlight w:val="none"/>
        </w:rPr>
      </w:pPr>
    </w:p>
    <w:p w14:paraId="759D7895">
      <w:pPr>
        <w:tabs>
          <w:tab w:val="left" w:pos="5010"/>
        </w:tabs>
        <w:spacing w:line="400" w:lineRule="exact"/>
        <w:rPr>
          <w:rFonts w:hint="eastAsia" w:ascii="宋体" w:hAnsi="宋体" w:cs="宋体"/>
          <w:color w:val="auto"/>
          <w:kern w:val="0"/>
          <w:szCs w:val="21"/>
          <w:highlight w:val="none"/>
        </w:rPr>
      </w:pPr>
    </w:p>
    <w:p w14:paraId="6B587D28">
      <w:pPr>
        <w:tabs>
          <w:tab w:val="left" w:pos="5010"/>
        </w:tabs>
        <w:spacing w:line="400" w:lineRule="exact"/>
        <w:rPr>
          <w:rFonts w:hint="eastAsia" w:ascii="宋体" w:hAnsi="宋体" w:cs="宋体"/>
          <w:color w:val="auto"/>
          <w:kern w:val="0"/>
          <w:szCs w:val="21"/>
          <w:highlight w:val="none"/>
        </w:rPr>
      </w:pPr>
    </w:p>
    <w:p w14:paraId="3B0181CC">
      <w:pPr>
        <w:tabs>
          <w:tab w:val="left" w:pos="5010"/>
        </w:tabs>
        <w:spacing w:line="400" w:lineRule="exact"/>
        <w:rPr>
          <w:rFonts w:hint="eastAsia" w:ascii="宋体" w:hAnsi="宋体" w:cs="宋体"/>
          <w:color w:val="auto"/>
          <w:kern w:val="0"/>
          <w:szCs w:val="21"/>
          <w:highlight w:val="none"/>
        </w:rPr>
      </w:pPr>
    </w:p>
    <w:p w14:paraId="10B887C9">
      <w:pPr>
        <w:tabs>
          <w:tab w:val="left" w:pos="5010"/>
        </w:tabs>
        <w:spacing w:line="400" w:lineRule="exact"/>
        <w:rPr>
          <w:rFonts w:hint="eastAsia" w:ascii="宋体" w:hAnsi="宋体" w:cs="宋体"/>
          <w:color w:val="auto"/>
          <w:kern w:val="0"/>
          <w:szCs w:val="21"/>
          <w:highlight w:val="none"/>
        </w:rPr>
      </w:pPr>
    </w:p>
    <w:p w14:paraId="1B3EE95D">
      <w:pPr>
        <w:tabs>
          <w:tab w:val="left" w:pos="5010"/>
        </w:tabs>
        <w:spacing w:line="400" w:lineRule="exact"/>
        <w:rPr>
          <w:rFonts w:hint="eastAsia" w:ascii="宋体" w:hAnsi="宋体" w:cs="宋体"/>
          <w:color w:val="auto"/>
          <w:kern w:val="0"/>
          <w:szCs w:val="21"/>
          <w:highlight w:val="none"/>
        </w:rPr>
      </w:pPr>
    </w:p>
    <w:p w14:paraId="0C949749">
      <w:pPr>
        <w:tabs>
          <w:tab w:val="left" w:pos="5010"/>
        </w:tabs>
        <w:spacing w:line="400" w:lineRule="exact"/>
        <w:rPr>
          <w:rFonts w:hint="eastAsia" w:ascii="宋体" w:hAnsi="宋体" w:cs="宋体"/>
          <w:color w:val="auto"/>
          <w:kern w:val="0"/>
          <w:szCs w:val="21"/>
          <w:highlight w:val="none"/>
        </w:rPr>
      </w:pPr>
    </w:p>
    <w:p w14:paraId="2D45EA85">
      <w:pPr>
        <w:tabs>
          <w:tab w:val="left" w:pos="5010"/>
        </w:tabs>
        <w:spacing w:line="400" w:lineRule="exact"/>
        <w:rPr>
          <w:rFonts w:hint="eastAsia" w:ascii="宋体" w:hAnsi="宋体" w:cs="宋体"/>
          <w:color w:val="auto"/>
          <w:kern w:val="0"/>
          <w:szCs w:val="21"/>
          <w:highlight w:val="none"/>
        </w:rPr>
      </w:pPr>
    </w:p>
    <w:p w14:paraId="177BA292">
      <w:pPr>
        <w:tabs>
          <w:tab w:val="left" w:pos="5010"/>
        </w:tabs>
        <w:spacing w:line="400" w:lineRule="exact"/>
        <w:rPr>
          <w:rFonts w:hint="eastAsia" w:ascii="宋体" w:hAnsi="宋体" w:cs="宋体"/>
          <w:color w:val="auto"/>
          <w:kern w:val="0"/>
          <w:szCs w:val="21"/>
          <w:highlight w:val="none"/>
        </w:rPr>
      </w:pPr>
    </w:p>
    <w:p w14:paraId="6B2F1324">
      <w:pPr>
        <w:tabs>
          <w:tab w:val="left" w:pos="5010"/>
        </w:tabs>
        <w:spacing w:line="400" w:lineRule="exact"/>
        <w:rPr>
          <w:rFonts w:hint="eastAsia" w:ascii="宋体" w:hAnsi="宋体" w:cs="宋体"/>
          <w:color w:val="auto"/>
          <w:kern w:val="0"/>
          <w:szCs w:val="21"/>
          <w:highlight w:val="none"/>
        </w:rPr>
      </w:pPr>
    </w:p>
    <w:p w14:paraId="03C309A5">
      <w:pPr>
        <w:tabs>
          <w:tab w:val="left" w:pos="5010"/>
        </w:tabs>
        <w:spacing w:line="400" w:lineRule="exact"/>
        <w:rPr>
          <w:rFonts w:hint="eastAsia" w:ascii="宋体" w:hAnsi="宋体" w:cs="宋体"/>
          <w:color w:val="auto"/>
          <w:kern w:val="0"/>
          <w:szCs w:val="21"/>
          <w:highlight w:val="none"/>
        </w:rPr>
      </w:pPr>
    </w:p>
    <w:p w14:paraId="3369643B">
      <w:pPr>
        <w:tabs>
          <w:tab w:val="left" w:pos="5010"/>
        </w:tabs>
        <w:spacing w:line="400" w:lineRule="exact"/>
        <w:rPr>
          <w:rFonts w:hint="eastAsia" w:ascii="宋体" w:hAnsi="宋体" w:cs="宋体"/>
          <w:color w:val="auto"/>
          <w:kern w:val="0"/>
          <w:szCs w:val="21"/>
          <w:highlight w:val="none"/>
        </w:rPr>
      </w:pPr>
    </w:p>
    <w:p w14:paraId="713C1E31">
      <w:pPr>
        <w:tabs>
          <w:tab w:val="left" w:pos="5010"/>
        </w:tabs>
        <w:spacing w:line="400" w:lineRule="exact"/>
        <w:rPr>
          <w:rFonts w:hint="eastAsia" w:ascii="宋体" w:hAnsi="宋体" w:cs="宋体"/>
          <w:color w:val="auto"/>
          <w:kern w:val="0"/>
          <w:szCs w:val="21"/>
          <w:highlight w:val="none"/>
        </w:rPr>
      </w:pPr>
    </w:p>
    <w:p w14:paraId="7C0AA7F1">
      <w:pPr>
        <w:pStyle w:val="2"/>
        <w:numPr>
          <w:ilvl w:val="0"/>
          <w:numId w:val="10"/>
        </w:numPr>
        <w:jc w:val="center"/>
        <w:rPr>
          <w:rFonts w:hint="eastAsia" w:ascii="宋体" w:hAnsi="宋体" w:cs="宋体"/>
          <w:color w:val="auto"/>
          <w:kern w:val="0"/>
          <w:sz w:val="30"/>
          <w:szCs w:val="30"/>
          <w:highlight w:val="none"/>
        </w:rPr>
      </w:pPr>
      <w:bookmarkStart w:id="456" w:name="_Toc26008"/>
      <w:bookmarkStart w:id="457" w:name="_Toc12101"/>
      <w:r>
        <w:rPr>
          <w:rFonts w:hint="eastAsia" w:ascii="宋体" w:hAnsi="宋体" w:cs="宋体"/>
          <w:color w:val="auto"/>
          <w:kern w:val="0"/>
          <w:sz w:val="30"/>
          <w:szCs w:val="30"/>
          <w:highlight w:val="none"/>
        </w:rPr>
        <w:t xml:space="preserve">  技术标准和要求</w:t>
      </w:r>
      <w:bookmarkEnd w:id="456"/>
      <w:bookmarkEnd w:id="457"/>
    </w:p>
    <w:p w14:paraId="0F99C16A">
      <w:pPr>
        <w:jc w:val="center"/>
        <w:rPr>
          <w:rFonts w:hint="default" w:eastAsia="宋体"/>
          <w:lang w:val="en-US" w:eastAsia="zh-CN"/>
        </w:rPr>
      </w:pPr>
      <w:r>
        <w:rPr>
          <w:rFonts w:hint="eastAsia"/>
          <w:b/>
          <w:bCs/>
          <w:sz w:val="24"/>
          <w:szCs w:val="24"/>
          <w:lang w:val="en-US" w:eastAsia="zh-CN"/>
        </w:rPr>
        <w:t>一、空调技术参数及数量一览表（1标段）</w:t>
      </w:r>
    </w:p>
    <w:p w14:paraId="24098C12">
      <w:pPr>
        <w:rPr>
          <w:rFonts w:hint="eastAsia"/>
        </w:rPr>
      </w:pPr>
    </w:p>
    <w:p w14:paraId="67B48CFA">
      <w:pPr>
        <w:pStyle w:val="71"/>
        <w:rPr>
          <w:rFonts w:hint="default"/>
          <w:lang w:val="en-US" w:eastAsia="zh-CN"/>
        </w:rPr>
      </w:pPr>
    </w:p>
    <w:tbl>
      <w:tblPr>
        <w:tblStyle w:val="51"/>
        <w:tblpPr w:leftFromText="180" w:rightFromText="180" w:vertAnchor="page" w:horzAnchor="page" w:tblpX="652" w:tblpY="3093"/>
        <w:tblOverlap w:val="never"/>
        <w:tblW w:w="96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7"/>
        <w:gridCol w:w="1402"/>
        <w:gridCol w:w="999"/>
        <w:gridCol w:w="878"/>
        <w:gridCol w:w="3202"/>
        <w:gridCol w:w="2501"/>
      </w:tblGrid>
      <w:tr w14:paraId="0FBB6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14:paraId="048E1B8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序号</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544C66EF">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产品名称</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14:paraId="602F592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单位</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41B2F90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数量</w:t>
            </w:r>
          </w:p>
        </w:tc>
        <w:tc>
          <w:tcPr>
            <w:tcW w:w="3202" w:type="dxa"/>
            <w:tcBorders>
              <w:top w:val="single" w:color="000000" w:sz="4" w:space="0"/>
              <w:left w:val="single" w:color="000000" w:sz="4" w:space="0"/>
              <w:bottom w:val="single" w:color="000000" w:sz="4" w:space="0"/>
              <w:right w:val="single" w:color="000000" w:sz="4" w:space="0"/>
            </w:tcBorders>
            <w:noWrap w:val="0"/>
            <w:vAlign w:val="center"/>
          </w:tcPr>
          <w:p w14:paraId="4740EF8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FF0000"/>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规格参数</w:t>
            </w:r>
          </w:p>
        </w:tc>
        <w:tc>
          <w:tcPr>
            <w:tcW w:w="2501" w:type="dxa"/>
            <w:tcBorders>
              <w:top w:val="single" w:color="000000" w:sz="4" w:space="0"/>
              <w:left w:val="single" w:color="000000" w:sz="4" w:space="0"/>
              <w:bottom w:val="single" w:color="000000" w:sz="4" w:space="0"/>
              <w:right w:val="single" w:color="000000" w:sz="4" w:space="0"/>
            </w:tcBorders>
            <w:noWrap w:val="0"/>
            <w:vAlign w:val="center"/>
          </w:tcPr>
          <w:p w14:paraId="50E3AAC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备注</w:t>
            </w:r>
          </w:p>
        </w:tc>
      </w:tr>
      <w:tr w14:paraId="3CE91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0"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14:paraId="0E45628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eastAsia="宋体"/>
                <w:i w:val="0"/>
                <w:color w:val="000000"/>
                <w:spacing w:val="0"/>
                <w:kern w:val="0"/>
                <w:sz w:val="18"/>
                <w:szCs w:val="18"/>
                <w:u w:val="none"/>
                <w:lang w:val="en-US" w:eastAsia="zh-CN" w:bidi="ar"/>
              </w:rPr>
              <w:t>1</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22DE86D4">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i w:val="0"/>
                <w:iCs w:val="0"/>
                <w:color w:val="000000"/>
                <w:sz w:val="18"/>
                <w:szCs w:val="18"/>
                <w:u w:val="none"/>
              </w:rPr>
            </w:pPr>
            <w:r>
              <w:rPr>
                <w:rFonts w:hint="eastAsia" w:ascii="宋体" w:hAnsi="宋体" w:eastAsia="宋体"/>
                <w:i w:val="0"/>
                <w:color w:val="000000"/>
                <w:spacing w:val="0"/>
                <w:kern w:val="0"/>
                <w:sz w:val="18"/>
                <w:szCs w:val="18"/>
                <w:u w:val="none"/>
                <w:lang w:val="en-US" w:eastAsia="zh-CN" w:bidi="ar"/>
              </w:rPr>
              <w:t>模块风冷式冷热泵机组外机（一楼、二楼）</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14:paraId="4453AA3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eastAsia="宋体"/>
                <w:i w:val="0"/>
                <w:color w:val="000000"/>
                <w:spacing w:val="0"/>
                <w:kern w:val="0"/>
                <w:sz w:val="18"/>
                <w:szCs w:val="18"/>
                <w:u w:val="none"/>
                <w:lang w:val="en-US" w:eastAsia="zh-CN" w:bidi="ar"/>
              </w:rPr>
              <w:t>台</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015A137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lang w:eastAsia="zh-CN"/>
              </w:rPr>
            </w:pPr>
            <w:r>
              <w:rPr>
                <w:rFonts w:hint="eastAsia" w:ascii="宋体" w:hAnsi="宋体" w:eastAsia="宋体"/>
                <w:i w:val="0"/>
                <w:color w:val="000000"/>
                <w:spacing w:val="0"/>
                <w:kern w:val="0"/>
                <w:sz w:val="18"/>
                <w:szCs w:val="18"/>
                <w:u w:val="none"/>
                <w:lang w:val="en-US" w:eastAsia="zh-CN" w:bidi="ar"/>
              </w:rPr>
              <w:t>3</w:t>
            </w:r>
          </w:p>
        </w:tc>
        <w:tc>
          <w:tcPr>
            <w:tcW w:w="3202" w:type="dxa"/>
            <w:tcBorders>
              <w:top w:val="single" w:color="000000" w:sz="4" w:space="0"/>
              <w:left w:val="single" w:color="000000" w:sz="4" w:space="0"/>
              <w:bottom w:val="single" w:color="000000" w:sz="4" w:space="0"/>
              <w:right w:val="single" w:color="000000" w:sz="4" w:space="0"/>
            </w:tcBorders>
            <w:noWrap w:val="0"/>
            <w:vAlign w:val="center"/>
          </w:tcPr>
          <w:p w14:paraId="61C1BCDD">
            <w:pPr>
              <w:keepNext w:val="0"/>
              <w:keepLines w:val="0"/>
              <w:widowControl/>
              <w:suppressLineNumbers w:val="0"/>
              <w:spacing w:before="0" w:beforeAutospacing="0" w:after="0" w:afterAutospacing="0"/>
              <w:ind w:left="0" w:right="0"/>
              <w:jc w:val="both"/>
              <w:rPr>
                <w:rFonts w:hint="eastAsia" w:ascii="宋体" w:hAnsi="宋体"/>
                <w:i w:val="0"/>
                <w:color w:val="000000" w:themeColor="text1"/>
                <w:spacing w:val="0"/>
                <w:kern w:val="0"/>
                <w:sz w:val="18"/>
                <w:szCs w:val="18"/>
                <w:highlight w:val="none"/>
                <w:u w:val="none"/>
                <w:lang w:val="en-US" w:eastAsia="zh-CN" w:bidi="ar"/>
                <w14:textFill>
                  <w14:solidFill>
                    <w14:schemeClr w14:val="tx1"/>
                  </w14:solidFill>
                </w14:textFill>
              </w:rPr>
            </w:pPr>
            <w:r>
              <w:rPr>
                <w:rFonts w:hint="eastAsia" w:ascii="宋体" w:hAnsi="宋体" w:eastAsia="宋体"/>
                <w:i w:val="0"/>
                <w:color w:val="000000" w:themeColor="text1"/>
                <w:spacing w:val="0"/>
                <w:kern w:val="0"/>
                <w:sz w:val="18"/>
                <w:szCs w:val="18"/>
                <w:highlight w:val="none"/>
                <w:u w:val="none"/>
                <w:lang w:val="en-US" w:eastAsia="zh-CN" w:bidi="ar"/>
                <w14:textFill>
                  <w14:solidFill>
                    <w14:schemeClr w14:val="tx1"/>
                  </w14:solidFill>
                </w14:textFill>
              </w:rPr>
              <w:t>1、IPLV≥3.7</w:t>
            </w:r>
            <w:r>
              <w:rPr>
                <w:rFonts w:hint="eastAsia" w:ascii="宋体" w:hAnsi="宋体"/>
                <w:i w:val="0"/>
                <w:color w:val="000000" w:themeColor="text1"/>
                <w:spacing w:val="0"/>
                <w:kern w:val="0"/>
                <w:sz w:val="18"/>
                <w:szCs w:val="18"/>
                <w:highlight w:val="none"/>
                <w:u w:val="none"/>
                <w:lang w:val="en-US" w:eastAsia="zh-CN" w:bidi="ar"/>
                <w14:textFill>
                  <w14:solidFill>
                    <w14:schemeClr w14:val="tx1"/>
                  </w14:solidFill>
                </w14:textFill>
              </w:rPr>
              <w:t>5</w:t>
            </w:r>
          </w:p>
          <w:p w14:paraId="2DF4646B">
            <w:pPr>
              <w:keepNext w:val="0"/>
              <w:keepLines w:val="0"/>
              <w:widowControl/>
              <w:suppressLineNumbers w:val="0"/>
              <w:spacing w:before="0" w:beforeAutospacing="0" w:after="0" w:afterAutospacing="0"/>
              <w:ind w:left="0" w:right="0"/>
              <w:jc w:val="both"/>
              <w:rPr>
                <w:rFonts w:hint="eastAsia" w:ascii="宋体" w:hAnsi="宋体" w:eastAsia="宋体"/>
                <w:i w:val="0"/>
                <w:color w:val="000000" w:themeColor="text1"/>
                <w:spacing w:val="0"/>
                <w:kern w:val="0"/>
                <w:sz w:val="18"/>
                <w:szCs w:val="18"/>
                <w:highlight w:val="none"/>
                <w:u w:val="none"/>
                <w:lang w:val="en-US" w:eastAsia="zh-CN" w:bidi="ar"/>
                <w14:textFill>
                  <w14:solidFill>
                    <w14:schemeClr w14:val="tx1"/>
                  </w14:solidFill>
                </w14:textFill>
              </w:rPr>
            </w:pPr>
            <w:r>
              <w:rPr>
                <w:rFonts w:hint="eastAsia" w:ascii="宋体" w:hAnsi="宋体" w:eastAsia="宋体"/>
                <w:i w:val="0"/>
                <w:color w:val="000000" w:themeColor="text1"/>
                <w:spacing w:val="0"/>
                <w:kern w:val="0"/>
                <w:sz w:val="18"/>
                <w:szCs w:val="18"/>
                <w:highlight w:val="none"/>
                <w:u w:val="none"/>
                <w:lang w:val="en-US" w:eastAsia="zh-CN" w:bidi="ar"/>
                <w14:textFill>
                  <w14:solidFill>
                    <w14:schemeClr w14:val="tx1"/>
                  </w14:solidFill>
                </w14:textFill>
              </w:rPr>
              <w:t xml:space="preserve">2、总制冷量≥130KW、制热量≥140KW                    </w:t>
            </w:r>
          </w:p>
          <w:p w14:paraId="32B1A6E6">
            <w:pPr>
              <w:keepNext w:val="0"/>
              <w:keepLines w:val="0"/>
              <w:widowControl/>
              <w:suppressLineNumbers w:val="0"/>
              <w:spacing w:before="0" w:beforeAutospacing="0" w:after="0" w:afterAutospacing="0"/>
              <w:ind w:left="0" w:right="0"/>
              <w:jc w:val="both"/>
              <w:rPr>
                <w:rFonts w:hint="eastAsia" w:ascii="宋体" w:hAnsi="宋体" w:eastAsia="宋体"/>
                <w:i w:val="0"/>
                <w:color w:val="000000" w:themeColor="text1"/>
                <w:spacing w:val="0"/>
                <w:kern w:val="0"/>
                <w:sz w:val="18"/>
                <w:szCs w:val="18"/>
                <w:highlight w:val="none"/>
                <w:u w:val="none"/>
                <w:lang w:val="en-US" w:eastAsia="zh-CN" w:bidi="ar"/>
                <w14:textFill>
                  <w14:solidFill>
                    <w14:schemeClr w14:val="tx1"/>
                  </w14:solidFill>
                </w14:textFill>
              </w:rPr>
            </w:pPr>
            <w:r>
              <w:rPr>
                <w:rFonts w:hint="eastAsia" w:ascii="宋体" w:hAnsi="宋体" w:eastAsia="宋体"/>
                <w:i w:val="0"/>
                <w:color w:val="000000" w:themeColor="text1"/>
                <w:spacing w:val="0"/>
                <w:kern w:val="0"/>
                <w:sz w:val="18"/>
                <w:szCs w:val="18"/>
                <w:highlight w:val="none"/>
                <w:u w:val="none"/>
                <w:lang w:val="en-US" w:eastAsia="zh-CN" w:bidi="ar"/>
                <w14:textFill>
                  <w14:solidFill>
                    <w14:schemeClr w14:val="tx1"/>
                  </w14:solidFill>
                </w14:textFill>
              </w:rPr>
              <w:t>3、制冷功率≤39.5KW</w:t>
            </w:r>
          </w:p>
          <w:p w14:paraId="3D9013D4">
            <w:pPr>
              <w:keepNext w:val="0"/>
              <w:keepLines w:val="0"/>
              <w:widowControl/>
              <w:suppressLineNumbers w:val="0"/>
              <w:spacing w:before="0" w:beforeAutospacing="0" w:after="0" w:afterAutospacing="0"/>
              <w:ind w:left="0" w:right="0"/>
              <w:jc w:val="both"/>
              <w:rPr>
                <w:rFonts w:hint="eastAsia" w:ascii="宋体" w:hAnsi="宋体" w:eastAsia="宋体"/>
                <w:i w:val="0"/>
                <w:color w:val="000000" w:themeColor="text1"/>
                <w:spacing w:val="0"/>
                <w:kern w:val="0"/>
                <w:sz w:val="18"/>
                <w:szCs w:val="18"/>
                <w:highlight w:val="none"/>
                <w:u w:val="none"/>
                <w:lang w:val="en-US" w:eastAsia="zh-CN" w:bidi="ar"/>
                <w14:textFill>
                  <w14:solidFill>
                    <w14:schemeClr w14:val="tx1"/>
                  </w14:solidFill>
                </w14:textFill>
              </w:rPr>
            </w:pPr>
            <w:r>
              <w:rPr>
                <w:rFonts w:hint="eastAsia" w:ascii="宋体" w:hAnsi="宋体" w:eastAsia="宋体"/>
                <w:i w:val="0"/>
                <w:color w:val="000000" w:themeColor="text1"/>
                <w:spacing w:val="0"/>
                <w:kern w:val="0"/>
                <w:sz w:val="18"/>
                <w:szCs w:val="18"/>
                <w:highlight w:val="none"/>
                <w:u w:val="none"/>
                <w:lang w:val="en-US" w:eastAsia="zh-CN" w:bidi="ar"/>
                <w14:textFill>
                  <w14:solidFill>
                    <w14:schemeClr w14:val="tx1"/>
                  </w14:solidFill>
                </w14:textFill>
              </w:rPr>
              <w:t>4、制热功率≤41.</w:t>
            </w:r>
            <w:r>
              <w:rPr>
                <w:rFonts w:hint="eastAsia" w:ascii="宋体" w:hAnsi="宋体"/>
                <w:i w:val="0"/>
                <w:color w:val="000000" w:themeColor="text1"/>
                <w:spacing w:val="0"/>
                <w:kern w:val="0"/>
                <w:sz w:val="18"/>
                <w:szCs w:val="18"/>
                <w:highlight w:val="none"/>
                <w:u w:val="none"/>
                <w:lang w:val="en-US" w:eastAsia="zh-CN" w:bidi="ar"/>
                <w14:textFill>
                  <w14:solidFill>
                    <w14:schemeClr w14:val="tx1"/>
                  </w14:solidFill>
                </w14:textFill>
              </w:rPr>
              <w:t>5</w:t>
            </w:r>
            <w:r>
              <w:rPr>
                <w:rFonts w:hint="eastAsia" w:ascii="宋体" w:hAnsi="宋体" w:eastAsia="宋体"/>
                <w:i w:val="0"/>
                <w:color w:val="000000" w:themeColor="text1"/>
                <w:spacing w:val="0"/>
                <w:kern w:val="0"/>
                <w:sz w:val="18"/>
                <w:szCs w:val="18"/>
                <w:highlight w:val="none"/>
                <w:u w:val="none"/>
                <w:lang w:val="en-US" w:eastAsia="zh-CN" w:bidi="ar"/>
                <w14:textFill>
                  <w14:solidFill>
                    <w14:schemeClr w14:val="tx1"/>
                  </w14:solidFill>
                </w14:textFill>
              </w:rPr>
              <w:t xml:space="preserve">KW                                                       </w:t>
            </w:r>
          </w:p>
          <w:p w14:paraId="3F039F64">
            <w:pPr>
              <w:keepNext w:val="0"/>
              <w:keepLines w:val="0"/>
              <w:widowControl/>
              <w:suppressLineNumbers w:val="0"/>
              <w:spacing w:before="0" w:beforeAutospacing="0" w:after="0" w:afterAutospacing="0"/>
              <w:ind w:left="0" w:right="0"/>
              <w:jc w:val="both"/>
              <w:rPr>
                <w:rFonts w:hint="eastAsia" w:ascii="宋体" w:hAnsi="宋体" w:eastAsia="宋体"/>
                <w:i w:val="0"/>
                <w:color w:val="000000" w:themeColor="text1"/>
                <w:spacing w:val="0"/>
                <w:kern w:val="0"/>
                <w:sz w:val="18"/>
                <w:szCs w:val="18"/>
                <w:highlight w:val="none"/>
                <w:u w:val="none"/>
                <w:lang w:val="en-US" w:eastAsia="zh-CN" w:bidi="ar"/>
                <w14:textFill>
                  <w14:solidFill>
                    <w14:schemeClr w14:val="tx1"/>
                  </w14:solidFill>
                </w14:textFill>
              </w:rPr>
            </w:pPr>
            <w:r>
              <w:rPr>
                <w:rFonts w:hint="eastAsia" w:ascii="宋体" w:hAnsi="宋体" w:eastAsia="宋体"/>
                <w:i w:val="0"/>
                <w:color w:val="000000" w:themeColor="text1"/>
                <w:spacing w:val="0"/>
                <w:kern w:val="0"/>
                <w:sz w:val="18"/>
                <w:szCs w:val="18"/>
                <w:highlight w:val="none"/>
                <w:u w:val="none"/>
                <w:lang w:val="en-US" w:eastAsia="zh-CN" w:bidi="ar"/>
                <w14:textFill>
                  <w14:solidFill>
                    <w14:schemeClr w14:val="tx1"/>
                  </w14:solidFill>
                </w14:textFill>
              </w:rPr>
              <w:t>5、外机噪声≤</w:t>
            </w:r>
            <w:r>
              <w:rPr>
                <w:rFonts w:hint="eastAsia" w:ascii="宋体" w:hAnsi="宋体"/>
                <w:i w:val="0"/>
                <w:color w:val="000000" w:themeColor="text1"/>
                <w:spacing w:val="0"/>
                <w:kern w:val="0"/>
                <w:sz w:val="18"/>
                <w:szCs w:val="18"/>
                <w:highlight w:val="none"/>
                <w:u w:val="none"/>
                <w:lang w:val="en-US" w:eastAsia="zh-CN" w:bidi="ar"/>
                <w14:textFill>
                  <w14:solidFill>
                    <w14:schemeClr w14:val="tx1"/>
                  </w14:solidFill>
                </w14:textFill>
              </w:rPr>
              <w:t>70</w:t>
            </w:r>
            <w:r>
              <w:rPr>
                <w:rFonts w:hint="eastAsia" w:ascii="宋体" w:hAnsi="宋体" w:eastAsia="宋体"/>
                <w:i w:val="0"/>
                <w:color w:val="000000" w:themeColor="text1"/>
                <w:spacing w:val="0"/>
                <w:kern w:val="0"/>
                <w:sz w:val="18"/>
                <w:szCs w:val="18"/>
                <w:highlight w:val="none"/>
                <w:u w:val="none"/>
                <w:lang w:val="en-US" w:eastAsia="zh-CN" w:bidi="ar"/>
                <w14:textFill>
                  <w14:solidFill>
                    <w14:schemeClr w14:val="tx1"/>
                  </w14:solidFill>
                </w14:textFill>
              </w:rPr>
              <w:t>分贝</w:t>
            </w:r>
          </w:p>
          <w:p w14:paraId="05E4C19C">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i w:val="0"/>
                <w:iCs w:val="0"/>
                <w:color w:val="FF0000"/>
                <w:sz w:val="18"/>
                <w:szCs w:val="18"/>
                <w:u w:val="none"/>
              </w:rPr>
            </w:pPr>
            <w:r>
              <w:rPr>
                <w:rFonts w:hint="eastAsia" w:ascii="宋体" w:hAnsi="宋体" w:eastAsia="宋体"/>
                <w:i w:val="0"/>
                <w:color w:val="000000" w:themeColor="text1"/>
                <w:spacing w:val="0"/>
                <w:kern w:val="0"/>
                <w:sz w:val="18"/>
                <w:szCs w:val="18"/>
                <w:highlight w:val="none"/>
                <w:u w:val="none"/>
                <w:lang w:val="en-US" w:eastAsia="zh-CN" w:bidi="ar"/>
                <w14:textFill>
                  <w14:solidFill>
                    <w14:schemeClr w14:val="tx1"/>
                  </w14:solidFill>
                </w14:textFill>
              </w:rPr>
              <w:t>6、额定电压：380V 3N-50HZ</w:t>
            </w:r>
          </w:p>
        </w:tc>
        <w:tc>
          <w:tcPr>
            <w:tcW w:w="2501" w:type="dxa"/>
            <w:vMerge w:val="restart"/>
            <w:tcBorders>
              <w:top w:val="single" w:color="000000" w:sz="4" w:space="0"/>
              <w:left w:val="single" w:color="000000" w:sz="4" w:space="0"/>
              <w:right w:val="single" w:color="000000" w:sz="4" w:space="0"/>
            </w:tcBorders>
            <w:noWrap w:val="0"/>
            <w:vAlign w:val="center"/>
          </w:tcPr>
          <w:p w14:paraId="4EF17F67">
            <w:pPr>
              <w:keepNext w:val="0"/>
              <w:keepLines w:val="0"/>
              <w:widowControl/>
              <w:suppressLineNumbers w:val="0"/>
              <w:spacing w:before="0" w:beforeAutospacing="0" w:after="0" w:afterAutospacing="0"/>
              <w:ind w:left="0" w:right="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1、工作内容包含外机基础浇筑、</w:t>
            </w:r>
            <w:r>
              <w:rPr>
                <w:rFonts w:hint="eastAsia" w:ascii="宋体" w:hAnsi="宋体" w:cs="宋体"/>
                <w:i w:val="0"/>
                <w:iCs w:val="0"/>
                <w:color w:val="000000"/>
                <w:kern w:val="0"/>
                <w:sz w:val="18"/>
                <w:szCs w:val="18"/>
                <w:u w:val="none"/>
                <w:lang w:val="en-US" w:eastAsia="zh-CN" w:bidi="ar"/>
              </w:rPr>
              <w:t>外机至配电箱的电缆、</w:t>
            </w:r>
            <w:r>
              <w:rPr>
                <w:rFonts w:hint="eastAsia" w:ascii="宋体" w:hAnsi="宋体" w:eastAsia="宋体" w:cs="宋体"/>
                <w:i w:val="0"/>
                <w:iCs w:val="0"/>
                <w:color w:val="000000"/>
                <w:kern w:val="0"/>
                <w:sz w:val="18"/>
                <w:szCs w:val="18"/>
                <w:u w:val="none"/>
                <w:lang w:val="en-US" w:eastAsia="zh-CN" w:bidi="ar"/>
              </w:rPr>
              <w:t>新机体（内、外）安装、</w:t>
            </w:r>
            <w:r>
              <w:rPr>
                <w:rFonts w:hint="eastAsia" w:ascii="宋体" w:hAnsi="宋体" w:cs="宋体"/>
                <w:i w:val="0"/>
                <w:iCs w:val="0"/>
                <w:color w:val="000000"/>
                <w:kern w:val="0"/>
                <w:sz w:val="18"/>
                <w:szCs w:val="18"/>
                <w:u w:val="none"/>
                <w:lang w:val="en-US" w:eastAsia="zh-CN" w:bidi="ar"/>
              </w:rPr>
              <w:t>水泵安装、</w:t>
            </w:r>
            <w:r>
              <w:rPr>
                <w:rFonts w:hint="eastAsia" w:ascii="宋体" w:hAnsi="宋体" w:eastAsia="宋体" w:cs="宋体"/>
                <w:i w:val="0"/>
                <w:iCs w:val="0"/>
                <w:color w:val="000000"/>
                <w:kern w:val="0"/>
                <w:sz w:val="18"/>
                <w:szCs w:val="18"/>
                <w:u w:val="none"/>
                <w:lang w:val="en-US" w:eastAsia="zh-CN" w:bidi="ar"/>
              </w:rPr>
              <w:t>风机盘管线控器（</w:t>
            </w:r>
            <w:r>
              <w:rPr>
                <w:rFonts w:hint="eastAsia" w:ascii="宋体" w:hAnsi="宋体" w:cs="宋体"/>
                <w:i w:val="0"/>
                <w:iCs w:val="0"/>
                <w:color w:val="000000"/>
                <w:kern w:val="0"/>
                <w:sz w:val="18"/>
                <w:szCs w:val="18"/>
                <w:u w:val="none"/>
                <w:lang w:val="en-US" w:eastAsia="zh-CN" w:bidi="ar"/>
              </w:rPr>
              <w:t>按键式</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安装</w:t>
            </w:r>
            <w:r>
              <w:rPr>
                <w:rFonts w:hint="eastAsia" w:ascii="宋体" w:hAnsi="宋体" w:eastAsia="宋体" w:cs="宋体"/>
                <w:i w:val="0"/>
                <w:iCs w:val="0"/>
                <w:color w:val="000000"/>
                <w:kern w:val="0"/>
                <w:sz w:val="18"/>
                <w:szCs w:val="18"/>
                <w:u w:val="none"/>
                <w:lang w:val="en-US" w:eastAsia="zh-CN" w:bidi="ar"/>
              </w:rPr>
              <w:t>、主机智控模块（原厂标配）</w:t>
            </w:r>
            <w:r>
              <w:rPr>
                <w:rFonts w:hint="eastAsia" w:ascii="宋体" w:hAnsi="宋体" w:cs="宋体"/>
                <w:i w:val="0"/>
                <w:iCs w:val="0"/>
                <w:color w:val="000000"/>
                <w:kern w:val="0"/>
                <w:sz w:val="18"/>
                <w:szCs w:val="18"/>
                <w:u w:val="none"/>
                <w:lang w:val="en-US" w:eastAsia="zh-CN" w:bidi="ar"/>
              </w:rPr>
              <w:t>安装、</w:t>
            </w:r>
            <w:r>
              <w:rPr>
                <w:rFonts w:hint="eastAsia" w:ascii="宋体" w:hAnsi="宋体" w:eastAsia="宋体" w:cs="宋体"/>
                <w:i w:val="0"/>
                <w:iCs w:val="0"/>
                <w:color w:val="000000"/>
                <w:kern w:val="0"/>
                <w:sz w:val="18"/>
                <w:szCs w:val="18"/>
                <w:u w:val="none"/>
                <w:lang w:val="en-US" w:eastAsia="zh-CN" w:bidi="ar"/>
              </w:rPr>
              <w:t>开孔及防水处理、面板及管线安装、铜管及管体保温材料安装、空调排水管安装、面板控制器安装、制冷剂添加、设备调试等交钥匙工程的全部</w:t>
            </w:r>
            <w:r>
              <w:rPr>
                <w:rFonts w:hint="eastAsia" w:ascii="宋体" w:hAnsi="宋体" w:cs="宋体"/>
                <w:i w:val="0"/>
                <w:iCs w:val="0"/>
                <w:color w:val="000000"/>
                <w:kern w:val="0"/>
                <w:sz w:val="18"/>
                <w:szCs w:val="18"/>
                <w:u w:val="none"/>
                <w:lang w:val="en-US" w:eastAsia="zh-CN" w:bidi="ar"/>
              </w:rPr>
              <w:t>工作；</w:t>
            </w:r>
          </w:p>
          <w:p w14:paraId="5C77BA7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2、报价包含设备费、材料费、运输费、吊装费、安装费、人工费、管理费、</w:t>
            </w:r>
            <w:r>
              <w:rPr>
                <w:rFonts w:hint="eastAsia" w:ascii="宋体" w:hAnsi="宋体" w:cs="宋体"/>
                <w:i w:val="0"/>
                <w:iCs w:val="0"/>
                <w:color w:val="000000"/>
                <w:kern w:val="0"/>
                <w:sz w:val="18"/>
                <w:szCs w:val="18"/>
                <w:u w:val="none"/>
                <w:lang w:val="en-US" w:eastAsia="zh-CN" w:bidi="ar"/>
              </w:rPr>
              <w:t>安全措施费、</w:t>
            </w:r>
            <w:r>
              <w:rPr>
                <w:rFonts w:hint="eastAsia" w:ascii="宋体" w:hAnsi="宋体" w:eastAsia="宋体" w:cs="宋体"/>
                <w:i w:val="0"/>
                <w:iCs w:val="0"/>
                <w:color w:val="000000"/>
                <w:kern w:val="0"/>
                <w:sz w:val="18"/>
                <w:szCs w:val="18"/>
                <w:u w:val="none"/>
                <w:lang w:val="en-US" w:eastAsia="zh-CN" w:bidi="ar"/>
              </w:rPr>
              <w:t>利润、</w:t>
            </w:r>
            <w:r>
              <w:rPr>
                <w:rFonts w:hint="eastAsia" w:ascii="宋体" w:hAnsi="宋体" w:cs="宋体"/>
                <w:i w:val="0"/>
                <w:iCs w:val="0"/>
                <w:color w:val="000000"/>
                <w:kern w:val="0"/>
                <w:sz w:val="18"/>
                <w:szCs w:val="18"/>
                <w:u w:val="none"/>
                <w:lang w:val="en-US" w:eastAsia="zh-CN" w:bidi="ar"/>
              </w:rPr>
              <w:t>9%增值税</w:t>
            </w:r>
            <w:r>
              <w:rPr>
                <w:rFonts w:hint="eastAsia" w:ascii="宋体" w:hAnsi="宋体" w:eastAsia="宋体" w:cs="宋体"/>
                <w:i w:val="0"/>
                <w:iCs w:val="0"/>
                <w:color w:val="000000"/>
                <w:kern w:val="0"/>
                <w:sz w:val="18"/>
                <w:szCs w:val="18"/>
                <w:u w:val="none"/>
                <w:lang w:val="en-US" w:eastAsia="zh-CN" w:bidi="ar"/>
              </w:rPr>
              <w:t>税费等</w:t>
            </w:r>
            <w:r>
              <w:rPr>
                <w:rFonts w:hint="eastAsia" w:ascii="宋体" w:hAnsi="宋体" w:cs="宋体"/>
                <w:i w:val="0"/>
                <w:iCs w:val="0"/>
                <w:color w:val="000000"/>
                <w:kern w:val="0"/>
                <w:sz w:val="18"/>
                <w:szCs w:val="18"/>
                <w:u w:val="none"/>
                <w:lang w:val="en-US" w:eastAsia="zh-CN" w:bidi="ar"/>
              </w:rPr>
              <w:t>完成工作内容需要发生的</w:t>
            </w:r>
            <w:r>
              <w:rPr>
                <w:rFonts w:hint="eastAsia" w:ascii="宋体" w:hAnsi="宋体" w:eastAsia="宋体" w:cs="宋体"/>
                <w:i w:val="0"/>
                <w:iCs w:val="0"/>
                <w:color w:val="000000"/>
                <w:kern w:val="0"/>
                <w:sz w:val="18"/>
                <w:szCs w:val="18"/>
                <w:u w:val="none"/>
                <w:lang w:val="en-US" w:eastAsia="zh-CN" w:bidi="ar"/>
              </w:rPr>
              <w:t>全部费用。</w:t>
            </w:r>
          </w:p>
        </w:tc>
      </w:tr>
      <w:tr w14:paraId="63CF3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2"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14:paraId="10C77D1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eastAsia="宋体"/>
                <w:i w:val="0"/>
                <w:color w:val="000000"/>
                <w:spacing w:val="0"/>
                <w:kern w:val="0"/>
                <w:sz w:val="18"/>
                <w:szCs w:val="18"/>
                <w:u w:val="none"/>
                <w:lang w:val="en-US" w:eastAsia="zh-CN" w:bidi="ar"/>
              </w:rPr>
              <w:t>2</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3DB3C2D9">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i w:val="0"/>
                <w:iCs w:val="0"/>
                <w:color w:val="000000"/>
                <w:sz w:val="18"/>
                <w:szCs w:val="18"/>
                <w:u w:val="none"/>
              </w:rPr>
            </w:pPr>
            <w:r>
              <w:rPr>
                <w:rFonts w:hint="eastAsia" w:ascii="宋体" w:hAnsi="宋体"/>
                <w:i w:val="0"/>
                <w:color w:val="000000"/>
                <w:spacing w:val="0"/>
                <w:kern w:val="0"/>
                <w:sz w:val="18"/>
                <w:szCs w:val="18"/>
                <w:u w:val="none"/>
                <w:lang w:val="en-US" w:eastAsia="zh-CN" w:bidi="ar"/>
              </w:rPr>
              <w:t>吊顶</w:t>
            </w:r>
            <w:r>
              <w:rPr>
                <w:rFonts w:hint="eastAsia" w:ascii="宋体" w:hAnsi="宋体" w:eastAsia="宋体"/>
                <w:i w:val="0"/>
                <w:color w:val="000000"/>
                <w:spacing w:val="0"/>
                <w:kern w:val="0"/>
                <w:sz w:val="18"/>
                <w:szCs w:val="18"/>
                <w:u w:val="none"/>
                <w:lang w:val="en-US" w:eastAsia="zh-CN" w:bidi="ar"/>
              </w:rPr>
              <w:t>暗装风机盘管</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14:paraId="7010158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eastAsia="宋体"/>
                <w:i w:val="0"/>
                <w:color w:val="000000"/>
                <w:spacing w:val="0"/>
                <w:kern w:val="0"/>
                <w:sz w:val="18"/>
                <w:szCs w:val="18"/>
                <w:u w:val="none"/>
                <w:lang w:val="en-US" w:eastAsia="zh-CN" w:bidi="ar"/>
              </w:rPr>
              <w:t>台</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24240CB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lang w:val="en-US" w:eastAsia="zh-CN"/>
              </w:rPr>
            </w:pPr>
            <w:r>
              <w:rPr>
                <w:rFonts w:hint="eastAsia" w:ascii="宋体" w:hAnsi="宋体"/>
                <w:i w:val="0"/>
                <w:color w:val="000000"/>
                <w:spacing w:val="0"/>
                <w:kern w:val="0"/>
                <w:sz w:val="18"/>
                <w:szCs w:val="18"/>
                <w:u w:val="none"/>
                <w:lang w:val="en-US" w:eastAsia="zh-CN" w:bidi="ar"/>
              </w:rPr>
              <w:t>34</w:t>
            </w:r>
          </w:p>
        </w:tc>
        <w:tc>
          <w:tcPr>
            <w:tcW w:w="3202" w:type="dxa"/>
            <w:tcBorders>
              <w:top w:val="single" w:color="000000" w:sz="4" w:space="0"/>
              <w:left w:val="single" w:color="000000" w:sz="4" w:space="0"/>
              <w:bottom w:val="single" w:color="000000" w:sz="4" w:space="0"/>
              <w:right w:val="single" w:color="000000" w:sz="4" w:space="0"/>
            </w:tcBorders>
            <w:noWrap w:val="0"/>
            <w:vAlign w:val="center"/>
          </w:tcPr>
          <w:p w14:paraId="1CF6FC58">
            <w:pPr>
              <w:keepNext w:val="0"/>
              <w:keepLines w:val="0"/>
              <w:numPr>
                <w:ilvl w:val="0"/>
                <w:numId w:val="11"/>
              </w:numPr>
              <w:suppressLineNumbers w:val="0"/>
              <w:spacing w:before="0" w:beforeAutospacing="0" w:after="0" w:afterAutospacing="0"/>
              <w:ind w:left="0" w:right="0"/>
              <w:jc w:val="both"/>
              <w:rPr>
                <w:rFonts w:hint="eastAsia" w:ascii="宋体" w:hAnsi="宋体" w:eastAsia="宋体"/>
                <w:i w:val="0"/>
                <w:color w:val="000000" w:themeColor="text1"/>
                <w:spacing w:val="0"/>
                <w:kern w:val="0"/>
                <w:sz w:val="18"/>
                <w:szCs w:val="18"/>
                <w:highlight w:val="none"/>
                <w:u w:val="none"/>
                <w:lang w:val="en-US" w:eastAsia="zh-CN" w:bidi="ar"/>
                <w14:textFill>
                  <w14:solidFill>
                    <w14:schemeClr w14:val="tx1"/>
                  </w14:solidFill>
                </w14:textFill>
              </w:rPr>
            </w:pPr>
            <w:r>
              <w:rPr>
                <w:rFonts w:hint="eastAsia" w:ascii="宋体" w:hAnsi="宋体"/>
                <w:i w:val="0"/>
                <w:color w:val="000000" w:themeColor="text1"/>
                <w:spacing w:val="0"/>
                <w:kern w:val="0"/>
                <w:sz w:val="18"/>
                <w:szCs w:val="18"/>
                <w:highlight w:val="none"/>
                <w:u w:val="none"/>
                <w:lang w:val="en-US" w:eastAsia="zh-CN" w:bidi="ar"/>
                <w14:textFill>
                  <w14:solidFill>
                    <w14:schemeClr w14:val="tx1"/>
                  </w14:solidFill>
                </w14:textFill>
              </w:rPr>
              <w:t>循环</w:t>
            </w:r>
            <w:r>
              <w:rPr>
                <w:rFonts w:hint="eastAsia" w:ascii="宋体" w:hAnsi="宋体" w:eastAsia="宋体"/>
                <w:i w:val="0"/>
                <w:color w:val="000000" w:themeColor="text1"/>
                <w:spacing w:val="0"/>
                <w:kern w:val="0"/>
                <w:sz w:val="18"/>
                <w:szCs w:val="18"/>
                <w:highlight w:val="none"/>
                <w:u w:val="none"/>
                <w:lang w:val="en-US" w:eastAsia="zh-CN" w:bidi="ar"/>
                <w14:textFill>
                  <w14:solidFill>
                    <w14:schemeClr w14:val="tx1"/>
                  </w14:solidFill>
                </w14:textFill>
              </w:rPr>
              <w:t>风量≥</w:t>
            </w:r>
            <w:r>
              <w:rPr>
                <w:rFonts w:hint="eastAsia" w:ascii="宋体" w:hAnsi="宋体"/>
                <w:i w:val="0"/>
                <w:color w:val="000000" w:themeColor="text1"/>
                <w:spacing w:val="0"/>
                <w:kern w:val="0"/>
                <w:sz w:val="18"/>
                <w:szCs w:val="18"/>
                <w:highlight w:val="none"/>
                <w:u w:val="none"/>
                <w:lang w:val="en-US" w:eastAsia="zh-CN" w:bidi="ar"/>
                <w14:textFill>
                  <w14:solidFill>
                    <w14:schemeClr w14:val="tx1"/>
                  </w14:solidFill>
                </w14:textFill>
              </w:rPr>
              <w:t>2380</w:t>
            </w:r>
            <w:r>
              <w:rPr>
                <w:rFonts w:hint="eastAsia" w:ascii="宋体" w:hAnsi="宋体" w:eastAsia="宋体"/>
                <w:i w:val="0"/>
                <w:color w:val="000000" w:themeColor="text1"/>
                <w:spacing w:val="0"/>
                <w:kern w:val="0"/>
                <w:sz w:val="18"/>
                <w:szCs w:val="18"/>
                <w:highlight w:val="none"/>
                <w:u w:val="none"/>
                <w:lang w:val="en-US" w:eastAsia="zh-CN" w:bidi="ar"/>
                <w14:textFill>
                  <w14:solidFill>
                    <w14:schemeClr w14:val="tx1"/>
                  </w14:solidFill>
                </w14:textFill>
              </w:rPr>
              <w:t>m3/h</w:t>
            </w:r>
          </w:p>
          <w:p w14:paraId="67BA2F89">
            <w:pPr>
              <w:keepNext w:val="0"/>
              <w:keepLines w:val="0"/>
              <w:numPr>
                <w:ilvl w:val="0"/>
                <w:numId w:val="0"/>
              </w:numPr>
              <w:suppressLineNumbers w:val="0"/>
              <w:spacing w:before="0" w:beforeAutospacing="0" w:after="0" w:afterAutospacing="0"/>
              <w:ind w:left="0" w:right="0"/>
              <w:jc w:val="both"/>
              <w:rPr>
                <w:rFonts w:hint="eastAsia" w:ascii="宋体" w:hAnsi="宋体" w:eastAsia="宋体"/>
                <w:i w:val="0"/>
                <w:color w:val="000000" w:themeColor="text1"/>
                <w:spacing w:val="0"/>
                <w:kern w:val="0"/>
                <w:sz w:val="18"/>
                <w:szCs w:val="18"/>
                <w:highlight w:val="none"/>
                <w:u w:val="none"/>
                <w:lang w:val="en-US" w:eastAsia="zh-CN" w:bidi="ar"/>
                <w14:textFill>
                  <w14:solidFill>
                    <w14:schemeClr w14:val="tx1"/>
                  </w14:solidFill>
                </w14:textFill>
              </w:rPr>
            </w:pPr>
            <w:r>
              <w:rPr>
                <w:rFonts w:hint="eastAsia" w:ascii="宋体" w:hAnsi="宋体" w:eastAsia="宋体"/>
                <w:i w:val="0"/>
                <w:color w:val="000000" w:themeColor="text1"/>
                <w:spacing w:val="0"/>
                <w:kern w:val="0"/>
                <w:sz w:val="18"/>
                <w:szCs w:val="18"/>
                <w:highlight w:val="none"/>
                <w:u w:val="none"/>
                <w:lang w:val="en-US" w:eastAsia="zh-CN" w:bidi="ar"/>
                <w14:textFill>
                  <w14:solidFill>
                    <w14:schemeClr w14:val="tx1"/>
                  </w14:solidFill>
                </w14:textFill>
              </w:rPr>
              <w:t>2、</w:t>
            </w:r>
            <w:r>
              <w:rPr>
                <w:rFonts w:hint="eastAsia" w:ascii="宋体" w:hAnsi="宋体"/>
                <w:i w:val="0"/>
                <w:color w:val="000000" w:themeColor="text1"/>
                <w:spacing w:val="0"/>
                <w:kern w:val="0"/>
                <w:sz w:val="18"/>
                <w:szCs w:val="18"/>
                <w:highlight w:val="none"/>
                <w:u w:val="none"/>
                <w:lang w:val="en-US" w:eastAsia="zh-CN" w:bidi="ar"/>
                <w14:textFill>
                  <w14:solidFill>
                    <w14:schemeClr w14:val="tx1"/>
                  </w14:solidFill>
                </w14:textFill>
              </w:rPr>
              <w:t>制</w:t>
            </w:r>
            <w:r>
              <w:rPr>
                <w:rFonts w:hint="eastAsia" w:ascii="宋体" w:hAnsi="宋体" w:eastAsia="宋体"/>
                <w:i w:val="0"/>
                <w:color w:val="000000" w:themeColor="text1"/>
                <w:spacing w:val="0"/>
                <w:kern w:val="0"/>
                <w:sz w:val="18"/>
                <w:szCs w:val="18"/>
                <w:highlight w:val="none"/>
                <w:u w:val="none"/>
                <w:lang w:val="en-US" w:eastAsia="zh-CN" w:bidi="ar"/>
                <w14:textFill>
                  <w14:solidFill>
                    <w14:schemeClr w14:val="tx1"/>
                  </w14:solidFill>
                </w14:textFill>
              </w:rPr>
              <w:t>冷量≥</w:t>
            </w:r>
            <w:r>
              <w:rPr>
                <w:rFonts w:hint="eastAsia" w:ascii="宋体" w:hAnsi="宋体"/>
                <w:i w:val="0"/>
                <w:color w:val="000000" w:themeColor="text1"/>
                <w:spacing w:val="0"/>
                <w:kern w:val="0"/>
                <w:sz w:val="18"/>
                <w:szCs w:val="18"/>
                <w:highlight w:val="none"/>
                <w:u w:val="none"/>
                <w:lang w:val="en-US" w:eastAsia="zh-CN" w:bidi="ar"/>
                <w14:textFill>
                  <w14:solidFill>
                    <w14:schemeClr w14:val="tx1"/>
                  </w14:solidFill>
                </w14:textFill>
              </w:rPr>
              <w:t>13000</w:t>
            </w:r>
            <w:r>
              <w:rPr>
                <w:rFonts w:hint="eastAsia" w:ascii="宋体" w:hAnsi="宋体" w:eastAsia="宋体"/>
                <w:i w:val="0"/>
                <w:color w:val="000000" w:themeColor="text1"/>
                <w:spacing w:val="0"/>
                <w:kern w:val="0"/>
                <w:sz w:val="18"/>
                <w:szCs w:val="18"/>
                <w:highlight w:val="none"/>
                <w:u w:val="none"/>
                <w:lang w:val="en-US" w:eastAsia="zh-CN" w:bidi="ar"/>
                <w14:textFill>
                  <w14:solidFill>
                    <w14:schemeClr w14:val="tx1"/>
                  </w14:solidFill>
                </w14:textFill>
              </w:rPr>
              <w:t xml:space="preserve">W            </w:t>
            </w:r>
          </w:p>
          <w:p w14:paraId="7D98F7D9">
            <w:pPr>
              <w:keepNext w:val="0"/>
              <w:keepLines w:val="0"/>
              <w:numPr>
                <w:ilvl w:val="0"/>
                <w:numId w:val="0"/>
              </w:numPr>
              <w:suppressLineNumbers w:val="0"/>
              <w:spacing w:before="0" w:beforeAutospacing="0" w:after="0" w:afterAutospacing="0"/>
              <w:ind w:left="0" w:right="0"/>
              <w:jc w:val="both"/>
              <w:rPr>
                <w:rFonts w:hint="eastAsia" w:ascii="宋体" w:hAnsi="宋体"/>
                <w:i w:val="0"/>
                <w:color w:val="000000" w:themeColor="text1"/>
                <w:spacing w:val="0"/>
                <w:kern w:val="0"/>
                <w:sz w:val="18"/>
                <w:szCs w:val="18"/>
                <w:highlight w:val="none"/>
                <w:u w:val="none"/>
                <w:lang w:val="en-US" w:eastAsia="zh-CN" w:bidi="ar"/>
                <w14:textFill>
                  <w14:solidFill>
                    <w14:schemeClr w14:val="tx1"/>
                  </w14:solidFill>
                </w14:textFill>
              </w:rPr>
            </w:pPr>
            <w:r>
              <w:rPr>
                <w:rFonts w:hint="eastAsia" w:ascii="宋体" w:hAnsi="宋体" w:eastAsia="宋体"/>
                <w:i w:val="0"/>
                <w:color w:val="000000" w:themeColor="text1"/>
                <w:spacing w:val="0"/>
                <w:kern w:val="0"/>
                <w:sz w:val="18"/>
                <w:szCs w:val="18"/>
                <w:highlight w:val="none"/>
                <w:u w:val="none"/>
                <w:lang w:val="en-US" w:eastAsia="zh-CN" w:bidi="ar"/>
                <w14:textFill>
                  <w14:solidFill>
                    <w14:schemeClr w14:val="tx1"/>
                  </w14:solidFill>
                </w14:textFill>
              </w:rPr>
              <w:t>3、</w:t>
            </w:r>
            <w:r>
              <w:rPr>
                <w:rFonts w:hint="eastAsia" w:ascii="宋体" w:hAnsi="宋体"/>
                <w:i w:val="0"/>
                <w:color w:val="000000" w:themeColor="text1"/>
                <w:spacing w:val="0"/>
                <w:kern w:val="0"/>
                <w:sz w:val="18"/>
                <w:szCs w:val="18"/>
                <w:highlight w:val="none"/>
                <w:u w:val="none"/>
                <w:lang w:val="en-US" w:eastAsia="zh-CN" w:bidi="ar"/>
                <w14:textFill>
                  <w14:solidFill>
                    <w14:schemeClr w14:val="tx1"/>
                  </w14:solidFill>
                </w14:textFill>
              </w:rPr>
              <w:t>制热量（45℃</w:t>
            </w:r>
          </w:p>
          <w:p w14:paraId="24A1FE83">
            <w:pPr>
              <w:keepNext w:val="0"/>
              <w:keepLines w:val="0"/>
              <w:widowControl/>
              <w:suppressLineNumbers w:val="0"/>
              <w:spacing w:before="0" w:beforeAutospacing="0" w:after="0" w:afterAutospacing="0"/>
              <w:ind w:left="0" w:right="0"/>
              <w:jc w:val="both"/>
              <w:rPr>
                <w:rFonts w:hint="eastAsia" w:ascii="宋体" w:hAnsi="宋体" w:eastAsia="宋体"/>
                <w:i w:val="0"/>
                <w:color w:val="000000" w:themeColor="text1"/>
                <w:spacing w:val="0"/>
                <w:kern w:val="0"/>
                <w:sz w:val="18"/>
                <w:szCs w:val="18"/>
                <w:highlight w:val="none"/>
                <w:u w:val="none"/>
                <w:lang w:val="en-US" w:eastAsia="zh-CN" w:bidi="ar"/>
                <w14:textFill>
                  <w14:solidFill>
                    <w14:schemeClr w14:val="tx1"/>
                  </w14:solidFill>
                </w14:textFill>
              </w:rPr>
            </w:pPr>
            <w:r>
              <w:rPr>
                <w:rFonts w:hint="eastAsia" w:ascii="宋体" w:hAnsi="宋体"/>
                <w:i w:val="0"/>
                <w:color w:val="000000" w:themeColor="text1"/>
                <w:spacing w:val="0"/>
                <w:kern w:val="0"/>
                <w:sz w:val="18"/>
                <w:szCs w:val="18"/>
                <w:highlight w:val="none"/>
                <w:u w:val="none"/>
                <w:lang w:val="en-US" w:eastAsia="zh-CN" w:bidi="ar"/>
                <w14:textFill>
                  <w14:solidFill>
                    <w14:schemeClr w14:val="tx1"/>
                  </w14:solidFill>
                </w14:textFill>
              </w:rPr>
              <w:t>）</w:t>
            </w:r>
            <w:r>
              <w:rPr>
                <w:rFonts w:hint="eastAsia" w:ascii="宋体" w:hAnsi="宋体" w:eastAsia="宋体"/>
                <w:i w:val="0"/>
                <w:color w:val="000000" w:themeColor="text1"/>
                <w:spacing w:val="0"/>
                <w:kern w:val="0"/>
                <w:sz w:val="18"/>
                <w:szCs w:val="18"/>
                <w:highlight w:val="none"/>
                <w:u w:val="none"/>
                <w:lang w:val="en-US" w:eastAsia="zh-CN" w:bidi="ar"/>
                <w14:textFill>
                  <w14:solidFill>
                    <w14:schemeClr w14:val="tx1"/>
                  </w14:solidFill>
                </w14:textFill>
              </w:rPr>
              <w:t>≥</w:t>
            </w:r>
            <w:r>
              <w:rPr>
                <w:rFonts w:hint="eastAsia" w:ascii="宋体" w:hAnsi="宋体"/>
                <w:i w:val="0"/>
                <w:color w:val="000000" w:themeColor="text1"/>
                <w:spacing w:val="0"/>
                <w:kern w:val="0"/>
                <w:sz w:val="18"/>
                <w:szCs w:val="18"/>
                <w:highlight w:val="none"/>
                <w:u w:val="none"/>
                <w:lang w:val="en-US" w:eastAsia="zh-CN" w:bidi="ar"/>
                <w14:textFill>
                  <w14:solidFill>
                    <w14:schemeClr w14:val="tx1"/>
                  </w14:solidFill>
                </w14:textFill>
              </w:rPr>
              <w:t>13000</w:t>
            </w:r>
            <w:r>
              <w:rPr>
                <w:rFonts w:hint="eastAsia" w:ascii="宋体" w:hAnsi="宋体" w:eastAsia="宋体"/>
                <w:i w:val="0"/>
                <w:color w:val="000000" w:themeColor="text1"/>
                <w:spacing w:val="0"/>
                <w:kern w:val="0"/>
                <w:sz w:val="18"/>
                <w:szCs w:val="18"/>
                <w:highlight w:val="none"/>
                <w:u w:val="none"/>
                <w:lang w:val="en-US" w:eastAsia="zh-CN" w:bidi="ar"/>
                <w14:textFill>
                  <w14:solidFill>
                    <w14:schemeClr w14:val="tx1"/>
                  </w14:solidFill>
                </w14:textFill>
              </w:rPr>
              <w:t xml:space="preserve">W                     </w:t>
            </w:r>
          </w:p>
          <w:p w14:paraId="65E1E068">
            <w:pPr>
              <w:keepNext w:val="0"/>
              <w:keepLines w:val="0"/>
              <w:widowControl/>
              <w:suppressLineNumbers w:val="0"/>
              <w:spacing w:before="0" w:beforeAutospacing="0" w:after="0" w:afterAutospacing="0"/>
              <w:ind w:left="0" w:right="0"/>
              <w:jc w:val="both"/>
              <w:rPr>
                <w:rFonts w:hint="eastAsia" w:ascii="宋体" w:hAnsi="宋体" w:eastAsia="宋体"/>
                <w:i w:val="0"/>
                <w:color w:val="000000" w:themeColor="text1"/>
                <w:spacing w:val="0"/>
                <w:kern w:val="0"/>
                <w:sz w:val="18"/>
                <w:szCs w:val="18"/>
                <w:highlight w:val="none"/>
                <w:u w:val="none"/>
                <w:lang w:val="en-US" w:eastAsia="zh-CN" w:bidi="ar"/>
                <w14:textFill>
                  <w14:solidFill>
                    <w14:schemeClr w14:val="tx1"/>
                  </w14:solidFill>
                </w14:textFill>
              </w:rPr>
            </w:pPr>
            <w:r>
              <w:rPr>
                <w:rFonts w:hint="eastAsia" w:ascii="宋体" w:hAnsi="宋体"/>
                <w:i w:val="0"/>
                <w:color w:val="000000" w:themeColor="text1"/>
                <w:spacing w:val="0"/>
                <w:kern w:val="0"/>
                <w:sz w:val="18"/>
                <w:szCs w:val="18"/>
                <w:highlight w:val="none"/>
                <w:u w:val="none"/>
                <w:lang w:val="en-US" w:eastAsia="zh-CN" w:bidi="ar"/>
                <w14:textFill>
                  <w14:solidFill>
                    <w14:schemeClr w14:val="tx1"/>
                  </w14:solidFill>
                </w14:textFill>
              </w:rPr>
              <w:t>4</w:t>
            </w:r>
            <w:r>
              <w:rPr>
                <w:rFonts w:hint="eastAsia" w:ascii="宋体" w:hAnsi="宋体" w:eastAsia="宋体"/>
                <w:i w:val="0"/>
                <w:color w:val="000000" w:themeColor="text1"/>
                <w:spacing w:val="0"/>
                <w:kern w:val="0"/>
                <w:sz w:val="18"/>
                <w:szCs w:val="18"/>
                <w:highlight w:val="none"/>
                <w:u w:val="none"/>
                <w:lang w:val="en-US" w:eastAsia="zh-CN" w:bidi="ar"/>
                <w14:textFill>
                  <w14:solidFill>
                    <w14:schemeClr w14:val="tx1"/>
                  </w14:solidFill>
                </w14:textFill>
              </w:rPr>
              <w:t>、噪音≤5</w:t>
            </w:r>
            <w:r>
              <w:rPr>
                <w:rFonts w:hint="eastAsia" w:ascii="宋体" w:hAnsi="宋体"/>
                <w:i w:val="0"/>
                <w:color w:val="000000" w:themeColor="text1"/>
                <w:spacing w:val="0"/>
                <w:kern w:val="0"/>
                <w:sz w:val="18"/>
                <w:szCs w:val="18"/>
                <w:highlight w:val="none"/>
                <w:u w:val="none"/>
                <w:lang w:val="en-US" w:eastAsia="zh-CN" w:bidi="ar"/>
                <w14:textFill>
                  <w14:solidFill>
                    <w14:schemeClr w14:val="tx1"/>
                  </w14:solidFill>
                </w14:textFill>
              </w:rPr>
              <w:t>5</w:t>
            </w:r>
            <w:r>
              <w:rPr>
                <w:rFonts w:hint="eastAsia" w:ascii="宋体" w:hAnsi="宋体" w:eastAsia="宋体"/>
                <w:i w:val="0"/>
                <w:color w:val="000000" w:themeColor="text1"/>
                <w:spacing w:val="0"/>
                <w:kern w:val="0"/>
                <w:sz w:val="18"/>
                <w:szCs w:val="18"/>
                <w:highlight w:val="none"/>
                <w:u w:val="none"/>
                <w:lang w:val="en-US" w:eastAsia="zh-CN" w:bidi="ar"/>
                <w14:textFill>
                  <w14:solidFill>
                    <w14:schemeClr w14:val="tx1"/>
                  </w14:solidFill>
                </w14:textFill>
              </w:rPr>
              <w:t>dB（A）</w:t>
            </w:r>
          </w:p>
          <w:p w14:paraId="100CC914">
            <w:pPr>
              <w:keepNext w:val="0"/>
              <w:keepLines w:val="0"/>
              <w:widowControl/>
              <w:suppressLineNumbers w:val="0"/>
              <w:spacing w:before="0" w:beforeAutospacing="0" w:after="0" w:afterAutospacing="0"/>
              <w:ind w:left="0" w:right="0"/>
              <w:jc w:val="both"/>
              <w:rPr>
                <w:rFonts w:hint="default" w:ascii="宋体" w:hAnsi="宋体" w:eastAsia="宋体"/>
                <w:i w:val="0"/>
                <w:color w:val="000000" w:themeColor="text1"/>
                <w:spacing w:val="0"/>
                <w:kern w:val="0"/>
                <w:sz w:val="18"/>
                <w:szCs w:val="18"/>
                <w:highlight w:val="none"/>
                <w:u w:val="none"/>
                <w:lang w:val="en-US" w:eastAsia="zh-CN" w:bidi="ar"/>
                <w14:textFill>
                  <w14:solidFill>
                    <w14:schemeClr w14:val="tx1"/>
                  </w14:solidFill>
                </w14:textFill>
              </w:rPr>
            </w:pPr>
            <w:r>
              <w:rPr>
                <w:rFonts w:hint="eastAsia" w:ascii="宋体" w:hAnsi="宋体"/>
                <w:i w:val="0"/>
                <w:color w:val="000000" w:themeColor="text1"/>
                <w:spacing w:val="0"/>
                <w:kern w:val="0"/>
                <w:sz w:val="18"/>
                <w:szCs w:val="18"/>
                <w:highlight w:val="none"/>
                <w:u w:val="none"/>
                <w:lang w:val="en-US" w:eastAsia="zh-CN" w:bidi="ar"/>
                <w14:textFill>
                  <w14:solidFill>
                    <w14:schemeClr w14:val="tx1"/>
                  </w14:solidFill>
                </w14:textFill>
              </w:rPr>
              <w:t>5</w:t>
            </w:r>
            <w:r>
              <w:rPr>
                <w:rFonts w:hint="eastAsia" w:ascii="宋体" w:hAnsi="宋体" w:eastAsia="宋体"/>
                <w:i w:val="0"/>
                <w:color w:val="000000" w:themeColor="text1"/>
                <w:spacing w:val="0"/>
                <w:kern w:val="0"/>
                <w:sz w:val="18"/>
                <w:szCs w:val="18"/>
                <w:highlight w:val="none"/>
                <w:u w:val="none"/>
                <w:lang w:val="en-US" w:eastAsia="zh-CN" w:bidi="ar"/>
                <w14:textFill>
                  <w14:solidFill>
                    <w14:schemeClr w14:val="tx1"/>
                  </w14:solidFill>
                </w14:textFill>
              </w:rPr>
              <w:t>、额定功率≤24</w:t>
            </w:r>
            <w:r>
              <w:rPr>
                <w:rFonts w:hint="eastAsia" w:ascii="宋体" w:hAnsi="宋体"/>
                <w:i w:val="0"/>
                <w:color w:val="000000" w:themeColor="text1"/>
                <w:spacing w:val="0"/>
                <w:kern w:val="0"/>
                <w:sz w:val="18"/>
                <w:szCs w:val="18"/>
                <w:highlight w:val="none"/>
                <w:u w:val="none"/>
                <w:lang w:val="en-US" w:eastAsia="zh-CN" w:bidi="ar"/>
                <w14:textFill>
                  <w14:solidFill>
                    <w14:schemeClr w14:val="tx1"/>
                  </w14:solidFill>
                </w14:textFill>
              </w:rPr>
              <w:t>4</w:t>
            </w:r>
            <w:r>
              <w:rPr>
                <w:rFonts w:hint="eastAsia" w:ascii="宋体" w:hAnsi="宋体" w:eastAsia="宋体"/>
                <w:i w:val="0"/>
                <w:color w:val="000000" w:themeColor="text1"/>
                <w:spacing w:val="0"/>
                <w:kern w:val="0"/>
                <w:sz w:val="18"/>
                <w:szCs w:val="18"/>
                <w:highlight w:val="none"/>
                <w:u w:val="none"/>
                <w:lang w:val="en-US" w:eastAsia="zh-CN" w:bidi="ar"/>
                <w14:textFill>
                  <w14:solidFill>
                    <w14:schemeClr w14:val="tx1"/>
                  </w14:solidFill>
                </w14:textFill>
              </w:rPr>
              <w:t>W</w:t>
            </w:r>
          </w:p>
          <w:p w14:paraId="2EE49220">
            <w:pPr>
              <w:keepNext w:val="0"/>
              <w:keepLines w:val="0"/>
              <w:widowControl/>
              <w:suppressLineNumbers w:val="0"/>
              <w:spacing w:before="0" w:beforeAutospacing="0" w:after="0" w:afterAutospacing="0"/>
              <w:ind w:left="0" w:leftChars="0" w:right="0" w:rightChars="0"/>
              <w:jc w:val="both"/>
              <w:rPr>
                <w:rFonts w:hint="eastAsia" w:ascii="宋体" w:hAnsi="宋体" w:eastAsia="宋体" w:cs="宋体"/>
                <w:i w:val="0"/>
                <w:iCs w:val="0"/>
                <w:color w:val="FF0000"/>
                <w:sz w:val="18"/>
                <w:szCs w:val="18"/>
                <w:u w:val="none"/>
              </w:rPr>
            </w:pPr>
            <w:r>
              <w:rPr>
                <w:rFonts w:hint="eastAsia" w:ascii="宋体" w:hAnsi="宋体"/>
                <w:i w:val="0"/>
                <w:color w:val="000000" w:themeColor="text1"/>
                <w:spacing w:val="0"/>
                <w:kern w:val="0"/>
                <w:sz w:val="18"/>
                <w:szCs w:val="18"/>
                <w:highlight w:val="none"/>
                <w:u w:val="none"/>
                <w:lang w:val="en-US" w:eastAsia="zh-CN" w:bidi="ar"/>
                <w14:textFill>
                  <w14:solidFill>
                    <w14:schemeClr w14:val="tx1"/>
                  </w14:solidFill>
                </w14:textFill>
              </w:rPr>
              <w:t>6</w:t>
            </w:r>
            <w:r>
              <w:rPr>
                <w:rFonts w:hint="eastAsia" w:ascii="宋体" w:hAnsi="宋体" w:eastAsia="宋体"/>
                <w:i w:val="0"/>
                <w:color w:val="000000" w:themeColor="text1"/>
                <w:spacing w:val="0"/>
                <w:kern w:val="0"/>
                <w:sz w:val="18"/>
                <w:szCs w:val="18"/>
                <w:highlight w:val="none"/>
                <w:u w:val="none"/>
                <w:lang w:val="en-US" w:eastAsia="zh-CN" w:bidi="ar"/>
                <w14:textFill>
                  <w14:solidFill>
                    <w14:schemeClr w14:val="tx1"/>
                  </w14:solidFill>
                </w14:textFill>
              </w:rPr>
              <w:t>、额定电压：220V 50HZ</w:t>
            </w:r>
          </w:p>
        </w:tc>
        <w:tc>
          <w:tcPr>
            <w:tcW w:w="2501" w:type="dxa"/>
            <w:vMerge w:val="continue"/>
            <w:tcBorders>
              <w:left w:val="single" w:color="000000" w:sz="4" w:space="0"/>
              <w:right w:val="single" w:color="000000" w:sz="4" w:space="0"/>
            </w:tcBorders>
            <w:noWrap w:val="0"/>
            <w:vAlign w:val="center"/>
          </w:tcPr>
          <w:p w14:paraId="03A3F97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7EF0E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6"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14:paraId="56AB0DE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i w:val="0"/>
                <w:color w:val="000000"/>
                <w:spacing w:val="0"/>
                <w:kern w:val="0"/>
                <w:sz w:val="18"/>
                <w:szCs w:val="18"/>
                <w:u w:val="none"/>
                <w:lang w:val="en-US" w:eastAsia="zh-CN" w:bidi="ar"/>
              </w:rPr>
              <w:t>3</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61CBD9CF">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kern w:val="0"/>
                <w:sz w:val="18"/>
                <w:szCs w:val="18"/>
                <w:u w:val="none"/>
                <w:lang w:val="en-US" w:eastAsia="zh-CN" w:bidi="ar"/>
              </w:rPr>
            </w:pPr>
            <w:r>
              <w:rPr>
                <w:rFonts w:hint="eastAsia" w:cs="Times New Roman"/>
                <w:kern w:val="2"/>
                <w:sz w:val="18"/>
                <w:szCs w:val="18"/>
                <w:lang w:val="en-US" w:eastAsia="zh-CN" w:bidi="ar-SA"/>
              </w:rPr>
              <w:t>水泵</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14:paraId="64E6013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Times New Roman"/>
                <w:i w:val="0"/>
                <w:color w:val="000000"/>
                <w:spacing w:val="0"/>
                <w:kern w:val="0"/>
                <w:sz w:val="18"/>
                <w:szCs w:val="18"/>
                <w:u w:val="none"/>
                <w:lang w:val="en-US" w:eastAsia="zh-CN" w:bidi="ar"/>
              </w:rPr>
              <w:t>台</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00ACB23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lang w:val="en-US" w:eastAsia="zh-CN"/>
              </w:rPr>
            </w:pPr>
            <w:r>
              <w:rPr>
                <w:rFonts w:hint="eastAsia" w:ascii="宋体" w:hAnsi="宋体" w:cs="Times New Roman"/>
                <w:i w:val="0"/>
                <w:color w:val="000000"/>
                <w:spacing w:val="0"/>
                <w:kern w:val="0"/>
                <w:sz w:val="18"/>
                <w:szCs w:val="18"/>
                <w:u w:val="none"/>
                <w:lang w:val="en-US" w:eastAsia="zh-CN" w:bidi="ar"/>
              </w:rPr>
              <w:t>2</w:t>
            </w:r>
          </w:p>
        </w:tc>
        <w:tc>
          <w:tcPr>
            <w:tcW w:w="3202" w:type="dxa"/>
            <w:tcBorders>
              <w:top w:val="single" w:color="000000" w:sz="4" w:space="0"/>
              <w:left w:val="single" w:color="000000" w:sz="4" w:space="0"/>
              <w:bottom w:val="single" w:color="000000" w:sz="4" w:space="0"/>
              <w:right w:val="single" w:color="000000" w:sz="4" w:space="0"/>
            </w:tcBorders>
            <w:noWrap w:val="0"/>
            <w:vAlign w:val="center"/>
          </w:tcPr>
          <w:p w14:paraId="2F770CFB">
            <w:pPr>
              <w:keepNext w:val="0"/>
              <w:keepLines w:val="0"/>
              <w:widowControl/>
              <w:numPr>
                <w:ilvl w:val="0"/>
                <w:numId w:val="0"/>
              </w:numPr>
              <w:suppressLineNumbers w:val="0"/>
              <w:spacing w:before="0" w:beforeAutospacing="0" w:after="0" w:afterAutospacing="0"/>
              <w:ind w:left="0" w:leftChars="0" w:right="0" w:rightChars="0" w:firstLine="0" w:firstLineChars="0"/>
              <w:jc w:val="both"/>
              <w:rPr>
                <w:rFonts w:hint="eastAsia" w:ascii="宋体" w:hAnsi="宋体" w:eastAsia="宋体" w:cs="宋体"/>
                <w:i w:val="0"/>
                <w:iCs w:val="0"/>
                <w:color w:val="FF0000"/>
                <w:kern w:val="0"/>
                <w:sz w:val="18"/>
                <w:szCs w:val="18"/>
                <w:u w:val="none"/>
                <w:lang w:val="en-US" w:eastAsia="zh-CN" w:bidi="ar"/>
              </w:rPr>
            </w:pPr>
            <w:r>
              <w:rPr>
                <w:rFonts w:hint="eastAsia" w:ascii="宋体" w:hAnsi="宋体"/>
                <w:i w:val="0"/>
                <w:color w:val="000000" w:themeColor="text1"/>
                <w:spacing w:val="0"/>
                <w:kern w:val="0"/>
                <w:sz w:val="18"/>
                <w:szCs w:val="18"/>
                <w:highlight w:val="none"/>
                <w:u w:val="none"/>
                <w:lang w:val="en-US" w:eastAsia="zh-CN" w:bidi="ar"/>
                <w14:textFill>
                  <w14:solidFill>
                    <w14:schemeClr w14:val="tx1"/>
                  </w14:solidFill>
                </w14:textFill>
              </w:rPr>
              <w:t>立式，流量：75m</w:t>
            </w:r>
            <w:r>
              <w:rPr>
                <w:rFonts w:hint="eastAsia" w:ascii="宋体" w:hAnsi="宋体"/>
                <w:i w:val="0"/>
                <w:color w:val="000000" w:themeColor="text1"/>
                <w:spacing w:val="0"/>
                <w:kern w:val="0"/>
                <w:sz w:val="18"/>
                <w:szCs w:val="18"/>
                <w:highlight w:val="none"/>
                <w:u w:val="none"/>
                <w:vertAlign w:val="superscript"/>
                <w:lang w:val="en-US" w:eastAsia="zh-CN" w:bidi="ar"/>
                <w14:textFill>
                  <w14:solidFill>
                    <w14:schemeClr w14:val="tx1"/>
                  </w14:solidFill>
                </w14:textFill>
              </w:rPr>
              <w:t>3</w:t>
            </w:r>
            <w:r>
              <w:rPr>
                <w:rFonts w:hint="eastAsia" w:ascii="宋体" w:hAnsi="宋体"/>
                <w:i w:val="0"/>
                <w:color w:val="000000" w:themeColor="text1"/>
                <w:spacing w:val="0"/>
                <w:kern w:val="0"/>
                <w:sz w:val="18"/>
                <w:szCs w:val="18"/>
                <w:highlight w:val="none"/>
                <w:u w:val="none"/>
                <w:lang w:val="en-US" w:eastAsia="zh-CN" w:bidi="ar"/>
                <w14:textFill>
                  <w14:solidFill>
                    <w14:schemeClr w14:val="tx1"/>
                  </w14:solidFill>
                </w14:textFill>
              </w:rPr>
              <w:t>/h,扬程：32米，功率：15KW</w:t>
            </w:r>
          </w:p>
        </w:tc>
        <w:tc>
          <w:tcPr>
            <w:tcW w:w="2501" w:type="dxa"/>
            <w:vMerge w:val="continue"/>
            <w:tcBorders>
              <w:left w:val="single" w:color="000000" w:sz="4" w:space="0"/>
              <w:bottom w:val="single" w:color="000000" w:sz="4" w:space="0"/>
              <w:right w:val="single" w:color="000000" w:sz="4" w:space="0"/>
            </w:tcBorders>
            <w:noWrap w:val="0"/>
            <w:vAlign w:val="center"/>
          </w:tcPr>
          <w:p w14:paraId="09AA11A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bl>
    <w:p w14:paraId="77F2CD3E">
      <w:pPr>
        <w:tabs>
          <w:tab w:val="left" w:pos="5010"/>
        </w:tabs>
        <w:spacing w:line="400" w:lineRule="exact"/>
        <w:jc w:val="both"/>
        <w:rPr>
          <w:rFonts w:hint="eastAsia" w:ascii="宋体" w:hAnsi="宋体" w:eastAsia="宋体" w:cs="宋体"/>
          <w:b/>
          <w:bCs/>
          <w:color w:val="auto"/>
          <w:sz w:val="30"/>
          <w:highlight w:val="none"/>
          <w:lang w:eastAsia="zh-CN"/>
        </w:rPr>
      </w:pPr>
    </w:p>
    <w:p w14:paraId="126DE228">
      <w:pPr>
        <w:tabs>
          <w:tab w:val="left" w:pos="5010"/>
        </w:tabs>
        <w:spacing w:line="400" w:lineRule="exact"/>
        <w:jc w:val="both"/>
        <w:rPr>
          <w:rFonts w:hint="eastAsia" w:ascii="宋体" w:hAnsi="宋体" w:eastAsia="宋体" w:cs="宋体"/>
          <w:b/>
          <w:bCs/>
          <w:color w:val="auto"/>
          <w:sz w:val="30"/>
          <w:highlight w:val="none"/>
          <w:lang w:eastAsia="zh-CN"/>
        </w:rPr>
      </w:pPr>
    </w:p>
    <w:p w14:paraId="375F1EFE">
      <w:pPr>
        <w:pStyle w:val="71"/>
        <w:rPr>
          <w:rFonts w:hint="eastAsia" w:ascii="宋体" w:hAnsi="宋体" w:eastAsia="宋体" w:cs="宋体"/>
          <w:b/>
          <w:bCs/>
          <w:color w:val="auto"/>
          <w:sz w:val="30"/>
          <w:highlight w:val="none"/>
          <w:lang w:eastAsia="zh-CN"/>
        </w:rPr>
      </w:pPr>
    </w:p>
    <w:p w14:paraId="104D3299">
      <w:pPr>
        <w:rPr>
          <w:rFonts w:hint="eastAsia" w:ascii="宋体" w:hAnsi="宋体" w:eastAsia="宋体" w:cs="宋体"/>
          <w:b/>
          <w:bCs/>
          <w:color w:val="auto"/>
          <w:sz w:val="30"/>
          <w:highlight w:val="none"/>
          <w:lang w:eastAsia="zh-CN"/>
        </w:rPr>
      </w:pPr>
    </w:p>
    <w:p w14:paraId="719AF257">
      <w:pPr>
        <w:pStyle w:val="71"/>
        <w:rPr>
          <w:rFonts w:hint="eastAsia" w:ascii="宋体" w:hAnsi="宋体" w:eastAsia="宋体" w:cs="宋体"/>
          <w:b/>
          <w:bCs/>
          <w:color w:val="auto"/>
          <w:sz w:val="30"/>
          <w:highlight w:val="none"/>
          <w:lang w:eastAsia="zh-CN"/>
        </w:rPr>
      </w:pPr>
    </w:p>
    <w:p w14:paraId="7840CFBE">
      <w:pPr>
        <w:rPr>
          <w:rFonts w:hint="eastAsia" w:ascii="宋体" w:hAnsi="宋体" w:eastAsia="宋体" w:cs="宋体"/>
          <w:b/>
          <w:bCs/>
          <w:color w:val="auto"/>
          <w:sz w:val="30"/>
          <w:highlight w:val="none"/>
          <w:lang w:eastAsia="zh-CN"/>
        </w:rPr>
      </w:pPr>
    </w:p>
    <w:p w14:paraId="75F994DF">
      <w:pPr>
        <w:rPr>
          <w:rFonts w:hint="eastAsia" w:ascii="宋体" w:hAnsi="宋体" w:eastAsia="宋体" w:cs="宋体"/>
          <w:b/>
          <w:bCs/>
          <w:color w:val="auto"/>
          <w:sz w:val="30"/>
          <w:highlight w:val="none"/>
          <w:lang w:eastAsia="zh-CN"/>
        </w:rPr>
      </w:pPr>
    </w:p>
    <w:p w14:paraId="002A4F4F">
      <w:pPr>
        <w:rPr>
          <w:rFonts w:hint="eastAsia" w:ascii="宋体" w:hAnsi="宋体" w:eastAsia="宋体" w:cs="宋体"/>
          <w:b/>
          <w:bCs/>
          <w:color w:val="auto"/>
          <w:sz w:val="30"/>
          <w:highlight w:val="none"/>
          <w:lang w:eastAsia="zh-CN"/>
        </w:rPr>
      </w:pPr>
    </w:p>
    <w:p w14:paraId="4B7D259A">
      <w:pPr>
        <w:pStyle w:val="71"/>
        <w:rPr>
          <w:rFonts w:hint="eastAsia"/>
          <w:lang w:eastAsia="zh-CN"/>
        </w:rPr>
      </w:pPr>
    </w:p>
    <w:p w14:paraId="5D5D1C15">
      <w:pPr>
        <w:numPr>
          <w:ilvl w:val="0"/>
          <w:numId w:val="0"/>
        </w:numPr>
        <w:ind w:leftChars="228"/>
        <w:jc w:val="center"/>
        <w:rPr>
          <w:rFonts w:hint="eastAsia" w:ascii="宋体" w:hAnsi="宋体" w:cs="宋体"/>
          <w:b/>
          <w:bCs/>
          <w:spacing w:val="0"/>
          <w:w w:val="100"/>
          <w:sz w:val="32"/>
          <w:szCs w:val="32"/>
          <w:lang w:val="en-US" w:eastAsia="zh-CN"/>
        </w:rPr>
      </w:pPr>
      <w:r>
        <w:rPr>
          <w:rFonts w:hint="eastAsia" w:ascii="宋体" w:hAnsi="宋体" w:cs="宋体"/>
          <w:b/>
          <w:bCs/>
          <w:spacing w:val="0"/>
          <w:w w:val="100"/>
          <w:sz w:val="32"/>
          <w:szCs w:val="32"/>
          <w:lang w:val="en-US" w:eastAsia="zh-CN"/>
        </w:rPr>
        <w:t>国网垫江供电公司职工服中心LED屏、音箱及灯光技术参数</w:t>
      </w:r>
    </w:p>
    <w:p w14:paraId="3E438B8C">
      <w:pPr>
        <w:numPr>
          <w:ilvl w:val="0"/>
          <w:numId w:val="0"/>
        </w:numPr>
        <w:ind w:leftChars="228"/>
        <w:jc w:val="center"/>
        <w:rPr>
          <w:rFonts w:hint="default" w:ascii="宋体" w:hAnsi="宋体" w:cs="宋体"/>
          <w:b/>
          <w:bCs/>
          <w:spacing w:val="0"/>
          <w:w w:val="100"/>
          <w:sz w:val="32"/>
          <w:szCs w:val="32"/>
          <w:lang w:val="en-US" w:eastAsia="zh-CN"/>
        </w:rPr>
      </w:pPr>
      <w:r>
        <w:rPr>
          <w:rFonts w:hint="eastAsia" w:ascii="宋体" w:hAnsi="宋体" w:cs="宋体"/>
          <w:b/>
          <w:bCs/>
          <w:spacing w:val="0"/>
          <w:w w:val="100"/>
          <w:sz w:val="32"/>
          <w:szCs w:val="32"/>
          <w:lang w:val="en-US" w:eastAsia="zh-CN"/>
        </w:rPr>
        <w:t>（2标段）</w:t>
      </w:r>
    </w:p>
    <w:tbl>
      <w:tblPr>
        <w:tblStyle w:val="51"/>
        <w:tblpPr w:leftFromText="180" w:rightFromText="180" w:vertAnchor="text" w:horzAnchor="page" w:tblpX="674" w:tblpY="569"/>
        <w:tblOverlap w:val="never"/>
        <w:tblW w:w="106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7"/>
        <w:gridCol w:w="1351"/>
        <w:gridCol w:w="6385"/>
        <w:gridCol w:w="1350"/>
        <w:gridCol w:w="867"/>
      </w:tblGrid>
      <w:tr w14:paraId="6A512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660" w:type="dxa"/>
            <w:gridSpan w:val="5"/>
            <w:tcBorders>
              <w:bottom w:val="nil"/>
            </w:tcBorders>
            <w:shd w:val="clear" w:color="auto" w:fill="auto"/>
            <w:vAlign w:val="center"/>
          </w:tcPr>
          <w:p w14:paraId="54F0E5ED">
            <w:pPr>
              <w:keepNext w:val="0"/>
              <w:keepLines w:val="0"/>
              <w:suppressLineNumbers w:val="0"/>
              <w:topLinePunct/>
              <w:spacing w:before="0" w:beforeAutospacing="0" w:after="0" w:afterAutospacing="0"/>
              <w:ind w:left="0" w:right="0" w:firstLine="551" w:firstLineChars="197"/>
              <w:jc w:val="center"/>
              <w:rPr>
                <w:rFonts w:hint="eastAsia" w:eastAsia="宋体"/>
                <w:color w:val="000000"/>
                <w:sz w:val="28"/>
                <w:szCs w:val="28"/>
                <w:lang w:val="en-US" w:eastAsia="zh-CN"/>
              </w:rPr>
            </w:pPr>
            <w:r>
              <w:rPr>
                <w:rFonts w:hint="eastAsia"/>
                <w:color w:val="000000"/>
                <w:sz w:val="28"/>
                <w:szCs w:val="28"/>
                <w:lang w:val="en-US" w:eastAsia="zh-CN"/>
              </w:rPr>
              <w:t>一.</w:t>
            </w:r>
            <w:r>
              <w:rPr>
                <w:rFonts w:hint="eastAsia" w:ascii="宋体" w:hAnsi="宋体" w:cs="宋体"/>
                <w:b/>
                <w:bCs/>
                <w:color w:val="000000"/>
                <w:kern w:val="0"/>
                <w:sz w:val="24"/>
                <w:highlight w:val="none"/>
                <w:lang w:bidi="ar"/>
              </w:rPr>
              <w:t>技术参数要求</w:t>
            </w:r>
            <w:r>
              <w:rPr>
                <w:rFonts w:hint="eastAsia" w:ascii="宋体" w:hAnsi="宋体" w:cs="宋体"/>
                <w:b/>
                <w:bCs/>
                <w:color w:val="000000"/>
                <w:kern w:val="0"/>
                <w:sz w:val="24"/>
                <w:highlight w:val="none"/>
                <w:lang w:eastAsia="zh-CN" w:bidi="ar"/>
              </w:rPr>
              <w:t>及组件数量</w:t>
            </w:r>
          </w:p>
          <w:p w14:paraId="39E62FD2">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4"/>
                <w:highlight w:val="none"/>
                <w:lang w:bidi="ar"/>
              </w:rPr>
            </w:pPr>
            <w:r>
              <w:rPr>
                <w:rFonts w:hint="eastAsia" w:ascii="宋体" w:hAnsi="宋体" w:cs="宋体"/>
                <w:b/>
                <w:bCs/>
                <w:color w:val="000000"/>
                <w:kern w:val="0"/>
                <w:sz w:val="24"/>
                <w:highlight w:val="none"/>
                <w:lang w:bidi="ar"/>
              </w:rPr>
              <w:t>技术参数要求</w:t>
            </w:r>
          </w:p>
        </w:tc>
      </w:tr>
      <w:tr w14:paraId="32CF4A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7" w:type="dxa"/>
            <w:tcBorders>
              <w:top w:val="single" w:color="000000" w:sz="4" w:space="0"/>
              <w:bottom w:val="single" w:color="000000" w:sz="4" w:space="0"/>
              <w:right w:val="single" w:color="000000" w:sz="4" w:space="0"/>
            </w:tcBorders>
            <w:shd w:val="clear" w:color="auto" w:fill="auto"/>
            <w:vAlign w:val="center"/>
          </w:tcPr>
          <w:p w14:paraId="1A91807E">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000000"/>
                <w:kern w:val="0"/>
                <w:sz w:val="24"/>
                <w:highlight w:val="none"/>
                <w:lang w:bidi="ar"/>
              </w:rPr>
            </w:pPr>
            <w:r>
              <w:rPr>
                <w:rFonts w:hint="eastAsia" w:ascii="宋体" w:hAnsi="宋体" w:cs="宋体"/>
                <w:b/>
                <w:bCs/>
                <w:color w:val="auto"/>
                <w:kern w:val="0"/>
                <w:sz w:val="24"/>
              </w:rPr>
              <w:t>序号</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381D">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000000"/>
                <w:kern w:val="0"/>
                <w:sz w:val="24"/>
                <w:highlight w:val="none"/>
                <w:lang w:bidi="ar"/>
              </w:rPr>
            </w:pPr>
            <w:r>
              <w:rPr>
                <w:rFonts w:hint="eastAsia" w:ascii="宋体" w:hAnsi="宋体" w:cs="宋体"/>
                <w:b/>
                <w:bCs/>
                <w:color w:val="auto"/>
                <w:kern w:val="0"/>
                <w:sz w:val="24"/>
              </w:rPr>
              <w:t xml:space="preserve">名称 </w:t>
            </w:r>
          </w:p>
        </w:tc>
        <w:tc>
          <w:tcPr>
            <w:tcW w:w="6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1ED8A">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000000"/>
                <w:kern w:val="0"/>
                <w:sz w:val="24"/>
                <w:highlight w:val="none"/>
                <w:lang w:bidi="ar"/>
              </w:rPr>
            </w:pPr>
            <w:r>
              <w:rPr>
                <w:rFonts w:hint="eastAsia" w:ascii="宋体" w:hAnsi="宋体" w:cs="宋体"/>
                <w:b/>
                <w:bCs/>
                <w:color w:val="auto"/>
                <w:kern w:val="0"/>
                <w:sz w:val="24"/>
              </w:rPr>
              <w:t>规格参数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130F">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000000"/>
                <w:kern w:val="0"/>
                <w:sz w:val="24"/>
                <w:highlight w:val="none"/>
                <w:lang w:bidi="ar"/>
              </w:rPr>
            </w:pPr>
            <w:r>
              <w:rPr>
                <w:rFonts w:hint="eastAsia" w:ascii="宋体" w:hAnsi="宋体" w:cs="宋体"/>
                <w:b/>
                <w:bCs/>
                <w:color w:val="auto"/>
                <w:kern w:val="0"/>
                <w:sz w:val="24"/>
              </w:rPr>
              <w:t>数量</w:t>
            </w:r>
          </w:p>
        </w:tc>
        <w:tc>
          <w:tcPr>
            <w:tcW w:w="867" w:type="dxa"/>
            <w:tcBorders>
              <w:top w:val="single" w:color="000000" w:sz="4" w:space="0"/>
              <w:left w:val="single" w:color="000000" w:sz="4" w:space="0"/>
              <w:bottom w:val="single" w:color="000000" w:sz="4" w:space="0"/>
            </w:tcBorders>
            <w:shd w:val="clear" w:color="auto" w:fill="auto"/>
            <w:vAlign w:val="center"/>
          </w:tcPr>
          <w:p w14:paraId="360E8231">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000000"/>
                <w:kern w:val="0"/>
                <w:sz w:val="24"/>
                <w:highlight w:val="none"/>
                <w:lang w:bidi="ar"/>
              </w:rPr>
            </w:pPr>
            <w:r>
              <w:rPr>
                <w:rFonts w:hint="eastAsia" w:ascii="宋体" w:hAnsi="宋体" w:cs="宋体"/>
                <w:b/>
                <w:bCs/>
                <w:color w:val="auto"/>
                <w:kern w:val="0"/>
                <w:sz w:val="24"/>
              </w:rPr>
              <w:t>单位</w:t>
            </w:r>
          </w:p>
        </w:tc>
      </w:tr>
      <w:tr w14:paraId="24E202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rPr>
        <w:tc>
          <w:tcPr>
            <w:tcW w:w="10660" w:type="dxa"/>
            <w:gridSpan w:val="5"/>
            <w:tcBorders>
              <w:top w:val="single" w:color="000000" w:sz="4" w:space="0"/>
              <w:bottom w:val="single" w:color="000000" w:sz="4" w:space="0"/>
            </w:tcBorders>
            <w:shd w:val="clear" w:color="auto" w:fill="auto"/>
            <w:vAlign w:val="center"/>
          </w:tcPr>
          <w:p w14:paraId="268F5437">
            <w:pPr>
              <w:keepNext w:val="0"/>
              <w:keepLines w:val="0"/>
              <w:suppressLineNumbers w:val="0"/>
              <w:spacing w:before="0" w:beforeAutospacing="0" w:after="0" w:afterAutospacing="0"/>
              <w:ind w:left="0" w:right="0"/>
              <w:jc w:val="center"/>
              <w:rPr>
                <w:rFonts w:hint="default" w:eastAsia="宋体"/>
                <w:highlight w:val="none"/>
                <w:lang w:val="en-US" w:eastAsia="zh-CN"/>
              </w:rPr>
            </w:pPr>
            <w:r>
              <w:rPr>
                <w:rFonts w:hint="eastAsia" w:ascii="宋体" w:hAnsi="宋体" w:cs="宋体"/>
                <w:b/>
                <w:bCs/>
                <w:color w:val="auto"/>
                <w:sz w:val="24"/>
              </w:rPr>
              <w:t>1、LED显示屏系统</w:t>
            </w:r>
          </w:p>
        </w:tc>
      </w:tr>
      <w:tr w14:paraId="1D2FFD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7" w:type="dxa"/>
            <w:tcBorders>
              <w:top w:val="single" w:color="000000" w:sz="4" w:space="0"/>
              <w:bottom w:val="single" w:color="000000" w:sz="4" w:space="0"/>
              <w:right w:val="single" w:color="000000" w:sz="4" w:space="0"/>
            </w:tcBorders>
            <w:shd w:val="clear" w:color="auto" w:fill="auto"/>
            <w:vAlign w:val="center"/>
          </w:tcPr>
          <w:p w14:paraId="118AAD77">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4"/>
                <w:highlight w:val="none"/>
                <w:lang w:bidi="ar"/>
              </w:rPr>
            </w:pPr>
            <w:r>
              <w:rPr>
                <w:rFonts w:hint="eastAsia" w:ascii="宋体" w:hAnsi="宋体" w:cs="宋体"/>
                <w:color w:val="auto"/>
                <w:kern w:val="0"/>
                <w:sz w:val="24"/>
                <w:highlight w:val="none"/>
              </w:rPr>
              <w:t>1</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44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auto"/>
                <w:kern w:val="0"/>
                <w:sz w:val="24"/>
                <w:highlight w:val="none"/>
              </w:rPr>
              <w:t>室内全彩显示屏</w:t>
            </w:r>
          </w:p>
        </w:tc>
        <w:tc>
          <w:tcPr>
            <w:tcW w:w="6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B35E">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highlight w:val="none"/>
              </w:rPr>
            </w:pPr>
            <w:r>
              <w:rPr>
                <w:rFonts w:hint="eastAsia" w:ascii="宋体" w:hAnsi="宋体" w:cs="宋体"/>
                <w:color w:val="auto"/>
                <w:kern w:val="0"/>
                <w:sz w:val="24"/>
                <w:highlight w:val="none"/>
              </w:rPr>
              <w:t>LED显示尺寸：宽≥8m*高≥4.48m</w:t>
            </w:r>
            <w:r>
              <w:rPr>
                <w:rFonts w:hint="eastAsia" w:ascii="宋体" w:hAnsi="宋体"/>
                <w:color w:val="auto"/>
                <w:sz w:val="24"/>
                <w:highlight w:val="none"/>
              </w:rPr>
              <w:t>；</w:t>
            </w:r>
            <w:r>
              <w:rPr>
                <w:rFonts w:hint="eastAsia" w:ascii="宋体" w:hAnsi="宋体" w:cs="宋体"/>
                <w:color w:val="auto"/>
                <w:kern w:val="0"/>
                <w:sz w:val="24"/>
                <w:highlight w:val="none"/>
              </w:rPr>
              <w:t>整屏尺寸：宽≥8.1m*高≥4.58m（包边</w:t>
            </w:r>
            <w:r>
              <w:rPr>
                <w:rFonts w:hint="eastAsia" w:ascii="宋体" w:hAnsi="宋体"/>
                <w:color w:val="auto"/>
                <w:sz w:val="24"/>
                <w:highlight w:val="none"/>
              </w:rPr>
              <w:t>上下左右各</w:t>
            </w:r>
            <w:r>
              <w:rPr>
                <w:rFonts w:hint="eastAsia" w:ascii="hztxt" w:hAnsi="hztxt" w:eastAsia="hztxt"/>
                <w:color w:val="auto"/>
                <w:sz w:val="24"/>
                <w:highlight w:val="none"/>
              </w:rPr>
              <w:t>50m</w:t>
            </w:r>
            <w:r>
              <w:rPr>
                <w:rFonts w:hint="eastAsia" w:ascii="宋体" w:hAnsi="宋体"/>
                <w:color w:val="auto"/>
                <w:sz w:val="24"/>
                <w:highlight w:val="none"/>
              </w:rPr>
              <w:t>m</w:t>
            </w:r>
            <w:r>
              <w:rPr>
                <w:rFonts w:hint="eastAsia" w:ascii="宋体" w:hAnsi="宋体" w:cs="宋体"/>
                <w:color w:val="auto"/>
                <w:kern w:val="0"/>
                <w:sz w:val="24"/>
                <w:highlight w:val="none"/>
              </w:rPr>
              <w:t>）。</w:t>
            </w:r>
          </w:p>
          <w:p w14:paraId="55523DA9">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highlight w:val="none"/>
              </w:rPr>
            </w:pPr>
            <w:r>
              <w:rPr>
                <w:rFonts w:hint="default" w:ascii="宋体" w:hAnsi="宋体" w:cs="宋体"/>
                <w:color w:val="auto"/>
                <w:kern w:val="0"/>
                <w:sz w:val="24"/>
                <w:highlight w:val="none"/>
              </w:rPr>
              <w:t>1、像素点间距：1.86±0.05mm；</w:t>
            </w:r>
          </w:p>
          <w:p w14:paraId="49A3A310">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highlight w:val="none"/>
              </w:rPr>
            </w:pPr>
            <w:r>
              <w:rPr>
                <w:rFonts w:hint="default" w:ascii="宋体" w:hAnsi="宋体" w:cs="宋体"/>
                <w:color w:val="auto"/>
                <w:kern w:val="0"/>
                <w:sz w:val="24"/>
                <w:highlight w:val="none"/>
              </w:rPr>
              <w:t>2、供电方式 ：支持电源均流DC4.2V～DC4.5V供电；</w:t>
            </w:r>
          </w:p>
          <w:p w14:paraId="6FA89242">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highlight w:val="none"/>
              </w:rPr>
            </w:pPr>
            <w:r>
              <w:rPr>
                <w:rFonts w:hint="default" w:ascii="宋体" w:hAnsi="宋体" w:cs="宋体"/>
                <w:color w:val="auto"/>
                <w:kern w:val="0"/>
                <w:sz w:val="24"/>
                <w:highlight w:val="none"/>
              </w:rPr>
              <w:t xml:space="preserve">3、模组平整：≤0.03mm； </w:t>
            </w:r>
          </w:p>
          <w:p w14:paraId="0BDEF468">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highlight w:val="none"/>
              </w:rPr>
            </w:pPr>
            <w:r>
              <w:rPr>
                <w:rFonts w:hint="default" w:ascii="宋体" w:hAnsi="宋体" w:cs="宋体"/>
                <w:color w:val="auto"/>
                <w:kern w:val="0"/>
                <w:sz w:val="24"/>
                <w:highlight w:val="none"/>
              </w:rPr>
              <w:t>4、拼接缝：≤0.03mm；</w:t>
            </w:r>
          </w:p>
          <w:p w14:paraId="03EE6544">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sz w:val="24"/>
                <w:highlight w:val="none"/>
              </w:rPr>
            </w:pPr>
            <w:r>
              <w:rPr>
                <w:rFonts w:hint="default" w:ascii="宋体" w:hAnsi="宋体" w:cs="宋体"/>
                <w:color w:val="auto"/>
                <w:kern w:val="0"/>
                <w:sz w:val="24"/>
                <w:highlight w:val="none"/>
              </w:rPr>
              <w:t>5、</w:t>
            </w:r>
            <w:r>
              <w:rPr>
                <w:rFonts w:hint="eastAsia" w:ascii="宋体" w:hAnsi="宋体" w:cs="宋体"/>
                <w:color w:val="auto"/>
                <w:sz w:val="24"/>
                <w:highlight w:val="none"/>
              </w:rPr>
              <w:t>像素组成：采用SMD1515自主封装方式；灯珠芯片采用乾照、士兰自主封装工艺；提供相关证明文件</w:t>
            </w:r>
          </w:p>
          <w:p w14:paraId="169B0DD1">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highlight w:val="none"/>
              </w:rPr>
            </w:pPr>
            <w:r>
              <w:rPr>
                <w:rFonts w:hint="default" w:ascii="宋体" w:hAnsi="宋体" w:cs="宋体"/>
                <w:color w:val="auto"/>
                <w:kern w:val="0"/>
                <w:sz w:val="24"/>
                <w:highlight w:val="none"/>
              </w:rPr>
              <w:t>6、</w:t>
            </w:r>
            <w:r>
              <w:rPr>
                <w:rFonts w:hint="eastAsia" w:ascii="宋体" w:hAnsi="宋体" w:cs="宋体"/>
                <w:color w:val="auto"/>
                <w:sz w:val="24"/>
                <w:highlight w:val="none"/>
              </w:rPr>
              <w:t>为保证显示效果，LED显示屏符合“SJ/T 11141-2017 LED显示屏通用规范”、“SJ/T11281-2017发光二极管LED显示屏测试方法”具备消除鬼影和拖尾功能；</w:t>
            </w:r>
          </w:p>
          <w:p w14:paraId="0A40AB30">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highlight w:val="none"/>
              </w:rPr>
            </w:pPr>
            <w:r>
              <w:rPr>
                <w:rFonts w:hint="default" w:ascii="宋体" w:hAnsi="宋体" w:cs="宋体"/>
                <w:color w:val="auto"/>
                <w:kern w:val="0"/>
                <w:sz w:val="24"/>
                <w:highlight w:val="none"/>
              </w:rPr>
              <w:t>7、亮度：≥</w:t>
            </w:r>
            <w:r>
              <w:rPr>
                <w:rFonts w:hint="eastAsia" w:ascii="宋体" w:hAnsi="宋体" w:cs="宋体"/>
                <w:color w:val="auto"/>
                <w:kern w:val="0"/>
                <w:sz w:val="24"/>
                <w:highlight w:val="none"/>
              </w:rPr>
              <w:t>6</w:t>
            </w:r>
            <w:r>
              <w:rPr>
                <w:rFonts w:hint="default" w:ascii="宋体" w:hAnsi="宋体" w:cs="宋体"/>
                <w:color w:val="auto"/>
                <w:kern w:val="0"/>
                <w:sz w:val="24"/>
                <w:highlight w:val="none"/>
              </w:rPr>
              <w:t>50Cd/m²；</w:t>
            </w:r>
          </w:p>
          <w:p w14:paraId="24287701">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highlight w:val="none"/>
              </w:rPr>
            </w:pPr>
            <w:r>
              <w:rPr>
                <w:rFonts w:hint="default" w:ascii="宋体" w:hAnsi="宋体" w:cs="宋体"/>
                <w:color w:val="auto"/>
                <w:kern w:val="0"/>
                <w:sz w:val="24"/>
                <w:highlight w:val="none"/>
              </w:rPr>
              <w:t>8、亮度均匀性：≥9</w:t>
            </w:r>
            <w:r>
              <w:rPr>
                <w:rFonts w:hint="eastAsia" w:ascii="宋体" w:hAnsi="宋体" w:cs="宋体"/>
                <w:color w:val="auto"/>
                <w:kern w:val="0"/>
                <w:sz w:val="24"/>
                <w:highlight w:val="none"/>
              </w:rPr>
              <w:t>5</w:t>
            </w:r>
            <w:r>
              <w:rPr>
                <w:rFonts w:hint="default" w:ascii="宋体" w:hAnsi="宋体" w:cs="宋体"/>
                <w:color w:val="auto"/>
                <w:kern w:val="0"/>
                <w:sz w:val="24"/>
                <w:highlight w:val="none"/>
              </w:rPr>
              <w:t>%；</w:t>
            </w:r>
          </w:p>
          <w:p w14:paraId="17058591">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highlight w:val="none"/>
              </w:rPr>
            </w:pPr>
            <w:r>
              <w:rPr>
                <w:rFonts w:hint="default" w:ascii="宋体" w:hAnsi="宋体" w:cs="宋体"/>
                <w:color w:val="auto"/>
                <w:kern w:val="0"/>
                <w:sz w:val="24"/>
                <w:highlight w:val="none"/>
              </w:rPr>
              <w:t>9、色温：</w:t>
            </w:r>
            <w:r>
              <w:rPr>
                <w:rFonts w:hint="eastAsia" w:ascii="宋体" w:hAnsi="宋体" w:cs="宋体"/>
                <w:color w:val="auto"/>
                <w:kern w:val="0"/>
                <w:sz w:val="24"/>
                <w:highlight w:val="none"/>
              </w:rPr>
              <w:t>1</w:t>
            </w:r>
            <w:r>
              <w:rPr>
                <w:rFonts w:hint="default" w:ascii="宋体" w:hAnsi="宋体" w:cs="宋体"/>
                <w:color w:val="auto"/>
                <w:kern w:val="0"/>
                <w:sz w:val="24"/>
                <w:highlight w:val="none"/>
              </w:rPr>
              <w:t>000-18000K；</w:t>
            </w:r>
          </w:p>
          <w:p w14:paraId="43E8A074">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highlight w:val="none"/>
              </w:rPr>
            </w:pPr>
            <w:r>
              <w:rPr>
                <w:rFonts w:hint="default" w:ascii="宋体" w:hAnsi="宋体" w:cs="宋体"/>
                <w:color w:val="auto"/>
                <w:kern w:val="0"/>
                <w:sz w:val="24"/>
                <w:highlight w:val="none"/>
              </w:rPr>
              <w:t>10、色温误差：色温为6500K时，100%、75%、50%、25%四档电平白场调节色温误差≤200K；</w:t>
            </w:r>
          </w:p>
          <w:p w14:paraId="1F4F9ED3">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highlight w:val="none"/>
              </w:rPr>
            </w:pPr>
            <w:r>
              <w:rPr>
                <w:rFonts w:hint="default" w:ascii="宋体" w:hAnsi="宋体" w:cs="宋体"/>
                <w:color w:val="auto"/>
                <w:kern w:val="0"/>
                <w:sz w:val="24"/>
                <w:highlight w:val="none"/>
              </w:rPr>
              <w:t>11、水平视角：≥140°；</w:t>
            </w:r>
          </w:p>
          <w:p w14:paraId="1194688C">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highlight w:val="none"/>
              </w:rPr>
            </w:pPr>
            <w:r>
              <w:rPr>
                <w:rFonts w:hint="default" w:ascii="宋体" w:hAnsi="宋体" w:cs="宋体"/>
                <w:color w:val="auto"/>
                <w:kern w:val="0"/>
                <w:sz w:val="24"/>
                <w:highlight w:val="none"/>
              </w:rPr>
              <w:t>12、垂直视角：≥130°；</w:t>
            </w:r>
          </w:p>
          <w:p w14:paraId="6C3E3DF7">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highlight w:val="none"/>
              </w:rPr>
            </w:pPr>
            <w:r>
              <w:rPr>
                <w:rFonts w:hint="default" w:ascii="宋体" w:hAnsi="宋体" w:cs="宋体"/>
                <w:color w:val="auto"/>
                <w:kern w:val="0"/>
                <w:sz w:val="24"/>
                <w:highlight w:val="none"/>
              </w:rPr>
              <w:t>13、对比度：≥</w:t>
            </w:r>
            <w:r>
              <w:rPr>
                <w:rFonts w:hint="eastAsia" w:ascii="宋体" w:hAnsi="宋体" w:cs="宋体"/>
                <w:color w:val="auto"/>
                <w:kern w:val="0"/>
                <w:sz w:val="24"/>
                <w:highlight w:val="none"/>
              </w:rPr>
              <w:t>5</w:t>
            </w:r>
            <w:r>
              <w:rPr>
                <w:rFonts w:hint="default" w:ascii="宋体" w:hAnsi="宋体" w:cs="宋体"/>
                <w:color w:val="auto"/>
                <w:kern w:val="0"/>
                <w:sz w:val="24"/>
                <w:highlight w:val="none"/>
              </w:rPr>
              <w:t>000：1；</w:t>
            </w:r>
          </w:p>
          <w:p w14:paraId="3C7FF188">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highlight w:val="none"/>
              </w:rPr>
            </w:pPr>
            <w:r>
              <w:rPr>
                <w:rFonts w:hint="default" w:ascii="宋体" w:hAnsi="宋体" w:cs="宋体"/>
                <w:color w:val="auto"/>
                <w:kern w:val="0"/>
                <w:sz w:val="24"/>
                <w:highlight w:val="none"/>
              </w:rPr>
              <w:t>14、灰度等级：采用16bit技术；</w:t>
            </w:r>
          </w:p>
          <w:p w14:paraId="1CC9320C">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highlight w:val="none"/>
              </w:rPr>
            </w:pPr>
            <w:r>
              <w:rPr>
                <w:rFonts w:hint="default" w:ascii="宋体" w:hAnsi="宋体" w:cs="宋体"/>
                <w:color w:val="auto"/>
                <w:kern w:val="0"/>
                <w:sz w:val="24"/>
                <w:highlight w:val="none"/>
              </w:rPr>
              <w:t>15、刷新率：刷新率达到</w:t>
            </w:r>
            <w:r>
              <w:rPr>
                <w:rFonts w:hint="eastAsia" w:ascii="宋体" w:hAnsi="宋体" w:cs="宋体"/>
                <w:color w:val="auto"/>
                <w:kern w:val="0"/>
                <w:sz w:val="24"/>
                <w:highlight w:val="none"/>
              </w:rPr>
              <w:t>4200</w:t>
            </w:r>
            <w:r>
              <w:rPr>
                <w:rFonts w:hint="default" w:ascii="宋体" w:hAnsi="宋体" w:cs="宋体"/>
                <w:color w:val="auto"/>
                <w:kern w:val="0"/>
                <w:sz w:val="24"/>
                <w:highlight w:val="none"/>
              </w:rPr>
              <w:t>Hz；</w:t>
            </w:r>
          </w:p>
          <w:p w14:paraId="684E7E8E">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highlight w:val="none"/>
              </w:rPr>
            </w:pPr>
            <w:r>
              <w:rPr>
                <w:rFonts w:hint="default" w:ascii="宋体" w:hAnsi="宋体" w:cs="宋体"/>
                <w:color w:val="auto"/>
                <w:kern w:val="0"/>
                <w:sz w:val="24"/>
                <w:highlight w:val="none"/>
              </w:rPr>
              <w:t>16、画面延时：</w:t>
            </w:r>
            <w:r>
              <w:rPr>
                <w:rFonts w:hint="eastAsia" w:ascii="宋体" w:hAnsi="宋体" w:cs="宋体"/>
                <w:color w:val="auto"/>
                <w:sz w:val="24"/>
                <w:highlight w:val="none"/>
              </w:rPr>
              <w:t>纳秒级，急速响应</w:t>
            </w:r>
            <w:r>
              <w:rPr>
                <w:rFonts w:hint="default" w:ascii="宋体" w:hAnsi="宋体" w:cs="宋体"/>
                <w:color w:val="auto"/>
                <w:kern w:val="0"/>
                <w:sz w:val="24"/>
                <w:highlight w:val="none"/>
              </w:rPr>
              <w:t>；</w:t>
            </w:r>
          </w:p>
          <w:p w14:paraId="16A2932B">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highlight w:val="none"/>
              </w:rPr>
            </w:pPr>
            <w:r>
              <w:rPr>
                <w:rFonts w:hint="default" w:ascii="宋体" w:hAnsi="宋体" w:cs="宋体"/>
                <w:color w:val="auto"/>
                <w:kern w:val="0"/>
                <w:sz w:val="24"/>
                <w:highlight w:val="none"/>
              </w:rPr>
              <w:t>17、噪声：1m范围内，测试4个位置（前后左右）噪音不大于2dB；</w:t>
            </w:r>
          </w:p>
          <w:p w14:paraId="0665B5CF">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highlight w:val="none"/>
              </w:rPr>
            </w:pPr>
            <w:r>
              <w:rPr>
                <w:rFonts w:hint="default" w:ascii="宋体" w:hAnsi="宋体" w:cs="宋体"/>
                <w:color w:val="auto"/>
                <w:kern w:val="0"/>
                <w:sz w:val="24"/>
                <w:highlight w:val="none"/>
              </w:rPr>
              <w:t>18、峰值功耗：≤</w:t>
            </w:r>
            <w:r>
              <w:rPr>
                <w:rFonts w:hint="eastAsia" w:ascii="宋体" w:hAnsi="宋体" w:cs="宋体"/>
                <w:color w:val="auto"/>
                <w:kern w:val="0"/>
                <w:sz w:val="24"/>
                <w:highlight w:val="none"/>
              </w:rPr>
              <w:t>300</w:t>
            </w:r>
            <w:r>
              <w:rPr>
                <w:rFonts w:hint="default" w:ascii="宋体" w:hAnsi="宋体" w:cs="宋体"/>
                <w:color w:val="auto"/>
                <w:kern w:val="0"/>
                <w:sz w:val="24"/>
                <w:highlight w:val="none"/>
              </w:rPr>
              <w:t>W/m²；</w:t>
            </w:r>
          </w:p>
          <w:p w14:paraId="45E2CFEF">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highlight w:val="none"/>
              </w:rPr>
            </w:pPr>
            <w:r>
              <w:rPr>
                <w:rFonts w:hint="default" w:ascii="宋体" w:hAnsi="宋体" w:cs="宋体"/>
                <w:color w:val="auto"/>
                <w:kern w:val="0"/>
                <w:sz w:val="24"/>
                <w:highlight w:val="none"/>
              </w:rPr>
              <w:t>19、平均功耗：≤</w:t>
            </w:r>
            <w:r>
              <w:rPr>
                <w:rFonts w:hint="eastAsia" w:ascii="宋体" w:hAnsi="宋体" w:cs="宋体"/>
                <w:color w:val="auto"/>
                <w:kern w:val="0"/>
                <w:sz w:val="24"/>
                <w:highlight w:val="none"/>
              </w:rPr>
              <w:t>150</w:t>
            </w:r>
            <w:r>
              <w:rPr>
                <w:rFonts w:hint="default" w:ascii="宋体" w:hAnsi="宋体" w:cs="宋体"/>
                <w:color w:val="auto"/>
                <w:kern w:val="0"/>
                <w:sz w:val="24"/>
                <w:highlight w:val="none"/>
              </w:rPr>
              <w:t>W/m²；</w:t>
            </w:r>
          </w:p>
          <w:p w14:paraId="286AAF1B">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highlight w:val="none"/>
              </w:rPr>
            </w:pPr>
            <w:r>
              <w:rPr>
                <w:rFonts w:hint="default" w:ascii="宋体" w:hAnsi="宋体" w:cs="宋体"/>
                <w:color w:val="auto"/>
                <w:kern w:val="0"/>
                <w:sz w:val="24"/>
                <w:highlight w:val="none"/>
              </w:rPr>
              <w:t>20、供电电源：在4.2*（1±10%）VDC～4.5*（1±10%）VDC范围内能正常工作；</w:t>
            </w:r>
          </w:p>
          <w:p w14:paraId="6D712936">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highlight w:val="none"/>
              </w:rPr>
            </w:pPr>
            <w:r>
              <w:rPr>
                <w:rFonts w:hint="default" w:ascii="宋体" w:hAnsi="宋体" w:cs="宋体"/>
                <w:color w:val="auto"/>
                <w:kern w:val="0"/>
                <w:sz w:val="24"/>
                <w:highlight w:val="none"/>
              </w:rPr>
              <w:t>2</w:t>
            </w:r>
            <w:r>
              <w:rPr>
                <w:rFonts w:hint="eastAsia" w:ascii="宋体" w:hAnsi="宋体" w:cs="宋体"/>
                <w:color w:val="auto"/>
                <w:kern w:val="0"/>
                <w:sz w:val="24"/>
                <w:highlight w:val="none"/>
              </w:rPr>
              <w:t>1</w:t>
            </w:r>
            <w:r>
              <w:rPr>
                <w:rFonts w:hint="default" w:ascii="宋体" w:hAnsi="宋体" w:cs="宋体"/>
                <w:color w:val="auto"/>
                <w:kern w:val="0"/>
                <w:sz w:val="24"/>
                <w:highlight w:val="none"/>
              </w:rPr>
              <w:t>、统一管理：可对所有LED显示模块进行统一管理，设置亮度、色温、灰度等参数；</w:t>
            </w:r>
          </w:p>
          <w:p w14:paraId="1EE3C9B3">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highlight w:val="none"/>
              </w:rPr>
            </w:pPr>
            <w:r>
              <w:rPr>
                <w:rFonts w:hint="default" w:ascii="宋体" w:hAnsi="宋体" w:cs="宋体"/>
                <w:color w:val="auto"/>
                <w:kern w:val="0"/>
                <w:sz w:val="24"/>
                <w:highlight w:val="none"/>
              </w:rPr>
              <w:t>2</w:t>
            </w:r>
            <w:r>
              <w:rPr>
                <w:rFonts w:hint="eastAsia" w:ascii="宋体" w:hAnsi="宋体" w:cs="宋体"/>
                <w:color w:val="auto"/>
                <w:kern w:val="0"/>
                <w:sz w:val="24"/>
                <w:highlight w:val="none"/>
              </w:rPr>
              <w:t>2</w:t>
            </w:r>
            <w:r>
              <w:rPr>
                <w:rFonts w:hint="default" w:ascii="宋体" w:hAnsi="宋体" w:cs="宋体"/>
                <w:color w:val="auto"/>
                <w:kern w:val="0"/>
                <w:sz w:val="24"/>
                <w:highlight w:val="none"/>
              </w:rPr>
              <w:t>、平均无故障时间：MTBF平均无故障时间≥20000h；MTTR平均修复时间≤20分钟；</w:t>
            </w:r>
          </w:p>
          <w:p w14:paraId="32B58D41">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highlight w:val="none"/>
              </w:rPr>
            </w:pPr>
            <w:r>
              <w:rPr>
                <w:rFonts w:hint="default" w:ascii="宋体" w:hAnsi="宋体" w:cs="宋体"/>
                <w:color w:val="auto"/>
                <w:kern w:val="0"/>
                <w:sz w:val="24"/>
                <w:highlight w:val="none"/>
              </w:rPr>
              <w:t>2</w:t>
            </w:r>
            <w:r>
              <w:rPr>
                <w:rFonts w:hint="eastAsia" w:ascii="宋体" w:hAnsi="宋体" w:cs="宋体"/>
                <w:color w:val="auto"/>
                <w:kern w:val="0"/>
                <w:sz w:val="24"/>
                <w:highlight w:val="none"/>
              </w:rPr>
              <w:t>3</w:t>
            </w:r>
            <w:r>
              <w:rPr>
                <w:rFonts w:hint="default" w:ascii="宋体" w:hAnsi="宋体" w:cs="宋体"/>
                <w:color w:val="auto"/>
                <w:kern w:val="0"/>
                <w:sz w:val="24"/>
                <w:highlight w:val="none"/>
              </w:rPr>
              <w:t>、</w:t>
            </w:r>
            <w:r>
              <w:rPr>
                <w:rFonts w:hint="eastAsia" w:ascii="宋体" w:hAnsi="宋体" w:cs="宋体"/>
                <w:color w:val="auto"/>
                <w:sz w:val="24"/>
                <w:highlight w:val="none"/>
              </w:rPr>
              <w:t>LED显示屏灯珠须通过高温贮存检测，在Ta=100℃ 贮存500H条件下，灯珠点亮无异常；冷热冲击检测，在-50℃~130℃环境，各15min200次，检测结果光电特性及表面构造正常，点亮正常;</w:t>
            </w:r>
          </w:p>
          <w:p w14:paraId="04AE0774">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highlight w:val="none"/>
              </w:rPr>
            </w:pPr>
            <w:r>
              <w:rPr>
                <w:rFonts w:hint="default" w:ascii="宋体" w:hAnsi="宋体" w:cs="宋体"/>
                <w:color w:val="auto"/>
                <w:kern w:val="0"/>
                <w:sz w:val="24"/>
                <w:highlight w:val="none"/>
              </w:rPr>
              <w:t>2</w:t>
            </w:r>
            <w:r>
              <w:rPr>
                <w:rFonts w:hint="eastAsia" w:ascii="宋体" w:hAnsi="宋体" w:cs="宋体"/>
                <w:color w:val="auto"/>
                <w:kern w:val="0"/>
                <w:sz w:val="24"/>
                <w:highlight w:val="none"/>
              </w:rPr>
              <w:t>4</w:t>
            </w:r>
            <w:r>
              <w:rPr>
                <w:rFonts w:hint="default" w:ascii="宋体" w:hAnsi="宋体" w:cs="宋体"/>
                <w:color w:val="auto"/>
                <w:kern w:val="0"/>
                <w:sz w:val="24"/>
                <w:highlight w:val="none"/>
              </w:rPr>
              <w:t>、</w:t>
            </w:r>
            <w:r>
              <w:rPr>
                <w:rFonts w:hint="eastAsia" w:ascii="宋体" w:hAnsi="宋体" w:cs="宋体"/>
                <w:color w:val="auto"/>
                <w:sz w:val="24"/>
                <w:highlight w:val="none"/>
              </w:rPr>
              <w:t>为有效降低环境光线在显示屏上反射影响观看效果，LED显示屏需具备防反光功能，人眼观看舒适度VICO≦1</w:t>
            </w:r>
            <w:r>
              <w:rPr>
                <w:rFonts w:hint="default" w:ascii="宋体" w:hAnsi="宋体" w:cs="宋体"/>
                <w:color w:val="auto"/>
                <w:kern w:val="0"/>
                <w:sz w:val="24"/>
                <w:highlight w:val="none"/>
              </w:rPr>
              <w:t xml:space="preserve">； </w:t>
            </w:r>
          </w:p>
          <w:p w14:paraId="71627A70">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highlight w:val="none"/>
              </w:rPr>
            </w:pPr>
            <w:r>
              <w:rPr>
                <w:rFonts w:hint="eastAsia" w:ascii="宋体" w:hAnsi="宋体" w:cs="宋体"/>
                <w:color w:val="auto"/>
                <w:kern w:val="0"/>
                <w:sz w:val="24"/>
                <w:highlight w:val="none"/>
              </w:rPr>
              <w:t>25.</w:t>
            </w:r>
            <w:r>
              <w:rPr>
                <w:rFonts w:hint="default" w:ascii="宋体" w:hAnsi="宋体" w:cs="宋体"/>
                <w:color w:val="auto"/>
                <w:kern w:val="0"/>
                <w:sz w:val="24"/>
                <w:highlight w:val="none"/>
              </w:rPr>
              <w:t>产品符合CQC31-452691-2016 认证规则的要求，满足CQC3158-2016LED显示单元节能认证技术规范，提供中国节能认证产品认证证书；加盖制造商鲜章；</w:t>
            </w:r>
          </w:p>
          <w:p w14:paraId="022B7090">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highlight w:val="none"/>
              </w:rPr>
            </w:pPr>
            <w:r>
              <w:rPr>
                <w:rFonts w:hint="eastAsia" w:ascii="宋体" w:hAnsi="宋体" w:cs="宋体"/>
                <w:color w:val="auto"/>
                <w:kern w:val="0"/>
                <w:sz w:val="24"/>
                <w:highlight w:val="none"/>
              </w:rPr>
              <w:t>26.所投LED显示屏产品具备国家强制性产品CCC 认证证书，提供证书复印件并加盖制造商鲜章。</w:t>
            </w:r>
          </w:p>
          <w:p w14:paraId="41C2C2CE">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highlight w:val="none"/>
              </w:rPr>
            </w:pPr>
            <w:r>
              <w:rPr>
                <w:rFonts w:hint="eastAsia" w:ascii="宋体" w:hAnsi="宋体" w:cs="宋体"/>
                <w:color w:val="auto"/>
                <w:kern w:val="0"/>
                <w:sz w:val="24"/>
                <w:highlight w:val="none"/>
              </w:rPr>
              <w:t>27.所投LED制造商具有质量管理体系认证证书，环境管理体系认证证书，职业健康管理体系认证证书，提供证书复印件并加盖制造商鲜章。</w:t>
            </w:r>
          </w:p>
          <w:p w14:paraId="130B44F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4"/>
                <w:szCs w:val="24"/>
                <w:highlight w:val="none"/>
                <w:u w:val="none"/>
                <w:lang w:val="en-US" w:eastAsia="zh-CN" w:bidi="ar"/>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991E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color w:val="auto"/>
                <w:kern w:val="0"/>
                <w:sz w:val="24"/>
                <w:highlight w:val="none"/>
              </w:rPr>
              <w:t>35.84</w:t>
            </w:r>
          </w:p>
        </w:tc>
        <w:tc>
          <w:tcPr>
            <w:tcW w:w="867" w:type="dxa"/>
            <w:tcBorders>
              <w:top w:val="single" w:color="000000" w:sz="4" w:space="0"/>
              <w:left w:val="single" w:color="000000" w:sz="4" w:space="0"/>
              <w:bottom w:val="single" w:color="000000" w:sz="4" w:space="0"/>
            </w:tcBorders>
            <w:shd w:val="clear" w:color="auto" w:fill="auto"/>
            <w:vAlign w:val="center"/>
          </w:tcPr>
          <w:p w14:paraId="7B6565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color w:val="auto"/>
                <w:kern w:val="0"/>
                <w:sz w:val="24"/>
                <w:highlight w:val="none"/>
              </w:rPr>
              <w:t>平方</w:t>
            </w:r>
          </w:p>
        </w:tc>
      </w:tr>
      <w:tr w14:paraId="1CF81A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7" w:type="dxa"/>
            <w:tcBorders>
              <w:top w:val="single" w:color="000000" w:sz="4" w:space="0"/>
              <w:bottom w:val="single" w:color="000000" w:sz="4" w:space="0"/>
              <w:right w:val="single" w:color="000000" w:sz="4" w:space="0"/>
            </w:tcBorders>
            <w:shd w:val="clear" w:color="auto" w:fill="auto"/>
            <w:vAlign w:val="center"/>
          </w:tcPr>
          <w:p w14:paraId="4579A6A1">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4"/>
                <w:highlight w:val="none"/>
                <w:lang w:bidi="ar"/>
              </w:rPr>
            </w:pPr>
            <w:r>
              <w:rPr>
                <w:rFonts w:hint="eastAsia" w:ascii="宋体" w:hAnsi="宋体" w:cs="宋体"/>
                <w:color w:val="auto"/>
                <w:kern w:val="0"/>
                <w:sz w:val="24"/>
                <w:highlight w:val="none"/>
              </w:rPr>
              <w:t>2</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ECC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auto"/>
                <w:kern w:val="0"/>
                <w:sz w:val="24"/>
                <w:highlight w:val="none"/>
              </w:rPr>
              <w:t>电源</w:t>
            </w:r>
          </w:p>
        </w:tc>
        <w:tc>
          <w:tcPr>
            <w:tcW w:w="6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E0E19">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highlight w:val="none"/>
              </w:rPr>
            </w:pPr>
            <w:r>
              <w:rPr>
                <w:rFonts w:hint="eastAsia" w:ascii="宋体" w:hAnsi="宋体" w:cs="宋体"/>
                <w:color w:val="auto"/>
                <w:kern w:val="0"/>
                <w:sz w:val="24"/>
                <w:highlight w:val="none"/>
              </w:rPr>
              <w:t>1、动态负载：10%-100%load：≤800mV（峰值）。</w:t>
            </w:r>
          </w:p>
          <w:p w14:paraId="16BAAC87">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highlight w:val="none"/>
              </w:rPr>
            </w:pPr>
            <w:r>
              <w:rPr>
                <w:rFonts w:hint="eastAsia" w:ascii="宋体" w:hAnsi="宋体" w:cs="宋体"/>
                <w:color w:val="auto"/>
                <w:kern w:val="0"/>
                <w:sz w:val="24"/>
                <w:highlight w:val="none"/>
              </w:rPr>
              <w:t>2、额定输入电压：200-240VAC；额定输出电压4.5Vdc。</w:t>
            </w:r>
          </w:p>
          <w:p w14:paraId="07D57C22">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highlight w:val="none"/>
              </w:rPr>
            </w:pPr>
            <w:r>
              <w:rPr>
                <w:rFonts w:hint="eastAsia" w:ascii="宋体" w:hAnsi="宋体" w:cs="宋体"/>
                <w:color w:val="auto"/>
                <w:kern w:val="0"/>
                <w:sz w:val="24"/>
                <w:highlight w:val="none"/>
              </w:rPr>
              <w:t>3、输入频率：50Hz。</w:t>
            </w:r>
          </w:p>
          <w:p w14:paraId="5C540B85">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highlight w:val="none"/>
              </w:rPr>
            </w:pPr>
            <w:r>
              <w:rPr>
                <w:rFonts w:hint="eastAsia" w:ascii="宋体" w:hAnsi="宋体" w:cs="宋体"/>
                <w:color w:val="auto"/>
                <w:kern w:val="0"/>
                <w:sz w:val="24"/>
                <w:highlight w:val="none"/>
              </w:rPr>
              <w:t>4、额定输出电流：0-40A。</w:t>
            </w:r>
          </w:p>
          <w:p w14:paraId="0180112D">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highlight w:val="none"/>
              </w:rPr>
            </w:pPr>
            <w:r>
              <w:rPr>
                <w:rFonts w:hint="eastAsia" w:ascii="宋体" w:hAnsi="宋体" w:cs="宋体"/>
                <w:color w:val="auto"/>
                <w:kern w:val="0"/>
                <w:sz w:val="24"/>
                <w:highlight w:val="none"/>
              </w:rPr>
              <w:t>5、过流保护：48-76A。</w:t>
            </w:r>
          </w:p>
          <w:p w14:paraId="0309EDC2">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highlight w:val="none"/>
              </w:rPr>
            </w:pPr>
            <w:r>
              <w:rPr>
                <w:rFonts w:hint="eastAsia" w:ascii="宋体" w:hAnsi="宋体" w:cs="宋体"/>
                <w:color w:val="auto"/>
                <w:kern w:val="0"/>
                <w:sz w:val="24"/>
                <w:highlight w:val="none"/>
              </w:rPr>
              <w:t>6、自然对流撒热，需紧贴客户金属机箱外壳散热。</w:t>
            </w:r>
          </w:p>
          <w:p w14:paraId="563127B8">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highlight w:val="none"/>
              </w:rPr>
            </w:pPr>
            <w:r>
              <w:rPr>
                <w:rFonts w:hint="default" w:ascii="宋体" w:hAnsi="宋体" w:cs="宋体"/>
                <w:color w:val="auto"/>
                <w:kern w:val="0"/>
                <w:sz w:val="24"/>
                <w:highlight w:val="none"/>
              </w:rPr>
              <w:t>★</w:t>
            </w:r>
            <w:r>
              <w:rPr>
                <w:rFonts w:hint="eastAsia" w:ascii="宋体" w:hAnsi="宋体" w:cs="宋体"/>
                <w:color w:val="auto"/>
                <w:kern w:val="0"/>
                <w:sz w:val="24"/>
                <w:highlight w:val="none"/>
              </w:rPr>
              <w:t>7、电源在高温、低温情况下各功能正常，并提供《高低温试验实验检测报告》。（生产厂家提供检测报告复印件并加盖公章）。</w:t>
            </w:r>
          </w:p>
          <w:p w14:paraId="4A778243">
            <w:pPr>
              <w:pStyle w:val="19"/>
              <w:keepNext w:val="0"/>
              <w:keepLines w:val="0"/>
              <w:suppressLineNumbers w:val="0"/>
              <w:spacing w:before="0" w:beforeAutospacing="0" w:afterAutospacing="0"/>
              <w:ind w:left="0" w:right="0"/>
              <w:rPr>
                <w:rFonts w:hint="eastAsia" w:ascii="宋体" w:hAnsi="宋体" w:eastAsia="宋体" w:cs="宋体"/>
                <w:i w:val="0"/>
                <w:iCs w:val="0"/>
                <w:color w:val="000000"/>
                <w:kern w:val="0"/>
                <w:sz w:val="24"/>
                <w:szCs w:val="24"/>
                <w:u w:val="none"/>
                <w:lang w:val="en-US" w:eastAsia="zh-CN" w:bidi="ar"/>
              </w:rPr>
            </w:pPr>
            <w:r>
              <w:rPr>
                <w:rFonts w:hint="default" w:ascii="宋体" w:hAnsi="宋体" w:cs="宋体"/>
                <w:color w:val="auto"/>
                <w:kern w:val="0"/>
                <w:sz w:val="24"/>
                <w:highlight w:val="none"/>
              </w:rPr>
              <w:t>★</w:t>
            </w:r>
            <w:r>
              <w:rPr>
                <w:rFonts w:hint="eastAsia" w:ascii="宋体" w:hAnsi="宋体" w:cs="宋体"/>
                <w:color w:val="auto"/>
                <w:kern w:val="0"/>
                <w:sz w:val="24"/>
                <w:highlight w:val="none"/>
              </w:rPr>
              <w:t>8、在浪涌（冲击）抗扰度测试后，电源处于正常工作状态，并提供检测报告。（生产厂家提供检测报告复印件并加盖公章。</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A07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color w:val="auto"/>
                <w:kern w:val="0"/>
                <w:sz w:val="24"/>
                <w:highlight w:val="none"/>
              </w:rPr>
              <w:t>123</w:t>
            </w:r>
          </w:p>
        </w:tc>
        <w:tc>
          <w:tcPr>
            <w:tcW w:w="867" w:type="dxa"/>
            <w:tcBorders>
              <w:top w:val="single" w:color="000000" w:sz="4" w:space="0"/>
              <w:left w:val="single" w:color="000000" w:sz="4" w:space="0"/>
              <w:bottom w:val="single" w:color="000000" w:sz="4" w:space="0"/>
            </w:tcBorders>
            <w:shd w:val="clear" w:color="auto" w:fill="auto"/>
            <w:vAlign w:val="center"/>
          </w:tcPr>
          <w:p w14:paraId="6CE56D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auto"/>
                <w:kern w:val="0"/>
                <w:sz w:val="24"/>
                <w:highlight w:val="none"/>
              </w:rPr>
              <w:t>台</w:t>
            </w:r>
          </w:p>
        </w:tc>
      </w:tr>
      <w:tr w14:paraId="4BE40C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7" w:type="dxa"/>
            <w:tcBorders>
              <w:top w:val="single" w:color="000000" w:sz="4" w:space="0"/>
              <w:bottom w:val="single" w:color="000000" w:sz="4" w:space="0"/>
              <w:right w:val="single" w:color="000000" w:sz="4" w:space="0"/>
            </w:tcBorders>
            <w:shd w:val="clear" w:color="auto" w:fill="auto"/>
            <w:vAlign w:val="center"/>
          </w:tcPr>
          <w:p w14:paraId="02EE0093">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4"/>
                <w:highlight w:val="none"/>
                <w:lang w:bidi="ar"/>
              </w:rPr>
            </w:pPr>
            <w:r>
              <w:rPr>
                <w:rFonts w:hint="eastAsia" w:ascii="宋体" w:hAnsi="宋体" w:cs="宋体"/>
                <w:color w:val="auto"/>
                <w:kern w:val="0"/>
                <w:sz w:val="24"/>
              </w:rPr>
              <w:t>3</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94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auto"/>
                <w:kern w:val="0"/>
                <w:sz w:val="24"/>
              </w:rPr>
              <w:t>接收卡</w:t>
            </w:r>
          </w:p>
        </w:tc>
        <w:tc>
          <w:tcPr>
            <w:tcW w:w="6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C22D1">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rPr>
            </w:pPr>
            <w:r>
              <w:rPr>
                <w:rFonts w:hint="default" w:ascii="宋体" w:hAnsi="宋体" w:cs="宋体"/>
                <w:color w:val="auto"/>
                <w:kern w:val="0"/>
                <w:sz w:val="24"/>
              </w:rPr>
              <w:t>1. 集成12路HUB75，无需再配转接板，更方便，成本更低；</w:t>
            </w:r>
          </w:p>
          <w:p w14:paraId="7E6E9C82">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rPr>
            </w:pPr>
            <w:r>
              <w:rPr>
                <w:rFonts w:hint="default" w:ascii="宋体" w:hAnsi="宋体" w:cs="宋体"/>
                <w:color w:val="auto"/>
                <w:kern w:val="0"/>
                <w:sz w:val="24"/>
              </w:rPr>
              <w:t>2. 减少接插连接件，减少故障点，故障率更低；</w:t>
            </w:r>
          </w:p>
          <w:p w14:paraId="110324AE">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rPr>
            </w:pPr>
            <w:r>
              <w:rPr>
                <w:rFonts w:hint="default" w:ascii="宋体" w:hAnsi="宋体" w:cs="宋体"/>
                <w:color w:val="auto"/>
                <w:kern w:val="0"/>
                <w:sz w:val="24"/>
              </w:rPr>
              <w:t>3. 支持常规芯片实现高刷新、高灰度、高亮度；</w:t>
            </w:r>
          </w:p>
          <w:p w14:paraId="194990F1">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rPr>
            </w:pPr>
            <w:r>
              <w:rPr>
                <w:rFonts w:hint="default" w:ascii="宋体" w:hAnsi="宋体" w:cs="宋体"/>
                <w:color w:val="auto"/>
                <w:kern w:val="0"/>
                <w:sz w:val="24"/>
              </w:rPr>
              <w:t>4. 全新灰度引擎，低灰度表现更佳；</w:t>
            </w:r>
          </w:p>
          <w:p w14:paraId="1DBA0AF4">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rPr>
            </w:pPr>
            <w:r>
              <w:rPr>
                <w:rFonts w:hint="default" w:ascii="宋体" w:hAnsi="宋体" w:cs="宋体"/>
                <w:color w:val="auto"/>
                <w:kern w:val="0"/>
                <w:sz w:val="24"/>
              </w:rPr>
              <w:t>5. 细节处理更完美，可消除单元板设计引起的某行偏暗、低灰偏红、鬼影等细节问题；</w:t>
            </w:r>
          </w:p>
          <w:p w14:paraId="1A29BC25">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rPr>
            </w:pPr>
            <w:r>
              <w:rPr>
                <w:rFonts w:hint="default" w:ascii="宋体" w:hAnsi="宋体" w:cs="宋体"/>
                <w:color w:val="auto"/>
                <w:kern w:val="0"/>
                <w:sz w:val="24"/>
              </w:rPr>
              <w:t>6. 支持14bit精度逐点校正；</w:t>
            </w:r>
          </w:p>
          <w:p w14:paraId="463295A1">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rPr>
            </w:pPr>
            <w:r>
              <w:rPr>
                <w:rFonts w:hint="default" w:ascii="宋体" w:hAnsi="宋体" w:cs="宋体"/>
                <w:color w:val="auto"/>
                <w:kern w:val="0"/>
                <w:sz w:val="24"/>
              </w:rPr>
              <w:t>7. 支持所有常规芯片、PWM芯片和灯饰芯片</w:t>
            </w:r>
          </w:p>
          <w:p w14:paraId="509792E8">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rPr>
            </w:pPr>
            <w:r>
              <w:rPr>
                <w:rFonts w:hint="default" w:ascii="宋体" w:hAnsi="宋体" w:cs="宋体"/>
                <w:color w:val="auto"/>
                <w:kern w:val="0"/>
                <w:sz w:val="24"/>
              </w:rPr>
              <w:t>8. 支持静态屏、1/2~1/128扫之间的任意扫描类型；</w:t>
            </w:r>
          </w:p>
          <w:p w14:paraId="72869B59">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rPr>
            </w:pPr>
            <w:r>
              <w:rPr>
                <w:rFonts w:hint="default" w:ascii="宋体" w:hAnsi="宋体" w:cs="宋体"/>
                <w:color w:val="auto"/>
                <w:kern w:val="0"/>
                <w:sz w:val="24"/>
              </w:rPr>
              <w:t>9. 支持任意抽点，支持数据偏移，可轻松实现各种异型屏、球形屏、创意显示屏；</w:t>
            </w:r>
          </w:p>
          <w:p w14:paraId="59A8AA87">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rPr>
            </w:pPr>
            <w:r>
              <w:rPr>
                <w:rFonts w:hint="default" w:ascii="宋体" w:hAnsi="宋体" w:cs="宋体"/>
                <w:color w:val="auto"/>
                <w:kern w:val="0"/>
                <w:sz w:val="24"/>
              </w:rPr>
              <w:t>10. 单卡支持24组串行数据；</w:t>
            </w:r>
          </w:p>
          <w:p w14:paraId="66E02111">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rPr>
            </w:pPr>
            <w:r>
              <w:rPr>
                <w:rFonts w:hint="default" w:ascii="宋体" w:hAnsi="宋体" w:cs="宋体"/>
                <w:color w:val="auto"/>
                <w:kern w:val="0"/>
                <w:sz w:val="24"/>
              </w:rPr>
              <w:t>11. 支持超大带载面积,单卡带载192*1024；</w:t>
            </w:r>
          </w:p>
          <w:p w14:paraId="2B718613">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rPr>
            </w:pPr>
            <w:r>
              <w:rPr>
                <w:rFonts w:hint="default" w:ascii="宋体" w:hAnsi="宋体" w:cs="宋体"/>
                <w:color w:val="auto"/>
                <w:kern w:val="0"/>
                <w:sz w:val="24"/>
              </w:rPr>
              <w:t>12. 先进设计，优质元器件，全自动高低温老化测试，零故障出厂；</w:t>
            </w:r>
          </w:p>
          <w:p w14:paraId="59CDC451">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rPr>
            </w:pPr>
            <w:r>
              <w:rPr>
                <w:rFonts w:hint="default" w:ascii="宋体" w:hAnsi="宋体" w:cs="宋体"/>
                <w:color w:val="auto"/>
                <w:kern w:val="0"/>
                <w:sz w:val="24"/>
              </w:rPr>
              <w:t>13. 支持DC 3.8V~5.5V超宽工作电压，有效减弱电压波动带来的影响；</w:t>
            </w:r>
          </w:p>
          <w:p w14:paraId="777EF3F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cs="宋体"/>
                <w:color w:val="auto"/>
                <w:kern w:val="0"/>
                <w:sz w:val="24"/>
              </w:rPr>
              <w:t>★</w:t>
            </w:r>
            <w:r>
              <w:rPr>
                <w:rFonts w:hint="default" w:ascii="宋体" w:hAnsi="宋体" w:cs="宋体"/>
                <w:color w:val="auto"/>
                <w:kern w:val="0"/>
                <w:sz w:val="24"/>
              </w:rPr>
              <w:tab/>
            </w:r>
            <w:r>
              <w:rPr>
                <w:rFonts w:hint="default" w:ascii="宋体" w:hAnsi="宋体" w:cs="宋体"/>
                <w:color w:val="auto"/>
                <w:kern w:val="0"/>
                <w:sz w:val="24"/>
              </w:rPr>
              <w:t>视频输入，8bit 视频输入</w:t>
            </w:r>
            <w:r>
              <w:rPr>
                <w:rFonts w:hint="eastAsia" w:ascii="宋体" w:hAnsi="宋体" w:cs="宋体"/>
                <w:color w:val="auto"/>
                <w:kern w:val="0"/>
                <w:sz w:val="24"/>
              </w:rPr>
              <w:t>，</w:t>
            </w:r>
            <w:r>
              <w:rPr>
                <w:rFonts w:hint="default" w:ascii="宋体" w:hAnsi="宋体" w:cs="宋体"/>
                <w:color w:val="auto"/>
                <w:kern w:val="0"/>
                <w:sz w:val="24"/>
              </w:rPr>
              <w:t>色温调节，即饱和度调节，增强画面表现力。需提供第三方检测报告复印件，并加盖供应商鲜章；</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0C5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color w:val="auto"/>
                <w:kern w:val="0"/>
                <w:sz w:val="24"/>
              </w:rPr>
              <w:t>75</w:t>
            </w:r>
          </w:p>
        </w:tc>
        <w:tc>
          <w:tcPr>
            <w:tcW w:w="867" w:type="dxa"/>
            <w:tcBorders>
              <w:top w:val="single" w:color="000000" w:sz="4" w:space="0"/>
              <w:left w:val="single" w:color="000000" w:sz="4" w:space="0"/>
              <w:bottom w:val="single" w:color="000000" w:sz="4" w:space="0"/>
            </w:tcBorders>
            <w:shd w:val="clear" w:color="auto" w:fill="auto"/>
            <w:vAlign w:val="center"/>
          </w:tcPr>
          <w:p w14:paraId="23124E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auto"/>
                <w:kern w:val="0"/>
                <w:sz w:val="24"/>
              </w:rPr>
              <w:t>张</w:t>
            </w:r>
          </w:p>
        </w:tc>
      </w:tr>
      <w:tr w14:paraId="136E3F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7" w:type="dxa"/>
            <w:tcBorders>
              <w:top w:val="single" w:color="000000" w:sz="4" w:space="0"/>
              <w:bottom w:val="single" w:color="000000" w:sz="4" w:space="0"/>
              <w:right w:val="single" w:color="000000" w:sz="4" w:space="0"/>
            </w:tcBorders>
            <w:shd w:val="clear" w:color="auto" w:fill="auto"/>
            <w:vAlign w:val="center"/>
          </w:tcPr>
          <w:p w14:paraId="7A8BD09E">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4"/>
                <w:highlight w:val="none"/>
                <w:lang w:bidi="ar"/>
              </w:rPr>
            </w:pPr>
            <w:r>
              <w:rPr>
                <w:rFonts w:hint="eastAsia" w:ascii="宋体" w:hAnsi="宋体" w:cs="宋体"/>
                <w:color w:val="auto"/>
                <w:kern w:val="0"/>
                <w:sz w:val="24"/>
              </w:rPr>
              <w:t>4</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9EB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auto"/>
                <w:kern w:val="0"/>
                <w:sz w:val="24"/>
              </w:rPr>
              <w:t>视频控制器</w:t>
            </w:r>
          </w:p>
        </w:tc>
        <w:tc>
          <w:tcPr>
            <w:tcW w:w="6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01D0">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rPr>
              <w:tab/>
            </w:r>
            <w:r>
              <w:rPr>
                <w:rFonts w:hint="eastAsia" w:ascii="宋体" w:hAnsi="宋体" w:cs="宋体"/>
                <w:color w:val="auto"/>
                <w:kern w:val="0"/>
                <w:sz w:val="24"/>
              </w:rPr>
              <w:t>具备强大的视频信号输入和处理能力的超4K专业主控，不仅支持DP1.2和HDMI2.0接口的4K视频信号输入，同时支持HDMI1.4及DVI接口的2K视频信号输入，支持多路信号间无缝切换。单机最大支持带载1300万像素点，其带载宽度最大可达16384像素点，高度最大可达8192像素点。支持1路DP1.2和1路HDMI2.04K输入</w:t>
            </w:r>
          </w:p>
          <w:p w14:paraId="0DE63EA6">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rPr>
            </w:pPr>
            <w:r>
              <w:rPr>
                <w:rFonts w:hint="eastAsia" w:ascii="宋体" w:hAnsi="宋体" w:cs="宋体"/>
                <w:color w:val="auto"/>
                <w:kern w:val="0"/>
                <w:sz w:val="24"/>
              </w:rPr>
              <w:t>2.支持2路HDMI1.4和2路DVI高清输入</w:t>
            </w:r>
          </w:p>
          <w:p w14:paraId="54D32D21">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rPr>
            </w:pPr>
            <w:r>
              <w:rPr>
                <w:rFonts w:hint="eastAsia" w:ascii="宋体" w:hAnsi="宋体" w:cs="宋体"/>
                <w:color w:val="auto"/>
                <w:kern w:val="0"/>
                <w:sz w:val="24"/>
              </w:rPr>
              <w:t>3.支持最大带载1300万像素，最宽16384像素，或最高8192像素</w:t>
            </w:r>
          </w:p>
          <w:p w14:paraId="717EAEBB">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rPr>
            </w:pPr>
            <w:r>
              <w:rPr>
                <w:rFonts w:hint="eastAsia" w:ascii="宋体" w:hAnsi="宋体" w:cs="宋体"/>
                <w:color w:val="auto"/>
                <w:kern w:val="0"/>
                <w:sz w:val="24"/>
              </w:rPr>
              <w:t>4.支持最大输入分辨率4096×2160@60Hz，支持自定义分辨率设置</w:t>
            </w:r>
          </w:p>
          <w:p w14:paraId="6BD155E8">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rPr>
            </w:pPr>
            <w:r>
              <w:rPr>
                <w:rFonts w:hint="eastAsia" w:ascii="宋体" w:hAnsi="宋体" w:cs="宋体"/>
                <w:color w:val="auto"/>
                <w:kern w:val="0"/>
                <w:sz w:val="24"/>
              </w:rPr>
              <w:t>5.支持20路千兆网口和2路万兆光纤口两种输出模式</w:t>
            </w:r>
          </w:p>
          <w:p w14:paraId="3D28F5A1">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rPr>
            </w:pPr>
            <w:r>
              <w:rPr>
                <w:rFonts w:hint="eastAsia" w:ascii="宋体" w:hAnsi="宋体" w:cs="宋体"/>
                <w:color w:val="auto"/>
                <w:kern w:val="0"/>
                <w:sz w:val="24"/>
              </w:rPr>
              <w:t>6.支持对视频信号任意切换，裁剪，拼接，缩放</w:t>
            </w:r>
          </w:p>
          <w:p w14:paraId="10BB72D4">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rPr>
            </w:pPr>
            <w:r>
              <w:rPr>
                <w:rFonts w:hint="eastAsia" w:ascii="宋体" w:hAnsi="宋体" w:cs="宋体"/>
                <w:color w:val="auto"/>
                <w:kern w:val="0"/>
                <w:sz w:val="24"/>
              </w:rPr>
              <w:t>7.支持6画面显示，位置，大小可自由调节</w:t>
            </w:r>
          </w:p>
          <w:p w14:paraId="766209BE">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rPr>
            </w:pPr>
            <w:r>
              <w:rPr>
                <w:rFonts w:hint="eastAsia" w:ascii="宋体" w:hAnsi="宋体" w:cs="宋体"/>
                <w:color w:val="auto"/>
                <w:kern w:val="0"/>
                <w:sz w:val="24"/>
              </w:rPr>
              <w:t>8.支持精确颜色管理，调整显示屏色域</w:t>
            </w:r>
          </w:p>
          <w:p w14:paraId="4D51DDD5">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rPr>
            </w:pPr>
            <w:r>
              <w:rPr>
                <w:rFonts w:hint="eastAsia" w:ascii="宋体" w:hAnsi="宋体" w:cs="宋体"/>
                <w:color w:val="auto"/>
                <w:kern w:val="0"/>
                <w:sz w:val="24"/>
              </w:rPr>
              <w:t>9.支持视频同步锁相技术</w:t>
            </w:r>
          </w:p>
          <w:p w14:paraId="307FCE1D">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rPr>
            </w:pPr>
            <w:r>
              <w:rPr>
                <w:rFonts w:hint="eastAsia" w:ascii="宋体" w:hAnsi="宋体" w:cs="宋体"/>
                <w:color w:val="auto"/>
                <w:kern w:val="0"/>
                <w:sz w:val="24"/>
              </w:rPr>
              <w:t>10.支持独立音频输入输出</w:t>
            </w:r>
          </w:p>
          <w:p w14:paraId="61822627">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rPr>
            </w:pPr>
            <w:r>
              <w:rPr>
                <w:rFonts w:hint="eastAsia" w:ascii="宋体" w:hAnsi="宋体" w:cs="宋体"/>
                <w:color w:val="auto"/>
                <w:kern w:val="0"/>
                <w:sz w:val="24"/>
              </w:rPr>
              <w:t>11.支持RS232串口协议控制</w:t>
            </w:r>
          </w:p>
          <w:p w14:paraId="6428BE81">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rPr>
            </w:pPr>
            <w:r>
              <w:rPr>
                <w:rFonts w:hint="eastAsia" w:ascii="宋体" w:hAnsi="宋体" w:cs="宋体"/>
                <w:color w:val="auto"/>
                <w:kern w:val="0"/>
                <w:sz w:val="24"/>
              </w:rPr>
              <w:t>12.支持HDCP协议的高带宽数字内容保护技术（仅高清接口支持）</w:t>
            </w:r>
          </w:p>
          <w:p w14:paraId="058C7462">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rPr>
            </w:pPr>
            <w:r>
              <w:rPr>
                <w:rFonts w:hint="eastAsia" w:ascii="宋体" w:hAnsi="宋体" w:cs="宋体"/>
                <w:color w:val="auto"/>
                <w:kern w:val="0"/>
                <w:sz w:val="24"/>
              </w:rPr>
              <w:t>13.支持亮度和色温调节</w:t>
            </w:r>
          </w:p>
          <w:p w14:paraId="051B7739">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rPr>
            </w:pPr>
            <w:r>
              <w:rPr>
                <w:rFonts w:hint="eastAsia" w:ascii="宋体" w:hAnsi="宋体" w:cs="宋体"/>
                <w:color w:val="auto"/>
                <w:kern w:val="0"/>
                <w:sz w:val="24"/>
              </w:rPr>
              <w:t>14.</w:t>
            </w:r>
            <w:r>
              <w:rPr>
                <w:rFonts w:hint="eastAsia" w:ascii="宋体" w:hAnsi="宋体" w:cs="宋体"/>
                <w:color w:val="auto"/>
                <w:kern w:val="0"/>
                <w:sz w:val="24"/>
              </w:rPr>
              <w:tab/>
            </w:r>
            <w:r>
              <w:rPr>
                <w:rFonts w:hint="eastAsia" w:ascii="宋体" w:hAnsi="宋体" w:cs="宋体"/>
                <w:color w:val="auto"/>
                <w:kern w:val="0"/>
                <w:sz w:val="24"/>
              </w:rPr>
              <w:t>支持低亮高灰，能有效地保持低亮下灰阶的完整显示</w:t>
            </w:r>
          </w:p>
          <w:p w14:paraId="195CDD3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color w:val="auto"/>
                <w:kern w:val="0"/>
                <w:sz w:val="24"/>
              </w:rPr>
              <w:t>★多机拼接级联，严格同步，设备备直接通过USB2.0级联，级联数据下发发送 速率最高可达 60Mb/s，最多支持 16 台同时调 节亮度、色温、设备之间同步性，符合大型高标 准活动现场低延时要求；配合外设级联最大带载 宽度可达 262144 像素点，最高可到 131072像素点。（提供第三方检验报告复印件）</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2C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auto"/>
                <w:kern w:val="0"/>
                <w:sz w:val="24"/>
              </w:rPr>
              <w:t>1</w:t>
            </w:r>
          </w:p>
        </w:tc>
        <w:tc>
          <w:tcPr>
            <w:tcW w:w="867" w:type="dxa"/>
            <w:tcBorders>
              <w:top w:val="single" w:color="000000" w:sz="4" w:space="0"/>
              <w:left w:val="single" w:color="000000" w:sz="4" w:space="0"/>
              <w:bottom w:val="single" w:color="000000" w:sz="4" w:space="0"/>
            </w:tcBorders>
            <w:shd w:val="clear" w:color="auto" w:fill="auto"/>
            <w:vAlign w:val="center"/>
          </w:tcPr>
          <w:p w14:paraId="280FA5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auto"/>
                <w:kern w:val="0"/>
                <w:sz w:val="24"/>
              </w:rPr>
              <w:t>台</w:t>
            </w:r>
          </w:p>
        </w:tc>
      </w:tr>
      <w:tr w14:paraId="33C6F4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7" w:type="dxa"/>
            <w:tcBorders>
              <w:top w:val="single" w:color="000000" w:sz="4" w:space="0"/>
              <w:bottom w:val="single" w:color="000000" w:sz="4" w:space="0"/>
              <w:right w:val="single" w:color="000000" w:sz="4" w:space="0"/>
            </w:tcBorders>
            <w:shd w:val="clear" w:color="auto" w:fill="auto"/>
            <w:vAlign w:val="center"/>
          </w:tcPr>
          <w:p w14:paraId="418C363C">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4"/>
                <w:highlight w:val="none"/>
                <w:lang w:bidi="ar"/>
              </w:rPr>
            </w:pPr>
            <w:r>
              <w:rPr>
                <w:rFonts w:hint="eastAsia" w:ascii="宋体" w:hAnsi="宋体" w:cs="宋体"/>
                <w:color w:val="auto"/>
                <w:kern w:val="0"/>
                <w:sz w:val="24"/>
              </w:rPr>
              <w:t>5</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DCE7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auto"/>
                <w:kern w:val="0"/>
                <w:sz w:val="24"/>
              </w:rPr>
              <w:t>控制软件</w:t>
            </w:r>
          </w:p>
        </w:tc>
        <w:tc>
          <w:tcPr>
            <w:tcW w:w="6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6E080">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rPr>
            </w:pPr>
            <w:r>
              <w:rPr>
                <w:rFonts w:hint="eastAsia" w:ascii="宋体" w:hAnsi="宋体" w:cs="宋体"/>
                <w:color w:val="auto"/>
                <w:kern w:val="0"/>
                <w:sz w:val="24"/>
              </w:rPr>
              <w:t>用于 LED 显示屏控制和播放的专业软件。该软件功能丰富、性能优越，兼具良好的操作界面，易学易用。支持视频、音频、图像、文字、Flash、Gif 等形式的媒体文件播放;支持 Microsoft office 的 Word、Excel、PPT 显示;支持时钟、计时、天气预报显示;支持外部视频信号(TV、AV、S-Video、 复合视频)播放;支持多页面多分区节目编辑;软件提供了丰富灵活的视频切换功能、分区特效，以及三维特效动画，让显示屏的显示效果得到完美展现。</w:t>
            </w:r>
          </w:p>
          <w:p w14:paraId="77C9472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auto"/>
                <w:kern w:val="0"/>
                <w:sz w:val="24"/>
              </w:rPr>
              <w:t>★、大屏幕参数设置，控制系统软件支持实时监测发送卡网口带载面积，支持网口显示，并有预警显示</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4C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auto"/>
                <w:kern w:val="0"/>
                <w:sz w:val="24"/>
              </w:rPr>
              <w:t>1</w:t>
            </w:r>
          </w:p>
        </w:tc>
        <w:tc>
          <w:tcPr>
            <w:tcW w:w="867" w:type="dxa"/>
            <w:tcBorders>
              <w:top w:val="single" w:color="000000" w:sz="4" w:space="0"/>
              <w:left w:val="single" w:color="000000" w:sz="4" w:space="0"/>
              <w:bottom w:val="single" w:color="000000" w:sz="4" w:space="0"/>
            </w:tcBorders>
            <w:shd w:val="clear" w:color="auto" w:fill="auto"/>
            <w:vAlign w:val="center"/>
          </w:tcPr>
          <w:p w14:paraId="57056B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auto"/>
                <w:kern w:val="0"/>
                <w:sz w:val="24"/>
              </w:rPr>
              <w:t>套</w:t>
            </w:r>
          </w:p>
        </w:tc>
      </w:tr>
      <w:tr w14:paraId="7538C2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7" w:type="dxa"/>
            <w:tcBorders>
              <w:top w:val="single" w:color="000000" w:sz="4" w:space="0"/>
              <w:bottom w:val="single" w:color="000000" w:sz="4" w:space="0"/>
              <w:right w:val="single" w:color="000000" w:sz="4" w:space="0"/>
            </w:tcBorders>
            <w:shd w:val="clear" w:color="auto" w:fill="auto"/>
            <w:vAlign w:val="center"/>
          </w:tcPr>
          <w:p w14:paraId="14174B2C">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4"/>
                <w:highlight w:val="none"/>
                <w:lang w:bidi="ar"/>
              </w:rPr>
            </w:pPr>
            <w:r>
              <w:rPr>
                <w:rFonts w:hint="eastAsia" w:ascii="宋体" w:hAnsi="宋体" w:cs="宋体"/>
                <w:color w:val="auto"/>
                <w:kern w:val="0"/>
                <w:sz w:val="24"/>
              </w:rPr>
              <w:t>6</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D6C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auto"/>
                <w:kern w:val="0"/>
                <w:sz w:val="24"/>
              </w:rPr>
              <w:t>屏体钢结构</w:t>
            </w:r>
          </w:p>
        </w:tc>
        <w:tc>
          <w:tcPr>
            <w:tcW w:w="6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FCA6E">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rPr>
            </w:pPr>
            <w:r>
              <w:rPr>
                <w:rFonts w:hint="eastAsia" w:ascii="宋体" w:hAnsi="宋体" w:cs="宋体"/>
                <w:color w:val="auto"/>
                <w:kern w:val="0"/>
                <w:sz w:val="24"/>
              </w:rPr>
              <w:t>1、定制屏体支撑结构；</w:t>
            </w:r>
          </w:p>
          <w:p w14:paraId="6B0EBD7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auto"/>
                <w:kern w:val="0"/>
                <w:sz w:val="24"/>
              </w:rPr>
              <w:t xml:space="preserve">2、屏整体壁挂式安装，钢结构厚≤15cm，正面边各≤5cm边框，模组贴装、前维护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F2B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color w:val="auto"/>
                <w:kern w:val="0"/>
                <w:sz w:val="24"/>
              </w:rPr>
              <w:t>37.1</w:t>
            </w:r>
          </w:p>
        </w:tc>
        <w:tc>
          <w:tcPr>
            <w:tcW w:w="867" w:type="dxa"/>
            <w:tcBorders>
              <w:top w:val="single" w:color="000000" w:sz="4" w:space="0"/>
              <w:left w:val="single" w:color="000000" w:sz="4" w:space="0"/>
              <w:bottom w:val="single" w:color="000000" w:sz="4" w:space="0"/>
            </w:tcBorders>
            <w:shd w:val="clear" w:color="auto" w:fill="auto"/>
            <w:vAlign w:val="center"/>
          </w:tcPr>
          <w:p w14:paraId="6DCE4F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auto"/>
                <w:kern w:val="0"/>
                <w:sz w:val="24"/>
              </w:rPr>
              <w:t>平方</w:t>
            </w:r>
          </w:p>
        </w:tc>
      </w:tr>
      <w:tr w14:paraId="6EFC50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7" w:type="dxa"/>
            <w:tcBorders>
              <w:top w:val="single" w:color="000000" w:sz="4" w:space="0"/>
              <w:bottom w:val="single" w:color="000000" w:sz="4" w:space="0"/>
              <w:right w:val="single" w:color="000000" w:sz="4" w:space="0"/>
            </w:tcBorders>
            <w:shd w:val="clear" w:color="auto" w:fill="auto"/>
            <w:vAlign w:val="center"/>
          </w:tcPr>
          <w:p w14:paraId="23208AA3">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4"/>
                <w:highlight w:val="none"/>
                <w:lang w:bidi="ar"/>
              </w:rPr>
            </w:pPr>
            <w:r>
              <w:rPr>
                <w:rFonts w:hint="eastAsia" w:ascii="宋体" w:hAnsi="宋体" w:cs="宋体"/>
                <w:color w:val="auto"/>
                <w:kern w:val="0"/>
                <w:sz w:val="24"/>
              </w:rPr>
              <w:t>7</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1E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auto"/>
                <w:kern w:val="0"/>
                <w:sz w:val="24"/>
              </w:rPr>
              <w:t>配电柜</w:t>
            </w:r>
          </w:p>
        </w:tc>
        <w:tc>
          <w:tcPr>
            <w:tcW w:w="6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21C96">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rPr>
            </w:pPr>
            <w:r>
              <w:rPr>
                <w:rFonts w:hint="eastAsia" w:ascii="宋体" w:hAnsi="宋体" w:cs="宋体"/>
                <w:color w:val="auto"/>
                <w:kern w:val="0"/>
                <w:sz w:val="24"/>
              </w:rPr>
              <w:t>1、总功率不低于30KW，定制LED显示屏专用电箱。</w:t>
            </w:r>
          </w:p>
          <w:p w14:paraId="543FC2FB">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rPr>
            </w:pPr>
            <w:r>
              <w:rPr>
                <w:rFonts w:hint="eastAsia" w:ascii="宋体" w:hAnsi="宋体" w:cs="宋体"/>
                <w:color w:val="auto"/>
                <w:kern w:val="0"/>
                <w:sz w:val="24"/>
              </w:rPr>
              <w:t>2、常规控制：自动控电，支持一键启动按钮，分组多路启动。</w:t>
            </w:r>
          </w:p>
          <w:p w14:paraId="1CDF590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color w:val="auto"/>
                <w:kern w:val="0"/>
                <w:sz w:val="24"/>
              </w:rPr>
              <w:t>3、具有短路、断路、过流、过压、欠压等多种保护功能。</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0E5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auto"/>
                <w:kern w:val="0"/>
                <w:sz w:val="24"/>
              </w:rPr>
              <w:t>1</w:t>
            </w:r>
          </w:p>
        </w:tc>
        <w:tc>
          <w:tcPr>
            <w:tcW w:w="867" w:type="dxa"/>
            <w:tcBorders>
              <w:top w:val="single" w:color="000000" w:sz="4" w:space="0"/>
              <w:left w:val="single" w:color="000000" w:sz="4" w:space="0"/>
              <w:bottom w:val="single" w:color="000000" w:sz="4" w:space="0"/>
            </w:tcBorders>
            <w:shd w:val="clear" w:color="auto" w:fill="auto"/>
            <w:vAlign w:val="center"/>
          </w:tcPr>
          <w:p w14:paraId="6FDAF2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auto"/>
                <w:kern w:val="0"/>
                <w:sz w:val="24"/>
              </w:rPr>
              <w:t>台</w:t>
            </w:r>
          </w:p>
        </w:tc>
      </w:tr>
      <w:tr w14:paraId="29426A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7" w:type="dxa"/>
            <w:tcBorders>
              <w:top w:val="single" w:color="000000" w:sz="4" w:space="0"/>
              <w:bottom w:val="single" w:color="000000" w:sz="4" w:space="0"/>
              <w:right w:val="single" w:color="000000" w:sz="4" w:space="0"/>
            </w:tcBorders>
            <w:shd w:val="clear" w:color="auto" w:fill="auto"/>
            <w:vAlign w:val="center"/>
          </w:tcPr>
          <w:p w14:paraId="38898909">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4"/>
                <w:highlight w:val="none"/>
                <w:lang w:bidi="ar"/>
              </w:rPr>
            </w:pPr>
            <w:r>
              <w:rPr>
                <w:rFonts w:hint="eastAsia" w:ascii="宋体" w:hAnsi="宋体" w:cs="宋体"/>
                <w:color w:val="auto"/>
                <w:kern w:val="0"/>
                <w:sz w:val="24"/>
              </w:rPr>
              <w:t>8</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4F6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auto"/>
                <w:kern w:val="0"/>
                <w:sz w:val="24"/>
              </w:rPr>
              <w:t>显示屏安装调试</w:t>
            </w:r>
          </w:p>
        </w:tc>
        <w:tc>
          <w:tcPr>
            <w:tcW w:w="6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859E6">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rPr>
            </w:pPr>
            <w:r>
              <w:rPr>
                <w:rFonts w:hint="eastAsia" w:ascii="宋体" w:hAnsi="宋体" w:cs="宋体"/>
                <w:color w:val="auto"/>
                <w:kern w:val="0"/>
                <w:sz w:val="24"/>
              </w:rPr>
              <w:t>1、屏体及配套设备现场安装费；</w:t>
            </w:r>
          </w:p>
          <w:p w14:paraId="6BAEABEA">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rPr>
            </w:pPr>
            <w:r>
              <w:rPr>
                <w:rFonts w:hint="eastAsia" w:ascii="宋体" w:hAnsi="宋体" w:cs="宋体"/>
                <w:color w:val="auto"/>
                <w:kern w:val="0"/>
                <w:sz w:val="24"/>
              </w:rPr>
              <w:t>2、多设备系统集成费；</w:t>
            </w:r>
          </w:p>
          <w:p w14:paraId="366466E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auto"/>
                <w:kern w:val="0"/>
                <w:sz w:val="24"/>
              </w:rPr>
              <w:t xml:space="preserve">3、整屏调试、培训费。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6CE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color w:val="auto"/>
                <w:kern w:val="0"/>
                <w:sz w:val="24"/>
              </w:rPr>
              <w:t>37.1</w:t>
            </w:r>
          </w:p>
        </w:tc>
        <w:tc>
          <w:tcPr>
            <w:tcW w:w="867" w:type="dxa"/>
            <w:tcBorders>
              <w:top w:val="single" w:color="000000" w:sz="4" w:space="0"/>
              <w:left w:val="single" w:color="000000" w:sz="4" w:space="0"/>
              <w:bottom w:val="single" w:color="000000" w:sz="4" w:space="0"/>
            </w:tcBorders>
            <w:shd w:val="clear" w:color="auto" w:fill="auto"/>
            <w:vAlign w:val="center"/>
          </w:tcPr>
          <w:p w14:paraId="51BD17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auto"/>
                <w:kern w:val="0"/>
                <w:sz w:val="24"/>
              </w:rPr>
              <w:t>平方</w:t>
            </w:r>
          </w:p>
        </w:tc>
      </w:tr>
      <w:tr w14:paraId="52F286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7" w:type="dxa"/>
            <w:tcBorders>
              <w:top w:val="single" w:color="000000" w:sz="4" w:space="0"/>
              <w:bottom w:val="single" w:color="000000" w:sz="4" w:space="0"/>
              <w:right w:val="single" w:color="000000" w:sz="4" w:space="0"/>
            </w:tcBorders>
            <w:shd w:val="clear" w:color="auto" w:fill="auto"/>
            <w:vAlign w:val="center"/>
          </w:tcPr>
          <w:p w14:paraId="0A31A79F">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4"/>
                <w:highlight w:val="none"/>
                <w:lang w:bidi="ar"/>
              </w:rPr>
            </w:pPr>
            <w:r>
              <w:rPr>
                <w:rFonts w:hint="eastAsia" w:ascii="宋体" w:hAnsi="宋体" w:cs="宋体"/>
                <w:color w:val="auto"/>
                <w:kern w:val="0"/>
                <w:sz w:val="24"/>
              </w:rPr>
              <w:t>9</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3E3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auto"/>
                <w:kern w:val="0"/>
                <w:sz w:val="24"/>
              </w:rPr>
              <w:t>屏体辅材</w:t>
            </w:r>
          </w:p>
        </w:tc>
        <w:tc>
          <w:tcPr>
            <w:tcW w:w="6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D61A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auto"/>
                <w:kern w:val="0"/>
                <w:sz w:val="24"/>
              </w:rPr>
              <w:t>屏体内长排线、网线、电源间连接线等</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174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auto"/>
                <w:kern w:val="0"/>
                <w:sz w:val="24"/>
              </w:rPr>
              <w:t>1</w:t>
            </w:r>
          </w:p>
        </w:tc>
        <w:tc>
          <w:tcPr>
            <w:tcW w:w="867" w:type="dxa"/>
            <w:tcBorders>
              <w:top w:val="single" w:color="000000" w:sz="4" w:space="0"/>
              <w:left w:val="single" w:color="000000" w:sz="4" w:space="0"/>
              <w:bottom w:val="single" w:color="000000" w:sz="4" w:space="0"/>
            </w:tcBorders>
            <w:shd w:val="clear" w:color="auto" w:fill="auto"/>
            <w:vAlign w:val="center"/>
          </w:tcPr>
          <w:p w14:paraId="30E870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auto"/>
                <w:kern w:val="0"/>
                <w:sz w:val="24"/>
              </w:rPr>
              <w:t>批</w:t>
            </w:r>
          </w:p>
        </w:tc>
      </w:tr>
      <w:tr w14:paraId="66CAE8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7" w:type="dxa"/>
            <w:tcBorders>
              <w:top w:val="single" w:color="000000" w:sz="4" w:space="0"/>
              <w:bottom w:val="single" w:color="000000" w:sz="4" w:space="0"/>
              <w:right w:val="single" w:color="000000" w:sz="4" w:space="0"/>
            </w:tcBorders>
            <w:shd w:val="clear" w:color="auto" w:fill="auto"/>
            <w:vAlign w:val="center"/>
          </w:tcPr>
          <w:p w14:paraId="4A44C4D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4"/>
                <w:highlight w:val="none"/>
                <w:lang w:val="en-US" w:eastAsia="zh-CN" w:bidi="ar"/>
              </w:rPr>
            </w:pPr>
            <w:r>
              <w:rPr>
                <w:rFonts w:hint="eastAsia" w:ascii="宋体" w:hAnsi="宋体" w:cs="宋体"/>
                <w:color w:val="auto"/>
                <w:kern w:val="0"/>
                <w:sz w:val="24"/>
              </w:rPr>
              <w:t>10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CA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cs="宋体"/>
                <w:color w:val="auto"/>
                <w:kern w:val="0"/>
                <w:sz w:val="24"/>
              </w:rPr>
              <w:t>控制电脑</w:t>
            </w:r>
          </w:p>
        </w:tc>
        <w:tc>
          <w:tcPr>
            <w:tcW w:w="6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4370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cs="宋体"/>
                <w:color w:val="auto"/>
                <w:kern w:val="0"/>
                <w:sz w:val="24"/>
              </w:rPr>
              <w:t xml:space="preserve">17-12700/8G+8G/1T硬盘/2G独显/云教/WIN11/23.8寸显示器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BCA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cs="宋体"/>
                <w:color w:val="auto"/>
                <w:kern w:val="0"/>
                <w:sz w:val="24"/>
              </w:rPr>
              <w:t>1</w:t>
            </w:r>
          </w:p>
        </w:tc>
        <w:tc>
          <w:tcPr>
            <w:tcW w:w="867" w:type="dxa"/>
            <w:tcBorders>
              <w:top w:val="single" w:color="000000" w:sz="4" w:space="0"/>
              <w:left w:val="single" w:color="000000" w:sz="4" w:space="0"/>
              <w:bottom w:val="single" w:color="000000" w:sz="4" w:space="0"/>
            </w:tcBorders>
            <w:shd w:val="clear" w:color="auto" w:fill="auto"/>
            <w:vAlign w:val="center"/>
          </w:tcPr>
          <w:p w14:paraId="0FDAFB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cs="宋体"/>
                <w:color w:val="auto"/>
                <w:kern w:val="0"/>
                <w:sz w:val="24"/>
              </w:rPr>
              <w:t>台</w:t>
            </w:r>
          </w:p>
        </w:tc>
      </w:tr>
      <w:tr w14:paraId="6F7FEA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7" w:type="dxa"/>
            <w:tcBorders>
              <w:top w:val="single" w:color="000000" w:sz="4" w:space="0"/>
              <w:bottom w:val="single" w:color="000000" w:sz="4" w:space="0"/>
              <w:right w:val="single" w:color="000000" w:sz="4" w:space="0"/>
            </w:tcBorders>
            <w:shd w:val="clear" w:color="auto" w:fill="auto"/>
            <w:vAlign w:val="center"/>
          </w:tcPr>
          <w:p w14:paraId="7CCF51E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4"/>
                <w:highlight w:val="none"/>
                <w:lang w:val="en-US" w:eastAsia="zh-CN" w:bidi="ar"/>
              </w:rPr>
            </w:pPr>
            <w:r>
              <w:rPr>
                <w:rFonts w:hint="eastAsia" w:ascii="宋体" w:hAnsi="宋体" w:cs="宋体"/>
                <w:color w:val="auto"/>
                <w:kern w:val="0"/>
                <w:sz w:val="24"/>
              </w:rPr>
              <w:t>11</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F34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cs="宋体"/>
                <w:color w:val="auto"/>
                <w:kern w:val="0"/>
                <w:sz w:val="24"/>
              </w:rPr>
              <w:t>机柜</w:t>
            </w:r>
          </w:p>
        </w:tc>
        <w:tc>
          <w:tcPr>
            <w:tcW w:w="6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D50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cs="宋体"/>
                <w:color w:val="auto"/>
                <w:kern w:val="0"/>
                <w:sz w:val="24"/>
              </w:rPr>
              <w:t>钢制、玻璃门，产品尺寸:600*600*2000mm，颜色：黑色</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68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cs="宋体"/>
                <w:color w:val="auto"/>
                <w:kern w:val="0"/>
                <w:sz w:val="24"/>
              </w:rPr>
              <w:t>1</w:t>
            </w:r>
          </w:p>
        </w:tc>
        <w:tc>
          <w:tcPr>
            <w:tcW w:w="867" w:type="dxa"/>
            <w:tcBorders>
              <w:top w:val="single" w:color="000000" w:sz="4" w:space="0"/>
              <w:left w:val="single" w:color="000000" w:sz="4" w:space="0"/>
              <w:bottom w:val="single" w:color="000000" w:sz="4" w:space="0"/>
            </w:tcBorders>
            <w:shd w:val="clear" w:color="auto" w:fill="auto"/>
            <w:vAlign w:val="center"/>
          </w:tcPr>
          <w:p w14:paraId="58EEB2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cs="宋体"/>
                <w:color w:val="auto"/>
                <w:kern w:val="0"/>
                <w:sz w:val="24"/>
              </w:rPr>
              <w:t>个</w:t>
            </w:r>
          </w:p>
        </w:tc>
      </w:tr>
      <w:tr w14:paraId="5B77EC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7" w:type="dxa"/>
            <w:tcBorders>
              <w:top w:val="single" w:color="000000" w:sz="4" w:space="0"/>
              <w:bottom w:val="single" w:color="000000" w:sz="4" w:space="0"/>
              <w:right w:val="single" w:color="000000" w:sz="4" w:space="0"/>
            </w:tcBorders>
            <w:shd w:val="clear" w:color="auto" w:fill="auto"/>
            <w:vAlign w:val="center"/>
          </w:tcPr>
          <w:p w14:paraId="2D62012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4"/>
                <w:highlight w:val="none"/>
                <w:lang w:val="en-US" w:eastAsia="zh-CN" w:bidi="ar"/>
              </w:rPr>
            </w:pPr>
            <w:r>
              <w:rPr>
                <w:rFonts w:hint="eastAsia" w:ascii="宋体" w:hAnsi="宋体" w:cs="宋体"/>
                <w:color w:val="auto"/>
                <w:kern w:val="0"/>
                <w:sz w:val="24"/>
              </w:rPr>
              <w:t>12</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88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cs="宋体"/>
                <w:color w:val="auto"/>
                <w:kern w:val="0"/>
                <w:sz w:val="24"/>
              </w:rPr>
              <w:t>监控球机</w:t>
            </w:r>
          </w:p>
        </w:tc>
        <w:tc>
          <w:tcPr>
            <w:tcW w:w="6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A88D1">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rPr>
            </w:pPr>
            <w:r>
              <w:rPr>
                <w:rFonts w:hint="eastAsia" w:ascii="宋体" w:hAnsi="宋体" w:cs="宋体"/>
                <w:color w:val="auto"/>
                <w:kern w:val="0"/>
                <w:sz w:val="24"/>
              </w:rPr>
              <w:t>1.支持穿越围栏、绊线入侵、区域入侵、物品遗留、快速移动、停车检测、人员聚集、物品搬移、徘徊检测多种行为检测；支持目标过滤；</w:t>
            </w:r>
          </w:p>
          <w:p w14:paraId="1771AFF7">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rPr>
            </w:pPr>
            <w:r>
              <w:rPr>
                <w:rFonts w:hint="eastAsia" w:ascii="宋体" w:hAnsi="宋体" w:cs="宋体"/>
                <w:color w:val="auto"/>
                <w:kern w:val="0"/>
                <w:sz w:val="24"/>
              </w:rPr>
              <w:t>2.抗盐雾、防腐蚀设计，防腐标准WF2、NEMA4X；能一定程度上防止密封熏蒸环境中的磷化的体进入设备；</w:t>
            </w:r>
          </w:p>
          <w:p w14:paraId="6A5975AF">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rPr>
            </w:pPr>
            <w:r>
              <w:rPr>
                <w:rFonts w:hint="eastAsia" w:ascii="宋体" w:hAnsi="宋体" w:cs="宋体"/>
                <w:color w:val="auto"/>
                <w:kern w:val="0"/>
                <w:sz w:val="24"/>
              </w:rPr>
              <w:t>3.支持23倍光学变倍，16倍数字变倍；</w:t>
            </w:r>
          </w:p>
          <w:p w14:paraId="7AA9BF01">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rPr>
            </w:pPr>
            <w:r>
              <w:rPr>
                <w:rFonts w:hint="eastAsia" w:ascii="宋体" w:hAnsi="宋体" w:cs="宋体"/>
                <w:color w:val="auto"/>
                <w:kern w:val="0"/>
                <w:sz w:val="24"/>
              </w:rPr>
              <w:t>4.采用200万像素1/2.8英寸CMOS传感器；</w:t>
            </w:r>
          </w:p>
          <w:p w14:paraId="0254D37C">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rPr>
            </w:pPr>
            <w:r>
              <w:rPr>
                <w:rFonts w:hint="eastAsia" w:ascii="宋体" w:hAnsi="宋体" w:cs="宋体"/>
                <w:color w:val="auto"/>
                <w:kern w:val="0"/>
                <w:sz w:val="24"/>
              </w:rPr>
              <w:t>5.支持照度，彩色：0.005Lux@F1.6黑白：0.0005Lux@F1.6；</w:t>
            </w:r>
          </w:p>
          <w:p w14:paraId="4CDE9C2E">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rPr>
            </w:pPr>
            <w:r>
              <w:rPr>
                <w:rFonts w:hint="eastAsia" w:ascii="宋体" w:hAnsi="宋体" w:cs="宋体"/>
                <w:color w:val="auto"/>
                <w:kern w:val="0"/>
                <w:sz w:val="24"/>
              </w:rPr>
              <w:t>6.支持H.265编码，实现码流传输；</w:t>
            </w:r>
          </w:p>
          <w:p w14:paraId="21193B56">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rPr>
            </w:pPr>
            <w:r>
              <w:rPr>
                <w:rFonts w:hint="eastAsia" w:ascii="宋体" w:hAnsi="宋体" w:cs="宋体"/>
                <w:color w:val="auto"/>
                <w:kern w:val="0"/>
                <w:sz w:val="24"/>
              </w:rPr>
              <w:t>7.内置100米白光灯补光，采用倍率与补光灯功率匹配算法，补光效果更均匀；</w:t>
            </w:r>
          </w:p>
          <w:p w14:paraId="473AB1BB">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rPr>
            </w:pPr>
            <w:r>
              <w:rPr>
                <w:rFonts w:hint="eastAsia" w:ascii="宋体" w:hAnsi="宋体" w:cs="宋体"/>
                <w:color w:val="auto"/>
                <w:kern w:val="0"/>
                <w:sz w:val="24"/>
              </w:rPr>
              <w:t>8.水平方向360°连续旋转，垂直方向-20°～90°自动翻转180°后连续监视，无监视盲区；</w:t>
            </w:r>
          </w:p>
          <w:p w14:paraId="4ACEE3F4">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rPr>
            </w:pPr>
            <w:r>
              <w:rPr>
                <w:rFonts w:hint="eastAsia" w:ascii="宋体" w:hAnsi="宋体" w:cs="宋体"/>
                <w:color w:val="auto"/>
                <w:kern w:val="0"/>
                <w:sz w:val="24"/>
              </w:rPr>
              <w:t>9.支持300个预置位，8条巡航路径，5条巡迹路径；</w:t>
            </w:r>
          </w:p>
          <w:p w14:paraId="13AE49EB">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rPr>
            </w:pPr>
            <w:r>
              <w:rPr>
                <w:rFonts w:hint="eastAsia" w:ascii="宋体" w:hAnsi="宋体" w:cs="宋体"/>
                <w:color w:val="auto"/>
                <w:kern w:val="0"/>
                <w:sz w:val="24"/>
              </w:rPr>
              <w:t>10.支持1路音频输入和1路音频输出；</w:t>
            </w:r>
          </w:p>
          <w:p w14:paraId="0DA6F61E">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rPr>
            </w:pPr>
            <w:r>
              <w:rPr>
                <w:rFonts w:hint="eastAsia" w:ascii="宋体" w:hAnsi="宋体" w:cs="宋体"/>
                <w:color w:val="auto"/>
                <w:kern w:val="0"/>
                <w:sz w:val="24"/>
              </w:rPr>
              <w:t>11.内置2路报警输入和1路报警输出，支持报警联动功能；</w:t>
            </w:r>
          </w:p>
          <w:p w14:paraId="38A7BA01">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rPr>
            </w:pPr>
            <w:r>
              <w:rPr>
                <w:rFonts w:hint="eastAsia" w:ascii="宋体" w:hAnsi="宋体" w:cs="宋体"/>
                <w:color w:val="auto"/>
                <w:kern w:val="0"/>
                <w:sz w:val="24"/>
              </w:rPr>
              <w:t>12.支持IP67防护等级，8000V防雷、防浪涌和防突波保护；</w:t>
            </w:r>
          </w:p>
          <w:p w14:paraId="7205BE1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13.支持AC24V±25%宽电压输入；</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B3F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cs="宋体"/>
                <w:color w:val="auto"/>
                <w:kern w:val="0"/>
                <w:sz w:val="24"/>
              </w:rPr>
              <w:t>1</w:t>
            </w:r>
          </w:p>
        </w:tc>
        <w:tc>
          <w:tcPr>
            <w:tcW w:w="867" w:type="dxa"/>
            <w:tcBorders>
              <w:top w:val="single" w:color="000000" w:sz="4" w:space="0"/>
              <w:left w:val="single" w:color="000000" w:sz="4" w:space="0"/>
              <w:bottom w:val="single" w:color="000000" w:sz="4" w:space="0"/>
            </w:tcBorders>
            <w:shd w:val="clear" w:color="auto" w:fill="auto"/>
            <w:vAlign w:val="center"/>
          </w:tcPr>
          <w:p w14:paraId="4B7517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cs="宋体"/>
                <w:color w:val="auto"/>
                <w:kern w:val="0"/>
                <w:sz w:val="24"/>
              </w:rPr>
              <w:t>个</w:t>
            </w:r>
          </w:p>
        </w:tc>
      </w:tr>
      <w:tr w14:paraId="0F856C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7" w:type="dxa"/>
            <w:tcBorders>
              <w:top w:val="single" w:color="000000" w:sz="4" w:space="0"/>
              <w:bottom w:val="single" w:color="000000" w:sz="4" w:space="0"/>
              <w:right w:val="single" w:color="000000" w:sz="4" w:space="0"/>
            </w:tcBorders>
            <w:shd w:val="clear" w:color="auto" w:fill="auto"/>
            <w:vAlign w:val="center"/>
          </w:tcPr>
          <w:p w14:paraId="3CB4064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4"/>
                <w:highlight w:val="none"/>
                <w:lang w:val="en-US" w:eastAsia="zh-CN" w:bidi="ar"/>
              </w:rPr>
            </w:pPr>
            <w:r>
              <w:rPr>
                <w:rFonts w:hint="eastAsia" w:ascii="宋体" w:hAnsi="宋体" w:cs="宋体"/>
                <w:color w:val="auto"/>
                <w:kern w:val="0"/>
                <w:sz w:val="24"/>
              </w:rPr>
              <w:t>13</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7F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cs="宋体"/>
                <w:color w:val="auto"/>
                <w:kern w:val="0"/>
                <w:sz w:val="24"/>
              </w:rPr>
              <w:t>监控枪机</w:t>
            </w:r>
          </w:p>
        </w:tc>
        <w:tc>
          <w:tcPr>
            <w:tcW w:w="6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76067">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rPr>
            </w:pPr>
            <w:r>
              <w:rPr>
                <w:rFonts w:hint="eastAsia" w:ascii="宋体" w:hAnsi="宋体" w:cs="宋体"/>
                <w:color w:val="auto"/>
                <w:kern w:val="0"/>
                <w:sz w:val="24"/>
              </w:rPr>
              <w:t>1.支持绊线入侵，区域入侵；</w:t>
            </w:r>
          </w:p>
          <w:p w14:paraId="62F20588">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rPr>
            </w:pPr>
            <w:r>
              <w:rPr>
                <w:rFonts w:hint="eastAsia" w:ascii="宋体" w:hAnsi="宋体" w:cs="宋体"/>
                <w:color w:val="auto"/>
                <w:kern w:val="0"/>
                <w:sz w:val="24"/>
              </w:rPr>
              <w:t>2.采用高性能200万像素1/2.7英寸CMOS图像传感器，低照度效果好，图像清晰度高；</w:t>
            </w:r>
          </w:p>
          <w:p w14:paraId="7A562533">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rPr>
            </w:pPr>
            <w:r>
              <w:rPr>
                <w:rFonts w:hint="eastAsia" w:ascii="宋体" w:hAnsi="宋体" w:cs="宋体"/>
                <w:color w:val="auto"/>
                <w:kern w:val="0"/>
                <w:sz w:val="24"/>
              </w:rPr>
              <w:t>3.可输出200万(1920×1080)@25fps；</w:t>
            </w:r>
          </w:p>
          <w:p w14:paraId="54E8E0E3">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rPr>
            </w:pPr>
            <w:r>
              <w:rPr>
                <w:rFonts w:hint="eastAsia" w:ascii="宋体" w:hAnsi="宋体" w:cs="宋体"/>
                <w:color w:val="auto"/>
                <w:kern w:val="0"/>
                <w:sz w:val="24"/>
              </w:rPr>
              <w:t>4.支持H.265编码，压缩比高，超低码流；</w:t>
            </w:r>
          </w:p>
          <w:p w14:paraId="69E251A9">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rPr>
            </w:pPr>
            <w:r>
              <w:rPr>
                <w:rFonts w:hint="eastAsia" w:ascii="宋体" w:hAnsi="宋体" w:cs="宋体"/>
                <w:color w:val="auto"/>
                <w:kern w:val="0"/>
                <w:sz w:val="24"/>
              </w:rPr>
              <w:t>5.内置红外补光灯，红外监控距离60米；</w:t>
            </w:r>
          </w:p>
          <w:p w14:paraId="2BD07C7E">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rPr>
            </w:pPr>
            <w:r>
              <w:rPr>
                <w:rFonts w:hint="eastAsia" w:ascii="宋体" w:hAnsi="宋体" w:cs="宋体"/>
                <w:color w:val="auto"/>
                <w:kern w:val="0"/>
                <w:sz w:val="24"/>
              </w:rPr>
              <w:t>6.支持走廊模式，宽动态，3D降噪，强光抑制，背光补偿，数字水印，适用不同监控环境；</w:t>
            </w:r>
          </w:p>
          <w:p w14:paraId="37272801">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rPr>
            </w:pPr>
            <w:r>
              <w:rPr>
                <w:rFonts w:hint="eastAsia" w:ascii="宋体" w:hAnsi="宋体" w:cs="宋体"/>
                <w:color w:val="auto"/>
                <w:kern w:val="0"/>
                <w:sz w:val="24"/>
              </w:rPr>
              <w:t>7.支持ROI，SMART H.264/H.265，灵活编码，适用不同带宽和存储环境；</w:t>
            </w:r>
          </w:p>
          <w:p w14:paraId="52DAAE2E">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rPr>
            </w:pPr>
            <w:r>
              <w:rPr>
                <w:rFonts w:hint="eastAsia" w:ascii="宋体" w:hAnsi="宋体" w:cs="宋体"/>
                <w:color w:val="auto"/>
                <w:kern w:val="0"/>
                <w:sz w:val="24"/>
              </w:rPr>
              <w:t>8.支持报警3进2出，音频1进1出，128G Micro SD卡；</w:t>
            </w:r>
          </w:p>
          <w:p w14:paraId="53B79115">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rPr>
            </w:pPr>
            <w:r>
              <w:rPr>
                <w:rFonts w:hint="eastAsia" w:ascii="宋体" w:hAnsi="宋体" w:cs="宋体"/>
                <w:color w:val="auto"/>
                <w:kern w:val="0"/>
                <w:sz w:val="24"/>
              </w:rPr>
              <w:t>9.支持DC12V/POE供电方式，方便工程安装；</w:t>
            </w:r>
          </w:p>
          <w:p w14:paraId="4C74AB8E">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rPr>
            </w:pPr>
            <w:r>
              <w:rPr>
                <w:rFonts w:hint="eastAsia" w:ascii="宋体" w:hAnsi="宋体" w:cs="宋体"/>
                <w:color w:val="auto"/>
                <w:kern w:val="0"/>
                <w:sz w:val="24"/>
              </w:rPr>
              <w:t>10.支持IP67防护等级；</w:t>
            </w:r>
          </w:p>
          <w:p w14:paraId="381AC039">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rPr>
            </w:pPr>
            <w:r>
              <w:rPr>
                <w:rFonts w:hint="eastAsia" w:ascii="宋体" w:hAnsi="宋体" w:cs="宋体"/>
                <w:color w:val="auto"/>
                <w:kern w:val="0"/>
                <w:sz w:val="24"/>
              </w:rPr>
              <w:t>11.镜头焦距：2.7mm~13.5mm；</w:t>
            </w:r>
          </w:p>
          <w:p w14:paraId="474A21B2">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rPr>
            </w:pPr>
            <w:r>
              <w:rPr>
                <w:rFonts w:hint="eastAsia" w:ascii="宋体" w:hAnsi="宋体" w:cs="宋体"/>
                <w:color w:val="auto"/>
                <w:kern w:val="0"/>
                <w:sz w:val="24"/>
              </w:rPr>
              <w:t>12.镜头光圈：F14；</w:t>
            </w:r>
          </w:p>
          <w:p w14:paraId="69A6C9A8">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rPr>
            </w:pPr>
            <w:r>
              <w:rPr>
                <w:rFonts w:hint="eastAsia" w:ascii="宋体" w:hAnsi="宋体" w:cs="宋体"/>
                <w:color w:val="auto"/>
                <w:kern w:val="0"/>
                <w:sz w:val="24"/>
              </w:rPr>
              <w:t>13.最小聚焦距离：0.3m；</w:t>
            </w:r>
          </w:p>
          <w:p w14:paraId="2B6237C7">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kern w:val="0"/>
                <w:sz w:val="24"/>
                <w:highlight w:val="none"/>
                <w:lang w:val="en-US" w:eastAsia="zh-CN" w:bidi="ar"/>
              </w:rPr>
            </w:pPr>
            <w:r>
              <w:rPr>
                <w:rFonts w:hint="eastAsia" w:ascii="宋体" w:hAnsi="宋体" w:cs="宋体"/>
                <w:color w:val="auto"/>
                <w:kern w:val="0"/>
                <w:sz w:val="24"/>
              </w:rPr>
              <w:t>14.视场角：对角:137~34 水平:113~30 垂直:59~17；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09E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cs="宋体"/>
                <w:color w:val="auto"/>
                <w:kern w:val="0"/>
                <w:sz w:val="24"/>
              </w:rPr>
              <w:t>1</w:t>
            </w:r>
          </w:p>
        </w:tc>
        <w:tc>
          <w:tcPr>
            <w:tcW w:w="867" w:type="dxa"/>
            <w:tcBorders>
              <w:top w:val="single" w:color="000000" w:sz="4" w:space="0"/>
              <w:left w:val="single" w:color="000000" w:sz="4" w:space="0"/>
              <w:bottom w:val="single" w:color="000000" w:sz="4" w:space="0"/>
            </w:tcBorders>
            <w:shd w:val="clear" w:color="auto" w:fill="auto"/>
            <w:vAlign w:val="center"/>
          </w:tcPr>
          <w:p w14:paraId="4880AE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cs="宋体"/>
                <w:color w:val="auto"/>
                <w:kern w:val="0"/>
                <w:sz w:val="24"/>
              </w:rPr>
              <w:t>个</w:t>
            </w:r>
          </w:p>
        </w:tc>
      </w:tr>
      <w:tr w14:paraId="2FBE84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707" w:type="dxa"/>
            <w:tcBorders>
              <w:top w:val="single" w:color="000000" w:sz="4" w:space="0"/>
              <w:bottom w:val="single" w:color="000000" w:sz="4" w:space="0"/>
              <w:right w:val="single" w:color="000000" w:sz="4" w:space="0"/>
            </w:tcBorders>
            <w:shd w:val="clear" w:color="auto" w:fill="auto"/>
            <w:vAlign w:val="center"/>
          </w:tcPr>
          <w:p w14:paraId="5C3E07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14</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450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auto"/>
                <w:kern w:val="0"/>
                <w:sz w:val="24"/>
              </w:rPr>
              <w:t>其他</w:t>
            </w:r>
          </w:p>
        </w:tc>
        <w:tc>
          <w:tcPr>
            <w:tcW w:w="6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E43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auto"/>
                <w:kern w:val="0"/>
                <w:sz w:val="24"/>
              </w:rPr>
              <w:t>施工措施、屏体运输费、综合布线等</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DB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auto"/>
                <w:kern w:val="0"/>
                <w:sz w:val="24"/>
              </w:rPr>
              <w:t>1</w:t>
            </w:r>
          </w:p>
        </w:tc>
        <w:tc>
          <w:tcPr>
            <w:tcW w:w="867" w:type="dxa"/>
            <w:tcBorders>
              <w:top w:val="single" w:color="000000" w:sz="4" w:space="0"/>
              <w:left w:val="single" w:color="000000" w:sz="4" w:space="0"/>
              <w:bottom w:val="single" w:color="000000" w:sz="4" w:space="0"/>
            </w:tcBorders>
            <w:shd w:val="clear" w:color="auto" w:fill="auto"/>
            <w:vAlign w:val="center"/>
          </w:tcPr>
          <w:p w14:paraId="212422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auto"/>
                <w:kern w:val="0"/>
                <w:sz w:val="24"/>
              </w:rPr>
              <w:t>项</w:t>
            </w:r>
          </w:p>
        </w:tc>
      </w:tr>
      <w:tr w14:paraId="37D4C0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660" w:type="dxa"/>
            <w:gridSpan w:val="5"/>
            <w:tcBorders>
              <w:top w:val="single" w:color="000000" w:sz="4" w:space="0"/>
              <w:bottom w:val="single" w:color="000000" w:sz="4" w:space="0"/>
            </w:tcBorders>
            <w:shd w:val="clear" w:color="auto" w:fill="auto"/>
            <w:vAlign w:val="center"/>
          </w:tcPr>
          <w:p w14:paraId="625680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4"/>
                <w:szCs w:val="24"/>
                <w:highlight w:val="none"/>
                <w:lang w:val="en-US" w:eastAsia="zh-CN"/>
              </w:rPr>
            </w:pPr>
            <w:r>
              <w:rPr>
                <w:rFonts w:hint="eastAsia" w:ascii="宋体" w:hAnsi="宋体" w:cs="宋体"/>
                <w:b/>
                <w:bCs/>
                <w:color w:val="auto"/>
                <w:sz w:val="24"/>
              </w:rPr>
              <w:t>2、音响灯光系统</w:t>
            </w:r>
          </w:p>
        </w:tc>
      </w:tr>
      <w:tr w14:paraId="44407A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660" w:type="dxa"/>
            <w:gridSpan w:val="5"/>
            <w:tcBorders>
              <w:top w:val="single" w:color="000000" w:sz="4" w:space="0"/>
              <w:bottom w:val="single" w:color="000000" w:sz="4" w:space="0"/>
            </w:tcBorders>
            <w:shd w:val="clear" w:color="auto" w:fill="auto"/>
            <w:vAlign w:val="center"/>
          </w:tcPr>
          <w:p w14:paraId="20505875">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4"/>
                <w:highlight w:val="none"/>
                <w:lang w:bidi="ar"/>
              </w:rPr>
            </w:pPr>
            <w:r>
              <w:rPr>
                <w:rFonts w:hint="eastAsia" w:ascii="宋体" w:hAnsi="宋体" w:cs="宋体"/>
                <w:b/>
                <w:bCs/>
                <w:color w:val="auto"/>
                <w:sz w:val="24"/>
              </w:rPr>
              <w:t>2.1、音响系统</w:t>
            </w:r>
          </w:p>
        </w:tc>
      </w:tr>
      <w:tr w14:paraId="373B0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7" w:type="dxa"/>
            <w:tcBorders>
              <w:top w:val="single" w:color="000000" w:sz="4" w:space="0"/>
              <w:bottom w:val="single" w:color="000000" w:sz="4" w:space="0"/>
              <w:right w:val="single" w:color="000000" w:sz="4" w:space="0"/>
            </w:tcBorders>
            <w:shd w:val="clear" w:color="auto" w:fill="auto"/>
            <w:vAlign w:val="center"/>
          </w:tcPr>
          <w:p w14:paraId="48A02E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1</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12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主扩音箱</w:t>
            </w:r>
          </w:p>
        </w:tc>
        <w:tc>
          <w:tcPr>
            <w:tcW w:w="6385" w:type="dxa"/>
            <w:tcBorders>
              <w:top w:val="single" w:color="000000" w:sz="4" w:space="0"/>
              <w:left w:val="single" w:color="000000" w:sz="4" w:space="0"/>
              <w:bottom w:val="single" w:color="000000" w:sz="4" w:space="0"/>
              <w:right w:val="single" w:color="000000" w:sz="4" w:space="0"/>
            </w:tcBorders>
            <w:shd w:val="clear" w:color="auto" w:fill="auto"/>
            <w:vAlign w:val="top"/>
          </w:tcPr>
          <w:p w14:paraId="4BFDF01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 xml:space="preserve">1.频率响应（-10dB）≥频响：45Hz-18kHz </w:t>
            </w:r>
          </w:p>
          <w:p w14:paraId="77056D3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★2.灵敏度: 106dB/W/M；水平覆盖角: ≥110°，垂直覆盖角:≥40°(需提供第三方检测机构出具的带有CMA、CNAS及国际互认的ilac-MRA标志的有效检测报告复印件并加盖供应商鲜章；)</w:t>
            </w:r>
          </w:p>
          <w:p w14:paraId="6901B5F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 xml:space="preserve">3.最大声压级≥130 dB </w:t>
            </w:r>
          </w:p>
          <w:p w14:paraId="69275CD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 xml:space="preserve">4.额定输入功率（RMS）≥800 W  </w:t>
            </w:r>
          </w:p>
          <w:p w14:paraId="55D9AB8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5.低通≥2 x 15”锥盆扬声器</w:t>
            </w:r>
          </w:p>
          <w:p w14:paraId="0A4485C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6.高通≥1 x 3”振膜压缩驱动器</w:t>
            </w:r>
          </w:p>
          <w:p w14:paraId="2C4B2F1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 xml:space="preserve">7.标称阻抗： 4 欧姆 (passive)   </w:t>
            </w:r>
          </w:p>
          <w:p w14:paraId="14E5640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8.板材：18 mm 多层夹板</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EC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2</w:t>
            </w:r>
          </w:p>
        </w:tc>
        <w:tc>
          <w:tcPr>
            <w:tcW w:w="867" w:type="dxa"/>
            <w:tcBorders>
              <w:top w:val="single" w:color="000000" w:sz="4" w:space="0"/>
              <w:left w:val="single" w:color="000000" w:sz="4" w:space="0"/>
              <w:bottom w:val="single" w:color="000000" w:sz="4" w:space="0"/>
            </w:tcBorders>
            <w:shd w:val="clear" w:color="auto" w:fill="auto"/>
            <w:vAlign w:val="center"/>
          </w:tcPr>
          <w:p w14:paraId="008D0C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只</w:t>
            </w:r>
          </w:p>
        </w:tc>
      </w:tr>
      <w:tr w14:paraId="22640C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7" w:type="dxa"/>
            <w:tcBorders>
              <w:top w:val="single" w:color="000000" w:sz="4" w:space="0"/>
              <w:bottom w:val="single" w:color="000000" w:sz="4" w:space="0"/>
              <w:right w:val="single" w:color="000000" w:sz="4" w:space="0"/>
            </w:tcBorders>
            <w:shd w:val="clear" w:color="auto" w:fill="auto"/>
            <w:vAlign w:val="center"/>
          </w:tcPr>
          <w:p w14:paraId="2129A6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2</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2A9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主扩音箱功率放大器</w:t>
            </w:r>
          </w:p>
        </w:tc>
        <w:tc>
          <w:tcPr>
            <w:tcW w:w="6385" w:type="dxa"/>
            <w:tcBorders>
              <w:top w:val="single" w:color="000000" w:sz="4" w:space="0"/>
              <w:left w:val="single" w:color="000000" w:sz="4" w:space="0"/>
              <w:bottom w:val="single" w:color="000000" w:sz="4" w:space="0"/>
              <w:right w:val="single" w:color="000000" w:sz="4" w:space="0"/>
            </w:tcBorders>
            <w:shd w:val="clear" w:color="auto" w:fill="auto"/>
            <w:vAlign w:val="top"/>
          </w:tcPr>
          <w:p w14:paraId="346124B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1、功率：8Ω立体声功率：≥1000W，4Ω立体声功率：≥1600W，4Ω桥接功率：≥3200W；</w:t>
            </w:r>
          </w:p>
          <w:p w14:paraId="2C97957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2、频率响应：≥20Hz-20KHz；</w:t>
            </w:r>
          </w:p>
          <w:p w14:paraId="2F20F53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3、总谐波失真(正常工作条件，1KHz/8Ω) ：≦0.05％</w:t>
            </w:r>
          </w:p>
          <w:p w14:paraId="385F28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4、信噪比：≥102dB；</w:t>
            </w:r>
          </w:p>
          <w:p w14:paraId="7052F8C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5、输入阻抗：平衡20KΩ，非平衡10KΩ ；</w:t>
            </w:r>
          </w:p>
          <w:p w14:paraId="0D49AF6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6、阻尼系数：≥300；</w:t>
            </w:r>
          </w:p>
          <w:p w14:paraId="70AC17E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7、转换速率：≥10V/uS ；</w:t>
            </w:r>
          </w:p>
          <w:p w14:paraId="263ED764">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highlight w:val="none"/>
              </w:rPr>
            </w:pPr>
            <w:r>
              <w:rPr>
                <w:rFonts w:hint="eastAsia" w:ascii="宋体" w:hAnsi="宋体" w:cs="宋体"/>
                <w:color w:val="auto"/>
                <w:kern w:val="0"/>
                <w:sz w:val="24"/>
                <w:highlight w:val="none"/>
              </w:rPr>
              <w:t>8、为保证产品品质及稳定性，提供产品CQC国家强制性认证证书复印件</w:t>
            </w:r>
          </w:p>
          <w:p w14:paraId="734F1E3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9、功放具有≥三档输入灵敏度选择（支持0.775V/1V/1.4V），可接纳宽幅度范围信号源输入。(需提供第三方检测机构出具的带有CMA、CNAS及国际互认的ilac-MRA标志的有效检测报告复印件并加盖供应商鲜章；)</w:t>
            </w:r>
          </w:p>
          <w:p w14:paraId="2D6EF90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10、考虑系统耦合性，功放与音箱为同一品牌</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56C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1</w:t>
            </w:r>
          </w:p>
        </w:tc>
        <w:tc>
          <w:tcPr>
            <w:tcW w:w="867" w:type="dxa"/>
            <w:tcBorders>
              <w:top w:val="single" w:color="000000" w:sz="4" w:space="0"/>
              <w:left w:val="single" w:color="000000" w:sz="4" w:space="0"/>
              <w:bottom w:val="single" w:color="000000" w:sz="4" w:space="0"/>
            </w:tcBorders>
            <w:shd w:val="clear" w:color="auto" w:fill="auto"/>
            <w:vAlign w:val="center"/>
          </w:tcPr>
          <w:p w14:paraId="65CCF0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台</w:t>
            </w:r>
          </w:p>
        </w:tc>
      </w:tr>
      <w:tr w14:paraId="2977B3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7" w:type="dxa"/>
            <w:tcBorders>
              <w:top w:val="single" w:color="000000" w:sz="4" w:space="0"/>
              <w:bottom w:val="single" w:color="000000" w:sz="4" w:space="0"/>
              <w:right w:val="single" w:color="000000" w:sz="4" w:space="0"/>
            </w:tcBorders>
            <w:shd w:val="clear" w:color="auto" w:fill="auto"/>
            <w:vAlign w:val="center"/>
          </w:tcPr>
          <w:p w14:paraId="17823A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3</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94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返听音箱</w:t>
            </w:r>
          </w:p>
        </w:tc>
        <w:tc>
          <w:tcPr>
            <w:tcW w:w="6385" w:type="dxa"/>
            <w:tcBorders>
              <w:top w:val="single" w:color="000000" w:sz="4" w:space="0"/>
              <w:left w:val="single" w:color="000000" w:sz="4" w:space="0"/>
              <w:bottom w:val="single" w:color="000000" w:sz="4" w:space="0"/>
              <w:right w:val="single" w:color="000000" w:sz="4" w:space="0"/>
            </w:tcBorders>
            <w:shd w:val="clear" w:color="auto" w:fill="auto"/>
            <w:vAlign w:val="top"/>
          </w:tcPr>
          <w:p w14:paraId="19A999E8">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highlight w:val="none"/>
              </w:rPr>
            </w:pPr>
            <w:r>
              <w:rPr>
                <w:rFonts w:hint="eastAsia" w:ascii="宋体" w:hAnsi="宋体" w:cs="宋体"/>
                <w:color w:val="auto"/>
                <w:kern w:val="0"/>
                <w:sz w:val="24"/>
                <w:highlight w:val="none"/>
              </w:rPr>
              <w:t xml:space="preserve">1.频率响应：70Hz-18kHz(±3dB) </w:t>
            </w:r>
          </w:p>
          <w:p w14:paraId="79D8B7A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 xml:space="preserve">2.额定功率≥400W </w:t>
            </w:r>
          </w:p>
          <w:p w14:paraId="015BA10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 xml:space="preserve">3.灵敏度≥99dB </w:t>
            </w:r>
          </w:p>
          <w:p w14:paraId="7ED63D6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 xml:space="preserve">4.最大声压级(峰值)≥125dB </w:t>
            </w:r>
          </w:p>
          <w:p w14:paraId="6C1356B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 xml:space="preserve">5.额定阻抗：8Ω </w:t>
            </w:r>
          </w:p>
          <w:p w14:paraId="3EE0EEF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 xml:space="preserve">6.低音单元≥1*15’’(75mm音圈) </w:t>
            </w:r>
          </w:p>
          <w:p w14:paraId="14C198C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 xml:space="preserve">7.高音单元：1*44mm压缩驱动器 </w:t>
            </w:r>
          </w:p>
          <w:p w14:paraId="33F448C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 xml:space="preserve">8.输入连接：NL4(1+,1) </w:t>
            </w:r>
          </w:p>
          <w:p w14:paraId="3F56DA9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 xml:space="preserve">9.覆盖角度≥90度×50度                                         10.考虑系统耦合性，要求与主音箱为同一品牌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F2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2</w:t>
            </w:r>
          </w:p>
        </w:tc>
        <w:tc>
          <w:tcPr>
            <w:tcW w:w="867" w:type="dxa"/>
            <w:tcBorders>
              <w:top w:val="single" w:color="000000" w:sz="4" w:space="0"/>
              <w:left w:val="single" w:color="000000" w:sz="4" w:space="0"/>
              <w:bottom w:val="single" w:color="000000" w:sz="4" w:space="0"/>
            </w:tcBorders>
            <w:shd w:val="clear" w:color="auto" w:fill="auto"/>
            <w:vAlign w:val="center"/>
          </w:tcPr>
          <w:p w14:paraId="331343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只</w:t>
            </w:r>
          </w:p>
        </w:tc>
      </w:tr>
      <w:tr w14:paraId="4F83CD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7" w:type="dxa"/>
            <w:tcBorders>
              <w:top w:val="single" w:color="000000" w:sz="4" w:space="0"/>
              <w:bottom w:val="single" w:color="000000" w:sz="4" w:space="0"/>
              <w:right w:val="single" w:color="000000" w:sz="4" w:space="0"/>
            </w:tcBorders>
            <w:shd w:val="clear" w:color="auto" w:fill="auto"/>
            <w:vAlign w:val="center"/>
          </w:tcPr>
          <w:p w14:paraId="3EE7A4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4</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A6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舞台返听功率放大器</w:t>
            </w:r>
          </w:p>
        </w:tc>
        <w:tc>
          <w:tcPr>
            <w:tcW w:w="6385" w:type="dxa"/>
            <w:tcBorders>
              <w:top w:val="single" w:color="000000" w:sz="4" w:space="0"/>
              <w:left w:val="single" w:color="000000" w:sz="4" w:space="0"/>
              <w:bottom w:val="single" w:color="000000" w:sz="4" w:space="0"/>
              <w:right w:val="single" w:color="000000" w:sz="4" w:space="0"/>
            </w:tcBorders>
            <w:shd w:val="clear" w:color="auto" w:fill="auto"/>
            <w:vAlign w:val="top"/>
          </w:tcPr>
          <w:p w14:paraId="5852A07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1、功率：8Ω立体声功率：≥1000W，4Ω立体声功率：≥1600W，4Ω桥接功率：≥3200W；</w:t>
            </w:r>
          </w:p>
          <w:p w14:paraId="549C1FE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2、频率响应：≥20Hz-20KHz；</w:t>
            </w:r>
          </w:p>
          <w:p w14:paraId="656F221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3、总谐波失真(正常工作条件，1KHz/8Ω) ：≦0.05％</w:t>
            </w:r>
          </w:p>
          <w:p w14:paraId="6F0CB73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4、信噪比：≥102dB；</w:t>
            </w:r>
          </w:p>
          <w:p w14:paraId="369AC83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5、输入阻抗：平衡20KΩ，非平衡10KΩ ；</w:t>
            </w:r>
          </w:p>
          <w:p w14:paraId="6D55C59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6、阻尼系数：≥300；</w:t>
            </w:r>
          </w:p>
          <w:p w14:paraId="3F9249D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7、转换速率：≥10V/uS ；</w:t>
            </w:r>
          </w:p>
          <w:p w14:paraId="11B21296">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highlight w:val="none"/>
              </w:rPr>
            </w:pPr>
            <w:r>
              <w:rPr>
                <w:rFonts w:hint="eastAsia" w:ascii="宋体" w:hAnsi="宋体" w:cs="宋体"/>
                <w:color w:val="auto"/>
                <w:kern w:val="0"/>
                <w:sz w:val="24"/>
                <w:highlight w:val="none"/>
              </w:rPr>
              <w:t>8、为保证产品品质及稳定性，提供产品CQC国家强制性认证证书复印件</w:t>
            </w:r>
          </w:p>
          <w:p w14:paraId="61C02B6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9、功放具有≥三档输入灵敏度选择（支持0.775V/1V/1.4V），可接纳宽幅度范围信号源输入。(需提供第三方检测机构出具的带有CMA、CNAS及国际互认的ilac-MRA标志的有效检测报告复印件并加盖供应商鲜章；)</w:t>
            </w:r>
          </w:p>
          <w:p w14:paraId="3433CBD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10、考虑系统耦合性，功放与音箱为同一品牌</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5BD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1</w:t>
            </w:r>
          </w:p>
        </w:tc>
        <w:tc>
          <w:tcPr>
            <w:tcW w:w="867" w:type="dxa"/>
            <w:tcBorders>
              <w:top w:val="single" w:color="000000" w:sz="4" w:space="0"/>
              <w:left w:val="single" w:color="000000" w:sz="4" w:space="0"/>
              <w:bottom w:val="single" w:color="000000" w:sz="4" w:space="0"/>
            </w:tcBorders>
            <w:shd w:val="clear" w:color="auto" w:fill="auto"/>
            <w:vAlign w:val="center"/>
          </w:tcPr>
          <w:p w14:paraId="7B7375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台</w:t>
            </w:r>
          </w:p>
        </w:tc>
      </w:tr>
      <w:tr w14:paraId="156EF6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7" w:type="dxa"/>
            <w:tcBorders>
              <w:top w:val="single" w:color="000000" w:sz="4" w:space="0"/>
              <w:bottom w:val="single" w:color="000000" w:sz="4" w:space="0"/>
              <w:right w:val="single" w:color="000000" w:sz="4" w:space="0"/>
            </w:tcBorders>
            <w:shd w:val="clear" w:color="auto" w:fill="auto"/>
            <w:vAlign w:val="center"/>
          </w:tcPr>
          <w:p w14:paraId="58C8EA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5</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25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台唇音箱</w:t>
            </w:r>
          </w:p>
        </w:tc>
        <w:tc>
          <w:tcPr>
            <w:tcW w:w="6385" w:type="dxa"/>
            <w:tcBorders>
              <w:top w:val="single" w:color="000000" w:sz="4" w:space="0"/>
              <w:left w:val="single" w:color="000000" w:sz="4" w:space="0"/>
              <w:bottom w:val="single" w:color="000000" w:sz="4" w:space="0"/>
              <w:right w:val="single" w:color="000000" w:sz="4" w:space="0"/>
            </w:tcBorders>
            <w:shd w:val="clear" w:color="auto" w:fill="auto"/>
            <w:vAlign w:val="top"/>
          </w:tcPr>
          <w:p w14:paraId="3B5789E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 xml:space="preserve">1.频率响应：70Hz-18kHz(±3dB)          </w:t>
            </w:r>
          </w:p>
          <w:p w14:paraId="1FF0365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 xml:space="preserve">2.额定功率≥400W </w:t>
            </w:r>
          </w:p>
          <w:p w14:paraId="3065BC3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 xml:space="preserve">3.灵敏度≥99dB </w:t>
            </w:r>
          </w:p>
          <w:p w14:paraId="237543F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 xml:space="preserve">4.最大声压级(峰值)≥125dB </w:t>
            </w:r>
          </w:p>
          <w:p w14:paraId="77D1D83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 xml:space="preserve">5.额定阻抗：8Ω </w:t>
            </w:r>
          </w:p>
          <w:p w14:paraId="3262F91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 xml:space="preserve">6.低音单元≥1*15’’(75mm音圈) </w:t>
            </w:r>
          </w:p>
          <w:p w14:paraId="117DA66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 xml:space="preserve">7.高音单元：1*44mm压缩驱动器 </w:t>
            </w:r>
          </w:p>
          <w:p w14:paraId="5A7A0C5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 xml:space="preserve">8.输入连接：NL4(1+,1) </w:t>
            </w:r>
          </w:p>
          <w:p w14:paraId="0A947E9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 xml:space="preserve">9.水平覆盖角: ≥90°，垂直覆盖角:≥90°(需提供第三方检测机构出具的带有CMA、CNAS及国际互认的ilac-MRA标志的有效检测报告复印件并加盖供应商鲜章；)                                             10.考虑系统耦合性，要求与主音箱为同一品牌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130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2</w:t>
            </w:r>
          </w:p>
        </w:tc>
        <w:tc>
          <w:tcPr>
            <w:tcW w:w="867" w:type="dxa"/>
            <w:tcBorders>
              <w:top w:val="single" w:color="000000" w:sz="4" w:space="0"/>
              <w:left w:val="single" w:color="000000" w:sz="4" w:space="0"/>
              <w:bottom w:val="single" w:color="000000" w:sz="4" w:space="0"/>
            </w:tcBorders>
            <w:shd w:val="clear" w:color="auto" w:fill="auto"/>
            <w:vAlign w:val="center"/>
          </w:tcPr>
          <w:p w14:paraId="4D7157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只</w:t>
            </w:r>
          </w:p>
        </w:tc>
      </w:tr>
      <w:tr w14:paraId="5C9B3A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7" w:type="dxa"/>
            <w:tcBorders>
              <w:top w:val="single" w:color="000000" w:sz="4" w:space="0"/>
              <w:bottom w:val="single" w:color="000000" w:sz="4" w:space="0"/>
              <w:right w:val="single" w:color="000000" w:sz="4" w:space="0"/>
            </w:tcBorders>
            <w:shd w:val="clear" w:color="auto" w:fill="auto"/>
            <w:vAlign w:val="center"/>
          </w:tcPr>
          <w:p w14:paraId="75D880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6</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3CB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舞台台唇功率放大器</w:t>
            </w:r>
          </w:p>
        </w:tc>
        <w:tc>
          <w:tcPr>
            <w:tcW w:w="6385" w:type="dxa"/>
            <w:tcBorders>
              <w:top w:val="single" w:color="000000" w:sz="4" w:space="0"/>
              <w:left w:val="single" w:color="000000" w:sz="4" w:space="0"/>
              <w:bottom w:val="single" w:color="000000" w:sz="4" w:space="0"/>
              <w:right w:val="single" w:color="000000" w:sz="4" w:space="0"/>
            </w:tcBorders>
            <w:shd w:val="clear" w:color="auto" w:fill="auto"/>
            <w:vAlign w:val="top"/>
          </w:tcPr>
          <w:p w14:paraId="2D37A07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1、功率：8Ω立体声功率：≥1000W，4Ω立体声功率：≥1600W，4Ω桥接功率：≥3200W；</w:t>
            </w:r>
          </w:p>
          <w:p w14:paraId="0BDA9B5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2、频率响应：≥20Hz-20KHz；</w:t>
            </w:r>
          </w:p>
          <w:p w14:paraId="43324E2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3、总谐波失真(正常工作条件，1KHz/8Ω) ：≦0.05％</w:t>
            </w:r>
          </w:p>
          <w:p w14:paraId="3ACD21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4、信噪比：≥102dB；</w:t>
            </w:r>
          </w:p>
          <w:p w14:paraId="7F2EC9C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5、输入阻抗：平衡20KΩ，非平衡10KΩ ；</w:t>
            </w:r>
          </w:p>
          <w:p w14:paraId="6BCA3DE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6、阻尼系数：≥300；</w:t>
            </w:r>
          </w:p>
          <w:p w14:paraId="5791386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7、转换速率：≥10V/uS ；</w:t>
            </w:r>
          </w:p>
          <w:p w14:paraId="56B57185">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highlight w:val="none"/>
              </w:rPr>
            </w:pPr>
            <w:r>
              <w:rPr>
                <w:rFonts w:hint="eastAsia" w:ascii="宋体" w:hAnsi="宋体" w:cs="宋体"/>
                <w:color w:val="auto"/>
                <w:kern w:val="0"/>
                <w:sz w:val="24"/>
                <w:highlight w:val="none"/>
              </w:rPr>
              <w:t>8、为保证产品品质及稳定性，提供产品CQC国家强制性认证证书复印件</w:t>
            </w:r>
          </w:p>
          <w:p w14:paraId="6DCE038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9、功放具有≥三档输入灵敏度选择（支持0.775V/1V/1.4V），可接纳宽幅度范围信号源输入。(需提供第三方检测机构出具的带有CMA、CNAS及国际互认的ilac-MRA标志的有效检测报告复印件并加盖供应商鲜章；)</w:t>
            </w:r>
          </w:p>
          <w:p w14:paraId="4445959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10、考虑系统耦合性，功放与音箱为同一品牌</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229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1</w:t>
            </w:r>
          </w:p>
        </w:tc>
        <w:tc>
          <w:tcPr>
            <w:tcW w:w="867" w:type="dxa"/>
            <w:tcBorders>
              <w:top w:val="single" w:color="000000" w:sz="4" w:space="0"/>
              <w:left w:val="single" w:color="000000" w:sz="4" w:space="0"/>
              <w:bottom w:val="single" w:color="000000" w:sz="4" w:space="0"/>
            </w:tcBorders>
            <w:shd w:val="clear" w:color="auto" w:fill="auto"/>
            <w:vAlign w:val="center"/>
          </w:tcPr>
          <w:p w14:paraId="34DE94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台</w:t>
            </w:r>
          </w:p>
        </w:tc>
      </w:tr>
      <w:tr w14:paraId="75D4E5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7" w:type="dxa"/>
            <w:tcBorders>
              <w:top w:val="single" w:color="000000" w:sz="4" w:space="0"/>
              <w:bottom w:val="single" w:color="000000" w:sz="4" w:space="0"/>
              <w:right w:val="single" w:color="000000" w:sz="4" w:space="0"/>
            </w:tcBorders>
            <w:shd w:val="clear" w:color="auto" w:fill="auto"/>
            <w:vAlign w:val="center"/>
          </w:tcPr>
          <w:p w14:paraId="19160A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7</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C7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中后场补声音箱</w:t>
            </w:r>
          </w:p>
        </w:tc>
        <w:tc>
          <w:tcPr>
            <w:tcW w:w="6385" w:type="dxa"/>
            <w:tcBorders>
              <w:top w:val="single" w:color="000000" w:sz="4" w:space="0"/>
              <w:left w:val="single" w:color="000000" w:sz="4" w:space="0"/>
              <w:bottom w:val="single" w:color="000000" w:sz="4" w:space="0"/>
              <w:right w:val="single" w:color="000000" w:sz="4" w:space="0"/>
            </w:tcBorders>
            <w:shd w:val="clear" w:color="auto" w:fill="auto"/>
            <w:vAlign w:val="top"/>
          </w:tcPr>
          <w:p w14:paraId="4E06601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 xml:space="preserve">1.频率响应：70Hz-18kHz(±3dB)          </w:t>
            </w:r>
          </w:p>
          <w:p w14:paraId="760DC50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 xml:space="preserve">2.额定功率≥400W </w:t>
            </w:r>
          </w:p>
          <w:p w14:paraId="3B362BB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 xml:space="preserve">3.灵敏度≥99dB </w:t>
            </w:r>
          </w:p>
          <w:p w14:paraId="032200A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 xml:space="preserve">4.最大声压级(峰值)≥125dB </w:t>
            </w:r>
          </w:p>
          <w:p w14:paraId="248D8F7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 xml:space="preserve">5.额定阻抗：8Ω </w:t>
            </w:r>
          </w:p>
          <w:p w14:paraId="2BE7660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 xml:space="preserve">6.低音单元≥1*15’’(75mm音圈) </w:t>
            </w:r>
          </w:p>
          <w:p w14:paraId="5F270EC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 xml:space="preserve">7.高音单元：1*44mm压缩驱动器 </w:t>
            </w:r>
          </w:p>
          <w:p w14:paraId="6274517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 xml:space="preserve">8.输入连接：NL4(1+,1) </w:t>
            </w:r>
          </w:p>
          <w:p w14:paraId="3475345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 xml:space="preserve">9.水平覆盖角: ≥90°，垂直覆盖角:≥90°(需提供第三方检测机构出具的带有CMA、CNAS及国际互认的ilac-MRA标志的有效检测报告复印件并加盖供应商鲜章；)                                             10.考虑系统耦合性，要求与主音箱为同一品牌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453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4</w:t>
            </w:r>
          </w:p>
        </w:tc>
        <w:tc>
          <w:tcPr>
            <w:tcW w:w="867" w:type="dxa"/>
            <w:tcBorders>
              <w:top w:val="single" w:color="000000" w:sz="4" w:space="0"/>
              <w:left w:val="single" w:color="000000" w:sz="4" w:space="0"/>
              <w:bottom w:val="single" w:color="000000" w:sz="4" w:space="0"/>
            </w:tcBorders>
            <w:shd w:val="clear" w:color="auto" w:fill="auto"/>
            <w:vAlign w:val="center"/>
          </w:tcPr>
          <w:p w14:paraId="4DB15B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只</w:t>
            </w:r>
          </w:p>
        </w:tc>
      </w:tr>
      <w:tr w14:paraId="5B5E86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7" w:type="dxa"/>
            <w:tcBorders>
              <w:top w:val="single" w:color="000000" w:sz="4" w:space="0"/>
              <w:bottom w:val="single" w:color="000000" w:sz="4" w:space="0"/>
              <w:right w:val="single" w:color="000000" w:sz="4" w:space="0"/>
            </w:tcBorders>
            <w:shd w:val="clear" w:color="auto" w:fill="auto"/>
            <w:vAlign w:val="center"/>
          </w:tcPr>
          <w:p w14:paraId="021C3A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8</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2F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补声音箱功率放大器</w:t>
            </w:r>
          </w:p>
        </w:tc>
        <w:tc>
          <w:tcPr>
            <w:tcW w:w="6385" w:type="dxa"/>
            <w:tcBorders>
              <w:top w:val="single" w:color="000000" w:sz="4" w:space="0"/>
              <w:left w:val="single" w:color="000000" w:sz="4" w:space="0"/>
              <w:bottom w:val="single" w:color="000000" w:sz="4" w:space="0"/>
              <w:right w:val="single" w:color="000000" w:sz="4" w:space="0"/>
            </w:tcBorders>
            <w:shd w:val="clear" w:color="auto" w:fill="auto"/>
            <w:vAlign w:val="top"/>
          </w:tcPr>
          <w:p w14:paraId="229DFF2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1、功率：8Ω立体声功率：≥1000W，4Ω立体声功率：≥1600W，4Ω桥接功率：≥3200W；</w:t>
            </w:r>
          </w:p>
          <w:p w14:paraId="6A78A71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2、频率响应：≥20Hz-20KHz；</w:t>
            </w:r>
          </w:p>
          <w:p w14:paraId="14BDE0E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3、总谐波失真(正常工作条件，1KHz/8Ω) ：≦0.05％</w:t>
            </w:r>
          </w:p>
          <w:p w14:paraId="3A34599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4、信噪比：≥102dB；</w:t>
            </w:r>
          </w:p>
          <w:p w14:paraId="71AED9B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5、输入阻抗：平衡20KΩ，非平衡10KΩ ；</w:t>
            </w:r>
          </w:p>
          <w:p w14:paraId="164879B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6、阻尼系数：≥300；</w:t>
            </w:r>
          </w:p>
          <w:p w14:paraId="69A70DF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7、转换速率：≥10V/uS ；</w:t>
            </w:r>
          </w:p>
          <w:p w14:paraId="2D8FEAD2">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highlight w:val="none"/>
              </w:rPr>
            </w:pPr>
            <w:r>
              <w:rPr>
                <w:rFonts w:hint="eastAsia" w:ascii="宋体" w:hAnsi="宋体" w:cs="宋体"/>
                <w:color w:val="auto"/>
                <w:kern w:val="0"/>
                <w:sz w:val="24"/>
                <w:highlight w:val="none"/>
              </w:rPr>
              <w:t>8、为保证产品品质及稳定性，提供产品CQC国家强制性认证证书复印件</w:t>
            </w:r>
          </w:p>
          <w:p w14:paraId="7FB871E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9、功放具有≥三档输入灵敏度选择（支持0.775V/1V/1.4V），可接纳宽幅度范围信号源输入。(需提供第三方检测机构出具的带有CMA、CNAS及国际互认的ilac-MRA标志的有效检测报告复印件并加盖供应商鲜章；)</w:t>
            </w:r>
          </w:p>
          <w:p w14:paraId="0501F4F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10、考虑系统耦合性，功放与音箱为同一品牌</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F0E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2</w:t>
            </w:r>
          </w:p>
        </w:tc>
        <w:tc>
          <w:tcPr>
            <w:tcW w:w="867" w:type="dxa"/>
            <w:tcBorders>
              <w:top w:val="single" w:color="000000" w:sz="4" w:space="0"/>
              <w:left w:val="single" w:color="000000" w:sz="4" w:space="0"/>
              <w:bottom w:val="single" w:color="000000" w:sz="4" w:space="0"/>
            </w:tcBorders>
            <w:shd w:val="clear" w:color="auto" w:fill="auto"/>
            <w:vAlign w:val="center"/>
          </w:tcPr>
          <w:p w14:paraId="200CD7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台</w:t>
            </w:r>
          </w:p>
        </w:tc>
      </w:tr>
      <w:tr w14:paraId="517709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rPr>
        <w:tc>
          <w:tcPr>
            <w:tcW w:w="707" w:type="dxa"/>
            <w:tcBorders>
              <w:top w:val="single" w:color="000000" w:sz="4" w:space="0"/>
              <w:bottom w:val="single" w:color="000000" w:sz="4" w:space="0"/>
              <w:right w:val="single" w:color="000000" w:sz="4" w:space="0"/>
            </w:tcBorders>
            <w:shd w:val="clear" w:color="auto" w:fill="auto"/>
            <w:vAlign w:val="center"/>
          </w:tcPr>
          <w:p w14:paraId="60CB5A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9</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484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超低音箱</w:t>
            </w:r>
          </w:p>
        </w:tc>
        <w:tc>
          <w:tcPr>
            <w:tcW w:w="6385" w:type="dxa"/>
            <w:tcBorders>
              <w:top w:val="single" w:color="000000" w:sz="4" w:space="0"/>
              <w:left w:val="single" w:color="000000" w:sz="4" w:space="0"/>
              <w:bottom w:val="single" w:color="000000" w:sz="4" w:space="0"/>
              <w:right w:val="single" w:color="000000" w:sz="4" w:space="0"/>
            </w:tcBorders>
            <w:shd w:val="clear" w:color="auto" w:fill="auto"/>
            <w:vAlign w:val="top"/>
          </w:tcPr>
          <w:p w14:paraId="1DF0114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1、频率响应：≥45Hz-200Hz；                           2、额定功率≥1100W；                                                                        3、灵敏度≥102dB；</w:t>
            </w:r>
          </w:p>
          <w:p w14:paraId="4D941D9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4"/>
                <w:highlight w:val="none"/>
                <w:lang w:val="en-US" w:eastAsia="zh-CN" w:bidi="ar"/>
              </w:rPr>
            </w:pPr>
            <w:r>
              <w:rPr>
                <w:rFonts w:hint="eastAsia" w:ascii="宋体" w:hAnsi="宋体" w:cs="宋体"/>
                <w:color w:val="auto"/>
                <w:kern w:val="0"/>
                <w:sz w:val="24"/>
              </w:rPr>
              <w:t xml:space="preserve">4、最大声压级(峰值)≥138dB                              5、低音单元≥2x18"（100mm音圈）                        6.考虑系统耦合性，要求与主音箱为同一品牌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030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2</w:t>
            </w:r>
          </w:p>
        </w:tc>
        <w:tc>
          <w:tcPr>
            <w:tcW w:w="867" w:type="dxa"/>
            <w:tcBorders>
              <w:top w:val="single" w:color="000000" w:sz="4" w:space="0"/>
              <w:left w:val="single" w:color="000000" w:sz="4" w:space="0"/>
              <w:bottom w:val="single" w:color="000000" w:sz="4" w:space="0"/>
            </w:tcBorders>
            <w:shd w:val="clear" w:color="auto" w:fill="auto"/>
            <w:vAlign w:val="center"/>
          </w:tcPr>
          <w:p w14:paraId="2B40AB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只</w:t>
            </w:r>
          </w:p>
        </w:tc>
      </w:tr>
      <w:tr w14:paraId="04C421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7" w:type="dxa"/>
            <w:tcBorders>
              <w:top w:val="single" w:color="000000" w:sz="4" w:space="0"/>
              <w:bottom w:val="single" w:color="000000" w:sz="4" w:space="0"/>
              <w:right w:val="single" w:color="000000" w:sz="4" w:space="0"/>
            </w:tcBorders>
            <w:shd w:val="clear" w:color="auto" w:fill="auto"/>
            <w:vAlign w:val="center"/>
          </w:tcPr>
          <w:p w14:paraId="02E4B77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10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16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超低音箱功率放大器</w:t>
            </w:r>
          </w:p>
        </w:tc>
        <w:tc>
          <w:tcPr>
            <w:tcW w:w="6385" w:type="dxa"/>
            <w:tcBorders>
              <w:top w:val="single" w:color="000000" w:sz="4" w:space="0"/>
              <w:left w:val="single" w:color="000000" w:sz="4" w:space="0"/>
              <w:bottom w:val="single" w:color="000000" w:sz="4" w:space="0"/>
              <w:right w:val="single" w:color="000000" w:sz="4" w:space="0"/>
            </w:tcBorders>
            <w:shd w:val="clear" w:color="auto" w:fill="auto"/>
            <w:vAlign w:val="top"/>
          </w:tcPr>
          <w:p w14:paraId="5A4802F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1、功率：8Ω立体声功率：≥1000W，4Ω立体声功率：≥1600W，4Ω桥接功率：≥3200W；</w:t>
            </w:r>
          </w:p>
          <w:p w14:paraId="4EDDB5C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2、频率响应：≥20Hz-20KHz；</w:t>
            </w:r>
          </w:p>
          <w:p w14:paraId="0465A9F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3、总谐波失真(正常工作条件，1KHz/8Ω) ：≦0.05％</w:t>
            </w:r>
          </w:p>
          <w:p w14:paraId="3A96087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4、信噪比：≥102dB；</w:t>
            </w:r>
          </w:p>
          <w:p w14:paraId="63C7E9C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5、输入阻抗：平衡20KΩ，非平衡10KΩ ；</w:t>
            </w:r>
          </w:p>
          <w:p w14:paraId="4757F53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6、阻尼系数：≥300；</w:t>
            </w:r>
          </w:p>
          <w:p w14:paraId="0323D3A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7、转换速率：≥10V/uS ；</w:t>
            </w:r>
          </w:p>
          <w:p w14:paraId="32CC599E">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highlight w:val="none"/>
              </w:rPr>
            </w:pPr>
            <w:r>
              <w:rPr>
                <w:rFonts w:hint="eastAsia" w:ascii="宋体" w:hAnsi="宋体" w:cs="宋体"/>
                <w:color w:val="auto"/>
                <w:kern w:val="0"/>
                <w:sz w:val="24"/>
                <w:highlight w:val="none"/>
              </w:rPr>
              <w:t>8、为保证产品品质及稳定性，提供产品CQC国家强制性认证证书复印件</w:t>
            </w:r>
          </w:p>
          <w:p w14:paraId="5DAD684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9、功放具有≥三档输入灵敏度选择（支持0.775V/1V/1.4V），可接纳宽幅度范围信号源输入。(需提供第三方检测机构出具的带有CMA、CNAS及国际互认的ilac-MRA标志的有效检测报告复印件并加盖供应商鲜章；)</w:t>
            </w:r>
          </w:p>
          <w:p w14:paraId="75120A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10、考虑系统耦合性，功放与音箱为同一品牌</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7F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1</w:t>
            </w:r>
          </w:p>
        </w:tc>
        <w:tc>
          <w:tcPr>
            <w:tcW w:w="867" w:type="dxa"/>
            <w:tcBorders>
              <w:top w:val="single" w:color="000000" w:sz="4" w:space="0"/>
              <w:left w:val="single" w:color="000000" w:sz="4" w:space="0"/>
              <w:bottom w:val="single" w:color="000000" w:sz="4" w:space="0"/>
            </w:tcBorders>
            <w:shd w:val="clear" w:color="auto" w:fill="auto"/>
            <w:vAlign w:val="center"/>
          </w:tcPr>
          <w:p w14:paraId="6C3E6E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台</w:t>
            </w:r>
          </w:p>
        </w:tc>
      </w:tr>
      <w:tr w14:paraId="36B0BC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rPr>
        <w:tc>
          <w:tcPr>
            <w:tcW w:w="707" w:type="dxa"/>
            <w:tcBorders>
              <w:top w:val="single" w:color="000000" w:sz="4" w:space="0"/>
              <w:bottom w:val="single" w:color="000000" w:sz="4" w:space="0"/>
              <w:right w:val="single" w:color="000000" w:sz="4" w:space="0"/>
            </w:tcBorders>
            <w:shd w:val="clear" w:color="auto" w:fill="auto"/>
            <w:vAlign w:val="center"/>
          </w:tcPr>
          <w:p w14:paraId="03F40FD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4"/>
                <w:highlight w:val="none"/>
                <w:lang w:val="en-US" w:eastAsia="zh-CN" w:bidi="ar"/>
              </w:rPr>
            </w:pPr>
            <w:r>
              <w:rPr>
                <w:rFonts w:hint="eastAsia" w:ascii="宋体" w:hAnsi="宋体" w:cs="宋体"/>
                <w:color w:val="auto"/>
                <w:kern w:val="0"/>
                <w:sz w:val="24"/>
              </w:rPr>
              <w:t>11</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5A8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监听音箱</w:t>
            </w:r>
          </w:p>
        </w:tc>
        <w:tc>
          <w:tcPr>
            <w:tcW w:w="6385" w:type="dxa"/>
            <w:tcBorders>
              <w:top w:val="single" w:color="000000" w:sz="4" w:space="0"/>
              <w:left w:val="single" w:color="000000" w:sz="4" w:space="0"/>
              <w:bottom w:val="single" w:color="000000" w:sz="4" w:space="0"/>
              <w:right w:val="single" w:color="000000" w:sz="4" w:space="0"/>
            </w:tcBorders>
            <w:shd w:val="clear" w:color="auto" w:fill="auto"/>
            <w:vAlign w:val="top"/>
          </w:tcPr>
          <w:p w14:paraId="5A89CDDF">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rPr>
            </w:pPr>
            <w:r>
              <w:rPr>
                <w:rFonts w:hint="eastAsia" w:ascii="宋体" w:hAnsi="宋体" w:cs="宋体"/>
                <w:color w:val="auto"/>
                <w:kern w:val="0"/>
                <w:sz w:val="24"/>
              </w:rPr>
              <w:t xml:space="preserve">1.输出功率：80W </w:t>
            </w:r>
          </w:p>
          <w:p w14:paraId="7ED63218">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rPr>
            </w:pPr>
            <w:r>
              <w:rPr>
                <w:rFonts w:hint="eastAsia" w:ascii="宋体" w:hAnsi="宋体" w:cs="宋体"/>
                <w:color w:val="auto"/>
                <w:kern w:val="0"/>
                <w:sz w:val="24"/>
              </w:rPr>
              <w:t>2.灵敏度：91dB±</w:t>
            </w:r>
          </w:p>
          <w:p w14:paraId="44774A13">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rPr>
            </w:pPr>
            <w:r>
              <w:rPr>
                <w:rFonts w:hint="eastAsia" w:ascii="宋体" w:hAnsi="宋体" w:cs="宋体"/>
                <w:color w:val="auto"/>
                <w:kern w:val="0"/>
                <w:sz w:val="24"/>
              </w:rPr>
              <w:t>3.频率响应：20Hz-20KHz(+-3dB)</w:t>
            </w:r>
          </w:p>
          <w:p w14:paraId="6C60CB2B">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rPr>
            </w:pPr>
            <w:r>
              <w:rPr>
                <w:rFonts w:hint="eastAsia" w:ascii="宋体" w:hAnsi="宋体" w:cs="宋体"/>
                <w:color w:val="auto"/>
                <w:kern w:val="0"/>
                <w:sz w:val="24"/>
              </w:rPr>
              <w:t>4.总谐波失真：≤0.5%</w:t>
            </w:r>
          </w:p>
          <w:p w14:paraId="31230B51">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rPr>
            </w:pPr>
            <w:r>
              <w:rPr>
                <w:rFonts w:hint="eastAsia" w:ascii="宋体" w:hAnsi="宋体" w:cs="宋体"/>
                <w:color w:val="auto"/>
                <w:kern w:val="0"/>
                <w:sz w:val="24"/>
              </w:rPr>
              <w:t>5.信噪比：≥90dB</w:t>
            </w:r>
          </w:p>
          <w:p w14:paraId="008C730F">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rPr>
            </w:pPr>
            <w:r>
              <w:rPr>
                <w:rFonts w:hint="eastAsia" w:ascii="宋体" w:hAnsi="宋体" w:cs="宋体"/>
                <w:color w:val="auto"/>
                <w:kern w:val="0"/>
                <w:sz w:val="24"/>
              </w:rPr>
              <w:t>6.信号输入:平衡式输入x1、有线话筒输入x2</w:t>
            </w:r>
          </w:p>
          <w:p w14:paraId="1C08F6A2">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rPr>
            </w:pPr>
            <w:r>
              <w:rPr>
                <w:rFonts w:hint="eastAsia" w:ascii="宋体" w:hAnsi="宋体" w:cs="宋体"/>
                <w:color w:val="auto"/>
                <w:kern w:val="0"/>
                <w:sz w:val="24"/>
              </w:rPr>
              <w:t>7.信号输出:平衡式输出 x1、外接喇叭输出×1</w:t>
            </w:r>
          </w:p>
          <w:p w14:paraId="1B217E88">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rPr>
            </w:pPr>
            <w:r>
              <w:rPr>
                <w:rFonts w:hint="eastAsia" w:ascii="宋体" w:hAnsi="宋体" w:cs="宋体"/>
                <w:color w:val="auto"/>
                <w:kern w:val="0"/>
                <w:sz w:val="24"/>
              </w:rPr>
              <w:t>8.功能面板：独立话筒音量调节、独立混响调节、独立高低音调节、独立音乐音量调节</w:t>
            </w:r>
          </w:p>
          <w:p w14:paraId="6F18E3A9">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rPr>
            </w:pPr>
            <w:r>
              <w:rPr>
                <w:rFonts w:hint="eastAsia" w:ascii="宋体" w:hAnsi="宋体" w:cs="宋体"/>
                <w:color w:val="auto"/>
                <w:kern w:val="0"/>
                <w:sz w:val="24"/>
              </w:rPr>
              <w:t>9.电源电压：180V~240V</w:t>
            </w:r>
          </w:p>
          <w:p w14:paraId="38D79AAA">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rPr>
            </w:pPr>
            <w:r>
              <w:rPr>
                <w:rFonts w:hint="eastAsia" w:ascii="宋体" w:hAnsi="宋体" w:cs="宋体"/>
                <w:color w:val="auto"/>
                <w:kern w:val="0"/>
                <w:sz w:val="24"/>
              </w:rPr>
              <w:t xml:space="preserve">10.工作温度： -35℃~60℃  </w:t>
            </w:r>
          </w:p>
          <w:p w14:paraId="18BAD87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 xml:space="preserve">11.考虑系统耦合性，要求与主音箱为同一品牌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2F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1</w:t>
            </w:r>
          </w:p>
        </w:tc>
        <w:tc>
          <w:tcPr>
            <w:tcW w:w="867" w:type="dxa"/>
            <w:tcBorders>
              <w:top w:val="single" w:color="000000" w:sz="4" w:space="0"/>
              <w:left w:val="single" w:color="000000" w:sz="4" w:space="0"/>
              <w:bottom w:val="single" w:color="000000" w:sz="4" w:space="0"/>
            </w:tcBorders>
            <w:shd w:val="clear" w:color="auto" w:fill="auto"/>
            <w:vAlign w:val="center"/>
          </w:tcPr>
          <w:p w14:paraId="046751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对</w:t>
            </w:r>
          </w:p>
        </w:tc>
      </w:tr>
      <w:tr w14:paraId="2C098B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7" w:type="dxa"/>
            <w:tcBorders>
              <w:top w:val="single" w:color="000000" w:sz="4" w:space="0"/>
              <w:bottom w:val="single" w:color="000000" w:sz="4" w:space="0"/>
              <w:right w:val="single" w:color="000000" w:sz="4" w:space="0"/>
            </w:tcBorders>
            <w:shd w:val="clear" w:color="auto" w:fill="auto"/>
            <w:vAlign w:val="center"/>
          </w:tcPr>
          <w:p w14:paraId="0EA69FF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12</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AE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调音台</w:t>
            </w:r>
          </w:p>
        </w:tc>
        <w:tc>
          <w:tcPr>
            <w:tcW w:w="6385" w:type="dxa"/>
            <w:tcBorders>
              <w:top w:val="single" w:color="000000" w:sz="4" w:space="0"/>
              <w:left w:val="single" w:color="000000" w:sz="4" w:space="0"/>
              <w:bottom w:val="single" w:color="000000" w:sz="4" w:space="0"/>
              <w:right w:val="single" w:color="000000" w:sz="4" w:space="0"/>
            </w:tcBorders>
            <w:shd w:val="clear" w:color="auto" w:fill="auto"/>
            <w:vAlign w:val="top"/>
          </w:tcPr>
          <w:p w14:paraId="494BBB71">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highlight w:val="none"/>
              </w:rPr>
            </w:pPr>
            <w:r>
              <w:rPr>
                <w:rFonts w:hint="eastAsia" w:ascii="宋体" w:hAnsi="宋体" w:cs="宋体"/>
                <w:color w:val="auto"/>
                <w:kern w:val="0"/>
                <w:sz w:val="24"/>
                <w:highlight w:val="none"/>
              </w:rPr>
              <w:t xml:space="preserve">1.32路话筒/线路输入（TRS大三芯+ XLR卡侬）；        2.33个电动推子；3路立体声输入（TRS大三芯）；          </w:t>
            </w:r>
          </w:p>
          <w:p w14:paraId="2E8C774C">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highlight w:val="none"/>
              </w:rPr>
            </w:pPr>
            <w:r>
              <w:rPr>
                <w:rFonts w:hint="eastAsia" w:ascii="宋体" w:hAnsi="宋体" w:cs="宋体"/>
                <w:color w:val="auto"/>
                <w:kern w:val="0"/>
                <w:sz w:val="24"/>
                <w:highlight w:val="none"/>
              </w:rPr>
              <w:t>3.4个立体声编组；                                    4.1路立体声矩阵输出；                                  5.4个DCA编组；                                        6.4个静音编组；4个效果引擎；4个效果发送/返回；10个软键；DAW MIDI控制；AES数字输出；8.7英寸触摸屏；iLive效果库；dSNAKETM 远程音频端口；可兼容ME个人混音系统；所有输入上有微调、极性、高通滤波器、门限、断电插入、4段参数均衡、压缩器和延时；所有混音输出上有断点插入、4段参数均衡、1/3倍频程图示均衡、压缩器和延时；内置信号发生器；实时分析器带峰值频带指示</w:t>
            </w:r>
          </w:p>
          <w:p w14:paraId="6535D59E">
            <w:pPr>
              <w:pStyle w:val="19"/>
              <w:keepNext w:val="0"/>
              <w:keepLines w:val="0"/>
              <w:suppressLineNumbers w:val="0"/>
              <w:spacing w:before="0" w:beforeAutospacing="0" w:afterAutospacing="0"/>
              <w:ind w:left="0" w:right="0"/>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7.支持≥1路主输出（L、R）、≥6路AUX输出、≥4路编组输出、≥1路监听输出、FX脚踏开关接口、2路USB接口（内置声卡：MP3、PC直接播放录音）、1路中控RS232接口、1路网络接口、AES输入输出/声卡。（提供设备接口图佐证并加盖制造商公章）</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E6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1</w:t>
            </w:r>
          </w:p>
        </w:tc>
        <w:tc>
          <w:tcPr>
            <w:tcW w:w="867" w:type="dxa"/>
            <w:tcBorders>
              <w:top w:val="single" w:color="000000" w:sz="4" w:space="0"/>
              <w:left w:val="single" w:color="000000" w:sz="4" w:space="0"/>
              <w:bottom w:val="single" w:color="000000" w:sz="4" w:space="0"/>
            </w:tcBorders>
            <w:shd w:val="clear" w:color="auto" w:fill="auto"/>
            <w:vAlign w:val="center"/>
          </w:tcPr>
          <w:p w14:paraId="79C1D8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台</w:t>
            </w:r>
          </w:p>
        </w:tc>
      </w:tr>
      <w:tr w14:paraId="1AE36D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7" w:type="dxa"/>
            <w:tcBorders>
              <w:top w:val="single" w:color="000000" w:sz="4" w:space="0"/>
              <w:bottom w:val="single" w:color="000000" w:sz="4" w:space="0"/>
              <w:right w:val="single" w:color="000000" w:sz="4" w:space="0"/>
            </w:tcBorders>
            <w:shd w:val="clear" w:color="auto" w:fill="auto"/>
            <w:vAlign w:val="center"/>
          </w:tcPr>
          <w:p w14:paraId="71B0115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13</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2D3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数字音频处理器</w:t>
            </w:r>
          </w:p>
        </w:tc>
        <w:tc>
          <w:tcPr>
            <w:tcW w:w="6385" w:type="dxa"/>
            <w:tcBorders>
              <w:top w:val="single" w:color="000000" w:sz="4" w:space="0"/>
              <w:left w:val="single" w:color="000000" w:sz="4" w:space="0"/>
              <w:bottom w:val="single" w:color="000000" w:sz="4" w:space="0"/>
              <w:right w:val="single" w:color="000000" w:sz="4" w:space="0"/>
            </w:tcBorders>
            <w:shd w:val="clear" w:color="auto" w:fill="auto"/>
            <w:vAlign w:val="top"/>
          </w:tcPr>
          <w:p w14:paraId="0FBF156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1、信噪比：≥107dB</w:t>
            </w:r>
          </w:p>
          <w:p w14:paraId="5CE5CFF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2、麦克风输入具有≥40级灵敏度调节，步进1dB，支持48V幻像电源</w:t>
            </w:r>
          </w:p>
          <w:p w14:paraId="02F2E1C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3、最大延时：1000ms</w:t>
            </w:r>
          </w:p>
          <w:p w14:paraId="283D059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4、2寸彩色液晶屏，可进行中英文切换显示。</w:t>
            </w:r>
          </w:p>
          <w:p w14:paraId="2979F06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5、支持对接RS485墙板功能控制（凤凰头接线方式）。</w:t>
            </w:r>
          </w:p>
          <w:p w14:paraId="045846B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★6、具有FIR滤波器和幅值相位自动校正功能，每通道512taps，优化扩声响应。(需提供第三方检测机构出具的带有CMA、CNAS及国际互认的ilac-MRA标志的有效检测报告复印件并加盖供应商鲜章；)</w:t>
            </w:r>
          </w:p>
          <w:p w14:paraId="3A01595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7、支持USB、 RS232、RS485、LAN、Wifi等外部控制接口，配有专业PC控制软件；波特率6种可选。</w:t>
            </w:r>
          </w:p>
          <w:p w14:paraId="6C5B67D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8、12组或以上用户数据记忆功能。</w:t>
            </w:r>
          </w:p>
          <w:p w14:paraId="4991A34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9、具有面板锁、次数锁功能。</w:t>
            </w:r>
          </w:p>
          <w:p w14:paraId="458C48E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10、8路线性输入，8路输出，采用凤凰头平衡接法。</w:t>
            </w:r>
          </w:p>
          <w:p w14:paraId="2DF1386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11、6组双向GPIO口，PC上可对IO口进行输入/输出进行定义。</w:t>
            </w:r>
          </w:p>
          <w:p w14:paraId="1DFD7DB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12、具有输入AEC自动回声消除功能，可任意配置远端及本地。</w:t>
            </w:r>
          </w:p>
          <w:p w14:paraId="3632F95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13、具有输入ANC自动噪音消除功能；有郊降低系统设备底噪过大的现象。</w:t>
            </w:r>
          </w:p>
          <w:p w14:paraId="0C6E897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14、内置48个陷波器，每通道12个静态陷波器+12个动态陷波器。</w:t>
            </w:r>
          </w:p>
          <w:p w14:paraId="566C707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15、8通道每路具有输入反馈消除功能。</w:t>
            </w:r>
          </w:p>
          <w:p w14:paraId="5ECCD00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16、支持摄像跟踪功能，可外接摄像头。</w:t>
            </w:r>
          </w:p>
          <w:p w14:paraId="3167D1C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17、支持无线设备控制调试，及支持PC软件进行级联。</w:t>
            </w:r>
          </w:p>
          <w:p w14:paraId="7E17CC4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18、支持通道英文名称10个以内字节更改。</w:t>
            </w:r>
          </w:p>
          <w:p w14:paraId="0DE871C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19、具有RS485/RS232 /WIFI控制接口，可实现PC /APP有线及无线控制。</w:t>
            </w:r>
          </w:p>
          <w:p w14:paraId="3A0CA36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20、输入通道幻象电源、增益、静音、极性、12段PEQ、高低通、扩展器、压缩器、自动增益、白、粉红噪  声、正弦波发生器、通道控制分组设置、通道复制、通道联调设置、反馈控制。</w:t>
            </w:r>
          </w:p>
          <w:p w14:paraId="2C0974FE">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highlight w:val="none"/>
              </w:rPr>
            </w:pPr>
            <w:r>
              <w:rPr>
                <w:rFonts w:hint="eastAsia" w:ascii="宋体" w:hAnsi="宋体" w:cs="宋体"/>
                <w:color w:val="auto"/>
                <w:kern w:val="0"/>
                <w:sz w:val="24"/>
                <w:highlight w:val="none"/>
              </w:rPr>
              <w:t xml:space="preserve">21、输出通道功能包含：增益、静音、极性、延时（1000ms）、12段PEQ、高低通（宁克：12，18，24，36，48贝赛尔：12，18，24，36，48，巴特沃斯：12，18，24，36，48）、限幅器。                                       </w:t>
            </w:r>
          </w:p>
          <w:p w14:paraId="21DB413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 xml:space="preserve">★22、提供第三方检测报告、中国质量认证中心 CCC证书、质量管理体系认证（ISO9001）佐证，并加盖生产厂家公章。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FD0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1</w:t>
            </w:r>
          </w:p>
        </w:tc>
        <w:tc>
          <w:tcPr>
            <w:tcW w:w="867" w:type="dxa"/>
            <w:tcBorders>
              <w:top w:val="single" w:color="000000" w:sz="4" w:space="0"/>
              <w:left w:val="single" w:color="000000" w:sz="4" w:space="0"/>
              <w:bottom w:val="single" w:color="000000" w:sz="4" w:space="0"/>
            </w:tcBorders>
            <w:shd w:val="clear" w:color="auto" w:fill="auto"/>
            <w:vAlign w:val="center"/>
          </w:tcPr>
          <w:p w14:paraId="6516E5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台</w:t>
            </w:r>
          </w:p>
        </w:tc>
      </w:tr>
      <w:tr w14:paraId="5C9ED6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7" w:type="dxa"/>
            <w:tcBorders>
              <w:top w:val="single" w:color="000000" w:sz="4" w:space="0"/>
              <w:bottom w:val="single" w:color="000000" w:sz="4" w:space="0"/>
              <w:right w:val="single" w:color="000000" w:sz="4" w:space="0"/>
            </w:tcBorders>
            <w:shd w:val="clear" w:color="auto" w:fill="auto"/>
            <w:vAlign w:val="center"/>
          </w:tcPr>
          <w:p w14:paraId="65CE973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14</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EF3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AI智慧语音处理器</w:t>
            </w:r>
          </w:p>
        </w:tc>
        <w:tc>
          <w:tcPr>
            <w:tcW w:w="6385" w:type="dxa"/>
            <w:tcBorders>
              <w:top w:val="single" w:color="000000" w:sz="4" w:space="0"/>
              <w:left w:val="single" w:color="000000" w:sz="4" w:space="0"/>
              <w:bottom w:val="single" w:color="000000" w:sz="4" w:space="0"/>
              <w:right w:val="single" w:color="000000" w:sz="4" w:space="0"/>
            </w:tcBorders>
            <w:shd w:val="clear" w:color="auto" w:fill="auto"/>
            <w:vAlign w:val="top"/>
          </w:tcPr>
          <w:p w14:paraId="65BA26B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 xml:space="preserve">1 信噪比&gt;102db(A)                                                                     2 2寸中文彩色液晶显示屏，支持中英文切换。                                            3 每通道12个静态陷波器+12个动态陷波器。                                                                                4 工作电压 100-240VAC 50Hz/60Hz。                                                    5 输入通道采用多功能插，特设输入电平值，独立控制选项。                                                                        6 每通道可设 12 个 PEQ，分辨精度 1Hz，工作频率 20Hz-20KHz。                                                                             7 响应时间快中慢 3 速可设定，陷波器 Q 值自动选取。                                   8 自动扫描啸叫点并抑制。                                                                                  9 具有独特的噪声门功能，可抑制系统微弱噪声干扰。 </w:t>
            </w:r>
          </w:p>
          <w:p w14:paraId="38ADCB7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 xml:space="preserve">10 输入压缩功能，消除反馈同时更可扩展人声动态。 </w:t>
            </w:r>
          </w:p>
          <w:p w14:paraId="5A50D44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 xml:space="preserve">11 使用国产化的集成芯片。 </w:t>
            </w:r>
          </w:p>
          <w:p w14:paraId="32ECF79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 xml:space="preserve">12 支持 PC 调试软件，方便快捷 </w:t>
            </w:r>
          </w:p>
          <w:p w14:paraId="51C8AF1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 xml:space="preserve">13 具有面板锁功能，通过面板上面的按钮快速实现锁机功能和解锁功能。 </w:t>
            </w:r>
          </w:p>
          <w:p w14:paraId="06DF66F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 xml:space="preserve">14 具有≥5个全自动反馈抑制预设存档模式。 </w:t>
            </w:r>
          </w:p>
          <w:p w14:paraId="77ADDC3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 xml:space="preserve">15 每路设有四档移频选择，配合陷波器使用，防啸叫效果出类拔萃。 </w:t>
            </w:r>
          </w:p>
          <w:p w14:paraId="084BE1C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16 设灵敏度开关键，可自由切换 Line 和 Mic。               ★17、提供的第三方检测报告佐证</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E80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1</w:t>
            </w:r>
          </w:p>
        </w:tc>
        <w:tc>
          <w:tcPr>
            <w:tcW w:w="867" w:type="dxa"/>
            <w:tcBorders>
              <w:top w:val="single" w:color="000000" w:sz="4" w:space="0"/>
              <w:left w:val="single" w:color="000000" w:sz="4" w:space="0"/>
              <w:bottom w:val="single" w:color="000000" w:sz="4" w:space="0"/>
            </w:tcBorders>
            <w:shd w:val="clear" w:color="auto" w:fill="auto"/>
            <w:vAlign w:val="center"/>
          </w:tcPr>
          <w:p w14:paraId="0FA8FB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台</w:t>
            </w:r>
          </w:p>
        </w:tc>
      </w:tr>
      <w:tr w14:paraId="42AE34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rPr>
        <w:tc>
          <w:tcPr>
            <w:tcW w:w="707" w:type="dxa"/>
            <w:tcBorders>
              <w:top w:val="single" w:color="000000" w:sz="4" w:space="0"/>
              <w:bottom w:val="single" w:color="000000" w:sz="4" w:space="0"/>
              <w:right w:val="single" w:color="000000" w:sz="4" w:space="0"/>
            </w:tcBorders>
            <w:shd w:val="clear" w:color="auto" w:fill="auto"/>
            <w:vAlign w:val="center"/>
          </w:tcPr>
          <w:p w14:paraId="6CCCECB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4"/>
                <w:highlight w:val="none"/>
                <w:lang w:val="en-US" w:eastAsia="zh-CN" w:bidi="ar"/>
              </w:rPr>
            </w:pPr>
            <w:r>
              <w:rPr>
                <w:rFonts w:hint="eastAsia" w:ascii="宋体" w:hAnsi="宋体" w:cs="宋体"/>
                <w:color w:val="auto"/>
                <w:kern w:val="0"/>
                <w:sz w:val="24"/>
              </w:rPr>
              <w:t>15</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125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电源时序器</w:t>
            </w:r>
          </w:p>
        </w:tc>
        <w:tc>
          <w:tcPr>
            <w:tcW w:w="6385" w:type="dxa"/>
            <w:tcBorders>
              <w:top w:val="single" w:color="000000" w:sz="4" w:space="0"/>
              <w:left w:val="single" w:color="000000" w:sz="4" w:space="0"/>
              <w:bottom w:val="single" w:color="000000" w:sz="4" w:space="0"/>
              <w:right w:val="single" w:color="000000" w:sz="4" w:space="0"/>
            </w:tcBorders>
            <w:shd w:val="clear" w:color="auto" w:fill="auto"/>
            <w:vAlign w:val="top"/>
          </w:tcPr>
          <w:p w14:paraId="35FD0F1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1、支持≥8路通道输出，支持3路直接输出，8路受控开关通道输出，每路延时开启和关闭时间可自由设置（范围0--999s）。</w:t>
            </w:r>
          </w:p>
          <w:p w14:paraId="6556844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3、支持≥2寸彩色液晶屏，可进行中英文切换显示，并能实时显示当前电压、日期时间，通道开关状态。</w:t>
            </w:r>
          </w:p>
          <w:p w14:paraId="7B32759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4、定时开关机功能，内置时钟芯片，可根据日期时间设定，无需人为操作，让设备管理更简单。</w:t>
            </w:r>
          </w:p>
          <w:p w14:paraId="74E6991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5、8组设备开关场景数据保存/调用，场景管理应用简单便捷。</w:t>
            </w:r>
          </w:p>
          <w:p w14:paraId="7E7DCF0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6、额定总输出电流30A，每路额定输出电流13A。</w:t>
            </w:r>
          </w:p>
          <w:p w14:paraId="49901AC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7、宽电压(90V-250V) 开关电源设计，总功率6000W，单路最大功率2000W。</w:t>
            </w:r>
          </w:p>
          <w:p w14:paraId="35DA3E3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8、支持多台设备级联控制，级联状态可自动检测及设置。设有触发功能。</w:t>
            </w:r>
          </w:p>
          <w:p w14:paraId="086DC5B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9、配置RS232串口、TCP/IP网口，支持外部中央控制安卓苹果手机APP局域网设备控制，波特率可选择。</w:t>
            </w:r>
          </w:p>
          <w:p w14:paraId="24D52CE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10、支持面板Lock锁定功能，防止人为误操作。</w:t>
            </w:r>
          </w:p>
          <w:p w14:paraId="41EDE44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 xml:space="preserve">11、具有欠压、超压检测及报警功能。                                 </w:t>
            </w:r>
          </w:p>
          <w:p w14:paraId="4B9F7DA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12、支持PC软件调试，可对每路单独编辑及远程控制，并可进行一键场景模式调用。</w:t>
            </w:r>
          </w:p>
          <w:p w14:paraId="1D682FD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★13、提供第三方检测报告佐证</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28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2</w:t>
            </w:r>
          </w:p>
        </w:tc>
        <w:tc>
          <w:tcPr>
            <w:tcW w:w="867" w:type="dxa"/>
            <w:tcBorders>
              <w:top w:val="single" w:color="000000" w:sz="4" w:space="0"/>
              <w:left w:val="single" w:color="000000" w:sz="4" w:space="0"/>
              <w:bottom w:val="single" w:color="000000" w:sz="4" w:space="0"/>
            </w:tcBorders>
            <w:shd w:val="clear" w:color="auto" w:fill="auto"/>
            <w:vAlign w:val="center"/>
          </w:tcPr>
          <w:p w14:paraId="597E21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台</w:t>
            </w:r>
          </w:p>
        </w:tc>
      </w:tr>
      <w:tr w14:paraId="3551E5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7" w:type="dxa"/>
            <w:tcBorders>
              <w:top w:val="single" w:color="000000" w:sz="4" w:space="0"/>
              <w:bottom w:val="single" w:color="000000" w:sz="4" w:space="0"/>
              <w:right w:val="single" w:color="000000" w:sz="4" w:space="0"/>
            </w:tcBorders>
            <w:shd w:val="clear" w:color="auto" w:fill="auto"/>
            <w:vAlign w:val="center"/>
          </w:tcPr>
          <w:p w14:paraId="719F1EF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4"/>
                <w:highlight w:val="none"/>
                <w:lang w:val="en-US" w:eastAsia="zh-CN" w:bidi="ar"/>
              </w:rPr>
            </w:pPr>
            <w:r>
              <w:rPr>
                <w:rFonts w:hint="eastAsia" w:ascii="宋体" w:hAnsi="宋体" w:cs="宋体"/>
                <w:color w:val="auto"/>
                <w:kern w:val="0"/>
                <w:sz w:val="24"/>
              </w:rPr>
              <w:t>16</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54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一拖二无线手持麦克风</w:t>
            </w:r>
          </w:p>
        </w:tc>
        <w:tc>
          <w:tcPr>
            <w:tcW w:w="6385" w:type="dxa"/>
            <w:tcBorders>
              <w:top w:val="single" w:color="000000" w:sz="4" w:space="0"/>
              <w:left w:val="single" w:color="000000" w:sz="4" w:space="0"/>
              <w:bottom w:val="single" w:color="000000" w:sz="4" w:space="0"/>
              <w:right w:val="single" w:color="000000" w:sz="4" w:space="0"/>
            </w:tcBorders>
            <w:shd w:val="clear" w:color="auto" w:fill="auto"/>
            <w:vAlign w:val="top"/>
          </w:tcPr>
          <w:p w14:paraId="226CD0A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1、行业领先的电路设计和制作，确保产品可靠稳定；</w:t>
            </w:r>
          </w:p>
          <w:p w14:paraId="1CEE08C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★2、PLL双频道锁相环回路设计，频偏可自动修正；(出具满足该参数的第三方权威机构检测报告复印件并加盖供应商鲜章；)</w:t>
            </w:r>
          </w:p>
          <w:p w14:paraId="1E1ED4A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3、独特智能ID识别技术，更有效的对抗干扰；</w:t>
            </w:r>
          </w:p>
          <w:p w14:paraId="563F2B1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4、数字模拟混合传输，无音频传输延时的缺点；</w:t>
            </w:r>
          </w:p>
          <w:p w14:paraId="39F93BB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5、微处理器控制，有效避免接收死角；</w:t>
            </w:r>
          </w:p>
          <w:p w14:paraId="575FBB3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6、内建200个频道，频点分布从容设定；</w:t>
            </w:r>
          </w:p>
          <w:p w14:paraId="7D0C8D0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7、简约的红外对频设计，频率调整轻松实现；</w:t>
            </w:r>
          </w:p>
          <w:p w14:paraId="47DBAC3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8、LCD液晶显示屏，设备工作状态一目了然；</w:t>
            </w:r>
          </w:p>
          <w:p w14:paraId="449E532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9、具有平衡和非平衡音频输出，方便驳接各种音响设备；</w:t>
            </w:r>
          </w:p>
          <w:p w14:paraId="237EFC2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10、接收机显示发射机的参数，便于监控话筒工作状况；</w:t>
            </w:r>
          </w:p>
          <w:p w14:paraId="6353DC2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11、发射器及话筒结构的合理设计，美观、坚固、耐用；</w:t>
            </w:r>
          </w:p>
          <w:p w14:paraId="20E6159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12、采用真分集电路，双通道共用2天线和2高放的设计， 在复杂环境中的可靠性也更加出色。</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B5B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2</w:t>
            </w:r>
          </w:p>
        </w:tc>
        <w:tc>
          <w:tcPr>
            <w:tcW w:w="867" w:type="dxa"/>
            <w:tcBorders>
              <w:top w:val="single" w:color="000000" w:sz="4" w:space="0"/>
              <w:left w:val="single" w:color="000000" w:sz="4" w:space="0"/>
              <w:bottom w:val="single" w:color="000000" w:sz="4" w:space="0"/>
            </w:tcBorders>
            <w:shd w:val="clear" w:color="auto" w:fill="auto"/>
            <w:vAlign w:val="center"/>
          </w:tcPr>
          <w:p w14:paraId="5C75C2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套</w:t>
            </w:r>
          </w:p>
        </w:tc>
      </w:tr>
      <w:tr w14:paraId="4CB53E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7" w:type="dxa"/>
            <w:tcBorders>
              <w:top w:val="single" w:color="000000" w:sz="4" w:space="0"/>
              <w:bottom w:val="single" w:color="000000" w:sz="4" w:space="0"/>
              <w:right w:val="single" w:color="000000" w:sz="4" w:space="0"/>
            </w:tcBorders>
            <w:shd w:val="clear" w:color="auto" w:fill="auto"/>
            <w:vAlign w:val="center"/>
          </w:tcPr>
          <w:p w14:paraId="6372564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4"/>
                <w:highlight w:val="none"/>
                <w:lang w:val="en-US" w:eastAsia="zh-CN" w:bidi="ar"/>
              </w:rPr>
            </w:pPr>
            <w:r>
              <w:rPr>
                <w:rFonts w:hint="eastAsia" w:ascii="宋体" w:hAnsi="宋体" w:cs="宋体"/>
                <w:color w:val="auto"/>
                <w:kern w:val="0"/>
                <w:sz w:val="24"/>
              </w:rPr>
              <w:t>17</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A8F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一拖二无线会议鹅颈麦克风</w:t>
            </w:r>
          </w:p>
        </w:tc>
        <w:tc>
          <w:tcPr>
            <w:tcW w:w="6385" w:type="dxa"/>
            <w:tcBorders>
              <w:top w:val="single" w:color="000000" w:sz="4" w:space="0"/>
              <w:left w:val="single" w:color="000000" w:sz="4" w:space="0"/>
              <w:bottom w:val="single" w:color="000000" w:sz="4" w:space="0"/>
              <w:right w:val="single" w:color="000000" w:sz="4" w:space="0"/>
            </w:tcBorders>
            <w:shd w:val="clear" w:color="auto" w:fill="auto"/>
            <w:vAlign w:val="top"/>
          </w:tcPr>
          <w:p w14:paraId="22D5508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1.使用距离：约80米(实际距离与使用环境有关</w:t>
            </w:r>
          </w:p>
          <w:p w14:paraId="531893F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2.频率范围：650-700MHz</w:t>
            </w:r>
          </w:p>
          <w:p w14:paraId="0DB810B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3.射频产生方式：锁相环频率合成器</w:t>
            </w:r>
          </w:p>
          <w:p w14:paraId="08D57F7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4.射频带宽：50MHz</w:t>
            </w:r>
          </w:p>
          <w:p w14:paraId="1CFC0AA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5.射频频率精度+/-10ppm</w:t>
            </w:r>
          </w:p>
          <w:p w14:paraId="2AA2C6F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6.频道数200个(左右各100个)</w:t>
            </w:r>
          </w:p>
          <w:p w14:paraId="759CB81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7.使用温度：摄氏零下10度到摄氏50度</w:t>
            </w:r>
          </w:p>
          <w:p w14:paraId="79001E6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8.音频频率响应：60Hz-15KHz</w:t>
            </w:r>
          </w:p>
          <w:p w14:paraId="754BF47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9.采用自动选讯接收，灵敏度≥5dBμV，频率响应不低于50Hz-15KHz。</w:t>
            </w:r>
          </w:p>
          <w:p w14:paraId="5D7BC87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10.系统总谐波失真：&lt;0.8%1KHz(300mV输出时)</w:t>
            </w:r>
          </w:p>
          <w:p w14:paraId="5983177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11.接收方式：超内差二次混频模式</w:t>
            </w:r>
          </w:p>
          <w:p w14:paraId="17C60FE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12.灵敏度：-95dB</w:t>
            </w:r>
          </w:p>
          <w:p w14:paraId="0E82CA5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13.谐波失真：&lt;0.8%1KHz(300mV输出)</w:t>
            </w:r>
          </w:p>
          <w:p w14:paraId="3751852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14.接收机显示方式：LCD</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25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2</w:t>
            </w:r>
          </w:p>
        </w:tc>
        <w:tc>
          <w:tcPr>
            <w:tcW w:w="867" w:type="dxa"/>
            <w:tcBorders>
              <w:top w:val="single" w:color="000000" w:sz="4" w:space="0"/>
              <w:left w:val="single" w:color="000000" w:sz="4" w:space="0"/>
              <w:bottom w:val="single" w:color="000000" w:sz="4" w:space="0"/>
            </w:tcBorders>
            <w:shd w:val="clear" w:color="auto" w:fill="auto"/>
            <w:vAlign w:val="center"/>
          </w:tcPr>
          <w:p w14:paraId="5FDC36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套</w:t>
            </w:r>
          </w:p>
        </w:tc>
      </w:tr>
      <w:tr w14:paraId="5E1A2C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7" w:type="dxa"/>
            <w:tcBorders>
              <w:top w:val="single" w:color="000000" w:sz="4" w:space="0"/>
              <w:bottom w:val="single" w:color="000000" w:sz="4" w:space="0"/>
              <w:right w:val="single" w:color="000000" w:sz="4" w:space="0"/>
            </w:tcBorders>
            <w:shd w:val="clear" w:color="auto" w:fill="auto"/>
            <w:vAlign w:val="center"/>
          </w:tcPr>
          <w:p w14:paraId="086A0DB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4"/>
                <w:highlight w:val="none"/>
                <w:lang w:val="en-US" w:eastAsia="zh-CN" w:bidi="ar"/>
              </w:rPr>
            </w:pPr>
            <w:r>
              <w:rPr>
                <w:rFonts w:hint="eastAsia" w:ascii="宋体" w:hAnsi="宋体" w:cs="宋体"/>
                <w:color w:val="auto"/>
                <w:kern w:val="0"/>
                <w:sz w:val="24"/>
              </w:rPr>
              <w:t>18</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F8A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点歌系统</w:t>
            </w:r>
          </w:p>
        </w:tc>
        <w:tc>
          <w:tcPr>
            <w:tcW w:w="6385" w:type="dxa"/>
            <w:tcBorders>
              <w:top w:val="single" w:color="000000" w:sz="4" w:space="0"/>
              <w:left w:val="single" w:color="000000" w:sz="4" w:space="0"/>
              <w:bottom w:val="single" w:color="000000" w:sz="4" w:space="0"/>
              <w:right w:val="single" w:color="000000" w:sz="4" w:space="0"/>
            </w:tcBorders>
            <w:shd w:val="clear" w:color="auto" w:fill="auto"/>
            <w:vAlign w:val="top"/>
          </w:tcPr>
          <w:p w14:paraId="54F24F9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1.内置1块3.5吋SATA硬盘；附带2TB内容存储 。</w:t>
            </w:r>
          </w:p>
          <w:p w14:paraId="1B2D0E0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2.支持外接USB 2.0移动硬盘 。</w:t>
            </w:r>
          </w:p>
          <w:p w14:paraId="068B77E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3.支持点播在线歌曲 （免费）。</w:t>
            </w:r>
          </w:p>
          <w:p w14:paraId="31839DE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4.自带8万首歌曲，支持下载在线曲库（免费）。                                                                                         5.1080P 电视、电影、歌曲输出 。                                                                                    6.SPDIF光纤/同轴无损数字音频输出。                                                                             7.CPU: 采用40nm工艺芯片，主频1.3GHZ内存: 1GB/DDR 1333 。                                                      8.内置无线网络（IEEE 802.11b/g/n）。                                                                         9.AV模拟音频输出  AV模拟录音输入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95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1</w:t>
            </w:r>
          </w:p>
        </w:tc>
        <w:tc>
          <w:tcPr>
            <w:tcW w:w="867" w:type="dxa"/>
            <w:tcBorders>
              <w:top w:val="single" w:color="000000" w:sz="4" w:space="0"/>
              <w:left w:val="single" w:color="000000" w:sz="4" w:space="0"/>
              <w:bottom w:val="single" w:color="000000" w:sz="4" w:space="0"/>
            </w:tcBorders>
            <w:shd w:val="clear" w:color="auto" w:fill="auto"/>
            <w:vAlign w:val="center"/>
          </w:tcPr>
          <w:p w14:paraId="13818E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套</w:t>
            </w:r>
          </w:p>
        </w:tc>
      </w:tr>
      <w:tr w14:paraId="71A565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7" w:type="dxa"/>
            <w:tcBorders>
              <w:top w:val="single" w:color="000000" w:sz="4" w:space="0"/>
              <w:bottom w:val="single" w:color="000000" w:sz="4" w:space="0"/>
              <w:right w:val="single" w:color="000000" w:sz="4" w:space="0"/>
            </w:tcBorders>
            <w:shd w:val="clear" w:color="auto" w:fill="auto"/>
            <w:vAlign w:val="center"/>
          </w:tcPr>
          <w:p w14:paraId="5CF18FC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4"/>
                <w:highlight w:val="none"/>
                <w:lang w:val="en-US" w:eastAsia="zh-CN" w:bidi="ar"/>
              </w:rPr>
            </w:pPr>
            <w:r>
              <w:rPr>
                <w:rFonts w:hint="eastAsia" w:ascii="宋体" w:hAnsi="宋体" w:cs="宋体"/>
                <w:color w:val="auto"/>
                <w:kern w:val="0"/>
                <w:sz w:val="24"/>
              </w:rPr>
              <w:t>19</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E06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天线信号放大器</w:t>
            </w:r>
          </w:p>
        </w:tc>
        <w:tc>
          <w:tcPr>
            <w:tcW w:w="6385" w:type="dxa"/>
            <w:tcBorders>
              <w:top w:val="single" w:color="000000" w:sz="4" w:space="0"/>
              <w:left w:val="single" w:color="000000" w:sz="4" w:space="0"/>
              <w:bottom w:val="single" w:color="000000" w:sz="4" w:space="0"/>
              <w:right w:val="single" w:color="000000" w:sz="4" w:space="0"/>
            </w:tcBorders>
            <w:shd w:val="clear" w:color="auto" w:fill="auto"/>
            <w:vAlign w:val="top"/>
          </w:tcPr>
          <w:p w14:paraId="5A77BF2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1.3阶交截点OIP3：&gt;30dBm</w:t>
            </w:r>
          </w:p>
          <w:p w14:paraId="30023EE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2.系统消耗功率：3W</w:t>
            </w:r>
          </w:p>
          <w:p w14:paraId="5B7D3C3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3.接口类型：BNC</w:t>
            </w:r>
          </w:p>
          <w:p w14:paraId="7BF8904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4.射频频率范围：450-972MHZ</w:t>
            </w:r>
          </w:p>
          <w:p w14:paraId="28954AB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5.天线增益：轴线，7dB标准</w:t>
            </w:r>
          </w:p>
          <w:p w14:paraId="2B1053A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6.接收模式：3dB波长宽度，100角度</w:t>
            </w:r>
          </w:p>
          <w:p w14:paraId="0E46897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7.阻抗：50Ω</w:t>
            </w:r>
          </w:p>
          <w:p w14:paraId="2326794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8.增益档位开关：+3dB 绿色LED +10dB 红色LED</w:t>
            </w:r>
          </w:p>
          <w:p w14:paraId="20C105F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9.同轴连接接收机或天线分布系统：0.68-0.81W</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9D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1</w:t>
            </w:r>
          </w:p>
        </w:tc>
        <w:tc>
          <w:tcPr>
            <w:tcW w:w="867" w:type="dxa"/>
            <w:tcBorders>
              <w:top w:val="single" w:color="000000" w:sz="4" w:space="0"/>
              <w:left w:val="single" w:color="000000" w:sz="4" w:space="0"/>
              <w:bottom w:val="single" w:color="000000" w:sz="4" w:space="0"/>
            </w:tcBorders>
            <w:shd w:val="clear" w:color="auto" w:fill="auto"/>
            <w:vAlign w:val="center"/>
          </w:tcPr>
          <w:p w14:paraId="53CD57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套</w:t>
            </w:r>
          </w:p>
        </w:tc>
      </w:tr>
      <w:tr w14:paraId="1A260C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7" w:type="dxa"/>
            <w:tcBorders>
              <w:top w:val="single" w:color="000000" w:sz="4" w:space="0"/>
              <w:bottom w:val="single" w:color="000000" w:sz="4" w:space="0"/>
              <w:right w:val="single" w:color="000000" w:sz="4" w:space="0"/>
            </w:tcBorders>
            <w:shd w:val="clear" w:color="auto" w:fill="auto"/>
            <w:vAlign w:val="center"/>
          </w:tcPr>
          <w:p w14:paraId="383FACD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4"/>
                <w:highlight w:val="none"/>
                <w:lang w:val="en-US" w:eastAsia="zh-CN" w:bidi="ar"/>
              </w:rPr>
            </w:pPr>
            <w:r>
              <w:rPr>
                <w:rFonts w:hint="eastAsia" w:ascii="宋体" w:hAnsi="宋体" w:cs="宋体"/>
                <w:color w:val="auto"/>
                <w:kern w:val="0"/>
                <w:sz w:val="24"/>
              </w:rPr>
              <w:t>20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18F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天线50Ω电缆</w:t>
            </w:r>
          </w:p>
        </w:tc>
        <w:tc>
          <w:tcPr>
            <w:tcW w:w="6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673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BNC天线50Ω电缆</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D55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2</w:t>
            </w:r>
          </w:p>
        </w:tc>
        <w:tc>
          <w:tcPr>
            <w:tcW w:w="867" w:type="dxa"/>
            <w:tcBorders>
              <w:top w:val="single" w:color="000000" w:sz="4" w:space="0"/>
              <w:left w:val="single" w:color="000000" w:sz="4" w:space="0"/>
              <w:bottom w:val="single" w:color="000000" w:sz="4" w:space="0"/>
            </w:tcBorders>
            <w:shd w:val="clear" w:color="auto" w:fill="auto"/>
            <w:vAlign w:val="center"/>
          </w:tcPr>
          <w:p w14:paraId="3A3F1A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根</w:t>
            </w:r>
          </w:p>
        </w:tc>
      </w:tr>
      <w:tr w14:paraId="0F1D10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660" w:type="dxa"/>
            <w:gridSpan w:val="5"/>
            <w:tcBorders>
              <w:top w:val="single" w:color="000000" w:sz="4" w:space="0"/>
              <w:bottom w:val="single" w:color="000000" w:sz="4" w:space="0"/>
            </w:tcBorders>
            <w:shd w:val="clear" w:color="auto" w:fill="auto"/>
            <w:vAlign w:val="center"/>
          </w:tcPr>
          <w:p w14:paraId="7921199C">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4"/>
                <w:highlight w:val="none"/>
                <w:lang w:bidi="ar"/>
              </w:rPr>
            </w:pPr>
            <w:r>
              <w:rPr>
                <w:rFonts w:hint="eastAsia" w:ascii="宋体" w:hAnsi="宋体" w:cs="宋体"/>
                <w:b/>
                <w:bCs/>
                <w:color w:val="auto"/>
                <w:sz w:val="24"/>
              </w:rPr>
              <w:t>2.2、舞美灯光系统</w:t>
            </w:r>
          </w:p>
        </w:tc>
      </w:tr>
      <w:tr w14:paraId="6F1BEB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7" w:type="dxa"/>
            <w:tcBorders>
              <w:top w:val="single" w:color="000000" w:sz="4" w:space="0"/>
              <w:bottom w:val="single" w:color="000000" w:sz="4" w:space="0"/>
              <w:right w:val="single" w:color="000000" w:sz="4" w:space="0"/>
            </w:tcBorders>
            <w:shd w:val="clear" w:color="auto" w:fill="auto"/>
            <w:vAlign w:val="center"/>
          </w:tcPr>
          <w:p w14:paraId="3991D5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1</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26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LED调焦聚光灯</w:t>
            </w:r>
          </w:p>
        </w:tc>
        <w:tc>
          <w:tcPr>
            <w:tcW w:w="6385" w:type="dxa"/>
            <w:tcBorders>
              <w:top w:val="single" w:color="000000" w:sz="4" w:space="0"/>
              <w:left w:val="single" w:color="000000" w:sz="4" w:space="0"/>
              <w:bottom w:val="single" w:color="000000" w:sz="4" w:space="0"/>
              <w:right w:val="single" w:color="000000" w:sz="4" w:space="0"/>
            </w:tcBorders>
            <w:shd w:val="clear" w:color="auto" w:fill="auto"/>
            <w:vAlign w:val="top"/>
          </w:tcPr>
          <w:p w14:paraId="0F3E860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光源：CITIZEN COB 200W</w:t>
            </w:r>
          </w:p>
          <w:p w14:paraId="21AAA2A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颜色：正白/暖白、白光、正暖白</w:t>
            </w:r>
          </w:p>
          <w:p w14:paraId="6192A76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寿命：≥50000小时</w:t>
            </w:r>
          </w:p>
          <w:p w14:paraId="0364D2F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透镜角度：≥60°</w:t>
            </w:r>
          </w:p>
          <w:p w14:paraId="74163B2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色温：3200K/6500K</w:t>
            </w:r>
          </w:p>
          <w:p w14:paraId="37CB1C3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显指：Ra&gt;95</w:t>
            </w:r>
          </w:p>
          <w:p w14:paraId="27FFB33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调焦:电子平滑变焦</w:t>
            </w:r>
          </w:p>
          <w:p w14:paraId="7EB779F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外壳：铝合金压铸</w:t>
            </w:r>
          </w:p>
          <w:p w14:paraId="7BA7F61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灯体结构：自锁双离合</w:t>
            </w:r>
          </w:p>
          <w:p w14:paraId="303A5E5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电源：100-240V~  50/60Hz</w:t>
            </w:r>
          </w:p>
          <w:p w14:paraId="6C29AF7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输入功率：200功率因数PF≥0.95</w:t>
            </w:r>
          </w:p>
          <w:p w14:paraId="07B471A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控制协议：DMX512协议</w:t>
            </w:r>
          </w:p>
          <w:p w14:paraId="0ADDF66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控制通道：2/3/6三种通道模式</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949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8</w:t>
            </w:r>
          </w:p>
        </w:tc>
        <w:tc>
          <w:tcPr>
            <w:tcW w:w="867" w:type="dxa"/>
            <w:tcBorders>
              <w:top w:val="single" w:color="000000" w:sz="4" w:space="0"/>
              <w:left w:val="single" w:color="000000" w:sz="4" w:space="0"/>
              <w:bottom w:val="single" w:color="000000" w:sz="4" w:space="0"/>
            </w:tcBorders>
            <w:shd w:val="clear" w:color="auto" w:fill="auto"/>
            <w:vAlign w:val="center"/>
          </w:tcPr>
          <w:p w14:paraId="0E078F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台</w:t>
            </w:r>
          </w:p>
        </w:tc>
      </w:tr>
      <w:tr w14:paraId="7E0E13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7" w:type="dxa"/>
            <w:tcBorders>
              <w:top w:val="single" w:color="000000" w:sz="4" w:space="0"/>
              <w:bottom w:val="single" w:color="000000" w:sz="4" w:space="0"/>
              <w:right w:val="single" w:color="000000" w:sz="4" w:space="0"/>
            </w:tcBorders>
            <w:shd w:val="clear" w:color="auto" w:fill="auto"/>
            <w:vAlign w:val="center"/>
          </w:tcPr>
          <w:p w14:paraId="5511D2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2</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220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LED染色灯</w:t>
            </w:r>
          </w:p>
        </w:tc>
        <w:tc>
          <w:tcPr>
            <w:tcW w:w="6385" w:type="dxa"/>
            <w:tcBorders>
              <w:top w:val="single" w:color="000000" w:sz="4" w:space="0"/>
              <w:left w:val="single" w:color="000000" w:sz="4" w:space="0"/>
              <w:bottom w:val="single" w:color="000000" w:sz="4" w:space="0"/>
              <w:right w:val="single" w:color="000000" w:sz="4" w:space="0"/>
            </w:tcBorders>
            <w:shd w:val="clear" w:color="auto" w:fill="auto"/>
            <w:vAlign w:val="top"/>
          </w:tcPr>
          <w:p w14:paraId="7E139D8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1.光源：18*10W 4合1 LED</w:t>
            </w:r>
          </w:p>
          <w:p w14:paraId="10A1A6A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2.平均寿命＞51000小时</w:t>
            </w:r>
          </w:p>
          <w:p w14:paraId="0E76852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3.控制模式：DMX512、主从、自走、声控</w:t>
            </w:r>
          </w:p>
          <w:p w14:paraId="67633CF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4.颜色系统：RGBW无极混色</w:t>
            </w:r>
          </w:p>
          <w:p w14:paraId="253F87E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5.散热方式：内置散热器，静音风机散热</w:t>
            </w:r>
          </w:p>
          <w:p w14:paraId="65FD0AD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6.控制通道：4/5/8三种通道控制模式</w:t>
            </w:r>
          </w:p>
          <w:p w14:paraId="5165965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7.控制协议：国际标准DMX512协议</w:t>
            </w:r>
          </w:p>
          <w:p w14:paraId="6AB2A9B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8.DMX信号连接：三芯XLR输入/输出</w:t>
            </w:r>
          </w:p>
          <w:p w14:paraId="29886BF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9.灯体结构：铝合金结构；1对支架</w:t>
            </w:r>
          </w:p>
          <w:p w14:paraId="3CC4AB0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10.调光：0-100%调光</w:t>
            </w:r>
          </w:p>
          <w:p w14:paraId="116AFC0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11.恒流驱动方式；温度传感检测，智能调整光源功率</w:t>
            </w:r>
          </w:p>
          <w:p w14:paraId="34EFD55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12.输入：100-240V~ 50/60Hz</w:t>
            </w:r>
          </w:p>
          <w:p w14:paraId="4217AC9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13.输入功率：240W，功率因数PF≥0.95</w:t>
            </w:r>
          </w:p>
          <w:p w14:paraId="57F6B4C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14.安全保护：过流、过压、过热保护</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2C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22</w:t>
            </w:r>
          </w:p>
        </w:tc>
        <w:tc>
          <w:tcPr>
            <w:tcW w:w="867" w:type="dxa"/>
            <w:tcBorders>
              <w:top w:val="single" w:color="000000" w:sz="4" w:space="0"/>
              <w:left w:val="single" w:color="000000" w:sz="4" w:space="0"/>
              <w:bottom w:val="single" w:color="000000" w:sz="4" w:space="0"/>
            </w:tcBorders>
            <w:shd w:val="clear" w:color="auto" w:fill="auto"/>
            <w:vAlign w:val="center"/>
          </w:tcPr>
          <w:p w14:paraId="7071E0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台</w:t>
            </w:r>
          </w:p>
        </w:tc>
      </w:tr>
      <w:tr w14:paraId="64F90B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7" w:type="dxa"/>
            <w:tcBorders>
              <w:top w:val="single" w:color="000000" w:sz="4" w:space="0"/>
              <w:bottom w:val="single" w:color="000000" w:sz="4" w:space="0"/>
              <w:right w:val="single" w:color="000000" w:sz="4" w:space="0"/>
            </w:tcBorders>
            <w:shd w:val="clear" w:color="auto" w:fill="auto"/>
            <w:vAlign w:val="center"/>
          </w:tcPr>
          <w:p w14:paraId="2DE3BB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3</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CE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LED会议平板灯</w:t>
            </w:r>
          </w:p>
        </w:tc>
        <w:tc>
          <w:tcPr>
            <w:tcW w:w="6385" w:type="dxa"/>
            <w:tcBorders>
              <w:top w:val="single" w:color="000000" w:sz="4" w:space="0"/>
              <w:left w:val="single" w:color="000000" w:sz="4" w:space="0"/>
              <w:bottom w:val="single" w:color="000000" w:sz="4" w:space="0"/>
              <w:right w:val="single" w:color="000000" w:sz="4" w:space="0"/>
            </w:tcBorders>
            <w:shd w:val="clear" w:color="auto" w:fill="auto"/>
            <w:vAlign w:val="top"/>
          </w:tcPr>
          <w:p w14:paraId="23EC8BF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1.光源：灯珠数量不低于1200颗 ，0.3W高亮度灯珠</w:t>
            </w:r>
          </w:p>
          <w:p w14:paraId="78949D1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2.出光角度：≥35°、≥40°、≥60°</w:t>
            </w:r>
          </w:p>
          <w:p w14:paraId="27C7CE8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3.平均寿命：≥51000H</w:t>
            </w:r>
          </w:p>
          <w:p w14:paraId="0247E8C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4.显色指数：Ra≥95，光通量：10000lm</w:t>
            </w:r>
          </w:p>
          <w:p w14:paraId="78C0320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5.色温：3200K/5600K/二合一可选</w:t>
            </w:r>
          </w:p>
          <w:p w14:paraId="0FBB1D7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6.快速电子频闪1 ~ 20 Hz</w:t>
            </w:r>
          </w:p>
          <w:p w14:paraId="77AD2BD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7.多种内置效果：频闪、交替、渐变等</w:t>
            </w:r>
          </w:p>
          <w:p w14:paraId="505EF48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8.调光曲线：四种</w:t>
            </w:r>
          </w:p>
          <w:p w14:paraId="3A4CB99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9.调光频率：1.2 K，6K，12 K，24K</w:t>
            </w:r>
          </w:p>
          <w:p w14:paraId="0E17974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10.调光：0 至 100 % 线性调光</w:t>
            </w:r>
          </w:p>
          <w:p w14:paraId="781DE98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11.控制通道：2/3通道模式</w:t>
            </w:r>
          </w:p>
          <w:p w14:paraId="186CBC8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12.静音风机，智能调速；温度智能保护，确保LED 的使用寿命</w:t>
            </w:r>
          </w:p>
          <w:p w14:paraId="64A8EAD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13.输入功率：500W</w:t>
            </w:r>
          </w:p>
          <w:p w14:paraId="6620312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14.功率因数: PF≥0.99</w:t>
            </w:r>
          </w:p>
          <w:p w14:paraId="228B3FF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15.防护等级：IP20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37C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6</w:t>
            </w:r>
          </w:p>
        </w:tc>
        <w:tc>
          <w:tcPr>
            <w:tcW w:w="867" w:type="dxa"/>
            <w:tcBorders>
              <w:top w:val="single" w:color="000000" w:sz="4" w:space="0"/>
              <w:left w:val="single" w:color="000000" w:sz="4" w:space="0"/>
              <w:bottom w:val="single" w:color="000000" w:sz="4" w:space="0"/>
            </w:tcBorders>
            <w:shd w:val="clear" w:color="auto" w:fill="auto"/>
            <w:vAlign w:val="center"/>
          </w:tcPr>
          <w:p w14:paraId="24098F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台</w:t>
            </w:r>
          </w:p>
        </w:tc>
      </w:tr>
      <w:tr w14:paraId="7B299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7" w:type="dxa"/>
            <w:tcBorders>
              <w:top w:val="single" w:color="000000" w:sz="4" w:space="0"/>
              <w:bottom w:val="single" w:color="000000" w:sz="4" w:space="0"/>
              <w:right w:val="single" w:color="000000" w:sz="4" w:space="0"/>
            </w:tcBorders>
            <w:shd w:val="clear" w:color="auto" w:fill="auto"/>
            <w:vAlign w:val="center"/>
          </w:tcPr>
          <w:p w14:paraId="3E7358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4</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EB9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薄雾机</w:t>
            </w:r>
          </w:p>
        </w:tc>
        <w:tc>
          <w:tcPr>
            <w:tcW w:w="6385" w:type="dxa"/>
            <w:tcBorders>
              <w:top w:val="single" w:color="000000" w:sz="4" w:space="0"/>
              <w:left w:val="single" w:color="000000" w:sz="4" w:space="0"/>
              <w:bottom w:val="single" w:color="000000" w:sz="4" w:space="0"/>
              <w:right w:val="single" w:color="000000" w:sz="4" w:space="0"/>
            </w:tcBorders>
            <w:shd w:val="clear" w:color="auto" w:fill="auto"/>
            <w:vAlign w:val="top"/>
          </w:tcPr>
          <w:p w14:paraId="6281BC4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电压:AC110V-240V/50-60HZ</w:t>
            </w:r>
          </w:p>
          <w:p w14:paraId="4FD04AB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功率:1500W</w:t>
            </w:r>
          </w:p>
          <w:p w14:paraId="6D1BBD8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限流保险：250V/10A</w:t>
            </w:r>
          </w:p>
          <w:p w14:paraId="004CB37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预热时间：4min</w:t>
            </w:r>
          </w:p>
          <w:p w14:paraId="11C0F38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烟量输出：8000cu ft/min</w:t>
            </w:r>
          </w:p>
          <w:p w14:paraId="6931DB6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油桶容量：2L</w:t>
            </w:r>
          </w:p>
          <w:p w14:paraId="0A725A7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耗油量：99min/L</w:t>
            </w:r>
          </w:p>
          <w:p w14:paraId="75A36BA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控制方式：DMX512控制/遥控控制</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CDB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1</w:t>
            </w:r>
          </w:p>
        </w:tc>
        <w:tc>
          <w:tcPr>
            <w:tcW w:w="867" w:type="dxa"/>
            <w:tcBorders>
              <w:top w:val="single" w:color="000000" w:sz="4" w:space="0"/>
              <w:left w:val="single" w:color="000000" w:sz="4" w:space="0"/>
              <w:bottom w:val="single" w:color="000000" w:sz="4" w:space="0"/>
            </w:tcBorders>
            <w:shd w:val="clear" w:color="auto" w:fill="auto"/>
            <w:vAlign w:val="center"/>
          </w:tcPr>
          <w:p w14:paraId="379888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台</w:t>
            </w:r>
          </w:p>
        </w:tc>
      </w:tr>
      <w:tr w14:paraId="523CC4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7" w:type="dxa"/>
            <w:tcBorders>
              <w:top w:val="single" w:color="000000" w:sz="4" w:space="0"/>
              <w:bottom w:val="single" w:color="000000" w:sz="4" w:space="0"/>
              <w:right w:val="single" w:color="000000" w:sz="4" w:space="0"/>
            </w:tcBorders>
            <w:shd w:val="clear" w:color="auto" w:fill="auto"/>
            <w:vAlign w:val="center"/>
          </w:tcPr>
          <w:p w14:paraId="66C467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5</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4EF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电脑摇头灯</w:t>
            </w:r>
          </w:p>
        </w:tc>
        <w:tc>
          <w:tcPr>
            <w:tcW w:w="6385" w:type="dxa"/>
            <w:tcBorders>
              <w:top w:val="single" w:color="000000" w:sz="4" w:space="0"/>
              <w:left w:val="single" w:color="000000" w:sz="4" w:space="0"/>
              <w:bottom w:val="single" w:color="000000" w:sz="4" w:space="0"/>
              <w:right w:val="single" w:color="000000" w:sz="4" w:space="0"/>
            </w:tcBorders>
            <w:shd w:val="clear" w:color="auto" w:fill="auto"/>
            <w:vAlign w:val="top"/>
          </w:tcPr>
          <w:p w14:paraId="60C4014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 xml:space="preserve">1.光源： OSRAM SIRIUS HRI 371W  </w:t>
            </w:r>
          </w:p>
          <w:p w14:paraId="4EAE1E4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2.光束角度：2-5°</w:t>
            </w:r>
          </w:p>
          <w:p w14:paraId="47619B4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3.色温：7800K</w:t>
            </w:r>
          </w:p>
          <w:p w14:paraId="45E6326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4.光源寿命：≥2800小时</w:t>
            </w:r>
          </w:p>
          <w:p w14:paraId="3B5FE96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5.颜色：13个色片+白光（可半色效果）+1个六色片</w:t>
            </w:r>
          </w:p>
          <w:p w14:paraId="48263C2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6.固图：11个固定图+白光+流水图案</w:t>
            </w:r>
          </w:p>
          <w:p w14:paraId="30A89BF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7.棱镜：8+16+24棱镜、16棱镜（双棱镜可叠加48，可双向独立旋转）</w:t>
            </w:r>
          </w:p>
          <w:p w14:paraId="4035B15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8.调焦：采用高精密玻璃光学镜头，电子线性高清调节</w:t>
            </w:r>
          </w:p>
          <w:p w14:paraId="458EFB5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雾化：1个独立的雾化效果，光斑柔和自然</w:t>
            </w:r>
          </w:p>
          <w:p w14:paraId="3E2843F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9.频闪：双片式频闪(0.5-9次/秒)</w:t>
            </w:r>
          </w:p>
          <w:p w14:paraId="457B203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10.调光：0-100%线性调节</w:t>
            </w:r>
          </w:p>
          <w:p w14:paraId="614B2F7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11.水平: 540°,解析度8/16Bit</w:t>
            </w:r>
          </w:p>
          <w:p w14:paraId="49EA5CF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垂直: 270°,解析度8/16Bit</w:t>
            </w:r>
          </w:p>
          <w:p w14:paraId="0F31F3F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 xml:space="preserve">12.输入功率: 500W/240V,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B39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6</w:t>
            </w:r>
          </w:p>
        </w:tc>
        <w:tc>
          <w:tcPr>
            <w:tcW w:w="867" w:type="dxa"/>
            <w:tcBorders>
              <w:top w:val="single" w:color="000000" w:sz="4" w:space="0"/>
              <w:left w:val="single" w:color="000000" w:sz="4" w:space="0"/>
              <w:bottom w:val="single" w:color="000000" w:sz="4" w:space="0"/>
            </w:tcBorders>
            <w:shd w:val="clear" w:color="auto" w:fill="auto"/>
            <w:vAlign w:val="center"/>
          </w:tcPr>
          <w:p w14:paraId="03FD42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台</w:t>
            </w:r>
          </w:p>
        </w:tc>
      </w:tr>
      <w:tr w14:paraId="796CE6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7" w:type="dxa"/>
            <w:tcBorders>
              <w:top w:val="single" w:color="000000" w:sz="4" w:space="0"/>
              <w:bottom w:val="single" w:color="000000" w:sz="4" w:space="0"/>
              <w:right w:val="single" w:color="000000" w:sz="4" w:space="0"/>
            </w:tcBorders>
            <w:shd w:val="clear" w:color="auto" w:fill="auto"/>
            <w:vAlign w:val="center"/>
          </w:tcPr>
          <w:p w14:paraId="7FBCC0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6</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CF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灯光控制台</w:t>
            </w:r>
          </w:p>
        </w:tc>
        <w:tc>
          <w:tcPr>
            <w:tcW w:w="6385" w:type="dxa"/>
            <w:tcBorders>
              <w:top w:val="single" w:color="000000" w:sz="4" w:space="0"/>
              <w:left w:val="single" w:color="000000" w:sz="4" w:space="0"/>
              <w:bottom w:val="single" w:color="000000" w:sz="4" w:space="0"/>
              <w:right w:val="single" w:color="000000" w:sz="4" w:space="0"/>
            </w:tcBorders>
            <w:shd w:val="clear" w:color="auto" w:fill="auto"/>
            <w:vAlign w:val="top"/>
          </w:tcPr>
          <w:p w14:paraId="0B657780">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highlight w:val="none"/>
              </w:rPr>
            </w:pPr>
            <w:r>
              <w:rPr>
                <w:rFonts w:hint="eastAsia" w:ascii="宋体" w:hAnsi="宋体" w:cs="宋体"/>
                <w:color w:val="auto"/>
                <w:kern w:val="0"/>
                <w:sz w:val="24"/>
                <w:highlight w:val="none"/>
              </w:rPr>
              <w:t>1.具备DMX512/1990标准，超大1024个DMX控制通道，光电隔离信号输出。</w:t>
            </w:r>
          </w:p>
          <w:p w14:paraId="34A04062">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highlight w:val="none"/>
              </w:rPr>
            </w:pPr>
            <w:r>
              <w:rPr>
                <w:rFonts w:hint="eastAsia" w:ascii="宋体" w:hAnsi="宋体" w:cs="宋体"/>
                <w:color w:val="auto"/>
                <w:kern w:val="0"/>
                <w:sz w:val="24"/>
                <w:highlight w:val="none"/>
              </w:rPr>
              <w:t>2.超大控制96台电脑灯或96路调光，使用珍珠灯库。</w:t>
            </w:r>
          </w:p>
          <w:p w14:paraId="29D6172E">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highlight w:val="none"/>
              </w:rPr>
            </w:pPr>
            <w:r>
              <w:rPr>
                <w:rFonts w:hint="eastAsia" w:ascii="宋体" w:hAnsi="宋体" w:cs="宋体"/>
                <w:color w:val="auto"/>
                <w:kern w:val="0"/>
                <w:sz w:val="24"/>
                <w:highlight w:val="none"/>
              </w:rPr>
              <w:t>3.具备内置图形轨迹发生器，有≥135个内置图形，方便用户对电脑灯进行图形轨迹控制，如画圆、螺旋、彩虹、追逐等多种效果。</w:t>
            </w:r>
          </w:p>
          <w:p w14:paraId="3EBAC4B8">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highlight w:val="none"/>
              </w:rPr>
            </w:pPr>
            <w:r>
              <w:rPr>
                <w:rFonts w:hint="eastAsia" w:ascii="宋体" w:hAnsi="宋体" w:cs="宋体"/>
                <w:color w:val="auto"/>
                <w:kern w:val="0"/>
                <w:sz w:val="24"/>
                <w:highlight w:val="none"/>
              </w:rPr>
              <w:t>4.具备图形参数（如：振幅、速度、间隔、波浪、方向）均可独立设置。</w:t>
            </w:r>
          </w:p>
          <w:p w14:paraId="3CC5CC4A">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highlight w:val="none"/>
              </w:rPr>
            </w:pPr>
            <w:r>
              <w:rPr>
                <w:rFonts w:hint="eastAsia" w:ascii="宋体" w:hAnsi="宋体" w:cs="宋体"/>
                <w:color w:val="auto"/>
                <w:kern w:val="0"/>
                <w:sz w:val="24"/>
                <w:highlight w:val="none"/>
              </w:rPr>
              <w:t>5.具备60个重演场景，用于储存多步场景和单步场景。多步场景多可储存600步。</w:t>
            </w:r>
          </w:p>
          <w:p w14:paraId="55F34B37">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highlight w:val="none"/>
              </w:rPr>
            </w:pPr>
            <w:r>
              <w:rPr>
                <w:rFonts w:hint="eastAsia" w:ascii="宋体" w:hAnsi="宋体" w:cs="宋体"/>
                <w:color w:val="auto"/>
                <w:kern w:val="0"/>
                <w:sz w:val="24"/>
                <w:highlight w:val="none"/>
              </w:rPr>
              <w:t>6.带背光的LCD显示屏，中英文显示。</w:t>
            </w:r>
          </w:p>
          <w:p w14:paraId="65595104">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highlight w:val="none"/>
              </w:rPr>
            </w:pPr>
            <w:r>
              <w:rPr>
                <w:rFonts w:hint="eastAsia" w:ascii="宋体" w:hAnsi="宋体" w:cs="宋体"/>
                <w:color w:val="auto"/>
                <w:kern w:val="0"/>
                <w:sz w:val="24"/>
                <w:highlight w:val="none"/>
              </w:rPr>
              <w:t>7.具有关机数据保持功能。</w:t>
            </w:r>
          </w:p>
          <w:p w14:paraId="1918A8BD">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24"/>
                <w:highlight w:val="none"/>
              </w:rPr>
            </w:pPr>
            <w:r>
              <w:rPr>
                <w:rFonts w:hint="eastAsia" w:ascii="宋体" w:hAnsi="宋体" w:cs="宋体"/>
                <w:color w:val="auto"/>
                <w:kern w:val="0"/>
                <w:sz w:val="24"/>
                <w:highlight w:val="none"/>
              </w:rPr>
              <w:t>8.U盘备份和升级。</w:t>
            </w:r>
          </w:p>
          <w:p w14:paraId="3DCD2D2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9.专业鹅颈工作灯，适合室内外演出使用。</w:t>
            </w:r>
          </w:p>
          <w:p w14:paraId="58D4C4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10.20个重放推杆，支持1000个虚拟重放。</w:t>
            </w:r>
          </w:p>
          <w:p w14:paraId="5D5CB86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11.强大的CMY调色板功能。</w:t>
            </w:r>
          </w:p>
          <w:p w14:paraId="2B272E9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12.支持涂鸦式手写命名功能。</w:t>
            </w:r>
          </w:p>
          <w:p w14:paraId="16FE1DF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★10.为了系统的稳定性和减少本项目运维成本，音响灯光系统设备需与舞美灯光系统设备需为同一供应商。并提供有效的证明材料复印件并加盖供应商鲜章；</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F9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1</w:t>
            </w:r>
          </w:p>
        </w:tc>
        <w:tc>
          <w:tcPr>
            <w:tcW w:w="867" w:type="dxa"/>
            <w:tcBorders>
              <w:top w:val="single" w:color="000000" w:sz="4" w:space="0"/>
              <w:left w:val="single" w:color="000000" w:sz="4" w:space="0"/>
              <w:bottom w:val="single" w:color="000000" w:sz="4" w:space="0"/>
            </w:tcBorders>
            <w:shd w:val="clear" w:color="auto" w:fill="auto"/>
            <w:vAlign w:val="center"/>
          </w:tcPr>
          <w:p w14:paraId="6E1D93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highlight w:val="none"/>
              </w:rPr>
              <w:t>台</w:t>
            </w:r>
          </w:p>
        </w:tc>
      </w:tr>
      <w:tr w14:paraId="1E84C3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7" w:type="dxa"/>
            <w:tcBorders>
              <w:top w:val="single" w:color="000000" w:sz="4" w:space="0"/>
              <w:bottom w:val="single" w:color="000000" w:sz="4" w:space="0"/>
              <w:right w:val="single" w:color="000000" w:sz="4" w:space="0"/>
            </w:tcBorders>
            <w:shd w:val="clear" w:color="auto" w:fill="auto"/>
            <w:vAlign w:val="center"/>
          </w:tcPr>
          <w:p w14:paraId="41F776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7</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32C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信号放大器</w:t>
            </w:r>
          </w:p>
        </w:tc>
        <w:tc>
          <w:tcPr>
            <w:tcW w:w="6385" w:type="dxa"/>
            <w:tcBorders>
              <w:top w:val="single" w:color="000000" w:sz="4" w:space="0"/>
              <w:left w:val="single" w:color="000000" w:sz="4" w:space="0"/>
              <w:bottom w:val="single" w:color="000000" w:sz="4" w:space="0"/>
              <w:right w:val="single" w:color="000000" w:sz="4" w:space="0"/>
            </w:tcBorders>
            <w:shd w:val="clear" w:color="auto" w:fill="auto"/>
            <w:vAlign w:val="top"/>
          </w:tcPr>
          <w:p w14:paraId="7D4D00A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1.输入：1条主线(2个信号输入口)输入，标配三芯公插和母插（可选：五芯公插和母插）</w:t>
            </w:r>
          </w:p>
          <w:p w14:paraId="428E6D1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2.输出：8个信号输出口，配置三芯母插（可选五芯母插）</w:t>
            </w:r>
          </w:p>
          <w:p w14:paraId="08C2FEF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各输入输出口均采用光电隔离技术,各接口之间具有独立电气隔离特性,避免在工程应用中因浪涌电压冲击而损坏控制设备</w:t>
            </w:r>
          </w:p>
          <w:p w14:paraId="3865C43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3.使用寿命：≥33000小时</w:t>
            </w:r>
          </w:p>
          <w:p w14:paraId="0512308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4.电源：220V±10%~,50/60Hz</w:t>
            </w:r>
          </w:p>
          <w:p w14:paraId="33E8152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5.功率：6.95W</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2A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1</w:t>
            </w:r>
          </w:p>
        </w:tc>
        <w:tc>
          <w:tcPr>
            <w:tcW w:w="867" w:type="dxa"/>
            <w:tcBorders>
              <w:top w:val="single" w:color="000000" w:sz="4" w:space="0"/>
              <w:left w:val="single" w:color="000000" w:sz="4" w:space="0"/>
              <w:bottom w:val="single" w:color="000000" w:sz="4" w:space="0"/>
            </w:tcBorders>
            <w:shd w:val="clear" w:color="auto" w:fill="auto"/>
            <w:vAlign w:val="center"/>
          </w:tcPr>
          <w:p w14:paraId="28F3A6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台</w:t>
            </w:r>
          </w:p>
        </w:tc>
      </w:tr>
      <w:tr w14:paraId="4DB031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7" w:type="dxa"/>
            <w:tcBorders>
              <w:top w:val="single" w:color="000000" w:sz="4" w:space="0"/>
              <w:bottom w:val="single" w:color="000000" w:sz="4" w:space="0"/>
              <w:right w:val="single" w:color="000000" w:sz="4" w:space="0"/>
            </w:tcBorders>
            <w:shd w:val="clear" w:color="auto" w:fill="auto"/>
            <w:vAlign w:val="center"/>
          </w:tcPr>
          <w:p w14:paraId="53951B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8</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017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灯光架</w:t>
            </w:r>
          </w:p>
        </w:tc>
        <w:tc>
          <w:tcPr>
            <w:tcW w:w="6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0178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现场定制</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64B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1</w:t>
            </w:r>
          </w:p>
        </w:tc>
        <w:tc>
          <w:tcPr>
            <w:tcW w:w="867" w:type="dxa"/>
            <w:tcBorders>
              <w:top w:val="single" w:color="000000" w:sz="4" w:space="0"/>
              <w:left w:val="single" w:color="000000" w:sz="4" w:space="0"/>
              <w:bottom w:val="single" w:color="000000" w:sz="4" w:space="0"/>
            </w:tcBorders>
            <w:shd w:val="clear" w:color="auto" w:fill="auto"/>
            <w:vAlign w:val="center"/>
          </w:tcPr>
          <w:p w14:paraId="53C6DA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批</w:t>
            </w:r>
          </w:p>
        </w:tc>
      </w:tr>
      <w:tr w14:paraId="62462B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7" w:type="dxa"/>
            <w:tcBorders>
              <w:top w:val="single" w:color="000000" w:sz="4" w:space="0"/>
              <w:bottom w:val="single" w:color="000000" w:sz="4" w:space="0"/>
              <w:right w:val="single" w:color="000000" w:sz="4" w:space="0"/>
            </w:tcBorders>
            <w:shd w:val="clear" w:color="auto" w:fill="auto"/>
            <w:vAlign w:val="center"/>
          </w:tcPr>
          <w:p w14:paraId="2F42F11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4"/>
                <w:highlight w:val="none"/>
                <w:lang w:val="en-US" w:eastAsia="zh-CN" w:bidi="ar"/>
              </w:rPr>
            </w:pPr>
            <w:r>
              <w:rPr>
                <w:rFonts w:hint="eastAsia" w:ascii="宋体" w:hAnsi="宋体" w:cs="宋体"/>
                <w:color w:val="auto"/>
                <w:kern w:val="0"/>
                <w:sz w:val="24"/>
              </w:rPr>
              <w:t>9</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39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薄雾油</w:t>
            </w:r>
          </w:p>
        </w:tc>
        <w:tc>
          <w:tcPr>
            <w:tcW w:w="6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E34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最新环保配方的高端舞台专业高浓度雾油，配合各种专业雾机，专业烟机使用，形成的烟雾在空气中停留时间比普通烟油提升50%，非常好的解决了普通烟雾油消散过快的缺点！（室内环境消散时间为12分钟）</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381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1</w:t>
            </w:r>
          </w:p>
        </w:tc>
        <w:tc>
          <w:tcPr>
            <w:tcW w:w="867" w:type="dxa"/>
            <w:tcBorders>
              <w:top w:val="single" w:color="000000" w:sz="4" w:space="0"/>
              <w:left w:val="single" w:color="000000" w:sz="4" w:space="0"/>
              <w:bottom w:val="single" w:color="000000" w:sz="4" w:space="0"/>
            </w:tcBorders>
            <w:shd w:val="clear" w:color="auto" w:fill="auto"/>
            <w:vAlign w:val="center"/>
          </w:tcPr>
          <w:p w14:paraId="506273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箱</w:t>
            </w:r>
          </w:p>
        </w:tc>
      </w:tr>
      <w:tr w14:paraId="2BB233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7" w:type="dxa"/>
            <w:tcBorders>
              <w:top w:val="single" w:color="000000" w:sz="4" w:space="0"/>
              <w:bottom w:val="single" w:color="000000" w:sz="4" w:space="0"/>
              <w:right w:val="single" w:color="000000" w:sz="4" w:space="0"/>
            </w:tcBorders>
            <w:shd w:val="clear" w:color="auto" w:fill="auto"/>
            <w:vAlign w:val="center"/>
          </w:tcPr>
          <w:p w14:paraId="3635A17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4"/>
                <w:highlight w:val="none"/>
                <w:lang w:val="en-US" w:eastAsia="zh-CN" w:bidi="ar"/>
              </w:rPr>
            </w:pPr>
            <w:r>
              <w:rPr>
                <w:rFonts w:hint="eastAsia" w:ascii="宋体" w:hAnsi="宋体" w:cs="宋体"/>
                <w:color w:val="auto"/>
                <w:kern w:val="0"/>
                <w:sz w:val="24"/>
              </w:rPr>
              <w:t>10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A08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灯钩</w:t>
            </w:r>
          </w:p>
        </w:tc>
        <w:tc>
          <w:tcPr>
            <w:tcW w:w="6385" w:type="dxa"/>
            <w:tcBorders>
              <w:top w:val="single" w:color="000000" w:sz="4" w:space="0"/>
              <w:left w:val="single" w:color="000000" w:sz="4" w:space="0"/>
              <w:bottom w:val="single" w:color="000000" w:sz="4" w:space="0"/>
              <w:right w:val="single" w:color="000000" w:sz="4" w:space="0"/>
            </w:tcBorders>
            <w:shd w:val="clear" w:color="auto" w:fill="auto"/>
            <w:vAlign w:val="top"/>
          </w:tcPr>
          <w:p w14:paraId="23885F1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中号灯钩</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493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48</w:t>
            </w:r>
          </w:p>
        </w:tc>
        <w:tc>
          <w:tcPr>
            <w:tcW w:w="867" w:type="dxa"/>
            <w:tcBorders>
              <w:top w:val="single" w:color="000000" w:sz="4" w:space="0"/>
              <w:left w:val="single" w:color="000000" w:sz="4" w:space="0"/>
              <w:bottom w:val="single" w:color="000000" w:sz="4" w:space="0"/>
            </w:tcBorders>
            <w:shd w:val="clear" w:color="auto" w:fill="auto"/>
            <w:vAlign w:val="center"/>
          </w:tcPr>
          <w:p w14:paraId="378B2E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个</w:t>
            </w:r>
          </w:p>
        </w:tc>
      </w:tr>
      <w:tr w14:paraId="787908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7" w:type="dxa"/>
            <w:tcBorders>
              <w:top w:val="single" w:color="000000" w:sz="4" w:space="0"/>
              <w:bottom w:val="single" w:color="000000" w:sz="4" w:space="0"/>
              <w:right w:val="single" w:color="000000" w:sz="4" w:space="0"/>
            </w:tcBorders>
            <w:shd w:val="clear" w:color="auto" w:fill="auto"/>
            <w:vAlign w:val="center"/>
          </w:tcPr>
          <w:p w14:paraId="0CE09AE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4"/>
                <w:highlight w:val="none"/>
                <w:lang w:val="en-US" w:eastAsia="zh-CN" w:bidi="ar"/>
              </w:rPr>
            </w:pPr>
            <w:r>
              <w:rPr>
                <w:rFonts w:hint="eastAsia" w:ascii="宋体" w:hAnsi="宋体" w:cs="宋体"/>
                <w:color w:val="auto"/>
                <w:kern w:val="0"/>
                <w:sz w:val="24"/>
              </w:rPr>
              <w:t>11</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A57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保险绳</w:t>
            </w:r>
          </w:p>
        </w:tc>
        <w:tc>
          <w:tcPr>
            <w:tcW w:w="6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045C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国优</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02E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48</w:t>
            </w:r>
          </w:p>
        </w:tc>
        <w:tc>
          <w:tcPr>
            <w:tcW w:w="867" w:type="dxa"/>
            <w:tcBorders>
              <w:top w:val="single" w:color="000000" w:sz="4" w:space="0"/>
              <w:left w:val="single" w:color="000000" w:sz="4" w:space="0"/>
              <w:bottom w:val="single" w:color="000000" w:sz="4" w:space="0"/>
            </w:tcBorders>
            <w:shd w:val="clear" w:color="auto" w:fill="auto"/>
            <w:vAlign w:val="center"/>
          </w:tcPr>
          <w:p w14:paraId="4071EE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根</w:t>
            </w:r>
          </w:p>
        </w:tc>
      </w:tr>
      <w:tr w14:paraId="7277C7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660" w:type="dxa"/>
            <w:gridSpan w:val="5"/>
            <w:tcBorders>
              <w:top w:val="single" w:color="000000" w:sz="4" w:space="0"/>
              <w:bottom w:val="single" w:color="000000" w:sz="4" w:space="0"/>
            </w:tcBorders>
            <w:shd w:val="clear" w:color="auto" w:fill="auto"/>
            <w:vAlign w:val="center"/>
          </w:tcPr>
          <w:p w14:paraId="31A3FBF7">
            <w:pPr>
              <w:keepNext w:val="0"/>
              <w:keepLines w:val="0"/>
              <w:suppressLineNumbers w:val="0"/>
              <w:tabs>
                <w:tab w:val="left" w:pos="4195"/>
              </w:tabs>
              <w:spacing w:before="0" w:beforeAutospacing="0" w:after="0" w:afterAutospacing="0"/>
              <w:ind w:left="0" w:right="0"/>
              <w:jc w:val="left"/>
              <w:rPr>
                <w:rFonts w:hint="eastAsia" w:ascii="Times New Roman" w:hAnsi="Times New Roman" w:eastAsia="宋体" w:cs="Times New Roman"/>
                <w:kern w:val="2"/>
                <w:sz w:val="21"/>
                <w:szCs w:val="24"/>
                <w:highlight w:val="none"/>
                <w:lang w:val="en-US" w:eastAsia="zh-CN" w:bidi="ar-SA"/>
              </w:rPr>
            </w:pPr>
            <w:r>
              <w:rPr>
                <w:rFonts w:hint="eastAsia"/>
                <w:color w:val="auto"/>
              </w:rPr>
              <w:tab/>
            </w:r>
            <w:r>
              <w:rPr>
                <w:rFonts w:hint="eastAsia" w:ascii="宋体" w:hAnsi="宋体" w:cs="宋体"/>
                <w:b/>
                <w:bCs/>
                <w:color w:val="auto"/>
                <w:sz w:val="24"/>
              </w:rPr>
              <w:t>2.3、辅材部分</w:t>
            </w:r>
          </w:p>
        </w:tc>
      </w:tr>
      <w:tr w14:paraId="6D43E5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7" w:type="dxa"/>
            <w:tcBorders>
              <w:top w:val="single" w:color="000000" w:sz="4" w:space="0"/>
              <w:bottom w:val="single" w:color="000000" w:sz="4" w:space="0"/>
              <w:right w:val="single" w:color="000000" w:sz="4" w:space="0"/>
            </w:tcBorders>
            <w:shd w:val="clear" w:color="auto" w:fill="auto"/>
            <w:vAlign w:val="center"/>
          </w:tcPr>
          <w:p w14:paraId="11A49D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1</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38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机柜</w:t>
            </w:r>
          </w:p>
        </w:tc>
        <w:tc>
          <w:tcPr>
            <w:tcW w:w="6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463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钢制、玻璃门，产品尺寸:600*600*2000mm，颜色：黑色</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A5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1</w:t>
            </w:r>
          </w:p>
        </w:tc>
        <w:tc>
          <w:tcPr>
            <w:tcW w:w="867" w:type="dxa"/>
            <w:tcBorders>
              <w:top w:val="single" w:color="000000" w:sz="4" w:space="0"/>
              <w:left w:val="single" w:color="000000" w:sz="4" w:space="0"/>
              <w:bottom w:val="single" w:color="000000" w:sz="4" w:space="0"/>
            </w:tcBorders>
            <w:shd w:val="clear" w:color="auto" w:fill="auto"/>
            <w:vAlign w:val="center"/>
          </w:tcPr>
          <w:p w14:paraId="1A567A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副</w:t>
            </w:r>
          </w:p>
        </w:tc>
      </w:tr>
      <w:tr w14:paraId="2FEAF3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7" w:type="dxa"/>
            <w:tcBorders>
              <w:top w:val="single" w:color="000000" w:sz="4" w:space="0"/>
              <w:bottom w:val="single" w:color="000000" w:sz="4" w:space="0"/>
              <w:right w:val="single" w:color="000000" w:sz="4" w:space="0"/>
            </w:tcBorders>
            <w:shd w:val="clear" w:color="auto" w:fill="auto"/>
            <w:vAlign w:val="center"/>
          </w:tcPr>
          <w:p w14:paraId="7BF476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2</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C76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音箱地插/墙插</w:t>
            </w:r>
          </w:p>
        </w:tc>
        <w:tc>
          <w:tcPr>
            <w:tcW w:w="6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F20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定制</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1D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2</w:t>
            </w:r>
          </w:p>
        </w:tc>
        <w:tc>
          <w:tcPr>
            <w:tcW w:w="867" w:type="dxa"/>
            <w:tcBorders>
              <w:top w:val="single" w:color="000000" w:sz="4" w:space="0"/>
              <w:left w:val="single" w:color="000000" w:sz="4" w:space="0"/>
              <w:bottom w:val="single" w:color="000000" w:sz="4" w:space="0"/>
            </w:tcBorders>
            <w:shd w:val="clear" w:color="auto" w:fill="auto"/>
            <w:vAlign w:val="center"/>
          </w:tcPr>
          <w:p w14:paraId="28648D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套</w:t>
            </w:r>
          </w:p>
        </w:tc>
      </w:tr>
      <w:tr w14:paraId="2DEE7C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7" w:type="dxa"/>
            <w:tcBorders>
              <w:top w:val="single" w:color="000000" w:sz="4" w:space="0"/>
              <w:bottom w:val="single" w:color="000000" w:sz="4" w:space="0"/>
              <w:right w:val="single" w:color="000000" w:sz="4" w:space="0"/>
            </w:tcBorders>
            <w:shd w:val="clear" w:color="auto" w:fill="auto"/>
            <w:vAlign w:val="center"/>
          </w:tcPr>
          <w:p w14:paraId="7FFBAF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3</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55D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落地式话筒支架</w:t>
            </w:r>
          </w:p>
        </w:tc>
        <w:tc>
          <w:tcPr>
            <w:tcW w:w="6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C7C7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定制</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BA5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2</w:t>
            </w:r>
          </w:p>
        </w:tc>
        <w:tc>
          <w:tcPr>
            <w:tcW w:w="867" w:type="dxa"/>
            <w:tcBorders>
              <w:top w:val="single" w:color="000000" w:sz="4" w:space="0"/>
              <w:left w:val="single" w:color="000000" w:sz="4" w:space="0"/>
              <w:bottom w:val="single" w:color="000000" w:sz="4" w:space="0"/>
            </w:tcBorders>
            <w:shd w:val="clear" w:color="auto" w:fill="auto"/>
            <w:vAlign w:val="center"/>
          </w:tcPr>
          <w:p w14:paraId="471F41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个</w:t>
            </w:r>
          </w:p>
        </w:tc>
      </w:tr>
      <w:tr w14:paraId="60AFFB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7" w:type="dxa"/>
            <w:tcBorders>
              <w:top w:val="single" w:color="000000" w:sz="4" w:space="0"/>
              <w:bottom w:val="single" w:color="000000" w:sz="4" w:space="0"/>
              <w:right w:val="single" w:color="000000" w:sz="4" w:space="0"/>
            </w:tcBorders>
            <w:shd w:val="clear" w:color="auto" w:fill="auto"/>
            <w:vAlign w:val="center"/>
          </w:tcPr>
          <w:p w14:paraId="7EC090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4</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233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音箱线</w:t>
            </w:r>
          </w:p>
        </w:tc>
        <w:tc>
          <w:tcPr>
            <w:tcW w:w="6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3249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固定安装使用，采用优质高纯度（OFC）无氧铜丝绞合，单丝直径为0.20mm；特别配方聚氯乙烯绝缘，护套采用特别配方聚氯乙烯弹性体材料，护套为灰色，线缆圆整，整体柔软弹性，外观漂亮，使用裸露在外的固定使用</w:t>
            </w:r>
          </w:p>
          <w:p w14:paraId="5C83AFE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①导体根数(n)：2，②导体截面积/结构（mm2/Qty/mm)：1.5/77/0.20,③标称外径（mm）:10，④重量（Kg/100m):12.5,⑤电阻（Ω/100m)：0.7,⑥标称电容（pF/m）:90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90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500</w:t>
            </w:r>
          </w:p>
        </w:tc>
        <w:tc>
          <w:tcPr>
            <w:tcW w:w="867" w:type="dxa"/>
            <w:tcBorders>
              <w:top w:val="single" w:color="000000" w:sz="4" w:space="0"/>
              <w:left w:val="single" w:color="000000" w:sz="4" w:space="0"/>
              <w:bottom w:val="single" w:color="000000" w:sz="4" w:space="0"/>
            </w:tcBorders>
            <w:shd w:val="clear" w:color="auto" w:fill="auto"/>
            <w:vAlign w:val="center"/>
          </w:tcPr>
          <w:p w14:paraId="38440A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米</w:t>
            </w:r>
          </w:p>
        </w:tc>
      </w:tr>
      <w:tr w14:paraId="2BEA07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7" w:type="dxa"/>
            <w:tcBorders>
              <w:top w:val="single" w:color="000000" w:sz="4" w:space="0"/>
              <w:bottom w:val="single" w:color="000000" w:sz="4" w:space="0"/>
              <w:right w:val="single" w:color="000000" w:sz="4" w:space="0"/>
            </w:tcBorders>
            <w:shd w:val="clear" w:color="auto" w:fill="auto"/>
            <w:vAlign w:val="center"/>
          </w:tcPr>
          <w:p w14:paraId="4DD89A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5</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B76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音频线</w:t>
            </w:r>
          </w:p>
        </w:tc>
        <w:tc>
          <w:tcPr>
            <w:tcW w:w="6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220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采用优质高纯度（OFC）无氧铜丝绞；特别配方聚氯乙烯绝缘，两芯对绞加覆盖率为95%的黄铜丝编织屏蔽，护套采用特别配方弹性聚氯乙烯材料，常规护套颜色为黑色</w:t>
            </w:r>
          </w:p>
          <w:p w14:paraId="230FABE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①导体根数(n)：2，②导体截面积/结构（mm2/Qty/mm)：0.3/37/0.1,③标称外径（mm）:6，④重量（Kg/100m):5.3,⑤电阻（Ω/100m)：6,⑥标称电容（pF/m）:129,⑦对地阻抗（pF/m）：222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C4F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300</w:t>
            </w:r>
          </w:p>
        </w:tc>
        <w:tc>
          <w:tcPr>
            <w:tcW w:w="867" w:type="dxa"/>
            <w:tcBorders>
              <w:top w:val="single" w:color="000000" w:sz="4" w:space="0"/>
              <w:left w:val="single" w:color="000000" w:sz="4" w:space="0"/>
              <w:bottom w:val="single" w:color="000000" w:sz="4" w:space="0"/>
            </w:tcBorders>
            <w:shd w:val="clear" w:color="auto" w:fill="auto"/>
            <w:vAlign w:val="center"/>
          </w:tcPr>
          <w:p w14:paraId="46C821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米</w:t>
            </w:r>
          </w:p>
        </w:tc>
      </w:tr>
      <w:tr w14:paraId="3B1DD8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7" w:type="dxa"/>
            <w:tcBorders>
              <w:top w:val="single" w:color="000000" w:sz="4" w:space="0"/>
              <w:bottom w:val="single" w:color="000000" w:sz="4" w:space="0"/>
              <w:right w:val="single" w:color="000000" w:sz="4" w:space="0"/>
            </w:tcBorders>
            <w:shd w:val="clear" w:color="auto" w:fill="auto"/>
            <w:vAlign w:val="center"/>
          </w:tcPr>
          <w:p w14:paraId="0BFD61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6</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706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电源线</w:t>
            </w:r>
          </w:p>
        </w:tc>
        <w:tc>
          <w:tcPr>
            <w:tcW w:w="6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DF23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2*2.5橡胶护套线</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D89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400</w:t>
            </w:r>
          </w:p>
        </w:tc>
        <w:tc>
          <w:tcPr>
            <w:tcW w:w="867" w:type="dxa"/>
            <w:tcBorders>
              <w:top w:val="single" w:color="000000" w:sz="4" w:space="0"/>
              <w:left w:val="single" w:color="000000" w:sz="4" w:space="0"/>
              <w:bottom w:val="single" w:color="000000" w:sz="4" w:space="0"/>
            </w:tcBorders>
            <w:shd w:val="clear" w:color="auto" w:fill="auto"/>
            <w:vAlign w:val="center"/>
          </w:tcPr>
          <w:p w14:paraId="6FD374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米</w:t>
            </w:r>
          </w:p>
        </w:tc>
      </w:tr>
      <w:tr w14:paraId="42A979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7" w:type="dxa"/>
            <w:tcBorders>
              <w:top w:val="single" w:color="000000" w:sz="4" w:space="0"/>
              <w:bottom w:val="single" w:color="000000" w:sz="4" w:space="0"/>
              <w:right w:val="single" w:color="000000" w:sz="4" w:space="0"/>
            </w:tcBorders>
            <w:shd w:val="clear" w:color="auto" w:fill="auto"/>
            <w:vAlign w:val="center"/>
          </w:tcPr>
          <w:p w14:paraId="3F3E00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7</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82C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音箱安装支架</w:t>
            </w:r>
          </w:p>
        </w:tc>
        <w:tc>
          <w:tcPr>
            <w:tcW w:w="6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92E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rPr>
              <w:t>1.固定面板尺寸（长*宽）:227mm*150mm±1mm</w:t>
            </w:r>
          </w:p>
          <w:p w14:paraId="0D94DEF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2.臂长：280mm至400mm（可调节）</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67F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6</w:t>
            </w:r>
          </w:p>
        </w:tc>
        <w:tc>
          <w:tcPr>
            <w:tcW w:w="867" w:type="dxa"/>
            <w:tcBorders>
              <w:top w:val="single" w:color="000000" w:sz="4" w:space="0"/>
              <w:left w:val="single" w:color="000000" w:sz="4" w:space="0"/>
              <w:bottom w:val="single" w:color="000000" w:sz="4" w:space="0"/>
            </w:tcBorders>
            <w:shd w:val="clear" w:color="auto" w:fill="auto"/>
            <w:vAlign w:val="center"/>
          </w:tcPr>
          <w:p w14:paraId="04B247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个</w:t>
            </w:r>
          </w:p>
        </w:tc>
      </w:tr>
      <w:tr w14:paraId="76A44F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7" w:type="dxa"/>
            <w:tcBorders>
              <w:top w:val="single" w:color="000000" w:sz="4" w:space="0"/>
              <w:bottom w:val="single" w:color="000000" w:sz="4" w:space="0"/>
              <w:right w:val="single" w:color="000000" w:sz="4" w:space="0"/>
            </w:tcBorders>
            <w:shd w:val="clear" w:color="auto" w:fill="auto"/>
            <w:vAlign w:val="center"/>
          </w:tcPr>
          <w:p w14:paraId="40D9D1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8</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E5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管材、辅材</w:t>
            </w:r>
          </w:p>
        </w:tc>
        <w:tc>
          <w:tcPr>
            <w:tcW w:w="6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D65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安装辅材等</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FE4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1</w:t>
            </w:r>
          </w:p>
        </w:tc>
        <w:tc>
          <w:tcPr>
            <w:tcW w:w="867" w:type="dxa"/>
            <w:tcBorders>
              <w:top w:val="single" w:color="000000" w:sz="4" w:space="0"/>
              <w:left w:val="single" w:color="000000" w:sz="4" w:space="0"/>
              <w:bottom w:val="single" w:color="000000" w:sz="4" w:space="0"/>
            </w:tcBorders>
            <w:shd w:val="clear" w:color="auto" w:fill="auto"/>
            <w:vAlign w:val="center"/>
          </w:tcPr>
          <w:p w14:paraId="3D7328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批</w:t>
            </w:r>
          </w:p>
        </w:tc>
      </w:tr>
      <w:tr w14:paraId="0BA37D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7" w:type="dxa"/>
            <w:tcBorders>
              <w:top w:val="single" w:color="000000" w:sz="4" w:space="0"/>
              <w:bottom w:val="single" w:color="000000" w:sz="4" w:space="0"/>
              <w:right w:val="single" w:color="000000" w:sz="4" w:space="0"/>
            </w:tcBorders>
            <w:shd w:val="clear" w:color="auto" w:fill="auto"/>
            <w:vAlign w:val="center"/>
          </w:tcPr>
          <w:p w14:paraId="0F1EE95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4"/>
                <w:highlight w:val="none"/>
                <w:lang w:val="en-US" w:eastAsia="zh-CN" w:bidi="ar"/>
              </w:rPr>
            </w:pPr>
            <w:r>
              <w:rPr>
                <w:rFonts w:hint="eastAsia" w:ascii="宋体" w:hAnsi="宋体" w:cs="宋体"/>
                <w:color w:val="auto"/>
                <w:kern w:val="0"/>
                <w:sz w:val="24"/>
              </w:rPr>
              <w:t>9</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EC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安装施工</w:t>
            </w:r>
          </w:p>
        </w:tc>
        <w:tc>
          <w:tcPr>
            <w:tcW w:w="6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3735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音响灯光系统安装</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E72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4"/>
                <w:highlight w:val="none"/>
                <w:lang w:val="en-US" w:eastAsia="zh-CN" w:bidi="ar"/>
              </w:rPr>
            </w:pPr>
            <w:r>
              <w:rPr>
                <w:rFonts w:hint="eastAsia" w:ascii="宋体" w:hAnsi="宋体" w:cs="宋体"/>
                <w:color w:val="auto"/>
                <w:kern w:val="0"/>
                <w:sz w:val="24"/>
              </w:rPr>
              <w:t>1</w:t>
            </w:r>
          </w:p>
        </w:tc>
        <w:tc>
          <w:tcPr>
            <w:tcW w:w="867" w:type="dxa"/>
            <w:tcBorders>
              <w:top w:val="single" w:color="000000" w:sz="4" w:space="0"/>
              <w:left w:val="single" w:color="000000" w:sz="4" w:space="0"/>
              <w:bottom w:val="single" w:color="000000" w:sz="4" w:space="0"/>
            </w:tcBorders>
            <w:shd w:val="clear" w:color="auto" w:fill="auto"/>
            <w:vAlign w:val="center"/>
          </w:tcPr>
          <w:p w14:paraId="49B745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cs="宋体"/>
                <w:color w:val="auto"/>
                <w:kern w:val="0"/>
                <w:sz w:val="24"/>
              </w:rPr>
              <w:t>项</w:t>
            </w:r>
          </w:p>
        </w:tc>
      </w:tr>
      <w:tr w14:paraId="753E52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660" w:type="dxa"/>
            <w:gridSpan w:val="5"/>
            <w:tcBorders>
              <w:top w:val="single" w:color="000000" w:sz="4" w:space="0"/>
              <w:bottom w:val="single" w:color="000000" w:sz="4" w:space="0"/>
            </w:tcBorders>
            <w:shd w:val="clear" w:color="auto" w:fill="auto"/>
            <w:vAlign w:val="center"/>
          </w:tcPr>
          <w:p w14:paraId="096ED14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4"/>
                <w:highlight w:val="none"/>
                <w:lang w:val="en-US" w:eastAsia="zh-CN" w:bidi="ar"/>
              </w:rPr>
            </w:pPr>
            <w:r>
              <w:rPr>
                <w:rFonts w:hint="eastAsia" w:ascii="宋体" w:hAnsi="宋体" w:eastAsia="宋体" w:cs="宋体"/>
                <w:b/>
                <w:bCs/>
                <w:i w:val="0"/>
                <w:iCs w:val="0"/>
                <w:color w:val="000000"/>
                <w:sz w:val="22"/>
                <w:szCs w:val="22"/>
                <w:u w:val="none"/>
                <w:lang w:val="en-US" w:eastAsia="zh-CN"/>
              </w:rPr>
              <w:t>特别说明</w:t>
            </w:r>
            <w:r>
              <w:rPr>
                <w:rFonts w:hint="eastAsia" w:ascii="宋体" w:hAnsi="宋体" w:eastAsia="宋体" w:cs="宋体"/>
                <w:i w:val="0"/>
                <w:iCs w:val="0"/>
                <w:color w:val="000000"/>
                <w:sz w:val="22"/>
                <w:szCs w:val="22"/>
                <w:u w:val="none"/>
                <w:lang w:val="en-US" w:eastAsia="zh-CN"/>
              </w:rPr>
              <w:t>;技术需求中所需求提供的检测报告、佐证材料及供应商或者制造商售后服务承诺函均须加盖制造商鲜章后由中标单位在签订合同前向使用单位和采购方提交，不能如期提交则作无效投标处理。</w:t>
            </w:r>
          </w:p>
        </w:tc>
      </w:tr>
    </w:tbl>
    <w:p w14:paraId="500B218A">
      <w:pPr>
        <w:widowControl/>
        <w:adjustRightInd w:val="0"/>
        <w:spacing w:line="360" w:lineRule="auto"/>
        <w:ind w:firstLine="480" w:firstLineChars="200"/>
        <w:rPr>
          <w:rFonts w:ascii="宋体" w:hAnsi="宋体" w:cs="宋体"/>
          <w:sz w:val="24"/>
        </w:rPr>
      </w:pPr>
    </w:p>
    <w:p w14:paraId="27C6311E">
      <w:pPr>
        <w:pStyle w:val="3"/>
        <w:numPr>
          <w:ilvl w:val="1"/>
          <w:numId w:val="0"/>
        </w:numPr>
        <w:spacing w:line="500" w:lineRule="exact"/>
        <w:ind w:leftChars="0" w:firstLine="480" w:firstLineChars="200"/>
        <w:rPr>
          <w:rFonts w:cs="宋体"/>
          <w:b w:val="0"/>
          <w:sz w:val="24"/>
        </w:rPr>
      </w:pPr>
      <w:r>
        <w:rPr>
          <w:rFonts w:hint="eastAsia" w:cs="宋体"/>
          <w:b w:val="0"/>
          <w:sz w:val="24"/>
        </w:rPr>
        <w:t>二、相关技术要求：</w:t>
      </w:r>
    </w:p>
    <w:p w14:paraId="6A638FDF">
      <w:pPr>
        <w:numPr>
          <w:ilvl w:val="0"/>
          <w:numId w:val="12"/>
        </w:numPr>
        <w:ind w:firstLine="420"/>
      </w:pPr>
      <w:r>
        <w:rPr>
          <w:rFonts w:hint="eastAsia"/>
        </w:rPr>
        <w:t>产品的安装及签收：必须经使用</w:t>
      </w:r>
      <w:r>
        <w:rPr>
          <w:rFonts w:hint="eastAsia"/>
          <w:lang w:val="en-US" w:eastAsia="zh-CN"/>
        </w:rPr>
        <w:t>单位</w:t>
      </w:r>
      <w:r>
        <w:rPr>
          <w:rFonts w:hint="eastAsia"/>
        </w:rPr>
        <w:t>现场拆封、查验产品的合格性和符合合同的品牌型号后才能使用，并同步做好在施工现场与其他装修队伍的配合，保护好设备设施等。</w:t>
      </w:r>
    </w:p>
    <w:p w14:paraId="18F7A029">
      <w:pPr>
        <w:numPr>
          <w:ilvl w:val="0"/>
          <w:numId w:val="12"/>
        </w:numPr>
        <w:ind w:firstLine="420"/>
      </w:pPr>
      <w:r>
        <w:rPr>
          <w:rFonts w:hint="eastAsia"/>
        </w:rPr>
        <w:t>所有产品的说明书、合格证齐全，软件及光盘（如有）完好无损；</w:t>
      </w:r>
    </w:p>
    <w:p w14:paraId="2C6E76D1">
      <w:pPr>
        <w:numPr>
          <w:ilvl w:val="0"/>
          <w:numId w:val="12"/>
        </w:numPr>
        <w:ind w:firstLine="420"/>
      </w:pPr>
      <w:r>
        <w:rPr>
          <w:rFonts w:hint="eastAsia"/>
        </w:rPr>
        <w:t>所有设备设施资料、操作指南做成书册，同步将电子件同步移交给使用方；</w:t>
      </w:r>
    </w:p>
    <w:p w14:paraId="44B15D42">
      <w:pPr>
        <w:ind w:firstLine="420"/>
        <w:rPr>
          <w:rFonts w:hint="eastAsia" w:ascii="方正黑体_GBK" w:eastAsia="方正黑体_GBK"/>
          <w:b w:val="0"/>
          <w:bCs w:val="0"/>
          <w:sz w:val="24"/>
        </w:rPr>
      </w:pPr>
      <w:r>
        <w:rPr>
          <w:rFonts w:hint="eastAsia" w:ascii="方正黑体_GBK" w:eastAsia="方正黑体_GBK"/>
          <w:b w:val="0"/>
          <w:bCs w:val="0"/>
          <w:sz w:val="24"/>
          <w:lang w:val="en-US" w:eastAsia="zh-CN"/>
        </w:rPr>
        <w:t>4</w:t>
      </w:r>
      <w:r>
        <w:rPr>
          <w:rFonts w:hint="eastAsia" w:ascii="方正黑体_GBK" w:eastAsia="方正黑体_GBK"/>
          <w:b w:val="0"/>
          <w:bCs w:val="0"/>
          <w:sz w:val="24"/>
        </w:rPr>
        <w:t>、在所有参数要求为“</w:t>
      </w:r>
      <w:r>
        <w:rPr>
          <w:rFonts w:hint="eastAsia" w:ascii="宋体" w:hAnsi="宋体" w:eastAsia="宋体" w:cs="宋体"/>
          <w:b w:val="0"/>
          <w:bCs w:val="0"/>
          <w:color w:val="000000"/>
          <w:kern w:val="0"/>
          <w:sz w:val="24"/>
          <w:highlight w:val="none"/>
          <w:lang w:val="en-US" w:eastAsia="zh-CN" w:bidi="ar"/>
        </w:rPr>
        <w:t>★</w:t>
      </w:r>
      <w:r>
        <w:rPr>
          <w:rFonts w:hint="eastAsia" w:ascii="方正黑体_GBK" w:eastAsia="方正黑体_GBK"/>
          <w:b w:val="0"/>
          <w:bCs w:val="0"/>
          <w:sz w:val="24"/>
        </w:rPr>
        <w:t>”条款为必须符合内容，若有</w:t>
      </w:r>
      <w:r>
        <w:rPr>
          <w:rFonts w:hint="eastAsia" w:ascii="方正黑体_GBK" w:eastAsia="方正黑体_GBK"/>
          <w:b w:val="0"/>
          <w:bCs w:val="0"/>
          <w:sz w:val="24"/>
          <w:lang w:val="en-US" w:eastAsia="zh-CN"/>
        </w:rPr>
        <w:t>三</w:t>
      </w:r>
      <w:r>
        <w:rPr>
          <w:rFonts w:hint="eastAsia" w:ascii="方正黑体_GBK" w:eastAsia="方正黑体_GBK"/>
          <w:b w:val="0"/>
          <w:bCs w:val="0"/>
          <w:sz w:val="24"/>
        </w:rPr>
        <w:t>条及以及为负偏离，则为不响应招标文件实质性要求，由评标委员作废标处理。</w:t>
      </w:r>
    </w:p>
    <w:p w14:paraId="0F74ABAD">
      <w:pPr>
        <w:pStyle w:val="3"/>
        <w:tabs>
          <w:tab w:val="clear" w:pos="576"/>
        </w:tabs>
        <w:spacing w:line="500" w:lineRule="exact"/>
        <w:rPr>
          <w:rFonts w:cs="宋体"/>
          <w:b w:val="0"/>
          <w:sz w:val="24"/>
        </w:rPr>
      </w:pPr>
      <w:r>
        <w:rPr>
          <w:rFonts w:hint="eastAsia" w:cs="宋体"/>
          <w:b w:val="0"/>
          <w:sz w:val="24"/>
        </w:rPr>
        <w:t>三、商务要求：</w:t>
      </w:r>
    </w:p>
    <w:p w14:paraId="09BD9AB4">
      <w:pPr>
        <w:pStyle w:val="3"/>
        <w:tabs>
          <w:tab w:val="clear" w:pos="576"/>
        </w:tabs>
        <w:spacing w:line="500" w:lineRule="exact"/>
        <w:rPr>
          <w:rFonts w:cs="宋体"/>
          <w:b w:val="0"/>
          <w:sz w:val="24"/>
        </w:rPr>
      </w:pPr>
      <w:bookmarkStart w:id="458" w:name="_Toc22739901"/>
      <w:bookmarkStart w:id="459" w:name="_Toc119693543"/>
      <w:r>
        <w:rPr>
          <w:rFonts w:hint="eastAsia" w:cs="宋体"/>
          <w:b w:val="0"/>
          <w:sz w:val="24"/>
        </w:rPr>
        <w:t>（一）、</w:t>
      </w:r>
      <w:bookmarkEnd w:id="458"/>
      <w:r>
        <w:rPr>
          <w:rFonts w:hint="eastAsia" w:cs="宋体"/>
          <w:b w:val="0"/>
          <w:sz w:val="24"/>
        </w:rPr>
        <w:t>供货期、供货地点及验收方式</w:t>
      </w:r>
      <w:bookmarkEnd w:id="459"/>
    </w:p>
    <w:p w14:paraId="1052DD7D">
      <w:pPr>
        <w:snapToGrid w:val="0"/>
        <w:spacing w:line="400" w:lineRule="exact"/>
        <w:ind w:firstLine="480" w:firstLineChars="200"/>
        <w:rPr>
          <w:rFonts w:ascii="宋体" w:hAnsi="宋体" w:cs="宋体"/>
          <w:sz w:val="24"/>
        </w:rPr>
      </w:pPr>
      <w:r>
        <w:rPr>
          <w:rFonts w:hint="eastAsia" w:ascii="宋体" w:hAnsi="宋体" w:cs="宋体"/>
          <w:sz w:val="24"/>
        </w:rPr>
        <w:t>1．供货期：</w:t>
      </w:r>
      <w:r>
        <w:rPr>
          <w:rFonts w:hint="eastAsia" w:ascii="宋体" w:hAnsi="宋体" w:cs="宋体"/>
          <w:sz w:val="24"/>
          <w:lang w:val="en-US" w:eastAsia="zh-CN"/>
        </w:rPr>
        <w:t>领取中标通知后3</w:t>
      </w:r>
      <w:r>
        <w:rPr>
          <w:rFonts w:hint="eastAsia" w:ascii="宋体" w:hAnsi="宋体" w:cs="宋体"/>
          <w:sz w:val="24"/>
        </w:rPr>
        <w:t>0日完工，因中标人原因造成未完成的每日扣减1000元。</w:t>
      </w:r>
    </w:p>
    <w:p w14:paraId="6CC84252">
      <w:pPr>
        <w:snapToGrid w:val="0"/>
        <w:spacing w:line="400" w:lineRule="exact"/>
        <w:ind w:firstLine="480" w:firstLineChars="200"/>
        <w:rPr>
          <w:rFonts w:ascii="宋体" w:hAnsi="宋体" w:cs="宋体"/>
          <w:sz w:val="24"/>
        </w:rPr>
      </w:pPr>
      <w:r>
        <w:rPr>
          <w:rFonts w:hint="eastAsia" w:ascii="宋体" w:hAnsi="宋体" w:cs="宋体"/>
          <w:sz w:val="24"/>
        </w:rPr>
        <w:t>2．供</w:t>
      </w:r>
      <w:r>
        <w:rPr>
          <w:rFonts w:hint="eastAsia" w:ascii="宋体" w:hAnsi="宋体" w:cs="宋体"/>
          <w:kern w:val="0"/>
          <w:sz w:val="24"/>
        </w:rPr>
        <w:t>货地点：</w:t>
      </w:r>
      <w:r>
        <w:rPr>
          <w:rFonts w:hint="eastAsia" w:ascii="宋体" w:hAnsi="宋体" w:cs="宋体"/>
          <w:kern w:val="0"/>
          <w:sz w:val="24"/>
          <w:lang w:val="en-US" w:eastAsia="zh-CN"/>
        </w:rPr>
        <w:t>甲方指定地点</w:t>
      </w:r>
      <w:r>
        <w:rPr>
          <w:rFonts w:hint="eastAsia" w:ascii="宋体" w:hAnsi="宋体" w:cs="宋体"/>
          <w:sz w:val="24"/>
        </w:rPr>
        <w:t>。</w:t>
      </w:r>
    </w:p>
    <w:p w14:paraId="5192CB5B">
      <w:pPr>
        <w:snapToGrid w:val="0"/>
        <w:spacing w:line="400" w:lineRule="exact"/>
        <w:ind w:firstLine="480" w:firstLineChars="200"/>
        <w:rPr>
          <w:rFonts w:ascii="宋体" w:hAnsi="宋体" w:cs="宋体"/>
          <w:sz w:val="24"/>
        </w:rPr>
      </w:pPr>
      <w:r>
        <w:rPr>
          <w:rFonts w:hint="eastAsia" w:ascii="宋体" w:hAnsi="宋体" w:cs="宋体"/>
          <w:sz w:val="24"/>
        </w:rPr>
        <w:t>3．供货方式：中标人将货物送达至采购人指定地点交付，且承担将货物送达至指定地点并交付给采购人的一切费用和风险。</w:t>
      </w:r>
    </w:p>
    <w:p w14:paraId="1B350E82">
      <w:pPr>
        <w:snapToGrid w:val="0"/>
        <w:spacing w:line="400" w:lineRule="exact"/>
        <w:ind w:firstLine="480" w:firstLineChars="200"/>
        <w:rPr>
          <w:rFonts w:ascii="宋体" w:hAnsi="宋体" w:cs="宋体"/>
          <w:kern w:val="0"/>
          <w:sz w:val="24"/>
        </w:rPr>
      </w:pPr>
      <w:bookmarkStart w:id="460" w:name="_Toc22739902"/>
      <w:bookmarkStart w:id="461" w:name="_Toc267320050"/>
      <w:r>
        <w:rPr>
          <w:rFonts w:hint="eastAsia" w:ascii="宋体" w:hAnsi="宋体" w:cs="宋体"/>
          <w:kern w:val="0"/>
          <w:sz w:val="24"/>
        </w:rPr>
        <w:t>4．验收方式（分</w:t>
      </w:r>
      <w:r>
        <w:rPr>
          <w:rFonts w:hint="eastAsia" w:ascii="宋体" w:hAnsi="宋体" w:cs="宋体"/>
          <w:kern w:val="0"/>
          <w:sz w:val="24"/>
          <w:lang w:val="en-US" w:eastAsia="zh-CN"/>
        </w:rPr>
        <w:t>批</w:t>
      </w:r>
      <w:r>
        <w:rPr>
          <w:rFonts w:hint="eastAsia" w:ascii="宋体" w:hAnsi="宋体" w:cs="宋体"/>
          <w:kern w:val="0"/>
          <w:sz w:val="24"/>
        </w:rPr>
        <w:t>到货验收和项目综合验收）</w:t>
      </w:r>
    </w:p>
    <w:p w14:paraId="0003050C">
      <w:pPr>
        <w:snapToGrid w:val="0"/>
        <w:spacing w:line="400" w:lineRule="exact"/>
        <w:ind w:firstLine="480" w:firstLineChars="200"/>
        <w:rPr>
          <w:rFonts w:hint="eastAsia" w:ascii="方正黑体_GBK" w:hAnsi="宋体" w:eastAsia="方正黑体_GBK" w:cs="宋体"/>
          <w:kern w:val="0"/>
          <w:sz w:val="24"/>
        </w:rPr>
      </w:pPr>
      <w:r>
        <w:rPr>
          <w:rFonts w:hint="eastAsia" w:ascii="方正黑体_GBK" w:hAnsi="宋体" w:eastAsia="方正黑体_GBK" w:cs="宋体"/>
          <w:kern w:val="0"/>
          <w:sz w:val="24"/>
        </w:rPr>
        <w:t>到货验收：</w:t>
      </w:r>
    </w:p>
    <w:bookmarkEnd w:id="460"/>
    <w:p w14:paraId="0E9CB7B9">
      <w:pPr>
        <w:numPr>
          <w:ilvl w:val="0"/>
          <w:numId w:val="13"/>
        </w:numPr>
        <w:snapToGrid w:val="0"/>
        <w:spacing w:line="400" w:lineRule="exact"/>
        <w:rPr>
          <w:rFonts w:ascii="宋体" w:hAnsi="宋体" w:cs="宋体"/>
          <w:kern w:val="0"/>
          <w:sz w:val="24"/>
        </w:rPr>
      </w:pPr>
      <w:bookmarkStart w:id="462" w:name="_Toc109048311"/>
      <w:bookmarkStart w:id="463" w:name="_Toc30781"/>
      <w:bookmarkStart w:id="464" w:name="_Toc22142"/>
      <w:bookmarkStart w:id="465" w:name="_Toc119693544"/>
      <w:bookmarkStart w:id="466" w:name="_Toc29436"/>
      <w:bookmarkStart w:id="467" w:name="_Toc18152"/>
      <w:bookmarkStart w:id="468" w:name="_Toc21022"/>
      <w:bookmarkStart w:id="469" w:name="_Toc1484"/>
      <w:bookmarkStart w:id="470" w:name="_Toc22158"/>
      <w:bookmarkStart w:id="471" w:name="_Toc75793510"/>
      <w:bookmarkStart w:id="472" w:name="_Toc7746"/>
      <w:bookmarkStart w:id="473" w:name="_Toc28679"/>
      <w:bookmarkStart w:id="474" w:name="_Toc4036"/>
      <w:bookmarkStart w:id="475" w:name="_Toc20367"/>
      <w:bookmarkStart w:id="476" w:name="_Toc13418"/>
      <w:bookmarkStart w:id="477" w:name="_Toc106030386"/>
      <w:bookmarkStart w:id="478" w:name="_Toc29144"/>
      <w:bookmarkStart w:id="479" w:name="_Toc8592"/>
      <w:r>
        <w:rPr>
          <w:rFonts w:hint="eastAsia" w:ascii="宋体" w:hAnsi="宋体" w:cs="宋体"/>
          <w:kern w:val="0"/>
          <w:sz w:val="24"/>
        </w:rPr>
        <w:t>货物到达现场后，中标人应在使用单位人员在场情况下当面开箱，共同清点、检查外观，作出开箱记录，双方签字确认，必须经使用单位现场拆封、查验产品的合格性和符合合同的品牌型号后才能安装使用。</w:t>
      </w:r>
    </w:p>
    <w:p w14:paraId="1DB32597">
      <w:pPr>
        <w:numPr>
          <w:ilvl w:val="0"/>
          <w:numId w:val="13"/>
        </w:numPr>
        <w:snapToGrid w:val="0"/>
        <w:spacing w:line="400" w:lineRule="exact"/>
        <w:rPr>
          <w:rFonts w:ascii="宋体" w:hAnsi="宋体" w:cs="宋体"/>
          <w:kern w:val="0"/>
          <w:sz w:val="24"/>
        </w:rPr>
      </w:pPr>
      <w:r>
        <w:rPr>
          <w:rFonts w:hint="eastAsia" w:ascii="宋体" w:hAnsi="宋体" w:cs="宋体"/>
          <w:kern w:val="0"/>
          <w:sz w:val="24"/>
        </w:rPr>
        <w:t>中标人应保证货物到达采购人所在地完好无损，如有缺漏、损坏，由中标人负责调换、补齐或赔偿。</w:t>
      </w:r>
    </w:p>
    <w:p w14:paraId="395837E1">
      <w:pPr>
        <w:numPr>
          <w:ilvl w:val="0"/>
          <w:numId w:val="13"/>
        </w:numPr>
        <w:snapToGrid w:val="0"/>
        <w:spacing w:line="400" w:lineRule="exact"/>
        <w:rPr>
          <w:rFonts w:ascii="宋体" w:hAnsi="宋体" w:cs="宋体"/>
          <w:kern w:val="0"/>
          <w:sz w:val="24"/>
        </w:rPr>
      </w:pPr>
      <w:r>
        <w:rPr>
          <w:rFonts w:hint="eastAsia" w:ascii="宋体" w:hAnsi="宋体" w:cs="宋体"/>
          <w:kern w:val="0"/>
          <w:sz w:val="24"/>
        </w:rPr>
        <w:t>中标人应提供完备的技术资料、装箱单和合格证等，并派遣专业技术人员进行现场安装调试。验收合格条件如下：</w:t>
      </w:r>
    </w:p>
    <w:p w14:paraId="2DEF7F9E">
      <w:pPr>
        <w:snapToGrid w:val="0"/>
        <w:spacing w:line="400" w:lineRule="exact"/>
        <w:ind w:firstLine="480" w:firstLineChars="200"/>
        <w:rPr>
          <w:rFonts w:ascii="宋体" w:hAnsi="宋体" w:cs="宋体"/>
          <w:kern w:val="0"/>
          <w:sz w:val="24"/>
        </w:rPr>
      </w:pPr>
      <w:r>
        <w:rPr>
          <w:rFonts w:hint="eastAsia" w:ascii="宋体" w:hAnsi="宋体" w:cs="宋体"/>
          <w:kern w:val="0"/>
          <w:sz w:val="24"/>
        </w:rPr>
        <w:t>（1）设备技术参数与采购合同一致，性能指标达到规定的标准。</w:t>
      </w:r>
    </w:p>
    <w:p w14:paraId="00E4E031">
      <w:pPr>
        <w:snapToGrid w:val="0"/>
        <w:spacing w:line="400" w:lineRule="exact"/>
        <w:ind w:firstLine="480" w:firstLineChars="200"/>
        <w:rPr>
          <w:rFonts w:ascii="宋体" w:hAnsi="宋体" w:cs="宋体"/>
          <w:kern w:val="0"/>
          <w:sz w:val="24"/>
        </w:rPr>
      </w:pPr>
      <w:r>
        <w:rPr>
          <w:rFonts w:hint="eastAsia" w:ascii="宋体" w:hAnsi="宋体" w:cs="宋体"/>
          <w:kern w:val="0"/>
          <w:sz w:val="24"/>
        </w:rPr>
        <w:t>（2）货物技术资料、装箱单、合格证等资料齐全。</w:t>
      </w:r>
    </w:p>
    <w:p w14:paraId="685910C6">
      <w:pPr>
        <w:snapToGrid w:val="0"/>
        <w:spacing w:line="400" w:lineRule="exact"/>
        <w:ind w:firstLine="480" w:firstLineChars="200"/>
        <w:rPr>
          <w:rFonts w:ascii="宋体" w:hAnsi="宋体" w:cs="宋体"/>
          <w:kern w:val="0"/>
          <w:sz w:val="24"/>
        </w:rPr>
      </w:pPr>
      <w:r>
        <w:rPr>
          <w:rFonts w:hint="eastAsia" w:ascii="宋体" w:hAnsi="宋体" w:cs="宋体"/>
          <w:kern w:val="0"/>
          <w:sz w:val="24"/>
        </w:rPr>
        <w:t>（3）在系统试运行期间所出现的问题得到解决，并运行正常。</w:t>
      </w:r>
    </w:p>
    <w:p w14:paraId="4D2582D9">
      <w:pPr>
        <w:snapToGrid w:val="0"/>
        <w:spacing w:line="400" w:lineRule="exact"/>
        <w:ind w:firstLine="480" w:firstLineChars="200"/>
        <w:rPr>
          <w:rFonts w:ascii="宋体" w:hAnsi="宋体" w:cs="宋体"/>
          <w:kern w:val="0"/>
          <w:sz w:val="24"/>
        </w:rPr>
      </w:pPr>
      <w:r>
        <w:rPr>
          <w:rFonts w:hint="eastAsia" w:ascii="宋体" w:hAnsi="宋体" w:cs="宋体"/>
          <w:kern w:val="0"/>
          <w:sz w:val="24"/>
        </w:rPr>
        <w:t>（4）在规定时间内完成交货并验收，并经采购人确认。</w:t>
      </w:r>
    </w:p>
    <w:p w14:paraId="1F487D84">
      <w:pPr>
        <w:numPr>
          <w:ilvl w:val="0"/>
          <w:numId w:val="13"/>
        </w:numPr>
        <w:snapToGrid w:val="0"/>
        <w:spacing w:line="400" w:lineRule="exact"/>
        <w:rPr>
          <w:rFonts w:ascii="宋体" w:hAnsi="宋体" w:cs="宋体"/>
          <w:kern w:val="0"/>
          <w:sz w:val="24"/>
        </w:rPr>
      </w:pPr>
      <w:r>
        <w:rPr>
          <w:rFonts w:hint="eastAsia" w:ascii="宋体" w:hAnsi="宋体" w:cs="宋体"/>
          <w:kern w:val="0"/>
          <w:sz w:val="24"/>
        </w:rPr>
        <w:t>产品在安装调试并试运行符合要求后，中标人需对使用方（</w:t>
      </w:r>
      <w:r>
        <w:rPr>
          <w:rFonts w:hint="eastAsia" w:ascii="宋体" w:hAnsi="宋体" w:cs="宋体"/>
          <w:kern w:val="0"/>
          <w:sz w:val="24"/>
          <w:lang w:val="en-US" w:eastAsia="zh-CN"/>
        </w:rPr>
        <w:t>供电公司</w:t>
      </w:r>
      <w:r>
        <w:rPr>
          <w:rFonts w:hint="eastAsia" w:ascii="宋体" w:hAnsi="宋体" w:cs="宋体"/>
          <w:kern w:val="0"/>
          <w:sz w:val="24"/>
        </w:rPr>
        <w:t>）进行操作培训，达到要求使用操作设备技术要求后才作为最终验收。</w:t>
      </w:r>
    </w:p>
    <w:p w14:paraId="2314CDFF">
      <w:pPr>
        <w:numPr>
          <w:ilvl w:val="0"/>
          <w:numId w:val="13"/>
        </w:numPr>
        <w:snapToGrid w:val="0"/>
        <w:spacing w:line="400" w:lineRule="exact"/>
        <w:rPr>
          <w:rFonts w:ascii="宋体" w:hAnsi="宋体" w:cs="宋体"/>
          <w:kern w:val="0"/>
          <w:sz w:val="24"/>
        </w:rPr>
      </w:pPr>
      <w:r>
        <w:rPr>
          <w:rFonts w:hint="eastAsia" w:ascii="宋体" w:hAnsi="宋体" w:cs="宋体"/>
          <w:kern w:val="0"/>
          <w:sz w:val="24"/>
        </w:rPr>
        <w:t>中标人提供的货物未达到招标文件规定要求，且对采购人造成损失的，由中标人承担一切责任，并赔偿所造成的损失。</w:t>
      </w:r>
    </w:p>
    <w:p w14:paraId="72725BC4">
      <w:pPr>
        <w:numPr>
          <w:ilvl w:val="0"/>
          <w:numId w:val="13"/>
        </w:numPr>
        <w:snapToGrid w:val="0"/>
        <w:spacing w:line="400" w:lineRule="exact"/>
        <w:rPr>
          <w:rFonts w:ascii="宋体" w:hAnsi="宋体" w:cs="宋体"/>
          <w:kern w:val="0"/>
          <w:sz w:val="24"/>
        </w:rPr>
      </w:pPr>
      <w:r>
        <w:rPr>
          <w:rFonts w:hint="eastAsia" w:ascii="宋体" w:hAnsi="宋体" w:cs="宋体"/>
          <w:kern w:val="0"/>
          <w:sz w:val="24"/>
        </w:rPr>
        <w:t>采购人需要制造商对中标人交付的产品（包括质量、技术参数等）进行确认的，制造商应予以配合，并出具书面意见。</w:t>
      </w:r>
    </w:p>
    <w:p w14:paraId="7E5A6923">
      <w:pPr>
        <w:numPr>
          <w:ilvl w:val="0"/>
          <w:numId w:val="13"/>
        </w:numPr>
        <w:snapToGrid w:val="0"/>
        <w:spacing w:line="400" w:lineRule="exact"/>
        <w:rPr>
          <w:rFonts w:ascii="宋体" w:hAnsi="宋体" w:cs="宋体"/>
          <w:kern w:val="0"/>
          <w:sz w:val="24"/>
        </w:rPr>
      </w:pPr>
      <w:r>
        <w:rPr>
          <w:rFonts w:hint="eastAsia" w:ascii="宋体" w:hAnsi="宋体" w:cs="宋体"/>
          <w:kern w:val="0"/>
          <w:sz w:val="24"/>
        </w:rPr>
        <w:t>产品包装材料归采购人所有。</w:t>
      </w:r>
    </w:p>
    <w:p w14:paraId="6E3C6B67">
      <w:pPr>
        <w:snapToGrid w:val="0"/>
        <w:spacing w:line="400" w:lineRule="exact"/>
        <w:ind w:firstLine="480" w:firstLineChars="200"/>
        <w:rPr>
          <w:rFonts w:ascii="方正黑体_GBK" w:hAnsi="宋体" w:eastAsia="方正黑体_GBK" w:cs="宋体"/>
          <w:kern w:val="0"/>
          <w:sz w:val="24"/>
        </w:rPr>
      </w:pPr>
      <w:r>
        <w:rPr>
          <w:rFonts w:hint="eastAsia" w:ascii="方正黑体_GBK" w:hAnsi="宋体" w:eastAsia="方正黑体_GBK" w:cs="宋体"/>
          <w:kern w:val="0"/>
          <w:sz w:val="24"/>
        </w:rPr>
        <w:t>综合验收：</w:t>
      </w:r>
    </w:p>
    <w:p w14:paraId="6595847E">
      <w:pPr>
        <w:snapToGrid w:val="0"/>
        <w:spacing w:line="400" w:lineRule="exact"/>
        <w:ind w:firstLine="480" w:firstLineChars="200"/>
        <w:rPr>
          <w:rFonts w:hint="eastAsia" w:ascii="方正黑体_GBK" w:hAnsi="宋体" w:eastAsia="方正黑体_GBK" w:cs="宋体"/>
          <w:kern w:val="0"/>
          <w:sz w:val="24"/>
        </w:rPr>
      </w:pPr>
      <w:r>
        <w:rPr>
          <w:rFonts w:hint="eastAsia" w:ascii="方正黑体_GBK" w:hAnsi="宋体" w:eastAsia="方正黑体_GBK" w:cs="宋体"/>
          <w:kern w:val="0"/>
          <w:sz w:val="24"/>
        </w:rPr>
        <w:t>由招标人和使用方（</w:t>
      </w:r>
      <w:r>
        <w:rPr>
          <w:rFonts w:hint="eastAsia" w:ascii="方正黑体_GBK" w:hAnsi="宋体" w:eastAsia="方正黑体_GBK" w:cs="宋体"/>
          <w:kern w:val="0"/>
          <w:sz w:val="24"/>
          <w:lang w:val="en-US" w:eastAsia="zh-CN"/>
        </w:rPr>
        <w:t>供电公司</w:t>
      </w:r>
      <w:r>
        <w:rPr>
          <w:rFonts w:hint="eastAsia" w:ascii="方正黑体_GBK" w:hAnsi="宋体" w:eastAsia="方正黑体_GBK" w:cs="宋体"/>
          <w:kern w:val="0"/>
          <w:sz w:val="24"/>
        </w:rPr>
        <w:t>）组织专家进行性能和功能综合验收，验收合格或者经整改合格后作为售后服务三年的起点。</w:t>
      </w:r>
    </w:p>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14:paraId="770D2E63">
      <w:pPr>
        <w:pStyle w:val="3"/>
        <w:tabs>
          <w:tab w:val="clear" w:pos="576"/>
        </w:tabs>
        <w:spacing w:line="500" w:lineRule="exact"/>
        <w:rPr>
          <w:rFonts w:cs="宋体"/>
          <w:b w:val="0"/>
          <w:sz w:val="24"/>
        </w:rPr>
      </w:pPr>
      <w:bookmarkStart w:id="480" w:name="_Toc119693545"/>
      <w:r>
        <w:rPr>
          <w:rFonts w:hint="eastAsia" w:cs="宋体"/>
          <w:b w:val="0"/>
          <w:sz w:val="24"/>
        </w:rPr>
        <w:t>（二）质量保证及售后服务</w:t>
      </w:r>
      <w:bookmarkEnd w:id="480"/>
    </w:p>
    <w:p w14:paraId="562E24BB">
      <w:pPr>
        <w:spacing w:line="440" w:lineRule="exact"/>
        <w:ind w:firstLine="424" w:firstLineChars="177"/>
        <w:jc w:val="left"/>
        <w:rPr>
          <w:rFonts w:ascii="宋体" w:hAnsi="宋体" w:cs="宋体"/>
          <w:kern w:val="0"/>
          <w:sz w:val="24"/>
        </w:rPr>
      </w:pPr>
      <w:r>
        <w:rPr>
          <w:rFonts w:hint="eastAsia" w:ascii="宋体" w:hAnsi="宋体" w:cs="宋体"/>
          <w:kern w:val="0"/>
          <w:sz w:val="24"/>
        </w:rPr>
        <w:t>1．产品质量保证期：</w:t>
      </w:r>
    </w:p>
    <w:p w14:paraId="138653EF">
      <w:pPr>
        <w:numPr>
          <w:ilvl w:val="0"/>
          <w:numId w:val="14"/>
        </w:numPr>
        <w:snapToGrid w:val="0"/>
        <w:spacing w:line="440" w:lineRule="exact"/>
        <w:rPr>
          <w:rFonts w:ascii="宋体" w:hAnsi="宋体" w:cs="宋体"/>
          <w:sz w:val="24"/>
        </w:rPr>
      </w:pPr>
      <w:r>
        <w:rPr>
          <w:rFonts w:hint="eastAsia" w:ascii="宋体" w:hAnsi="宋体" w:cs="宋体"/>
          <w:sz w:val="24"/>
        </w:rPr>
        <w:t>投标人应明确承诺：其投标产品免费质量保证期不低于</w:t>
      </w:r>
      <w:r>
        <w:rPr>
          <w:rFonts w:hint="eastAsia" w:ascii="宋体" w:hAnsi="宋体" w:cs="宋体"/>
          <w:sz w:val="24"/>
          <w:lang w:val="en-US" w:eastAsia="zh-CN"/>
        </w:rPr>
        <w:t>2</w:t>
      </w:r>
      <w:r>
        <w:rPr>
          <w:rFonts w:hint="eastAsia" w:ascii="宋体" w:hAnsi="宋体" w:cs="宋体"/>
          <w:sz w:val="24"/>
        </w:rPr>
        <w:t>年。投标人的质量保证期承诺优于招标文件要求的，按投标人实际承诺执行。</w:t>
      </w:r>
    </w:p>
    <w:p w14:paraId="4B5A0940">
      <w:pPr>
        <w:numPr>
          <w:ilvl w:val="0"/>
          <w:numId w:val="14"/>
        </w:numPr>
        <w:snapToGrid w:val="0"/>
        <w:spacing w:line="440" w:lineRule="exact"/>
        <w:rPr>
          <w:rFonts w:ascii="宋体" w:hAnsi="宋体" w:cs="宋体"/>
          <w:sz w:val="24"/>
        </w:rPr>
      </w:pPr>
      <w:r>
        <w:rPr>
          <w:rFonts w:hint="eastAsia" w:ascii="宋体" w:hAnsi="宋体" w:cs="宋体"/>
          <w:sz w:val="24"/>
        </w:rPr>
        <w:t>投标产品属于国家规定“三包”范围的，其产品质量保证期不得低于“三包”规定。</w:t>
      </w:r>
    </w:p>
    <w:p w14:paraId="69156ABE">
      <w:pPr>
        <w:numPr>
          <w:ilvl w:val="0"/>
          <w:numId w:val="14"/>
        </w:numPr>
        <w:snapToGrid w:val="0"/>
        <w:spacing w:line="440" w:lineRule="exact"/>
        <w:rPr>
          <w:rFonts w:ascii="宋体" w:hAnsi="宋体" w:cs="宋体"/>
          <w:sz w:val="24"/>
        </w:rPr>
      </w:pPr>
      <w:r>
        <w:rPr>
          <w:rFonts w:hint="eastAsia" w:ascii="宋体" w:hAnsi="宋体" w:cs="宋体"/>
          <w:sz w:val="24"/>
        </w:rPr>
        <w:t>投标产品由制造商（指产品生产制造商，或其负责销售、售后服务机构，以下同）负责标准售后服务的，应当在投标文件中予以明确说明,并附制造商售后服务承诺。</w:t>
      </w:r>
    </w:p>
    <w:p w14:paraId="323E4EF5">
      <w:pPr>
        <w:spacing w:line="440" w:lineRule="exact"/>
        <w:ind w:firstLine="424" w:firstLineChars="177"/>
        <w:jc w:val="left"/>
        <w:rPr>
          <w:rFonts w:ascii="宋体" w:hAnsi="宋体" w:cs="宋体"/>
          <w:kern w:val="0"/>
          <w:sz w:val="24"/>
        </w:rPr>
      </w:pPr>
      <w:r>
        <w:rPr>
          <w:rFonts w:hint="eastAsia" w:ascii="宋体" w:hAnsi="宋体" w:cs="宋体"/>
          <w:kern w:val="0"/>
          <w:sz w:val="24"/>
        </w:rPr>
        <w:t>2．售后服务内容：</w:t>
      </w:r>
    </w:p>
    <w:p w14:paraId="645371AE">
      <w:pPr>
        <w:pStyle w:val="19"/>
        <w:numPr>
          <w:ilvl w:val="0"/>
          <w:numId w:val="15"/>
        </w:numPr>
        <w:spacing w:line="400" w:lineRule="exact"/>
        <w:rPr>
          <w:rFonts w:ascii="宋体" w:hAnsi="宋体" w:cs="宋体"/>
          <w:sz w:val="24"/>
        </w:rPr>
      </w:pPr>
      <w:r>
        <w:rPr>
          <w:rFonts w:hint="eastAsia" w:ascii="宋体" w:hAnsi="宋体" w:cs="宋体"/>
          <w:sz w:val="24"/>
        </w:rPr>
        <w:t>投标人和制造商在质量保证期内应当为采购人提供以下技术支持和服务：</w:t>
      </w:r>
    </w:p>
    <w:p w14:paraId="43B9BBB5">
      <w:pPr>
        <w:pStyle w:val="19"/>
        <w:numPr>
          <w:ilvl w:val="0"/>
          <w:numId w:val="16"/>
        </w:numPr>
        <w:spacing w:line="400" w:lineRule="exact"/>
        <w:rPr>
          <w:rFonts w:ascii="宋体" w:hAnsi="宋体" w:cs="宋体"/>
          <w:sz w:val="24"/>
        </w:rPr>
      </w:pPr>
      <w:r>
        <w:rPr>
          <w:rFonts w:hint="eastAsia" w:ascii="宋体" w:hAnsi="宋体" w:cs="宋体"/>
          <w:sz w:val="24"/>
        </w:rPr>
        <w:t>电话咨询</w:t>
      </w:r>
    </w:p>
    <w:p w14:paraId="5447D826">
      <w:pPr>
        <w:pStyle w:val="19"/>
        <w:spacing w:line="400" w:lineRule="exact"/>
        <w:ind w:firstLine="424" w:firstLineChars="177"/>
        <w:rPr>
          <w:rFonts w:ascii="宋体" w:hAnsi="宋体" w:cs="宋体"/>
          <w:sz w:val="24"/>
        </w:rPr>
      </w:pPr>
      <w:r>
        <w:rPr>
          <w:rFonts w:hint="eastAsia" w:ascii="宋体" w:hAnsi="宋体" w:cs="宋体"/>
          <w:sz w:val="24"/>
        </w:rPr>
        <w:t>中标人和制造商应当为采购人提供技术援助电话，解答采购人在使用中遇到的问题，及时为采购人提出解决问题的建议。</w:t>
      </w:r>
    </w:p>
    <w:p w14:paraId="22950CBA">
      <w:pPr>
        <w:pStyle w:val="19"/>
        <w:numPr>
          <w:ilvl w:val="0"/>
          <w:numId w:val="16"/>
        </w:numPr>
        <w:spacing w:line="400" w:lineRule="exact"/>
        <w:rPr>
          <w:rFonts w:ascii="宋体" w:hAnsi="宋体" w:cs="宋体"/>
          <w:sz w:val="24"/>
        </w:rPr>
      </w:pPr>
      <w:r>
        <w:rPr>
          <w:rFonts w:hint="eastAsia" w:ascii="宋体" w:hAnsi="宋体" w:cs="宋体"/>
          <w:sz w:val="24"/>
        </w:rPr>
        <w:t>现场响应</w:t>
      </w:r>
    </w:p>
    <w:p w14:paraId="614DF025">
      <w:pPr>
        <w:pStyle w:val="19"/>
        <w:spacing w:line="400" w:lineRule="exact"/>
        <w:ind w:firstLine="424" w:firstLineChars="177"/>
        <w:rPr>
          <w:rFonts w:ascii="宋体" w:hAnsi="宋体" w:cs="宋体"/>
          <w:sz w:val="24"/>
        </w:rPr>
      </w:pPr>
      <w:r>
        <w:rPr>
          <w:rFonts w:hint="eastAsia" w:ascii="宋体" w:hAnsi="宋体" w:cs="宋体"/>
          <w:sz w:val="24"/>
        </w:rPr>
        <w:t>采购人遇到使用及技术问题，电话咨询不能解决的，中标人应在2小时内到达现场处理，确保产品正常工作；无法在24小时内解决的，应在2小时内提供备用产品，使采购人能够正常使用。</w:t>
      </w:r>
    </w:p>
    <w:p w14:paraId="621C849D">
      <w:pPr>
        <w:pStyle w:val="19"/>
        <w:numPr>
          <w:ilvl w:val="0"/>
          <w:numId w:val="15"/>
        </w:numPr>
        <w:spacing w:line="400" w:lineRule="exact"/>
        <w:rPr>
          <w:rFonts w:ascii="宋体" w:hAnsi="宋体" w:cs="宋体"/>
          <w:sz w:val="24"/>
        </w:rPr>
      </w:pPr>
      <w:r>
        <w:rPr>
          <w:rFonts w:hint="eastAsia" w:ascii="宋体" w:hAnsi="宋体" w:cs="宋体"/>
          <w:sz w:val="24"/>
        </w:rPr>
        <w:t>质保期外服务要求</w:t>
      </w:r>
    </w:p>
    <w:p w14:paraId="679DE821">
      <w:pPr>
        <w:pStyle w:val="19"/>
        <w:numPr>
          <w:ilvl w:val="0"/>
          <w:numId w:val="17"/>
        </w:numPr>
        <w:spacing w:line="400" w:lineRule="exact"/>
        <w:rPr>
          <w:rFonts w:ascii="宋体" w:hAnsi="宋体" w:cs="宋体"/>
          <w:sz w:val="24"/>
        </w:rPr>
      </w:pPr>
      <w:r>
        <w:rPr>
          <w:rFonts w:hint="eastAsia" w:ascii="宋体" w:hAnsi="宋体" w:cs="宋体"/>
          <w:sz w:val="24"/>
        </w:rPr>
        <w:t>质量保证期过后，中标人和制造商应同样提供免费电话咨询服务，并应承诺提供产品上门维护服务。</w:t>
      </w:r>
    </w:p>
    <w:p w14:paraId="187617CF">
      <w:pPr>
        <w:pStyle w:val="19"/>
        <w:numPr>
          <w:ilvl w:val="0"/>
          <w:numId w:val="17"/>
        </w:numPr>
        <w:spacing w:line="400" w:lineRule="exact"/>
        <w:rPr>
          <w:rFonts w:ascii="宋体" w:hAnsi="宋体" w:cs="宋体"/>
          <w:sz w:val="24"/>
        </w:rPr>
      </w:pPr>
      <w:r>
        <w:rPr>
          <w:rFonts w:hint="eastAsia" w:ascii="宋体" w:hAnsi="宋体" w:cs="宋体"/>
          <w:sz w:val="24"/>
        </w:rPr>
        <w:t>质量保证期过后，采购人需要继续由原中标人和制造商提供售后服务的，该中标人和制造商应承诺只收取材料成本和工时费。</w:t>
      </w:r>
    </w:p>
    <w:p w14:paraId="3DE945F5">
      <w:pPr>
        <w:pStyle w:val="19"/>
        <w:numPr>
          <w:ilvl w:val="0"/>
          <w:numId w:val="15"/>
        </w:numPr>
        <w:spacing w:line="400" w:lineRule="exact"/>
        <w:rPr>
          <w:rFonts w:hint="eastAsia" w:ascii="宋体" w:hAnsi="宋体" w:cs="宋体"/>
          <w:sz w:val="24"/>
        </w:rPr>
      </w:pPr>
      <w:r>
        <w:rPr>
          <w:rFonts w:hint="eastAsia" w:ascii="宋体" w:hAnsi="宋体" w:cs="宋体"/>
          <w:sz w:val="24"/>
        </w:rPr>
        <w:t>设备供应商具有独立的售后服务体系，能提供技术支持、售后服务等承诺并提供咨询电话。</w:t>
      </w:r>
    </w:p>
    <w:p w14:paraId="188C684C">
      <w:pPr>
        <w:spacing w:line="440" w:lineRule="exact"/>
        <w:ind w:firstLine="424" w:firstLineChars="177"/>
        <w:jc w:val="left"/>
        <w:rPr>
          <w:rFonts w:ascii="宋体" w:hAnsi="宋体" w:cs="宋体"/>
          <w:sz w:val="24"/>
        </w:rPr>
      </w:pPr>
      <w:r>
        <w:rPr>
          <w:rFonts w:hint="eastAsia" w:ascii="宋体" w:hAnsi="宋体" w:cs="宋体"/>
          <w:sz w:val="24"/>
        </w:rPr>
        <w:t>3．备品备件及易损件</w:t>
      </w:r>
    </w:p>
    <w:p w14:paraId="6B13F4EC">
      <w:pPr>
        <w:spacing w:line="440" w:lineRule="exact"/>
        <w:ind w:firstLine="424" w:firstLineChars="177"/>
        <w:jc w:val="left"/>
        <w:rPr>
          <w:rFonts w:ascii="宋体" w:hAnsi="宋体" w:cs="宋体"/>
          <w:sz w:val="24"/>
        </w:rPr>
      </w:pPr>
      <w:r>
        <w:rPr>
          <w:rFonts w:hint="eastAsia" w:ascii="宋体" w:hAnsi="宋体" w:cs="宋体"/>
          <w:sz w:val="24"/>
        </w:rPr>
        <w:t>中标人和制造商售后服务中，维修使用的备品备件及易损件应为原厂配件，未经采购人同意不得使用非原厂配件，常用的、容易损坏的备品备件及易损件的价格清单须在投标文件中列出。</w:t>
      </w:r>
    </w:p>
    <w:p w14:paraId="37ECADD5">
      <w:pPr>
        <w:pStyle w:val="3"/>
        <w:tabs>
          <w:tab w:val="clear" w:pos="576"/>
        </w:tabs>
        <w:spacing w:line="500" w:lineRule="exact"/>
        <w:rPr>
          <w:rFonts w:cs="宋体"/>
          <w:b w:val="0"/>
          <w:sz w:val="24"/>
        </w:rPr>
      </w:pPr>
      <w:bookmarkStart w:id="481" w:name="_Toc119693548"/>
      <w:r>
        <w:rPr>
          <w:rFonts w:hint="eastAsia" w:cs="宋体"/>
          <w:b w:val="0"/>
          <w:sz w:val="24"/>
        </w:rPr>
        <w:t>（三）、操作使用培训</w:t>
      </w:r>
      <w:bookmarkEnd w:id="481"/>
    </w:p>
    <w:p w14:paraId="6A074797">
      <w:pPr>
        <w:spacing w:line="440" w:lineRule="exact"/>
        <w:ind w:firstLine="424" w:firstLineChars="177"/>
        <w:jc w:val="left"/>
        <w:rPr>
          <w:rFonts w:ascii="宋体" w:hAnsi="宋体" w:cs="宋体"/>
          <w:sz w:val="24"/>
        </w:rPr>
      </w:pPr>
      <w:r>
        <w:rPr>
          <w:rFonts w:hint="eastAsia" w:ascii="宋体" w:hAnsi="宋体" w:cs="宋体"/>
          <w:sz w:val="24"/>
        </w:rPr>
        <w:t>投标人对其提供产品的使用和操作应尽培训义务。对所有功能室设备制作培训手册，包括纸质件和电子件，由投标人应提供对采购人和使用方（</w:t>
      </w:r>
      <w:r>
        <w:rPr>
          <w:rFonts w:hint="eastAsia" w:ascii="宋体" w:hAnsi="宋体" w:cs="宋体"/>
          <w:sz w:val="24"/>
          <w:lang w:val="en-US" w:eastAsia="zh-CN"/>
        </w:rPr>
        <w:t>供电公司</w:t>
      </w:r>
      <w:r>
        <w:rPr>
          <w:rFonts w:hint="eastAsia" w:ascii="宋体" w:hAnsi="宋体" w:cs="宋体"/>
          <w:sz w:val="24"/>
        </w:rPr>
        <w:t>的工作人员）的进行操作免费培训，使使用人员能够正常熟练的操作和使用。</w:t>
      </w:r>
    </w:p>
    <w:p w14:paraId="2E89CC63">
      <w:pPr>
        <w:spacing w:line="360" w:lineRule="auto"/>
        <w:jc w:val="center"/>
        <w:rPr>
          <w:rStyle w:val="65"/>
          <w:rFonts w:hint="eastAsia" w:ascii="宋体" w:hAnsi="宋体" w:eastAsia="宋体" w:cs="宋体"/>
        </w:rPr>
      </w:pPr>
    </w:p>
    <w:p w14:paraId="27EEC060">
      <w:pPr>
        <w:autoSpaceDE w:val="0"/>
        <w:autoSpaceDN w:val="0"/>
        <w:adjustRightInd w:val="0"/>
        <w:jc w:val="center"/>
        <w:rPr>
          <w:rFonts w:hint="eastAsia" w:ascii="宋体" w:hAnsi="宋体" w:cs="宋体"/>
          <w:color w:val="auto"/>
          <w:kern w:val="0"/>
          <w:sz w:val="30"/>
          <w:szCs w:val="30"/>
          <w:highlight w:val="none"/>
        </w:rPr>
      </w:pPr>
      <w:bookmarkStart w:id="482" w:name="_Toc5948"/>
      <w:bookmarkStart w:id="483" w:name="_Toc3336"/>
      <w:r>
        <w:rPr>
          <w:rFonts w:hint="eastAsia" w:ascii="宋体" w:hAnsi="宋体" w:cs="宋体"/>
          <w:color w:val="auto"/>
          <w:kern w:val="0"/>
          <w:sz w:val="30"/>
          <w:szCs w:val="30"/>
          <w:highlight w:val="none"/>
        </w:rPr>
        <w:t>第八章    比选申请文件格式</w:t>
      </w:r>
      <w:bookmarkEnd w:id="482"/>
      <w:bookmarkEnd w:id="483"/>
    </w:p>
    <w:p w14:paraId="609F9F07">
      <w:pPr>
        <w:autoSpaceDE w:val="0"/>
        <w:autoSpaceDN w:val="0"/>
        <w:adjustRightInd w:val="0"/>
        <w:jc w:val="left"/>
        <w:rPr>
          <w:rFonts w:hint="eastAsia" w:ascii="宋体" w:hAnsi="宋体" w:cs="宋体"/>
          <w:color w:val="auto"/>
          <w:highlight w:val="none"/>
        </w:rPr>
      </w:pPr>
    </w:p>
    <w:p w14:paraId="562A7D6D">
      <w:pPr>
        <w:autoSpaceDE w:val="0"/>
        <w:autoSpaceDN w:val="0"/>
        <w:adjustRightInd w:val="0"/>
        <w:jc w:val="left"/>
        <w:rPr>
          <w:rFonts w:hint="eastAsia" w:ascii="宋体" w:hAnsi="宋体" w:cs="宋体"/>
          <w:color w:val="auto"/>
          <w:highlight w:val="none"/>
        </w:rPr>
      </w:pPr>
    </w:p>
    <w:p w14:paraId="0FD22BAA">
      <w:pPr>
        <w:autoSpaceDE w:val="0"/>
        <w:autoSpaceDN w:val="0"/>
        <w:adjustRightInd w:val="0"/>
        <w:jc w:val="left"/>
        <w:rPr>
          <w:rFonts w:hint="eastAsia" w:ascii="宋体" w:hAnsi="宋体" w:cs="宋体"/>
          <w:color w:val="auto"/>
          <w:highlight w:val="none"/>
        </w:rPr>
      </w:pPr>
    </w:p>
    <w:p w14:paraId="0FDD0975">
      <w:pPr>
        <w:jc w:val="center"/>
        <w:outlineLvl w:val="0"/>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bookmarkStart w:id="484" w:name="_Toc26257"/>
      <w:bookmarkStart w:id="485" w:name="_Toc1709"/>
      <w:bookmarkStart w:id="486" w:name="_Toc13286"/>
      <w:r>
        <w:rPr>
          <w:rFonts w:hint="eastAsia" w:ascii="宋体" w:hAnsi="宋体" w:cs="宋体"/>
          <w:b/>
          <w:color w:val="auto"/>
          <w:sz w:val="30"/>
          <w:szCs w:val="30"/>
          <w:highlight w:val="none"/>
        </w:rPr>
        <w:t>目  录</w:t>
      </w:r>
      <w:bookmarkEnd w:id="484"/>
      <w:bookmarkEnd w:id="485"/>
      <w:bookmarkEnd w:id="486"/>
    </w:p>
    <w:p w14:paraId="45B080EA">
      <w:pPr>
        <w:autoSpaceDE w:val="0"/>
        <w:autoSpaceDN w:val="0"/>
        <w:adjustRightInd w:val="0"/>
        <w:snapToGrid w:val="0"/>
        <w:spacing w:line="360" w:lineRule="auto"/>
        <w:jc w:val="left"/>
        <w:rPr>
          <w:rFonts w:hint="eastAsia" w:ascii="宋体" w:hAnsi="宋体" w:cs="宋体"/>
          <w:b/>
          <w:color w:val="auto"/>
          <w:kern w:val="0"/>
          <w:sz w:val="24"/>
          <w:highlight w:val="none"/>
        </w:rPr>
      </w:pPr>
    </w:p>
    <w:p w14:paraId="0A4E5B4C">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880" w:firstLineChars="400"/>
        <w:jc w:val="left"/>
        <w:textAlignment w:val="auto"/>
        <w:outlineLvl w:val="0"/>
        <w:rPr>
          <w:rFonts w:hint="eastAsia" w:ascii="宋体" w:hAnsi="宋体" w:cs="宋体"/>
          <w:b/>
          <w:color w:val="auto"/>
          <w:kern w:val="0"/>
          <w:sz w:val="22"/>
          <w:szCs w:val="22"/>
          <w:highlight w:val="none"/>
        </w:rPr>
      </w:pPr>
      <w:bookmarkStart w:id="487" w:name="_Toc832"/>
      <w:bookmarkStart w:id="488" w:name="_Toc23968"/>
      <w:bookmarkStart w:id="489" w:name="_Toc29785"/>
      <w:r>
        <w:rPr>
          <w:rFonts w:hint="eastAsia" w:ascii="宋体" w:hAnsi="宋体" w:cs="宋体"/>
          <w:b/>
          <w:color w:val="auto"/>
          <w:kern w:val="0"/>
          <w:sz w:val="22"/>
          <w:szCs w:val="22"/>
          <w:highlight w:val="none"/>
        </w:rPr>
        <w:t>一、比选申请函部分</w:t>
      </w:r>
      <w:bookmarkEnd w:id="487"/>
      <w:bookmarkEnd w:id="488"/>
      <w:bookmarkEnd w:id="489"/>
    </w:p>
    <w:p w14:paraId="7CC32606">
      <w:pPr>
        <w:keepNext w:val="0"/>
        <w:keepLines w:val="0"/>
        <w:pageBreakBefore w:val="0"/>
        <w:widowControl w:val="0"/>
        <w:kinsoku/>
        <w:wordWrap/>
        <w:overflowPunct/>
        <w:topLinePunct w:val="0"/>
        <w:autoSpaceDE w:val="0"/>
        <w:autoSpaceDN w:val="0"/>
        <w:bidi w:val="0"/>
        <w:adjustRightInd w:val="0"/>
        <w:spacing w:line="360" w:lineRule="auto"/>
        <w:ind w:right="0" w:firstLine="880" w:firstLineChars="400"/>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（一）比选申请函</w:t>
      </w:r>
    </w:p>
    <w:p w14:paraId="2352EC76">
      <w:pPr>
        <w:keepNext w:val="0"/>
        <w:keepLines w:val="0"/>
        <w:pageBreakBefore w:val="0"/>
        <w:widowControl w:val="0"/>
        <w:kinsoku/>
        <w:wordWrap/>
        <w:overflowPunct/>
        <w:topLinePunct w:val="0"/>
        <w:autoSpaceDE w:val="0"/>
        <w:autoSpaceDN w:val="0"/>
        <w:bidi w:val="0"/>
        <w:adjustRightInd w:val="0"/>
        <w:spacing w:line="360" w:lineRule="auto"/>
        <w:ind w:right="0" w:firstLine="880" w:firstLineChars="400"/>
        <w:jc w:val="left"/>
        <w:textAlignment w:val="auto"/>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rPr>
        <w:t>（二）</w:t>
      </w:r>
      <w:r>
        <w:rPr>
          <w:rFonts w:hint="eastAsia" w:ascii="宋体" w:hAnsi="宋体" w:eastAsia="宋体" w:cs="宋体"/>
          <w:color w:val="auto"/>
          <w:kern w:val="0"/>
          <w:sz w:val="22"/>
          <w:szCs w:val="22"/>
          <w:highlight w:val="none"/>
        </w:rPr>
        <w:t>法定代表人身份证明及授权委托书</w:t>
      </w:r>
    </w:p>
    <w:p w14:paraId="0408A3C5">
      <w:pPr>
        <w:keepNext w:val="0"/>
        <w:keepLines w:val="0"/>
        <w:pageBreakBefore w:val="0"/>
        <w:widowControl w:val="0"/>
        <w:kinsoku/>
        <w:wordWrap/>
        <w:overflowPunct/>
        <w:topLinePunct w:val="0"/>
        <w:autoSpaceDE w:val="0"/>
        <w:autoSpaceDN w:val="0"/>
        <w:bidi w:val="0"/>
        <w:adjustRightInd w:val="0"/>
        <w:spacing w:line="360" w:lineRule="auto"/>
        <w:ind w:right="0" w:firstLine="880" w:firstLineChars="40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lang w:val="en-US" w:eastAsia="zh-CN"/>
        </w:rPr>
        <w:t>三</w:t>
      </w:r>
      <w:r>
        <w:rPr>
          <w:rFonts w:hint="eastAsia" w:ascii="宋体" w:hAnsi="宋体" w:eastAsia="宋体" w:cs="宋体"/>
          <w:color w:val="auto"/>
          <w:kern w:val="0"/>
          <w:sz w:val="22"/>
          <w:szCs w:val="22"/>
          <w:highlight w:val="none"/>
          <w:lang w:eastAsia="zh-CN"/>
        </w:rPr>
        <w:t>）低价风险担保提交承诺书（如有）</w:t>
      </w:r>
    </w:p>
    <w:p w14:paraId="04F401D9">
      <w:pPr>
        <w:keepNext w:val="0"/>
        <w:keepLines w:val="0"/>
        <w:pageBreakBefore w:val="0"/>
        <w:widowControl w:val="0"/>
        <w:kinsoku/>
        <w:wordWrap/>
        <w:overflowPunct/>
        <w:topLinePunct w:val="0"/>
        <w:autoSpaceDE w:val="0"/>
        <w:autoSpaceDN w:val="0"/>
        <w:bidi w:val="0"/>
        <w:adjustRightInd w:val="0"/>
        <w:spacing w:line="360" w:lineRule="auto"/>
        <w:ind w:right="0" w:firstLine="880" w:firstLineChars="400"/>
        <w:jc w:val="left"/>
        <w:textAlignment w:val="auto"/>
        <w:rPr>
          <w:rFonts w:hint="eastAsia" w:ascii="宋体" w:hAnsi="宋体" w:eastAsia="宋体" w:cs="宋体"/>
          <w:b/>
          <w:color w:val="auto"/>
          <w:sz w:val="22"/>
          <w:szCs w:val="22"/>
          <w:highlight w:val="none"/>
          <w:lang w:val="en-US" w:eastAsia="zh-CN"/>
        </w:rPr>
      </w:pPr>
      <w:bookmarkStart w:id="490" w:name="_Toc7687"/>
      <w:bookmarkStart w:id="491" w:name="_Toc11594"/>
      <w:r>
        <w:rPr>
          <w:rFonts w:hint="eastAsia" w:ascii="宋体" w:hAnsi="宋体" w:eastAsia="宋体" w:cs="宋体"/>
          <w:b/>
          <w:color w:val="auto"/>
          <w:sz w:val="22"/>
          <w:szCs w:val="22"/>
          <w:highlight w:val="none"/>
        </w:rPr>
        <w:t>二、</w:t>
      </w:r>
      <w:bookmarkEnd w:id="490"/>
      <w:r>
        <w:rPr>
          <w:rFonts w:hint="eastAsia" w:ascii="宋体" w:hAnsi="宋体" w:cs="宋体"/>
          <w:b/>
          <w:color w:val="auto"/>
          <w:sz w:val="22"/>
          <w:szCs w:val="22"/>
          <w:highlight w:val="none"/>
          <w:lang w:val="en-US" w:eastAsia="zh-CN"/>
        </w:rPr>
        <w:t>经济部分</w:t>
      </w:r>
    </w:p>
    <w:p w14:paraId="79DB80C5">
      <w:pPr>
        <w:keepNext w:val="0"/>
        <w:keepLines w:val="0"/>
        <w:pageBreakBefore w:val="0"/>
        <w:widowControl w:val="0"/>
        <w:kinsoku/>
        <w:wordWrap/>
        <w:overflowPunct/>
        <w:topLinePunct w:val="0"/>
        <w:autoSpaceDE w:val="0"/>
        <w:autoSpaceDN w:val="0"/>
        <w:bidi w:val="0"/>
        <w:adjustRightInd w:val="0"/>
        <w:spacing w:line="360" w:lineRule="auto"/>
        <w:ind w:right="0" w:firstLine="880" w:firstLineChars="400"/>
        <w:jc w:val="left"/>
        <w:textAlignment w:val="auto"/>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已标价工程量清单</w:t>
      </w:r>
    </w:p>
    <w:p w14:paraId="6B9CF26D">
      <w:pPr>
        <w:keepNext w:val="0"/>
        <w:keepLines w:val="0"/>
        <w:pageBreakBefore w:val="0"/>
        <w:widowControl w:val="0"/>
        <w:kinsoku/>
        <w:wordWrap/>
        <w:overflowPunct/>
        <w:topLinePunct w:val="0"/>
        <w:bidi w:val="0"/>
        <w:spacing w:line="360" w:lineRule="auto"/>
        <w:ind w:right="0" w:firstLine="880" w:firstLineChars="400"/>
        <w:textAlignment w:val="auto"/>
        <w:outlineLvl w:val="0"/>
        <w:rPr>
          <w:rFonts w:hint="eastAsia" w:ascii="宋体" w:hAnsi="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三、技术部分</w:t>
      </w:r>
    </w:p>
    <w:p w14:paraId="6FE393FF">
      <w:pPr>
        <w:keepNext w:val="0"/>
        <w:keepLines w:val="0"/>
        <w:pageBreakBefore w:val="0"/>
        <w:widowControl w:val="0"/>
        <w:kinsoku/>
        <w:wordWrap/>
        <w:overflowPunct/>
        <w:topLinePunct w:val="0"/>
        <w:autoSpaceDE w:val="0"/>
        <w:autoSpaceDN w:val="0"/>
        <w:bidi w:val="0"/>
        <w:adjustRightInd w:val="0"/>
        <w:spacing w:line="360" w:lineRule="auto"/>
        <w:ind w:right="0" w:firstLine="880" w:firstLineChars="400"/>
        <w:jc w:val="left"/>
        <w:textAlignment w:val="auto"/>
        <w:rPr>
          <w:rFonts w:hint="default" w:ascii="宋体" w:hAnsi="宋体" w:eastAsia="宋体" w:cs="宋体"/>
          <w:color w:val="auto"/>
          <w:kern w:val="0"/>
          <w:sz w:val="22"/>
          <w:szCs w:val="22"/>
          <w:highlight w:val="none"/>
          <w:lang w:val="en-US" w:eastAsia="zh-CN"/>
        </w:rPr>
      </w:pPr>
      <w:bookmarkStart w:id="492" w:name="_Toc30020"/>
      <w:bookmarkStart w:id="493" w:name="_Toc342"/>
      <w:r>
        <w:rPr>
          <w:rFonts w:hint="eastAsia" w:ascii="宋体" w:hAnsi="宋体" w:eastAsia="宋体" w:cs="宋体"/>
          <w:color w:val="auto"/>
          <w:kern w:val="0"/>
          <w:sz w:val="22"/>
          <w:szCs w:val="22"/>
          <w:highlight w:val="none"/>
          <w:lang w:val="en-US" w:eastAsia="zh-CN"/>
        </w:rPr>
        <w:t>响应差异表</w:t>
      </w:r>
    </w:p>
    <w:p w14:paraId="5B7EFF1C">
      <w:pPr>
        <w:keepNext w:val="0"/>
        <w:keepLines w:val="0"/>
        <w:pageBreakBefore w:val="0"/>
        <w:widowControl w:val="0"/>
        <w:kinsoku/>
        <w:wordWrap/>
        <w:overflowPunct/>
        <w:topLinePunct w:val="0"/>
        <w:bidi w:val="0"/>
        <w:spacing w:line="360" w:lineRule="auto"/>
        <w:ind w:right="0" w:firstLine="880" w:firstLineChars="400"/>
        <w:textAlignment w:val="auto"/>
        <w:outlineLvl w:val="0"/>
        <w:rPr>
          <w:rFonts w:hint="eastAsia" w:ascii="宋体" w:hAnsi="宋体" w:cs="宋体"/>
          <w:b/>
          <w:color w:val="auto"/>
          <w:sz w:val="22"/>
          <w:szCs w:val="22"/>
          <w:highlight w:val="none"/>
        </w:rPr>
      </w:pPr>
      <w:r>
        <w:rPr>
          <w:rFonts w:hint="eastAsia" w:ascii="宋体" w:hAnsi="宋体" w:cs="宋体"/>
          <w:b/>
          <w:color w:val="auto"/>
          <w:kern w:val="0"/>
          <w:sz w:val="22"/>
          <w:szCs w:val="22"/>
          <w:highlight w:val="none"/>
          <w:lang w:val="en-US" w:eastAsia="zh-CN"/>
        </w:rPr>
        <w:t>四</w:t>
      </w:r>
      <w:r>
        <w:rPr>
          <w:rFonts w:hint="eastAsia" w:ascii="宋体" w:hAnsi="宋体" w:cs="宋体"/>
          <w:b/>
          <w:color w:val="auto"/>
          <w:kern w:val="0"/>
          <w:sz w:val="22"/>
          <w:szCs w:val="22"/>
          <w:highlight w:val="none"/>
        </w:rPr>
        <w:t>、</w:t>
      </w:r>
      <w:r>
        <w:rPr>
          <w:rFonts w:hint="eastAsia" w:ascii="宋体" w:hAnsi="宋体" w:cs="宋体"/>
          <w:b/>
          <w:color w:val="auto"/>
          <w:sz w:val="22"/>
          <w:szCs w:val="22"/>
          <w:highlight w:val="none"/>
        </w:rPr>
        <w:t>资格审查资料</w:t>
      </w:r>
      <w:bookmarkEnd w:id="491"/>
      <w:bookmarkEnd w:id="492"/>
      <w:bookmarkEnd w:id="493"/>
    </w:p>
    <w:p w14:paraId="5D9E27A4">
      <w:pPr>
        <w:keepNext w:val="0"/>
        <w:keepLines w:val="0"/>
        <w:pageBreakBefore w:val="0"/>
        <w:widowControl w:val="0"/>
        <w:kinsoku/>
        <w:wordWrap/>
        <w:overflowPunct/>
        <w:topLinePunct w:val="0"/>
        <w:autoSpaceDE w:val="0"/>
        <w:autoSpaceDN w:val="0"/>
        <w:bidi w:val="0"/>
        <w:adjustRightInd w:val="0"/>
        <w:spacing w:line="360" w:lineRule="auto"/>
        <w:ind w:right="0" w:firstLine="880" w:firstLineChars="40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（一）法定代表人身份证明及授权委托书</w:t>
      </w:r>
    </w:p>
    <w:p w14:paraId="2C9C5146">
      <w:pPr>
        <w:keepNext w:val="0"/>
        <w:keepLines w:val="0"/>
        <w:pageBreakBefore w:val="0"/>
        <w:widowControl w:val="0"/>
        <w:kinsoku/>
        <w:wordWrap/>
        <w:overflowPunct/>
        <w:topLinePunct w:val="0"/>
        <w:autoSpaceDE w:val="0"/>
        <w:autoSpaceDN w:val="0"/>
        <w:bidi w:val="0"/>
        <w:adjustRightInd w:val="0"/>
        <w:spacing w:line="360" w:lineRule="auto"/>
        <w:ind w:right="0" w:firstLine="880" w:firstLineChars="40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（二）比选申请人基本情况表</w:t>
      </w:r>
    </w:p>
    <w:p w14:paraId="3DF5092D">
      <w:pPr>
        <w:keepNext w:val="0"/>
        <w:keepLines w:val="0"/>
        <w:pageBreakBefore w:val="0"/>
        <w:widowControl w:val="0"/>
        <w:kinsoku/>
        <w:wordWrap/>
        <w:overflowPunct/>
        <w:topLinePunct w:val="0"/>
        <w:autoSpaceDE w:val="0"/>
        <w:autoSpaceDN w:val="0"/>
        <w:bidi w:val="0"/>
        <w:adjustRightInd w:val="0"/>
        <w:spacing w:line="360" w:lineRule="auto"/>
        <w:ind w:right="0" w:firstLine="880" w:firstLineChars="40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（三）承诺</w:t>
      </w:r>
    </w:p>
    <w:p w14:paraId="03A6DB47">
      <w:pPr>
        <w:keepNext w:val="0"/>
        <w:keepLines w:val="0"/>
        <w:pageBreakBefore w:val="0"/>
        <w:widowControl w:val="0"/>
        <w:kinsoku/>
        <w:wordWrap/>
        <w:overflowPunct/>
        <w:topLinePunct w:val="0"/>
        <w:autoSpaceDE w:val="0"/>
        <w:autoSpaceDN w:val="0"/>
        <w:bidi w:val="0"/>
        <w:adjustRightInd w:val="0"/>
        <w:spacing w:line="360" w:lineRule="auto"/>
        <w:ind w:right="0" w:firstLine="880" w:firstLineChars="40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rPr>
        <w:t>四</w:t>
      </w:r>
      <w:r>
        <w:rPr>
          <w:rFonts w:hint="eastAsia" w:ascii="宋体" w:hAnsi="宋体" w:eastAsia="宋体" w:cs="宋体"/>
          <w:color w:val="auto"/>
          <w:kern w:val="0"/>
          <w:sz w:val="22"/>
          <w:szCs w:val="22"/>
          <w:highlight w:val="none"/>
        </w:rPr>
        <w:t>）其他资料</w:t>
      </w:r>
    </w:p>
    <w:p w14:paraId="57364210">
      <w:pPr>
        <w:tabs>
          <w:tab w:val="left" w:pos="2580"/>
          <w:tab w:val="left" w:pos="5940"/>
        </w:tabs>
        <w:autoSpaceDE w:val="0"/>
        <w:autoSpaceDN w:val="0"/>
        <w:adjustRightInd w:val="0"/>
        <w:snapToGrid w:val="0"/>
        <w:spacing w:line="360" w:lineRule="auto"/>
        <w:rPr>
          <w:rFonts w:hint="eastAsia" w:ascii="宋体" w:hAnsi="宋体" w:cs="宋体"/>
          <w:color w:val="auto"/>
          <w:kern w:val="0"/>
          <w:sz w:val="28"/>
          <w:szCs w:val="28"/>
          <w:highlight w:val="none"/>
        </w:rPr>
      </w:pPr>
      <w:r>
        <w:rPr>
          <w:rFonts w:hint="eastAsia" w:ascii="宋体" w:hAnsi="宋体" w:cs="宋体"/>
          <w:color w:val="auto"/>
          <w:kern w:val="0"/>
          <w:szCs w:val="28"/>
          <w:highlight w:val="none"/>
        </w:rPr>
        <w:br w:type="page"/>
      </w:r>
    </w:p>
    <w:p w14:paraId="172718C3">
      <w:pPr>
        <w:pStyle w:val="3"/>
        <w:numPr>
          <w:ilvl w:val="0"/>
          <w:numId w:val="0"/>
        </w:numPr>
        <w:tabs>
          <w:tab w:val="clear" w:pos="567"/>
          <w:tab w:val="clear" w:pos="576"/>
        </w:tabs>
        <w:ind w:left="2"/>
        <w:jc w:val="center"/>
        <w:rPr>
          <w:rFonts w:hint="eastAsia" w:ascii="宋体" w:hAnsi="宋体" w:eastAsia="宋体" w:cs="宋体"/>
          <w:bCs/>
          <w:color w:val="auto"/>
          <w:highlight w:val="none"/>
        </w:rPr>
      </w:pPr>
      <w:bookmarkStart w:id="494" w:name="_Toc4081"/>
      <w:bookmarkStart w:id="495" w:name="_Toc224103494"/>
      <w:bookmarkStart w:id="496" w:name="_Toc3943"/>
      <w:bookmarkStart w:id="497" w:name="_Toc391220321"/>
      <w:r>
        <w:rPr>
          <w:rFonts w:hint="eastAsia" w:ascii="宋体" w:hAnsi="宋体" w:eastAsia="宋体" w:cs="宋体"/>
          <w:bCs/>
          <w:color w:val="auto"/>
          <w:highlight w:val="none"/>
        </w:rPr>
        <w:t>一、比选申请函部分</w:t>
      </w:r>
      <w:bookmarkEnd w:id="494"/>
      <w:bookmarkEnd w:id="495"/>
      <w:bookmarkEnd w:id="496"/>
      <w:bookmarkEnd w:id="497"/>
    </w:p>
    <w:p w14:paraId="6FF174C9">
      <w:pPr>
        <w:tabs>
          <w:tab w:val="left" w:pos="2580"/>
          <w:tab w:val="left" w:pos="5940"/>
        </w:tabs>
        <w:autoSpaceDE w:val="0"/>
        <w:autoSpaceDN w:val="0"/>
        <w:adjustRightInd w:val="0"/>
        <w:snapToGrid w:val="0"/>
        <w:spacing w:line="360" w:lineRule="auto"/>
        <w:ind w:firstLine="2940"/>
        <w:jc w:val="left"/>
        <w:rPr>
          <w:rFonts w:hint="eastAsia" w:ascii="宋体" w:hAnsi="宋体" w:cs="宋体"/>
          <w:color w:val="auto"/>
          <w:kern w:val="0"/>
          <w:sz w:val="28"/>
          <w:szCs w:val="28"/>
          <w:highlight w:val="none"/>
        </w:rPr>
      </w:pPr>
    </w:p>
    <w:p w14:paraId="5BCA09CB">
      <w:pPr>
        <w:tabs>
          <w:tab w:val="left" w:pos="2580"/>
          <w:tab w:val="left" w:pos="5940"/>
        </w:tabs>
        <w:autoSpaceDE w:val="0"/>
        <w:autoSpaceDN w:val="0"/>
        <w:adjustRightInd w:val="0"/>
        <w:snapToGrid w:val="0"/>
        <w:spacing w:line="360" w:lineRule="auto"/>
        <w:ind w:firstLine="2940"/>
        <w:jc w:val="left"/>
        <w:rPr>
          <w:rFonts w:hint="eastAsia" w:ascii="宋体" w:hAnsi="宋体" w:cs="宋体"/>
          <w:color w:val="auto"/>
          <w:kern w:val="0"/>
          <w:sz w:val="28"/>
          <w:szCs w:val="28"/>
          <w:highlight w:val="none"/>
        </w:rPr>
      </w:pPr>
    </w:p>
    <w:p w14:paraId="20DFDF78">
      <w:pPr>
        <w:tabs>
          <w:tab w:val="left" w:pos="2580"/>
          <w:tab w:val="left" w:pos="5940"/>
        </w:tabs>
        <w:autoSpaceDE w:val="0"/>
        <w:autoSpaceDN w:val="0"/>
        <w:adjustRightInd w:val="0"/>
        <w:snapToGrid w:val="0"/>
        <w:spacing w:line="360" w:lineRule="auto"/>
        <w:ind w:firstLine="2940"/>
        <w:jc w:val="left"/>
        <w:rPr>
          <w:rFonts w:hint="eastAsia" w:ascii="宋体" w:hAnsi="宋体" w:cs="宋体"/>
          <w:color w:val="auto"/>
          <w:kern w:val="0"/>
          <w:sz w:val="28"/>
          <w:szCs w:val="28"/>
          <w:highlight w:val="none"/>
        </w:rPr>
      </w:pPr>
    </w:p>
    <w:p w14:paraId="06996D18">
      <w:pPr>
        <w:tabs>
          <w:tab w:val="left" w:pos="2580"/>
          <w:tab w:val="left" w:pos="5940"/>
        </w:tabs>
        <w:autoSpaceDE w:val="0"/>
        <w:autoSpaceDN w:val="0"/>
        <w:adjustRightInd w:val="0"/>
        <w:snapToGrid w:val="0"/>
        <w:spacing w:line="360" w:lineRule="auto"/>
        <w:ind w:firstLine="2940"/>
        <w:jc w:val="left"/>
        <w:rPr>
          <w:rFonts w:hint="eastAsia" w:ascii="宋体" w:hAnsi="宋体" w:cs="宋体"/>
          <w:color w:val="auto"/>
          <w:kern w:val="0"/>
          <w:sz w:val="28"/>
          <w:szCs w:val="28"/>
          <w:highlight w:val="none"/>
        </w:rPr>
      </w:pPr>
    </w:p>
    <w:p w14:paraId="613A3DC3">
      <w:pPr>
        <w:tabs>
          <w:tab w:val="left" w:pos="2580"/>
          <w:tab w:val="left" w:pos="5940"/>
        </w:tabs>
        <w:autoSpaceDE w:val="0"/>
        <w:autoSpaceDN w:val="0"/>
        <w:adjustRightInd w:val="0"/>
        <w:snapToGrid w:val="0"/>
        <w:spacing w:line="360" w:lineRule="auto"/>
        <w:ind w:firstLine="2940"/>
        <w:jc w:val="left"/>
        <w:rPr>
          <w:rFonts w:hint="eastAsia" w:ascii="宋体" w:hAnsi="宋体" w:cs="宋体"/>
          <w:color w:val="auto"/>
          <w:kern w:val="0"/>
          <w:sz w:val="28"/>
          <w:szCs w:val="28"/>
          <w:highlight w:val="none"/>
        </w:rPr>
      </w:pPr>
    </w:p>
    <w:p w14:paraId="04A3DD66">
      <w:pPr>
        <w:tabs>
          <w:tab w:val="left" w:pos="2580"/>
          <w:tab w:val="left" w:pos="5940"/>
        </w:tabs>
        <w:autoSpaceDE w:val="0"/>
        <w:autoSpaceDN w:val="0"/>
        <w:adjustRightInd w:val="0"/>
        <w:snapToGrid w:val="0"/>
        <w:spacing w:line="360" w:lineRule="auto"/>
        <w:ind w:firstLine="2940"/>
        <w:jc w:val="left"/>
        <w:rPr>
          <w:rFonts w:hint="eastAsia" w:ascii="宋体" w:hAnsi="宋体" w:cs="宋体"/>
          <w:color w:val="auto"/>
          <w:kern w:val="0"/>
          <w:sz w:val="28"/>
          <w:szCs w:val="28"/>
          <w:highlight w:val="none"/>
        </w:rPr>
      </w:pPr>
    </w:p>
    <w:p w14:paraId="0C6A27B5">
      <w:pPr>
        <w:tabs>
          <w:tab w:val="left" w:pos="2580"/>
          <w:tab w:val="left" w:pos="5940"/>
        </w:tabs>
        <w:autoSpaceDE w:val="0"/>
        <w:autoSpaceDN w:val="0"/>
        <w:adjustRightInd w:val="0"/>
        <w:snapToGrid w:val="0"/>
        <w:spacing w:line="360" w:lineRule="auto"/>
        <w:ind w:firstLine="2940"/>
        <w:jc w:val="left"/>
        <w:rPr>
          <w:rFonts w:hint="eastAsia" w:ascii="宋体" w:hAnsi="宋体" w:cs="宋体"/>
          <w:color w:val="auto"/>
          <w:kern w:val="0"/>
          <w:sz w:val="28"/>
          <w:szCs w:val="28"/>
          <w:highlight w:val="none"/>
        </w:rPr>
      </w:pPr>
    </w:p>
    <w:p w14:paraId="135C0441">
      <w:pPr>
        <w:tabs>
          <w:tab w:val="left" w:pos="2580"/>
          <w:tab w:val="left" w:pos="5940"/>
        </w:tabs>
        <w:autoSpaceDE w:val="0"/>
        <w:autoSpaceDN w:val="0"/>
        <w:adjustRightInd w:val="0"/>
        <w:snapToGrid w:val="0"/>
        <w:spacing w:line="360" w:lineRule="auto"/>
        <w:ind w:firstLine="2940"/>
        <w:jc w:val="left"/>
        <w:rPr>
          <w:rFonts w:hint="eastAsia" w:ascii="宋体" w:hAnsi="宋体" w:cs="宋体"/>
          <w:color w:val="auto"/>
          <w:kern w:val="0"/>
          <w:sz w:val="28"/>
          <w:szCs w:val="28"/>
          <w:highlight w:val="none"/>
        </w:rPr>
      </w:pPr>
    </w:p>
    <w:p w14:paraId="3634EFCC">
      <w:pPr>
        <w:tabs>
          <w:tab w:val="left" w:pos="2580"/>
          <w:tab w:val="left" w:pos="5940"/>
        </w:tabs>
        <w:autoSpaceDE w:val="0"/>
        <w:autoSpaceDN w:val="0"/>
        <w:adjustRightInd w:val="0"/>
        <w:snapToGrid w:val="0"/>
        <w:spacing w:line="360" w:lineRule="auto"/>
        <w:ind w:firstLine="2940"/>
        <w:jc w:val="left"/>
        <w:rPr>
          <w:rFonts w:hint="eastAsia" w:ascii="宋体" w:hAnsi="宋体" w:cs="宋体"/>
          <w:color w:val="auto"/>
          <w:kern w:val="0"/>
          <w:sz w:val="28"/>
          <w:szCs w:val="28"/>
          <w:highlight w:val="none"/>
        </w:rPr>
      </w:pPr>
    </w:p>
    <w:p w14:paraId="798D77EC">
      <w:pPr>
        <w:tabs>
          <w:tab w:val="left" w:pos="2580"/>
          <w:tab w:val="left" w:pos="5940"/>
        </w:tabs>
        <w:autoSpaceDE w:val="0"/>
        <w:autoSpaceDN w:val="0"/>
        <w:adjustRightInd w:val="0"/>
        <w:snapToGrid w:val="0"/>
        <w:spacing w:line="360" w:lineRule="auto"/>
        <w:ind w:firstLine="2940"/>
        <w:jc w:val="left"/>
        <w:rPr>
          <w:rFonts w:hint="eastAsia" w:ascii="宋体" w:hAnsi="宋体" w:cs="宋体"/>
          <w:color w:val="auto"/>
          <w:kern w:val="0"/>
          <w:sz w:val="28"/>
          <w:szCs w:val="28"/>
          <w:highlight w:val="none"/>
        </w:rPr>
      </w:pPr>
    </w:p>
    <w:p w14:paraId="5C2BDD71">
      <w:pPr>
        <w:tabs>
          <w:tab w:val="left" w:pos="2580"/>
          <w:tab w:val="left" w:pos="5940"/>
        </w:tabs>
        <w:autoSpaceDE w:val="0"/>
        <w:autoSpaceDN w:val="0"/>
        <w:adjustRightInd w:val="0"/>
        <w:snapToGrid w:val="0"/>
        <w:spacing w:line="360" w:lineRule="auto"/>
        <w:ind w:firstLine="2940"/>
        <w:jc w:val="left"/>
        <w:rPr>
          <w:rFonts w:hint="eastAsia" w:ascii="宋体" w:hAnsi="宋体" w:cs="宋体"/>
          <w:color w:val="auto"/>
          <w:kern w:val="0"/>
          <w:sz w:val="28"/>
          <w:szCs w:val="28"/>
          <w:highlight w:val="none"/>
        </w:rPr>
      </w:pPr>
    </w:p>
    <w:p w14:paraId="6FA66015">
      <w:pPr>
        <w:tabs>
          <w:tab w:val="left" w:pos="2580"/>
          <w:tab w:val="left" w:pos="5940"/>
        </w:tabs>
        <w:autoSpaceDE w:val="0"/>
        <w:autoSpaceDN w:val="0"/>
        <w:adjustRightInd w:val="0"/>
        <w:snapToGrid w:val="0"/>
        <w:spacing w:line="360" w:lineRule="auto"/>
        <w:ind w:firstLine="2940"/>
        <w:jc w:val="left"/>
        <w:rPr>
          <w:rFonts w:hint="eastAsia" w:ascii="宋体" w:hAnsi="宋体" w:cs="宋体"/>
          <w:color w:val="auto"/>
          <w:kern w:val="0"/>
          <w:sz w:val="28"/>
          <w:szCs w:val="28"/>
          <w:highlight w:val="none"/>
        </w:rPr>
      </w:pPr>
    </w:p>
    <w:p w14:paraId="21F33F30">
      <w:pPr>
        <w:tabs>
          <w:tab w:val="left" w:pos="2580"/>
          <w:tab w:val="left" w:pos="5940"/>
        </w:tabs>
        <w:autoSpaceDE w:val="0"/>
        <w:autoSpaceDN w:val="0"/>
        <w:adjustRightInd w:val="0"/>
        <w:snapToGrid w:val="0"/>
        <w:spacing w:line="360" w:lineRule="auto"/>
        <w:ind w:firstLine="2940"/>
        <w:jc w:val="left"/>
        <w:rPr>
          <w:rFonts w:hint="eastAsia" w:ascii="宋体" w:hAnsi="宋体" w:cs="宋体"/>
          <w:color w:val="auto"/>
          <w:kern w:val="0"/>
          <w:sz w:val="28"/>
          <w:szCs w:val="28"/>
          <w:highlight w:val="none"/>
        </w:rPr>
      </w:pPr>
    </w:p>
    <w:p w14:paraId="0F8F37C3">
      <w:pPr>
        <w:tabs>
          <w:tab w:val="left" w:pos="2580"/>
          <w:tab w:val="left" w:pos="5940"/>
        </w:tabs>
        <w:autoSpaceDE w:val="0"/>
        <w:autoSpaceDN w:val="0"/>
        <w:adjustRightInd w:val="0"/>
        <w:snapToGrid w:val="0"/>
        <w:spacing w:line="360" w:lineRule="auto"/>
        <w:ind w:firstLine="2940"/>
        <w:jc w:val="left"/>
        <w:rPr>
          <w:rFonts w:hint="eastAsia" w:ascii="宋体" w:hAnsi="宋体" w:cs="宋体"/>
          <w:color w:val="auto"/>
          <w:kern w:val="0"/>
          <w:sz w:val="28"/>
          <w:szCs w:val="28"/>
          <w:highlight w:val="none"/>
        </w:rPr>
      </w:pPr>
    </w:p>
    <w:p w14:paraId="54E39D18">
      <w:pPr>
        <w:tabs>
          <w:tab w:val="left" w:pos="2580"/>
          <w:tab w:val="left" w:pos="5940"/>
        </w:tabs>
        <w:autoSpaceDE w:val="0"/>
        <w:autoSpaceDN w:val="0"/>
        <w:adjustRightInd w:val="0"/>
        <w:snapToGrid w:val="0"/>
        <w:spacing w:line="360" w:lineRule="auto"/>
        <w:ind w:firstLine="2940"/>
        <w:jc w:val="left"/>
        <w:rPr>
          <w:rFonts w:hint="eastAsia" w:ascii="宋体" w:hAnsi="宋体" w:cs="宋体"/>
          <w:color w:val="auto"/>
          <w:kern w:val="0"/>
          <w:sz w:val="28"/>
          <w:szCs w:val="28"/>
          <w:highlight w:val="none"/>
        </w:rPr>
      </w:pPr>
    </w:p>
    <w:p w14:paraId="2ACC54F4">
      <w:pPr>
        <w:tabs>
          <w:tab w:val="left" w:pos="2580"/>
          <w:tab w:val="left" w:pos="5940"/>
        </w:tabs>
        <w:autoSpaceDE w:val="0"/>
        <w:autoSpaceDN w:val="0"/>
        <w:adjustRightInd w:val="0"/>
        <w:snapToGrid w:val="0"/>
        <w:spacing w:line="360" w:lineRule="auto"/>
        <w:ind w:firstLine="2940"/>
        <w:jc w:val="left"/>
        <w:rPr>
          <w:rFonts w:hint="eastAsia" w:ascii="宋体" w:hAnsi="宋体" w:cs="宋体"/>
          <w:color w:val="auto"/>
          <w:kern w:val="0"/>
          <w:sz w:val="28"/>
          <w:szCs w:val="28"/>
          <w:highlight w:val="none"/>
        </w:rPr>
      </w:pPr>
    </w:p>
    <w:p w14:paraId="236AFF19">
      <w:pPr>
        <w:tabs>
          <w:tab w:val="left" w:pos="2580"/>
          <w:tab w:val="left" w:pos="5940"/>
        </w:tabs>
        <w:autoSpaceDE w:val="0"/>
        <w:autoSpaceDN w:val="0"/>
        <w:adjustRightInd w:val="0"/>
        <w:snapToGrid w:val="0"/>
        <w:spacing w:line="360" w:lineRule="auto"/>
        <w:ind w:firstLine="2940"/>
        <w:jc w:val="left"/>
        <w:rPr>
          <w:rFonts w:hint="eastAsia" w:ascii="宋体" w:hAnsi="宋体" w:cs="宋体"/>
          <w:color w:val="auto"/>
          <w:kern w:val="0"/>
          <w:sz w:val="28"/>
          <w:szCs w:val="28"/>
          <w:highlight w:val="none"/>
        </w:rPr>
      </w:pPr>
    </w:p>
    <w:p w14:paraId="2697062F">
      <w:pPr>
        <w:tabs>
          <w:tab w:val="left" w:pos="2580"/>
          <w:tab w:val="left" w:pos="5940"/>
        </w:tabs>
        <w:autoSpaceDE w:val="0"/>
        <w:autoSpaceDN w:val="0"/>
        <w:adjustRightInd w:val="0"/>
        <w:snapToGrid w:val="0"/>
        <w:spacing w:line="360" w:lineRule="auto"/>
        <w:ind w:firstLine="2940"/>
        <w:jc w:val="left"/>
        <w:rPr>
          <w:rFonts w:hint="eastAsia" w:ascii="宋体" w:hAnsi="宋体" w:cs="宋体"/>
          <w:color w:val="auto"/>
          <w:kern w:val="0"/>
          <w:sz w:val="28"/>
          <w:szCs w:val="28"/>
          <w:highlight w:val="none"/>
        </w:rPr>
      </w:pPr>
    </w:p>
    <w:p w14:paraId="15A0A070">
      <w:pPr>
        <w:tabs>
          <w:tab w:val="left" w:pos="2580"/>
          <w:tab w:val="left" w:pos="5940"/>
        </w:tabs>
        <w:autoSpaceDE w:val="0"/>
        <w:autoSpaceDN w:val="0"/>
        <w:adjustRightInd w:val="0"/>
        <w:snapToGrid w:val="0"/>
        <w:spacing w:line="360" w:lineRule="auto"/>
        <w:jc w:val="left"/>
        <w:rPr>
          <w:rFonts w:hint="eastAsia" w:ascii="宋体" w:hAnsi="宋体" w:cs="宋体"/>
          <w:color w:val="auto"/>
          <w:kern w:val="0"/>
          <w:sz w:val="28"/>
          <w:szCs w:val="28"/>
          <w:highlight w:val="none"/>
          <w:u w:val="single"/>
        </w:rPr>
      </w:pPr>
      <w:r>
        <w:rPr>
          <w:rFonts w:hint="eastAsia" w:ascii="宋体" w:hAnsi="宋体" w:cs="宋体"/>
          <w:color w:val="auto"/>
          <w:kern w:val="0"/>
          <w:sz w:val="28"/>
          <w:szCs w:val="28"/>
          <w:highlight w:val="none"/>
          <w:u w:val="single"/>
        </w:rPr>
        <w:br w:type="page"/>
      </w:r>
    </w:p>
    <w:p w14:paraId="11149D21">
      <w:pPr>
        <w:tabs>
          <w:tab w:val="left" w:pos="2580"/>
          <w:tab w:val="left" w:pos="5940"/>
        </w:tabs>
        <w:autoSpaceDE w:val="0"/>
        <w:autoSpaceDN w:val="0"/>
        <w:adjustRightInd w:val="0"/>
        <w:snapToGrid w:val="0"/>
        <w:spacing w:line="360" w:lineRule="auto"/>
        <w:jc w:val="left"/>
        <w:rPr>
          <w:rFonts w:hint="eastAsia" w:ascii="宋体" w:hAnsi="宋体" w:cs="宋体"/>
          <w:color w:val="auto"/>
          <w:kern w:val="0"/>
          <w:sz w:val="28"/>
          <w:szCs w:val="28"/>
          <w:highlight w:val="none"/>
          <w:u w:val="single"/>
        </w:rPr>
      </w:pPr>
    </w:p>
    <w:p w14:paraId="0AC76A36">
      <w:pPr>
        <w:tabs>
          <w:tab w:val="left" w:pos="2845"/>
          <w:tab w:val="left" w:pos="5940"/>
        </w:tabs>
        <w:autoSpaceDE w:val="0"/>
        <w:autoSpaceDN w:val="0"/>
        <w:adjustRightInd w:val="0"/>
        <w:snapToGrid w:val="0"/>
        <w:spacing w:line="360" w:lineRule="auto"/>
        <w:jc w:val="center"/>
        <w:rPr>
          <w:rFonts w:hint="eastAsia" w:ascii="宋体" w:hAnsi="宋体" w:eastAsia="宋体" w:cs="宋体"/>
          <w:b/>
          <w:color w:val="auto"/>
          <w:kern w:val="0"/>
          <w:sz w:val="28"/>
          <w:szCs w:val="28"/>
          <w:highlight w:val="none"/>
          <w:lang w:val="en-US" w:eastAsia="zh-CN"/>
        </w:rPr>
      </w:pPr>
      <w:r>
        <w:rPr>
          <w:rFonts w:hint="eastAsia" w:ascii="宋体" w:hAnsi="宋体" w:cs="宋体"/>
          <w:b/>
          <w:color w:val="auto"/>
          <w:w w:val="99"/>
          <w:kern w:val="0"/>
          <w:sz w:val="28"/>
          <w:szCs w:val="28"/>
          <w:highlight w:val="none"/>
          <w:u w:val="single"/>
          <w:lang w:val="en-US" w:eastAsia="zh-CN"/>
        </w:rPr>
        <w:t xml:space="preserve">                                </w:t>
      </w:r>
      <w:r>
        <w:rPr>
          <w:rFonts w:hint="eastAsia" w:ascii="宋体" w:hAnsi="宋体" w:cs="宋体"/>
          <w:b/>
          <w:color w:val="auto"/>
          <w:w w:val="99"/>
          <w:kern w:val="0"/>
          <w:sz w:val="28"/>
          <w:szCs w:val="28"/>
          <w:highlight w:val="none"/>
        </w:rPr>
        <w:t>（项目名称</w:t>
      </w:r>
      <w:r>
        <w:rPr>
          <w:rFonts w:hint="eastAsia" w:ascii="宋体" w:hAnsi="宋体" w:cs="宋体"/>
          <w:b/>
          <w:color w:val="auto"/>
          <w:spacing w:val="1"/>
          <w:w w:val="99"/>
          <w:kern w:val="0"/>
          <w:sz w:val="28"/>
          <w:szCs w:val="28"/>
          <w:highlight w:val="none"/>
        </w:rPr>
        <w:t>）</w:t>
      </w:r>
      <w:r>
        <w:rPr>
          <w:rFonts w:hint="eastAsia" w:ascii="宋体" w:hAnsi="宋体" w:cs="宋体"/>
          <w:b/>
          <w:color w:val="auto"/>
          <w:w w:val="99"/>
          <w:kern w:val="0"/>
          <w:sz w:val="28"/>
          <w:szCs w:val="28"/>
          <w:highlight w:val="none"/>
          <w:u w:val="single"/>
          <w:lang w:val="en-US" w:eastAsia="zh-CN"/>
        </w:rPr>
        <w:t xml:space="preserve">     </w:t>
      </w:r>
      <w:r>
        <w:rPr>
          <w:rFonts w:hint="eastAsia" w:ascii="宋体" w:hAnsi="宋体" w:eastAsia="宋体" w:cs="宋体"/>
          <w:b/>
          <w:color w:val="auto"/>
          <w:w w:val="99"/>
          <w:kern w:val="0"/>
          <w:sz w:val="28"/>
          <w:szCs w:val="28"/>
          <w:highlight w:val="none"/>
          <w:u w:val="single"/>
          <w:lang w:eastAsia="zh-CN"/>
        </w:rPr>
        <w:t>（</w:t>
      </w:r>
      <w:r>
        <w:rPr>
          <w:rFonts w:hint="eastAsia" w:ascii="宋体" w:hAnsi="宋体" w:eastAsia="宋体" w:cs="宋体"/>
          <w:b/>
          <w:color w:val="auto"/>
          <w:w w:val="99"/>
          <w:kern w:val="0"/>
          <w:sz w:val="28"/>
          <w:szCs w:val="28"/>
          <w:highlight w:val="none"/>
          <w:u w:val="single"/>
          <w:lang w:val="en-US" w:eastAsia="zh-CN"/>
        </w:rPr>
        <w:t xml:space="preserve">  </w:t>
      </w:r>
      <w:r>
        <w:rPr>
          <w:rFonts w:hint="eastAsia" w:ascii="宋体" w:hAnsi="宋体" w:eastAsia="宋体" w:cs="宋体"/>
          <w:b/>
          <w:color w:val="auto"/>
          <w:w w:val="99"/>
          <w:kern w:val="0"/>
          <w:sz w:val="28"/>
          <w:szCs w:val="28"/>
          <w:highlight w:val="none"/>
          <w:u w:val="single"/>
          <w:lang w:eastAsia="zh-CN"/>
        </w:rPr>
        <w:t>标段）</w:t>
      </w:r>
      <w:r>
        <w:rPr>
          <w:rFonts w:hint="eastAsia" w:ascii="宋体" w:hAnsi="宋体" w:eastAsia="宋体" w:cs="宋体"/>
          <w:b/>
          <w:color w:val="auto"/>
          <w:w w:val="99"/>
          <w:kern w:val="0"/>
          <w:sz w:val="28"/>
          <w:szCs w:val="28"/>
          <w:highlight w:val="none"/>
          <w:lang w:val="en-US" w:eastAsia="zh-CN"/>
        </w:rPr>
        <w:t xml:space="preserve"> </w:t>
      </w:r>
      <w:r>
        <w:rPr>
          <w:rFonts w:hint="eastAsia" w:ascii="宋体" w:hAnsi="宋体" w:cs="宋体"/>
          <w:b/>
          <w:color w:val="auto"/>
          <w:w w:val="99"/>
          <w:kern w:val="0"/>
          <w:sz w:val="28"/>
          <w:szCs w:val="28"/>
          <w:highlight w:val="none"/>
          <w:u w:val="single"/>
          <w:lang w:val="en-US" w:eastAsia="zh-CN"/>
        </w:rPr>
        <w:t xml:space="preserve">   </w:t>
      </w:r>
    </w:p>
    <w:p w14:paraId="7C10DCD8">
      <w:pPr>
        <w:tabs>
          <w:tab w:val="left" w:pos="3600"/>
          <w:tab w:val="left" w:pos="4480"/>
          <w:tab w:val="left" w:pos="5360"/>
        </w:tabs>
        <w:autoSpaceDE w:val="0"/>
        <w:autoSpaceDN w:val="0"/>
        <w:adjustRightInd w:val="0"/>
        <w:snapToGrid w:val="0"/>
        <w:spacing w:line="360" w:lineRule="auto"/>
        <w:jc w:val="left"/>
        <w:rPr>
          <w:rFonts w:hint="eastAsia" w:ascii="宋体" w:hAnsi="宋体" w:cs="宋体"/>
          <w:color w:val="auto"/>
          <w:kern w:val="0"/>
          <w:sz w:val="44"/>
          <w:szCs w:val="44"/>
          <w:highlight w:val="none"/>
          <w:lang w:val="en-US" w:eastAsia="zh-CN"/>
        </w:rPr>
      </w:pPr>
    </w:p>
    <w:p w14:paraId="2D35758D">
      <w:pPr>
        <w:pStyle w:val="19"/>
        <w:rPr>
          <w:rFonts w:hint="eastAsia" w:ascii="宋体" w:hAnsi="宋体" w:cs="宋体"/>
          <w:color w:val="auto"/>
          <w:kern w:val="0"/>
          <w:sz w:val="44"/>
          <w:szCs w:val="44"/>
          <w:highlight w:val="none"/>
          <w:lang w:val="en-US" w:eastAsia="zh-CN"/>
        </w:rPr>
      </w:pPr>
    </w:p>
    <w:p w14:paraId="7A91F687">
      <w:pPr>
        <w:rPr>
          <w:rFonts w:hint="eastAsia" w:ascii="宋体" w:hAnsi="宋体" w:cs="宋体"/>
          <w:color w:val="auto"/>
          <w:kern w:val="0"/>
          <w:sz w:val="44"/>
          <w:szCs w:val="44"/>
          <w:highlight w:val="none"/>
          <w:lang w:val="en-US" w:eastAsia="zh-CN"/>
        </w:rPr>
      </w:pPr>
    </w:p>
    <w:p w14:paraId="4FF1E3AE">
      <w:pPr>
        <w:pStyle w:val="19"/>
        <w:rPr>
          <w:rFonts w:hint="eastAsia" w:ascii="宋体" w:hAnsi="宋体" w:cs="宋体"/>
          <w:color w:val="auto"/>
          <w:kern w:val="0"/>
          <w:sz w:val="44"/>
          <w:szCs w:val="44"/>
          <w:highlight w:val="none"/>
          <w:lang w:val="en-US" w:eastAsia="zh-CN"/>
        </w:rPr>
      </w:pPr>
    </w:p>
    <w:p w14:paraId="030099B7">
      <w:pPr>
        <w:rPr>
          <w:rFonts w:hint="eastAsia"/>
          <w:highlight w:val="none"/>
          <w:lang w:val="en-US" w:eastAsia="zh-CN"/>
        </w:rPr>
      </w:pPr>
    </w:p>
    <w:p w14:paraId="1AC6AE1C">
      <w:pPr>
        <w:pStyle w:val="19"/>
        <w:rPr>
          <w:rFonts w:hint="eastAsia"/>
          <w:highlight w:val="none"/>
          <w:lang w:val="en-US" w:eastAsia="zh-CN"/>
        </w:rPr>
      </w:pPr>
    </w:p>
    <w:p w14:paraId="29DA4C74">
      <w:pPr>
        <w:tabs>
          <w:tab w:val="left" w:pos="3600"/>
          <w:tab w:val="left" w:pos="4480"/>
          <w:tab w:val="left" w:pos="5360"/>
        </w:tabs>
        <w:autoSpaceDE w:val="0"/>
        <w:autoSpaceDN w:val="0"/>
        <w:adjustRightInd w:val="0"/>
        <w:snapToGrid w:val="0"/>
        <w:spacing w:line="360" w:lineRule="auto"/>
        <w:jc w:val="center"/>
        <w:rPr>
          <w:rFonts w:hint="eastAsia" w:ascii="宋体" w:hAnsi="宋体" w:cs="宋体"/>
          <w:b/>
          <w:color w:val="auto"/>
          <w:kern w:val="0"/>
          <w:sz w:val="84"/>
          <w:szCs w:val="84"/>
          <w:highlight w:val="none"/>
        </w:rPr>
      </w:pPr>
      <w:r>
        <w:rPr>
          <w:rFonts w:hint="eastAsia" w:ascii="宋体" w:hAnsi="宋体" w:cs="宋体"/>
          <w:b/>
          <w:color w:val="auto"/>
          <w:kern w:val="0"/>
          <w:sz w:val="84"/>
          <w:szCs w:val="84"/>
          <w:highlight w:val="none"/>
        </w:rPr>
        <w:t>比选申请文件</w:t>
      </w:r>
    </w:p>
    <w:p w14:paraId="698E2C72">
      <w:pPr>
        <w:autoSpaceDE w:val="0"/>
        <w:autoSpaceDN w:val="0"/>
        <w:adjustRightInd w:val="0"/>
        <w:snapToGrid w:val="0"/>
        <w:spacing w:line="360" w:lineRule="auto"/>
        <w:jc w:val="left"/>
        <w:rPr>
          <w:rFonts w:hint="eastAsia" w:ascii="宋体" w:hAnsi="宋体" w:cs="宋体"/>
          <w:color w:val="auto"/>
          <w:kern w:val="0"/>
          <w:sz w:val="16"/>
          <w:szCs w:val="16"/>
          <w:highlight w:val="none"/>
        </w:rPr>
      </w:pPr>
    </w:p>
    <w:p w14:paraId="0A198F36">
      <w:pPr>
        <w:autoSpaceDE w:val="0"/>
        <w:autoSpaceDN w:val="0"/>
        <w:adjustRightInd w:val="0"/>
        <w:snapToGrid w:val="0"/>
        <w:spacing w:line="360" w:lineRule="auto"/>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比选申请函部分</w:t>
      </w:r>
    </w:p>
    <w:p w14:paraId="280E8C75">
      <w:pPr>
        <w:autoSpaceDE w:val="0"/>
        <w:autoSpaceDN w:val="0"/>
        <w:adjustRightInd w:val="0"/>
        <w:snapToGrid w:val="0"/>
        <w:spacing w:line="360" w:lineRule="auto"/>
        <w:jc w:val="left"/>
        <w:rPr>
          <w:rFonts w:hint="eastAsia" w:ascii="宋体" w:hAnsi="宋体" w:cs="宋体"/>
          <w:b/>
          <w:color w:val="auto"/>
          <w:kern w:val="0"/>
          <w:sz w:val="20"/>
          <w:szCs w:val="20"/>
          <w:highlight w:val="none"/>
        </w:rPr>
      </w:pPr>
    </w:p>
    <w:p w14:paraId="41E0F9CD">
      <w:pPr>
        <w:autoSpaceDE w:val="0"/>
        <w:autoSpaceDN w:val="0"/>
        <w:adjustRightInd w:val="0"/>
        <w:snapToGrid w:val="0"/>
        <w:spacing w:line="360" w:lineRule="auto"/>
        <w:jc w:val="left"/>
        <w:rPr>
          <w:rFonts w:hint="eastAsia" w:ascii="宋体" w:hAnsi="宋体" w:cs="宋体"/>
          <w:b/>
          <w:color w:val="auto"/>
          <w:kern w:val="0"/>
          <w:sz w:val="20"/>
          <w:szCs w:val="20"/>
          <w:highlight w:val="none"/>
        </w:rPr>
      </w:pPr>
    </w:p>
    <w:p w14:paraId="6BFC522F">
      <w:pPr>
        <w:autoSpaceDE w:val="0"/>
        <w:autoSpaceDN w:val="0"/>
        <w:adjustRightInd w:val="0"/>
        <w:snapToGrid w:val="0"/>
        <w:spacing w:line="360" w:lineRule="auto"/>
        <w:jc w:val="left"/>
        <w:rPr>
          <w:rFonts w:hint="eastAsia" w:ascii="宋体" w:hAnsi="宋体" w:cs="宋体"/>
          <w:b/>
          <w:color w:val="auto"/>
          <w:kern w:val="0"/>
          <w:sz w:val="20"/>
          <w:szCs w:val="20"/>
          <w:highlight w:val="none"/>
        </w:rPr>
      </w:pPr>
    </w:p>
    <w:p w14:paraId="6F4D20D1">
      <w:pPr>
        <w:autoSpaceDE w:val="0"/>
        <w:autoSpaceDN w:val="0"/>
        <w:adjustRightInd w:val="0"/>
        <w:snapToGrid w:val="0"/>
        <w:spacing w:line="360" w:lineRule="auto"/>
        <w:jc w:val="left"/>
        <w:rPr>
          <w:rFonts w:hint="eastAsia" w:ascii="宋体" w:hAnsi="宋体" w:cs="宋体"/>
          <w:b/>
          <w:color w:val="auto"/>
          <w:kern w:val="0"/>
          <w:sz w:val="20"/>
          <w:szCs w:val="20"/>
          <w:highlight w:val="none"/>
        </w:rPr>
      </w:pPr>
    </w:p>
    <w:p w14:paraId="29A524A5">
      <w:pPr>
        <w:autoSpaceDE w:val="0"/>
        <w:autoSpaceDN w:val="0"/>
        <w:adjustRightInd w:val="0"/>
        <w:snapToGrid w:val="0"/>
        <w:spacing w:line="360" w:lineRule="auto"/>
        <w:jc w:val="left"/>
        <w:rPr>
          <w:rFonts w:hint="eastAsia" w:ascii="宋体" w:hAnsi="宋体" w:cs="宋体"/>
          <w:b/>
          <w:color w:val="auto"/>
          <w:kern w:val="0"/>
          <w:sz w:val="20"/>
          <w:szCs w:val="20"/>
          <w:highlight w:val="none"/>
        </w:rPr>
      </w:pPr>
    </w:p>
    <w:p w14:paraId="6324B556">
      <w:pPr>
        <w:autoSpaceDE w:val="0"/>
        <w:autoSpaceDN w:val="0"/>
        <w:adjustRightInd w:val="0"/>
        <w:snapToGrid w:val="0"/>
        <w:spacing w:line="360" w:lineRule="auto"/>
        <w:jc w:val="left"/>
        <w:rPr>
          <w:rFonts w:hint="eastAsia" w:ascii="宋体" w:hAnsi="宋体" w:cs="宋体"/>
          <w:b/>
          <w:color w:val="auto"/>
          <w:kern w:val="0"/>
          <w:sz w:val="20"/>
          <w:szCs w:val="20"/>
          <w:highlight w:val="none"/>
        </w:rPr>
      </w:pPr>
    </w:p>
    <w:p w14:paraId="7E4D5AC5">
      <w:pPr>
        <w:autoSpaceDE w:val="0"/>
        <w:autoSpaceDN w:val="0"/>
        <w:adjustRightInd w:val="0"/>
        <w:snapToGrid w:val="0"/>
        <w:spacing w:line="360" w:lineRule="auto"/>
        <w:jc w:val="left"/>
        <w:rPr>
          <w:rFonts w:hint="eastAsia" w:ascii="宋体" w:hAnsi="宋体" w:cs="宋体"/>
          <w:b/>
          <w:color w:val="auto"/>
          <w:kern w:val="0"/>
          <w:sz w:val="20"/>
          <w:szCs w:val="20"/>
          <w:highlight w:val="none"/>
        </w:rPr>
      </w:pPr>
    </w:p>
    <w:p w14:paraId="2C48903E">
      <w:pPr>
        <w:autoSpaceDE w:val="0"/>
        <w:autoSpaceDN w:val="0"/>
        <w:adjustRightInd w:val="0"/>
        <w:snapToGrid w:val="0"/>
        <w:spacing w:line="360" w:lineRule="auto"/>
        <w:jc w:val="left"/>
        <w:rPr>
          <w:rFonts w:hint="eastAsia" w:ascii="宋体" w:hAnsi="宋体" w:cs="宋体"/>
          <w:b/>
          <w:color w:val="auto"/>
          <w:kern w:val="0"/>
          <w:sz w:val="20"/>
          <w:szCs w:val="20"/>
          <w:highlight w:val="none"/>
        </w:rPr>
      </w:pPr>
    </w:p>
    <w:p w14:paraId="1C42E498">
      <w:pPr>
        <w:autoSpaceDE w:val="0"/>
        <w:autoSpaceDN w:val="0"/>
        <w:adjustRightInd w:val="0"/>
        <w:snapToGrid w:val="0"/>
        <w:spacing w:line="360" w:lineRule="auto"/>
        <w:jc w:val="left"/>
        <w:rPr>
          <w:rFonts w:hint="eastAsia" w:ascii="宋体" w:hAnsi="宋体" w:cs="宋体"/>
          <w:b/>
          <w:color w:val="auto"/>
          <w:kern w:val="0"/>
          <w:sz w:val="20"/>
          <w:szCs w:val="20"/>
          <w:highlight w:val="none"/>
        </w:rPr>
      </w:pPr>
    </w:p>
    <w:p w14:paraId="011AA6EC">
      <w:pPr>
        <w:autoSpaceDE w:val="0"/>
        <w:autoSpaceDN w:val="0"/>
        <w:adjustRightInd w:val="0"/>
        <w:snapToGrid w:val="0"/>
        <w:spacing w:line="360" w:lineRule="auto"/>
        <w:jc w:val="left"/>
        <w:rPr>
          <w:rFonts w:hint="eastAsia" w:ascii="宋体" w:hAnsi="宋体" w:cs="宋体"/>
          <w:b/>
          <w:color w:val="auto"/>
          <w:kern w:val="0"/>
          <w:sz w:val="20"/>
          <w:szCs w:val="20"/>
          <w:highlight w:val="none"/>
        </w:rPr>
      </w:pPr>
    </w:p>
    <w:p w14:paraId="2A265C04">
      <w:pPr>
        <w:autoSpaceDE w:val="0"/>
        <w:autoSpaceDN w:val="0"/>
        <w:adjustRightInd w:val="0"/>
        <w:snapToGrid w:val="0"/>
        <w:spacing w:line="360" w:lineRule="auto"/>
        <w:jc w:val="left"/>
        <w:rPr>
          <w:rFonts w:hint="eastAsia" w:ascii="宋体" w:hAnsi="宋体" w:cs="宋体"/>
          <w:b/>
          <w:color w:val="auto"/>
          <w:kern w:val="0"/>
          <w:sz w:val="20"/>
          <w:szCs w:val="20"/>
          <w:highlight w:val="none"/>
        </w:rPr>
      </w:pPr>
    </w:p>
    <w:p w14:paraId="33CCAED7">
      <w:pPr>
        <w:tabs>
          <w:tab w:val="left" w:pos="6080"/>
          <w:tab w:val="left" w:pos="6640"/>
        </w:tabs>
        <w:autoSpaceDE w:val="0"/>
        <w:autoSpaceDN w:val="0"/>
        <w:adjustRightInd w:val="0"/>
        <w:snapToGrid w:val="0"/>
        <w:spacing w:line="360" w:lineRule="auto"/>
        <w:jc w:val="center"/>
        <w:rPr>
          <w:rFonts w:hint="eastAsia" w:ascii="宋体" w:hAnsi="宋体" w:cs="宋体"/>
          <w:b/>
          <w:color w:val="auto"/>
          <w:w w:val="99"/>
          <w:kern w:val="0"/>
          <w:sz w:val="28"/>
          <w:szCs w:val="28"/>
          <w:highlight w:val="none"/>
        </w:rPr>
      </w:pPr>
      <w:r>
        <w:rPr>
          <w:rFonts w:hint="eastAsia" w:ascii="宋体" w:hAnsi="宋体" w:cs="宋体"/>
          <w:b/>
          <w:color w:val="auto"/>
          <w:w w:val="99"/>
          <w:kern w:val="0"/>
          <w:sz w:val="28"/>
          <w:szCs w:val="28"/>
          <w:highlight w:val="none"/>
        </w:rPr>
        <w:t>比选申请人</w:t>
      </w:r>
      <w:r>
        <w:rPr>
          <w:rFonts w:hint="eastAsia" w:ascii="宋体" w:hAnsi="宋体" w:cs="宋体"/>
          <w:b/>
          <w:color w:val="auto"/>
          <w:spacing w:val="1"/>
          <w:w w:val="99"/>
          <w:kern w:val="0"/>
          <w:sz w:val="28"/>
          <w:szCs w:val="28"/>
          <w:highlight w:val="none"/>
        </w:rPr>
        <w:t>：</w:t>
      </w:r>
      <w:r>
        <w:rPr>
          <w:rFonts w:hint="eastAsia" w:ascii="宋体" w:hAnsi="宋体" w:cs="宋体"/>
          <w:b/>
          <w:color w:val="auto"/>
          <w:w w:val="198"/>
          <w:kern w:val="0"/>
          <w:sz w:val="28"/>
          <w:szCs w:val="28"/>
          <w:highlight w:val="none"/>
          <w:u w:val="single"/>
        </w:rPr>
        <w:t xml:space="preserve"> 　　　　 　　</w:t>
      </w:r>
      <w:r>
        <w:rPr>
          <w:rFonts w:hint="eastAsia" w:ascii="宋体" w:hAnsi="宋体" w:cs="宋体"/>
          <w:b/>
          <w:color w:val="auto"/>
          <w:w w:val="99"/>
          <w:kern w:val="0"/>
          <w:sz w:val="28"/>
          <w:szCs w:val="28"/>
          <w:highlight w:val="none"/>
        </w:rPr>
        <w:t>（盖单位法人章）</w:t>
      </w:r>
    </w:p>
    <w:p w14:paraId="0DD40801">
      <w:pPr>
        <w:tabs>
          <w:tab w:val="left" w:pos="6080"/>
          <w:tab w:val="left" w:pos="6640"/>
        </w:tabs>
        <w:autoSpaceDE w:val="0"/>
        <w:autoSpaceDN w:val="0"/>
        <w:adjustRightInd w:val="0"/>
        <w:snapToGrid w:val="0"/>
        <w:spacing w:line="360" w:lineRule="auto"/>
        <w:jc w:val="center"/>
        <w:rPr>
          <w:rFonts w:hint="eastAsia" w:ascii="宋体" w:hAnsi="宋体" w:cs="宋体"/>
          <w:b/>
          <w:color w:val="auto"/>
          <w:kern w:val="0"/>
          <w:sz w:val="28"/>
          <w:szCs w:val="28"/>
          <w:highlight w:val="none"/>
        </w:rPr>
      </w:pPr>
      <w:r>
        <w:rPr>
          <w:rFonts w:hint="eastAsia" w:ascii="宋体" w:hAnsi="宋体" w:cs="宋体"/>
          <w:b/>
          <w:color w:val="auto"/>
          <w:w w:val="99"/>
          <w:kern w:val="0"/>
          <w:sz w:val="28"/>
          <w:szCs w:val="28"/>
          <w:highlight w:val="none"/>
        </w:rPr>
        <w:t>法定代表人或其委托代理人：</w:t>
      </w:r>
      <w:r>
        <w:rPr>
          <w:rFonts w:hint="eastAsia" w:ascii="宋体" w:hAnsi="宋体" w:cs="宋体"/>
          <w:b/>
          <w:color w:val="auto"/>
          <w:w w:val="198"/>
          <w:kern w:val="0"/>
          <w:sz w:val="28"/>
          <w:szCs w:val="28"/>
          <w:highlight w:val="none"/>
          <w:u w:val="single"/>
        </w:rPr>
        <w:t xml:space="preserve"> 　　 　</w:t>
      </w:r>
      <w:r>
        <w:rPr>
          <w:rFonts w:hint="eastAsia" w:ascii="宋体" w:hAnsi="宋体" w:cs="宋体"/>
          <w:b/>
          <w:color w:val="auto"/>
          <w:w w:val="99"/>
          <w:kern w:val="0"/>
          <w:sz w:val="28"/>
          <w:szCs w:val="28"/>
          <w:highlight w:val="none"/>
        </w:rPr>
        <w:t>（签字）</w:t>
      </w:r>
    </w:p>
    <w:p w14:paraId="79874441">
      <w:pPr>
        <w:tabs>
          <w:tab w:val="left" w:pos="3280"/>
          <w:tab w:val="left" w:pos="4680"/>
          <w:tab w:val="left" w:pos="6080"/>
        </w:tabs>
        <w:autoSpaceDE w:val="0"/>
        <w:autoSpaceDN w:val="0"/>
        <w:adjustRightInd w:val="0"/>
        <w:snapToGrid w:val="0"/>
        <w:spacing w:line="360" w:lineRule="auto"/>
        <w:jc w:val="center"/>
        <w:rPr>
          <w:rFonts w:hint="eastAsia" w:ascii="宋体" w:hAnsi="宋体" w:cs="宋体"/>
          <w:b/>
          <w:color w:val="auto"/>
          <w:kern w:val="0"/>
          <w:sz w:val="28"/>
          <w:szCs w:val="28"/>
          <w:highlight w:val="none"/>
        </w:rPr>
      </w:pPr>
      <w:r>
        <w:rPr>
          <w:rFonts w:hint="eastAsia" w:ascii="宋体" w:hAnsi="宋体" w:cs="宋体"/>
          <w:b/>
          <w:color w:val="auto"/>
          <w:w w:val="99"/>
          <w:kern w:val="0"/>
          <w:sz w:val="28"/>
          <w:szCs w:val="28"/>
          <w:highlight w:val="none"/>
          <w:u w:val="single"/>
        </w:rPr>
        <w:t xml:space="preserve">     　</w:t>
      </w:r>
      <w:r>
        <w:rPr>
          <w:rFonts w:hint="eastAsia" w:ascii="宋体" w:hAnsi="宋体" w:cs="宋体"/>
          <w:b/>
          <w:color w:val="auto"/>
          <w:w w:val="99"/>
          <w:kern w:val="0"/>
          <w:sz w:val="28"/>
          <w:szCs w:val="28"/>
          <w:highlight w:val="none"/>
        </w:rPr>
        <w:t>年</w:t>
      </w:r>
      <w:r>
        <w:rPr>
          <w:rFonts w:hint="eastAsia" w:ascii="宋体" w:hAnsi="宋体" w:cs="宋体"/>
          <w:b/>
          <w:color w:val="auto"/>
          <w:w w:val="198"/>
          <w:kern w:val="0"/>
          <w:sz w:val="28"/>
          <w:szCs w:val="28"/>
          <w:highlight w:val="none"/>
          <w:u w:val="single"/>
        </w:rPr>
        <w:t xml:space="preserve">  </w:t>
      </w:r>
      <w:r>
        <w:rPr>
          <w:rFonts w:hint="eastAsia" w:ascii="宋体" w:hAnsi="宋体" w:cs="宋体"/>
          <w:b/>
          <w:color w:val="auto"/>
          <w:w w:val="99"/>
          <w:kern w:val="0"/>
          <w:sz w:val="28"/>
          <w:szCs w:val="28"/>
          <w:highlight w:val="none"/>
        </w:rPr>
        <w:t>月</w:t>
      </w:r>
      <w:r>
        <w:rPr>
          <w:rFonts w:hint="eastAsia" w:ascii="宋体" w:hAnsi="宋体" w:cs="宋体"/>
          <w:b/>
          <w:color w:val="auto"/>
          <w:w w:val="198"/>
          <w:kern w:val="0"/>
          <w:sz w:val="28"/>
          <w:szCs w:val="28"/>
          <w:highlight w:val="none"/>
          <w:u w:val="single"/>
        </w:rPr>
        <w:t xml:space="preserve">  </w:t>
      </w:r>
      <w:r>
        <w:rPr>
          <w:rFonts w:hint="eastAsia" w:ascii="宋体" w:hAnsi="宋体" w:cs="宋体"/>
          <w:b/>
          <w:color w:val="auto"/>
          <w:w w:val="99"/>
          <w:kern w:val="0"/>
          <w:sz w:val="28"/>
          <w:szCs w:val="28"/>
          <w:highlight w:val="none"/>
        </w:rPr>
        <w:t>日</w:t>
      </w:r>
    </w:p>
    <w:p w14:paraId="776497B8">
      <w:pPr>
        <w:autoSpaceDE w:val="0"/>
        <w:autoSpaceDN w:val="0"/>
        <w:adjustRightInd w:val="0"/>
        <w:snapToGrid w:val="0"/>
        <w:spacing w:line="360" w:lineRule="auto"/>
        <w:jc w:val="left"/>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br w:type="page"/>
      </w:r>
    </w:p>
    <w:p w14:paraId="42FE7B75">
      <w:pPr>
        <w:autoSpaceDE w:val="0"/>
        <w:autoSpaceDN w:val="0"/>
        <w:adjustRightInd w:val="0"/>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目  录</w:t>
      </w:r>
    </w:p>
    <w:p w14:paraId="42BA7CE4">
      <w:pPr>
        <w:autoSpaceDE w:val="0"/>
        <w:autoSpaceDN w:val="0"/>
        <w:adjustRightInd w:val="0"/>
        <w:snapToGrid w:val="0"/>
        <w:spacing w:line="360" w:lineRule="auto"/>
        <w:jc w:val="left"/>
        <w:rPr>
          <w:rFonts w:hint="eastAsia" w:ascii="宋体" w:hAnsi="宋体" w:cs="宋体"/>
          <w:color w:val="auto"/>
          <w:kern w:val="0"/>
          <w:sz w:val="24"/>
          <w:szCs w:val="21"/>
          <w:highlight w:val="none"/>
        </w:rPr>
      </w:pPr>
    </w:p>
    <w:p w14:paraId="27A42624">
      <w:pPr>
        <w:autoSpaceDE w:val="0"/>
        <w:autoSpaceDN w:val="0"/>
        <w:adjustRightInd w:val="0"/>
        <w:spacing w:line="360" w:lineRule="auto"/>
        <w:ind w:right="-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（一）比选申请函</w:t>
      </w:r>
    </w:p>
    <w:p w14:paraId="7CB6C775">
      <w:pPr>
        <w:autoSpaceDE w:val="0"/>
        <w:autoSpaceDN w:val="0"/>
        <w:adjustRightInd w:val="0"/>
        <w:spacing w:line="360" w:lineRule="auto"/>
        <w:ind w:right="-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（二）法定代表人身份证明及授权委托书</w:t>
      </w:r>
    </w:p>
    <w:p w14:paraId="56B8D5E5">
      <w:pPr>
        <w:autoSpaceDE w:val="0"/>
        <w:autoSpaceDN w:val="0"/>
        <w:adjustRightInd w:val="0"/>
        <w:spacing w:line="360" w:lineRule="auto"/>
        <w:ind w:right="-2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三</w:t>
      </w:r>
      <w:r>
        <w:rPr>
          <w:rFonts w:hint="eastAsia" w:ascii="宋体" w:hAnsi="宋体" w:eastAsia="宋体" w:cs="宋体"/>
          <w:color w:val="auto"/>
          <w:kern w:val="0"/>
          <w:sz w:val="24"/>
          <w:highlight w:val="none"/>
          <w:lang w:eastAsia="zh-CN"/>
        </w:rPr>
        <w:t>）低价风险担保提交承诺书（如有）</w:t>
      </w:r>
    </w:p>
    <w:p w14:paraId="0E19BD9B">
      <w:pPr>
        <w:autoSpaceDE w:val="0"/>
        <w:autoSpaceDN w:val="0"/>
        <w:adjustRightInd w:val="0"/>
        <w:spacing w:line="360" w:lineRule="auto"/>
        <w:ind w:right="-20"/>
        <w:jc w:val="left"/>
        <w:rPr>
          <w:rFonts w:hint="eastAsia" w:ascii="宋体" w:hAnsi="宋体" w:cs="宋体"/>
          <w:color w:val="auto"/>
          <w:kern w:val="0"/>
          <w:sz w:val="24"/>
          <w:highlight w:val="none"/>
        </w:rPr>
      </w:pPr>
    </w:p>
    <w:p w14:paraId="3B41C9B7">
      <w:pPr>
        <w:autoSpaceDE w:val="0"/>
        <w:autoSpaceDN w:val="0"/>
        <w:adjustRightInd w:val="0"/>
        <w:snapToGrid w:val="0"/>
        <w:spacing w:line="360" w:lineRule="auto"/>
        <w:jc w:val="left"/>
        <w:rPr>
          <w:rFonts w:hint="eastAsia" w:ascii="宋体" w:hAnsi="宋体" w:cs="宋体"/>
          <w:color w:val="auto"/>
          <w:kern w:val="0"/>
          <w:szCs w:val="21"/>
          <w:highlight w:val="none"/>
        </w:rPr>
      </w:pPr>
    </w:p>
    <w:p w14:paraId="3FC8579B">
      <w:pPr>
        <w:autoSpaceDE w:val="0"/>
        <w:autoSpaceDN w:val="0"/>
        <w:adjustRightInd w:val="0"/>
        <w:snapToGrid w:val="0"/>
        <w:spacing w:line="360" w:lineRule="auto"/>
        <w:jc w:val="left"/>
        <w:rPr>
          <w:rFonts w:hint="eastAsia" w:ascii="宋体" w:hAnsi="宋体" w:cs="宋体"/>
          <w:color w:val="auto"/>
          <w:kern w:val="0"/>
          <w:szCs w:val="21"/>
          <w:highlight w:val="none"/>
        </w:rPr>
      </w:pPr>
    </w:p>
    <w:p w14:paraId="228626FD">
      <w:pPr>
        <w:autoSpaceDE w:val="0"/>
        <w:autoSpaceDN w:val="0"/>
        <w:adjustRightInd w:val="0"/>
        <w:snapToGrid w:val="0"/>
        <w:spacing w:line="360" w:lineRule="auto"/>
        <w:jc w:val="left"/>
        <w:rPr>
          <w:rFonts w:hint="eastAsia" w:ascii="宋体" w:hAnsi="宋体" w:cs="宋体"/>
          <w:color w:val="auto"/>
          <w:kern w:val="0"/>
          <w:szCs w:val="21"/>
          <w:highlight w:val="none"/>
        </w:rPr>
      </w:pPr>
    </w:p>
    <w:p w14:paraId="7E297640">
      <w:pPr>
        <w:autoSpaceDE w:val="0"/>
        <w:autoSpaceDN w:val="0"/>
        <w:adjustRightInd w:val="0"/>
        <w:snapToGrid w:val="0"/>
        <w:spacing w:line="360" w:lineRule="auto"/>
        <w:jc w:val="left"/>
        <w:rPr>
          <w:rFonts w:hint="eastAsia" w:ascii="宋体" w:hAnsi="宋体" w:cs="宋体"/>
          <w:color w:val="auto"/>
          <w:kern w:val="0"/>
          <w:highlight w:val="none"/>
        </w:rPr>
      </w:pPr>
    </w:p>
    <w:p w14:paraId="7351DCE2">
      <w:pPr>
        <w:autoSpaceDE w:val="0"/>
        <w:autoSpaceDN w:val="0"/>
        <w:adjustRightInd w:val="0"/>
        <w:snapToGrid w:val="0"/>
        <w:spacing w:line="360" w:lineRule="auto"/>
        <w:jc w:val="left"/>
        <w:rPr>
          <w:rFonts w:hint="eastAsia" w:ascii="宋体" w:hAnsi="宋体" w:cs="宋体"/>
          <w:color w:val="auto"/>
          <w:kern w:val="0"/>
          <w:highlight w:val="none"/>
        </w:rPr>
      </w:pPr>
    </w:p>
    <w:p w14:paraId="4FEB2DD3">
      <w:pPr>
        <w:autoSpaceDE w:val="0"/>
        <w:autoSpaceDN w:val="0"/>
        <w:adjustRightInd w:val="0"/>
        <w:snapToGrid w:val="0"/>
        <w:spacing w:line="360" w:lineRule="auto"/>
        <w:jc w:val="left"/>
        <w:rPr>
          <w:rFonts w:hint="eastAsia" w:ascii="宋体" w:hAnsi="宋体" w:cs="宋体"/>
          <w:color w:val="auto"/>
          <w:kern w:val="0"/>
          <w:highlight w:val="none"/>
        </w:rPr>
      </w:pPr>
    </w:p>
    <w:p w14:paraId="70BFC298">
      <w:pPr>
        <w:autoSpaceDE w:val="0"/>
        <w:autoSpaceDN w:val="0"/>
        <w:adjustRightInd w:val="0"/>
        <w:snapToGrid w:val="0"/>
        <w:spacing w:line="360" w:lineRule="auto"/>
        <w:jc w:val="left"/>
        <w:rPr>
          <w:rFonts w:hint="eastAsia" w:ascii="宋体" w:hAnsi="宋体" w:cs="宋体"/>
          <w:color w:val="auto"/>
          <w:kern w:val="0"/>
          <w:highlight w:val="none"/>
        </w:rPr>
      </w:pPr>
    </w:p>
    <w:p w14:paraId="2D983371">
      <w:pPr>
        <w:autoSpaceDE w:val="0"/>
        <w:autoSpaceDN w:val="0"/>
        <w:adjustRightInd w:val="0"/>
        <w:snapToGrid w:val="0"/>
        <w:spacing w:line="360" w:lineRule="auto"/>
        <w:jc w:val="left"/>
        <w:rPr>
          <w:rFonts w:hint="eastAsia" w:ascii="宋体" w:hAnsi="宋体" w:cs="宋体"/>
          <w:color w:val="auto"/>
          <w:kern w:val="0"/>
          <w:highlight w:val="none"/>
        </w:rPr>
      </w:pPr>
    </w:p>
    <w:p w14:paraId="21D048A3">
      <w:pPr>
        <w:autoSpaceDE w:val="0"/>
        <w:autoSpaceDN w:val="0"/>
        <w:adjustRightInd w:val="0"/>
        <w:snapToGrid w:val="0"/>
        <w:spacing w:line="360" w:lineRule="auto"/>
        <w:jc w:val="left"/>
        <w:rPr>
          <w:rFonts w:hint="eastAsia" w:ascii="宋体" w:hAnsi="宋体" w:cs="宋体"/>
          <w:color w:val="auto"/>
          <w:kern w:val="0"/>
          <w:highlight w:val="none"/>
        </w:rPr>
      </w:pPr>
    </w:p>
    <w:p w14:paraId="5F2A7621">
      <w:pPr>
        <w:autoSpaceDE w:val="0"/>
        <w:autoSpaceDN w:val="0"/>
        <w:adjustRightInd w:val="0"/>
        <w:snapToGrid w:val="0"/>
        <w:spacing w:line="360" w:lineRule="auto"/>
        <w:jc w:val="left"/>
        <w:rPr>
          <w:rFonts w:hint="eastAsia" w:ascii="宋体" w:hAnsi="宋体" w:cs="宋体"/>
          <w:color w:val="auto"/>
          <w:kern w:val="0"/>
          <w:highlight w:val="none"/>
        </w:rPr>
      </w:pPr>
    </w:p>
    <w:p w14:paraId="1E18F92A">
      <w:pPr>
        <w:autoSpaceDE w:val="0"/>
        <w:autoSpaceDN w:val="0"/>
        <w:adjustRightInd w:val="0"/>
        <w:snapToGrid w:val="0"/>
        <w:spacing w:line="360" w:lineRule="auto"/>
        <w:jc w:val="left"/>
        <w:rPr>
          <w:rFonts w:hint="eastAsia" w:ascii="宋体" w:hAnsi="宋体" w:cs="宋体"/>
          <w:color w:val="auto"/>
          <w:kern w:val="0"/>
          <w:highlight w:val="none"/>
        </w:rPr>
      </w:pPr>
    </w:p>
    <w:p w14:paraId="38B15A3D">
      <w:pPr>
        <w:autoSpaceDE w:val="0"/>
        <w:autoSpaceDN w:val="0"/>
        <w:adjustRightInd w:val="0"/>
        <w:snapToGrid w:val="0"/>
        <w:spacing w:line="360" w:lineRule="auto"/>
        <w:jc w:val="left"/>
        <w:rPr>
          <w:rFonts w:hint="eastAsia" w:ascii="宋体" w:hAnsi="宋体" w:cs="宋体"/>
          <w:color w:val="auto"/>
          <w:w w:val="99"/>
          <w:kern w:val="0"/>
          <w:sz w:val="28"/>
          <w:szCs w:val="28"/>
          <w:highlight w:val="none"/>
        </w:rPr>
      </w:pPr>
    </w:p>
    <w:p w14:paraId="7270480E">
      <w:pPr>
        <w:autoSpaceDE w:val="0"/>
        <w:autoSpaceDN w:val="0"/>
        <w:adjustRightInd w:val="0"/>
        <w:snapToGrid w:val="0"/>
        <w:spacing w:line="360" w:lineRule="auto"/>
        <w:jc w:val="left"/>
        <w:rPr>
          <w:rFonts w:hint="eastAsia" w:ascii="宋体" w:hAnsi="宋体" w:cs="宋体"/>
          <w:color w:val="auto"/>
          <w:w w:val="99"/>
          <w:kern w:val="0"/>
          <w:sz w:val="28"/>
          <w:szCs w:val="28"/>
          <w:highlight w:val="none"/>
        </w:rPr>
      </w:pPr>
    </w:p>
    <w:p w14:paraId="20D9E965">
      <w:pPr>
        <w:autoSpaceDE w:val="0"/>
        <w:autoSpaceDN w:val="0"/>
        <w:adjustRightInd w:val="0"/>
        <w:snapToGrid w:val="0"/>
        <w:spacing w:line="360" w:lineRule="auto"/>
        <w:jc w:val="left"/>
        <w:rPr>
          <w:rFonts w:hint="eastAsia" w:ascii="宋体" w:hAnsi="宋体" w:cs="宋体"/>
          <w:color w:val="auto"/>
          <w:w w:val="99"/>
          <w:kern w:val="0"/>
          <w:sz w:val="28"/>
          <w:szCs w:val="28"/>
          <w:highlight w:val="none"/>
        </w:rPr>
      </w:pPr>
    </w:p>
    <w:p w14:paraId="0774AD47">
      <w:pPr>
        <w:autoSpaceDE w:val="0"/>
        <w:autoSpaceDN w:val="0"/>
        <w:adjustRightInd w:val="0"/>
        <w:snapToGrid w:val="0"/>
        <w:spacing w:line="360" w:lineRule="auto"/>
        <w:jc w:val="left"/>
        <w:rPr>
          <w:rFonts w:hint="eastAsia" w:ascii="宋体" w:hAnsi="宋体" w:cs="宋体"/>
          <w:color w:val="auto"/>
          <w:w w:val="99"/>
          <w:kern w:val="0"/>
          <w:sz w:val="28"/>
          <w:szCs w:val="28"/>
          <w:highlight w:val="none"/>
        </w:rPr>
      </w:pPr>
    </w:p>
    <w:p w14:paraId="1CEE11BB">
      <w:pPr>
        <w:spacing w:line="500" w:lineRule="atLeast"/>
        <w:jc w:val="center"/>
        <w:rPr>
          <w:rFonts w:hint="eastAsia" w:ascii="宋体" w:hAnsi="宋体" w:cs="宋体"/>
          <w:b/>
          <w:bCs/>
          <w:color w:val="auto"/>
          <w:sz w:val="28"/>
          <w:szCs w:val="32"/>
          <w:highlight w:val="none"/>
        </w:rPr>
      </w:pPr>
      <w:r>
        <w:rPr>
          <w:rFonts w:hint="eastAsia" w:ascii="宋体" w:hAnsi="宋体" w:cs="宋体"/>
          <w:color w:val="auto"/>
          <w:highlight w:val="none"/>
        </w:rPr>
        <w:br w:type="page"/>
      </w:r>
      <w:bookmarkStart w:id="498" w:name="_Toc224103496"/>
      <w:r>
        <w:rPr>
          <w:rFonts w:hint="eastAsia" w:ascii="宋体" w:hAnsi="宋体" w:cs="宋体"/>
          <w:b/>
          <w:bCs/>
          <w:color w:val="auto"/>
          <w:sz w:val="28"/>
          <w:szCs w:val="32"/>
          <w:highlight w:val="none"/>
        </w:rPr>
        <w:t>（一） 比选申请函</w:t>
      </w:r>
    </w:p>
    <w:p w14:paraId="0332507B">
      <w:pPr>
        <w:spacing w:line="500" w:lineRule="atLeast"/>
        <w:rPr>
          <w:rFonts w:hint="eastAsia" w:ascii="宋体" w:hAnsi="宋体" w:cs="宋体"/>
          <w:bCs/>
          <w:color w:val="auto"/>
          <w:szCs w:val="21"/>
          <w:highlight w:val="none"/>
          <w:u w:val="single"/>
        </w:rPr>
      </w:pPr>
      <w:r>
        <w:rPr>
          <w:rFonts w:hint="eastAsia" w:ascii="宋体" w:hAnsi="宋体" w:cs="宋体"/>
          <w:b/>
          <w:bCs/>
          <w:color w:val="auto"/>
          <w:szCs w:val="21"/>
          <w:highlight w:val="none"/>
        </w:rPr>
        <w:t>致：</w:t>
      </w:r>
      <w:r>
        <w:rPr>
          <w:rFonts w:hint="eastAsia" w:ascii="宋体" w:hAnsi="宋体" w:cs="宋体"/>
          <w:b/>
          <w:color w:val="auto"/>
          <w:szCs w:val="21"/>
          <w:highlight w:val="none"/>
          <w:u w:val="single"/>
        </w:rPr>
        <w:t xml:space="preserve">                            （比选人） </w:t>
      </w:r>
    </w:p>
    <w:p w14:paraId="5C8D841B">
      <w:pPr>
        <w:rPr>
          <w:rFonts w:hint="eastAsia" w:ascii="宋体" w:hAnsi="宋体" w:cs="宋体"/>
          <w:bCs/>
          <w:color w:val="auto"/>
          <w:szCs w:val="21"/>
          <w:highlight w:val="none"/>
        </w:rPr>
      </w:pPr>
    </w:p>
    <w:p w14:paraId="14E28CB5">
      <w:pPr>
        <w:tabs>
          <w:tab w:val="left" w:pos="2760"/>
          <w:tab w:val="left" w:pos="3520"/>
          <w:tab w:val="left" w:pos="4920"/>
          <w:tab w:val="left" w:pos="5715"/>
          <w:tab w:val="left" w:pos="6945"/>
          <w:tab w:val="left" w:pos="7980"/>
        </w:tabs>
        <w:autoSpaceDE w:val="0"/>
        <w:autoSpaceDN w:val="0"/>
        <w:adjustRightInd w:val="0"/>
        <w:spacing w:line="355" w:lineRule="auto"/>
        <w:ind w:right="94"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1．我方已仔细研究了</w:t>
      </w:r>
      <w:r>
        <w:rPr>
          <w:rFonts w:hint="eastAsia" w:ascii="宋体" w:hAnsi="宋体" w:cs="宋体"/>
          <w:snapToGrid w:val="0"/>
          <w:color w:val="auto"/>
          <w:w w:val="200"/>
          <w:kern w:val="0"/>
          <w:szCs w:val="21"/>
          <w:highlight w:val="none"/>
          <w:u w:val="single"/>
        </w:rPr>
        <w:t xml:space="preserve"> </w:t>
      </w: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u w:val="single"/>
        </w:rPr>
        <w:t>（项目名称）</w:t>
      </w:r>
      <w:r>
        <w:rPr>
          <w:rFonts w:hint="eastAsia" w:ascii="宋体" w:hAnsi="宋体" w:cs="宋体"/>
          <w:snapToGrid w:val="0"/>
          <w:color w:val="auto"/>
          <w:w w:val="200"/>
          <w:kern w:val="0"/>
          <w:szCs w:val="21"/>
          <w:highlight w:val="none"/>
          <w:u w:val="single"/>
        </w:rPr>
        <w:t xml:space="preserve"> </w:t>
      </w:r>
      <w:r>
        <w:rPr>
          <w:rFonts w:hint="eastAsia" w:ascii="宋体" w:hAnsi="宋体" w:cs="宋体"/>
          <w:snapToGrid w:val="0"/>
          <w:color w:val="auto"/>
          <w:kern w:val="0"/>
          <w:szCs w:val="21"/>
          <w:highlight w:val="none"/>
          <w:u w:val="single"/>
          <w:lang w:eastAsia="zh-CN"/>
        </w:rPr>
        <w:t>（</w:t>
      </w:r>
      <w:r>
        <w:rPr>
          <w:rFonts w:hint="eastAsia" w:ascii="宋体" w:hAnsi="宋体" w:cs="宋体"/>
          <w:snapToGrid w:val="0"/>
          <w:color w:val="auto"/>
          <w:kern w:val="0"/>
          <w:szCs w:val="21"/>
          <w:highlight w:val="none"/>
          <w:u w:val="single"/>
          <w:lang w:val="en-US" w:eastAsia="zh-CN"/>
        </w:rPr>
        <w:t xml:space="preserve">  </w:t>
      </w:r>
      <w:r>
        <w:rPr>
          <w:rFonts w:hint="eastAsia" w:ascii="宋体" w:hAnsi="宋体" w:cs="宋体"/>
          <w:snapToGrid w:val="0"/>
          <w:color w:val="auto"/>
          <w:kern w:val="0"/>
          <w:szCs w:val="21"/>
          <w:highlight w:val="none"/>
          <w:u w:val="single"/>
          <w:lang w:eastAsia="zh-CN"/>
        </w:rPr>
        <w:t>标段）</w:t>
      </w:r>
      <w:r>
        <w:rPr>
          <w:rFonts w:hint="eastAsia" w:ascii="宋体" w:hAnsi="宋体" w:cs="宋体"/>
          <w:snapToGrid w:val="0"/>
          <w:color w:val="auto"/>
          <w:kern w:val="0"/>
          <w:szCs w:val="21"/>
          <w:highlight w:val="none"/>
        </w:rPr>
        <w:t>文件的全部内容，愿意以人民币（大写）</w:t>
      </w: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rPr>
        <w:t>（¥</w:t>
      </w: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rPr>
        <w:t>）的比选申请总报价进行报价</w:t>
      </w:r>
      <w:r>
        <w:rPr>
          <w:rFonts w:hint="eastAsia" w:ascii="宋体" w:hAnsi="宋体" w:cs="宋体"/>
          <w:snapToGrid w:val="0"/>
          <w:color w:val="auto"/>
          <w:kern w:val="0"/>
          <w:szCs w:val="21"/>
          <w:highlight w:val="none"/>
          <w:lang w:eastAsia="zh-CN"/>
        </w:rPr>
        <w:t>，</w:t>
      </w:r>
      <w:r>
        <w:rPr>
          <w:rFonts w:ascii="宋体" w:hAnsi="宋体"/>
          <w:snapToGrid w:val="0"/>
          <w:kern w:val="0"/>
          <w:szCs w:val="21"/>
          <w:highlight w:val="none"/>
        </w:rPr>
        <w:t>其中</w:t>
      </w:r>
      <w:r>
        <w:rPr>
          <w:rFonts w:ascii="宋体" w:hAnsi="宋体"/>
          <w:snapToGrid w:val="0"/>
          <w:kern w:val="0"/>
          <w:highlight w:val="none"/>
        </w:rPr>
        <w:t>安全文明施工费暂定金额为人民币</w:t>
      </w:r>
      <w:r>
        <w:rPr>
          <w:rFonts w:ascii="宋体" w:hAnsi="宋体"/>
          <w:snapToGrid w:val="0"/>
          <w:kern w:val="0"/>
          <w:szCs w:val="21"/>
          <w:highlight w:val="none"/>
        </w:rPr>
        <w:t>（大写）</w:t>
      </w:r>
      <w:r>
        <w:rPr>
          <w:rFonts w:ascii="宋体" w:hAnsi="宋体"/>
          <w:snapToGrid w:val="0"/>
          <w:kern w:val="0"/>
          <w:szCs w:val="21"/>
          <w:highlight w:val="none"/>
          <w:u w:val="single"/>
        </w:rPr>
        <w:tab/>
      </w:r>
      <w:r>
        <w:rPr>
          <w:rFonts w:ascii="宋体" w:hAnsi="宋体"/>
          <w:snapToGrid w:val="0"/>
          <w:kern w:val="0"/>
          <w:szCs w:val="21"/>
          <w:highlight w:val="none"/>
        </w:rPr>
        <w:t>（¥</w:t>
      </w:r>
      <w:r>
        <w:rPr>
          <w:rFonts w:ascii="宋体" w:hAnsi="宋体"/>
          <w:snapToGrid w:val="0"/>
          <w:kern w:val="0"/>
          <w:szCs w:val="21"/>
          <w:highlight w:val="none"/>
          <w:u w:val="single"/>
        </w:rPr>
        <w:tab/>
      </w:r>
      <w:r>
        <w:rPr>
          <w:rFonts w:ascii="宋体" w:hAnsi="宋体"/>
          <w:snapToGrid w:val="0"/>
          <w:kern w:val="0"/>
          <w:szCs w:val="21"/>
          <w:highlight w:val="none"/>
        </w:rPr>
        <w:t>）</w:t>
      </w:r>
      <w:r>
        <w:rPr>
          <w:rFonts w:hint="eastAsia" w:ascii="宋体" w:hAnsi="宋体" w:cs="宋体"/>
          <w:color w:val="auto"/>
          <w:szCs w:val="21"/>
          <w:highlight w:val="none"/>
        </w:rPr>
        <w:t>。</w:t>
      </w:r>
      <w:r>
        <w:rPr>
          <w:rFonts w:hint="eastAsia" w:ascii="宋体" w:hAnsi="宋体" w:cs="宋体"/>
          <w:snapToGrid w:val="0"/>
          <w:color w:val="auto"/>
          <w:kern w:val="0"/>
          <w:szCs w:val="21"/>
          <w:highlight w:val="none"/>
        </w:rPr>
        <w:t>工期</w:t>
      </w:r>
      <w:r>
        <w:rPr>
          <w:rFonts w:hint="eastAsia" w:ascii="宋体" w:hAnsi="宋体" w:cs="宋体"/>
          <w:b/>
          <w:bCs/>
          <w:snapToGrid w:val="0"/>
          <w:color w:val="auto"/>
          <w:w w:val="200"/>
          <w:kern w:val="0"/>
          <w:szCs w:val="21"/>
          <w:highlight w:val="none"/>
          <w:u w:val="single"/>
        </w:rPr>
        <w:t xml:space="preserve">  </w:t>
      </w:r>
      <w:r>
        <w:rPr>
          <w:rFonts w:hint="eastAsia" w:ascii="宋体" w:hAnsi="宋体" w:cs="宋体"/>
          <w:snapToGrid w:val="0"/>
          <w:color w:val="auto"/>
          <w:kern w:val="0"/>
          <w:szCs w:val="21"/>
          <w:highlight w:val="none"/>
        </w:rPr>
        <w:t>天，</w:t>
      </w:r>
      <w:r>
        <w:rPr>
          <w:rFonts w:hint="eastAsia" w:ascii="宋体" w:hAnsi="宋体" w:eastAsia="宋体" w:cs="宋体"/>
          <w:snapToGrid w:val="0"/>
          <w:color w:val="auto"/>
          <w:kern w:val="0"/>
          <w:szCs w:val="21"/>
          <w:highlight w:val="none"/>
        </w:rPr>
        <w:t>缺陷责任期</w:t>
      </w:r>
      <w:r>
        <w:rPr>
          <w:rFonts w:hint="eastAsia" w:ascii="宋体" w:hAnsi="宋体" w:eastAsia="宋体" w:cs="宋体"/>
          <w:snapToGrid w:val="0"/>
          <w:color w:val="auto"/>
          <w:kern w:val="0"/>
          <w:szCs w:val="21"/>
          <w:highlight w:val="none"/>
          <w:u w:val="single"/>
          <w:lang w:val="en-US" w:eastAsia="zh-CN"/>
        </w:rPr>
        <w:t xml:space="preserve">         </w:t>
      </w:r>
      <w:r>
        <w:rPr>
          <w:rFonts w:hint="eastAsia" w:ascii="宋体" w:hAnsi="宋体" w:eastAsia="宋体" w:cs="宋体"/>
          <w:snapToGrid w:val="0"/>
          <w:color w:val="auto"/>
          <w:kern w:val="0"/>
          <w:szCs w:val="21"/>
          <w:highlight w:val="none"/>
          <w:u w:val="none"/>
          <w:lang w:val="en-US" w:eastAsia="zh-CN"/>
        </w:rPr>
        <w:t>，</w:t>
      </w:r>
      <w:r>
        <w:rPr>
          <w:rFonts w:hint="eastAsia" w:ascii="宋体" w:hAnsi="宋体" w:cs="宋体"/>
          <w:snapToGrid w:val="0"/>
          <w:color w:val="auto"/>
          <w:kern w:val="0"/>
          <w:szCs w:val="21"/>
          <w:highlight w:val="none"/>
          <w:u w:val="none"/>
        </w:rPr>
        <w:t xml:space="preserve"> </w:t>
      </w:r>
      <w:r>
        <w:rPr>
          <w:rFonts w:hint="eastAsia" w:ascii="宋体" w:hAnsi="宋体" w:cs="宋体"/>
          <w:snapToGrid w:val="0"/>
          <w:color w:val="auto"/>
          <w:kern w:val="0"/>
          <w:szCs w:val="21"/>
          <w:highlight w:val="none"/>
        </w:rPr>
        <w:t>按合同约定实施和完成承包工程，修补工程中的任何缺陷，工程质量达到</w:t>
      </w:r>
      <w:r>
        <w:rPr>
          <w:rFonts w:hint="eastAsia" w:ascii="宋体" w:hAnsi="宋体" w:cs="宋体"/>
          <w:snapToGrid w:val="0"/>
          <w:color w:val="auto"/>
          <w:w w:val="200"/>
          <w:kern w:val="0"/>
          <w:szCs w:val="21"/>
          <w:highlight w:val="none"/>
          <w:u w:val="single"/>
        </w:rPr>
        <w:t xml:space="preserve"> </w:t>
      </w: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rPr>
        <w:t xml:space="preserve"> 。</w:t>
      </w:r>
    </w:p>
    <w:p w14:paraId="0ED00E98">
      <w:pPr>
        <w:autoSpaceDE w:val="0"/>
        <w:autoSpaceDN w:val="0"/>
        <w:adjustRightInd w:val="0"/>
        <w:spacing w:before="15"/>
        <w:ind w:right="-20"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2．我方承诺在比选申请有效期内（</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日历天内）不修改、撤销比选申请文件。</w:t>
      </w:r>
    </w:p>
    <w:p w14:paraId="28698F36">
      <w:pPr>
        <w:autoSpaceDE w:val="0"/>
        <w:autoSpaceDN w:val="0"/>
        <w:adjustRightInd w:val="0"/>
        <w:spacing w:before="10" w:line="100" w:lineRule="exact"/>
        <w:jc w:val="left"/>
        <w:rPr>
          <w:rFonts w:hint="eastAsia" w:ascii="宋体" w:hAnsi="宋体" w:cs="宋体"/>
          <w:snapToGrid w:val="0"/>
          <w:color w:val="auto"/>
          <w:kern w:val="0"/>
          <w:sz w:val="10"/>
          <w:szCs w:val="10"/>
          <w:highlight w:val="none"/>
        </w:rPr>
      </w:pPr>
    </w:p>
    <w:p w14:paraId="3DEF17FF">
      <w:pPr>
        <w:autoSpaceDE w:val="0"/>
        <w:autoSpaceDN w:val="0"/>
        <w:adjustRightInd w:val="0"/>
        <w:ind w:right="-20"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3．如我方中选：</w:t>
      </w:r>
    </w:p>
    <w:p w14:paraId="696EFB17">
      <w:pPr>
        <w:autoSpaceDE w:val="0"/>
        <w:autoSpaceDN w:val="0"/>
        <w:adjustRightInd w:val="0"/>
        <w:ind w:right="-80" w:firstLine="420" w:firstLineChars="200"/>
        <w:jc w:val="left"/>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（1）我方承诺在收到中选通知书后，在中选通知书规定的期限内与你方签订合同。</w:t>
      </w:r>
    </w:p>
    <w:p w14:paraId="106DF32A">
      <w:pPr>
        <w:autoSpaceDE w:val="0"/>
        <w:autoSpaceDN w:val="0"/>
        <w:adjustRightInd w:val="0"/>
        <w:spacing w:before="11" w:line="100" w:lineRule="exact"/>
        <w:jc w:val="left"/>
        <w:rPr>
          <w:rFonts w:hint="eastAsia" w:ascii="宋体" w:hAnsi="宋体" w:cs="宋体"/>
          <w:snapToGrid w:val="0"/>
          <w:color w:val="auto"/>
          <w:sz w:val="10"/>
          <w:szCs w:val="10"/>
          <w:highlight w:val="none"/>
        </w:rPr>
      </w:pPr>
    </w:p>
    <w:p w14:paraId="0C506AB0">
      <w:pPr>
        <w:tabs>
          <w:tab w:val="left" w:pos="2730"/>
          <w:tab w:val="left" w:pos="8190"/>
        </w:tabs>
        <w:autoSpaceDE w:val="0"/>
        <w:autoSpaceDN w:val="0"/>
        <w:adjustRightInd w:val="0"/>
        <w:ind w:right="-119"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szCs w:val="21"/>
          <w:highlight w:val="none"/>
        </w:rPr>
        <w:t>（2）我方承诺在合同约定的期限内完成并移交全部合同工程。</w:t>
      </w:r>
    </w:p>
    <w:p w14:paraId="0E2D0CCE">
      <w:pPr>
        <w:autoSpaceDE w:val="0"/>
        <w:autoSpaceDN w:val="0"/>
        <w:adjustRightInd w:val="0"/>
        <w:spacing w:before="11" w:line="100" w:lineRule="exact"/>
        <w:jc w:val="left"/>
        <w:rPr>
          <w:rFonts w:hint="eastAsia" w:ascii="宋体" w:hAnsi="宋体" w:cs="宋体"/>
          <w:snapToGrid w:val="0"/>
          <w:color w:val="auto"/>
          <w:kern w:val="0"/>
          <w:sz w:val="10"/>
          <w:szCs w:val="10"/>
          <w:highlight w:val="none"/>
        </w:rPr>
      </w:pPr>
    </w:p>
    <w:p w14:paraId="1D4FD0C9">
      <w:pPr>
        <w:autoSpaceDE w:val="0"/>
        <w:autoSpaceDN w:val="0"/>
        <w:adjustRightInd w:val="0"/>
        <w:ind w:right="-20" w:firstLine="420" w:firstLineChars="200"/>
        <w:jc w:val="left"/>
        <w:rPr>
          <w:rFonts w:hint="eastAsia" w:ascii="宋体" w:hAnsi="宋体" w:cs="宋体"/>
          <w:snapToGrid w:val="0"/>
          <w:color w:val="auto"/>
          <w:szCs w:val="21"/>
          <w:highlight w:val="none"/>
        </w:rPr>
      </w:pPr>
      <w:r>
        <w:rPr>
          <w:rFonts w:hint="eastAsia" w:ascii="宋体" w:hAnsi="宋体" w:cs="宋体"/>
          <w:snapToGrid w:val="0"/>
          <w:color w:val="auto"/>
          <w:kern w:val="0"/>
          <w:szCs w:val="21"/>
          <w:highlight w:val="none"/>
        </w:rPr>
        <w:t>4.</w:t>
      </w:r>
      <w:r>
        <w:rPr>
          <w:rFonts w:hint="eastAsia" w:ascii="宋体" w:hAnsi="宋体" w:cs="宋体"/>
          <w:snapToGrid w:val="0"/>
          <w:color w:val="auto"/>
          <w:szCs w:val="21"/>
          <w:highlight w:val="none"/>
        </w:rPr>
        <w:t>我方在此声明，所递交的比选申请文件及有关资料内容完整、真实和准确，且不存在第二章“比选申请人须知”第 1.4.3 项规定的任何一种情形。同时我方承诺接受比选文件及附件、答疑及补遗通知中所有的内容。</w:t>
      </w:r>
    </w:p>
    <w:p w14:paraId="484CE8F1">
      <w:pPr>
        <w:autoSpaceDE w:val="0"/>
        <w:autoSpaceDN w:val="0"/>
        <w:adjustRightInd w:val="0"/>
        <w:spacing w:before="10" w:line="100" w:lineRule="exact"/>
        <w:jc w:val="left"/>
        <w:rPr>
          <w:rFonts w:hint="eastAsia" w:ascii="宋体" w:hAnsi="宋体" w:cs="宋体"/>
          <w:snapToGrid w:val="0"/>
          <w:color w:val="auto"/>
          <w:sz w:val="10"/>
          <w:szCs w:val="10"/>
          <w:highlight w:val="none"/>
        </w:rPr>
      </w:pPr>
    </w:p>
    <w:p w14:paraId="6A5BB6D3">
      <w:pPr>
        <w:tabs>
          <w:tab w:val="left" w:pos="5985"/>
        </w:tabs>
        <w:autoSpaceDE w:val="0"/>
        <w:autoSpaceDN w:val="0"/>
        <w:adjustRightIn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szCs w:val="21"/>
          <w:highlight w:val="none"/>
        </w:rPr>
        <w:t>5．</w:t>
      </w:r>
      <w:r>
        <w:rPr>
          <w:rFonts w:hint="eastAsia" w:ascii="宋体" w:hAnsi="宋体" w:cs="宋体"/>
          <w:snapToGrid w:val="0"/>
          <w:color w:val="auto"/>
          <w:kern w:val="0"/>
          <w:szCs w:val="21"/>
          <w:highlight w:val="none"/>
        </w:rPr>
        <w:t xml:space="preserve"> </w:t>
      </w:r>
      <w:r>
        <w:rPr>
          <w:rFonts w:hint="eastAsia" w:ascii="宋体" w:hAnsi="宋体" w:cs="宋体"/>
          <w:snapToGrid w:val="0"/>
          <w:color w:val="auto"/>
          <w:w w:val="200"/>
          <w:kern w:val="0"/>
          <w:szCs w:val="21"/>
          <w:highlight w:val="none"/>
          <w:u w:val="single"/>
        </w:rPr>
        <w:t xml:space="preserve"> </w:t>
      </w: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rPr>
        <w:t>（其他补充说明）。</w:t>
      </w:r>
    </w:p>
    <w:p w14:paraId="4D9DAC9B">
      <w:pPr>
        <w:tabs>
          <w:tab w:val="left" w:pos="7140"/>
          <w:tab w:val="left" w:pos="7560"/>
          <w:tab w:val="left" w:pos="8300"/>
        </w:tabs>
        <w:autoSpaceDE w:val="0"/>
        <w:autoSpaceDN w:val="0"/>
        <w:adjustRightInd w:val="0"/>
        <w:spacing w:line="369" w:lineRule="auto"/>
        <w:ind w:right="210" w:firstLine="1984" w:firstLineChars="945"/>
        <w:rPr>
          <w:rFonts w:hint="eastAsia" w:ascii="宋体" w:hAnsi="宋体" w:cs="宋体"/>
          <w:snapToGrid w:val="0"/>
          <w:color w:val="auto"/>
          <w:kern w:val="0"/>
          <w:szCs w:val="21"/>
          <w:highlight w:val="none"/>
        </w:rPr>
      </w:pPr>
    </w:p>
    <w:p w14:paraId="2541A690">
      <w:pPr>
        <w:pStyle w:val="19"/>
        <w:rPr>
          <w:rFonts w:hint="eastAsia" w:cs="宋体"/>
          <w:snapToGrid w:val="0"/>
          <w:color w:val="auto"/>
          <w:kern w:val="0"/>
          <w:szCs w:val="21"/>
          <w:highlight w:val="none"/>
        </w:rPr>
      </w:pPr>
    </w:p>
    <w:p w14:paraId="43235A97">
      <w:pPr>
        <w:rPr>
          <w:rFonts w:hint="eastAsia"/>
          <w:color w:val="auto"/>
          <w:highlight w:val="none"/>
        </w:rPr>
      </w:pPr>
    </w:p>
    <w:p w14:paraId="021D252B">
      <w:pPr>
        <w:tabs>
          <w:tab w:val="left" w:pos="7140"/>
          <w:tab w:val="left" w:pos="7560"/>
          <w:tab w:val="left" w:pos="8300"/>
        </w:tabs>
        <w:autoSpaceDE w:val="0"/>
        <w:autoSpaceDN w:val="0"/>
        <w:adjustRightInd w:val="0"/>
        <w:spacing w:line="369" w:lineRule="auto"/>
        <w:ind w:right="210" w:firstLine="1984" w:firstLineChars="945"/>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比选申请人：</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 xml:space="preserve">（盖单位法人章） </w:t>
      </w:r>
    </w:p>
    <w:p w14:paraId="23F47374">
      <w:pPr>
        <w:tabs>
          <w:tab w:val="left" w:pos="7035"/>
          <w:tab w:val="left" w:pos="7560"/>
          <w:tab w:val="left" w:pos="8300"/>
        </w:tabs>
        <w:autoSpaceDE w:val="0"/>
        <w:autoSpaceDN w:val="0"/>
        <w:adjustRightInd w:val="0"/>
        <w:spacing w:line="369" w:lineRule="auto"/>
        <w:ind w:right="210" w:firstLine="1995" w:firstLineChars="95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法定代表人或其委托代理人：</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rPr>
        <w:t xml:space="preserve">（签字或盖章） </w:t>
      </w:r>
    </w:p>
    <w:p w14:paraId="492C7937">
      <w:pPr>
        <w:tabs>
          <w:tab w:val="left" w:pos="7035"/>
          <w:tab w:val="left" w:pos="7560"/>
          <w:tab w:val="left" w:pos="8300"/>
        </w:tabs>
        <w:autoSpaceDE w:val="0"/>
        <w:autoSpaceDN w:val="0"/>
        <w:adjustRightInd w:val="0"/>
        <w:spacing w:line="369" w:lineRule="auto"/>
        <w:ind w:right="210" w:firstLine="1984" w:firstLineChars="945"/>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地址：</w:t>
      </w:r>
      <w:r>
        <w:rPr>
          <w:rFonts w:hint="eastAsia" w:ascii="宋体" w:hAnsi="宋体" w:cs="宋体"/>
          <w:snapToGrid w:val="0"/>
          <w:color w:val="auto"/>
          <w:w w:val="200"/>
          <w:kern w:val="0"/>
          <w:szCs w:val="21"/>
          <w:highlight w:val="none"/>
          <w:u w:val="single"/>
        </w:rPr>
        <w:t xml:space="preserve"> </w:t>
      </w:r>
      <w:r>
        <w:rPr>
          <w:rFonts w:hint="eastAsia" w:ascii="宋体" w:hAnsi="宋体" w:cs="宋体"/>
          <w:snapToGrid w:val="0"/>
          <w:color w:val="auto"/>
          <w:kern w:val="0"/>
          <w:szCs w:val="21"/>
          <w:highlight w:val="none"/>
          <w:u w:val="single"/>
        </w:rPr>
        <w:tab/>
      </w:r>
    </w:p>
    <w:p w14:paraId="507584C2">
      <w:pPr>
        <w:tabs>
          <w:tab w:val="left" w:pos="8300"/>
        </w:tabs>
        <w:autoSpaceDE w:val="0"/>
        <w:autoSpaceDN w:val="0"/>
        <w:adjustRightInd w:val="0"/>
        <w:spacing w:before="1"/>
        <w:ind w:left="1985" w:right="-2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网址：</w:t>
      </w:r>
      <w:r>
        <w:rPr>
          <w:rFonts w:hint="eastAsia" w:ascii="宋体" w:hAnsi="宋体" w:cs="宋体"/>
          <w:snapToGrid w:val="0"/>
          <w:color w:val="auto"/>
          <w:w w:val="200"/>
          <w:kern w:val="0"/>
          <w:szCs w:val="21"/>
          <w:highlight w:val="none"/>
          <w:u w:val="single"/>
        </w:rPr>
        <w:t xml:space="preserve"> </w:t>
      </w:r>
      <w:r>
        <w:rPr>
          <w:rFonts w:hint="eastAsia" w:ascii="宋体" w:hAnsi="宋体" w:cs="宋体"/>
          <w:snapToGrid w:val="0"/>
          <w:color w:val="auto"/>
          <w:kern w:val="0"/>
          <w:szCs w:val="21"/>
          <w:highlight w:val="none"/>
          <w:u w:val="single"/>
        </w:rPr>
        <w:t>　　　　　　　　　　　　　　　　　　　　</w:t>
      </w:r>
    </w:p>
    <w:p w14:paraId="61E4D030">
      <w:pPr>
        <w:autoSpaceDE w:val="0"/>
        <w:autoSpaceDN w:val="0"/>
        <w:adjustRightInd w:val="0"/>
        <w:spacing w:before="14" w:line="200" w:lineRule="exact"/>
        <w:jc w:val="left"/>
        <w:rPr>
          <w:rFonts w:hint="eastAsia" w:ascii="宋体" w:hAnsi="宋体" w:cs="宋体"/>
          <w:snapToGrid w:val="0"/>
          <w:color w:val="auto"/>
          <w:kern w:val="0"/>
          <w:sz w:val="20"/>
          <w:szCs w:val="20"/>
          <w:highlight w:val="none"/>
        </w:rPr>
      </w:pPr>
    </w:p>
    <w:p w14:paraId="460D43DB">
      <w:pPr>
        <w:tabs>
          <w:tab w:val="left" w:pos="8300"/>
        </w:tabs>
        <w:autoSpaceDE w:val="0"/>
        <w:autoSpaceDN w:val="0"/>
        <w:adjustRightInd w:val="0"/>
        <w:spacing w:line="220" w:lineRule="exact"/>
        <w:ind w:left="1985" w:right="-2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电话：</w:t>
      </w:r>
      <w:r>
        <w:rPr>
          <w:rFonts w:hint="eastAsia" w:ascii="宋体" w:hAnsi="宋体" w:cs="宋体"/>
          <w:snapToGrid w:val="0"/>
          <w:color w:val="auto"/>
          <w:w w:val="200"/>
          <w:kern w:val="0"/>
          <w:szCs w:val="21"/>
          <w:highlight w:val="none"/>
          <w:u w:val="single"/>
        </w:rPr>
        <w:t xml:space="preserve"> </w:t>
      </w:r>
      <w:r>
        <w:rPr>
          <w:rFonts w:hint="eastAsia" w:ascii="宋体" w:hAnsi="宋体" w:cs="宋体"/>
          <w:snapToGrid w:val="0"/>
          <w:color w:val="auto"/>
          <w:kern w:val="0"/>
          <w:szCs w:val="21"/>
          <w:highlight w:val="none"/>
          <w:u w:val="single"/>
        </w:rPr>
        <w:t>　　　　　　　　　　　　　　　　　　　　</w:t>
      </w:r>
    </w:p>
    <w:p w14:paraId="56938204">
      <w:pPr>
        <w:autoSpaceDE w:val="0"/>
        <w:autoSpaceDN w:val="0"/>
        <w:adjustRightInd w:val="0"/>
        <w:spacing w:before="13" w:line="200" w:lineRule="exact"/>
        <w:jc w:val="left"/>
        <w:rPr>
          <w:rFonts w:hint="eastAsia" w:ascii="宋体" w:hAnsi="宋体" w:cs="宋体"/>
          <w:snapToGrid w:val="0"/>
          <w:color w:val="auto"/>
          <w:kern w:val="0"/>
          <w:sz w:val="20"/>
          <w:szCs w:val="20"/>
          <w:highlight w:val="none"/>
        </w:rPr>
      </w:pPr>
    </w:p>
    <w:p w14:paraId="386B59D1">
      <w:pPr>
        <w:tabs>
          <w:tab w:val="left" w:pos="8300"/>
        </w:tabs>
        <w:autoSpaceDE w:val="0"/>
        <w:autoSpaceDN w:val="0"/>
        <w:adjustRightInd w:val="0"/>
        <w:spacing w:line="220" w:lineRule="exact"/>
        <w:ind w:left="1985" w:right="-2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传真：</w:t>
      </w:r>
      <w:r>
        <w:rPr>
          <w:rFonts w:hint="eastAsia" w:ascii="宋体" w:hAnsi="宋体" w:cs="宋体"/>
          <w:snapToGrid w:val="0"/>
          <w:color w:val="auto"/>
          <w:w w:val="200"/>
          <w:kern w:val="0"/>
          <w:szCs w:val="21"/>
          <w:highlight w:val="none"/>
          <w:u w:val="single"/>
        </w:rPr>
        <w:t xml:space="preserve"> </w:t>
      </w:r>
      <w:r>
        <w:rPr>
          <w:rFonts w:hint="eastAsia" w:ascii="宋体" w:hAnsi="宋体" w:cs="宋体"/>
          <w:snapToGrid w:val="0"/>
          <w:color w:val="auto"/>
          <w:kern w:val="0"/>
          <w:szCs w:val="21"/>
          <w:highlight w:val="none"/>
          <w:u w:val="single"/>
        </w:rPr>
        <w:t>　　　　　　　　　　　　　　　　　　　　</w:t>
      </w:r>
    </w:p>
    <w:p w14:paraId="19BD92E8">
      <w:pPr>
        <w:tabs>
          <w:tab w:val="left" w:pos="8300"/>
        </w:tabs>
        <w:autoSpaceDE w:val="0"/>
        <w:autoSpaceDN w:val="0"/>
        <w:adjustRightInd w:val="0"/>
        <w:spacing w:line="220" w:lineRule="exact"/>
        <w:ind w:left="3796" w:right="-20"/>
        <w:jc w:val="left"/>
        <w:rPr>
          <w:rFonts w:hint="eastAsia" w:ascii="宋体" w:hAnsi="宋体" w:cs="宋体"/>
          <w:snapToGrid w:val="0"/>
          <w:color w:val="auto"/>
          <w:kern w:val="0"/>
          <w:szCs w:val="21"/>
          <w:highlight w:val="none"/>
        </w:rPr>
      </w:pPr>
    </w:p>
    <w:p w14:paraId="3CCFF4BA">
      <w:pPr>
        <w:tabs>
          <w:tab w:val="left" w:pos="8300"/>
        </w:tabs>
        <w:autoSpaceDE w:val="0"/>
        <w:autoSpaceDN w:val="0"/>
        <w:adjustRightInd w:val="0"/>
        <w:spacing w:line="220" w:lineRule="exact"/>
        <w:ind w:left="1985" w:right="-20"/>
        <w:jc w:val="left"/>
        <w:rPr>
          <w:rFonts w:hint="eastAsia" w:ascii="宋体" w:hAnsi="宋体" w:cs="宋体"/>
          <w:snapToGrid w:val="0"/>
          <w:color w:val="auto"/>
          <w:kern w:val="0"/>
          <w:sz w:val="20"/>
          <w:szCs w:val="20"/>
          <w:highlight w:val="none"/>
        </w:rPr>
      </w:pPr>
      <w:r>
        <w:rPr>
          <w:rFonts w:hint="eastAsia" w:ascii="宋体" w:hAnsi="宋体" w:cs="宋体"/>
          <w:snapToGrid w:val="0"/>
          <w:color w:val="auto"/>
          <w:kern w:val="0"/>
          <w:szCs w:val="21"/>
          <w:highlight w:val="none"/>
        </w:rPr>
        <w:t>邮政编码：</w:t>
      </w:r>
      <w:r>
        <w:rPr>
          <w:rFonts w:hint="eastAsia" w:ascii="宋体" w:hAnsi="宋体" w:cs="宋体"/>
          <w:snapToGrid w:val="0"/>
          <w:color w:val="auto"/>
          <w:w w:val="200"/>
          <w:kern w:val="0"/>
          <w:szCs w:val="21"/>
          <w:highlight w:val="none"/>
          <w:u w:val="single"/>
        </w:rPr>
        <w:t xml:space="preserve"> 　　　　　　　　　</w:t>
      </w:r>
    </w:p>
    <w:p w14:paraId="5F71E97D">
      <w:pPr>
        <w:autoSpaceDE w:val="0"/>
        <w:autoSpaceDN w:val="0"/>
        <w:adjustRightInd w:val="0"/>
        <w:spacing w:line="200" w:lineRule="exact"/>
        <w:jc w:val="left"/>
        <w:rPr>
          <w:rFonts w:hint="eastAsia" w:ascii="宋体" w:hAnsi="宋体" w:cs="宋体"/>
          <w:snapToGrid w:val="0"/>
          <w:color w:val="auto"/>
          <w:kern w:val="0"/>
          <w:sz w:val="20"/>
          <w:szCs w:val="20"/>
          <w:highlight w:val="none"/>
        </w:rPr>
      </w:pPr>
    </w:p>
    <w:p w14:paraId="2E387AD1">
      <w:pPr>
        <w:autoSpaceDE w:val="0"/>
        <w:autoSpaceDN w:val="0"/>
        <w:adjustRightInd w:val="0"/>
        <w:spacing w:before="14" w:line="240" w:lineRule="exact"/>
        <w:jc w:val="left"/>
        <w:rPr>
          <w:rFonts w:hint="eastAsia" w:ascii="宋体" w:hAnsi="宋体" w:cs="宋体"/>
          <w:snapToGrid w:val="0"/>
          <w:color w:val="auto"/>
          <w:kern w:val="0"/>
          <w:sz w:val="24"/>
          <w:highlight w:val="none"/>
        </w:rPr>
      </w:pPr>
    </w:p>
    <w:p w14:paraId="2ED867B7">
      <w:pPr>
        <w:pStyle w:val="19"/>
        <w:spacing w:line="360" w:lineRule="auto"/>
        <w:jc w:val="right"/>
        <w:rPr>
          <w:rFonts w:hint="eastAsia" w:cs="宋体"/>
          <w:color w:val="auto"/>
          <w:sz w:val="24"/>
          <w:highlight w:val="none"/>
        </w:rPr>
      </w:pPr>
      <w:r>
        <w:rPr>
          <w:rFonts w:hint="eastAsia" w:cs="宋体"/>
          <w:snapToGrid w:val="0"/>
          <w:color w:val="auto"/>
          <w:kern w:val="0"/>
          <w:szCs w:val="21"/>
          <w:highlight w:val="none"/>
          <w:u w:val="single"/>
        </w:rPr>
        <w:t xml:space="preserve">         </w:t>
      </w:r>
      <w:r>
        <w:rPr>
          <w:rFonts w:hint="eastAsia" w:cs="宋体"/>
          <w:snapToGrid w:val="0"/>
          <w:color w:val="auto"/>
          <w:kern w:val="0"/>
          <w:szCs w:val="21"/>
          <w:highlight w:val="none"/>
        </w:rPr>
        <w:t>年</w:t>
      </w:r>
      <w:r>
        <w:rPr>
          <w:rFonts w:hint="eastAsia" w:cs="宋体"/>
          <w:snapToGrid w:val="0"/>
          <w:color w:val="auto"/>
          <w:w w:val="200"/>
          <w:kern w:val="0"/>
          <w:szCs w:val="21"/>
          <w:highlight w:val="none"/>
          <w:u w:val="single"/>
        </w:rPr>
        <w:t xml:space="preserve">  </w:t>
      </w:r>
      <w:r>
        <w:rPr>
          <w:rFonts w:hint="eastAsia" w:cs="宋体"/>
          <w:snapToGrid w:val="0"/>
          <w:color w:val="auto"/>
          <w:kern w:val="0"/>
          <w:szCs w:val="21"/>
          <w:highlight w:val="none"/>
        </w:rPr>
        <w:t>月</w:t>
      </w:r>
      <w:r>
        <w:rPr>
          <w:rFonts w:hint="eastAsia" w:cs="宋体"/>
          <w:snapToGrid w:val="0"/>
          <w:color w:val="auto"/>
          <w:w w:val="200"/>
          <w:kern w:val="0"/>
          <w:szCs w:val="21"/>
          <w:highlight w:val="none"/>
          <w:u w:val="single"/>
        </w:rPr>
        <w:t xml:space="preserve">  </w:t>
      </w:r>
      <w:r>
        <w:rPr>
          <w:rFonts w:hint="eastAsia" w:cs="宋体"/>
          <w:snapToGrid w:val="0"/>
          <w:color w:val="auto"/>
          <w:kern w:val="0"/>
          <w:szCs w:val="21"/>
          <w:highlight w:val="none"/>
          <w:u w:val="single"/>
        </w:rPr>
        <w:t>日</w:t>
      </w:r>
    </w:p>
    <w:p w14:paraId="44FFCA2A">
      <w:pPr>
        <w:tabs>
          <w:tab w:val="left" w:pos="6000"/>
          <w:tab w:val="left" w:pos="7040"/>
          <w:tab w:val="left" w:pos="8100"/>
        </w:tabs>
        <w:autoSpaceDE w:val="0"/>
        <w:autoSpaceDN w:val="0"/>
        <w:adjustRightInd w:val="0"/>
        <w:spacing w:line="220" w:lineRule="exact"/>
        <w:ind w:right="-20" w:firstLine="5159" w:firstLineChars="2345"/>
        <w:jc w:val="left"/>
        <w:rPr>
          <w:rFonts w:hint="eastAsia" w:ascii="宋体" w:hAnsi="宋体" w:cs="宋体"/>
          <w:snapToGrid w:val="0"/>
          <w:color w:val="auto"/>
          <w:kern w:val="0"/>
          <w:sz w:val="22"/>
          <w:szCs w:val="22"/>
          <w:highlight w:val="none"/>
        </w:rPr>
      </w:pPr>
    </w:p>
    <w:p w14:paraId="22DDD086">
      <w:pPr>
        <w:pStyle w:val="4"/>
        <w:numPr>
          <w:ilvl w:val="0"/>
          <w:numId w:val="0"/>
        </w:numPr>
        <w:tabs>
          <w:tab w:val="left" w:pos="720"/>
          <w:tab w:val="clear" w:pos="709"/>
        </w:tabs>
        <w:jc w:val="center"/>
        <w:rPr>
          <w:rFonts w:hint="eastAsia" w:ascii="宋体" w:hAnsi="宋体" w:eastAsia="宋体" w:cs="宋体"/>
          <w:color w:val="auto"/>
          <w:sz w:val="28"/>
          <w:highlight w:val="none"/>
        </w:rPr>
      </w:pPr>
    </w:p>
    <w:p w14:paraId="19FDECE6">
      <w:pPr>
        <w:pStyle w:val="19"/>
        <w:spacing w:line="360" w:lineRule="auto"/>
        <w:jc w:val="right"/>
        <w:rPr>
          <w:rFonts w:hint="eastAsia" w:cs="宋体"/>
          <w:color w:val="auto"/>
          <w:sz w:val="24"/>
          <w:highlight w:val="none"/>
        </w:rPr>
      </w:pPr>
    </w:p>
    <w:p w14:paraId="123D4D66">
      <w:pPr>
        <w:tabs>
          <w:tab w:val="left" w:pos="6000"/>
          <w:tab w:val="left" w:pos="7040"/>
          <w:tab w:val="left" w:pos="8100"/>
        </w:tabs>
        <w:autoSpaceDE w:val="0"/>
        <w:autoSpaceDN w:val="0"/>
        <w:adjustRightInd w:val="0"/>
        <w:spacing w:line="220" w:lineRule="exact"/>
        <w:ind w:right="-20" w:firstLine="5159" w:firstLineChars="2345"/>
        <w:jc w:val="left"/>
        <w:rPr>
          <w:rFonts w:hint="eastAsia" w:ascii="宋体" w:hAnsi="宋体" w:cs="宋体"/>
          <w:snapToGrid w:val="0"/>
          <w:color w:val="auto"/>
          <w:kern w:val="0"/>
          <w:sz w:val="22"/>
          <w:szCs w:val="22"/>
          <w:highlight w:val="none"/>
        </w:rPr>
      </w:pPr>
    </w:p>
    <w:bookmarkEnd w:id="498"/>
    <w:p w14:paraId="08950A37">
      <w:pPr>
        <w:rPr>
          <w:rFonts w:hint="eastAsia" w:ascii="宋体" w:hAnsi="宋体" w:cs="宋体"/>
          <w:snapToGrid w:val="0"/>
          <w:color w:val="auto"/>
          <w:szCs w:val="21"/>
          <w:highlight w:val="none"/>
        </w:rPr>
      </w:pPr>
    </w:p>
    <w:p w14:paraId="0EB588ED">
      <w:pPr>
        <w:pStyle w:val="4"/>
        <w:numPr>
          <w:ilvl w:val="0"/>
          <w:numId w:val="0"/>
        </w:numPr>
        <w:tabs>
          <w:tab w:val="left" w:pos="720"/>
          <w:tab w:val="clear" w:pos="709"/>
        </w:tabs>
        <w:jc w:val="center"/>
        <w:rPr>
          <w:rFonts w:hint="eastAsia" w:ascii="宋体" w:hAnsi="宋体" w:cs="宋体"/>
          <w:b w:val="0"/>
          <w:color w:val="auto"/>
          <w:sz w:val="28"/>
          <w:highlight w:val="none"/>
        </w:rPr>
      </w:pPr>
      <w:bookmarkStart w:id="499" w:name="_Toc224103497"/>
      <w:bookmarkStart w:id="500" w:name="_Toc2694"/>
      <w:bookmarkStart w:id="501" w:name="_Toc391220324"/>
      <w:r>
        <w:rPr>
          <w:rFonts w:hint="eastAsia" w:ascii="宋体" w:hAnsi="宋体" w:eastAsia="宋体" w:cs="宋体"/>
          <w:color w:val="auto"/>
          <w:sz w:val="28"/>
          <w:highlight w:val="none"/>
        </w:rPr>
        <w:t>（</w:t>
      </w:r>
      <w:r>
        <w:rPr>
          <w:rFonts w:hint="eastAsia" w:ascii="宋体" w:hAnsi="宋体" w:eastAsia="宋体" w:cs="宋体"/>
          <w:color w:val="auto"/>
          <w:sz w:val="28"/>
          <w:highlight w:val="none"/>
          <w:lang w:val="en-US" w:eastAsia="zh-CN"/>
        </w:rPr>
        <w:t>二</w:t>
      </w:r>
      <w:r>
        <w:rPr>
          <w:rFonts w:hint="eastAsia" w:ascii="宋体" w:hAnsi="宋体" w:eastAsia="宋体" w:cs="宋体"/>
          <w:color w:val="auto"/>
          <w:sz w:val="28"/>
          <w:highlight w:val="none"/>
        </w:rPr>
        <w:t>） 法定代表人身份证明及授权委托书</w:t>
      </w:r>
      <w:bookmarkEnd w:id="499"/>
      <w:bookmarkEnd w:id="500"/>
      <w:bookmarkEnd w:id="501"/>
    </w:p>
    <w:p w14:paraId="1391ADF8">
      <w:pPr>
        <w:jc w:val="center"/>
        <w:rPr>
          <w:rFonts w:hint="eastAsia" w:ascii="宋体" w:hAnsi="宋体" w:cs="宋体"/>
          <w:b/>
          <w:color w:val="auto"/>
          <w:highlight w:val="none"/>
        </w:rPr>
      </w:pPr>
      <w:r>
        <w:rPr>
          <w:rFonts w:hint="eastAsia" w:ascii="宋体" w:hAnsi="宋体" w:cs="宋体"/>
          <w:b/>
          <w:color w:val="auto"/>
          <w:sz w:val="28"/>
          <w:highlight w:val="none"/>
        </w:rPr>
        <w:t>法定代表人身份证明</w:t>
      </w:r>
    </w:p>
    <w:p w14:paraId="4D6A1AD5">
      <w:pPr>
        <w:ind w:left="765"/>
        <w:rPr>
          <w:rFonts w:hint="eastAsia" w:ascii="宋体" w:hAnsi="宋体" w:cs="宋体"/>
          <w:color w:val="auto"/>
          <w:highlight w:val="none"/>
        </w:rPr>
      </w:pPr>
    </w:p>
    <w:p w14:paraId="2D7FCE63">
      <w:pPr>
        <w:ind w:left="765"/>
        <w:rPr>
          <w:rFonts w:hint="eastAsia" w:ascii="宋体" w:hAnsi="宋体" w:cs="宋体"/>
          <w:color w:val="auto"/>
          <w:highlight w:val="none"/>
        </w:rPr>
      </w:pPr>
    </w:p>
    <w:p w14:paraId="40DAC2AB">
      <w:pPr>
        <w:ind w:left="765"/>
        <w:rPr>
          <w:rFonts w:hint="eastAsia" w:ascii="宋体" w:hAnsi="宋体" w:cs="宋体"/>
          <w:color w:val="auto"/>
          <w:highlight w:val="none"/>
        </w:rPr>
      </w:pPr>
    </w:p>
    <w:p w14:paraId="0751AB16">
      <w:pPr>
        <w:tabs>
          <w:tab w:val="left" w:pos="5565"/>
        </w:tabs>
        <w:autoSpaceDE w:val="0"/>
        <w:autoSpaceDN w:val="0"/>
        <w:adjustRightInd w:val="0"/>
        <w:snapToGrid w:val="0"/>
        <w:spacing w:line="360" w:lineRule="auto"/>
        <w:ind w:firstLine="390" w:firstLineChars="186"/>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比选申请人名称：</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14:paraId="2D28C3B4">
      <w:pPr>
        <w:autoSpaceDE w:val="0"/>
        <w:autoSpaceDN w:val="0"/>
        <w:adjustRightInd w:val="0"/>
        <w:snapToGrid w:val="0"/>
        <w:spacing w:line="360" w:lineRule="auto"/>
        <w:ind w:firstLine="372" w:firstLineChars="186"/>
        <w:jc w:val="left"/>
        <w:rPr>
          <w:rFonts w:hint="eastAsia" w:ascii="宋体" w:hAnsi="宋体" w:cs="宋体"/>
          <w:color w:val="auto"/>
          <w:kern w:val="0"/>
          <w:sz w:val="20"/>
          <w:szCs w:val="20"/>
          <w:highlight w:val="none"/>
        </w:rPr>
      </w:pPr>
    </w:p>
    <w:p w14:paraId="35E5C650">
      <w:pPr>
        <w:tabs>
          <w:tab w:val="left" w:pos="5475"/>
        </w:tabs>
        <w:autoSpaceDE w:val="0"/>
        <w:autoSpaceDN w:val="0"/>
        <w:adjustRightInd w:val="0"/>
        <w:snapToGrid w:val="0"/>
        <w:spacing w:line="360" w:lineRule="auto"/>
        <w:ind w:firstLine="390" w:firstLineChars="186"/>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单位性质：</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14:paraId="0D90931C">
      <w:pPr>
        <w:autoSpaceDE w:val="0"/>
        <w:autoSpaceDN w:val="0"/>
        <w:adjustRightInd w:val="0"/>
        <w:snapToGrid w:val="0"/>
        <w:spacing w:line="360" w:lineRule="auto"/>
        <w:ind w:firstLine="372" w:firstLineChars="186"/>
        <w:jc w:val="left"/>
        <w:rPr>
          <w:rFonts w:hint="eastAsia" w:ascii="宋体" w:hAnsi="宋体" w:cs="宋体"/>
          <w:color w:val="auto"/>
          <w:kern w:val="0"/>
          <w:sz w:val="20"/>
          <w:szCs w:val="20"/>
          <w:highlight w:val="none"/>
        </w:rPr>
      </w:pPr>
    </w:p>
    <w:p w14:paraId="2E4A744B">
      <w:pPr>
        <w:tabs>
          <w:tab w:val="left" w:pos="5475"/>
        </w:tabs>
        <w:autoSpaceDE w:val="0"/>
        <w:autoSpaceDN w:val="0"/>
        <w:adjustRightInd w:val="0"/>
        <w:snapToGrid w:val="0"/>
        <w:spacing w:line="360" w:lineRule="auto"/>
        <w:ind w:firstLine="390" w:firstLineChars="186"/>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地址：</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14:paraId="3A413315">
      <w:pPr>
        <w:autoSpaceDE w:val="0"/>
        <w:autoSpaceDN w:val="0"/>
        <w:adjustRightInd w:val="0"/>
        <w:snapToGrid w:val="0"/>
        <w:spacing w:line="360" w:lineRule="auto"/>
        <w:ind w:firstLine="372" w:firstLineChars="186"/>
        <w:jc w:val="left"/>
        <w:rPr>
          <w:rFonts w:hint="eastAsia" w:ascii="宋体" w:hAnsi="宋体" w:cs="宋体"/>
          <w:color w:val="auto"/>
          <w:kern w:val="0"/>
          <w:sz w:val="20"/>
          <w:szCs w:val="20"/>
          <w:highlight w:val="none"/>
        </w:rPr>
      </w:pPr>
    </w:p>
    <w:p w14:paraId="28830666">
      <w:pPr>
        <w:tabs>
          <w:tab w:val="left" w:pos="2520"/>
          <w:tab w:val="left" w:pos="3836"/>
        </w:tabs>
        <w:autoSpaceDE w:val="0"/>
        <w:autoSpaceDN w:val="0"/>
        <w:adjustRightInd w:val="0"/>
        <w:snapToGrid w:val="0"/>
        <w:spacing w:line="360" w:lineRule="auto"/>
        <w:ind w:firstLine="390" w:firstLineChars="186"/>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成立时间：</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 xml:space="preserve"> </w:t>
      </w:r>
      <w:r>
        <w:rPr>
          <w:rFonts w:hint="eastAsia" w:ascii="宋体" w:hAnsi="宋体" w:cs="宋体"/>
          <w:color w:val="auto"/>
          <w:spacing w:val="-1"/>
          <w:kern w:val="0"/>
          <w:szCs w:val="21"/>
          <w:highlight w:val="none"/>
        </w:rPr>
        <w:t>年</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r>
        <w:rPr>
          <w:rFonts w:hint="eastAsia" w:ascii="宋体" w:hAnsi="宋体" w:cs="宋体"/>
          <w:color w:val="auto"/>
          <w:spacing w:val="-1"/>
          <w:kern w:val="0"/>
          <w:szCs w:val="21"/>
          <w:highlight w:val="none"/>
        </w:rPr>
        <w:t>月</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14:paraId="2E18D9A0">
      <w:pPr>
        <w:autoSpaceDE w:val="0"/>
        <w:autoSpaceDN w:val="0"/>
        <w:adjustRightInd w:val="0"/>
        <w:snapToGrid w:val="0"/>
        <w:spacing w:line="360" w:lineRule="auto"/>
        <w:ind w:firstLine="186" w:firstLineChars="186"/>
        <w:jc w:val="left"/>
        <w:rPr>
          <w:rFonts w:hint="eastAsia" w:ascii="宋体" w:hAnsi="宋体" w:cs="宋体"/>
          <w:color w:val="auto"/>
          <w:kern w:val="0"/>
          <w:sz w:val="10"/>
          <w:szCs w:val="10"/>
          <w:highlight w:val="none"/>
        </w:rPr>
      </w:pPr>
    </w:p>
    <w:p w14:paraId="460D8859">
      <w:pPr>
        <w:tabs>
          <w:tab w:val="left" w:pos="5475"/>
        </w:tabs>
        <w:autoSpaceDE w:val="0"/>
        <w:autoSpaceDN w:val="0"/>
        <w:adjustRightInd w:val="0"/>
        <w:snapToGrid w:val="0"/>
        <w:spacing w:line="360" w:lineRule="auto"/>
        <w:ind w:firstLine="390" w:firstLineChars="186"/>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经营期限：</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14:paraId="4D9E96EF">
      <w:pPr>
        <w:autoSpaceDE w:val="0"/>
        <w:autoSpaceDN w:val="0"/>
        <w:adjustRightInd w:val="0"/>
        <w:snapToGrid w:val="0"/>
        <w:spacing w:line="360" w:lineRule="auto"/>
        <w:ind w:firstLine="372" w:firstLineChars="186"/>
        <w:jc w:val="left"/>
        <w:rPr>
          <w:rFonts w:hint="eastAsia" w:ascii="宋体" w:hAnsi="宋体" w:cs="宋体"/>
          <w:color w:val="auto"/>
          <w:kern w:val="0"/>
          <w:sz w:val="20"/>
          <w:szCs w:val="20"/>
          <w:highlight w:val="none"/>
        </w:rPr>
      </w:pPr>
    </w:p>
    <w:p w14:paraId="011B49DF">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姓名：</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 xml:space="preserve"> 性别</w:t>
      </w:r>
      <w:r>
        <w:rPr>
          <w:rFonts w:hint="eastAsia" w:ascii="宋体" w:hAnsi="宋体" w:cs="宋体"/>
          <w:color w:val="auto"/>
          <w:spacing w:val="-1"/>
          <w:kern w:val="0"/>
          <w:szCs w:val="21"/>
          <w:highlight w:val="none"/>
        </w:rPr>
        <w:t>：</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 xml:space="preserve"> </w:t>
      </w:r>
      <w:r>
        <w:rPr>
          <w:rFonts w:hint="eastAsia" w:ascii="宋体" w:hAnsi="宋体" w:cs="宋体"/>
          <w:color w:val="auto"/>
          <w:spacing w:val="-1"/>
          <w:kern w:val="0"/>
          <w:szCs w:val="21"/>
          <w:highlight w:val="none"/>
        </w:rPr>
        <w:t>年</w:t>
      </w:r>
      <w:r>
        <w:rPr>
          <w:rFonts w:hint="eastAsia" w:ascii="宋体" w:hAnsi="宋体" w:cs="宋体"/>
          <w:color w:val="auto"/>
          <w:kern w:val="0"/>
          <w:szCs w:val="21"/>
          <w:highlight w:val="none"/>
        </w:rPr>
        <w:t>龄：</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职务：</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14:paraId="46333402">
      <w:pPr>
        <w:autoSpaceDE w:val="0"/>
        <w:autoSpaceDN w:val="0"/>
        <w:adjustRightInd w:val="0"/>
        <w:snapToGrid w:val="0"/>
        <w:spacing w:line="360" w:lineRule="auto"/>
        <w:ind w:firstLine="372" w:firstLineChars="186"/>
        <w:jc w:val="left"/>
        <w:rPr>
          <w:rFonts w:hint="eastAsia" w:ascii="宋体" w:hAnsi="宋体" w:cs="宋体"/>
          <w:color w:val="auto"/>
          <w:kern w:val="0"/>
          <w:sz w:val="20"/>
          <w:szCs w:val="20"/>
          <w:highlight w:val="none"/>
        </w:rPr>
      </w:pPr>
    </w:p>
    <w:p w14:paraId="10F0B1C9">
      <w:pPr>
        <w:tabs>
          <w:tab w:val="left" w:pos="3360"/>
        </w:tabs>
        <w:autoSpaceDE w:val="0"/>
        <w:autoSpaceDN w:val="0"/>
        <w:adjustRightInd w:val="0"/>
        <w:snapToGrid w:val="0"/>
        <w:spacing w:line="360" w:lineRule="auto"/>
        <w:ind w:firstLine="390" w:firstLineChars="186"/>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系</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 xml:space="preserve"> （比选申请人名称）的法定代表人。</w:t>
      </w:r>
    </w:p>
    <w:p w14:paraId="4EDCDB3E">
      <w:pPr>
        <w:autoSpaceDE w:val="0"/>
        <w:autoSpaceDN w:val="0"/>
        <w:adjustRightInd w:val="0"/>
        <w:snapToGrid w:val="0"/>
        <w:spacing w:line="360" w:lineRule="auto"/>
        <w:ind w:firstLine="186" w:firstLineChars="186"/>
        <w:jc w:val="left"/>
        <w:rPr>
          <w:rFonts w:hint="eastAsia" w:ascii="宋体" w:hAnsi="宋体" w:cs="宋体"/>
          <w:color w:val="auto"/>
          <w:kern w:val="0"/>
          <w:sz w:val="10"/>
          <w:szCs w:val="10"/>
          <w:highlight w:val="none"/>
        </w:rPr>
      </w:pPr>
    </w:p>
    <w:p w14:paraId="15951905">
      <w:pPr>
        <w:autoSpaceDE w:val="0"/>
        <w:autoSpaceDN w:val="0"/>
        <w:adjustRightInd w:val="0"/>
        <w:snapToGrid w:val="0"/>
        <w:spacing w:line="360" w:lineRule="auto"/>
        <w:ind w:firstLine="810" w:firstLineChars="386"/>
        <w:jc w:val="left"/>
        <w:rPr>
          <w:rFonts w:hint="eastAsia" w:ascii="宋体" w:hAnsi="宋体" w:cs="宋体"/>
          <w:color w:val="auto"/>
          <w:kern w:val="0"/>
          <w:sz w:val="20"/>
          <w:szCs w:val="20"/>
          <w:highlight w:val="none"/>
        </w:rPr>
      </w:pPr>
      <w:r>
        <w:rPr>
          <w:rFonts w:hint="eastAsia" w:ascii="宋体" w:hAnsi="宋体" w:cs="宋体"/>
          <w:color w:val="auto"/>
          <w:kern w:val="0"/>
          <w:szCs w:val="21"/>
          <w:highlight w:val="none"/>
        </w:rPr>
        <w:t>特此证明。</w:t>
      </w:r>
    </w:p>
    <w:tbl>
      <w:tblPr>
        <w:tblStyle w:val="51"/>
        <w:tblW w:w="0" w:type="auto"/>
        <w:tblInd w:w="20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2"/>
      </w:tblGrid>
      <w:tr w14:paraId="392BA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2" w:type="dxa"/>
            <w:noWrap w:val="0"/>
            <w:vAlign w:val="top"/>
          </w:tcPr>
          <w:p w14:paraId="1EF67278">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法定代表人身份证复印件</w:t>
            </w:r>
          </w:p>
          <w:p w14:paraId="4E491697">
            <w:pPr>
              <w:keepNext w:val="0"/>
              <w:keepLines w:val="0"/>
              <w:suppressLineNumbers w:val="0"/>
              <w:spacing w:before="0" w:beforeAutospacing="0" w:after="0" w:afterAutospacing="0" w:line="520" w:lineRule="exact"/>
              <w:ind w:left="0" w:right="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双面</w:t>
            </w:r>
          </w:p>
          <w:p w14:paraId="5D299CD9">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color w:val="auto"/>
                <w:kern w:val="0"/>
                <w:sz w:val="20"/>
                <w:szCs w:val="20"/>
                <w:highlight w:val="none"/>
              </w:rPr>
            </w:pPr>
          </w:p>
          <w:p w14:paraId="4090F9F8">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color w:val="auto"/>
                <w:kern w:val="0"/>
                <w:sz w:val="20"/>
                <w:szCs w:val="20"/>
                <w:highlight w:val="none"/>
              </w:rPr>
            </w:pPr>
          </w:p>
          <w:p w14:paraId="6C7F2A8A">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color w:val="auto"/>
                <w:kern w:val="0"/>
                <w:sz w:val="20"/>
                <w:szCs w:val="20"/>
                <w:highlight w:val="none"/>
              </w:rPr>
            </w:pPr>
          </w:p>
        </w:tc>
      </w:tr>
    </w:tbl>
    <w:p w14:paraId="3C5EFE06">
      <w:pPr>
        <w:autoSpaceDE w:val="0"/>
        <w:autoSpaceDN w:val="0"/>
        <w:adjustRightInd w:val="0"/>
        <w:snapToGrid w:val="0"/>
        <w:jc w:val="left"/>
        <w:rPr>
          <w:rFonts w:hint="eastAsia" w:ascii="宋体" w:hAnsi="宋体" w:cs="宋体"/>
          <w:color w:val="auto"/>
          <w:kern w:val="0"/>
          <w:sz w:val="20"/>
          <w:szCs w:val="20"/>
          <w:highlight w:val="none"/>
        </w:rPr>
      </w:pPr>
    </w:p>
    <w:p w14:paraId="7350B31C">
      <w:pPr>
        <w:autoSpaceDE w:val="0"/>
        <w:autoSpaceDN w:val="0"/>
        <w:adjustRightInd w:val="0"/>
        <w:snapToGrid w:val="0"/>
        <w:spacing w:line="360" w:lineRule="auto"/>
        <w:jc w:val="left"/>
        <w:rPr>
          <w:rFonts w:hint="eastAsia" w:ascii="宋体" w:hAnsi="宋体" w:cs="宋体"/>
          <w:color w:val="auto"/>
          <w:kern w:val="0"/>
          <w:sz w:val="20"/>
          <w:szCs w:val="20"/>
          <w:highlight w:val="none"/>
        </w:rPr>
      </w:pPr>
    </w:p>
    <w:p w14:paraId="066F867B">
      <w:pPr>
        <w:tabs>
          <w:tab w:val="left" w:pos="5460"/>
        </w:tabs>
        <w:autoSpaceDE w:val="0"/>
        <w:autoSpaceDN w:val="0"/>
        <w:adjustRightInd w:val="0"/>
        <w:snapToGrid w:val="0"/>
        <w:spacing w:line="360" w:lineRule="auto"/>
        <w:ind w:firstLine="2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比选申请人：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rPr>
        <w:t>盖单位</w:t>
      </w:r>
      <w:r>
        <w:rPr>
          <w:rFonts w:hint="eastAsia" w:ascii="宋体" w:hAnsi="宋体" w:cs="宋体"/>
          <w:color w:val="auto"/>
          <w:szCs w:val="21"/>
          <w:highlight w:val="none"/>
        </w:rPr>
        <w:t>法人</w:t>
      </w:r>
      <w:r>
        <w:rPr>
          <w:rFonts w:hint="eastAsia" w:ascii="宋体" w:hAnsi="宋体" w:cs="宋体"/>
          <w:color w:val="auto"/>
          <w:kern w:val="0"/>
          <w:szCs w:val="21"/>
          <w:highlight w:val="none"/>
        </w:rPr>
        <w:t>章）</w:t>
      </w:r>
    </w:p>
    <w:p w14:paraId="72AFE177">
      <w:pPr>
        <w:autoSpaceDE w:val="0"/>
        <w:autoSpaceDN w:val="0"/>
        <w:adjustRightInd w:val="0"/>
        <w:snapToGrid w:val="0"/>
        <w:spacing w:line="360" w:lineRule="auto"/>
        <w:jc w:val="left"/>
        <w:rPr>
          <w:rFonts w:hint="eastAsia" w:ascii="宋体" w:hAnsi="宋体" w:cs="宋体"/>
          <w:color w:val="auto"/>
          <w:kern w:val="0"/>
          <w:sz w:val="20"/>
          <w:szCs w:val="20"/>
          <w:highlight w:val="none"/>
        </w:rPr>
      </w:pPr>
    </w:p>
    <w:p w14:paraId="15B874C5">
      <w:pPr>
        <w:tabs>
          <w:tab w:val="left" w:pos="4935"/>
          <w:tab w:val="left" w:pos="5460"/>
          <w:tab w:val="left" w:pos="6400"/>
        </w:tabs>
        <w:autoSpaceDE w:val="0"/>
        <w:autoSpaceDN w:val="0"/>
        <w:adjustRightInd w:val="0"/>
        <w:snapToGrid w:val="0"/>
        <w:spacing w:line="360" w:lineRule="auto"/>
        <w:ind w:firstLine="3780"/>
        <w:jc w:val="left"/>
        <w:rPr>
          <w:rFonts w:hint="eastAsia" w:ascii="宋体" w:hAnsi="宋体" w:cs="宋体"/>
          <w:color w:val="auto"/>
          <w:kern w:val="0"/>
          <w:szCs w:val="21"/>
          <w:highlight w:val="none"/>
        </w:rPr>
      </w:pP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spacing w:val="-1"/>
          <w:kern w:val="0"/>
          <w:szCs w:val="21"/>
          <w:highlight w:val="none"/>
        </w:rPr>
        <w:t>年</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日</w:t>
      </w:r>
    </w:p>
    <w:p w14:paraId="7F17251B">
      <w:pPr>
        <w:autoSpaceDE w:val="0"/>
        <w:autoSpaceDN w:val="0"/>
        <w:adjustRightInd w:val="0"/>
        <w:snapToGrid w:val="0"/>
        <w:spacing w:line="360" w:lineRule="auto"/>
        <w:jc w:val="left"/>
        <w:rPr>
          <w:rFonts w:hint="eastAsia" w:ascii="宋体" w:hAnsi="宋体" w:cs="宋体"/>
          <w:color w:val="auto"/>
          <w:kern w:val="0"/>
          <w:highlight w:val="none"/>
        </w:rPr>
      </w:pPr>
    </w:p>
    <w:p w14:paraId="3C0EB53D">
      <w:pPr>
        <w:autoSpaceDE w:val="0"/>
        <w:autoSpaceDN w:val="0"/>
        <w:adjustRightInd w:val="0"/>
        <w:snapToGrid w:val="0"/>
        <w:spacing w:line="360" w:lineRule="auto"/>
        <w:jc w:val="left"/>
        <w:rPr>
          <w:rFonts w:hint="eastAsia" w:ascii="宋体" w:hAnsi="宋体" w:cs="宋体"/>
          <w:color w:val="auto"/>
          <w:kern w:val="0"/>
          <w:highlight w:val="none"/>
        </w:rPr>
      </w:pPr>
      <w:r>
        <w:rPr>
          <w:rFonts w:hint="eastAsia" w:ascii="宋体" w:hAnsi="宋体" w:cs="宋体"/>
          <w:color w:val="auto"/>
          <w:kern w:val="0"/>
          <w:highlight w:val="none"/>
        </w:rPr>
        <w:br w:type="page"/>
      </w:r>
    </w:p>
    <w:p w14:paraId="633D74AF">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授权委托书</w:t>
      </w:r>
    </w:p>
    <w:p w14:paraId="7E5CD552">
      <w:pPr>
        <w:autoSpaceDE w:val="0"/>
        <w:autoSpaceDN w:val="0"/>
        <w:adjustRightInd w:val="0"/>
        <w:snapToGrid w:val="0"/>
        <w:spacing w:line="360" w:lineRule="auto"/>
        <w:jc w:val="left"/>
        <w:rPr>
          <w:rFonts w:hint="eastAsia" w:ascii="宋体" w:hAnsi="宋体" w:cs="宋体"/>
          <w:color w:val="auto"/>
          <w:kern w:val="0"/>
          <w:sz w:val="20"/>
          <w:szCs w:val="20"/>
          <w:highlight w:val="none"/>
        </w:rPr>
      </w:pPr>
    </w:p>
    <w:p w14:paraId="4B895142">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本人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（姓名）系</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比选申请人</w:t>
      </w:r>
      <w:r>
        <w:rPr>
          <w:rFonts w:hint="eastAsia" w:ascii="宋体" w:hAnsi="宋体" w:cs="宋体"/>
          <w:color w:val="auto"/>
          <w:kern w:val="0"/>
          <w:szCs w:val="21"/>
          <w:highlight w:val="none"/>
        </w:rPr>
        <w:t>名称</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rPr>
        <w:t>的法定代</w:t>
      </w:r>
      <w:r>
        <w:rPr>
          <w:rFonts w:hint="eastAsia" w:ascii="宋体" w:hAnsi="宋体" w:cs="宋体"/>
          <w:color w:val="auto"/>
          <w:spacing w:val="1"/>
          <w:kern w:val="0"/>
          <w:szCs w:val="21"/>
          <w:highlight w:val="none"/>
        </w:rPr>
        <w:t>表</w:t>
      </w:r>
      <w:r>
        <w:rPr>
          <w:rFonts w:hint="eastAsia" w:ascii="宋体" w:hAnsi="宋体" w:cs="宋体"/>
          <w:color w:val="auto"/>
          <w:kern w:val="0"/>
          <w:szCs w:val="21"/>
          <w:highlight w:val="none"/>
        </w:rPr>
        <w:t>人，现委托</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（姓 名）为我方代理人。代理人根据授权，以我方名义签署、澄清、说明、补正、递交、撤回、修改、领取</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（项</w:t>
      </w:r>
      <w:r>
        <w:rPr>
          <w:rFonts w:hint="eastAsia" w:ascii="宋体" w:hAnsi="宋体" w:cs="宋体"/>
          <w:color w:val="auto"/>
          <w:spacing w:val="-1"/>
          <w:kern w:val="0"/>
          <w:szCs w:val="21"/>
          <w:highlight w:val="none"/>
        </w:rPr>
        <w:t>目</w:t>
      </w:r>
      <w:r>
        <w:rPr>
          <w:rFonts w:hint="eastAsia" w:ascii="宋体" w:hAnsi="宋体" w:cs="宋体"/>
          <w:color w:val="auto"/>
          <w:kern w:val="0"/>
          <w:szCs w:val="21"/>
          <w:highlight w:val="none"/>
        </w:rPr>
        <w:t>名称）</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lang w:eastAsia="zh-CN"/>
        </w:rPr>
        <w:t>（标段）</w:t>
      </w:r>
      <w:r>
        <w:rPr>
          <w:rFonts w:hint="eastAsia" w:ascii="宋体" w:hAnsi="宋体" w:cs="宋体"/>
          <w:color w:val="auto"/>
          <w:kern w:val="0"/>
          <w:szCs w:val="21"/>
          <w:highlight w:val="none"/>
        </w:rPr>
        <w:t>比选申请文件、签订合同和处理有关事宜，其法律后果由我方承担。</w:t>
      </w:r>
    </w:p>
    <w:p w14:paraId="3D3F53B3">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委托</w:t>
      </w:r>
      <w:r>
        <w:rPr>
          <w:rFonts w:hint="eastAsia" w:ascii="宋体" w:hAnsi="宋体" w:cs="宋体"/>
          <w:color w:val="auto"/>
          <w:spacing w:val="-1"/>
          <w:kern w:val="0"/>
          <w:szCs w:val="21"/>
          <w:highlight w:val="none"/>
        </w:rPr>
        <w:t>期</w:t>
      </w:r>
      <w:r>
        <w:rPr>
          <w:rFonts w:hint="eastAsia" w:ascii="宋体" w:hAnsi="宋体" w:cs="宋体"/>
          <w:color w:val="auto"/>
          <w:kern w:val="0"/>
          <w:szCs w:val="21"/>
          <w:highlight w:val="none"/>
        </w:rPr>
        <w:t>限：</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w:t>
      </w:r>
    </w:p>
    <w:p w14:paraId="761748BE">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 w:val="20"/>
          <w:szCs w:val="20"/>
          <w:highlight w:val="none"/>
        </w:rPr>
      </w:pPr>
      <w:r>
        <w:rPr>
          <w:rFonts w:hint="eastAsia" w:ascii="宋体" w:hAnsi="宋体" w:cs="宋体"/>
          <w:color w:val="auto"/>
          <w:kern w:val="0"/>
          <w:szCs w:val="21"/>
          <w:highlight w:val="none"/>
        </w:rPr>
        <w:t>代理人无转委托权。</w:t>
      </w:r>
    </w:p>
    <w:p w14:paraId="5C7C164A">
      <w:pPr>
        <w:tabs>
          <w:tab w:val="left" w:pos="4200"/>
          <w:tab w:val="left" w:pos="4620"/>
        </w:tabs>
        <w:autoSpaceDE w:val="0"/>
        <w:autoSpaceDN w:val="0"/>
        <w:adjustRightInd w:val="0"/>
        <w:snapToGrid w:val="0"/>
        <w:spacing w:line="360" w:lineRule="auto"/>
        <w:ind w:firstLine="1694"/>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比选申请人：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盖</w:t>
      </w:r>
      <w:r>
        <w:rPr>
          <w:rFonts w:hint="eastAsia" w:ascii="宋体" w:hAnsi="宋体" w:cs="宋体"/>
          <w:color w:val="auto"/>
          <w:kern w:val="0"/>
          <w:szCs w:val="21"/>
          <w:highlight w:val="none"/>
        </w:rPr>
        <w:t>单位</w:t>
      </w:r>
      <w:r>
        <w:rPr>
          <w:rFonts w:hint="eastAsia" w:ascii="宋体" w:hAnsi="宋体" w:cs="宋体"/>
          <w:color w:val="auto"/>
          <w:szCs w:val="21"/>
          <w:highlight w:val="none"/>
        </w:rPr>
        <w:t>法人</w:t>
      </w:r>
      <w:r>
        <w:rPr>
          <w:rFonts w:hint="eastAsia" w:ascii="宋体" w:hAnsi="宋体" w:cs="宋体"/>
          <w:color w:val="auto"/>
          <w:kern w:val="0"/>
          <w:szCs w:val="21"/>
          <w:highlight w:val="none"/>
        </w:rPr>
        <w:t xml:space="preserve">章） </w:t>
      </w:r>
    </w:p>
    <w:p w14:paraId="602D167C">
      <w:pPr>
        <w:tabs>
          <w:tab w:val="left" w:pos="6300"/>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（签字或盖章）</w:t>
      </w:r>
    </w:p>
    <w:p w14:paraId="6E544B97">
      <w:pPr>
        <w:tabs>
          <w:tab w:val="left" w:pos="5260"/>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身份证号码：</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14:paraId="4A2DF37C">
      <w:pPr>
        <w:tabs>
          <w:tab w:val="left" w:pos="6720"/>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委托代理人：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（签</w:t>
      </w:r>
      <w:r>
        <w:rPr>
          <w:rFonts w:hint="eastAsia" w:ascii="宋体" w:hAnsi="宋体" w:cs="宋体"/>
          <w:color w:val="auto"/>
          <w:spacing w:val="-1"/>
          <w:kern w:val="0"/>
          <w:szCs w:val="21"/>
          <w:highlight w:val="none"/>
        </w:rPr>
        <w:t>字</w:t>
      </w:r>
      <w:r>
        <w:rPr>
          <w:rFonts w:hint="eastAsia" w:ascii="宋体" w:hAnsi="宋体" w:cs="宋体"/>
          <w:color w:val="auto"/>
          <w:kern w:val="0"/>
          <w:szCs w:val="21"/>
          <w:highlight w:val="none"/>
        </w:rPr>
        <w:t>）</w:t>
      </w:r>
    </w:p>
    <w:p w14:paraId="25170D91">
      <w:pPr>
        <w:tabs>
          <w:tab w:val="left" w:pos="6825"/>
        </w:tabs>
        <w:autoSpaceDE w:val="0"/>
        <w:autoSpaceDN w:val="0"/>
        <w:adjustRightInd w:val="0"/>
        <w:snapToGrid w:val="0"/>
        <w:spacing w:line="360" w:lineRule="auto"/>
        <w:ind w:firstLine="168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身份证号码：</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14:paraId="27FFC3C3">
      <w:pPr>
        <w:tabs>
          <w:tab w:val="left" w:pos="6825"/>
        </w:tabs>
        <w:autoSpaceDE w:val="0"/>
        <w:autoSpaceDN w:val="0"/>
        <w:adjustRightInd w:val="0"/>
        <w:snapToGrid w:val="0"/>
        <w:spacing w:line="360" w:lineRule="auto"/>
        <w:ind w:firstLine="168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 xml:space="preserve">社保号码： </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14:paraId="7D8A05AD">
      <w:pPr>
        <w:tabs>
          <w:tab w:val="left" w:pos="6825"/>
        </w:tabs>
        <w:autoSpaceDE w:val="0"/>
        <w:autoSpaceDN w:val="0"/>
        <w:adjustRightInd w:val="0"/>
        <w:snapToGrid w:val="0"/>
        <w:spacing w:line="360" w:lineRule="auto"/>
        <w:ind w:firstLine="168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座机：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14:paraId="3685D2FE">
      <w:pPr>
        <w:tabs>
          <w:tab w:val="left" w:pos="6825"/>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手机：  </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tbl>
      <w:tblPr>
        <w:tblStyle w:val="51"/>
        <w:tblW w:w="8360" w:type="dxa"/>
        <w:tblInd w:w="20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0"/>
        <w:gridCol w:w="4180"/>
      </w:tblGrid>
      <w:tr w14:paraId="7262E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2" w:hRule="atLeast"/>
        </w:trPr>
        <w:tc>
          <w:tcPr>
            <w:tcW w:w="4180" w:type="dxa"/>
            <w:noWrap w:val="0"/>
            <w:vAlign w:val="top"/>
          </w:tcPr>
          <w:p w14:paraId="3D25CF11">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cs="宋体"/>
                <w:color w:val="auto"/>
                <w:highlight w:val="none"/>
                <w:lang w:val="en-US" w:eastAsia="zh-CN"/>
              </w:rPr>
              <w:t>法定代表人</w:t>
            </w:r>
            <w:r>
              <w:rPr>
                <w:rFonts w:hint="eastAsia" w:ascii="宋体" w:hAnsi="宋体" w:eastAsia="宋体" w:cs="宋体"/>
                <w:color w:val="auto"/>
                <w:highlight w:val="none"/>
              </w:rPr>
              <w:t>身份证复印件</w:t>
            </w:r>
          </w:p>
          <w:p w14:paraId="3049ED1E">
            <w:pPr>
              <w:keepNext w:val="0"/>
              <w:keepLines w:val="0"/>
              <w:suppressLineNumbers w:val="0"/>
              <w:spacing w:before="0" w:beforeAutospacing="0" w:after="0" w:afterAutospacing="0" w:line="520" w:lineRule="exact"/>
              <w:ind w:left="0" w:right="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双面</w:t>
            </w:r>
          </w:p>
          <w:p w14:paraId="700B3006">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color w:val="auto"/>
                <w:kern w:val="0"/>
                <w:sz w:val="20"/>
                <w:szCs w:val="20"/>
                <w:highlight w:val="none"/>
              </w:rPr>
            </w:pPr>
          </w:p>
          <w:p w14:paraId="50E9A410">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color w:val="auto"/>
                <w:kern w:val="0"/>
                <w:sz w:val="20"/>
                <w:szCs w:val="20"/>
                <w:highlight w:val="none"/>
              </w:rPr>
            </w:pPr>
          </w:p>
          <w:p w14:paraId="1578C23F">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color w:val="auto"/>
                <w:kern w:val="0"/>
                <w:sz w:val="20"/>
                <w:szCs w:val="20"/>
                <w:highlight w:val="none"/>
              </w:rPr>
            </w:pPr>
          </w:p>
        </w:tc>
        <w:tc>
          <w:tcPr>
            <w:tcW w:w="4180" w:type="dxa"/>
            <w:noWrap w:val="0"/>
            <w:vAlign w:val="top"/>
          </w:tcPr>
          <w:p w14:paraId="2DFF691E">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委托代理人身份证复印件</w:t>
            </w:r>
          </w:p>
          <w:p w14:paraId="204D517A">
            <w:pPr>
              <w:keepNext w:val="0"/>
              <w:keepLines w:val="0"/>
              <w:suppressLineNumbers w:val="0"/>
              <w:spacing w:before="0" w:beforeAutospacing="0" w:after="0" w:afterAutospacing="0" w:line="520" w:lineRule="exact"/>
              <w:ind w:left="0" w:right="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双面</w:t>
            </w:r>
          </w:p>
          <w:p w14:paraId="22AEC530">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color w:val="auto"/>
                <w:kern w:val="0"/>
                <w:sz w:val="20"/>
                <w:szCs w:val="20"/>
                <w:highlight w:val="none"/>
              </w:rPr>
            </w:pPr>
          </w:p>
        </w:tc>
      </w:tr>
    </w:tbl>
    <w:p w14:paraId="403E245F">
      <w:pPr>
        <w:autoSpaceDE w:val="0"/>
        <w:autoSpaceDN w:val="0"/>
        <w:adjustRightInd w:val="0"/>
        <w:snapToGrid w:val="0"/>
        <w:spacing w:line="360" w:lineRule="auto"/>
        <w:jc w:val="left"/>
        <w:rPr>
          <w:rFonts w:hint="eastAsia" w:ascii="宋体" w:hAnsi="宋体" w:cs="宋体"/>
          <w:color w:val="auto"/>
          <w:kern w:val="0"/>
          <w:sz w:val="28"/>
          <w:szCs w:val="28"/>
          <w:highlight w:val="none"/>
        </w:rPr>
      </w:pPr>
    </w:p>
    <w:p w14:paraId="734F3A02">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宋体"/>
          <w:color w:val="auto"/>
          <w:kern w:val="0"/>
          <w:szCs w:val="21"/>
          <w:highlight w:val="none"/>
        </w:rPr>
      </w:pP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年</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月</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日</w:t>
      </w:r>
    </w:p>
    <w:p w14:paraId="713AF8DF">
      <w:pPr>
        <w:pStyle w:val="19"/>
        <w:rPr>
          <w:rFonts w:hint="eastAsia" w:ascii="宋体" w:hAnsi="宋体" w:cs="宋体"/>
          <w:color w:val="auto"/>
          <w:kern w:val="0"/>
          <w:szCs w:val="21"/>
          <w:highlight w:val="none"/>
        </w:rPr>
      </w:pPr>
    </w:p>
    <w:p w14:paraId="6B31D99C">
      <w:pPr>
        <w:rPr>
          <w:rFonts w:hint="eastAsia"/>
          <w:highlight w:val="none"/>
        </w:rPr>
      </w:pPr>
    </w:p>
    <w:p w14:paraId="25640534">
      <w:pPr>
        <w:tabs>
          <w:tab w:val="left" w:pos="5760"/>
        </w:tabs>
        <w:autoSpaceDE w:val="0"/>
        <w:autoSpaceDN w:val="0"/>
        <w:adjustRightInd w:val="0"/>
        <w:spacing w:line="300" w:lineRule="exact"/>
        <w:ind w:left="735" w:right="11" w:hanging="735" w:hangingChars="350"/>
        <w:rPr>
          <w:rFonts w:hint="eastAsia" w:ascii="宋体" w:hAnsi="宋体" w:cs="宋体"/>
          <w:color w:val="auto"/>
          <w:kern w:val="0"/>
          <w:szCs w:val="21"/>
          <w:highlight w:val="none"/>
        </w:rPr>
      </w:pPr>
      <w:r>
        <w:rPr>
          <w:rFonts w:hint="eastAsia" w:ascii="宋体" w:hAnsi="宋体" w:cs="宋体"/>
          <w:color w:val="auto"/>
          <w:kern w:val="0"/>
          <w:szCs w:val="21"/>
          <w:highlight w:val="none"/>
        </w:rPr>
        <w:t>注：</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1、法定代表人参加</w:t>
      </w:r>
      <w:r>
        <w:rPr>
          <w:rFonts w:hint="eastAsia" w:ascii="宋体" w:hAnsi="宋体" w:cs="宋体"/>
          <w:color w:val="auto"/>
          <w:kern w:val="0"/>
          <w:szCs w:val="21"/>
          <w:highlight w:val="none"/>
          <w:lang w:val="en-US" w:eastAsia="zh-CN"/>
        </w:rPr>
        <w:t>比选申请</w:t>
      </w:r>
      <w:r>
        <w:rPr>
          <w:rFonts w:hint="eastAsia" w:ascii="宋体" w:hAnsi="宋体" w:cs="宋体"/>
          <w:color w:val="auto"/>
          <w:kern w:val="0"/>
          <w:szCs w:val="21"/>
          <w:highlight w:val="none"/>
        </w:rPr>
        <w:t>活动并签署文件的不需要授权委托书，只需提供法定代表人身份证明；非法定代表人参加投标活动及签署文件的除提供法定代表人身份证明外还须提供授权委托书。</w:t>
      </w:r>
    </w:p>
    <w:p w14:paraId="7E4F075F">
      <w:pPr>
        <w:tabs>
          <w:tab w:val="left" w:pos="5760"/>
        </w:tabs>
        <w:autoSpaceDE w:val="0"/>
        <w:autoSpaceDN w:val="0"/>
        <w:adjustRightInd w:val="0"/>
        <w:spacing w:line="300" w:lineRule="exact"/>
        <w:ind w:left="820" w:leftChars="253" w:right="11" w:hanging="289" w:hangingChars="138"/>
        <w:rPr>
          <w:rFonts w:hint="eastAsia" w:ascii="宋体" w:hAnsi="宋体" w:cs="宋体"/>
          <w:color w:val="auto"/>
          <w:kern w:val="0"/>
          <w:szCs w:val="21"/>
          <w:highlight w:val="none"/>
        </w:rPr>
      </w:pPr>
      <w:r>
        <w:rPr>
          <w:rFonts w:hint="eastAsia" w:ascii="宋体" w:hAnsi="宋体" w:cs="宋体"/>
          <w:color w:val="auto"/>
          <w:kern w:val="0"/>
          <w:szCs w:val="21"/>
          <w:highlight w:val="none"/>
        </w:rPr>
        <w:t>2、法定代表人身份证明及授权委托书原件装入比选申请文件一并递交。另外须准备一份在开标现场出具。</w:t>
      </w:r>
    </w:p>
    <w:p w14:paraId="64AC545A">
      <w:pPr>
        <w:tabs>
          <w:tab w:val="left" w:pos="5760"/>
        </w:tabs>
        <w:autoSpaceDE w:val="0"/>
        <w:autoSpaceDN w:val="0"/>
        <w:adjustRightInd w:val="0"/>
        <w:spacing w:line="300" w:lineRule="exact"/>
        <w:ind w:left="820" w:leftChars="253" w:right="11" w:hanging="289" w:hangingChars="138"/>
        <w:rPr>
          <w:rFonts w:hint="eastAsia" w:ascii="宋体" w:hAnsi="宋体" w:cs="宋体"/>
          <w:color w:val="auto"/>
          <w:kern w:val="0"/>
          <w:highlight w:val="none"/>
        </w:rPr>
      </w:pPr>
      <w:r>
        <w:rPr>
          <w:rFonts w:hint="eastAsia" w:ascii="宋体" w:hAnsi="宋体" w:cs="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78CD73A9">
      <w:pPr>
        <w:pStyle w:val="4"/>
        <w:numPr>
          <w:ilvl w:val="0"/>
          <w:numId w:val="0"/>
        </w:numPr>
        <w:ind w:leftChars="0"/>
        <w:jc w:val="center"/>
        <w:rPr>
          <w:highlight w:val="none"/>
        </w:rPr>
      </w:pPr>
      <w:r>
        <w:rPr>
          <w:rFonts w:hint="eastAsia" w:ascii="宋体" w:hAnsi="宋体" w:eastAsia="宋体" w:cs="宋体"/>
          <w:color w:val="auto"/>
          <w:kern w:val="0"/>
          <w:highlight w:val="none"/>
        </w:rPr>
        <w:br w:type="page"/>
      </w:r>
      <w:bookmarkStart w:id="502" w:name="_Toc224103498"/>
      <w:bookmarkStart w:id="503" w:name="_Toc287607870"/>
      <w:bookmarkStart w:id="504" w:name="_Toc277082646"/>
      <w:bookmarkStart w:id="505" w:name="_Toc287620817"/>
      <w:bookmarkStart w:id="506" w:name="_Toc57905922"/>
      <w:bookmarkStart w:id="507" w:name="_Toc13933"/>
      <w:bookmarkStart w:id="508" w:name="_Toc57905924"/>
      <w:bookmarkStart w:id="509" w:name="_Toc23891"/>
      <w:r>
        <w:rPr>
          <w:rFonts w:hint="eastAsia" w:ascii="宋体" w:hAnsi="宋体" w:eastAsia="宋体" w:cs="宋体"/>
          <w:b/>
          <w:color w:val="auto"/>
          <w:sz w:val="28"/>
          <w:highlight w:val="none"/>
        </w:rPr>
        <w:t>（</w:t>
      </w:r>
      <w:r>
        <w:rPr>
          <w:rFonts w:hint="eastAsia" w:ascii="宋体" w:hAnsi="宋体" w:eastAsia="宋体" w:cs="宋体"/>
          <w:b/>
          <w:color w:val="auto"/>
          <w:sz w:val="28"/>
          <w:highlight w:val="none"/>
          <w:lang w:val="en-US" w:eastAsia="zh-CN"/>
        </w:rPr>
        <w:t>三</w:t>
      </w:r>
      <w:r>
        <w:rPr>
          <w:rFonts w:hint="eastAsia" w:ascii="宋体" w:hAnsi="宋体" w:eastAsia="宋体" w:cs="宋体"/>
          <w:b/>
          <w:color w:val="auto"/>
          <w:sz w:val="28"/>
          <w:highlight w:val="none"/>
        </w:rPr>
        <w:t>）</w:t>
      </w:r>
      <w:bookmarkEnd w:id="502"/>
      <w:bookmarkEnd w:id="503"/>
      <w:bookmarkEnd w:id="504"/>
      <w:bookmarkEnd w:id="505"/>
      <w:r>
        <w:rPr>
          <w:rFonts w:hint="eastAsia" w:ascii="宋体" w:hAnsi="宋体" w:eastAsia="宋体" w:cs="宋体"/>
          <w:b/>
          <w:color w:val="auto"/>
          <w:sz w:val="28"/>
          <w:highlight w:val="none"/>
        </w:rPr>
        <w:t>低价风险担保提交承诺书</w:t>
      </w:r>
      <w:bookmarkEnd w:id="506"/>
      <w:bookmarkEnd w:id="507"/>
    </w:p>
    <w:p w14:paraId="46A6D554">
      <w:pPr>
        <w:autoSpaceDE w:val="0"/>
        <w:autoSpaceDN w:val="0"/>
        <w:adjustRightInd w:val="0"/>
        <w:snapToGrid w:val="0"/>
        <w:spacing w:line="360" w:lineRule="auto"/>
        <w:jc w:val="center"/>
        <w:rPr>
          <w:rFonts w:ascii="宋体" w:hAnsi="宋体"/>
          <w:snapToGrid w:val="0"/>
          <w:kern w:val="0"/>
          <w:sz w:val="32"/>
          <w:szCs w:val="32"/>
          <w:highlight w:val="none"/>
        </w:rPr>
      </w:pPr>
    </w:p>
    <w:p w14:paraId="6F43B076">
      <w:pPr>
        <w:autoSpaceDE w:val="0"/>
        <w:autoSpaceDN w:val="0"/>
        <w:adjustRightInd w:val="0"/>
        <w:snapToGrid w:val="0"/>
        <w:spacing w:line="360" w:lineRule="auto"/>
        <w:jc w:val="center"/>
        <w:rPr>
          <w:rFonts w:ascii="宋体" w:hAnsi="宋体"/>
          <w:snapToGrid w:val="0"/>
          <w:kern w:val="0"/>
          <w:sz w:val="32"/>
          <w:szCs w:val="32"/>
          <w:highlight w:val="none"/>
        </w:rPr>
      </w:pPr>
      <w:r>
        <w:rPr>
          <w:rFonts w:hint="eastAsia" w:ascii="宋体" w:hAnsi="宋体"/>
          <w:snapToGrid w:val="0"/>
          <w:kern w:val="0"/>
          <w:sz w:val="32"/>
          <w:szCs w:val="32"/>
          <w:highlight w:val="none"/>
        </w:rPr>
        <w:t>（</w:t>
      </w:r>
      <w:r>
        <w:rPr>
          <w:rFonts w:hint="eastAsia" w:ascii="宋体" w:hAnsi="宋体"/>
          <w:snapToGrid w:val="0"/>
          <w:kern w:val="0"/>
          <w:sz w:val="32"/>
          <w:szCs w:val="32"/>
          <w:highlight w:val="none"/>
          <w:lang w:val="en-US" w:eastAsia="zh-CN"/>
        </w:rPr>
        <w:t>比选申请</w:t>
      </w:r>
      <w:r>
        <w:rPr>
          <w:rFonts w:hint="eastAsia" w:ascii="宋体" w:hAnsi="宋体"/>
          <w:snapToGrid w:val="0"/>
          <w:kern w:val="0"/>
          <w:sz w:val="32"/>
          <w:szCs w:val="32"/>
          <w:highlight w:val="none"/>
        </w:rPr>
        <w:t>报价低于</w:t>
      </w:r>
      <w:r>
        <w:rPr>
          <w:rFonts w:hint="eastAsia" w:ascii="宋体" w:hAnsi="宋体"/>
          <w:snapToGrid w:val="0"/>
          <w:kern w:val="0"/>
          <w:sz w:val="32"/>
          <w:szCs w:val="32"/>
          <w:highlight w:val="none"/>
          <w:lang w:val="en-US" w:eastAsia="zh-CN"/>
        </w:rPr>
        <w:t>本</w:t>
      </w:r>
      <w:r>
        <w:rPr>
          <w:rFonts w:hint="eastAsia" w:ascii="宋体" w:hAnsi="宋体"/>
          <w:snapToGrid w:val="0"/>
          <w:kern w:val="0"/>
          <w:sz w:val="32"/>
          <w:szCs w:val="32"/>
          <w:highlight w:val="none"/>
        </w:rPr>
        <w:t>项目最高限价的85%时采用）</w:t>
      </w:r>
    </w:p>
    <w:p w14:paraId="21DCC026">
      <w:pPr>
        <w:autoSpaceDE w:val="0"/>
        <w:autoSpaceDN w:val="0"/>
        <w:adjustRightInd w:val="0"/>
        <w:snapToGrid w:val="0"/>
        <w:spacing w:line="360" w:lineRule="auto"/>
        <w:jc w:val="center"/>
        <w:rPr>
          <w:rFonts w:ascii="宋体" w:hAnsi="宋体"/>
          <w:snapToGrid w:val="0"/>
          <w:kern w:val="0"/>
          <w:sz w:val="32"/>
          <w:szCs w:val="32"/>
          <w:highlight w:val="none"/>
        </w:rPr>
      </w:pPr>
    </w:p>
    <w:p w14:paraId="5722A97C">
      <w:pPr>
        <w:autoSpaceDE w:val="0"/>
        <w:autoSpaceDN w:val="0"/>
        <w:adjustRightInd w:val="0"/>
        <w:snapToGrid w:val="0"/>
        <w:spacing w:line="360" w:lineRule="auto"/>
        <w:rPr>
          <w:rFonts w:ascii="宋体" w:hAnsi="宋体" w:cs="宋体"/>
          <w:snapToGrid w:val="0"/>
          <w:kern w:val="0"/>
          <w:szCs w:val="21"/>
          <w:highlight w:val="none"/>
        </w:rPr>
      </w:pPr>
      <w:r>
        <w:rPr>
          <w:rFonts w:hint="eastAsia" w:ascii="宋体" w:hAnsi="宋体" w:cs="宋体"/>
          <w:snapToGrid w:val="0"/>
          <w:kern w:val="0"/>
          <w:szCs w:val="21"/>
          <w:highlight w:val="none"/>
          <w:u w:val="single"/>
        </w:rPr>
        <w:t xml:space="preserve">        （</w:t>
      </w:r>
      <w:r>
        <w:rPr>
          <w:rFonts w:hint="eastAsia" w:ascii="宋体" w:hAnsi="宋体" w:cs="宋体"/>
          <w:snapToGrid w:val="0"/>
          <w:kern w:val="0"/>
          <w:szCs w:val="21"/>
          <w:highlight w:val="none"/>
          <w:u w:val="single"/>
          <w:lang w:val="en-US" w:eastAsia="zh-CN"/>
        </w:rPr>
        <w:t>比选</w:t>
      </w:r>
      <w:r>
        <w:rPr>
          <w:rFonts w:hint="eastAsia" w:ascii="宋体" w:hAnsi="宋体" w:cs="宋体"/>
          <w:snapToGrid w:val="0"/>
          <w:kern w:val="0"/>
          <w:szCs w:val="21"/>
          <w:highlight w:val="none"/>
          <w:u w:val="single"/>
        </w:rPr>
        <w:t>人名称）</w:t>
      </w:r>
      <w:r>
        <w:rPr>
          <w:rFonts w:hint="eastAsia" w:ascii="宋体" w:hAnsi="宋体" w:cs="宋体"/>
          <w:snapToGrid w:val="0"/>
          <w:kern w:val="0"/>
          <w:szCs w:val="21"/>
          <w:highlight w:val="none"/>
        </w:rPr>
        <w:t>：</w:t>
      </w:r>
    </w:p>
    <w:p w14:paraId="22228D9C">
      <w:pPr>
        <w:autoSpaceDE w:val="0"/>
        <w:autoSpaceDN w:val="0"/>
        <w:adjustRightInd w:val="0"/>
        <w:snapToGrid w:val="0"/>
        <w:spacing w:line="360" w:lineRule="auto"/>
        <w:ind w:firstLine="420" w:firstLineChars="200"/>
        <w:rPr>
          <w:rFonts w:ascii="宋体" w:hAnsi="宋体" w:cs="宋体"/>
          <w:snapToGrid w:val="0"/>
          <w:kern w:val="0"/>
          <w:szCs w:val="21"/>
          <w:highlight w:val="none"/>
        </w:rPr>
      </w:pPr>
      <w:r>
        <w:rPr>
          <w:rFonts w:hint="eastAsia" w:ascii="宋体" w:hAnsi="宋体" w:cs="宋体"/>
          <w:snapToGrid w:val="0"/>
          <w:kern w:val="0"/>
          <w:szCs w:val="21"/>
          <w:highlight w:val="none"/>
        </w:rPr>
        <w:t>我公司</w:t>
      </w:r>
      <w:r>
        <w:rPr>
          <w:rFonts w:hint="eastAsia" w:ascii="宋体" w:hAnsi="宋体" w:cs="宋体"/>
          <w:snapToGrid w:val="0"/>
          <w:kern w:val="0"/>
          <w:szCs w:val="21"/>
          <w:highlight w:val="none"/>
          <w:u w:val="single"/>
        </w:rPr>
        <w:t xml:space="preserve">        （</w:t>
      </w:r>
      <w:r>
        <w:rPr>
          <w:rFonts w:hint="eastAsia" w:ascii="宋体" w:hAnsi="宋体" w:cs="宋体"/>
          <w:snapToGrid w:val="0"/>
          <w:kern w:val="0"/>
          <w:szCs w:val="21"/>
          <w:highlight w:val="none"/>
          <w:u w:val="single"/>
          <w:lang w:val="en-US" w:eastAsia="zh-CN"/>
        </w:rPr>
        <w:t>比选申请</w:t>
      </w:r>
      <w:r>
        <w:rPr>
          <w:rFonts w:hint="eastAsia" w:ascii="宋体" w:hAnsi="宋体" w:cs="宋体"/>
          <w:snapToGrid w:val="0"/>
          <w:kern w:val="0"/>
          <w:szCs w:val="21"/>
          <w:highlight w:val="none"/>
          <w:u w:val="single"/>
        </w:rPr>
        <w:t>人名称）</w:t>
      </w:r>
      <w:r>
        <w:rPr>
          <w:rFonts w:hint="eastAsia" w:ascii="宋体" w:hAnsi="宋体" w:cs="宋体"/>
          <w:snapToGrid w:val="0"/>
          <w:kern w:val="0"/>
          <w:szCs w:val="21"/>
          <w:highlight w:val="none"/>
        </w:rPr>
        <w:t>参加了你</w:t>
      </w:r>
      <w:r>
        <w:rPr>
          <w:rFonts w:hint="eastAsia" w:ascii="宋体" w:hAnsi="宋体" w:cs="宋体"/>
          <w:snapToGrid w:val="0"/>
          <w:kern w:val="0"/>
          <w:szCs w:val="21"/>
          <w:highlight w:val="none"/>
          <w:lang w:eastAsia="zh-CN"/>
        </w:rPr>
        <w:t>单位</w:t>
      </w:r>
      <w:r>
        <w:rPr>
          <w:rFonts w:hint="eastAsia" w:ascii="宋体" w:hAnsi="宋体" w:cs="宋体"/>
          <w:snapToGrid w:val="0"/>
          <w:color w:val="auto"/>
          <w:w w:val="200"/>
          <w:kern w:val="0"/>
          <w:szCs w:val="21"/>
          <w:highlight w:val="none"/>
          <w:u w:val="single"/>
        </w:rPr>
        <w:t xml:space="preserve"> </w:t>
      </w: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u w:val="single"/>
        </w:rPr>
        <w:t>（项目名称）</w:t>
      </w:r>
      <w:r>
        <w:rPr>
          <w:rFonts w:hint="eastAsia" w:ascii="宋体" w:hAnsi="宋体" w:cs="宋体"/>
          <w:snapToGrid w:val="0"/>
          <w:color w:val="auto"/>
          <w:w w:val="200"/>
          <w:kern w:val="0"/>
          <w:szCs w:val="21"/>
          <w:highlight w:val="none"/>
          <w:u w:val="single"/>
        </w:rPr>
        <w:t xml:space="preserve"> </w:t>
      </w:r>
      <w:r>
        <w:rPr>
          <w:rFonts w:hint="eastAsia" w:ascii="宋体" w:hAnsi="宋体" w:cs="宋体"/>
          <w:snapToGrid w:val="0"/>
          <w:color w:val="auto"/>
          <w:kern w:val="0"/>
          <w:szCs w:val="21"/>
          <w:highlight w:val="none"/>
          <w:u w:val="single"/>
          <w:lang w:eastAsia="zh-CN"/>
        </w:rPr>
        <w:t>（</w:t>
      </w:r>
      <w:r>
        <w:rPr>
          <w:rFonts w:hint="eastAsia" w:ascii="宋体" w:hAnsi="宋体" w:cs="宋体"/>
          <w:snapToGrid w:val="0"/>
          <w:color w:val="auto"/>
          <w:kern w:val="0"/>
          <w:szCs w:val="21"/>
          <w:highlight w:val="none"/>
          <w:u w:val="single"/>
          <w:lang w:val="en-US" w:eastAsia="zh-CN"/>
        </w:rPr>
        <w:t xml:space="preserve">  </w:t>
      </w:r>
      <w:r>
        <w:rPr>
          <w:rFonts w:hint="eastAsia" w:ascii="宋体" w:hAnsi="宋体" w:cs="宋体"/>
          <w:snapToGrid w:val="0"/>
          <w:color w:val="auto"/>
          <w:kern w:val="0"/>
          <w:szCs w:val="21"/>
          <w:highlight w:val="none"/>
          <w:u w:val="single"/>
          <w:lang w:eastAsia="zh-CN"/>
        </w:rPr>
        <w:t>标段）</w:t>
      </w:r>
      <w:r>
        <w:rPr>
          <w:rFonts w:hint="eastAsia" w:ascii="宋体" w:hAnsi="宋体" w:cs="宋体"/>
          <w:snapToGrid w:val="0"/>
          <w:kern w:val="0"/>
          <w:szCs w:val="21"/>
          <w:highlight w:val="none"/>
        </w:rPr>
        <w:t>的投标。我公司</w:t>
      </w:r>
      <w:r>
        <w:rPr>
          <w:rFonts w:hint="eastAsia" w:ascii="宋体" w:hAnsi="宋体" w:cs="宋体"/>
          <w:snapToGrid w:val="0"/>
          <w:kern w:val="0"/>
          <w:szCs w:val="21"/>
          <w:highlight w:val="none"/>
          <w:lang w:val="en-US" w:eastAsia="zh-CN"/>
        </w:rPr>
        <w:t>比选申请总</w:t>
      </w:r>
      <w:r>
        <w:rPr>
          <w:rFonts w:hint="eastAsia" w:ascii="宋体" w:hAnsi="宋体" w:cs="宋体"/>
          <w:snapToGrid w:val="0"/>
          <w:kern w:val="0"/>
          <w:szCs w:val="21"/>
          <w:highlight w:val="none"/>
        </w:rPr>
        <w:t>报价低于最高限价的85%，若获得中</w:t>
      </w:r>
      <w:r>
        <w:rPr>
          <w:rFonts w:hint="eastAsia" w:ascii="宋体" w:hAnsi="宋体" w:cs="宋体"/>
          <w:snapToGrid w:val="0"/>
          <w:kern w:val="0"/>
          <w:szCs w:val="21"/>
          <w:highlight w:val="none"/>
          <w:lang w:val="en-US" w:eastAsia="zh-CN"/>
        </w:rPr>
        <w:t>选</w:t>
      </w:r>
      <w:r>
        <w:rPr>
          <w:rFonts w:hint="eastAsia" w:ascii="宋体" w:hAnsi="宋体" w:cs="宋体"/>
          <w:snapToGrid w:val="0"/>
          <w:kern w:val="0"/>
          <w:szCs w:val="21"/>
          <w:highlight w:val="none"/>
        </w:rPr>
        <w:t>资格，我公司承诺按照</w:t>
      </w:r>
      <w:r>
        <w:rPr>
          <w:rFonts w:hint="eastAsia" w:ascii="宋体" w:hAnsi="宋体" w:cs="宋体"/>
          <w:snapToGrid w:val="0"/>
          <w:kern w:val="0"/>
          <w:szCs w:val="21"/>
          <w:highlight w:val="none"/>
          <w:lang w:val="en-US" w:eastAsia="zh-CN"/>
        </w:rPr>
        <w:t>比选</w:t>
      </w:r>
      <w:r>
        <w:rPr>
          <w:rFonts w:hint="eastAsia" w:ascii="宋体" w:hAnsi="宋体" w:cs="宋体"/>
          <w:snapToGrid w:val="0"/>
          <w:kern w:val="0"/>
          <w:szCs w:val="21"/>
          <w:highlight w:val="none"/>
        </w:rPr>
        <w:t>文件的规定递交低价风险担保。同时，我公司已落实低价风险担保的提交方案，承诺如采用保函形式提交低价风险担保，保函的格式和内容符合招标文件的要求。否则，我公司愿承担</w:t>
      </w:r>
      <w:r>
        <w:rPr>
          <w:rFonts w:hint="eastAsia" w:ascii="宋体" w:hAnsi="宋体" w:cs="宋体"/>
          <w:snapToGrid w:val="0"/>
          <w:kern w:val="0"/>
          <w:szCs w:val="21"/>
          <w:highlight w:val="none"/>
          <w:lang w:val="en-US" w:eastAsia="zh-CN"/>
        </w:rPr>
        <w:t>比选</w:t>
      </w:r>
      <w:r>
        <w:rPr>
          <w:rFonts w:hint="eastAsia" w:ascii="宋体" w:hAnsi="宋体" w:cs="宋体"/>
          <w:snapToGrid w:val="0"/>
          <w:kern w:val="0"/>
          <w:szCs w:val="21"/>
          <w:highlight w:val="none"/>
        </w:rPr>
        <w:t>文件中约定的，因未按规定递交低价风险担保的相应责任。</w:t>
      </w:r>
    </w:p>
    <w:p w14:paraId="40D17FCA">
      <w:pPr>
        <w:autoSpaceDE w:val="0"/>
        <w:autoSpaceDN w:val="0"/>
        <w:adjustRightInd w:val="0"/>
        <w:snapToGrid w:val="0"/>
        <w:spacing w:line="360" w:lineRule="auto"/>
        <w:ind w:firstLine="640"/>
        <w:rPr>
          <w:rFonts w:ascii="宋体" w:hAnsi="宋体" w:cs="宋体"/>
          <w:snapToGrid w:val="0"/>
          <w:kern w:val="0"/>
          <w:szCs w:val="21"/>
          <w:highlight w:val="none"/>
        </w:rPr>
      </w:pPr>
    </w:p>
    <w:p w14:paraId="1B9BCD6A">
      <w:pPr>
        <w:autoSpaceDE w:val="0"/>
        <w:autoSpaceDN w:val="0"/>
        <w:adjustRightInd w:val="0"/>
        <w:snapToGrid w:val="0"/>
        <w:spacing w:line="360" w:lineRule="auto"/>
        <w:ind w:firstLine="640"/>
        <w:rPr>
          <w:rFonts w:ascii="宋体" w:hAnsi="宋体" w:cs="宋体"/>
          <w:snapToGrid w:val="0"/>
          <w:kern w:val="0"/>
          <w:szCs w:val="21"/>
          <w:highlight w:val="none"/>
        </w:rPr>
      </w:pPr>
      <w:r>
        <w:rPr>
          <w:rFonts w:hint="eastAsia" w:ascii="宋体" w:hAnsi="宋体" w:cs="宋体"/>
          <w:snapToGrid w:val="0"/>
          <w:kern w:val="0"/>
          <w:szCs w:val="21"/>
          <w:highlight w:val="none"/>
        </w:rPr>
        <w:t>特此承诺。</w:t>
      </w:r>
    </w:p>
    <w:p w14:paraId="6AA6C1DD">
      <w:pPr>
        <w:autoSpaceDE w:val="0"/>
        <w:autoSpaceDN w:val="0"/>
        <w:adjustRightInd w:val="0"/>
        <w:snapToGrid w:val="0"/>
        <w:spacing w:line="360" w:lineRule="auto"/>
        <w:ind w:firstLine="640"/>
        <w:rPr>
          <w:rFonts w:ascii="宋体" w:hAnsi="宋体" w:cs="宋体"/>
          <w:snapToGrid w:val="0"/>
          <w:kern w:val="0"/>
          <w:sz w:val="32"/>
          <w:szCs w:val="32"/>
          <w:highlight w:val="none"/>
        </w:rPr>
      </w:pPr>
    </w:p>
    <w:p w14:paraId="0E96CE50">
      <w:pPr>
        <w:autoSpaceDE w:val="0"/>
        <w:autoSpaceDN w:val="0"/>
        <w:adjustRightInd w:val="0"/>
        <w:snapToGrid w:val="0"/>
        <w:spacing w:line="360" w:lineRule="auto"/>
        <w:ind w:firstLine="640"/>
        <w:rPr>
          <w:rFonts w:ascii="宋体" w:hAnsi="宋体" w:cs="宋体"/>
          <w:snapToGrid w:val="0"/>
          <w:kern w:val="0"/>
          <w:sz w:val="32"/>
          <w:szCs w:val="32"/>
          <w:highlight w:val="none"/>
        </w:rPr>
      </w:pPr>
    </w:p>
    <w:p w14:paraId="01BBD296">
      <w:pPr>
        <w:autoSpaceDE w:val="0"/>
        <w:autoSpaceDN w:val="0"/>
        <w:adjustRightInd w:val="0"/>
        <w:snapToGrid w:val="0"/>
        <w:spacing w:line="360" w:lineRule="auto"/>
        <w:ind w:firstLine="640"/>
        <w:rPr>
          <w:rFonts w:ascii="宋体" w:hAnsi="宋体" w:cs="宋体"/>
          <w:snapToGrid w:val="0"/>
          <w:kern w:val="0"/>
          <w:sz w:val="32"/>
          <w:szCs w:val="32"/>
          <w:highlight w:val="none"/>
        </w:rPr>
      </w:pPr>
    </w:p>
    <w:p w14:paraId="08AD8AF4">
      <w:pPr>
        <w:autoSpaceDE w:val="0"/>
        <w:autoSpaceDN w:val="0"/>
        <w:adjustRightInd w:val="0"/>
        <w:snapToGrid w:val="0"/>
        <w:spacing w:line="360" w:lineRule="auto"/>
        <w:ind w:firstLine="640"/>
        <w:rPr>
          <w:rFonts w:ascii="宋体" w:hAnsi="宋体" w:cs="宋体"/>
          <w:snapToGrid w:val="0"/>
          <w:kern w:val="0"/>
          <w:sz w:val="32"/>
          <w:szCs w:val="32"/>
          <w:highlight w:val="none"/>
        </w:rPr>
      </w:pPr>
    </w:p>
    <w:p w14:paraId="57880E7E">
      <w:pPr>
        <w:autoSpaceDE w:val="0"/>
        <w:autoSpaceDN w:val="0"/>
        <w:adjustRightInd w:val="0"/>
        <w:snapToGrid w:val="0"/>
        <w:spacing w:line="360" w:lineRule="auto"/>
        <w:ind w:firstLine="640"/>
        <w:rPr>
          <w:rFonts w:ascii="宋体" w:hAnsi="宋体" w:cs="宋体"/>
          <w:snapToGrid w:val="0"/>
          <w:kern w:val="0"/>
          <w:sz w:val="32"/>
          <w:szCs w:val="32"/>
          <w:highlight w:val="none"/>
        </w:rPr>
      </w:pPr>
    </w:p>
    <w:p w14:paraId="0C9CB9B9">
      <w:pPr>
        <w:tabs>
          <w:tab w:val="left" w:pos="4200"/>
          <w:tab w:val="left" w:pos="462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hint="eastAsia" w:ascii="宋体" w:hAnsi="宋体"/>
          <w:kern w:val="0"/>
          <w:szCs w:val="21"/>
          <w:highlight w:val="none"/>
          <w:lang w:val="en-US" w:eastAsia="zh-CN"/>
        </w:rPr>
        <w:t>比选申请</w:t>
      </w:r>
      <w:r>
        <w:rPr>
          <w:rFonts w:ascii="宋体" w:hAnsi="宋体"/>
          <w:kern w:val="0"/>
          <w:szCs w:val="21"/>
          <w:highlight w:val="none"/>
        </w:rPr>
        <w:t>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ascii="宋体" w:hAnsi="宋体"/>
          <w:spacing w:val="-1"/>
          <w:kern w:val="0"/>
          <w:szCs w:val="21"/>
          <w:highlight w:val="none"/>
        </w:rPr>
        <w:t>盖单位法人章</w:t>
      </w:r>
      <w:r>
        <w:rPr>
          <w:rFonts w:ascii="宋体" w:hAnsi="宋体"/>
          <w:kern w:val="0"/>
          <w:szCs w:val="21"/>
          <w:highlight w:val="none"/>
        </w:rPr>
        <w:t>）</w:t>
      </w:r>
    </w:p>
    <w:p w14:paraId="7E255214">
      <w:pPr>
        <w:tabs>
          <w:tab w:val="left" w:pos="630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法定代表人：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签名</w:t>
      </w:r>
      <w:r>
        <w:rPr>
          <w:rFonts w:ascii="宋体" w:hAnsi="宋体"/>
          <w:kern w:val="0"/>
          <w:szCs w:val="21"/>
          <w:highlight w:val="none"/>
        </w:rPr>
        <w:t>或盖章）</w:t>
      </w:r>
    </w:p>
    <w:p w14:paraId="461E4DCE">
      <w:pPr>
        <w:tabs>
          <w:tab w:val="left" w:pos="7140"/>
          <w:tab w:val="left" w:pos="7560"/>
          <w:tab w:val="left" w:pos="8300"/>
        </w:tabs>
        <w:autoSpaceDE w:val="0"/>
        <w:autoSpaceDN w:val="0"/>
        <w:adjustRightInd w:val="0"/>
        <w:ind w:firstLine="420" w:firstLineChars="200"/>
        <w:rPr>
          <w:rFonts w:ascii="宋体" w:hAnsi="宋体"/>
          <w:snapToGrid w:val="0"/>
          <w:kern w:val="0"/>
          <w:szCs w:val="21"/>
          <w:highlight w:val="none"/>
        </w:rPr>
      </w:pPr>
    </w:p>
    <w:p w14:paraId="7718EBCF">
      <w:pPr>
        <w:tabs>
          <w:tab w:val="left" w:pos="3840"/>
          <w:tab w:val="left" w:pos="4780"/>
          <w:tab w:val="left" w:pos="5720"/>
        </w:tabs>
        <w:autoSpaceDE w:val="0"/>
        <w:autoSpaceDN w:val="0"/>
        <w:adjustRightInd w:val="0"/>
        <w:snapToGrid w:val="0"/>
        <w:spacing w:before="156" w:beforeLines="50" w:line="500" w:lineRule="exact"/>
        <w:ind w:right="420" w:firstLine="5565" w:firstLineChars="2650"/>
        <w:jc w:val="right"/>
        <w:rPr>
          <w:rFonts w:ascii="宋体" w:hAnsi="宋体"/>
          <w:snapToGrid w:val="0"/>
          <w:kern w:val="0"/>
          <w:szCs w:val="21"/>
          <w:highlight w:val="none"/>
        </w:rPr>
      </w:pPr>
      <w:r>
        <w:rPr>
          <w:rFonts w:hint="eastAsia" w:ascii="宋体" w:hAnsi="宋体"/>
          <w:kern w:val="0"/>
          <w:szCs w:val="21"/>
          <w:highlight w:val="none"/>
          <w:u w:val="single"/>
        </w:rPr>
        <w:t xml:space="preserve">    </w:t>
      </w:r>
      <w:r>
        <w:rPr>
          <w:rFonts w:ascii="宋体" w:hAnsi="宋体"/>
          <w:kern w:val="0"/>
          <w:szCs w:val="21"/>
          <w:highlight w:val="none"/>
        </w:rPr>
        <w:t>年</w:t>
      </w:r>
      <w:r>
        <w:rPr>
          <w:rFonts w:hint="eastAsia" w:ascii="宋体" w:hAnsi="宋体"/>
          <w:kern w:val="0"/>
          <w:szCs w:val="21"/>
          <w:highlight w:val="none"/>
          <w:u w:val="single"/>
        </w:rPr>
        <w:t xml:space="preserve">    </w:t>
      </w:r>
      <w:r>
        <w:rPr>
          <w:rFonts w:ascii="宋体" w:hAnsi="宋体"/>
          <w:kern w:val="0"/>
          <w:szCs w:val="21"/>
          <w:highlight w:val="none"/>
        </w:rPr>
        <w:t>月</w:t>
      </w:r>
      <w:r>
        <w:rPr>
          <w:rFonts w:hint="eastAsia" w:ascii="宋体" w:hAnsi="宋体"/>
          <w:kern w:val="0"/>
          <w:szCs w:val="21"/>
          <w:highlight w:val="none"/>
          <w:u w:val="single"/>
        </w:rPr>
        <w:t xml:space="preserve">    </w:t>
      </w:r>
      <w:r>
        <w:rPr>
          <w:rFonts w:ascii="宋体" w:hAnsi="宋体"/>
          <w:kern w:val="0"/>
          <w:szCs w:val="21"/>
          <w:highlight w:val="none"/>
        </w:rPr>
        <w:t>日</w:t>
      </w:r>
    </w:p>
    <w:p w14:paraId="5D667636">
      <w:pPr>
        <w:autoSpaceDE w:val="0"/>
        <w:autoSpaceDN w:val="0"/>
        <w:adjustRightInd w:val="0"/>
        <w:snapToGrid w:val="0"/>
        <w:spacing w:line="360" w:lineRule="auto"/>
        <w:ind w:firstLine="640"/>
        <w:rPr>
          <w:rFonts w:ascii="宋体" w:hAnsi="宋体" w:cs="宋体"/>
          <w:snapToGrid w:val="0"/>
          <w:kern w:val="0"/>
          <w:sz w:val="32"/>
          <w:szCs w:val="32"/>
          <w:highlight w:val="none"/>
        </w:rPr>
      </w:pPr>
    </w:p>
    <w:p w14:paraId="3CBCE0EC">
      <w:pPr>
        <w:pStyle w:val="3"/>
        <w:numPr>
          <w:ilvl w:val="0"/>
          <w:numId w:val="0"/>
        </w:numPr>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br w:type="page"/>
      </w:r>
      <w:r>
        <w:rPr>
          <w:rFonts w:hint="eastAsia" w:ascii="宋体" w:hAnsi="宋体" w:eastAsia="宋体" w:cs="宋体"/>
          <w:bCs/>
          <w:color w:val="auto"/>
          <w:sz w:val="32"/>
          <w:szCs w:val="32"/>
          <w:highlight w:val="none"/>
        </w:rPr>
        <w:t>二、</w:t>
      </w:r>
      <w:r>
        <w:rPr>
          <w:rFonts w:hint="eastAsia" w:ascii="宋体" w:hAnsi="宋体" w:eastAsia="宋体" w:cs="宋体"/>
          <w:bCs/>
          <w:color w:val="auto"/>
          <w:sz w:val="32"/>
          <w:szCs w:val="32"/>
          <w:highlight w:val="none"/>
          <w:lang w:eastAsia="zh-CN"/>
        </w:rPr>
        <w:t>经济</w:t>
      </w:r>
      <w:r>
        <w:rPr>
          <w:rFonts w:hint="eastAsia" w:ascii="宋体" w:hAnsi="宋体" w:eastAsia="宋体" w:cs="宋体"/>
          <w:bCs/>
          <w:color w:val="auto"/>
          <w:sz w:val="32"/>
          <w:szCs w:val="32"/>
          <w:highlight w:val="none"/>
        </w:rPr>
        <w:t>部分</w:t>
      </w:r>
      <w:bookmarkEnd w:id="508"/>
      <w:bookmarkEnd w:id="509"/>
    </w:p>
    <w:p w14:paraId="681661B7">
      <w:pPr>
        <w:tabs>
          <w:tab w:val="left" w:pos="2580"/>
          <w:tab w:val="left" w:pos="5940"/>
        </w:tabs>
        <w:autoSpaceDE w:val="0"/>
        <w:autoSpaceDN w:val="0"/>
        <w:adjustRightInd w:val="0"/>
        <w:snapToGrid w:val="0"/>
        <w:spacing w:line="360" w:lineRule="auto"/>
        <w:ind w:firstLine="2940"/>
        <w:jc w:val="left"/>
        <w:rPr>
          <w:rFonts w:hint="eastAsia" w:ascii="宋体" w:hAnsi="宋体" w:cs="宋体"/>
          <w:color w:val="auto"/>
          <w:kern w:val="0"/>
          <w:sz w:val="28"/>
          <w:szCs w:val="28"/>
          <w:highlight w:val="none"/>
        </w:rPr>
      </w:pPr>
    </w:p>
    <w:p w14:paraId="769F0C34">
      <w:pPr>
        <w:tabs>
          <w:tab w:val="left" w:pos="2580"/>
          <w:tab w:val="left" w:pos="5940"/>
        </w:tabs>
        <w:autoSpaceDE w:val="0"/>
        <w:autoSpaceDN w:val="0"/>
        <w:adjustRightInd w:val="0"/>
        <w:snapToGrid w:val="0"/>
        <w:spacing w:line="360" w:lineRule="auto"/>
        <w:jc w:val="left"/>
        <w:rPr>
          <w:rFonts w:hint="eastAsia" w:ascii="宋体" w:hAnsi="宋体" w:cs="宋体"/>
          <w:color w:val="auto"/>
          <w:kern w:val="0"/>
          <w:sz w:val="28"/>
          <w:szCs w:val="28"/>
          <w:highlight w:val="none"/>
          <w:u w:val="single"/>
        </w:rPr>
      </w:pPr>
      <w:r>
        <w:rPr>
          <w:rFonts w:hint="eastAsia" w:ascii="宋体" w:hAnsi="宋体" w:cs="宋体"/>
          <w:color w:val="auto"/>
          <w:kern w:val="0"/>
          <w:sz w:val="28"/>
          <w:szCs w:val="28"/>
          <w:highlight w:val="none"/>
          <w:u w:val="single"/>
        </w:rPr>
        <w:br w:type="page"/>
      </w:r>
    </w:p>
    <w:p w14:paraId="2CBA5009">
      <w:pPr>
        <w:tabs>
          <w:tab w:val="left" w:pos="3600"/>
          <w:tab w:val="left" w:pos="4480"/>
          <w:tab w:val="left" w:pos="5360"/>
        </w:tabs>
        <w:autoSpaceDE w:val="0"/>
        <w:autoSpaceDN w:val="0"/>
        <w:adjustRightInd w:val="0"/>
        <w:snapToGrid w:val="0"/>
        <w:spacing w:line="360" w:lineRule="auto"/>
        <w:ind w:firstLine="554" w:firstLineChars="200"/>
        <w:jc w:val="left"/>
        <w:rPr>
          <w:rFonts w:hint="eastAsia" w:ascii="宋体" w:hAnsi="宋体" w:cs="宋体"/>
          <w:color w:val="auto"/>
          <w:kern w:val="0"/>
          <w:sz w:val="44"/>
          <w:szCs w:val="44"/>
          <w:highlight w:val="none"/>
        </w:rPr>
      </w:pPr>
      <w:r>
        <w:rPr>
          <w:rFonts w:hint="eastAsia" w:ascii="宋体" w:hAnsi="宋体" w:cs="宋体"/>
          <w:b/>
          <w:color w:val="auto"/>
          <w:w w:val="99"/>
          <w:kern w:val="0"/>
          <w:sz w:val="28"/>
          <w:szCs w:val="28"/>
          <w:highlight w:val="none"/>
          <w:u w:val="single"/>
          <w:lang w:val="en-US" w:eastAsia="zh-CN"/>
        </w:rPr>
        <w:t xml:space="preserve">                                </w:t>
      </w:r>
      <w:r>
        <w:rPr>
          <w:rFonts w:hint="eastAsia" w:ascii="宋体" w:hAnsi="宋体" w:cs="宋体"/>
          <w:b/>
          <w:color w:val="auto"/>
          <w:w w:val="99"/>
          <w:kern w:val="0"/>
          <w:sz w:val="28"/>
          <w:szCs w:val="28"/>
          <w:highlight w:val="none"/>
        </w:rPr>
        <w:t>（项目名称</w:t>
      </w:r>
      <w:r>
        <w:rPr>
          <w:rFonts w:hint="eastAsia" w:ascii="宋体" w:hAnsi="宋体" w:cs="宋体"/>
          <w:b/>
          <w:color w:val="auto"/>
          <w:spacing w:val="1"/>
          <w:w w:val="99"/>
          <w:kern w:val="0"/>
          <w:sz w:val="28"/>
          <w:szCs w:val="28"/>
          <w:highlight w:val="none"/>
        </w:rPr>
        <w:t>）</w:t>
      </w:r>
      <w:r>
        <w:rPr>
          <w:rFonts w:hint="eastAsia" w:ascii="宋体" w:hAnsi="宋体" w:cs="宋体"/>
          <w:b/>
          <w:color w:val="auto"/>
          <w:w w:val="99"/>
          <w:kern w:val="0"/>
          <w:sz w:val="28"/>
          <w:szCs w:val="28"/>
          <w:highlight w:val="none"/>
          <w:u w:val="single"/>
          <w:lang w:val="en-US" w:eastAsia="zh-CN"/>
        </w:rPr>
        <w:t xml:space="preserve">     </w:t>
      </w:r>
      <w:r>
        <w:rPr>
          <w:rFonts w:hint="eastAsia" w:ascii="宋体" w:hAnsi="宋体" w:eastAsia="宋体" w:cs="宋体"/>
          <w:b/>
          <w:color w:val="auto"/>
          <w:w w:val="99"/>
          <w:kern w:val="0"/>
          <w:sz w:val="28"/>
          <w:szCs w:val="28"/>
          <w:highlight w:val="none"/>
          <w:u w:val="single"/>
          <w:lang w:eastAsia="zh-CN"/>
        </w:rPr>
        <w:t>（</w:t>
      </w:r>
      <w:r>
        <w:rPr>
          <w:rFonts w:hint="eastAsia" w:ascii="宋体" w:hAnsi="宋体" w:eastAsia="宋体" w:cs="宋体"/>
          <w:b/>
          <w:color w:val="auto"/>
          <w:w w:val="99"/>
          <w:kern w:val="0"/>
          <w:sz w:val="28"/>
          <w:szCs w:val="28"/>
          <w:highlight w:val="none"/>
          <w:u w:val="single"/>
          <w:lang w:val="en-US" w:eastAsia="zh-CN"/>
        </w:rPr>
        <w:t xml:space="preserve">  </w:t>
      </w:r>
      <w:r>
        <w:rPr>
          <w:rFonts w:hint="eastAsia" w:ascii="宋体" w:hAnsi="宋体" w:eastAsia="宋体" w:cs="宋体"/>
          <w:b/>
          <w:color w:val="auto"/>
          <w:w w:val="99"/>
          <w:kern w:val="0"/>
          <w:sz w:val="28"/>
          <w:szCs w:val="28"/>
          <w:highlight w:val="none"/>
          <w:u w:val="single"/>
          <w:lang w:eastAsia="zh-CN"/>
        </w:rPr>
        <w:t>标段）</w:t>
      </w:r>
      <w:r>
        <w:rPr>
          <w:rFonts w:hint="eastAsia" w:ascii="宋体" w:hAnsi="宋体" w:eastAsia="宋体" w:cs="宋体"/>
          <w:b/>
          <w:color w:val="auto"/>
          <w:w w:val="99"/>
          <w:kern w:val="0"/>
          <w:sz w:val="28"/>
          <w:szCs w:val="28"/>
          <w:highlight w:val="none"/>
          <w:lang w:val="en-US" w:eastAsia="zh-CN"/>
        </w:rPr>
        <w:t xml:space="preserve"> </w:t>
      </w:r>
      <w:r>
        <w:rPr>
          <w:rFonts w:hint="eastAsia" w:ascii="宋体" w:hAnsi="宋体" w:cs="宋体"/>
          <w:b/>
          <w:color w:val="auto"/>
          <w:w w:val="99"/>
          <w:kern w:val="0"/>
          <w:sz w:val="28"/>
          <w:szCs w:val="28"/>
          <w:highlight w:val="none"/>
          <w:u w:val="single"/>
          <w:lang w:val="en-US" w:eastAsia="zh-CN"/>
        </w:rPr>
        <w:t xml:space="preserve">  </w:t>
      </w:r>
    </w:p>
    <w:p w14:paraId="050B7A74">
      <w:pPr>
        <w:tabs>
          <w:tab w:val="left" w:pos="3600"/>
          <w:tab w:val="left" w:pos="4480"/>
          <w:tab w:val="left" w:pos="5360"/>
        </w:tabs>
        <w:autoSpaceDE w:val="0"/>
        <w:autoSpaceDN w:val="0"/>
        <w:adjustRightInd w:val="0"/>
        <w:snapToGrid w:val="0"/>
        <w:spacing w:line="360" w:lineRule="auto"/>
        <w:jc w:val="left"/>
        <w:rPr>
          <w:rFonts w:hint="eastAsia" w:ascii="宋体" w:hAnsi="宋体" w:cs="宋体"/>
          <w:color w:val="auto"/>
          <w:kern w:val="0"/>
          <w:sz w:val="44"/>
          <w:szCs w:val="44"/>
          <w:highlight w:val="none"/>
        </w:rPr>
      </w:pPr>
    </w:p>
    <w:p w14:paraId="6D2EC646">
      <w:pPr>
        <w:tabs>
          <w:tab w:val="left" w:pos="3600"/>
          <w:tab w:val="left" w:pos="4480"/>
          <w:tab w:val="left" w:pos="5360"/>
        </w:tabs>
        <w:autoSpaceDE w:val="0"/>
        <w:autoSpaceDN w:val="0"/>
        <w:adjustRightInd w:val="0"/>
        <w:snapToGrid w:val="0"/>
        <w:spacing w:line="360" w:lineRule="auto"/>
        <w:jc w:val="left"/>
        <w:rPr>
          <w:rFonts w:hint="eastAsia" w:ascii="宋体" w:hAnsi="宋体" w:cs="宋体"/>
          <w:color w:val="auto"/>
          <w:kern w:val="0"/>
          <w:sz w:val="44"/>
          <w:szCs w:val="44"/>
          <w:highlight w:val="none"/>
        </w:rPr>
      </w:pPr>
    </w:p>
    <w:p w14:paraId="46DBFADF">
      <w:pPr>
        <w:tabs>
          <w:tab w:val="left" w:pos="3600"/>
          <w:tab w:val="left" w:pos="4480"/>
          <w:tab w:val="left" w:pos="5360"/>
        </w:tabs>
        <w:autoSpaceDE w:val="0"/>
        <w:autoSpaceDN w:val="0"/>
        <w:adjustRightInd w:val="0"/>
        <w:snapToGrid w:val="0"/>
        <w:spacing w:line="360" w:lineRule="auto"/>
        <w:jc w:val="left"/>
        <w:rPr>
          <w:rFonts w:hint="eastAsia" w:ascii="宋体" w:hAnsi="宋体" w:cs="宋体"/>
          <w:color w:val="auto"/>
          <w:kern w:val="0"/>
          <w:sz w:val="44"/>
          <w:szCs w:val="44"/>
          <w:highlight w:val="none"/>
        </w:rPr>
      </w:pPr>
    </w:p>
    <w:p w14:paraId="7053F5C5">
      <w:pPr>
        <w:tabs>
          <w:tab w:val="left" w:pos="3600"/>
          <w:tab w:val="left" w:pos="4480"/>
          <w:tab w:val="left" w:pos="5360"/>
        </w:tabs>
        <w:autoSpaceDE w:val="0"/>
        <w:autoSpaceDN w:val="0"/>
        <w:adjustRightInd w:val="0"/>
        <w:snapToGrid w:val="0"/>
        <w:spacing w:line="360" w:lineRule="auto"/>
        <w:jc w:val="center"/>
        <w:rPr>
          <w:rFonts w:hint="eastAsia" w:ascii="宋体" w:hAnsi="宋体" w:cs="宋体"/>
          <w:b/>
          <w:color w:val="auto"/>
          <w:kern w:val="0"/>
          <w:sz w:val="84"/>
          <w:szCs w:val="84"/>
          <w:highlight w:val="none"/>
        </w:rPr>
      </w:pPr>
      <w:r>
        <w:rPr>
          <w:rFonts w:hint="eastAsia" w:ascii="宋体" w:hAnsi="宋体" w:cs="宋体"/>
          <w:b/>
          <w:color w:val="auto"/>
          <w:kern w:val="0"/>
          <w:sz w:val="84"/>
          <w:szCs w:val="84"/>
          <w:highlight w:val="none"/>
        </w:rPr>
        <w:t>比 选 申 请 文 件</w:t>
      </w:r>
    </w:p>
    <w:p w14:paraId="5291F483">
      <w:pPr>
        <w:autoSpaceDE w:val="0"/>
        <w:autoSpaceDN w:val="0"/>
        <w:adjustRightInd w:val="0"/>
        <w:snapToGrid w:val="0"/>
        <w:spacing w:line="360" w:lineRule="auto"/>
        <w:jc w:val="left"/>
        <w:rPr>
          <w:rFonts w:hint="eastAsia" w:ascii="宋体" w:hAnsi="宋体" w:cs="宋体"/>
          <w:color w:val="auto"/>
          <w:kern w:val="0"/>
          <w:sz w:val="16"/>
          <w:szCs w:val="16"/>
          <w:highlight w:val="none"/>
        </w:rPr>
      </w:pPr>
    </w:p>
    <w:p w14:paraId="56DE369A">
      <w:pPr>
        <w:autoSpaceDE w:val="0"/>
        <w:autoSpaceDN w:val="0"/>
        <w:adjustRightInd w:val="0"/>
        <w:snapToGrid w:val="0"/>
        <w:spacing w:line="360" w:lineRule="auto"/>
        <w:jc w:val="center"/>
        <w:outlineLvl w:val="0"/>
        <w:rPr>
          <w:rFonts w:hint="eastAsia" w:ascii="宋体" w:hAnsi="宋体" w:cs="宋体"/>
          <w:b/>
          <w:color w:val="auto"/>
          <w:kern w:val="0"/>
          <w:sz w:val="36"/>
          <w:szCs w:val="36"/>
          <w:highlight w:val="none"/>
        </w:rPr>
      </w:pPr>
      <w:bookmarkStart w:id="510" w:name="_Toc27150"/>
      <w:bookmarkStart w:id="511" w:name="_Toc29390"/>
      <w:r>
        <w:rPr>
          <w:rFonts w:hint="eastAsia" w:ascii="宋体" w:hAnsi="宋体" w:cs="宋体"/>
          <w:b/>
          <w:color w:val="auto"/>
          <w:kern w:val="0"/>
          <w:sz w:val="36"/>
          <w:szCs w:val="36"/>
          <w:highlight w:val="none"/>
          <w:lang w:eastAsia="zh-CN"/>
        </w:rPr>
        <w:t>经济</w:t>
      </w:r>
      <w:r>
        <w:rPr>
          <w:rFonts w:hint="eastAsia" w:ascii="宋体" w:hAnsi="宋体" w:cs="宋体"/>
          <w:b/>
          <w:color w:val="auto"/>
          <w:kern w:val="0"/>
          <w:sz w:val="36"/>
          <w:szCs w:val="36"/>
          <w:highlight w:val="none"/>
        </w:rPr>
        <w:t>部分</w:t>
      </w:r>
      <w:bookmarkEnd w:id="510"/>
      <w:bookmarkEnd w:id="511"/>
    </w:p>
    <w:p w14:paraId="28504BEC">
      <w:pPr>
        <w:autoSpaceDE w:val="0"/>
        <w:autoSpaceDN w:val="0"/>
        <w:adjustRightInd w:val="0"/>
        <w:snapToGrid w:val="0"/>
        <w:spacing w:line="360" w:lineRule="auto"/>
        <w:jc w:val="left"/>
        <w:rPr>
          <w:rFonts w:hint="eastAsia" w:ascii="宋体" w:hAnsi="宋体" w:cs="宋体"/>
          <w:b/>
          <w:color w:val="auto"/>
          <w:kern w:val="0"/>
          <w:sz w:val="20"/>
          <w:szCs w:val="20"/>
          <w:highlight w:val="none"/>
        </w:rPr>
      </w:pPr>
    </w:p>
    <w:p w14:paraId="3D217762">
      <w:pPr>
        <w:autoSpaceDE w:val="0"/>
        <w:autoSpaceDN w:val="0"/>
        <w:adjustRightInd w:val="0"/>
        <w:snapToGrid w:val="0"/>
        <w:spacing w:line="360" w:lineRule="auto"/>
        <w:jc w:val="left"/>
        <w:rPr>
          <w:rFonts w:hint="eastAsia" w:ascii="宋体" w:hAnsi="宋体" w:cs="宋体"/>
          <w:b/>
          <w:color w:val="auto"/>
          <w:kern w:val="0"/>
          <w:sz w:val="20"/>
          <w:szCs w:val="20"/>
          <w:highlight w:val="none"/>
        </w:rPr>
      </w:pPr>
    </w:p>
    <w:p w14:paraId="4778587B">
      <w:pPr>
        <w:autoSpaceDE w:val="0"/>
        <w:autoSpaceDN w:val="0"/>
        <w:adjustRightInd w:val="0"/>
        <w:snapToGrid w:val="0"/>
        <w:spacing w:line="360" w:lineRule="auto"/>
        <w:jc w:val="left"/>
        <w:rPr>
          <w:rFonts w:hint="eastAsia" w:ascii="宋体" w:hAnsi="宋体" w:cs="宋体"/>
          <w:b/>
          <w:color w:val="auto"/>
          <w:kern w:val="0"/>
          <w:sz w:val="20"/>
          <w:szCs w:val="20"/>
          <w:highlight w:val="none"/>
        </w:rPr>
      </w:pPr>
    </w:p>
    <w:p w14:paraId="2AB9726A">
      <w:pPr>
        <w:autoSpaceDE w:val="0"/>
        <w:autoSpaceDN w:val="0"/>
        <w:adjustRightInd w:val="0"/>
        <w:snapToGrid w:val="0"/>
        <w:spacing w:line="360" w:lineRule="auto"/>
        <w:jc w:val="left"/>
        <w:rPr>
          <w:rFonts w:hint="eastAsia" w:ascii="宋体" w:hAnsi="宋体" w:cs="宋体"/>
          <w:b/>
          <w:color w:val="auto"/>
          <w:kern w:val="0"/>
          <w:sz w:val="20"/>
          <w:szCs w:val="20"/>
          <w:highlight w:val="none"/>
        </w:rPr>
      </w:pPr>
    </w:p>
    <w:p w14:paraId="54C80288">
      <w:pPr>
        <w:autoSpaceDE w:val="0"/>
        <w:autoSpaceDN w:val="0"/>
        <w:adjustRightInd w:val="0"/>
        <w:snapToGrid w:val="0"/>
        <w:spacing w:line="360" w:lineRule="auto"/>
        <w:jc w:val="left"/>
        <w:rPr>
          <w:rFonts w:hint="eastAsia" w:ascii="宋体" w:hAnsi="宋体" w:cs="宋体"/>
          <w:b/>
          <w:color w:val="auto"/>
          <w:kern w:val="0"/>
          <w:sz w:val="20"/>
          <w:szCs w:val="20"/>
          <w:highlight w:val="none"/>
        </w:rPr>
      </w:pPr>
    </w:p>
    <w:p w14:paraId="14910FD5">
      <w:pPr>
        <w:autoSpaceDE w:val="0"/>
        <w:autoSpaceDN w:val="0"/>
        <w:adjustRightInd w:val="0"/>
        <w:snapToGrid w:val="0"/>
        <w:spacing w:line="360" w:lineRule="auto"/>
        <w:jc w:val="left"/>
        <w:rPr>
          <w:rFonts w:hint="eastAsia" w:ascii="宋体" w:hAnsi="宋体" w:cs="宋体"/>
          <w:b/>
          <w:color w:val="auto"/>
          <w:kern w:val="0"/>
          <w:sz w:val="20"/>
          <w:szCs w:val="20"/>
          <w:highlight w:val="none"/>
        </w:rPr>
      </w:pPr>
    </w:p>
    <w:p w14:paraId="3DC56B3E">
      <w:pPr>
        <w:autoSpaceDE w:val="0"/>
        <w:autoSpaceDN w:val="0"/>
        <w:adjustRightInd w:val="0"/>
        <w:snapToGrid w:val="0"/>
        <w:spacing w:line="360" w:lineRule="auto"/>
        <w:jc w:val="left"/>
        <w:rPr>
          <w:rFonts w:hint="eastAsia" w:ascii="宋体" w:hAnsi="宋体" w:cs="宋体"/>
          <w:b/>
          <w:color w:val="auto"/>
          <w:kern w:val="0"/>
          <w:sz w:val="20"/>
          <w:szCs w:val="20"/>
          <w:highlight w:val="none"/>
        </w:rPr>
      </w:pPr>
    </w:p>
    <w:p w14:paraId="0F02523C">
      <w:pPr>
        <w:autoSpaceDE w:val="0"/>
        <w:autoSpaceDN w:val="0"/>
        <w:adjustRightInd w:val="0"/>
        <w:snapToGrid w:val="0"/>
        <w:spacing w:line="360" w:lineRule="auto"/>
        <w:jc w:val="left"/>
        <w:rPr>
          <w:rFonts w:hint="eastAsia" w:ascii="宋体" w:hAnsi="宋体" w:cs="宋体"/>
          <w:b/>
          <w:color w:val="auto"/>
          <w:kern w:val="0"/>
          <w:sz w:val="20"/>
          <w:szCs w:val="20"/>
          <w:highlight w:val="none"/>
        </w:rPr>
      </w:pPr>
    </w:p>
    <w:p w14:paraId="1C239685">
      <w:pPr>
        <w:autoSpaceDE w:val="0"/>
        <w:autoSpaceDN w:val="0"/>
        <w:adjustRightInd w:val="0"/>
        <w:snapToGrid w:val="0"/>
        <w:spacing w:line="360" w:lineRule="auto"/>
        <w:jc w:val="left"/>
        <w:rPr>
          <w:rFonts w:hint="eastAsia" w:ascii="宋体" w:hAnsi="宋体" w:cs="宋体"/>
          <w:b/>
          <w:color w:val="auto"/>
          <w:kern w:val="0"/>
          <w:sz w:val="20"/>
          <w:szCs w:val="20"/>
          <w:highlight w:val="none"/>
        </w:rPr>
      </w:pPr>
    </w:p>
    <w:p w14:paraId="6AF22A88">
      <w:pPr>
        <w:tabs>
          <w:tab w:val="left" w:pos="6080"/>
          <w:tab w:val="left" w:pos="6640"/>
        </w:tabs>
        <w:autoSpaceDE w:val="0"/>
        <w:autoSpaceDN w:val="0"/>
        <w:adjustRightInd w:val="0"/>
        <w:snapToGrid w:val="0"/>
        <w:spacing w:after="156" w:afterLines="50" w:line="360" w:lineRule="auto"/>
        <w:jc w:val="center"/>
        <w:rPr>
          <w:rFonts w:hint="eastAsia" w:ascii="宋体" w:hAnsi="宋体" w:cs="宋体"/>
          <w:color w:val="auto"/>
          <w:w w:val="99"/>
          <w:kern w:val="0"/>
          <w:sz w:val="28"/>
          <w:szCs w:val="28"/>
          <w:highlight w:val="none"/>
        </w:rPr>
      </w:pPr>
      <w:r>
        <w:rPr>
          <w:rFonts w:hint="eastAsia" w:ascii="宋体" w:hAnsi="宋体" w:cs="宋体"/>
          <w:color w:val="auto"/>
          <w:w w:val="99"/>
          <w:kern w:val="0"/>
          <w:sz w:val="28"/>
          <w:szCs w:val="28"/>
          <w:highlight w:val="none"/>
          <w:lang w:val="en-US" w:eastAsia="zh-CN"/>
        </w:rPr>
        <w:t xml:space="preserve">    </w:t>
      </w:r>
      <w:r>
        <w:rPr>
          <w:rFonts w:hint="eastAsia" w:ascii="宋体" w:hAnsi="宋体" w:cs="宋体"/>
          <w:color w:val="auto"/>
          <w:w w:val="99"/>
          <w:kern w:val="0"/>
          <w:sz w:val="28"/>
          <w:szCs w:val="28"/>
          <w:highlight w:val="none"/>
        </w:rPr>
        <w:t>比选申请人</w:t>
      </w:r>
      <w:r>
        <w:rPr>
          <w:rFonts w:hint="eastAsia" w:ascii="宋体" w:hAnsi="宋体" w:cs="宋体"/>
          <w:color w:val="auto"/>
          <w:spacing w:val="1"/>
          <w:w w:val="99"/>
          <w:kern w:val="0"/>
          <w:sz w:val="28"/>
          <w:szCs w:val="28"/>
          <w:highlight w:val="none"/>
        </w:rPr>
        <w:t>：</w:t>
      </w:r>
      <w:r>
        <w:rPr>
          <w:rFonts w:hint="eastAsia" w:ascii="宋体" w:hAnsi="宋体" w:cs="宋体"/>
          <w:color w:val="auto"/>
          <w:w w:val="198"/>
          <w:kern w:val="0"/>
          <w:sz w:val="28"/>
          <w:szCs w:val="28"/>
          <w:highlight w:val="none"/>
          <w:u w:val="single"/>
        </w:rPr>
        <w:t xml:space="preserve"> 　　　　 　　</w:t>
      </w:r>
      <w:r>
        <w:rPr>
          <w:rFonts w:hint="eastAsia" w:ascii="宋体" w:hAnsi="宋体" w:cs="宋体"/>
          <w:color w:val="auto"/>
          <w:w w:val="99"/>
          <w:kern w:val="0"/>
          <w:sz w:val="28"/>
          <w:szCs w:val="28"/>
          <w:highlight w:val="none"/>
        </w:rPr>
        <w:t>（盖单位法人章）</w:t>
      </w:r>
    </w:p>
    <w:p w14:paraId="1881AEBB">
      <w:pPr>
        <w:tabs>
          <w:tab w:val="left" w:pos="6080"/>
          <w:tab w:val="left" w:pos="6640"/>
        </w:tabs>
        <w:autoSpaceDE w:val="0"/>
        <w:autoSpaceDN w:val="0"/>
        <w:adjustRightInd w:val="0"/>
        <w:snapToGrid w:val="0"/>
        <w:spacing w:after="156" w:afterLines="50" w:line="360" w:lineRule="auto"/>
        <w:jc w:val="center"/>
        <w:rPr>
          <w:rFonts w:hint="eastAsia" w:ascii="宋体" w:hAnsi="宋体" w:cs="宋体"/>
          <w:b/>
          <w:color w:val="auto"/>
          <w:kern w:val="0"/>
          <w:sz w:val="28"/>
          <w:szCs w:val="28"/>
          <w:highlight w:val="none"/>
        </w:rPr>
      </w:pPr>
      <w:r>
        <w:rPr>
          <w:rFonts w:hint="eastAsia" w:ascii="宋体" w:hAnsi="宋体" w:cs="宋体"/>
          <w:color w:val="auto"/>
          <w:w w:val="99"/>
          <w:kern w:val="0"/>
          <w:sz w:val="28"/>
          <w:szCs w:val="28"/>
          <w:highlight w:val="none"/>
        </w:rPr>
        <w:t>法定代表人或其委托代理人：</w:t>
      </w:r>
      <w:r>
        <w:rPr>
          <w:rFonts w:hint="eastAsia" w:ascii="宋体" w:hAnsi="宋体" w:cs="宋体"/>
          <w:color w:val="auto"/>
          <w:w w:val="198"/>
          <w:kern w:val="0"/>
          <w:sz w:val="28"/>
          <w:szCs w:val="28"/>
          <w:highlight w:val="none"/>
          <w:u w:val="single"/>
        </w:rPr>
        <w:t xml:space="preserve">  　　</w:t>
      </w:r>
      <w:r>
        <w:rPr>
          <w:rFonts w:hint="eastAsia" w:ascii="宋体" w:hAnsi="宋体" w:cs="宋体"/>
          <w:color w:val="auto"/>
          <w:w w:val="99"/>
          <w:kern w:val="0"/>
          <w:sz w:val="28"/>
          <w:szCs w:val="28"/>
          <w:highlight w:val="none"/>
        </w:rPr>
        <w:t>（签名或盖章）</w:t>
      </w:r>
    </w:p>
    <w:p w14:paraId="26B10973">
      <w:pPr>
        <w:tabs>
          <w:tab w:val="left" w:pos="3280"/>
          <w:tab w:val="left" w:pos="4680"/>
          <w:tab w:val="left" w:pos="6080"/>
        </w:tabs>
        <w:autoSpaceDE w:val="0"/>
        <w:autoSpaceDN w:val="0"/>
        <w:adjustRightInd w:val="0"/>
        <w:snapToGrid w:val="0"/>
        <w:spacing w:after="156" w:afterLines="50" w:line="360" w:lineRule="auto"/>
        <w:jc w:val="center"/>
        <w:rPr>
          <w:rFonts w:hint="eastAsia" w:ascii="宋体" w:hAnsi="宋体" w:cs="宋体"/>
          <w:color w:val="auto"/>
          <w:kern w:val="0"/>
          <w:sz w:val="24"/>
          <w:szCs w:val="21"/>
          <w:highlight w:val="none"/>
        </w:rPr>
      </w:pPr>
      <w:r>
        <w:rPr>
          <w:rFonts w:hint="eastAsia" w:ascii="宋体" w:hAnsi="宋体" w:cs="宋体"/>
          <w:color w:val="auto"/>
          <w:w w:val="198"/>
          <w:kern w:val="0"/>
          <w:sz w:val="28"/>
          <w:szCs w:val="28"/>
          <w:highlight w:val="none"/>
          <w:u w:val="single"/>
        </w:rPr>
        <w:t xml:space="preserve">    </w:t>
      </w:r>
      <w:r>
        <w:rPr>
          <w:rFonts w:hint="eastAsia" w:ascii="宋体" w:hAnsi="宋体" w:cs="宋体"/>
          <w:color w:val="auto"/>
          <w:w w:val="99"/>
          <w:kern w:val="0"/>
          <w:sz w:val="28"/>
          <w:szCs w:val="28"/>
          <w:highlight w:val="none"/>
        </w:rPr>
        <w:t>年</w:t>
      </w:r>
      <w:r>
        <w:rPr>
          <w:rFonts w:hint="eastAsia" w:ascii="宋体" w:hAnsi="宋体" w:cs="宋体"/>
          <w:color w:val="auto"/>
          <w:w w:val="198"/>
          <w:kern w:val="0"/>
          <w:sz w:val="28"/>
          <w:szCs w:val="28"/>
          <w:highlight w:val="none"/>
          <w:u w:val="single"/>
        </w:rPr>
        <w:t xml:space="preserve">    </w:t>
      </w:r>
      <w:r>
        <w:rPr>
          <w:rFonts w:hint="eastAsia" w:ascii="宋体" w:hAnsi="宋体" w:cs="宋体"/>
          <w:color w:val="auto"/>
          <w:w w:val="99"/>
          <w:kern w:val="0"/>
          <w:sz w:val="28"/>
          <w:szCs w:val="28"/>
          <w:highlight w:val="none"/>
        </w:rPr>
        <w:t>月</w:t>
      </w:r>
      <w:r>
        <w:rPr>
          <w:rFonts w:hint="eastAsia" w:ascii="宋体" w:hAnsi="宋体" w:cs="宋体"/>
          <w:color w:val="auto"/>
          <w:w w:val="198"/>
          <w:kern w:val="0"/>
          <w:sz w:val="28"/>
          <w:szCs w:val="28"/>
          <w:highlight w:val="none"/>
          <w:u w:val="single"/>
        </w:rPr>
        <w:t xml:space="preserve">    </w:t>
      </w:r>
      <w:r>
        <w:rPr>
          <w:rFonts w:hint="eastAsia" w:ascii="宋体" w:hAnsi="宋体" w:cs="宋体"/>
          <w:color w:val="auto"/>
          <w:w w:val="99"/>
          <w:kern w:val="0"/>
          <w:sz w:val="28"/>
          <w:szCs w:val="28"/>
          <w:highlight w:val="none"/>
        </w:rPr>
        <w:t>日</w:t>
      </w:r>
      <w:r>
        <w:rPr>
          <w:rFonts w:hint="eastAsia" w:ascii="宋体" w:hAnsi="宋体" w:cs="宋体"/>
          <w:color w:val="auto"/>
          <w:kern w:val="0"/>
          <w:sz w:val="24"/>
          <w:szCs w:val="21"/>
          <w:highlight w:val="none"/>
        </w:rPr>
        <w:br w:type="page"/>
      </w:r>
    </w:p>
    <w:p w14:paraId="121528B2">
      <w:pPr>
        <w:autoSpaceDE w:val="0"/>
        <w:autoSpaceDN w:val="0"/>
        <w:adjustRightInd w:val="0"/>
        <w:snapToGrid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 w:val="36"/>
          <w:szCs w:val="36"/>
          <w:highlight w:val="none"/>
        </w:rPr>
        <w:t>目  录</w:t>
      </w:r>
    </w:p>
    <w:p w14:paraId="07548739">
      <w:pPr>
        <w:autoSpaceDE w:val="0"/>
        <w:autoSpaceDN w:val="0"/>
        <w:adjustRightInd w:val="0"/>
        <w:snapToGrid w:val="0"/>
        <w:spacing w:line="360" w:lineRule="auto"/>
        <w:jc w:val="left"/>
        <w:rPr>
          <w:rFonts w:hint="eastAsia" w:ascii="宋体" w:hAnsi="宋体" w:cs="宋体"/>
          <w:color w:val="auto"/>
          <w:kern w:val="0"/>
          <w:szCs w:val="21"/>
          <w:highlight w:val="none"/>
        </w:rPr>
      </w:pPr>
    </w:p>
    <w:p w14:paraId="69A7EA16">
      <w:pPr>
        <w:autoSpaceDE w:val="0"/>
        <w:autoSpaceDN w:val="0"/>
        <w:adjustRightInd w:val="0"/>
        <w:snapToGrid w:val="0"/>
        <w:spacing w:line="360" w:lineRule="auto"/>
        <w:jc w:val="center"/>
        <w:rPr>
          <w:rFonts w:hint="eastAsia" w:ascii="宋体" w:hAnsi="宋体" w:cs="宋体"/>
          <w:i/>
          <w:iCs/>
          <w:color w:val="auto"/>
          <w:kern w:val="0"/>
          <w:szCs w:val="21"/>
          <w:highlight w:val="none"/>
        </w:rPr>
      </w:pPr>
      <w:r>
        <w:rPr>
          <w:rFonts w:hint="eastAsia" w:ascii="宋体" w:hAnsi="宋体" w:cs="宋体"/>
          <w:i/>
          <w:iCs/>
          <w:color w:val="auto"/>
          <w:kern w:val="0"/>
          <w:szCs w:val="21"/>
          <w:highlight w:val="none"/>
        </w:rPr>
        <w:t>[提示：目录由</w:t>
      </w:r>
      <w:r>
        <w:rPr>
          <w:rFonts w:hint="eastAsia" w:ascii="宋体" w:hAnsi="宋体" w:cs="宋体"/>
          <w:i/>
          <w:iCs/>
          <w:color w:val="auto"/>
          <w:kern w:val="0"/>
          <w:szCs w:val="21"/>
          <w:highlight w:val="none"/>
          <w:lang w:eastAsia="zh-CN"/>
        </w:rPr>
        <w:t>比选申请人</w:t>
      </w:r>
      <w:r>
        <w:rPr>
          <w:rFonts w:hint="eastAsia" w:ascii="宋体" w:hAnsi="宋体" w:cs="宋体"/>
          <w:i/>
          <w:iCs/>
          <w:color w:val="auto"/>
          <w:kern w:val="0"/>
          <w:szCs w:val="21"/>
          <w:highlight w:val="none"/>
        </w:rPr>
        <w:t>自行编制]</w:t>
      </w:r>
    </w:p>
    <w:p w14:paraId="05F2E823">
      <w:pPr>
        <w:autoSpaceDE w:val="0"/>
        <w:autoSpaceDN w:val="0"/>
        <w:adjustRightInd w:val="0"/>
        <w:snapToGrid w:val="0"/>
        <w:spacing w:line="360" w:lineRule="auto"/>
        <w:jc w:val="left"/>
        <w:rPr>
          <w:rFonts w:hint="eastAsia" w:ascii="宋体" w:hAnsi="宋体" w:cs="宋体"/>
          <w:color w:val="auto"/>
          <w:w w:val="99"/>
          <w:kern w:val="0"/>
          <w:sz w:val="28"/>
          <w:szCs w:val="28"/>
          <w:highlight w:val="none"/>
        </w:rPr>
      </w:pPr>
    </w:p>
    <w:p w14:paraId="32A8695D">
      <w:pPr>
        <w:autoSpaceDE w:val="0"/>
        <w:autoSpaceDN w:val="0"/>
        <w:adjustRightInd w:val="0"/>
        <w:snapToGrid w:val="0"/>
        <w:spacing w:line="360" w:lineRule="auto"/>
        <w:jc w:val="left"/>
        <w:rPr>
          <w:rFonts w:hint="eastAsia" w:ascii="宋体" w:hAnsi="宋体" w:cs="宋体"/>
          <w:color w:val="auto"/>
          <w:kern w:val="0"/>
          <w:sz w:val="24"/>
          <w:szCs w:val="21"/>
          <w:highlight w:val="none"/>
        </w:rPr>
      </w:pPr>
      <w:r>
        <w:rPr>
          <w:rFonts w:hint="eastAsia" w:ascii="宋体" w:hAnsi="宋体" w:cs="宋体"/>
          <w:color w:val="auto"/>
          <w:highlight w:val="none"/>
        </w:rPr>
        <w:br w:type="page"/>
      </w:r>
      <w:bookmarkStart w:id="512" w:name="_Toc287607873"/>
      <w:bookmarkStart w:id="513" w:name="_Toc224103501"/>
      <w:bookmarkStart w:id="514" w:name="_Toc287620820"/>
      <w:bookmarkStart w:id="515" w:name="_Toc277082648"/>
      <w:bookmarkStart w:id="516" w:name="_Toc430530535"/>
    </w:p>
    <w:p w14:paraId="7B186A59">
      <w:pPr>
        <w:pStyle w:val="4"/>
        <w:numPr>
          <w:ilvl w:val="0"/>
          <w:numId w:val="0"/>
        </w:numPr>
        <w:jc w:val="center"/>
        <w:rPr>
          <w:rFonts w:hint="eastAsia" w:ascii="宋体" w:hAnsi="宋体" w:eastAsia="宋体" w:cs="宋体"/>
          <w:color w:val="auto"/>
          <w:sz w:val="24"/>
          <w:szCs w:val="32"/>
          <w:highlight w:val="none"/>
        </w:rPr>
      </w:pPr>
      <w:bookmarkStart w:id="517" w:name="_Toc57905925"/>
      <w:bookmarkStart w:id="518" w:name="_Toc28475"/>
      <w:r>
        <w:rPr>
          <w:rFonts w:hint="eastAsia" w:ascii="宋体" w:hAnsi="宋体" w:eastAsia="宋体" w:cs="宋体"/>
          <w:color w:val="auto"/>
          <w:sz w:val="24"/>
          <w:szCs w:val="32"/>
          <w:highlight w:val="none"/>
        </w:rPr>
        <w:t>已标价工程量清单</w:t>
      </w:r>
      <w:bookmarkEnd w:id="512"/>
      <w:bookmarkEnd w:id="513"/>
      <w:bookmarkEnd w:id="514"/>
      <w:bookmarkEnd w:id="515"/>
      <w:bookmarkEnd w:id="516"/>
      <w:bookmarkEnd w:id="517"/>
      <w:bookmarkEnd w:id="518"/>
    </w:p>
    <w:p w14:paraId="22390457">
      <w:pPr>
        <w:jc w:val="center"/>
        <w:rPr>
          <w:rFonts w:hint="default" w:eastAsia="宋体"/>
          <w:lang w:val="en-US" w:eastAsia="zh-CN"/>
        </w:rPr>
      </w:pPr>
      <w:r>
        <w:rPr>
          <w:rFonts w:hint="eastAsia"/>
          <w:b/>
          <w:bCs/>
          <w:sz w:val="24"/>
          <w:szCs w:val="24"/>
          <w:lang w:val="en-US" w:eastAsia="zh-CN"/>
        </w:rPr>
        <w:t>一、报价一览表（1标段、2标段）</w:t>
      </w:r>
    </w:p>
    <w:p w14:paraId="6C1F90CD">
      <w:pPr>
        <w:rPr>
          <w:rFonts w:hint="eastAsia"/>
        </w:rPr>
      </w:pPr>
    </w:p>
    <w:p w14:paraId="3DB50044">
      <w:pPr>
        <w:pStyle w:val="71"/>
        <w:rPr>
          <w:rFonts w:hint="default"/>
          <w:lang w:val="en-US" w:eastAsia="zh-CN"/>
        </w:rPr>
      </w:pPr>
    </w:p>
    <w:tbl>
      <w:tblPr>
        <w:tblStyle w:val="51"/>
        <w:tblpPr w:leftFromText="180" w:rightFromText="180" w:vertAnchor="page" w:horzAnchor="page" w:tblpX="652" w:tblpY="3093"/>
        <w:tblOverlap w:val="never"/>
        <w:tblW w:w="104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7"/>
        <w:gridCol w:w="1402"/>
        <w:gridCol w:w="690"/>
        <w:gridCol w:w="675"/>
        <w:gridCol w:w="1215"/>
        <w:gridCol w:w="1433"/>
        <w:gridCol w:w="3116"/>
        <w:gridCol w:w="1238"/>
      </w:tblGrid>
      <w:tr w14:paraId="583D6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14:paraId="6509239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序号</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2DE8E01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产品名称</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4D4F8E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单位</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5D47B3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数量</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5E76CBF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单价</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75570C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合价</w:t>
            </w:r>
          </w:p>
        </w:tc>
        <w:tc>
          <w:tcPr>
            <w:tcW w:w="3116" w:type="dxa"/>
            <w:tcBorders>
              <w:top w:val="single" w:color="000000" w:sz="4" w:space="0"/>
              <w:left w:val="single" w:color="000000" w:sz="4" w:space="0"/>
              <w:bottom w:val="single" w:color="000000" w:sz="4" w:space="0"/>
              <w:right w:val="single" w:color="000000" w:sz="4" w:space="0"/>
            </w:tcBorders>
            <w:noWrap w:val="0"/>
            <w:vAlign w:val="center"/>
          </w:tcPr>
          <w:p w14:paraId="318E61C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FF0000"/>
                <w:kern w:val="0"/>
                <w:sz w:val="18"/>
                <w:szCs w:val="18"/>
                <w:u w:val="none"/>
                <w:lang w:val="en-US" w:eastAsia="zh-CN" w:bidi="ar"/>
              </w:rPr>
            </w:pPr>
            <w:r>
              <w:rPr>
                <w:rFonts w:hint="eastAsia" w:ascii="宋体" w:hAnsi="宋体" w:cs="宋体"/>
                <w:i w:val="0"/>
                <w:iCs w:val="0"/>
                <w:color w:val="FF0000"/>
                <w:kern w:val="0"/>
                <w:sz w:val="18"/>
                <w:szCs w:val="18"/>
                <w:u w:val="none"/>
                <w:lang w:val="en-US" w:eastAsia="zh-CN" w:bidi="ar"/>
              </w:rPr>
              <w:t>产品参数</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0B64B25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备注</w:t>
            </w:r>
          </w:p>
        </w:tc>
      </w:tr>
      <w:tr w14:paraId="374BA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14:paraId="02474D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1F79ABD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1DBFFF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128B5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eastAsia="zh-CN"/>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6CD3A2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7C6B93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3116" w:type="dxa"/>
            <w:tcBorders>
              <w:top w:val="single" w:color="000000" w:sz="4" w:space="0"/>
              <w:left w:val="single" w:color="000000" w:sz="4" w:space="0"/>
              <w:bottom w:val="single" w:color="000000" w:sz="4" w:space="0"/>
              <w:right w:val="single" w:color="000000" w:sz="4" w:space="0"/>
            </w:tcBorders>
            <w:noWrap w:val="0"/>
            <w:vAlign w:val="center"/>
          </w:tcPr>
          <w:p w14:paraId="7952190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FF0000"/>
                <w:sz w:val="18"/>
                <w:szCs w:val="18"/>
                <w:u w:val="none"/>
              </w:rPr>
            </w:pPr>
          </w:p>
        </w:tc>
        <w:tc>
          <w:tcPr>
            <w:tcW w:w="1238" w:type="dxa"/>
            <w:tcBorders>
              <w:top w:val="single" w:color="000000" w:sz="4" w:space="0"/>
              <w:left w:val="single" w:color="000000" w:sz="4" w:space="0"/>
              <w:bottom w:val="single" w:color="auto" w:sz="4" w:space="0"/>
              <w:right w:val="single" w:color="000000" w:sz="4" w:space="0"/>
            </w:tcBorders>
            <w:noWrap w:val="0"/>
            <w:vAlign w:val="center"/>
          </w:tcPr>
          <w:p w14:paraId="4668E6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r>
      <w:tr w14:paraId="06853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14:paraId="6502B1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1FE7599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7FA6EC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A4399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635B08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4A9DF1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3116" w:type="dxa"/>
            <w:tcBorders>
              <w:top w:val="single" w:color="000000" w:sz="4" w:space="0"/>
              <w:left w:val="single" w:color="000000" w:sz="4" w:space="0"/>
              <w:bottom w:val="single" w:color="000000" w:sz="4" w:space="0"/>
              <w:right w:val="single" w:color="000000" w:sz="4" w:space="0"/>
            </w:tcBorders>
            <w:noWrap w:val="0"/>
            <w:vAlign w:val="center"/>
          </w:tcPr>
          <w:p w14:paraId="7BB72F1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FF0000"/>
                <w:sz w:val="18"/>
                <w:szCs w:val="18"/>
                <w:u w:val="none"/>
              </w:rPr>
            </w:pPr>
          </w:p>
        </w:tc>
        <w:tc>
          <w:tcPr>
            <w:tcW w:w="1238" w:type="dxa"/>
            <w:tcBorders>
              <w:top w:val="single" w:color="auto" w:sz="4" w:space="0"/>
              <w:left w:val="single" w:color="000000" w:sz="4" w:space="0"/>
              <w:bottom w:val="single" w:color="auto" w:sz="4" w:space="0"/>
              <w:right w:val="single" w:color="000000" w:sz="4" w:space="0"/>
            </w:tcBorders>
            <w:noWrap w:val="0"/>
            <w:vAlign w:val="center"/>
          </w:tcPr>
          <w:p w14:paraId="035C7BB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77A9C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14:paraId="21BF470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39A3FF9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F1640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30EE1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0EF948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64131D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3116" w:type="dxa"/>
            <w:tcBorders>
              <w:top w:val="single" w:color="000000" w:sz="4" w:space="0"/>
              <w:left w:val="single" w:color="000000" w:sz="4" w:space="0"/>
              <w:bottom w:val="single" w:color="000000" w:sz="4" w:space="0"/>
              <w:right w:val="single" w:color="000000" w:sz="4" w:space="0"/>
            </w:tcBorders>
            <w:noWrap w:val="0"/>
            <w:vAlign w:val="center"/>
          </w:tcPr>
          <w:p w14:paraId="5E8D4AE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FF0000"/>
                <w:sz w:val="18"/>
                <w:szCs w:val="18"/>
                <w:u w:val="none"/>
              </w:rPr>
            </w:pPr>
          </w:p>
        </w:tc>
        <w:tc>
          <w:tcPr>
            <w:tcW w:w="1238" w:type="dxa"/>
            <w:tcBorders>
              <w:top w:val="single" w:color="auto" w:sz="4" w:space="0"/>
              <w:left w:val="single" w:color="000000" w:sz="4" w:space="0"/>
              <w:bottom w:val="single" w:color="000000" w:sz="4" w:space="0"/>
              <w:right w:val="single" w:color="000000" w:sz="4" w:space="0"/>
            </w:tcBorders>
            <w:noWrap w:val="0"/>
            <w:vAlign w:val="center"/>
          </w:tcPr>
          <w:p w14:paraId="3B4220F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3C6F1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14:paraId="304B00D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1930D6C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BDD1B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86CA8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043D4E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346E28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3116" w:type="dxa"/>
            <w:tcBorders>
              <w:top w:val="single" w:color="000000" w:sz="4" w:space="0"/>
              <w:left w:val="single" w:color="000000" w:sz="4" w:space="0"/>
              <w:bottom w:val="single" w:color="000000" w:sz="4" w:space="0"/>
              <w:right w:val="single" w:color="000000" w:sz="4" w:space="0"/>
            </w:tcBorders>
            <w:noWrap w:val="0"/>
            <w:vAlign w:val="center"/>
          </w:tcPr>
          <w:p w14:paraId="2E681D7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FF0000"/>
                <w:sz w:val="18"/>
                <w:szCs w:val="18"/>
                <w:u w:val="none"/>
              </w:rPr>
            </w:pP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19A58EF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3E864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14:paraId="212BBE1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23618E3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BE5E9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57F53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0DE6F1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3D8993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3116" w:type="dxa"/>
            <w:tcBorders>
              <w:top w:val="single" w:color="000000" w:sz="4" w:space="0"/>
              <w:left w:val="single" w:color="000000" w:sz="4" w:space="0"/>
              <w:bottom w:val="single" w:color="000000" w:sz="4" w:space="0"/>
              <w:right w:val="single" w:color="000000" w:sz="4" w:space="0"/>
            </w:tcBorders>
            <w:noWrap w:val="0"/>
            <w:vAlign w:val="center"/>
          </w:tcPr>
          <w:p w14:paraId="279FDDA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FF0000"/>
                <w:sz w:val="18"/>
                <w:szCs w:val="18"/>
                <w:u w:val="none"/>
              </w:rPr>
            </w:pP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2846DD0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60BE1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14:paraId="718B91D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4AC0DC1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C5ECC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0CE96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5485EA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2DDF5D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3116" w:type="dxa"/>
            <w:tcBorders>
              <w:top w:val="single" w:color="000000" w:sz="4" w:space="0"/>
              <w:left w:val="single" w:color="000000" w:sz="4" w:space="0"/>
              <w:bottom w:val="single" w:color="000000" w:sz="4" w:space="0"/>
              <w:right w:val="single" w:color="000000" w:sz="4" w:space="0"/>
            </w:tcBorders>
            <w:noWrap w:val="0"/>
            <w:vAlign w:val="center"/>
          </w:tcPr>
          <w:p w14:paraId="0C54F1E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FF0000"/>
                <w:sz w:val="18"/>
                <w:szCs w:val="18"/>
                <w:u w:val="none"/>
              </w:rPr>
            </w:pP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7C0C215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3E661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14:paraId="2431DF58">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2C30C40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7F988C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B1F72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142A9A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5AC760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3116" w:type="dxa"/>
            <w:tcBorders>
              <w:top w:val="single" w:color="000000" w:sz="4" w:space="0"/>
              <w:left w:val="single" w:color="000000" w:sz="4" w:space="0"/>
              <w:bottom w:val="single" w:color="000000" w:sz="4" w:space="0"/>
              <w:right w:val="single" w:color="000000" w:sz="4" w:space="0"/>
            </w:tcBorders>
            <w:noWrap w:val="0"/>
            <w:vAlign w:val="center"/>
          </w:tcPr>
          <w:p w14:paraId="587A4AF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FF0000"/>
                <w:sz w:val="18"/>
                <w:szCs w:val="18"/>
                <w:u w:val="none"/>
              </w:rPr>
            </w:pP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1DB7DDA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646E6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14:paraId="0FF3BD5B">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1C46817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90B57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AC4B4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287879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1FB5DE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3116" w:type="dxa"/>
            <w:tcBorders>
              <w:top w:val="single" w:color="000000" w:sz="4" w:space="0"/>
              <w:left w:val="single" w:color="000000" w:sz="4" w:space="0"/>
              <w:bottom w:val="single" w:color="000000" w:sz="4" w:space="0"/>
              <w:right w:val="single" w:color="000000" w:sz="4" w:space="0"/>
            </w:tcBorders>
            <w:noWrap w:val="0"/>
            <w:vAlign w:val="center"/>
          </w:tcPr>
          <w:p w14:paraId="0117358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FF0000"/>
                <w:sz w:val="18"/>
                <w:szCs w:val="18"/>
                <w:u w:val="none"/>
              </w:rPr>
            </w:pP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2CC6495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1906B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14:paraId="34B7B6E3">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3F25C40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15934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14F33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05A143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154659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3116" w:type="dxa"/>
            <w:tcBorders>
              <w:top w:val="single" w:color="000000" w:sz="4" w:space="0"/>
              <w:left w:val="single" w:color="000000" w:sz="4" w:space="0"/>
              <w:bottom w:val="single" w:color="000000" w:sz="4" w:space="0"/>
              <w:right w:val="single" w:color="000000" w:sz="4" w:space="0"/>
            </w:tcBorders>
            <w:noWrap w:val="0"/>
            <w:vAlign w:val="center"/>
          </w:tcPr>
          <w:p w14:paraId="6DFA2F2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FF0000"/>
                <w:sz w:val="18"/>
                <w:szCs w:val="18"/>
                <w:u w:val="none"/>
              </w:rPr>
            </w:pP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60E1FEA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509A5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14:paraId="754A91D4">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5D6FEBB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1B69C2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3EB12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00F249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3A0C59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3116" w:type="dxa"/>
            <w:tcBorders>
              <w:top w:val="single" w:color="000000" w:sz="4" w:space="0"/>
              <w:left w:val="single" w:color="000000" w:sz="4" w:space="0"/>
              <w:bottom w:val="single" w:color="000000" w:sz="4" w:space="0"/>
              <w:right w:val="single" w:color="000000" w:sz="4" w:space="0"/>
            </w:tcBorders>
            <w:noWrap w:val="0"/>
            <w:vAlign w:val="center"/>
          </w:tcPr>
          <w:p w14:paraId="23AC6DF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FF0000"/>
                <w:sz w:val="18"/>
                <w:szCs w:val="18"/>
                <w:u w:val="none"/>
              </w:rPr>
            </w:pP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69E9836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1BB98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14:paraId="0AD08EEB">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3E06E88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189394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597C1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4BACA0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5F6FCA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3116" w:type="dxa"/>
            <w:tcBorders>
              <w:top w:val="single" w:color="000000" w:sz="4" w:space="0"/>
              <w:left w:val="single" w:color="000000" w:sz="4" w:space="0"/>
              <w:bottom w:val="single" w:color="000000" w:sz="4" w:space="0"/>
              <w:right w:val="single" w:color="000000" w:sz="4" w:space="0"/>
            </w:tcBorders>
            <w:noWrap w:val="0"/>
            <w:vAlign w:val="center"/>
          </w:tcPr>
          <w:p w14:paraId="05A9E31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FF0000"/>
                <w:sz w:val="18"/>
                <w:szCs w:val="18"/>
                <w:u w:val="none"/>
              </w:rPr>
            </w:pP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0C82FA0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4805C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14:paraId="4F36ECE7">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7091DBA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71C27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B52C4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6F855C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562E0B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3116" w:type="dxa"/>
            <w:tcBorders>
              <w:top w:val="single" w:color="000000" w:sz="4" w:space="0"/>
              <w:left w:val="single" w:color="000000" w:sz="4" w:space="0"/>
              <w:bottom w:val="single" w:color="000000" w:sz="4" w:space="0"/>
              <w:right w:val="single" w:color="000000" w:sz="4" w:space="0"/>
            </w:tcBorders>
            <w:noWrap w:val="0"/>
            <w:vAlign w:val="center"/>
          </w:tcPr>
          <w:p w14:paraId="6834343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FF0000"/>
                <w:sz w:val="18"/>
                <w:szCs w:val="18"/>
                <w:u w:val="none"/>
              </w:rPr>
            </w:pP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6F35773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4A57A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14:paraId="7B5C2A17">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0EDE11D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14280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B1626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0D056C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522805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3116" w:type="dxa"/>
            <w:tcBorders>
              <w:top w:val="single" w:color="000000" w:sz="4" w:space="0"/>
              <w:left w:val="single" w:color="000000" w:sz="4" w:space="0"/>
              <w:bottom w:val="single" w:color="000000" w:sz="4" w:space="0"/>
              <w:right w:val="single" w:color="000000" w:sz="4" w:space="0"/>
            </w:tcBorders>
            <w:noWrap w:val="0"/>
            <w:vAlign w:val="center"/>
          </w:tcPr>
          <w:p w14:paraId="0E74A37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FF0000"/>
                <w:sz w:val="18"/>
                <w:szCs w:val="18"/>
                <w:u w:val="none"/>
              </w:rPr>
            </w:pP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67EEBA1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62CF5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14:paraId="419FB2B1">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1351831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3E9ED9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7A4C9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703C9B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132F60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3116" w:type="dxa"/>
            <w:tcBorders>
              <w:top w:val="single" w:color="000000" w:sz="4" w:space="0"/>
              <w:left w:val="single" w:color="000000" w:sz="4" w:space="0"/>
              <w:bottom w:val="single" w:color="000000" w:sz="4" w:space="0"/>
              <w:right w:val="single" w:color="000000" w:sz="4" w:space="0"/>
            </w:tcBorders>
            <w:noWrap w:val="0"/>
            <w:vAlign w:val="center"/>
          </w:tcPr>
          <w:p w14:paraId="58DF2A2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FF0000"/>
                <w:sz w:val="18"/>
                <w:szCs w:val="18"/>
                <w:u w:val="none"/>
              </w:rPr>
            </w:pP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3CC6E19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656AE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14:paraId="4D6952C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w:t>
            </w:r>
          </w:p>
        </w:tc>
        <w:tc>
          <w:tcPr>
            <w:tcW w:w="2767" w:type="dxa"/>
            <w:gridSpan w:val="3"/>
            <w:tcBorders>
              <w:top w:val="single" w:color="000000" w:sz="4" w:space="0"/>
              <w:left w:val="single" w:color="000000" w:sz="4" w:space="0"/>
              <w:bottom w:val="single" w:color="000000" w:sz="4" w:space="0"/>
              <w:right w:val="single" w:color="000000" w:sz="4" w:space="0"/>
            </w:tcBorders>
            <w:noWrap w:val="0"/>
            <w:vAlign w:val="center"/>
          </w:tcPr>
          <w:p w14:paraId="063A32E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合计总价</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6BC9A4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2172EC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p>
        </w:tc>
        <w:tc>
          <w:tcPr>
            <w:tcW w:w="3116" w:type="dxa"/>
            <w:tcBorders>
              <w:top w:val="single" w:color="000000" w:sz="4" w:space="0"/>
              <w:left w:val="single" w:color="000000" w:sz="4" w:space="0"/>
              <w:bottom w:val="single" w:color="000000" w:sz="4" w:space="0"/>
              <w:right w:val="single" w:color="000000" w:sz="4" w:space="0"/>
            </w:tcBorders>
            <w:noWrap w:val="0"/>
            <w:vAlign w:val="center"/>
          </w:tcPr>
          <w:p w14:paraId="21ECB5B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FF0000"/>
                <w:kern w:val="0"/>
                <w:sz w:val="18"/>
                <w:szCs w:val="18"/>
                <w:u w:val="none"/>
                <w:lang w:val="en-US" w:eastAsia="zh-CN" w:bidi="ar"/>
              </w:rPr>
            </w:pP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2EB9D84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bl>
    <w:p w14:paraId="35C9F2E3">
      <w:pPr>
        <w:tabs>
          <w:tab w:val="left" w:pos="5010"/>
        </w:tabs>
        <w:spacing w:line="400" w:lineRule="exact"/>
        <w:jc w:val="both"/>
        <w:rPr>
          <w:rFonts w:hint="eastAsia" w:ascii="宋体" w:hAnsi="宋体" w:eastAsia="宋体" w:cs="宋体"/>
          <w:b/>
          <w:bCs/>
          <w:color w:val="auto"/>
          <w:sz w:val="30"/>
          <w:highlight w:val="none"/>
          <w:lang w:eastAsia="zh-CN"/>
        </w:rPr>
      </w:pPr>
    </w:p>
    <w:p w14:paraId="6BA1067C">
      <w:pPr>
        <w:pStyle w:val="4"/>
        <w:numPr>
          <w:ilvl w:val="0"/>
          <w:numId w:val="0"/>
        </w:numPr>
        <w:rPr>
          <w:rFonts w:hint="eastAsia" w:ascii="宋体" w:hAnsi="宋体" w:eastAsia="宋体" w:cs="宋体"/>
          <w:color w:val="auto"/>
          <w:highlight w:val="none"/>
        </w:rPr>
      </w:pPr>
      <w:bookmarkStart w:id="519" w:name="_Toc224103510"/>
      <w:bookmarkStart w:id="520" w:name="_Toc5522"/>
      <w:bookmarkStart w:id="521" w:name="_Toc10377"/>
      <w:bookmarkStart w:id="522" w:name="_Toc391220336"/>
    </w:p>
    <w:p w14:paraId="4A8E3217">
      <w:pPr>
        <w:keepNext w:val="0"/>
        <w:keepLines w:val="0"/>
        <w:pageBreakBefore w:val="0"/>
        <w:widowControl w:val="0"/>
        <w:kinsoku/>
        <w:wordWrap/>
        <w:overflowPunct/>
        <w:topLinePunct w:val="0"/>
        <w:bidi w:val="0"/>
        <w:spacing w:line="360" w:lineRule="auto"/>
        <w:ind w:right="0"/>
        <w:textAlignment w:val="auto"/>
        <w:outlineLvl w:val="0"/>
        <w:rPr>
          <w:rFonts w:hint="eastAsia" w:ascii="宋体" w:hAnsi="宋体" w:cs="宋体"/>
          <w:b/>
          <w:color w:val="auto"/>
          <w:sz w:val="22"/>
          <w:szCs w:val="22"/>
          <w:highlight w:val="none"/>
          <w:lang w:val="en-US" w:eastAsia="zh-CN"/>
        </w:rPr>
      </w:pPr>
    </w:p>
    <w:p w14:paraId="7395C456">
      <w:pPr>
        <w:keepNext w:val="0"/>
        <w:keepLines w:val="0"/>
        <w:pageBreakBefore w:val="0"/>
        <w:widowControl w:val="0"/>
        <w:numPr>
          <w:ilvl w:val="0"/>
          <w:numId w:val="9"/>
        </w:numPr>
        <w:kinsoku/>
        <w:wordWrap/>
        <w:overflowPunct/>
        <w:topLinePunct w:val="0"/>
        <w:bidi w:val="0"/>
        <w:spacing w:line="360" w:lineRule="auto"/>
        <w:ind w:left="0" w:leftChars="0" w:right="0" w:firstLine="720" w:firstLineChars="200"/>
        <w:jc w:val="center"/>
        <w:textAlignment w:val="auto"/>
        <w:outlineLvl w:val="0"/>
        <w:rPr>
          <w:rFonts w:hint="eastAsia" w:ascii="宋体" w:hAnsi="宋体" w:eastAsia="宋体" w:cs="宋体"/>
          <w:b/>
          <w:bCs/>
          <w:color w:val="auto"/>
          <w:kern w:val="2"/>
          <w:sz w:val="36"/>
          <w:szCs w:val="32"/>
          <w:highlight w:val="none"/>
          <w:lang w:val="en-US" w:eastAsia="zh-CN" w:bidi="ar-SA"/>
        </w:rPr>
      </w:pPr>
      <w:r>
        <w:rPr>
          <w:rFonts w:hint="eastAsia" w:ascii="宋体" w:hAnsi="宋体" w:eastAsia="宋体" w:cs="宋体"/>
          <w:b/>
          <w:bCs/>
          <w:color w:val="auto"/>
          <w:kern w:val="2"/>
          <w:sz w:val="36"/>
          <w:szCs w:val="32"/>
          <w:highlight w:val="none"/>
          <w:lang w:val="en-US" w:eastAsia="zh-CN" w:bidi="ar-SA"/>
        </w:rPr>
        <w:t>技术部分</w:t>
      </w:r>
    </w:p>
    <w:p w14:paraId="0A3641CC">
      <w:pPr>
        <w:numPr>
          <w:ilvl w:val="0"/>
          <w:numId w:val="18"/>
        </w:numPr>
        <w:autoSpaceDE w:val="0"/>
        <w:autoSpaceDN w:val="0"/>
        <w:adjustRightInd w:val="0"/>
        <w:spacing w:line="360" w:lineRule="auto"/>
        <w:ind w:right="-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响应偏离表</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448"/>
        <w:gridCol w:w="2969"/>
        <w:gridCol w:w="2067"/>
      </w:tblGrid>
      <w:tr w14:paraId="770C2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1138" w:type="dxa"/>
            <w:noWrap w:val="0"/>
            <w:vAlign w:val="center"/>
          </w:tcPr>
          <w:p w14:paraId="5641EF98">
            <w:pPr>
              <w:keepNext w:val="0"/>
              <w:keepLines w:val="0"/>
              <w:suppressLineNumbers w:val="0"/>
              <w:tabs>
                <w:tab w:val="left" w:pos="5460"/>
              </w:tabs>
              <w:autoSpaceDE w:val="0"/>
              <w:autoSpaceDN w:val="0"/>
              <w:adjustRightInd w:val="0"/>
              <w:snapToGrid w:val="0"/>
              <w:spacing w:before="0" w:beforeAutospacing="0" w:after="0" w:afterAutospacing="0" w:line="360" w:lineRule="auto"/>
              <w:ind w:left="0" w:right="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2448" w:type="dxa"/>
            <w:noWrap w:val="0"/>
            <w:vAlign w:val="center"/>
          </w:tcPr>
          <w:p w14:paraId="0EFF48E6">
            <w:pPr>
              <w:keepNext w:val="0"/>
              <w:keepLines w:val="0"/>
              <w:suppressLineNumbers w:val="0"/>
              <w:tabs>
                <w:tab w:val="left" w:pos="5460"/>
              </w:tabs>
              <w:autoSpaceDE w:val="0"/>
              <w:autoSpaceDN w:val="0"/>
              <w:adjustRightInd w:val="0"/>
              <w:snapToGrid w:val="0"/>
              <w:spacing w:before="0" w:beforeAutospacing="0" w:after="0" w:afterAutospacing="0" w:line="360" w:lineRule="auto"/>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比选人</w:t>
            </w:r>
            <w:r>
              <w:rPr>
                <w:rFonts w:hint="eastAsia" w:ascii="宋体" w:hAnsi="宋体" w:cs="宋体"/>
                <w:color w:val="auto"/>
                <w:kern w:val="0"/>
                <w:szCs w:val="21"/>
                <w:highlight w:val="none"/>
              </w:rPr>
              <w:t>需求</w:t>
            </w:r>
          </w:p>
        </w:tc>
        <w:tc>
          <w:tcPr>
            <w:tcW w:w="2969" w:type="dxa"/>
            <w:noWrap w:val="0"/>
            <w:vAlign w:val="center"/>
          </w:tcPr>
          <w:p w14:paraId="5D960940">
            <w:pPr>
              <w:keepNext w:val="0"/>
              <w:keepLines w:val="0"/>
              <w:suppressLineNumbers w:val="0"/>
              <w:tabs>
                <w:tab w:val="left" w:pos="5460"/>
              </w:tabs>
              <w:autoSpaceDE w:val="0"/>
              <w:autoSpaceDN w:val="0"/>
              <w:adjustRightInd w:val="0"/>
              <w:snapToGrid w:val="0"/>
              <w:spacing w:before="0" w:beforeAutospacing="0" w:after="0" w:afterAutospacing="0" w:line="360" w:lineRule="auto"/>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响应情况</w:t>
            </w:r>
          </w:p>
        </w:tc>
        <w:tc>
          <w:tcPr>
            <w:tcW w:w="2067" w:type="dxa"/>
            <w:noWrap w:val="0"/>
            <w:vAlign w:val="center"/>
          </w:tcPr>
          <w:p w14:paraId="22EDDF4C">
            <w:pPr>
              <w:keepNext w:val="0"/>
              <w:keepLines w:val="0"/>
              <w:suppressLineNumbers w:val="0"/>
              <w:tabs>
                <w:tab w:val="left" w:pos="5460"/>
              </w:tabs>
              <w:autoSpaceDE w:val="0"/>
              <w:autoSpaceDN w:val="0"/>
              <w:adjustRightInd w:val="0"/>
              <w:snapToGrid w:val="0"/>
              <w:spacing w:before="0" w:beforeAutospacing="0" w:after="0" w:afterAutospacing="0" w:line="360" w:lineRule="auto"/>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差</w:t>
            </w:r>
            <w:r>
              <w:rPr>
                <w:rFonts w:hint="eastAsia" w:ascii="宋体" w:hAnsi="宋体" w:cs="宋体"/>
                <w:color w:val="auto"/>
                <w:kern w:val="0"/>
                <w:szCs w:val="21"/>
                <w:highlight w:val="none"/>
              </w:rPr>
              <w:t>异说明</w:t>
            </w:r>
          </w:p>
        </w:tc>
      </w:tr>
      <w:tr w14:paraId="681D7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noWrap w:val="0"/>
            <w:vAlign w:val="center"/>
          </w:tcPr>
          <w:p w14:paraId="07F4C55B">
            <w:pPr>
              <w:keepNext w:val="0"/>
              <w:keepLines w:val="0"/>
              <w:suppressLineNumbers w:val="0"/>
              <w:tabs>
                <w:tab w:val="left" w:pos="5460"/>
              </w:tabs>
              <w:autoSpaceDE w:val="0"/>
              <w:autoSpaceDN w:val="0"/>
              <w:adjustRightInd w:val="0"/>
              <w:snapToGrid w:val="0"/>
              <w:spacing w:before="0" w:beforeAutospacing="0" w:after="0" w:afterAutospacing="0" w:line="360" w:lineRule="auto"/>
              <w:ind w:left="0" w:right="0" w:firstLine="2100"/>
              <w:jc w:val="left"/>
              <w:rPr>
                <w:rFonts w:hint="eastAsia" w:ascii="宋体" w:hAnsi="宋体" w:cs="宋体"/>
                <w:color w:val="auto"/>
                <w:kern w:val="0"/>
                <w:szCs w:val="21"/>
                <w:highlight w:val="none"/>
              </w:rPr>
            </w:pPr>
          </w:p>
        </w:tc>
        <w:tc>
          <w:tcPr>
            <w:tcW w:w="2448" w:type="dxa"/>
            <w:noWrap w:val="0"/>
            <w:vAlign w:val="center"/>
          </w:tcPr>
          <w:p w14:paraId="5E32B8C0">
            <w:pPr>
              <w:keepNext w:val="0"/>
              <w:keepLines w:val="0"/>
              <w:suppressLineNumbers w:val="0"/>
              <w:tabs>
                <w:tab w:val="left" w:pos="5460"/>
              </w:tabs>
              <w:autoSpaceDE w:val="0"/>
              <w:autoSpaceDN w:val="0"/>
              <w:adjustRightInd w:val="0"/>
              <w:snapToGrid w:val="0"/>
              <w:spacing w:before="0" w:beforeAutospacing="0" w:after="0" w:afterAutospacing="0" w:line="360" w:lineRule="auto"/>
              <w:ind w:left="0" w:right="0" w:firstLine="2100"/>
              <w:jc w:val="left"/>
              <w:rPr>
                <w:rFonts w:hint="eastAsia" w:ascii="宋体" w:hAnsi="宋体" w:cs="宋体"/>
                <w:color w:val="auto"/>
                <w:kern w:val="0"/>
                <w:szCs w:val="21"/>
                <w:highlight w:val="none"/>
              </w:rPr>
            </w:pPr>
          </w:p>
        </w:tc>
        <w:tc>
          <w:tcPr>
            <w:tcW w:w="2969" w:type="dxa"/>
            <w:noWrap w:val="0"/>
            <w:vAlign w:val="center"/>
          </w:tcPr>
          <w:p w14:paraId="48EAB175">
            <w:pPr>
              <w:keepNext w:val="0"/>
              <w:keepLines w:val="0"/>
              <w:suppressLineNumbers w:val="0"/>
              <w:tabs>
                <w:tab w:val="left" w:pos="5460"/>
              </w:tabs>
              <w:autoSpaceDE w:val="0"/>
              <w:autoSpaceDN w:val="0"/>
              <w:adjustRightInd w:val="0"/>
              <w:snapToGrid w:val="0"/>
              <w:spacing w:before="0" w:beforeAutospacing="0" w:after="0" w:afterAutospacing="0" w:line="360" w:lineRule="auto"/>
              <w:ind w:left="0" w:right="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提醒：请注明技术参数或具体内容以及</w:t>
            </w:r>
            <w:r>
              <w:rPr>
                <w:rFonts w:hint="eastAsia" w:ascii="宋体" w:hAnsi="宋体" w:cs="宋体"/>
                <w:color w:val="auto"/>
                <w:kern w:val="0"/>
                <w:szCs w:val="21"/>
                <w:highlight w:val="none"/>
                <w:lang w:val="en-US" w:eastAsia="zh-CN"/>
              </w:rPr>
              <w:t>比选申请文件</w:t>
            </w:r>
            <w:r>
              <w:rPr>
                <w:rFonts w:hint="eastAsia" w:ascii="宋体" w:hAnsi="宋体" w:cs="宋体"/>
                <w:color w:val="auto"/>
                <w:kern w:val="0"/>
                <w:szCs w:val="21"/>
                <w:highlight w:val="none"/>
              </w:rPr>
              <w:t>中技术参数或具体内容的位置（页码）</w:t>
            </w:r>
          </w:p>
        </w:tc>
        <w:tc>
          <w:tcPr>
            <w:tcW w:w="2067" w:type="dxa"/>
            <w:noWrap w:val="0"/>
            <w:vAlign w:val="center"/>
          </w:tcPr>
          <w:p w14:paraId="3D6795BC">
            <w:pPr>
              <w:keepNext w:val="0"/>
              <w:keepLines w:val="0"/>
              <w:suppressLineNumbers w:val="0"/>
              <w:tabs>
                <w:tab w:val="left" w:pos="5460"/>
              </w:tabs>
              <w:autoSpaceDE w:val="0"/>
              <w:autoSpaceDN w:val="0"/>
              <w:adjustRightInd w:val="0"/>
              <w:snapToGrid w:val="0"/>
              <w:spacing w:before="0" w:beforeAutospacing="0" w:after="0" w:afterAutospacing="0" w:line="360" w:lineRule="auto"/>
              <w:ind w:left="0" w:right="0" w:firstLine="2100"/>
              <w:jc w:val="left"/>
              <w:rPr>
                <w:rFonts w:hint="eastAsia" w:ascii="宋体" w:hAnsi="宋体" w:cs="宋体"/>
                <w:color w:val="auto"/>
                <w:kern w:val="0"/>
                <w:szCs w:val="21"/>
                <w:highlight w:val="none"/>
              </w:rPr>
            </w:pPr>
          </w:p>
        </w:tc>
      </w:tr>
      <w:tr w14:paraId="32237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noWrap w:val="0"/>
            <w:vAlign w:val="center"/>
          </w:tcPr>
          <w:p w14:paraId="4647FDED">
            <w:pPr>
              <w:keepNext w:val="0"/>
              <w:keepLines w:val="0"/>
              <w:suppressLineNumbers w:val="0"/>
              <w:tabs>
                <w:tab w:val="left" w:pos="5460"/>
              </w:tabs>
              <w:autoSpaceDE w:val="0"/>
              <w:autoSpaceDN w:val="0"/>
              <w:adjustRightInd w:val="0"/>
              <w:snapToGrid w:val="0"/>
              <w:spacing w:before="0" w:beforeAutospacing="0" w:after="0" w:afterAutospacing="0" w:line="360" w:lineRule="auto"/>
              <w:ind w:left="0" w:right="0" w:firstLine="2100"/>
              <w:jc w:val="left"/>
              <w:rPr>
                <w:rFonts w:hint="eastAsia" w:ascii="宋体" w:hAnsi="宋体" w:cs="宋体"/>
                <w:color w:val="auto"/>
                <w:kern w:val="0"/>
                <w:szCs w:val="21"/>
                <w:highlight w:val="none"/>
              </w:rPr>
            </w:pPr>
          </w:p>
        </w:tc>
        <w:tc>
          <w:tcPr>
            <w:tcW w:w="2448" w:type="dxa"/>
            <w:noWrap w:val="0"/>
            <w:vAlign w:val="center"/>
          </w:tcPr>
          <w:p w14:paraId="45B275EE">
            <w:pPr>
              <w:keepNext w:val="0"/>
              <w:keepLines w:val="0"/>
              <w:suppressLineNumbers w:val="0"/>
              <w:tabs>
                <w:tab w:val="left" w:pos="5460"/>
              </w:tabs>
              <w:autoSpaceDE w:val="0"/>
              <w:autoSpaceDN w:val="0"/>
              <w:adjustRightInd w:val="0"/>
              <w:snapToGrid w:val="0"/>
              <w:spacing w:before="0" w:beforeAutospacing="0" w:after="0" w:afterAutospacing="0" w:line="360" w:lineRule="auto"/>
              <w:ind w:left="0" w:right="0" w:firstLine="2100"/>
              <w:jc w:val="left"/>
              <w:rPr>
                <w:rFonts w:hint="eastAsia" w:ascii="宋体" w:hAnsi="宋体" w:cs="宋体"/>
                <w:color w:val="auto"/>
                <w:kern w:val="0"/>
                <w:szCs w:val="21"/>
                <w:highlight w:val="none"/>
              </w:rPr>
            </w:pPr>
          </w:p>
        </w:tc>
        <w:tc>
          <w:tcPr>
            <w:tcW w:w="2969" w:type="dxa"/>
            <w:noWrap w:val="0"/>
            <w:vAlign w:val="center"/>
          </w:tcPr>
          <w:p w14:paraId="4C27F2FF">
            <w:pPr>
              <w:keepNext w:val="0"/>
              <w:keepLines w:val="0"/>
              <w:suppressLineNumbers w:val="0"/>
              <w:tabs>
                <w:tab w:val="left" w:pos="5460"/>
              </w:tabs>
              <w:autoSpaceDE w:val="0"/>
              <w:autoSpaceDN w:val="0"/>
              <w:adjustRightInd w:val="0"/>
              <w:snapToGrid w:val="0"/>
              <w:spacing w:before="0" w:beforeAutospacing="0" w:after="0" w:afterAutospacing="0" w:line="360" w:lineRule="auto"/>
              <w:ind w:left="0" w:right="0" w:firstLine="2100"/>
              <w:jc w:val="left"/>
              <w:rPr>
                <w:rFonts w:hint="eastAsia" w:ascii="宋体" w:hAnsi="宋体" w:cs="宋体"/>
                <w:color w:val="auto"/>
                <w:kern w:val="0"/>
                <w:szCs w:val="21"/>
                <w:highlight w:val="none"/>
              </w:rPr>
            </w:pPr>
          </w:p>
        </w:tc>
        <w:tc>
          <w:tcPr>
            <w:tcW w:w="2067" w:type="dxa"/>
            <w:noWrap w:val="0"/>
            <w:vAlign w:val="center"/>
          </w:tcPr>
          <w:p w14:paraId="0FA62F45">
            <w:pPr>
              <w:keepNext w:val="0"/>
              <w:keepLines w:val="0"/>
              <w:suppressLineNumbers w:val="0"/>
              <w:tabs>
                <w:tab w:val="left" w:pos="5460"/>
              </w:tabs>
              <w:autoSpaceDE w:val="0"/>
              <w:autoSpaceDN w:val="0"/>
              <w:adjustRightInd w:val="0"/>
              <w:snapToGrid w:val="0"/>
              <w:spacing w:before="0" w:beforeAutospacing="0" w:after="0" w:afterAutospacing="0" w:line="360" w:lineRule="auto"/>
              <w:ind w:left="0" w:right="0" w:firstLine="2100"/>
              <w:jc w:val="left"/>
              <w:rPr>
                <w:rFonts w:hint="eastAsia" w:ascii="宋体" w:hAnsi="宋体" w:cs="宋体"/>
                <w:color w:val="auto"/>
                <w:kern w:val="0"/>
                <w:szCs w:val="21"/>
                <w:highlight w:val="none"/>
              </w:rPr>
            </w:pPr>
          </w:p>
        </w:tc>
      </w:tr>
      <w:tr w14:paraId="6EDF1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noWrap w:val="0"/>
            <w:vAlign w:val="center"/>
          </w:tcPr>
          <w:p w14:paraId="2DAA01E5">
            <w:pPr>
              <w:keepNext w:val="0"/>
              <w:keepLines w:val="0"/>
              <w:suppressLineNumbers w:val="0"/>
              <w:tabs>
                <w:tab w:val="left" w:pos="5460"/>
              </w:tabs>
              <w:autoSpaceDE w:val="0"/>
              <w:autoSpaceDN w:val="0"/>
              <w:adjustRightInd w:val="0"/>
              <w:snapToGrid w:val="0"/>
              <w:spacing w:before="0" w:beforeAutospacing="0" w:after="0" w:afterAutospacing="0" w:line="360" w:lineRule="auto"/>
              <w:ind w:left="0" w:right="0" w:firstLine="2100"/>
              <w:jc w:val="left"/>
              <w:rPr>
                <w:rFonts w:hint="eastAsia" w:ascii="宋体" w:hAnsi="宋体" w:cs="宋体"/>
                <w:color w:val="auto"/>
                <w:kern w:val="0"/>
                <w:szCs w:val="21"/>
                <w:highlight w:val="none"/>
              </w:rPr>
            </w:pPr>
          </w:p>
        </w:tc>
        <w:tc>
          <w:tcPr>
            <w:tcW w:w="2448" w:type="dxa"/>
            <w:noWrap w:val="0"/>
            <w:vAlign w:val="center"/>
          </w:tcPr>
          <w:p w14:paraId="5808106C">
            <w:pPr>
              <w:keepNext w:val="0"/>
              <w:keepLines w:val="0"/>
              <w:suppressLineNumbers w:val="0"/>
              <w:tabs>
                <w:tab w:val="left" w:pos="5460"/>
              </w:tabs>
              <w:autoSpaceDE w:val="0"/>
              <w:autoSpaceDN w:val="0"/>
              <w:adjustRightInd w:val="0"/>
              <w:snapToGrid w:val="0"/>
              <w:spacing w:before="0" w:beforeAutospacing="0" w:after="0" w:afterAutospacing="0" w:line="360" w:lineRule="auto"/>
              <w:ind w:left="0" w:right="0" w:firstLine="2100"/>
              <w:jc w:val="left"/>
              <w:rPr>
                <w:rFonts w:hint="eastAsia" w:ascii="宋体" w:hAnsi="宋体" w:cs="宋体"/>
                <w:color w:val="auto"/>
                <w:kern w:val="0"/>
                <w:szCs w:val="21"/>
                <w:highlight w:val="none"/>
              </w:rPr>
            </w:pPr>
          </w:p>
        </w:tc>
        <w:tc>
          <w:tcPr>
            <w:tcW w:w="2969" w:type="dxa"/>
            <w:noWrap w:val="0"/>
            <w:vAlign w:val="center"/>
          </w:tcPr>
          <w:p w14:paraId="1B5F029E">
            <w:pPr>
              <w:keepNext w:val="0"/>
              <w:keepLines w:val="0"/>
              <w:suppressLineNumbers w:val="0"/>
              <w:tabs>
                <w:tab w:val="left" w:pos="5460"/>
              </w:tabs>
              <w:autoSpaceDE w:val="0"/>
              <w:autoSpaceDN w:val="0"/>
              <w:adjustRightInd w:val="0"/>
              <w:snapToGrid w:val="0"/>
              <w:spacing w:before="0" w:beforeAutospacing="0" w:after="0" w:afterAutospacing="0" w:line="360" w:lineRule="auto"/>
              <w:ind w:left="0" w:right="0" w:firstLine="2100"/>
              <w:jc w:val="left"/>
              <w:rPr>
                <w:rFonts w:hint="eastAsia" w:ascii="宋体" w:hAnsi="宋体" w:cs="宋体"/>
                <w:color w:val="auto"/>
                <w:kern w:val="0"/>
                <w:szCs w:val="21"/>
                <w:highlight w:val="none"/>
              </w:rPr>
            </w:pPr>
          </w:p>
        </w:tc>
        <w:tc>
          <w:tcPr>
            <w:tcW w:w="2067" w:type="dxa"/>
            <w:noWrap w:val="0"/>
            <w:vAlign w:val="center"/>
          </w:tcPr>
          <w:p w14:paraId="6ACF0079">
            <w:pPr>
              <w:keepNext w:val="0"/>
              <w:keepLines w:val="0"/>
              <w:suppressLineNumbers w:val="0"/>
              <w:tabs>
                <w:tab w:val="left" w:pos="5460"/>
              </w:tabs>
              <w:autoSpaceDE w:val="0"/>
              <w:autoSpaceDN w:val="0"/>
              <w:adjustRightInd w:val="0"/>
              <w:snapToGrid w:val="0"/>
              <w:spacing w:before="0" w:beforeAutospacing="0" w:after="0" w:afterAutospacing="0" w:line="360" w:lineRule="auto"/>
              <w:ind w:left="0" w:right="0" w:firstLine="2100"/>
              <w:jc w:val="left"/>
              <w:rPr>
                <w:rFonts w:hint="eastAsia" w:ascii="宋体" w:hAnsi="宋体" w:cs="宋体"/>
                <w:color w:val="auto"/>
                <w:kern w:val="0"/>
                <w:szCs w:val="21"/>
                <w:highlight w:val="none"/>
              </w:rPr>
            </w:pPr>
          </w:p>
        </w:tc>
      </w:tr>
      <w:tr w14:paraId="69AA9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noWrap w:val="0"/>
            <w:vAlign w:val="center"/>
          </w:tcPr>
          <w:p w14:paraId="3E3C7D42">
            <w:pPr>
              <w:keepNext w:val="0"/>
              <w:keepLines w:val="0"/>
              <w:suppressLineNumbers w:val="0"/>
              <w:tabs>
                <w:tab w:val="left" w:pos="5460"/>
              </w:tabs>
              <w:autoSpaceDE w:val="0"/>
              <w:autoSpaceDN w:val="0"/>
              <w:adjustRightInd w:val="0"/>
              <w:snapToGrid w:val="0"/>
              <w:spacing w:before="0" w:beforeAutospacing="0" w:after="0" w:afterAutospacing="0" w:line="360" w:lineRule="auto"/>
              <w:ind w:left="0" w:right="0" w:firstLine="2100"/>
              <w:jc w:val="left"/>
              <w:rPr>
                <w:rFonts w:hint="eastAsia" w:ascii="宋体" w:hAnsi="宋体" w:cs="宋体"/>
                <w:color w:val="auto"/>
                <w:kern w:val="0"/>
                <w:szCs w:val="21"/>
                <w:highlight w:val="none"/>
              </w:rPr>
            </w:pPr>
          </w:p>
        </w:tc>
        <w:tc>
          <w:tcPr>
            <w:tcW w:w="2448" w:type="dxa"/>
            <w:noWrap w:val="0"/>
            <w:vAlign w:val="center"/>
          </w:tcPr>
          <w:p w14:paraId="55D01CF8">
            <w:pPr>
              <w:keepNext w:val="0"/>
              <w:keepLines w:val="0"/>
              <w:suppressLineNumbers w:val="0"/>
              <w:tabs>
                <w:tab w:val="left" w:pos="5460"/>
              </w:tabs>
              <w:autoSpaceDE w:val="0"/>
              <w:autoSpaceDN w:val="0"/>
              <w:adjustRightInd w:val="0"/>
              <w:snapToGrid w:val="0"/>
              <w:spacing w:before="0" w:beforeAutospacing="0" w:after="0" w:afterAutospacing="0" w:line="360" w:lineRule="auto"/>
              <w:ind w:left="0" w:right="0" w:firstLine="2100"/>
              <w:jc w:val="left"/>
              <w:rPr>
                <w:rFonts w:hint="eastAsia" w:ascii="宋体" w:hAnsi="宋体" w:cs="宋体"/>
                <w:color w:val="auto"/>
                <w:kern w:val="0"/>
                <w:szCs w:val="21"/>
                <w:highlight w:val="none"/>
              </w:rPr>
            </w:pPr>
          </w:p>
        </w:tc>
        <w:tc>
          <w:tcPr>
            <w:tcW w:w="2969" w:type="dxa"/>
            <w:noWrap w:val="0"/>
            <w:vAlign w:val="center"/>
          </w:tcPr>
          <w:p w14:paraId="2E362DB1">
            <w:pPr>
              <w:keepNext w:val="0"/>
              <w:keepLines w:val="0"/>
              <w:suppressLineNumbers w:val="0"/>
              <w:tabs>
                <w:tab w:val="left" w:pos="5460"/>
              </w:tabs>
              <w:autoSpaceDE w:val="0"/>
              <w:autoSpaceDN w:val="0"/>
              <w:adjustRightInd w:val="0"/>
              <w:snapToGrid w:val="0"/>
              <w:spacing w:before="0" w:beforeAutospacing="0" w:after="0" w:afterAutospacing="0" w:line="360" w:lineRule="auto"/>
              <w:ind w:left="0" w:right="0" w:firstLine="2100"/>
              <w:jc w:val="left"/>
              <w:rPr>
                <w:rFonts w:hint="eastAsia" w:ascii="宋体" w:hAnsi="宋体" w:cs="宋体"/>
                <w:color w:val="auto"/>
                <w:kern w:val="0"/>
                <w:szCs w:val="21"/>
                <w:highlight w:val="none"/>
              </w:rPr>
            </w:pPr>
          </w:p>
        </w:tc>
        <w:tc>
          <w:tcPr>
            <w:tcW w:w="2067" w:type="dxa"/>
            <w:noWrap w:val="0"/>
            <w:vAlign w:val="center"/>
          </w:tcPr>
          <w:p w14:paraId="28F28724">
            <w:pPr>
              <w:keepNext w:val="0"/>
              <w:keepLines w:val="0"/>
              <w:suppressLineNumbers w:val="0"/>
              <w:tabs>
                <w:tab w:val="left" w:pos="5460"/>
              </w:tabs>
              <w:autoSpaceDE w:val="0"/>
              <w:autoSpaceDN w:val="0"/>
              <w:adjustRightInd w:val="0"/>
              <w:snapToGrid w:val="0"/>
              <w:spacing w:before="0" w:beforeAutospacing="0" w:after="0" w:afterAutospacing="0" w:line="360" w:lineRule="auto"/>
              <w:ind w:left="0" w:right="0" w:firstLine="2100"/>
              <w:jc w:val="left"/>
              <w:rPr>
                <w:rFonts w:hint="eastAsia" w:ascii="宋体" w:hAnsi="宋体" w:cs="宋体"/>
                <w:color w:val="auto"/>
                <w:kern w:val="0"/>
                <w:szCs w:val="21"/>
                <w:highlight w:val="none"/>
              </w:rPr>
            </w:pPr>
          </w:p>
        </w:tc>
      </w:tr>
      <w:tr w14:paraId="6567C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noWrap w:val="0"/>
            <w:vAlign w:val="center"/>
          </w:tcPr>
          <w:p w14:paraId="5E9BB69D">
            <w:pPr>
              <w:keepNext w:val="0"/>
              <w:keepLines w:val="0"/>
              <w:suppressLineNumbers w:val="0"/>
              <w:tabs>
                <w:tab w:val="left" w:pos="5460"/>
              </w:tabs>
              <w:autoSpaceDE w:val="0"/>
              <w:autoSpaceDN w:val="0"/>
              <w:adjustRightInd w:val="0"/>
              <w:snapToGrid w:val="0"/>
              <w:spacing w:before="0" w:beforeAutospacing="0" w:after="0" w:afterAutospacing="0" w:line="360" w:lineRule="auto"/>
              <w:ind w:left="0" w:right="0" w:firstLine="2100"/>
              <w:jc w:val="left"/>
              <w:rPr>
                <w:rFonts w:hint="eastAsia" w:ascii="宋体" w:hAnsi="宋体" w:cs="宋体"/>
                <w:color w:val="auto"/>
                <w:kern w:val="0"/>
                <w:szCs w:val="21"/>
                <w:highlight w:val="none"/>
              </w:rPr>
            </w:pPr>
          </w:p>
        </w:tc>
        <w:tc>
          <w:tcPr>
            <w:tcW w:w="2448" w:type="dxa"/>
            <w:noWrap w:val="0"/>
            <w:vAlign w:val="center"/>
          </w:tcPr>
          <w:p w14:paraId="4C5F6A38">
            <w:pPr>
              <w:keepNext w:val="0"/>
              <w:keepLines w:val="0"/>
              <w:suppressLineNumbers w:val="0"/>
              <w:tabs>
                <w:tab w:val="left" w:pos="5460"/>
              </w:tabs>
              <w:autoSpaceDE w:val="0"/>
              <w:autoSpaceDN w:val="0"/>
              <w:adjustRightInd w:val="0"/>
              <w:snapToGrid w:val="0"/>
              <w:spacing w:before="0" w:beforeAutospacing="0" w:after="0" w:afterAutospacing="0" w:line="360" w:lineRule="auto"/>
              <w:ind w:left="0" w:right="0" w:firstLine="2100"/>
              <w:jc w:val="left"/>
              <w:rPr>
                <w:rFonts w:hint="eastAsia" w:ascii="宋体" w:hAnsi="宋体" w:cs="宋体"/>
                <w:color w:val="auto"/>
                <w:kern w:val="0"/>
                <w:szCs w:val="21"/>
                <w:highlight w:val="none"/>
              </w:rPr>
            </w:pPr>
          </w:p>
        </w:tc>
        <w:tc>
          <w:tcPr>
            <w:tcW w:w="2969" w:type="dxa"/>
            <w:noWrap w:val="0"/>
            <w:vAlign w:val="center"/>
          </w:tcPr>
          <w:p w14:paraId="00816449">
            <w:pPr>
              <w:keepNext w:val="0"/>
              <w:keepLines w:val="0"/>
              <w:suppressLineNumbers w:val="0"/>
              <w:tabs>
                <w:tab w:val="left" w:pos="5460"/>
              </w:tabs>
              <w:autoSpaceDE w:val="0"/>
              <w:autoSpaceDN w:val="0"/>
              <w:adjustRightInd w:val="0"/>
              <w:snapToGrid w:val="0"/>
              <w:spacing w:before="0" w:beforeAutospacing="0" w:after="0" w:afterAutospacing="0" w:line="360" w:lineRule="auto"/>
              <w:ind w:left="0" w:right="0" w:firstLine="2100"/>
              <w:jc w:val="left"/>
              <w:rPr>
                <w:rFonts w:hint="eastAsia" w:ascii="宋体" w:hAnsi="宋体" w:cs="宋体"/>
                <w:color w:val="auto"/>
                <w:kern w:val="0"/>
                <w:szCs w:val="21"/>
                <w:highlight w:val="none"/>
              </w:rPr>
            </w:pPr>
          </w:p>
        </w:tc>
        <w:tc>
          <w:tcPr>
            <w:tcW w:w="2067" w:type="dxa"/>
            <w:noWrap w:val="0"/>
            <w:vAlign w:val="center"/>
          </w:tcPr>
          <w:p w14:paraId="5DDFACFC">
            <w:pPr>
              <w:keepNext w:val="0"/>
              <w:keepLines w:val="0"/>
              <w:suppressLineNumbers w:val="0"/>
              <w:tabs>
                <w:tab w:val="left" w:pos="5460"/>
              </w:tabs>
              <w:autoSpaceDE w:val="0"/>
              <w:autoSpaceDN w:val="0"/>
              <w:adjustRightInd w:val="0"/>
              <w:snapToGrid w:val="0"/>
              <w:spacing w:before="0" w:beforeAutospacing="0" w:after="0" w:afterAutospacing="0" w:line="360" w:lineRule="auto"/>
              <w:ind w:left="0" w:right="0" w:firstLine="2100"/>
              <w:jc w:val="left"/>
              <w:rPr>
                <w:rFonts w:hint="eastAsia" w:ascii="宋体" w:hAnsi="宋体" w:cs="宋体"/>
                <w:color w:val="auto"/>
                <w:kern w:val="0"/>
                <w:szCs w:val="21"/>
                <w:highlight w:val="none"/>
              </w:rPr>
            </w:pPr>
          </w:p>
        </w:tc>
      </w:tr>
      <w:tr w14:paraId="15C9E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noWrap w:val="0"/>
            <w:vAlign w:val="center"/>
          </w:tcPr>
          <w:p w14:paraId="2EA4884F">
            <w:pPr>
              <w:keepNext w:val="0"/>
              <w:keepLines w:val="0"/>
              <w:suppressLineNumbers w:val="0"/>
              <w:tabs>
                <w:tab w:val="left" w:pos="5460"/>
              </w:tabs>
              <w:autoSpaceDE w:val="0"/>
              <w:autoSpaceDN w:val="0"/>
              <w:adjustRightInd w:val="0"/>
              <w:snapToGrid w:val="0"/>
              <w:spacing w:before="0" w:beforeAutospacing="0" w:after="0" w:afterAutospacing="0" w:line="360" w:lineRule="auto"/>
              <w:ind w:left="0" w:right="0" w:firstLine="2100"/>
              <w:jc w:val="left"/>
              <w:rPr>
                <w:rFonts w:hint="eastAsia" w:ascii="宋体" w:hAnsi="宋体" w:cs="宋体"/>
                <w:color w:val="auto"/>
                <w:kern w:val="0"/>
                <w:szCs w:val="21"/>
                <w:highlight w:val="none"/>
              </w:rPr>
            </w:pPr>
          </w:p>
        </w:tc>
        <w:tc>
          <w:tcPr>
            <w:tcW w:w="2448" w:type="dxa"/>
            <w:noWrap w:val="0"/>
            <w:vAlign w:val="center"/>
          </w:tcPr>
          <w:p w14:paraId="4C539CE6">
            <w:pPr>
              <w:keepNext w:val="0"/>
              <w:keepLines w:val="0"/>
              <w:suppressLineNumbers w:val="0"/>
              <w:tabs>
                <w:tab w:val="left" w:pos="5460"/>
              </w:tabs>
              <w:autoSpaceDE w:val="0"/>
              <w:autoSpaceDN w:val="0"/>
              <w:adjustRightInd w:val="0"/>
              <w:snapToGrid w:val="0"/>
              <w:spacing w:before="0" w:beforeAutospacing="0" w:after="0" w:afterAutospacing="0" w:line="360" w:lineRule="auto"/>
              <w:ind w:left="0" w:right="0" w:firstLine="2100"/>
              <w:jc w:val="left"/>
              <w:rPr>
                <w:rFonts w:hint="eastAsia" w:ascii="宋体" w:hAnsi="宋体" w:cs="宋体"/>
                <w:color w:val="auto"/>
                <w:kern w:val="0"/>
                <w:szCs w:val="21"/>
                <w:highlight w:val="none"/>
              </w:rPr>
            </w:pPr>
          </w:p>
        </w:tc>
        <w:tc>
          <w:tcPr>
            <w:tcW w:w="2969" w:type="dxa"/>
            <w:noWrap w:val="0"/>
            <w:vAlign w:val="center"/>
          </w:tcPr>
          <w:p w14:paraId="3690AEB4">
            <w:pPr>
              <w:keepNext w:val="0"/>
              <w:keepLines w:val="0"/>
              <w:suppressLineNumbers w:val="0"/>
              <w:tabs>
                <w:tab w:val="left" w:pos="5460"/>
              </w:tabs>
              <w:autoSpaceDE w:val="0"/>
              <w:autoSpaceDN w:val="0"/>
              <w:adjustRightInd w:val="0"/>
              <w:snapToGrid w:val="0"/>
              <w:spacing w:before="0" w:beforeAutospacing="0" w:after="0" w:afterAutospacing="0" w:line="360" w:lineRule="auto"/>
              <w:ind w:left="0" w:right="0" w:firstLine="2100"/>
              <w:jc w:val="left"/>
              <w:rPr>
                <w:rFonts w:hint="eastAsia" w:ascii="宋体" w:hAnsi="宋体" w:cs="宋体"/>
                <w:color w:val="auto"/>
                <w:kern w:val="0"/>
                <w:szCs w:val="21"/>
                <w:highlight w:val="none"/>
              </w:rPr>
            </w:pPr>
          </w:p>
        </w:tc>
        <w:tc>
          <w:tcPr>
            <w:tcW w:w="2067" w:type="dxa"/>
            <w:noWrap w:val="0"/>
            <w:vAlign w:val="center"/>
          </w:tcPr>
          <w:p w14:paraId="3998A702">
            <w:pPr>
              <w:keepNext w:val="0"/>
              <w:keepLines w:val="0"/>
              <w:suppressLineNumbers w:val="0"/>
              <w:tabs>
                <w:tab w:val="left" w:pos="5460"/>
              </w:tabs>
              <w:autoSpaceDE w:val="0"/>
              <w:autoSpaceDN w:val="0"/>
              <w:adjustRightInd w:val="0"/>
              <w:snapToGrid w:val="0"/>
              <w:spacing w:before="0" w:beforeAutospacing="0" w:after="0" w:afterAutospacing="0" w:line="360" w:lineRule="auto"/>
              <w:ind w:left="0" w:right="0" w:firstLine="2100"/>
              <w:jc w:val="left"/>
              <w:rPr>
                <w:rFonts w:hint="eastAsia" w:ascii="宋体" w:hAnsi="宋体" w:cs="宋体"/>
                <w:color w:val="auto"/>
                <w:kern w:val="0"/>
                <w:szCs w:val="21"/>
                <w:highlight w:val="none"/>
              </w:rPr>
            </w:pPr>
          </w:p>
        </w:tc>
      </w:tr>
      <w:tr w14:paraId="53372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noWrap w:val="0"/>
            <w:vAlign w:val="center"/>
          </w:tcPr>
          <w:p w14:paraId="28290972">
            <w:pPr>
              <w:keepNext w:val="0"/>
              <w:keepLines w:val="0"/>
              <w:suppressLineNumbers w:val="0"/>
              <w:tabs>
                <w:tab w:val="left" w:pos="5460"/>
              </w:tabs>
              <w:autoSpaceDE w:val="0"/>
              <w:autoSpaceDN w:val="0"/>
              <w:adjustRightInd w:val="0"/>
              <w:snapToGrid w:val="0"/>
              <w:spacing w:before="0" w:beforeAutospacing="0" w:after="0" w:afterAutospacing="0" w:line="360" w:lineRule="auto"/>
              <w:ind w:left="0" w:right="0" w:firstLine="2100"/>
              <w:jc w:val="left"/>
              <w:rPr>
                <w:rFonts w:hint="eastAsia" w:ascii="宋体" w:hAnsi="宋体" w:cs="宋体"/>
                <w:color w:val="auto"/>
                <w:kern w:val="0"/>
                <w:szCs w:val="21"/>
                <w:highlight w:val="none"/>
              </w:rPr>
            </w:pPr>
          </w:p>
        </w:tc>
        <w:tc>
          <w:tcPr>
            <w:tcW w:w="2448" w:type="dxa"/>
            <w:noWrap w:val="0"/>
            <w:vAlign w:val="center"/>
          </w:tcPr>
          <w:p w14:paraId="6E155EE8">
            <w:pPr>
              <w:keepNext w:val="0"/>
              <w:keepLines w:val="0"/>
              <w:suppressLineNumbers w:val="0"/>
              <w:tabs>
                <w:tab w:val="left" w:pos="5460"/>
              </w:tabs>
              <w:autoSpaceDE w:val="0"/>
              <w:autoSpaceDN w:val="0"/>
              <w:adjustRightInd w:val="0"/>
              <w:snapToGrid w:val="0"/>
              <w:spacing w:before="0" w:beforeAutospacing="0" w:after="0" w:afterAutospacing="0" w:line="360" w:lineRule="auto"/>
              <w:ind w:left="0" w:right="0" w:firstLine="2100"/>
              <w:jc w:val="left"/>
              <w:rPr>
                <w:rFonts w:hint="eastAsia" w:ascii="宋体" w:hAnsi="宋体" w:cs="宋体"/>
                <w:color w:val="auto"/>
                <w:kern w:val="0"/>
                <w:szCs w:val="21"/>
                <w:highlight w:val="none"/>
              </w:rPr>
            </w:pPr>
          </w:p>
        </w:tc>
        <w:tc>
          <w:tcPr>
            <w:tcW w:w="2969" w:type="dxa"/>
            <w:noWrap w:val="0"/>
            <w:vAlign w:val="center"/>
          </w:tcPr>
          <w:p w14:paraId="1998396E">
            <w:pPr>
              <w:keepNext w:val="0"/>
              <w:keepLines w:val="0"/>
              <w:suppressLineNumbers w:val="0"/>
              <w:tabs>
                <w:tab w:val="left" w:pos="5460"/>
              </w:tabs>
              <w:autoSpaceDE w:val="0"/>
              <w:autoSpaceDN w:val="0"/>
              <w:adjustRightInd w:val="0"/>
              <w:snapToGrid w:val="0"/>
              <w:spacing w:before="0" w:beforeAutospacing="0" w:after="0" w:afterAutospacing="0" w:line="360" w:lineRule="auto"/>
              <w:ind w:left="0" w:right="0" w:firstLine="2100"/>
              <w:jc w:val="left"/>
              <w:rPr>
                <w:rFonts w:hint="eastAsia" w:ascii="宋体" w:hAnsi="宋体" w:cs="宋体"/>
                <w:color w:val="auto"/>
                <w:kern w:val="0"/>
                <w:szCs w:val="21"/>
                <w:highlight w:val="none"/>
              </w:rPr>
            </w:pPr>
          </w:p>
        </w:tc>
        <w:tc>
          <w:tcPr>
            <w:tcW w:w="2067" w:type="dxa"/>
            <w:noWrap w:val="0"/>
            <w:vAlign w:val="center"/>
          </w:tcPr>
          <w:p w14:paraId="2C9E5482">
            <w:pPr>
              <w:keepNext w:val="0"/>
              <w:keepLines w:val="0"/>
              <w:suppressLineNumbers w:val="0"/>
              <w:tabs>
                <w:tab w:val="left" w:pos="5460"/>
              </w:tabs>
              <w:autoSpaceDE w:val="0"/>
              <w:autoSpaceDN w:val="0"/>
              <w:adjustRightInd w:val="0"/>
              <w:snapToGrid w:val="0"/>
              <w:spacing w:before="0" w:beforeAutospacing="0" w:after="0" w:afterAutospacing="0" w:line="360" w:lineRule="auto"/>
              <w:ind w:left="0" w:right="0" w:firstLine="2100"/>
              <w:jc w:val="left"/>
              <w:rPr>
                <w:rFonts w:hint="eastAsia" w:ascii="宋体" w:hAnsi="宋体" w:cs="宋体"/>
                <w:color w:val="auto"/>
                <w:kern w:val="0"/>
                <w:szCs w:val="21"/>
                <w:highlight w:val="none"/>
              </w:rPr>
            </w:pPr>
          </w:p>
        </w:tc>
      </w:tr>
      <w:tr w14:paraId="3D55E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noWrap w:val="0"/>
            <w:vAlign w:val="center"/>
          </w:tcPr>
          <w:p w14:paraId="04F0D07C">
            <w:pPr>
              <w:keepNext w:val="0"/>
              <w:keepLines w:val="0"/>
              <w:suppressLineNumbers w:val="0"/>
              <w:tabs>
                <w:tab w:val="left" w:pos="5460"/>
              </w:tabs>
              <w:autoSpaceDE w:val="0"/>
              <w:autoSpaceDN w:val="0"/>
              <w:adjustRightInd w:val="0"/>
              <w:snapToGrid w:val="0"/>
              <w:spacing w:before="0" w:beforeAutospacing="0" w:after="0" w:afterAutospacing="0" w:line="360" w:lineRule="auto"/>
              <w:ind w:left="0" w:right="0" w:firstLine="2100"/>
              <w:jc w:val="left"/>
              <w:rPr>
                <w:rFonts w:hint="eastAsia" w:ascii="宋体" w:hAnsi="宋体" w:cs="宋体"/>
                <w:color w:val="auto"/>
                <w:kern w:val="0"/>
                <w:szCs w:val="21"/>
                <w:highlight w:val="none"/>
              </w:rPr>
            </w:pPr>
          </w:p>
        </w:tc>
        <w:tc>
          <w:tcPr>
            <w:tcW w:w="2448" w:type="dxa"/>
            <w:noWrap w:val="0"/>
            <w:vAlign w:val="center"/>
          </w:tcPr>
          <w:p w14:paraId="4860AD85">
            <w:pPr>
              <w:keepNext w:val="0"/>
              <w:keepLines w:val="0"/>
              <w:suppressLineNumbers w:val="0"/>
              <w:tabs>
                <w:tab w:val="left" w:pos="5460"/>
              </w:tabs>
              <w:autoSpaceDE w:val="0"/>
              <w:autoSpaceDN w:val="0"/>
              <w:adjustRightInd w:val="0"/>
              <w:snapToGrid w:val="0"/>
              <w:spacing w:before="0" w:beforeAutospacing="0" w:after="0" w:afterAutospacing="0" w:line="360" w:lineRule="auto"/>
              <w:ind w:left="0" w:right="0" w:firstLine="2100"/>
              <w:jc w:val="left"/>
              <w:rPr>
                <w:rFonts w:hint="eastAsia" w:ascii="宋体" w:hAnsi="宋体" w:cs="宋体"/>
                <w:color w:val="auto"/>
                <w:kern w:val="0"/>
                <w:szCs w:val="21"/>
                <w:highlight w:val="none"/>
              </w:rPr>
            </w:pPr>
          </w:p>
        </w:tc>
        <w:tc>
          <w:tcPr>
            <w:tcW w:w="2969" w:type="dxa"/>
            <w:noWrap w:val="0"/>
            <w:vAlign w:val="center"/>
          </w:tcPr>
          <w:p w14:paraId="764B2D42">
            <w:pPr>
              <w:keepNext w:val="0"/>
              <w:keepLines w:val="0"/>
              <w:suppressLineNumbers w:val="0"/>
              <w:tabs>
                <w:tab w:val="left" w:pos="5460"/>
              </w:tabs>
              <w:autoSpaceDE w:val="0"/>
              <w:autoSpaceDN w:val="0"/>
              <w:adjustRightInd w:val="0"/>
              <w:snapToGrid w:val="0"/>
              <w:spacing w:before="0" w:beforeAutospacing="0" w:after="0" w:afterAutospacing="0" w:line="360" w:lineRule="auto"/>
              <w:ind w:left="0" w:right="0" w:firstLine="2100"/>
              <w:jc w:val="left"/>
              <w:rPr>
                <w:rFonts w:hint="eastAsia" w:ascii="宋体" w:hAnsi="宋体" w:cs="宋体"/>
                <w:color w:val="auto"/>
                <w:kern w:val="0"/>
                <w:szCs w:val="21"/>
                <w:highlight w:val="none"/>
              </w:rPr>
            </w:pPr>
          </w:p>
        </w:tc>
        <w:tc>
          <w:tcPr>
            <w:tcW w:w="2067" w:type="dxa"/>
            <w:noWrap w:val="0"/>
            <w:vAlign w:val="center"/>
          </w:tcPr>
          <w:p w14:paraId="08AFA4E5">
            <w:pPr>
              <w:keepNext w:val="0"/>
              <w:keepLines w:val="0"/>
              <w:suppressLineNumbers w:val="0"/>
              <w:tabs>
                <w:tab w:val="left" w:pos="5460"/>
              </w:tabs>
              <w:autoSpaceDE w:val="0"/>
              <w:autoSpaceDN w:val="0"/>
              <w:adjustRightInd w:val="0"/>
              <w:snapToGrid w:val="0"/>
              <w:spacing w:before="0" w:beforeAutospacing="0" w:after="0" w:afterAutospacing="0" w:line="360" w:lineRule="auto"/>
              <w:ind w:left="0" w:right="0" w:firstLine="2100"/>
              <w:jc w:val="left"/>
              <w:rPr>
                <w:rFonts w:hint="eastAsia" w:ascii="宋体" w:hAnsi="宋体" w:cs="宋体"/>
                <w:color w:val="auto"/>
                <w:kern w:val="0"/>
                <w:szCs w:val="21"/>
                <w:highlight w:val="none"/>
              </w:rPr>
            </w:pPr>
          </w:p>
        </w:tc>
      </w:tr>
      <w:tr w14:paraId="34BBA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noWrap w:val="0"/>
            <w:vAlign w:val="center"/>
          </w:tcPr>
          <w:p w14:paraId="4882488A">
            <w:pPr>
              <w:keepNext w:val="0"/>
              <w:keepLines w:val="0"/>
              <w:suppressLineNumbers w:val="0"/>
              <w:tabs>
                <w:tab w:val="left" w:pos="5460"/>
              </w:tabs>
              <w:autoSpaceDE w:val="0"/>
              <w:autoSpaceDN w:val="0"/>
              <w:adjustRightInd w:val="0"/>
              <w:snapToGrid w:val="0"/>
              <w:spacing w:before="0" w:beforeAutospacing="0" w:after="0" w:afterAutospacing="0" w:line="360" w:lineRule="auto"/>
              <w:ind w:left="0" w:right="0" w:firstLine="2100"/>
              <w:jc w:val="left"/>
              <w:rPr>
                <w:rFonts w:hint="eastAsia" w:ascii="宋体" w:hAnsi="宋体" w:cs="宋体"/>
                <w:color w:val="auto"/>
                <w:kern w:val="0"/>
                <w:szCs w:val="21"/>
                <w:highlight w:val="none"/>
              </w:rPr>
            </w:pPr>
          </w:p>
        </w:tc>
        <w:tc>
          <w:tcPr>
            <w:tcW w:w="2448" w:type="dxa"/>
            <w:noWrap w:val="0"/>
            <w:vAlign w:val="center"/>
          </w:tcPr>
          <w:p w14:paraId="2C8A2F32">
            <w:pPr>
              <w:keepNext w:val="0"/>
              <w:keepLines w:val="0"/>
              <w:suppressLineNumbers w:val="0"/>
              <w:tabs>
                <w:tab w:val="left" w:pos="5460"/>
              </w:tabs>
              <w:autoSpaceDE w:val="0"/>
              <w:autoSpaceDN w:val="0"/>
              <w:adjustRightInd w:val="0"/>
              <w:snapToGrid w:val="0"/>
              <w:spacing w:before="0" w:beforeAutospacing="0" w:after="0" w:afterAutospacing="0" w:line="360" w:lineRule="auto"/>
              <w:ind w:left="0" w:right="0" w:firstLine="2100"/>
              <w:jc w:val="left"/>
              <w:rPr>
                <w:rFonts w:hint="eastAsia" w:ascii="宋体" w:hAnsi="宋体" w:cs="宋体"/>
                <w:color w:val="auto"/>
                <w:kern w:val="0"/>
                <w:szCs w:val="21"/>
                <w:highlight w:val="none"/>
              </w:rPr>
            </w:pPr>
          </w:p>
        </w:tc>
        <w:tc>
          <w:tcPr>
            <w:tcW w:w="2969" w:type="dxa"/>
            <w:noWrap w:val="0"/>
            <w:vAlign w:val="center"/>
          </w:tcPr>
          <w:p w14:paraId="1A01371F">
            <w:pPr>
              <w:keepNext w:val="0"/>
              <w:keepLines w:val="0"/>
              <w:suppressLineNumbers w:val="0"/>
              <w:tabs>
                <w:tab w:val="left" w:pos="5460"/>
              </w:tabs>
              <w:autoSpaceDE w:val="0"/>
              <w:autoSpaceDN w:val="0"/>
              <w:adjustRightInd w:val="0"/>
              <w:snapToGrid w:val="0"/>
              <w:spacing w:before="0" w:beforeAutospacing="0" w:after="0" w:afterAutospacing="0" w:line="360" w:lineRule="auto"/>
              <w:ind w:left="0" w:right="0" w:firstLine="2100"/>
              <w:jc w:val="left"/>
              <w:rPr>
                <w:rFonts w:hint="eastAsia" w:ascii="宋体" w:hAnsi="宋体" w:cs="宋体"/>
                <w:color w:val="auto"/>
                <w:kern w:val="0"/>
                <w:szCs w:val="21"/>
                <w:highlight w:val="none"/>
              </w:rPr>
            </w:pPr>
          </w:p>
        </w:tc>
        <w:tc>
          <w:tcPr>
            <w:tcW w:w="2067" w:type="dxa"/>
            <w:noWrap w:val="0"/>
            <w:vAlign w:val="center"/>
          </w:tcPr>
          <w:p w14:paraId="4B2A64ED">
            <w:pPr>
              <w:keepNext w:val="0"/>
              <w:keepLines w:val="0"/>
              <w:suppressLineNumbers w:val="0"/>
              <w:tabs>
                <w:tab w:val="left" w:pos="5460"/>
              </w:tabs>
              <w:autoSpaceDE w:val="0"/>
              <w:autoSpaceDN w:val="0"/>
              <w:adjustRightInd w:val="0"/>
              <w:snapToGrid w:val="0"/>
              <w:spacing w:before="0" w:beforeAutospacing="0" w:after="0" w:afterAutospacing="0" w:line="360" w:lineRule="auto"/>
              <w:ind w:left="0" w:right="0" w:firstLine="2100"/>
              <w:jc w:val="left"/>
              <w:rPr>
                <w:rFonts w:hint="eastAsia" w:ascii="宋体" w:hAnsi="宋体" w:cs="宋体"/>
                <w:color w:val="auto"/>
                <w:kern w:val="0"/>
                <w:szCs w:val="21"/>
                <w:highlight w:val="none"/>
              </w:rPr>
            </w:pPr>
          </w:p>
        </w:tc>
      </w:tr>
      <w:tr w14:paraId="30C3A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noWrap w:val="0"/>
            <w:vAlign w:val="center"/>
          </w:tcPr>
          <w:p w14:paraId="31B1B7D1">
            <w:pPr>
              <w:keepNext w:val="0"/>
              <w:keepLines w:val="0"/>
              <w:suppressLineNumbers w:val="0"/>
              <w:tabs>
                <w:tab w:val="left" w:pos="5460"/>
              </w:tabs>
              <w:autoSpaceDE w:val="0"/>
              <w:autoSpaceDN w:val="0"/>
              <w:adjustRightInd w:val="0"/>
              <w:snapToGrid w:val="0"/>
              <w:spacing w:before="0" w:beforeAutospacing="0" w:after="0" w:afterAutospacing="0" w:line="360" w:lineRule="auto"/>
              <w:ind w:left="0" w:right="0" w:firstLine="2100"/>
              <w:jc w:val="left"/>
              <w:rPr>
                <w:rFonts w:hint="eastAsia" w:ascii="宋体" w:hAnsi="宋体" w:cs="宋体"/>
                <w:color w:val="auto"/>
                <w:kern w:val="0"/>
                <w:szCs w:val="21"/>
                <w:highlight w:val="none"/>
              </w:rPr>
            </w:pPr>
          </w:p>
        </w:tc>
        <w:tc>
          <w:tcPr>
            <w:tcW w:w="2448" w:type="dxa"/>
            <w:noWrap w:val="0"/>
            <w:vAlign w:val="center"/>
          </w:tcPr>
          <w:p w14:paraId="276D2DB4">
            <w:pPr>
              <w:keepNext w:val="0"/>
              <w:keepLines w:val="0"/>
              <w:suppressLineNumbers w:val="0"/>
              <w:tabs>
                <w:tab w:val="left" w:pos="5460"/>
              </w:tabs>
              <w:autoSpaceDE w:val="0"/>
              <w:autoSpaceDN w:val="0"/>
              <w:adjustRightInd w:val="0"/>
              <w:snapToGrid w:val="0"/>
              <w:spacing w:before="0" w:beforeAutospacing="0" w:after="0" w:afterAutospacing="0" w:line="360" w:lineRule="auto"/>
              <w:ind w:left="0" w:right="0" w:firstLine="2100"/>
              <w:jc w:val="left"/>
              <w:rPr>
                <w:rFonts w:hint="eastAsia" w:ascii="宋体" w:hAnsi="宋体" w:cs="宋体"/>
                <w:color w:val="auto"/>
                <w:kern w:val="0"/>
                <w:szCs w:val="21"/>
                <w:highlight w:val="none"/>
              </w:rPr>
            </w:pPr>
          </w:p>
        </w:tc>
        <w:tc>
          <w:tcPr>
            <w:tcW w:w="2969" w:type="dxa"/>
            <w:noWrap w:val="0"/>
            <w:vAlign w:val="center"/>
          </w:tcPr>
          <w:p w14:paraId="3FB90CF0">
            <w:pPr>
              <w:keepNext w:val="0"/>
              <w:keepLines w:val="0"/>
              <w:suppressLineNumbers w:val="0"/>
              <w:tabs>
                <w:tab w:val="left" w:pos="5460"/>
              </w:tabs>
              <w:autoSpaceDE w:val="0"/>
              <w:autoSpaceDN w:val="0"/>
              <w:adjustRightInd w:val="0"/>
              <w:snapToGrid w:val="0"/>
              <w:spacing w:before="0" w:beforeAutospacing="0" w:after="0" w:afterAutospacing="0" w:line="360" w:lineRule="auto"/>
              <w:ind w:left="0" w:right="0" w:firstLine="2100"/>
              <w:jc w:val="left"/>
              <w:rPr>
                <w:rFonts w:hint="eastAsia" w:ascii="宋体" w:hAnsi="宋体" w:cs="宋体"/>
                <w:color w:val="auto"/>
                <w:kern w:val="0"/>
                <w:szCs w:val="21"/>
                <w:highlight w:val="none"/>
              </w:rPr>
            </w:pPr>
          </w:p>
        </w:tc>
        <w:tc>
          <w:tcPr>
            <w:tcW w:w="2067" w:type="dxa"/>
            <w:noWrap w:val="0"/>
            <w:vAlign w:val="center"/>
          </w:tcPr>
          <w:p w14:paraId="40683F40">
            <w:pPr>
              <w:keepNext w:val="0"/>
              <w:keepLines w:val="0"/>
              <w:suppressLineNumbers w:val="0"/>
              <w:tabs>
                <w:tab w:val="left" w:pos="5460"/>
              </w:tabs>
              <w:autoSpaceDE w:val="0"/>
              <w:autoSpaceDN w:val="0"/>
              <w:adjustRightInd w:val="0"/>
              <w:snapToGrid w:val="0"/>
              <w:spacing w:before="0" w:beforeAutospacing="0" w:after="0" w:afterAutospacing="0" w:line="360" w:lineRule="auto"/>
              <w:ind w:left="0" w:right="0" w:firstLine="2100"/>
              <w:jc w:val="left"/>
              <w:rPr>
                <w:rFonts w:hint="eastAsia" w:ascii="宋体" w:hAnsi="宋体" w:cs="宋体"/>
                <w:color w:val="auto"/>
                <w:kern w:val="0"/>
                <w:szCs w:val="21"/>
                <w:highlight w:val="none"/>
              </w:rPr>
            </w:pPr>
          </w:p>
        </w:tc>
      </w:tr>
    </w:tbl>
    <w:p w14:paraId="40FEF1DD">
      <w:pPr>
        <w:tabs>
          <w:tab w:val="left" w:pos="5460"/>
        </w:tabs>
        <w:autoSpaceDE w:val="0"/>
        <w:autoSpaceDN w:val="0"/>
        <w:adjustRightInd w:val="0"/>
        <w:snapToGrid w:val="0"/>
        <w:spacing w:line="360" w:lineRule="auto"/>
        <w:ind w:firstLine="2100"/>
        <w:jc w:val="left"/>
        <w:rPr>
          <w:rFonts w:hint="eastAsia" w:ascii="宋体" w:hAnsi="宋体" w:cs="宋体"/>
          <w:color w:val="auto"/>
          <w:kern w:val="0"/>
          <w:szCs w:val="21"/>
          <w:highlight w:val="none"/>
        </w:rPr>
      </w:pPr>
    </w:p>
    <w:p w14:paraId="43E1CDD9">
      <w:pPr>
        <w:tabs>
          <w:tab w:val="left" w:pos="5460"/>
        </w:tabs>
        <w:autoSpaceDE w:val="0"/>
        <w:autoSpaceDN w:val="0"/>
        <w:adjustRightInd w:val="0"/>
        <w:snapToGrid w:val="0"/>
        <w:spacing w:line="360" w:lineRule="auto"/>
        <w:ind w:firstLine="2100"/>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比选申请人：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rPr>
        <w:t>盖单位法人章）</w:t>
      </w:r>
    </w:p>
    <w:p w14:paraId="5CB21ABA">
      <w:pPr>
        <w:tabs>
          <w:tab w:val="left" w:pos="5460"/>
        </w:tabs>
        <w:autoSpaceDE w:val="0"/>
        <w:autoSpaceDN w:val="0"/>
        <w:adjustRightInd w:val="0"/>
        <w:snapToGrid w:val="0"/>
        <w:spacing w:line="360" w:lineRule="auto"/>
        <w:ind w:firstLine="210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年     月     日</w:t>
      </w:r>
    </w:p>
    <w:p w14:paraId="1794880A">
      <w:pPr>
        <w:tabs>
          <w:tab w:val="left" w:pos="5460"/>
        </w:tabs>
        <w:autoSpaceDE w:val="0"/>
        <w:autoSpaceDN w:val="0"/>
        <w:adjustRightInd w:val="0"/>
        <w:snapToGri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注：</w:t>
      </w:r>
    </w:p>
    <w:p w14:paraId="00F9428E">
      <w:pPr>
        <w:tabs>
          <w:tab w:val="left" w:pos="5460"/>
        </w:tabs>
        <w:autoSpaceDE w:val="0"/>
        <w:autoSpaceDN w:val="0"/>
        <w:adjustRightInd w:val="0"/>
        <w:snapToGri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1.本表即为对本项目“</w:t>
      </w:r>
      <w:r>
        <w:rPr>
          <w:rFonts w:hint="eastAsia" w:ascii="宋体" w:hAnsi="宋体" w:cs="宋体"/>
          <w:color w:val="auto"/>
          <w:kern w:val="0"/>
          <w:szCs w:val="21"/>
          <w:highlight w:val="none"/>
          <w:lang w:val="en-US" w:eastAsia="zh-CN"/>
        </w:rPr>
        <w:t>附件技术参数</w:t>
      </w:r>
      <w:r>
        <w:rPr>
          <w:rFonts w:hint="eastAsia" w:ascii="宋体" w:hAnsi="宋体" w:cs="宋体"/>
          <w:color w:val="auto"/>
          <w:kern w:val="0"/>
          <w:szCs w:val="21"/>
          <w:highlight w:val="none"/>
        </w:rPr>
        <w:t>”中所列条款进行比较和响应；</w:t>
      </w:r>
    </w:p>
    <w:p w14:paraId="7A8AAE7C">
      <w:pPr>
        <w:tabs>
          <w:tab w:val="left" w:pos="5460"/>
        </w:tabs>
        <w:autoSpaceDE w:val="0"/>
        <w:autoSpaceDN w:val="0"/>
        <w:adjustRightInd w:val="0"/>
        <w:snapToGri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2.该表可扩展；</w:t>
      </w:r>
    </w:p>
    <w:p w14:paraId="1E0028EE">
      <w:pPr>
        <w:tabs>
          <w:tab w:val="left" w:pos="5460"/>
        </w:tabs>
        <w:autoSpaceDE w:val="0"/>
        <w:autoSpaceDN w:val="0"/>
        <w:adjustRightInd w:val="0"/>
        <w:snapToGri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3.可附相关技术支撑材料。（格式自定）</w:t>
      </w:r>
    </w:p>
    <w:p w14:paraId="5E17744C">
      <w:pPr>
        <w:tabs>
          <w:tab w:val="left" w:pos="5460"/>
        </w:tabs>
        <w:autoSpaceDE w:val="0"/>
        <w:autoSpaceDN w:val="0"/>
        <w:adjustRightInd w:val="0"/>
        <w:snapToGrid w:val="0"/>
        <w:spacing w:line="360" w:lineRule="auto"/>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4.响应情况栏中应当注明技术参数或具体内容，且必须标注</w:t>
      </w:r>
      <w:r>
        <w:rPr>
          <w:rFonts w:hint="eastAsia" w:ascii="宋体" w:hAnsi="宋体" w:cs="宋体"/>
          <w:color w:val="auto"/>
          <w:kern w:val="0"/>
          <w:szCs w:val="21"/>
          <w:highlight w:val="none"/>
          <w:lang w:val="en-US" w:eastAsia="zh-CN"/>
        </w:rPr>
        <w:t>比选申请</w:t>
      </w:r>
      <w:r>
        <w:rPr>
          <w:rFonts w:hint="eastAsia" w:ascii="宋体" w:hAnsi="宋体" w:cs="宋体"/>
          <w:color w:val="auto"/>
          <w:kern w:val="0"/>
          <w:szCs w:val="21"/>
          <w:highlight w:val="none"/>
        </w:rPr>
        <w:t>文件中技术参数或具体内容的位置（页码）。</w:t>
      </w:r>
    </w:p>
    <w:p w14:paraId="27740037">
      <w:pPr>
        <w:pStyle w:val="3"/>
        <w:numPr>
          <w:ilvl w:val="0"/>
          <w:numId w:val="0"/>
        </w:numPr>
        <w:tabs>
          <w:tab w:val="clear" w:pos="567"/>
          <w:tab w:val="clear" w:pos="576"/>
        </w:tabs>
        <w:ind w:left="2"/>
        <w:jc w:val="center"/>
        <w:rPr>
          <w:rFonts w:hint="eastAsia" w:ascii="宋体" w:hAnsi="宋体" w:eastAsia="宋体" w:cs="宋体"/>
          <w:bCs/>
          <w:color w:val="auto"/>
          <w:sz w:val="36"/>
          <w:szCs w:val="32"/>
          <w:highlight w:val="none"/>
          <w:lang w:val="en-US" w:eastAsia="zh-CN"/>
        </w:rPr>
      </w:pPr>
    </w:p>
    <w:p w14:paraId="57C25C6F">
      <w:pPr>
        <w:pStyle w:val="3"/>
        <w:numPr>
          <w:ilvl w:val="0"/>
          <w:numId w:val="0"/>
        </w:numPr>
        <w:tabs>
          <w:tab w:val="clear" w:pos="567"/>
          <w:tab w:val="clear" w:pos="576"/>
        </w:tabs>
        <w:ind w:left="2"/>
        <w:jc w:val="center"/>
        <w:rPr>
          <w:rFonts w:hint="eastAsia" w:ascii="宋体" w:hAnsi="宋体" w:eastAsia="宋体" w:cs="宋体"/>
          <w:bCs/>
          <w:color w:val="auto"/>
          <w:sz w:val="36"/>
          <w:szCs w:val="32"/>
          <w:highlight w:val="none"/>
          <w:lang w:val="en-US" w:eastAsia="zh-CN"/>
        </w:rPr>
      </w:pPr>
    </w:p>
    <w:p w14:paraId="020A17A6">
      <w:pPr>
        <w:pStyle w:val="3"/>
        <w:numPr>
          <w:ilvl w:val="0"/>
          <w:numId w:val="0"/>
        </w:numPr>
        <w:tabs>
          <w:tab w:val="clear" w:pos="567"/>
          <w:tab w:val="clear" w:pos="576"/>
        </w:tabs>
        <w:ind w:left="2"/>
        <w:jc w:val="center"/>
        <w:rPr>
          <w:rFonts w:hint="eastAsia" w:ascii="宋体" w:hAnsi="宋体" w:eastAsia="宋体" w:cs="宋体"/>
          <w:bCs/>
          <w:color w:val="auto"/>
          <w:sz w:val="36"/>
          <w:szCs w:val="32"/>
          <w:highlight w:val="none"/>
        </w:rPr>
      </w:pPr>
      <w:r>
        <w:rPr>
          <w:rFonts w:hint="eastAsia" w:ascii="宋体" w:hAnsi="宋体" w:eastAsia="宋体" w:cs="宋体"/>
          <w:bCs/>
          <w:color w:val="auto"/>
          <w:sz w:val="36"/>
          <w:szCs w:val="32"/>
          <w:highlight w:val="none"/>
          <w:lang w:val="en-US" w:eastAsia="zh-CN"/>
        </w:rPr>
        <w:t>四</w:t>
      </w:r>
      <w:r>
        <w:rPr>
          <w:rFonts w:hint="eastAsia" w:ascii="宋体" w:hAnsi="宋体" w:eastAsia="宋体" w:cs="宋体"/>
          <w:bCs/>
          <w:color w:val="auto"/>
          <w:sz w:val="36"/>
          <w:szCs w:val="32"/>
          <w:highlight w:val="none"/>
        </w:rPr>
        <w:t>、资格审查资料</w:t>
      </w:r>
      <w:bookmarkEnd w:id="519"/>
      <w:bookmarkEnd w:id="520"/>
      <w:bookmarkEnd w:id="521"/>
      <w:bookmarkEnd w:id="522"/>
    </w:p>
    <w:p w14:paraId="52FA92F1">
      <w:pPr>
        <w:adjustRightInd w:val="0"/>
        <w:snapToGrid w:val="0"/>
        <w:spacing w:line="264" w:lineRule="auto"/>
        <w:rPr>
          <w:rFonts w:hint="eastAsia" w:ascii="宋体" w:hAnsi="宋体" w:cs="宋体"/>
          <w:color w:val="auto"/>
          <w:sz w:val="32"/>
          <w:szCs w:val="32"/>
          <w:highlight w:val="none"/>
        </w:rPr>
      </w:pPr>
    </w:p>
    <w:p w14:paraId="3E5BD642">
      <w:pPr>
        <w:adjustRightInd w:val="0"/>
        <w:snapToGrid w:val="0"/>
        <w:spacing w:line="264" w:lineRule="auto"/>
        <w:rPr>
          <w:rFonts w:hint="eastAsia" w:ascii="宋体" w:hAnsi="宋体" w:cs="宋体"/>
          <w:color w:val="auto"/>
          <w:sz w:val="32"/>
          <w:szCs w:val="32"/>
          <w:highlight w:val="none"/>
        </w:rPr>
      </w:pPr>
    </w:p>
    <w:p w14:paraId="66CD3C1C">
      <w:pPr>
        <w:rPr>
          <w:rFonts w:hint="eastAsia" w:ascii="宋体" w:hAnsi="宋体" w:cs="宋体"/>
          <w:color w:val="auto"/>
          <w:sz w:val="32"/>
          <w:szCs w:val="32"/>
          <w:highlight w:val="none"/>
        </w:rPr>
      </w:pPr>
    </w:p>
    <w:p w14:paraId="062FBD10">
      <w:pPr>
        <w:rPr>
          <w:rFonts w:hint="eastAsia" w:ascii="宋体" w:hAnsi="宋体" w:cs="宋体"/>
          <w:color w:val="auto"/>
          <w:sz w:val="32"/>
          <w:szCs w:val="32"/>
          <w:highlight w:val="none"/>
        </w:rPr>
      </w:pPr>
    </w:p>
    <w:p w14:paraId="420CFA55">
      <w:pPr>
        <w:rPr>
          <w:rFonts w:hint="eastAsia" w:ascii="宋体" w:hAnsi="宋体" w:cs="宋体"/>
          <w:color w:val="auto"/>
          <w:sz w:val="32"/>
          <w:szCs w:val="32"/>
          <w:highlight w:val="none"/>
        </w:rPr>
      </w:pPr>
    </w:p>
    <w:p w14:paraId="5DB94B88">
      <w:pPr>
        <w:rPr>
          <w:rFonts w:hint="eastAsia" w:ascii="宋体" w:hAnsi="宋体" w:cs="宋体"/>
          <w:color w:val="auto"/>
          <w:sz w:val="32"/>
          <w:szCs w:val="32"/>
          <w:highlight w:val="none"/>
        </w:rPr>
      </w:pPr>
    </w:p>
    <w:p w14:paraId="462357FB">
      <w:pPr>
        <w:rPr>
          <w:rFonts w:hint="eastAsia" w:ascii="宋体" w:hAnsi="宋体" w:cs="宋体"/>
          <w:color w:val="auto"/>
          <w:sz w:val="32"/>
          <w:szCs w:val="32"/>
          <w:highlight w:val="none"/>
        </w:rPr>
      </w:pPr>
    </w:p>
    <w:p w14:paraId="1EAFE3CD">
      <w:pPr>
        <w:rPr>
          <w:rFonts w:hint="eastAsia" w:ascii="宋体" w:hAnsi="宋体" w:cs="宋体"/>
          <w:color w:val="auto"/>
          <w:sz w:val="32"/>
          <w:szCs w:val="32"/>
          <w:highlight w:val="none"/>
        </w:rPr>
      </w:pPr>
    </w:p>
    <w:p w14:paraId="556EE372">
      <w:pPr>
        <w:rPr>
          <w:rFonts w:hint="eastAsia" w:ascii="宋体" w:hAnsi="宋体" w:cs="宋体"/>
          <w:color w:val="auto"/>
          <w:sz w:val="32"/>
          <w:szCs w:val="32"/>
          <w:highlight w:val="none"/>
        </w:rPr>
      </w:pPr>
    </w:p>
    <w:p w14:paraId="7F1A30F3">
      <w:pPr>
        <w:rPr>
          <w:rFonts w:hint="eastAsia" w:ascii="宋体" w:hAnsi="宋体" w:cs="宋体"/>
          <w:color w:val="auto"/>
          <w:sz w:val="32"/>
          <w:szCs w:val="32"/>
          <w:highlight w:val="none"/>
        </w:rPr>
      </w:pPr>
    </w:p>
    <w:p w14:paraId="6E916C02">
      <w:pPr>
        <w:rPr>
          <w:rFonts w:hint="eastAsia" w:ascii="宋体" w:hAnsi="宋体" w:cs="宋体"/>
          <w:color w:val="auto"/>
          <w:sz w:val="32"/>
          <w:szCs w:val="32"/>
          <w:highlight w:val="none"/>
        </w:rPr>
      </w:pPr>
    </w:p>
    <w:p w14:paraId="6084D8CF">
      <w:pPr>
        <w:rPr>
          <w:rFonts w:hint="eastAsia" w:ascii="宋体" w:hAnsi="宋体" w:cs="宋体"/>
          <w:color w:val="auto"/>
          <w:sz w:val="32"/>
          <w:szCs w:val="32"/>
          <w:highlight w:val="none"/>
        </w:rPr>
      </w:pPr>
    </w:p>
    <w:p w14:paraId="7EB35FFF">
      <w:pPr>
        <w:rPr>
          <w:rFonts w:hint="eastAsia" w:ascii="宋体" w:hAnsi="宋体" w:cs="宋体"/>
          <w:color w:val="auto"/>
          <w:sz w:val="32"/>
          <w:szCs w:val="32"/>
          <w:highlight w:val="none"/>
        </w:rPr>
      </w:pPr>
    </w:p>
    <w:p w14:paraId="3C5F049D">
      <w:pPr>
        <w:rPr>
          <w:rFonts w:hint="eastAsia" w:ascii="宋体" w:hAnsi="宋体" w:cs="宋体"/>
          <w:color w:val="auto"/>
          <w:sz w:val="32"/>
          <w:szCs w:val="32"/>
          <w:highlight w:val="none"/>
        </w:rPr>
      </w:pPr>
    </w:p>
    <w:p w14:paraId="6B3004A6">
      <w:pPr>
        <w:rPr>
          <w:rFonts w:hint="eastAsia" w:ascii="宋体" w:hAnsi="宋体" w:cs="宋体"/>
          <w:color w:val="auto"/>
          <w:sz w:val="32"/>
          <w:szCs w:val="32"/>
          <w:highlight w:val="none"/>
        </w:rPr>
      </w:pPr>
    </w:p>
    <w:p w14:paraId="7D21C3B0">
      <w:pPr>
        <w:rPr>
          <w:rFonts w:hint="eastAsia" w:ascii="宋体" w:hAnsi="宋体" w:cs="宋体"/>
          <w:color w:val="auto"/>
          <w:sz w:val="32"/>
          <w:szCs w:val="32"/>
          <w:highlight w:val="none"/>
        </w:rPr>
      </w:pPr>
      <w:r>
        <w:rPr>
          <w:rFonts w:hint="eastAsia" w:ascii="宋体" w:hAnsi="宋体" w:cs="宋体"/>
          <w:color w:val="auto"/>
          <w:sz w:val="32"/>
          <w:szCs w:val="32"/>
          <w:highlight w:val="none"/>
        </w:rPr>
        <w:br w:type="page"/>
      </w:r>
    </w:p>
    <w:p w14:paraId="19F80008">
      <w:pPr>
        <w:tabs>
          <w:tab w:val="left" w:pos="3600"/>
          <w:tab w:val="left" w:pos="4480"/>
          <w:tab w:val="left" w:pos="5360"/>
        </w:tabs>
        <w:autoSpaceDE w:val="0"/>
        <w:autoSpaceDN w:val="0"/>
        <w:adjustRightInd w:val="0"/>
        <w:snapToGrid w:val="0"/>
        <w:spacing w:line="360" w:lineRule="auto"/>
        <w:ind w:firstLine="831" w:firstLineChars="300"/>
        <w:jc w:val="left"/>
        <w:rPr>
          <w:rFonts w:hint="eastAsia" w:ascii="宋体" w:hAnsi="宋体" w:cs="宋体"/>
          <w:color w:val="auto"/>
          <w:kern w:val="0"/>
          <w:sz w:val="44"/>
          <w:szCs w:val="44"/>
          <w:highlight w:val="none"/>
        </w:rPr>
      </w:pPr>
      <w:r>
        <w:rPr>
          <w:rFonts w:hint="eastAsia" w:ascii="宋体" w:hAnsi="宋体" w:cs="宋体"/>
          <w:b/>
          <w:color w:val="auto"/>
          <w:w w:val="99"/>
          <w:kern w:val="0"/>
          <w:sz w:val="28"/>
          <w:szCs w:val="28"/>
          <w:highlight w:val="none"/>
          <w:u w:val="single"/>
          <w:lang w:val="en-US" w:eastAsia="zh-CN"/>
        </w:rPr>
        <w:t xml:space="preserve">                                </w:t>
      </w:r>
      <w:r>
        <w:rPr>
          <w:rFonts w:hint="eastAsia" w:ascii="宋体" w:hAnsi="宋体" w:cs="宋体"/>
          <w:b/>
          <w:color w:val="auto"/>
          <w:w w:val="99"/>
          <w:kern w:val="0"/>
          <w:sz w:val="28"/>
          <w:szCs w:val="28"/>
          <w:highlight w:val="none"/>
        </w:rPr>
        <w:t>（项目名称</w:t>
      </w:r>
      <w:r>
        <w:rPr>
          <w:rFonts w:hint="eastAsia" w:ascii="宋体" w:hAnsi="宋体" w:cs="宋体"/>
          <w:b/>
          <w:color w:val="auto"/>
          <w:spacing w:val="1"/>
          <w:w w:val="99"/>
          <w:kern w:val="0"/>
          <w:sz w:val="28"/>
          <w:szCs w:val="28"/>
          <w:highlight w:val="none"/>
        </w:rPr>
        <w:t>）</w:t>
      </w:r>
      <w:r>
        <w:rPr>
          <w:rFonts w:hint="eastAsia" w:ascii="宋体" w:hAnsi="宋体" w:cs="宋体"/>
          <w:b/>
          <w:color w:val="auto"/>
          <w:w w:val="99"/>
          <w:kern w:val="0"/>
          <w:sz w:val="28"/>
          <w:szCs w:val="28"/>
          <w:highlight w:val="none"/>
          <w:u w:val="single"/>
          <w:lang w:val="en-US" w:eastAsia="zh-CN"/>
        </w:rPr>
        <w:t xml:space="preserve">     </w:t>
      </w:r>
      <w:r>
        <w:rPr>
          <w:rFonts w:hint="eastAsia" w:ascii="宋体" w:hAnsi="宋体" w:eastAsia="宋体" w:cs="宋体"/>
          <w:b/>
          <w:color w:val="auto"/>
          <w:w w:val="99"/>
          <w:kern w:val="0"/>
          <w:sz w:val="28"/>
          <w:szCs w:val="28"/>
          <w:highlight w:val="none"/>
          <w:u w:val="single"/>
          <w:lang w:eastAsia="zh-CN"/>
        </w:rPr>
        <w:t>（</w:t>
      </w:r>
      <w:r>
        <w:rPr>
          <w:rFonts w:hint="eastAsia" w:ascii="宋体" w:hAnsi="宋体" w:eastAsia="宋体" w:cs="宋体"/>
          <w:b/>
          <w:color w:val="auto"/>
          <w:w w:val="99"/>
          <w:kern w:val="0"/>
          <w:sz w:val="28"/>
          <w:szCs w:val="28"/>
          <w:highlight w:val="none"/>
          <w:u w:val="single"/>
          <w:lang w:val="en-US" w:eastAsia="zh-CN"/>
        </w:rPr>
        <w:t xml:space="preserve">  </w:t>
      </w:r>
      <w:r>
        <w:rPr>
          <w:rFonts w:hint="eastAsia" w:ascii="宋体" w:hAnsi="宋体" w:eastAsia="宋体" w:cs="宋体"/>
          <w:b/>
          <w:color w:val="auto"/>
          <w:w w:val="99"/>
          <w:kern w:val="0"/>
          <w:sz w:val="28"/>
          <w:szCs w:val="28"/>
          <w:highlight w:val="none"/>
          <w:u w:val="single"/>
          <w:lang w:eastAsia="zh-CN"/>
        </w:rPr>
        <w:t>标段）</w:t>
      </w:r>
      <w:r>
        <w:rPr>
          <w:rFonts w:hint="eastAsia" w:ascii="宋体" w:hAnsi="宋体" w:eastAsia="宋体" w:cs="宋体"/>
          <w:b/>
          <w:color w:val="auto"/>
          <w:w w:val="99"/>
          <w:kern w:val="0"/>
          <w:sz w:val="28"/>
          <w:szCs w:val="28"/>
          <w:highlight w:val="none"/>
          <w:lang w:val="en-US" w:eastAsia="zh-CN"/>
        </w:rPr>
        <w:t xml:space="preserve"> </w:t>
      </w:r>
      <w:r>
        <w:rPr>
          <w:rFonts w:hint="eastAsia" w:ascii="宋体" w:hAnsi="宋体" w:cs="宋体"/>
          <w:b/>
          <w:color w:val="auto"/>
          <w:w w:val="99"/>
          <w:kern w:val="0"/>
          <w:sz w:val="28"/>
          <w:szCs w:val="28"/>
          <w:highlight w:val="none"/>
          <w:u w:val="single"/>
          <w:lang w:val="en-US" w:eastAsia="zh-CN"/>
        </w:rPr>
        <w:t xml:space="preserve">  </w:t>
      </w:r>
    </w:p>
    <w:p w14:paraId="2ACABFC1">
      <w:pPr>
        <w:pStyle w:val="19"/>
        <w:rPr>
          <w:rFonts w:hint="eastAsia" w:ascii="宋体" w:hAnsi="宋体" w:cs="宋体"/>
          <w:color w:val="auto"/>
          <w:kern w:val="0"/>
          <w:sz w:val="44"/>
          <w:szCs w:val="44"/>
          <w:highlight w:val="none"/>
        </w:rPr>
      </w:pPr>
    </w:p>
    <w:p w14:paraId="1EB232EA">
      <w:pPr>
        <w:rPr>
          <w:rFonts w:hint="eastAsia" w:ascii="宋体" w:hAnsi="宋体" w:cs="宋体"/>
          <w:color w:val="auto"/>
          <w:kern w:val="0"/>
          <w:sz w:val="44"/>
          <w:szCs w:val="44"/>
          <w:highlight w:val="none"/>
        </w:rPr>
      </w:pPr>
    </w:p>
    <w:p w14:paraId="199D0A35">
      <w:pPr>
        <w:pStyle w:val="19"/>
        <w:rPr>
          <w:rFonts w:hint="eastAsia" w:ascii="宋体" w:hAnsi="宋体" w:cs="宋体"/>
          <w:color w:val="auto"/>
          <w:kern w:val="0"/>
          <w:sz w:val="44"/>
          <w:szCs w:val="44"/>
          <w:highlight w:val="none"/>
        </w:rPr>
      </w:pPr>
    </w:p>
    <w:p w14:paraId="1E7166C8">
      <w:pPr>
        <w:rPr>
          <w:rFonts w:hint="eastAsia"/>
          <w:highlight w:val="none"/>
        </w:rPr>
      </w:pPr>
    </w:p>
    <w:p w14:paraId="513C2203">
      <w:pPr>
        <w:tabs>
          <w:tab w:val="left" w:pos="3600"/>
          <w:tab w:val="left" w:pos="4480"/>
          <w:tab w:val="left" w:pos="5360"/>
        </w:tabs>
        <w:autoSpaceDE w:val="0"/>
        <w:autoSpaceDN w:val="0"/>
        <w:adjustRightInd w:val="0"/>
        <w:snapToGrid w:val="0"/>
        <w:spacing w:line="360" w:lineRule="auto"/>
        <w:jc w:val="center"/>
        <w:rPr>
          <w:rFonts w:hint="eastAsia" w:ascii="宋体" w:hAnsi="宋体" w:cs="宋体"/>
          <w:b/>
          <w:color w:val="auto"/>
          <w:kern w:val="0"/>
          <w:sz w:val="84"/>
          <w:szCs w:val="84"/>
          <w:highlight w:val="none"/>
        </w:rPr>
      </w:pPr>
      <w:r>
        <w:rPr>
          <w:rFonts w:hint="eastAsia" w:ascii="宋体" w:hAnsi="宋体" w:cs="宋体"/>
          <w:b/>
          <w:color w:val="auto"/>
          <w:kern w:val="0"/>
          <w:sz w:val="84"/>
          <w:szCs w:val="84"/>
          <w:highlight w:val="none"/>
        </w:rPr>
        <w:t>比选申请文件</w:t>
      </w:r>
    </w:p>
    <w:p w14:paraId="7746F8A9">
      <w:pPr>
        <w:autoSpaceDE w:val="0"/>
        <w:autoSpaceDN w:val="0"/>
        <w:adjustRightInd w:val="0"/>
        <w:snapToGrid w:val="0"/>
        <w:spacing w:line="360" w:lineRule="auto"/>
        <w:jc w:val="left"/>
        <w:rPr>
          <w:rFonts w:hint="eastAsia" w:ascii="宋体" w:hAnsi="宋体" w:cs="宋体"/>
          <w:color w:val="auto"/>
          <w:kern w:val="0"/>
          <w:sz w:val="16"/>
          <w:szCs w:val="16"/>
          <w:highlight w:val="none"/>
        </w:rPr>
      </w:pPr>
    </w:p>
    <w:p w14:paraId="267C5994">
      <w:pPr>
        <w:autoSpaceDE w:val="0"/>
        <w:autoSpaceDN w:val="0"/>
        <w:adjustRightInd w:val="0"/>
        <w:snapToGrid w:val="0"/>
        <w:spacing w:line="360" w:lineRule="auto"/>
        <w:jc w:val="center"/>
        <w:outlineLvl w:val="0"/>
        <w:rPr>
          <w:rFonts w:hint="eastAsia" w:ascii="宋体" w:hAnsi="宋体" w:cs="宋体"/>
          <w:b/>
          <w:color w:val="auto"/>
          <w:kern w:val="0"/>
          <w:sz w:val="36"/>
          <w:szCs w:val="36"/>
          <w:highlight w:val="none"/>
        </w:rPr>
      </w:pPr>
      <w:bookmarkStart w:id="523" w:name="_Toc7402"/>
      <w:bookmarkStart w:id="524" w:name="_Toc9094"/>
      <w:bookmarkStart w:id="525" w:name="_Toc7932"/>
      <w:r>
        <w:rPr>
          <w:rFonts w:hint="eastAsia" w:ascii="宋体" w:hAnsi="宋体" w:cs="宋体"/>
          <w:b/>
          <w:color w:val="auto"/>
          <w:kern w:val="0"/>
          <w:sz w:val="36"/>
          <w:szCs w:val="36"/>
          <w:highlight w:val="none"/>
        </w:rPr>
        <w:t>资格审查资料</w:t>
      </w:r>
      <w:bookmarkEnd w:id="523"/>
      <w:bookmarkEnd w:id="524"/>
      <w:bookmarkEnd w:id="525"/>
    </w:p>
    <w:p w14:paraId="4F8798AA">
      <w:pPr>
        <w:autoSpaceDE w:val="0"/>
        <w:autoSpaceDN w:val="0"/>
        <w:adjustRightInd w:val="0"/>
        <w:snapToGrid w:val="0"/>
        <w:spacing w:line="360" w:lineRule="auto"/>
        <w:jc w:val="left"/>
        <w:rPr>
          <w:rFonts w:hint="eastAsia" w:ascii="宋体" w:hAnsi="宋体" w:cs="宋体"/>
          <w:color w:val="auto"/>
          <w:kern w:val="0"/>
          <w:sz w:val="20"/>
          <w:szCs w:val="20"/>
          <w:highlight w:val="none"/>
        </w:rPr>
      </w:pPr>
    </w:p>
    <w:p w14:paraId="2C3627CF">
      <w:pPr>
        <w:adjustRightInd w:val="0"/>
        <w:snapToGrid w:val="0"/>
        <w:spacing w:line="264" w:lineRule="auto"/>
        <w:ind w:firstLine="630" w:firstLineChars="300"/>
        <w:rPr>
          <w:rFonts w:hint="eastAsia" w:ascii="宋体" w:hAnsi="宋体" w:cs="宋体"/>
          <w:color w:val="auto"/>
          <w:szCs w:val="21"/>
          <w:highlight w:val="none"/>
        </w:rPr>
      </w:pPr>
    </w:p>
    <w:p w14:paraId="1D1ED7C0">
      <w:pPr>
        <w:autoSpaceDE w:val="0"/>
        <w:autoSpaceDN w:val="0"/>
        <w:adjustRightInd w:val="0"/>
        <w:snapToGrid w:val="0"/>
        <w:spacing w:line="360" w:lineRule="auto"/>
        <w:jc w:val="left"/>
        <w:rPr>
          <w:rFonts w:hint="eastAsia" w:ascii="宋体" w:hAnsi="宋体" w:cs="宋体"/>
          <w:color w:val="auto"/>
          <w:kern w:val="0"/>
          <w:sz w:val="20"/>
          <w:szCs w:val="20"/>
          <w:highlight w:val="none"/>
        </w:rPr>
      </w:pPr>
    </w:p>
    <w:p w14:paraId="25FB10E4">
      <w:pPr>
        <w:autoSpaceDE w:val="0"/>
        <w:autoSpaceDN w:val="0"/>
        <w:adjustRightInd w:val="0"/>
        <w:snapToGrid w:val="0"/>
        <w:spacing w:line="360" w:lineRule="auto"/>
        <w:jc w:val="left"/>
        <w:rPr>
          <w:rFonts w:hint="eastAsia" w:ascii="宋体" w:hAnsi="宋体" w:cs="宋体"/>
          <w:color w:val="auto"/>
          <w:kern w:val="0"/>
          <w:sz w:val="20"/>
          <w:szCs w:val="20"/>
          <w:highlight w:val="none"/>
        </w:rPr>
      </w:pPr>
    </w:p>
    <w:p w14:paraId="14C26AAB">
      <w:pPr>
        <w:autoSpaceDE w:val="0"/>
        <w:autoSpaceDN w:val="0"/>
        <w:adjustRightInd w:val="0"/>
        <w:snapToGrid w:val="0"/>
        <w:spacing w:line="360" w:lineRule="auto"/>
        <w:jc w:val="left"/>
        <w:rPr>
          <w:rFonts w:hint="eastAsia" w:ascii="宋体" w:hAnsi="宋体" w:cs="宋体"/>
          <w:color w:val="auto"/>
          <w:kern w:val="0"/>
          <w:sz w:val="20"/>
          <w:szCs w:val="20"/>
          <w:highlight w:val="none"/>
        </w:rPr>
      </w:pPr>
    </w:p>
    <w:p w14:paraId="21E3A3CD">
      <w:pPr>
        <w:autoSpaceDE w:val="0"/>
        <w:autoSpaceDN w:val="0"/>
        <w:adjustRightInd w:val="0"/>
        <w:snapToGrid w:val="0"/>
        <w:spacing w:line="360" w:lineRule="auto"/>
        <w:jc w:val="left"/>
        <w:rPr>
          <w:rFonts w:hint="eastAsia" w:ascii="宋体" w:hAnsi="宋体" w:cs="宋体"/>
          <w:color w:val="auto"/>
          <w:kern w:val="0"/>
          <w:sz w:val="20"/>
          <w:szCs w:val="20"/>
          <w:highlight w:val="none"/>
        </w:rPr>
      </w:pPr>
    </w:p>
    <w:p w14:paraId="73F4CA35">
      <w:pPr>
        <w:autoSpaceDE w:val="0"/>
        <w:autoSpaceDN w:val="0"/>
        <w:adjustRightInd w:val="0"/>
        <w:snapToGrid w:val="0"/>
        <w:spacing w:line="360" w:lineRule="auto"/>
        <w:jc w:val="left"/>
        <w:rPr>
          <w:rFonts w:hint="eastAsia" w:ascii="宋体" w:hAnsi="宋体" w:cs="宋体"/>
          <w:color w:val="auto"/>
          <w:kern w:val="0"/>
          <w:sz w:val="20"/>
          <w:szCs w:val="20"/>
          <w:highlight w:val="none"/>
        </w:rPr>
      </w:pPr>
    </w:p>
    <w:p w14:paraId="6F921296">
      <w:pPr>
        <w:autoSpaceDE w:val="0"/>
        <w:autoSpaceDN w:val="0"/>
        <w:adjustRightInd w:val="0"/>
        <w:snapToGrid w:val="0"/>
        <w:spacing w:line="360" w:lineRule="auto"/>
        <w:jc w:val="left"/>
        <w:rPr>
          <w:rFonts w:hint="eastAsia" w:ascii="宋体" w:hAnsi="宋体" w:cs="宋体"/>
          <w:color w:val="auto"/>
          <w:kern w:val="0"/>
          <w:sz w:val="20"/>
          <w:szCs w:val="20"/>
          <w:highlight w:val="none"/>
        </w:rPr>
      </w:pPr>
    </w:p>
    <w:p w14:paraId="41B9E0DC">
      <w:pPr>
        <w:autoSpaceDE w:val="0"/>
        <w:autoSpaceDN w:val="0"/>
        <w:adjustRightInd w:val="0"/>
        <w:snapToGrid w:val="0"/>
        <w:spacing w:line="360" w:lineRule="auto"/>
        <w:jc w:val="left"/>
        <w:rPr>
          <w:rFonts w:hint="eastAsia" w:ascii="宋体" w:hAnsi="宋体" w:cs="宋体"/>
          <w:color w:val="auto"/>
          <w:kern w:val="0"/>
          <w:sz w:val="20"/>
          <w:szCs w:val="20"/>
          <w:highlight w:val="none"/>
        </w:rPr>
      </w:pPr>
    </w:p>
    <w:p w14:paraId="04394B8A">
      <w:pPr>
        <w:autoSpaceDE w:val="0"/>
        <w:autoSpaceDN w:val="0"/>
        <w:adjustRightInd w:val="0"/>
        <w:snapToGrid w:val="0"/>
        <w:spacing w:line="360" w:lineRule="auto"/>
        <w:jc w:val="left"/>
        <w:rPr>
          <w:rFonts w:hint="eastAsia" w:ascii="宋体" w:hAnsi="宋体" w:cs="宋体"/>
          <w:color w:val="auto"/>
          <w:kern w:val="0"/>
          <w:sz w:val="20"/>
          <w:szCs w:val="20"/>
          <w:highlight w:val="none"/>
        </w:rPr>
      </w:pPr>
    </w:p>
    <w:p w14:paraId="5193B90C">
      <w:pPr>
        <w:autoSpaceDE w:val="0"/>
        <w:autoSpaceDN w:val="0"/>
        <w:adjustRightInd w:val="0"/>
        <w:snapToGrid w:val="0"/>
        <w:spacing w:line="360" w:lineRule="auto"/>
        <w:jc w:val="left"/>
        <w:rPr>
          <w:rFonts w:hint="eastAsia" w:ascii="宋体" w:hAnsi="宋体" w:cs="宋体"/>
          <w:color w:val="auto"/>
          <w:kern w:val="0"/>
          <w:sz w:val="20"/>
          <w:szCs w:val="20"/>
          <w:highlight w:val="none"/>
        </w:rPr>
      </w:pPr>
    </w:p>
    <w:p w14:paraId="5E358469">
      <w:pPr>
        <w:tabs>
          <w:tab w:val="left" w:pos="6080"/>
          <w:tab w:val="left" w:pos="6640"/>
        </w:tabs>
        <w:autoSpaceDE w:val="0"/>
        <w:autoSpaceDN w:val="0"/>
        <w:adjustRightInd w:val="0"/>
        <w:snapToGrid w:val="0"/>
        <w:spacing w:line="360" w:lineRule="auto"/>
        <w:jc w:val="center"/>
        <w:rPr>
          <w:rFonts w:hint="eastAsia" w:ascii="宋体" w:hAnsi="宋体" w:cs="宋体"/>
          <w:b/>
          <w:color w:val="auto"/>
          <w:w w:val="99"/>
          <w:kern w:val="0"/>
          <w:sz w:val="28"/>
          <w:szCs w:val="28"/>
          <w:highlight w:val="none"/>
        </w:rPr>
      </w:pPr>
      <w:r>
        <w:rPr>
          <w:rFonts w:hint="eastAsia" w:ascii="宋体" w:hAnsi="宋体" w:cs="宋体"/>
          <w:b/>
          <w:color w:val="auto"/>
          <w:w w:val="99"/>
          <w:kern w:val="0"/>
          <w:sz w:val="28"/>
          <w:szCs w:val="28"/>
          <w:highlight w:val="none"/>
        </w:rPr>
        <w:t>比选申请人</w:t>
      </w:r>
      <w:r>
        <w:rPr>
          <w:rFonts w:hint="eastAsia" w:ascii="宋体" w:hAnsi="宋体" w:cs="宋体"/>
          <w:b/>
          <w:color w:val="auto"/>
          <w:spacing w:val="1"/>
          <w:w w:val="99"/>
          <w:kern w:val="0"/>
          <w:sz w:val="28"/>
          <w:szCs w:val="28"/>
          <w:highlight w:val="none"/>
        </w:rPr>
        <w:t>：</w:t>
      </w:r>
      <w:r>
        <w:rPr>
          <w:rFonts w:hint="eastAsia" w:ascii="宋体" w:hAnsi="宋体" w:cs="宋体"/>
          <w:b/>
          <w:color w:val="auto"/>
          <w:w w:val="198"/>
          <w:kern w:val="0"/>
          <w:sz w:val="28"/>
          <w:szCs w:val="28"/>
          <w:highlight w:val="none"/>
          <w:u w:val="single"/>
        </w:rPr>
        <w:t xml:space="preserve"> 　　　　 　　</w:t>
      </w:r>
      <w:r>
        <w:rPr>
          <w:rFonts w:hint="eastAsia" w:ascii="宋体" w:hAnsi="宋体" w:cs="宋体"/>
          <w:b/>
          <w:color w:val="auto"/>
          <w:w w:val="99"/>
          <w:kern w:val="0"/>
          <w:sz w:val="28"/>
          <w:szCs w:val="28"/>
          <w:highlight w:val="none"/>
        </w:rPr>
        <w:t>（盖单位法人章）</w:t>
      </w:r>
    </w:p>
    <w:p w14:paraId="114DB6FA">
      <w:pPr>
        <w:tabs>
          <w:tab w:val="left" w:pos="6080"/>
          <w:tab w:val="left" w:pos="6640"/>
        </w:tabs>
        <w:autoSpaceDE w:val="0"/>
        <w:autoSpaceDN w:val="0"/>
        <w:adjustRightInd w:val="0"/>
        <w:snapToGrid w:val="0"/>
        <w:spacing w:line="360" w:lineRule="auto"/>
        <w:jc w:val="center"/>
        <w:rPr>
          <w:rFonts w:hint="eastAsia" w:ascii="宋体" w:hAnsi="宋体" w:cs="宋体"/>
          <w:b/>
          <w:color w:val="auto"/>
          <w:kern w:val="0"/>
          <w:sz w:val="28"/>
          <w:szCs w:val="28"/>
          <w:highlight w:val="none"/>
        </w:rPr>
      </w:pPr>
      <w:r>
        <w:rPr>
          <w:rFonts w:hint="eastAsia" w:ascii="宋体" w:hAnsi="宋体" w:cs="宋体"/>
          <w:b/>
          <w:color w:val="auto"/>
          <w:w w:val="99"/>
          <w:kern w:val="0"/>
          <w:sz w:val="28"/>
          <w:szCs w:val="28"/>
          <w:highlight w:val="none"/>
        </w:rPr>
        <w:t>法定代表人或其委托代理人：</w:t>
      </w:r>
      <w:r>
        <w:rPr>
          <w:rFonts w:hint="eastAsia" w:ascii="宋体" w:hAnsi="宋体" w:cs="宋体"/>
          <w:b/>
          <w:color w:val="auto"/>
          <w:w w:val="198"/>
          <w:kern w:val="0"/>
          <w:sz w:val="28"/>
          <w:szCs w:val="28"/>
          <w:highlight w:val="none"/>
          <w:u w:val="single"/>
        </w:rPr>
        <w:t xml:space="preserve"> 　 　　</w:t>
      </w:r>
      <w:r>
        <w:rPr>
          <w:rFonts w:hint="eastAsia" w:ascii="宋体" w:hAnsi="宋体" w:cs="宋体"/>
          <w:b/>
          <w:color w:val="auto"/>
          <w:w w:val="99"/>
          <w:kern w:val="0"/>
          <w:sz w:val="28"/>
          <w:szCs w:val="28"/>
          <w:highlight w:val="none"/>
        </w:rPr>
        <w:t>（签字）</w:t>
      </w:r>
    </w:p>
    <w:p w14:paraId="00AD89DC">
      <w:pPr>
        <w:tabs>
          <w:tab w:val="left" w:pos="3280"/>
          <w:tab w:val="left" w:pos="4680"/>
          <w:tab w:val="left" w:pos="6080"/>
        </w:tabs>
        <w:autoSpaceDE w:val="0"/>
        <w:autoSpaceDN w:val="0"/>
        <w:adjustRightInd w:val="0"/>
        <w:snapToGrid w:val="0"/>
        <w:spacing w:line="360" w:lineRule="auto"/>
        <w:jc w:val="center"/>
        <w:rPr>
          <w:rFonts w:hint="eastAsia" w:ascii="宋体" w:hAnsi="宋体" w:cs="宋体"/>
          <w:b/>
          <w:color w:val="auto"/>
          <w:kern w:val="0"/>
          <w:sz w:val="28"/>
          <w:szCs w:val="28"/>
          <w:highlight w:val="none"/>
        </w:rPr>
      </w:pPr>
      <w:r>
        <w:rPr>
          <w:rFonts w:hint="eastAsia" w:ascii="宋体" w:hAnsi="宋体" w:cs="宋体"/>
          <w:b/>
          <w:color w:val="auto"/>
          <w:w w:val="99"/>
          <w:kern w:val="0"/>
          <w:sz w:val="28"/>
          <w:szCs w:val="28"/>
          <w:highlight w:val="none"/>
          <w:u w:val="single"/>
        </w:rPr>
        <w:t xml:space="preserve">       </w:t>
      </w:r>
      <w:r>
        <w:rPr>
          <w:rFonts w:hint="eastAsia" w:ascii="宋体" w:hAnsi="宋体" w:cs="宋体"/>
          <w:b/>
          <w:color w:val="auto"/>
          <w:w w:val="99"/>
          <w:kern w:val="0"/>
          <w:sz w:val="28"/>
          <w:szCs w:val="28"/>
          <w:highlight w:val="none"/>
        </w:rPr>
        <w:t>年</w:t>
      </w:r>
      <w:r>
        <w:rPr>
          <w:rFonts w:hint="eastAsia" w:ascii="宋体" w:hAnsi="宋体" w:cs="宋体"/>
          <w:b/>
          <w:color w:val="auto"/>
          <w:w w:val="198"/>
          <w:kern w:val="0"/>
          <w:sz w:val="28"/>
          <w:szCs w:val="28"/>
          <w:highlight w:val="none"/>
          <w:u w:val="single"/>
        </w:rPr>
        <w:t xml:space="preserve">  </w:t>
      </w:r>
      <w:r>
        <w:rPr>
          <w:rFonts w:hint="eastAsia" w:ascii="宋体" w:hAnsi="宋体" w:cs="宋体"/>
          <w:b/>
          <w:color w:val="auto"/>
          <w:w w:val="99"/>
          <w:kern w:val="0"/>
          <w:sz w:val="28"/>
          <w:szCs w:val="28"/>
          <w:highlight w:val="none"/>
        </w:rPr>
        <w:t>月</w:t>
      </w:r>
      <w:r>
        <w:rPr>
          <w:rFonts w:hint="eastAsia" w:ascii="宋体" w:hAnsi="宋体" w:cs="宋体"/>
          <w:b/>
          <w:color w:val="auto"/>
          <w:w w:val="198"/>
          <w:kern w:val="0"/>
          <w:sz w:val="28"/>
          <w:szCs w:val="28"/>
          <w:highlight w:val="none"/>
          <w:u w:val="single"/>
        </w:rPr>
        <w:t xml:space="preserve">  </w:t>
      </w:r>
      <w:r>
        <w:rPr>
          <w:rFonts w:hint="eastAsia" w:ascii="宋体" w:hAnsi="宋体" w:cs="宋体"/>
          <w:b/>
          <w:color w:val="auto"/>
          <w:w w:val="99"/>
          <w:kern w:val="0"/>
          <w:sz w:val="28"/>
          <w:szCs w:val="28"/>
          <w:highlight w:val="none"/>
        </w:rPr>
        <w:t>日</w:t>
      </w:r>
    </w:p>
    <w:p w14:paraId="26AC5EC2">
      <w:pPr>
        <w:jc w:val="center"/>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br w:type="page"/>
      </w:r>
    </w:p>
    <w:p w14:paraId="32C93F9E">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目    录</w:t>
      </w:r>
    </w:p>
    <w:p w14:paraId="68EE04CB">
      <w:pPr>
        <w:jc w:val="center"/>
        <w:rPr>
          <w:rFonts w:hint="eastAsia" w:ascii="宋体" w:hAnsi="宋体" w:cs="宋体"/>
          <w:b/>
          <w:color w:val="auto"/>
          <w:kern w:val="0"/>
          <w:sz w:val="32"/>
          <w:szCs w:val="32"/>
          <w:highlight w:val="none"/>
        </w:rPr>
      </w:pPr>
    </w:p>
    <w:p w14:paraId="1B067433">
      <w:pPr>
        <w:autoSpaceDE w:val="0"/>
        <w:autoSpaceDN w:val="0"/>
        <w:adjustRightInd w:val="0"/>
        <w:spacing w:line="360" w:lineRule="auto"/>
        <w:ind w:right="-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（一）法定代表人身份证明及授权委托书</w:t>
      </w:r>
    </w:p>
    <w:p w14:paraId="16C1B21F">
      <w:pPr>
        <w:autoSpaceDE w:val="0"/>
        <w:autoSpaceDN w:val="0"/>
        <w:adjustRightInd w:val="0"/>
        <w:spacing w:line="360" w:lineRule="auto"/>
        <w:ind w:right="-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（二）比选申请人基本情况表</w:t>
      </w:r>
    </w:p>
    <w:p w14:paraId="0164DEAA">
      <w:pPr>
        <w:autoSpaceDE w:val="0"/>
        <w:autoSpaceDN w:val="0"/>
        <w:adjustRightInd w:val="0"/>
        <w:spacing w:line="360" w:lineRule="auto"/>
        <w:ind w:right="-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（三）承诺</w:t>
      </w:r>
    </w:p>
    <w:p w14:paraId="4F818349">
      <w:pPr>
        <w:autoSpaceDE w:val="0"/>
        <w:autoSpaceDN w:val="0"/>
        <w:adjustRightInd w:val="0"/>
        <w:spacing w:line="360" w:lineRule="auto"/>
        <w:ind w:right="-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四</w:t>
      </w:r>
      <w:r>
        <w:rPr>
          <w:rFonts w:hint="eastAsia" w:ascii="宋体" w:hAnsi="宋体" w:cs="宋体"/>
          <w:color w:val="auto"/>
          <w:kern w:val="0"/>
          <w:sz w:val="24"/>
          <w:highlight w:val="none"/>
        </w:rPr>
        <w:t>）其他资料</w:t>
      </w:r>
    </w:p>
    <w:p w14:paraId="5B63DBDA">
      <w:pPr>
        <w:spacing w:line="360" w:lineRule="auto"/>
        <w:ind w:firstLine="993" w:firstLineChars="414"/>
        <w:rPr>
          <w:rFonts w:hint="eastAsia" w:ascii="宋体" w:hAnsi="宋体" w:cs="宋体"/>
          <w:color w:val="auto"/>
          <w:sz w:val="24"/>
          <w:highlight w:val="none"/>
        </w:rPr>
      </w:pPr>
    </w:p>
    <w:p w14:paraId="0C9C5A78">
      <w:pPr>
        <w:spacing w:line="360" w:lineRule="auto"/>
        <w:ind w:firstLine="993" w:firstLineChars="414"/>
        <w:rPr>
          <w:rFonts w:hint="eastAsia" w:ascii="宋体" w:hAnsi="宋体" w:cs="宋体"/>
          <w:color w:val="auto"/>
          <w:sz w:val="24"/>
          <w:highlight w:val="none"/>
        </w:rPr>
      </w:pPr>
    </w:p>
    <w:p w14:paraId="2BD412D2">
      <w:pPr>
        <w:jc w:val="center"/>
        <w:rPr>
          <w:rFonts w:hint="eastAsia" w:ascii="宋体" w:hAnsi="宋体" w:cs="宋体"/>
          <w:b/>
          <w:color w:val="auto"/>
          <w:kern w:val="0"/>
          <w:sz w:val="32"/>
          <w:szCs w:val="32"/>
          <w:highlight w:val="none"/>
        </w:rPr>
      </w:pPr>
    </w:p>
    <w:p w14:paraId="53B542BC">
      <w:pPr>
        <w:jc w:val="center"/>
        <w:rPr>
          <w:rFonts w:hint="eastAsia" w:ascii="宋体" w:hAnsi="宋体" w:cs="宋体"/>
          <w:b/>
          <w:color w:val="auto"/>
          <w:kern w:val="0"/>
          <w:sz w:val="32"/>
          <w:szCs w:val="32"/>
          <w:highlight w:val="none"/>
        </w:rPr>
      </w:pPr>
    </w:p>
    <w:p w14:paraId="6876915D">
      <w:pPr>
        <w:rPr>
          <w:rFonts w:hint="eastAsia" w:ascii="宋体" w:hAnsi="宋体" w:cs="宋体"/>
          <w:b/>
          <w:color w:val="auto"/>
          <w:highlight w:val="none"/>
        </w:rPr>
      </w:pPr>
      <w:r>
        <w:rPr>
          <w:rFonts w:hint="eastAsia" w:ascii="宋体" w:hAnsi="宋体" w:cs="宋体"/>
          <w:b/>
          <w:color w:val="auto"/>
          <w:highlight w:val="none"/>
        </w:rPr>
        <w:br w:type="page"/>
      </w:r>
      <w:bookmarkStart w:id="526" w:name="_Toc224103511"/>
    </w:p>
    <w:p w14:paraId="4FFE56AA">
      <w:pPr>
        <w:pStyle w:val="4"/>
        <w:numPr>
          <w:ilvl w:val="0"/>
          <w:numId w:val="0"/>
        </w:numPr>
        <w:tabs>
          <w:tab w:val="left" w:pos="720"/>
          <w:tab w:val="clear" w:pos="709"/>
        </w:tabs>
        <w:jc w:val="center"/>
        <w:rPr>
          <w:rFonts w:hint="eastAsia" w:ascii="宋体" w:hAnsi="宋体" w:cs="宋体"/>
          <w:b w:val="0"/>
          <w:color w:val="auto"/>
          <w:sz w:val="28"/>
          <w:highlight w:val="none"/>
        </w:rPr>
      </w:pPr>
      <w:bookmarkStart w:id="527" w:name="_Toc391220337"/>
      <w:bookmarkStart w:id="528" w:name="_Toc30160"/>
      <w:r>
        <w:rPr>
          <w:rFonts w:hint="eastAsia" w:ascii="宋体" w:hAnsi="宋体" w:eastAsia="宋体" w:cs="宋体"/>
          <w:color w:val="auto"/>
          <w:sz w:val="28"/>
          <w:highlight w:val="none"/>
        </w:rPr>
        <w:t>（一）法定代表人身份证明及授权委托书</w:t>
      </w:r>
      <w:bookmarkEnd w:id="526"/>
      <w:bookmarkEnd w:id="527"/>
      <w:bookmarkEnd w:id="528"/>
    </w:p>
    <w:p w14:paraId="29E56ECA">
      <w:pPr>
        <w:jc w:val="center"/>
        <w:rPr>
          <w:rFonts w:hint="eastAsia" w:ascii="宋体" w:hAnsi="宋体" w:cs="宋体"/>
          <w:b/>
          <w:color w:val="auto"/>
          <w:highlight w:val="none"/>
        </w:rPr>
      </w:pPr>
      <w:r>
        <w:rPr>
          <w:rFonts w:hint="eastAsia" w:ascii="宋体" w:hAnsi="宋体" w:cs="宋体"/>
          <w:b/>
          <w:color w:val="auto"/>
          <w:sz w:val="28"/>
          <w:highlight w:val="none"/>
        </w:rPr>
        <w:t>法定代表人身份证明</w:t>
      </w:r>
    </w:p>
    <w:p w14:paraId="60835366">
      <w:pPr>
        <w:ind w:left="765"/>
        <w:rPr>
          <w:rFonts w:hint="eastAsia" w:ascii="宋体" w:hAnsi="宋体" w:cs="宋体"/>
          <w:color w:val="auto"/>
          <w:highlight w:val="none"/>
        </w:rPr>
      </w:pPr>
    </w:p>
    <w:p w14:paraId="4A4D37A3">
      <w:pPr>
        <w:ind w:left="765"/>
        <w:rPr>
          <w:rFonts w:hint="eastAsia" w:ascii="宋体" w:hAnsi="宋体" w:cs="宋体"/>
          <w:color w:val="auto"/>
          <w:highlight w:val="none"/>
        </w:rPr>
      </w:pPr>
    </w:p>
    <w:p w14:paraId="409BD9C9">
      <w:pPr>
        <w:ind w:left="765"/>
        <w:rPr>
          <w:rFonts w:hint="eastAsia" w:ascii="宋体" w:hAnsi="宋体" w:cs="宋体"/>
          <w:color w:val="auto"/>
          <w:highlight w:val="none"/>
        </w:rPr>
      </w:pPr>
    </w:p>
    <w:p w14:paraId="33ED1CB8">
      <w:pPr>
        <w:tabs>
          <w:tab w:val="left" w:pos="5565"/>
        </w:tabs>
        <w:autoSpaceDE w:val="0"/>
        <w:autoSpaceDN w:val="0"/>
        <w:adjustRightInd w:val="0"/>
        <w:snapToGrid w:val="0"/>
        <w:spacing w:line="360" w:lineRule="auto"/>
        <w:ind w:firstLine="390" w:firstLineChars="186"/>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比选申请人名称：</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14:paraId="05E6AD8B">
      <w:pPr>
        <w:autoSpaceDE w:val="0"/>
        <w:autoSpaceDN w:val="0"/>
        <w:adjustRightInd w:val="0"/>
        <w:snapToGrid w:val="0"/>
        <w:spacing w:line="360" w:lineRule="auto"/>
        <w:ind w:firstLine="372" w:firstLineChars="186"/>
        <w:jc w:val="left"/>
        <w:rPr>
          <w:rFonts w:hint="eastAsia" w:ascii="宋体" w:hAnsi="宋体" w:cs="宋体"/>
          <w:color w:val="auto"/>
          <w:kern w:val="0"/>
          <w:sz w:val="20"/>
          <w:szCs w:val="20"/>
          <w:highlight w:val="none"/>
        </w:rPr>
      </w:pPr>
    </w:p>
    <w:p w14:paraId="566F53D9">
      <w:pPr>
        <w:tabs>
          <w:tab w:val="left" w:pos="5475"/>
        </w:tabs>
        <w:autoSpaceDE w:val="0"/>
        <w:autoSpaceDN w:val="0"/>
        <w:adjustRightInd w:val="0"/>
        <w:snapToGrid w:val="0"/>
        <w:spacing w:line="360" w:lineRule="auto"/>
        <w:ind w:firstLine="390" w:firstLineChars="186"/>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单位性质：</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14:paraId="45867AEE">
      <w:pPr>
        <w:autoSpaceDE w:val="0"/>
        <w:autoSpaceDN w:val="0"/>
        <w:adjustRightInd w:val="0"/>
        <w:snapToGrid w:val="0"/>
        <w:spacing w:line="360" w:lineRule="auto"/>
        <w:ind w:firstLine="372" w:firstLineChars="186"/>
        <w:jc w:val="left"/>
        <w:rPr>
          <w:rFonts w:hint="eastAsia" w:ascii="宋体" w:hAnsi="宋体" w:cs="宋体"/>
          <w:color w:val="auto"/>
          <w:kern w:val="0"/>
          <w:sz w:val="20"/>
          <w:szCs w:val="20"/>
          <w:highlight w:val="none"/>
        </w:rPr>
      </w:pPr>
    </w:p>
    <w:p w14:paraId="3740D656">
      <w:pPr>
        <w:tabs>
          <w:tab w:val="left" w:pos="5475"/>
        </w:tabs>
        <w:autoSpaceDE w:val="0"/>
        <w:autoSpaceDN w:val="0"/>
        <w:adjustRightInd w:val="0"/>
        <w:snapToGrid w:val="0"/>
        <w:spacing w:line="360" w:lineRule="auto"/>
        <w:ind w:firstLine="390" w:firstLineChars="186"/>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地址：</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14:paraId="10EBCF40">
      <w:pPr>
        <w:autoSpaceDE w:val="0"/>
        <w:autoSpaceDN w:val="0"/>
        <w:adjustRightInd w:val="0"/>
        <w:snapToGrid w:val="0"/>
        <w:spacing w:line="360" w:lineRule="auto"/>
        <w:ind w:firstLine="372" w:firstLineChars="186"/>
        <w:jc w:val="left"/>
        <w:rPr>
          <w:rFonts w:hint="eastAsia" w:ascii="宋体" w:hAnsi="宋体" w:cs="宋体"/>
          <w:color w:val="auto"/>
          <w:kern w:val="0"/>
          <w:sz w:val="20"/>
          <w:szCs w:val="20"/>
          <w:highlight w:val="none"/>
        </w:rPr>
      </w:pPr>
    </w:p>
    <w:p w14:paraId="177F2240">
      <w:pPr>
        <w:tabs>
          <w:tab w:val="left" w:pos="2520"/>
          <w:tab w:val="left" w:pos="3836"/>
        </w:tabs>
        <w:autoSpaceDE w:val="0"/>
        <w:autoSpaceDN w:val="0"/>
        <w:adjustRightInd w:val="0"/>
        <w:snapToGrid w:val="0"/>
        <w:spacing w:line="360" w:lineRule="auto"/>
        <w:ind w:firstLine="390" w:firstLineChars="186"/>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成立时间：</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 xml:space="preserve"> </w:t>
      </w:r>
      <w:r>
        <w:rPr>
          <w:rFonts w:hint="eastAsia" w:ascii="宋体" w:hAnsi="宋体" w:cs="宋体"/>
          <w:color w:val="auto"/>
          <w:spacing w:val="-1"/>
          <w:kern w:val="0"/>
          <w:szCs w:val="21"/>
          <w:highlight w:val="none"/>
        </w:rPr>
        <w:t>年</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r>
        <w:rPr>
          <w:rFonts w:hint="eastAsia" w:ascii="宋体" w:hAnsi="宋体" w:cs="宋体"/>
          <w:color w:val="auto"/>
          <w:spacing w:val="-1"/>
          <w:kern w:val="0"/>
          <w:szCs w:val="21"/>
          <w:highlight w:val="none"/>
        </w:rPr>
        <w:t>月</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14:paraId="3FCD9615">
      <w:pPr>
        <w:autoSpaceDE w:val="0"/>
        <w:autoSpaceDN w:val="0"/>
        <w:adjustRightInd w:val="0"/>
        <w:snapToGrid w:val="0"/>
        <w:spacing w:line="360" w:lineRule="auto"/>
        <w:ind w:firstLine="186" w:firstLineChars="186"/>
        <w:jc w:val="left"/>
        <w:rPr>
          <w:rFonts w:hint="eastAsia" w:ascii="宋体" w:hAnsi="宋体" w:cs="宋体"/>
          <w:color w:val="auto"/>
          <w:kern w:val="0"/>
          <w:sz w:val="10"/>
          <w:szCs w:val="10"/>
          <w:highlight w:val="none"/>
        </w:rPr>
      </w:pPr>
    </w:p>
    <w:p w14:paraId="096222F1">
      <w:pPr>
        <w:tabs>
          <w:tab w:val="left" w:pos="5475"/>
        </w:tabs>
        <w:autoSpaceDE w:val="0"/>
        <w:autoSpaceDN w:val="0"/>
        <w:adjustRightInd w:val="0"/>
        <w:snapToGrid w:val="0"/>
        <w:spacing w:line="360" w:lineRule="auto"/>
        <w:ind w:firstLine="390" w:firstLineChars="186"/>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经营期限：</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14:paraId="4B8B377A">
      <w:pPr>
        <w:autoSpaceDE w:val="0"/>
        <w:autoSpaceDN w:val="0"/>
        <w:adjustRightInd w:val="0"/>
        <w:snapToGrid w:val="0"/>
        <w:spacing w:line="360" w:lineRule="auto"/>
        <w:ind w:firstLine="372" w:firstLineChars="186"/>
        <w:jc w:val="left"/>
        <w:rPr>
          <w:rFonts w:hint="eastAsia" w:ascii="宋体" w:hAnsi="宋体" w:cs="宋体"/>
          <w:color w:val="auto"/>
          <w:kern w:val="0"/>
          <w:sz w:val="20"/>
          <w:szCs w:val="20"/>
          <w:highlight w:val="none"/>
        </w:rPr>
      </w:pPr>
    </w:p>
    <w:p w14:paraId="451BEEAF">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姓名：</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 xml:space="preserve"> 性别</w:t>
      </w:r>
      <w:r>
        <w:rPr>
          <w:rFonts w:hint="eastAsia" w:ascii="宋体" w:hAnsi="宋体" w:cs="宋体"/>
          <w:color w:val="auto"/>
          <w:spacing w:val="-1"/>
          <w:kern w:val="0"/>
          <w:szCs w:val="21"/>
          <w:highlight w:val="none"/>
        </w:rPr>
        <w:t>：</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 xml:space="preserve"> </w:t>
      </w:r>
      <w:r>
        <w:rPr>
          <w:rFonts w:hint="eastAsia" w:ascii="宋体" w:hAnsi="宋体" w:cs="宋体"/>
          <w:color w:val="auto"/>
          <w:spacing w:val="-1"/>
          <w:kern w:val="0"/>
          <w:szCs w:val="21"/>
          <w:highlight w:val="none"/>
        </w:rPr>
        <w:t>年</w:t>
      </w:r>
      <w:r>
        <w:rPr>
          <w:rFonts w:hint="eastAsia" w:ascii="宋体" w:hAnsi="宋体" w:cs="宋体"/>
          <w:color w:val="auto"/>
          <w:kern w:val="0"/>
          <w:szCs w:val="21"/>
          <w:highlight w:val="none"/>
        </w:rPr>
        <w:t>龄：</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职务：</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14:paraId="264FABE9">
      <w:pPr>
        <w:autoSpaceDE w:val="0"/>
        <w:autoSpaceDN w:val="0"/>
        <w:adjustRightInd w:val="0"/>
        <w:snapToGrid w:val="0"/>
        <w:spacing w:line="360" w:lineRule="auto"/>
        <w:ind w:firstLine="372" w:firstLineChars="186"/>
        <w:jc w:val="left"/>
        <w:rPr>
          <w:rFonts w:hint="eastAsia" w:ascii="宋体" w:hAnsi="宋体" w:cs="宋体"/>
          <w:color w:val="auto"/>
          <w:kern w:val="0"/>
          <w:sz w:val="20"/>
          <w:szCs w:val="20"/>
          <w:highlight w:val="none"/>
        </w:rPr>
      </w:pPr>
    </w:p>
    <w:p w14:paraId="23520324">
      <w:pPr>
        <w:tabs>
          <w:tab w:val="left" w:pos="3360"/>
        </w:tabs>
        <w:autoSpaceDE w:val="0"/>
        <w:autoSpaceDN w:val="0"/>
        <w:adjustRightInd w:val="0"/>
        <w:snapToGrid w:val="0"/>
        <w:spacing w:line="360" w:lineRule="auto"/>
        <w:ind w:firstLine="390" w:firstLineChars="186"/>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系</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 xml:space="preserve"> （比选申请人名称）的法定代表人。</w:t>
      </w:r>
    </w:p>
    <w:p w14:paraId="40E9F315">
      <w:pPr>
        <w:autoSpaceDE w:val="0"/>
        <w:autoSpaceDN w:val="0"/>
        <w:adjustRightInd w:val="0"/>
        <w:snapToGrid w:val="0"/>
        <w:spacing w:line="360" w:lineRule="auto"/>
        <w:ind w:firstLine="186" w:firstLineChars="186"/>
        <w:jc w:val="left"/>
        <w:rPr>
          <w:rFonts w:hint="eastAsia" w:ascii="宋体" w:hAnsi="宋体" w:cs="宋体"/>
          <w:color w:val="auto"/>
          <w:kern w:val="0"/>
          <w:sz w:val="10"/>
          <w:szCs w:val="10"/>
          <w:highlight w:val="none"/>
        </w:rPr>
      </w:pPr>
    </w:p>
    <w:p w14:paraId="165B4F75">
      <w:pPr>
        <w:autoSpaceDE w:val="0"/>
        <w:autoSpaceDN w:val="0"/>
        <w:adjustRightInd w:val="0"/>
        <w:snapToGrid w:val="0"/>
        <w:spacing w:line="360" w:lineRule="auto"/>
        <w:ind w:firstLine="810" w:firstLineChars="386"/>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特此证明。</w:t>
      </w:r>
    </w:p>
    <w:p w14:paraId="5171409A">
      <w:pPr>
        <w:autoSpaceDE w:val="0"/>
        <w:autoSpaceDN w:val="0"/>
        <w:adjustRightInd w:val="0"/>
        <w:snapToGrid w:val="0"/>
        <w:spacing w:line="360" w:lineRule="auto"/>
        <w:jc w:val="left"/>
        <w:rPr>
          <w:rFonts w:hint="eastAsia" w:ascii="宋体" w:hAnsi="宋体" w:cs="宋体"/>
          <w:color w:val="auto"/>
          <w:kern w:val="0"/>
          <w:sz w:val="18"/>
          <w:szCs w:val="18"/>
          <w:highlight w:val="none"/>
        </w:rPr>
      </w:pPr>
    </w:p>
    <w:p w14:paraId="68DB0AC2">
      <w:pPr>
        <w:autoSpaceDE w:val="0"/>
        <w:autoSpaceDN w:val="0"/>
        <w:adjustRightInd w:val="0"/>
        <w:snapToGrid w:val="0"/>
        <w:spacing w:line="360" w:lineRule="auto"/>
        <w:jc w:val="left"/>
        <w:rPr>
          <w:rFonts w:hint="eastAsia" w:ascii="宋体" w:hAnsi="宋体" w:cs="宋体"/>
          <w:color w:val="auto"/>
          <w:kern w:val="0"/>
          <w:sz w:val="20"/>
          <w:szCs w:val="20"/>
          <w:highlight w:val="none"/>
        </w:rPr>
      </w:pPr>
    </w:p>
    <w:p w14:paraId="65B6F450">
      <w:pPr>
        <w:tabs>
          <w:tab w:val="left" w:pos="5460"/>
        </w:tabs>
        <w:autoSpaceDE w:val="0"/>
        <w:autoSpaceDN w:val="0"/>
        <w:adjustRightInd w:val="0"/>
        <w:snapToGrid w:val="0"/>
        <w:spacing w:line="360" w:lineRule="auto"/>
        <w:ind w:firstLine="2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比选申请人：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rPr>
        <w:t>盖单位法人章）</w:t>
      </w:r>
    </w:p>
    <w:p w14:paraId="1D06C02F">
      <w:pPr>
        <w:autoSpaceDE w:val="0"/>
        <w:autoSpaceDN w:val="0"/>
        <w:adjustRightInd w:val="0"/>
        <w:snapToGrid w:val="0"/>
        <w:spacing w:line="360" w:lineRule="auto"/>
        <w:jc w:val="left"/>
        <w:rPr>
          <w:rFonts w:hint="eastAsia" w:ascii="宋体" w:hAnsi="宋体" w:cs="宋体"/>
          <w:color w:val="auto"/>
          <w:kern w:val="0"/>
          <w:sz w:val="20"/>
          <w:szCs w:val="20"/>
          <w:highlight w:val="none"/>
        </w:rPr>
      </w:pPr>
    </w:p>
    <w:p w14:paraId="515160A0">
      <w:pPr>
        <w:tabs>
          <w:tab w:val="left" w:pos="4935"/>
          <w:tab w:val="left" w:pos="5460"/>
          <w:tab w:val="left" w:pos="6400"/>
        </w:tabs>
        <w:autoSpaceDE w:val="0"/>
        <w:autoSpaceDN w:val="0"/>
        <w:adjustRightInd w:val="0"/>
        <w:snapToGrid w:val="0"/>
        <w:spacing w:line="360" w:lineRule="auto"/>
        <w:ind w:firstLine="3780"/>
        <w:jc w:val="left"/>
        <w:rPr>
          <w:rFonts w:hint="eastAsia" w:ascii="宋体" w:hAnsi="宋体" w:cs="宋体"/>
          <w:color w:val="auto"/>
          <w:kern w:val="0"/>
          <w:szCs w:val="21"/>
          <w:highlight w:val="none"/>
        </w:rPr>
      </w:pP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spacing w:val="-1"/>
          <w:kern w:val="0"/>
          <w:szCs w:val="21"/>
          <w:highlight w:val="none"/>
        </w:rPr>
        <w:t>年</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日</w:t>
      </w:r>
    </w:p>
    <w:p w14:paraId="031A46BF">
      <w:pPr>
        <w:autoSpaceDE w:val="0"/>
        <w:autoSpaceDN w:val="0"/>
        <w:adjustRightInd w:val="0"/>
        <w:snapToGrid w:val="0"/>
        <w:spacing w:line="360" w:lineRule="auto"/>
        <w:jc w:val="left"/>
        <w:rPr>
          <w:rFonts w:hint="eastAsia" w:ascii="宋体" w:hAnsi="宋体" w:cs="宋体"/>
          <w:color w:val="auto"/>
          <w:kern w:val="0"/>
          <w:highlight w:val="none"/>
        </w:rPr>
      </w:pPr>
    </w:p>
    <w:p w14:paraId="3CDB29D1">
      <w:pPr>
        <w:autoSpaceDE w:val="0"/>
        <w:autoSpaceDN w:val="0"/>
        <w:adjustRightInd w:val="0"/>
        <w:snapToGrid w:val="0"/>
        <w:spacing w:line="360" w:lineRule="auto"/>
        <w:jc w:val="left"/>
        <w:rPr>
          <w:rFonts w:hint="eastAsia" w:ascii="宋体" w:hAnsi="宋体" w:cs="宋体"/>
          <w:color w:val="auto"/>
          <w:kern w:val="0"/>
          <w:highlight w:val="none"/>
        </w:rPr>
      </w:pPr>
    </w:p>
    <w:p w14:paraId="70B7BCAB">
      <w:pPr>
        <w:autoSpaceDE w:val="0"/>
        <w:autoSpaceDN w:val="0"/>
        <w:adjustRightInd w:val="0"/>
        <w:snapToGrid w:val="0"/>
        <w:spacing w:line="360" w:lineRule="auto"/>
        <w:jc w:val="left"/>
        <w:rPr>
          <w:rFonts w:hint="eastAsia" w:ascii="宋体" w:hAnsi="宋体" w:cs="宋体"/>
          <w:color w:val="auto"/>
          <w:kern w:val="0"/>
          <w:highlight w:val="none"/>
        </w:rPr>
      </w:pPr>
    </w:p>
    <w:p w14:paraId="4DA093C5">
      <w:pPr>
        <w:autoSpaceDE w:val="0"/>
        <w:autoSpaceDN w:val="0"/>
        <w:adjustRightInd w:val="0"/>
        <w:snapToGrid w:val="0"/>
        <w:spacing w:line="360" w:lineRule="auto"/>
        <w:jc w:val="left"/>
        <w:rPr>
          <w:rFonts w:hint="eastAsia" w:ascii="宋体" w:hAnsi="宋体" w:cs="宋体"/>
          <w:color w:val="auto"/>
          <w:kern w:val="0"/>
          <w:highlight w:val="none"/>
        </w:rPr>
      </w:pPr>
    </w:p>
    <w:p w14:paraId="218E4230">
      <w:pPr>
        <w:autoSpaceDE w:val="0"/>
        <w:autoSpaceDN w:val="0"/>
        <w:adjustRightInd w:val="0"/>
        <w:snapToGrid w:val="0"/>
        <w:spacing w:line="360" w:lineRule="auto"/>
        <w:jc w:val="left"/>
        <w:rPr>
          <w:rFonts w:hint="eastAsia" w:ascii="宋体" w:hAnsi="宋体" w:cs="宋体"/>
          <w:color w:val="auto"/>
          <w:kern w:val="0"/>
          <w:highlight w:val="none"/>
        </w:rPr>
      </w:pPr>
    </w:p>
    <w:p w14:paraId="5FBEF760">
      <w:pPr>
        <w:tabs>
          <w:tab w:val="left" w:pos="1680"/>
          <w:tab w:val="left" w:pos="4215"/>
          <w:tab w:val="left" w:pos="4305"/>
          <w:tab w:val="left" w:pos="8000"/>
        </w:tabs>
        <w:autoSpaceDE w:val="0"/>
        <w:autoSpaceDN w:val="0"/>
        <w:adjustRightInd w:val="0"/>
        <w:snapToGrid w:val="0"/>
        <w:spacing w:line="360" w:lineRule="auto"/>
        <w:rPr>
          <w:rFonts w:hint="eastAsia" w:ascii="宋体" w:hAnsi="宋体" w:cs="宋体"/>
          <w:color w:val="auto"/>
          <w:kern w:val="0"/>
          <w:szCs w:val="21"/>
          <w:highlight w:val="none"/>
        </w:rPr>
      </w:pPr>
    </w:p>
    <w:p w14:paraId="0F3E0F4B">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br w:type="page"/>
      </w:r>
      <w:r>
        <w:rPr>
          <w:rFonts w:hint="eastAsia" w:ascii="宋体" w:hAnsi="宋体" w:cs="宋体"/>
          <w:b/>
          <w:color w:val="auto"/>
          <w:kern w:val="0"/>
          <w:sz w:val="28"/>
          <w:szCs w:val="28"/>
          <w:highlight w:val="none"/>
        </w:rPr>
        <w:t xml:space="preserve">授权委托书 </w:t>
      </w:r>
    </w:p>
    <w:p w14:paraId="753C11D2">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本人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（姓名）系</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比选申请人</w:t>
      </w:r>
      <w:r>
        <w:rPr>
          <w:rFonts w:hint="eastAsia" w:ascii="宋体" w:hAnsi="宋体" w:cs="宋体"/>
          <w:color w:val="auto"/>
          <w:kern w:val="0"/>
          <w:szCs w:val="21"/>
          <w:highlight w:val="none"/>
        </w:rPr>
        <w:t>名称</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rPr>
        <w:t>的法定代</w:t>
      </w:r>
      <w:r>
        <w:rPr>
          <w:rFonts w:hint="eastAsia" w:ascii="宋体" w:hAnsi="宋体" w:cs="宋体"/>
          <w:color w:val="auto"/>
          <w:spacing w:val="1"/>
          <w:kern w:val="0"/>
          <w:szCs w:val="21"/>
          <w:highlight w:val="none"/>
        </w:rPr>
        <w:t>表</w:t>
      </w:r>
      <w:r>
        <w:rPr>
          <w:rFonts w:hint="eastAsia" w:ascii="宋体" w:hAnsi="宋体" w:cs="宋体"/>
          <w:color w:val="auto"/>
          <w:kern w:val="0"/>
          <w:szCs w:val="21"/>
          <w:highlight w:val="none"/>
        </w:rPr>
        <w:t>人，现委托</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（姓名）为我方代理人。代理人根据授权，以我方名义签署、澄清、说明、补正、递交、撤回、修改、领取</w:t>
      </w:r>
      <w:r>
        <w:rPr>
          <w:rFonts w:hint="eastAsia" w:ascii="宋体" w:hAnsi="宋体" w:cs="宋体"/>
          <w:color w:val="auto"/>
          <w:w w:val="200"/>
          <w:kern w:val="0"/>
          <w:szCs w:val="21"/>
          <w:highlight w:val="none"/>
          <w:u w:val="single"/>
        </w:rPr>
        <w:t xml:space="preserve"> </w:t>
      </w:r>
      <w:r>
        <w:rPr>
          <w:rFonts w:hint="eastAsia" w:ascii="宋体" w:hAnsi="宋体" w:cs="宋体"/>
          <w:snapToGrid w:val="0"/>
          <w:color w:val="auto"/>
          <w:w w:val="200"/>
          <w:kern w:val="0"/>
          <w:szCs w:val="21"/>
          <w:highlight w:val="none"/>
          <w:u w:val="single"/>
        </w:rPr>
        <w:t xml:space="preserve"> </w:t>
      </w: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u w:val="single"/>
        </w:rPr>
        <w:t>（项目名称）</w:t>
      </w:r>
      <w:r>
        <w:rPr>
          <w:rFonts w:hint="eastAsia" w:ascii="宋体" w:hAnsi="宋体" w:cs="宋体"/>
          <w:snapToGrid w:val="0"/>
          <w:color w:val="auto"/>
          <w:w w:val="200"/>
          <w:kern w:val="0"/>
          <w:szCs w:val="21"/>
          <w:highlight w:val="none"/>
          <w:u w:val="single"/>
        </w:rPr>
        <w:t xml:space="preserve"> </w:t>
      </w:r>
      <w:r>
        <w:rPr>
          <w:rFonts w:hint="eastAsia" w:ascii="宋体" w:hAnsi="宋体" w:cs="宋体"/>
          <w:snapToGrid w:val="0"/>
          <w:color w:val="auto"/>
          <w:kern w:val="0"/>
          <w:szCs w:val="21"/>
          <w:highlight w:val="none"/>
          <w:u w:val="single"/>
          <w:lang w:eastAsia="zh-CN"/>
        </w:rPr>
        <w:t>（</w:t>
      </w:r>
      <w:r>
        <w:rPr>
          <w:rFonts w:hint="eastAsia" w:ascii="宋体" w:hAnsi="宋体" w:cs="宋体"/>
          <w:snapToGrid w:val="0"/>
          <w:color w:val="auto"/>
          <w:kern w:val="0"/>
          <w:szCs w:val="21"/>
          <w:highlight w:val="none"/>
          <w:u w:val="single"/>
          <w:lang w:val="en-US" w:eastAsia="zh-CN"/>
        </w:rPr>
        <w:t xml:space="preserve">  </w:t>
      </w:r>
      <w:r>
        <w:rPr>
          <w:rFonts w:hint="eastAsia" w:ascii="宋体" w:hAnsi="宋体" w:cs="宋体"/>
          <w:snapToGrid w:val="0"/>
          <w:color w:val="auto"/>
          <w:kern w:val="0"/>
          <w:szCs w:val="21"/>
          <w:highlight w:val="none"/>
          <w:u w:val="single"/>
          <w:lang w:eastAsia="zh-CN"/>
        </w:rPr>
        <w:t>标段）</w:t>
      </w:r>
      <w:r>
        <w:rPr>
          <w:rFonts w:hint="eastAsia" w:ascii="宋体" w:hAnsi="宋体" w:cs="宋体"/>
          <w:color w:val="auto"/>
          <w:kern w:val="0"/>
          <w:szCs w:val="21"/>
          <w:highlight w:val="none"/>
        </w:rPr>
        <w:t>比选申请文件、签订合同和处理有关事宜，其法律后果由我方承担。</w:t>
      </w:r>
    </w:p>
    <w:p w14:paraId="61A1E186">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委托</w:t>
      </w:r>
      <w:r>
        <w:rPr>
          <w:rFonts w:hint="eastAsia" w:ascii="宋体" w:hAnsi="宋体" w:cs="宋体"/>
          <w:color w:val="auto"/>
          <w:spacing w:val="-1"/>
          <w:kern w:val="0"/>
          <w:szCs w:val="21"/>
          <w:highlight w:val="none"/>
        </w:rPr>
        <w:t>期</w:t>
      </w:r>
      <w:r>
        <w:rPr>
          <w:rFonts w:hint="eastAsia" w:ascii="宋体" w:hAnsi="宋体" w:cs="宋体"/>
          <w:color w:val="auto"/>
          <w:kern w:val="0"/>
          <w:szCs w:val="21"/>
          <w:highlight w:val="none"/>
        </w:rPr>
        <w:t>限：</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w:t>
      </w:r>
    </w:p>
    <w:p w14:paraId="2D02DDAD">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代理人无转委托权。</w:t>
      </w:r>
    </w:p>
    <w:p w14:paraId="3CC4E78D">
      <w:pPr>
        <w:tabs>
          <w:tab w:val="left" w:pos="4200"/>
          <w:tab w:val="left" w:pos="4620"/>
        </w:tabs>
        <w:autoSpaceDE w:val="0"/>
        <w:autoSpaceDN w:val="0"/>
        <w:adjustRightInd w:val="0"/>
        <w:snapToGrid w:val="0"/>
        <w:spacing w:line="360" w:lineRule="auto"/>
        <w:ind w:firstLine="1694"/>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比选申请人：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盖</w:t>
      </w:r>
      <w:r>
        <w:rPr>
          <w:rFonts w:hint="eastAsia" w:ascii="宋体" w:hAnsi="宋体" w:cs="宋体"/>
          <w:color w:val="auto"/>
          <w:kern w:val="0"/>
          <w:szCs w:val="21"/>
          <w:highlight w:val="none"/>
        </w:rPr>
        <w:t xml:space="preserve">单位法人章） </w:t>
      </w:r>
    </w:p>
    <w:p w14:paraId="5BCC694E">
      <w:pPr>
        <w:tabs>
          <w:tab w:val="left" w:pos="6300"/>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（签字或盖章）</w:t>
      </w:r>
    </w:p>
    <w:p w14:paraId="03562FF8">
      <w:pPr>
        <w:tabs>
          <w:tab w:val="left" w:pos="5260"/>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身份证号码：</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14:paraId="0FBB2680">
      <w:pPr>
        <w:tabs>
          <w:tab w:val="left" w:pos="6720"/>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委托代理人：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（签</w:t>
      </w:r>
      <w:r>
        <w:rPr>
          <w:rFonts w:hint="eastAsia" w:ascii="宋体" w:hAnsi="宋体" w:cs="宋体"/>
          <w:color w:val="auto"/>
          <w:spacing w:val="-1"/>
          <w:kern w:val="0"/>
          <w:szCs w:val="21"/>
          <w:highlight w:val="none"/>
        </w:rPr>
        <w:t>字</w:t>
      </w:r>
      <w:r>
        <w:rPr>
          <w:rFonts w:hint="eastAsia" w:ascii="宋体" w:hAnsi="宋体" w:cs="宋体"/>
          <w:color w:val="auto"/>
          <w:kern w:val="0"/>
          <w:szCs w:val="21"/>
          <w:highlight w:val="none"/>
        </w:rPr>
        <w:t>）</w:t>
      </w:r>
    </w:p>
    <w:p w14:paraId="661D15AF">
      <w:pPr>
        <w:tabs>
          <w:tab w:val="left" w:pos="6825"/>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身份证号码：</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14:paraId="7B895886">
      <w:pPr>
        <w:tabs>
          <w:tab w:val="left" w:pos="6825"/>
        </w:tabs>
        <w:autoSpaceDE w:val="0"/>
        <w:autoSpaceDN w:val="0"/>
        <w:adjustRightInd w:val="0"/>
        <w:snapToGrid w:val="0"/>
        <w:spacing w:line="360" w:lineRule="auto"/>
        <w:ind w:firstLine="168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 xml:space="preserve">社保号码： </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14:paraId="06C7A906">
      <w:pPr>
        <w:tabs>
          <w:tab w:val="left" w:pos="6825"/>
        </w:tabs>
        <w:autoSpaceDE w:val="0"/>
        <w:autoSpaceDN w:val="0"/>
        <w:adjustRightInd w:val="0"/>
        <w:snapToGrid w:val="0"/>
        <w:spacing w:line="360" w:lineRule="auto"/>
        <w:ind w:firstLine="168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座机：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14:paraId="08335D77">
      <w:pPr>
        <w:autoSpaceDE w:val="0"/>
        <w:autoSpaceDN w:val="0"/>
        <w:adjustRightInd w:val="0"/>
        <w:snapToGrid w:val="0"/>
        <w:spacing w:line="360" w:lineRule="auto"/>
        <w:ind w:firstLine="1680" w:firstLineChars="800"/>
        <w:jc w:val="left"/>
        <w:rPr>
          <w:rFonts w:hint="eastAsia" w:ascii="宋体" w:hAnsi="宋体" w:cs="宋体"/>
          <w:color w:val="auto"/>
          <w:kern w:val="0"/>
          <w:sz w:val="20"/>
          <w:szCs w:val="20"/>
          <w:highlight w:val="none"/>
          <w:u w:val="none"/>
        </w:rPr>
      </w:pPr>
      <w:r>
        <w:rPr>
          <w:rFonts w:hint="eastAsia" w:ascii="宋体" w:hAnsi="宋体" w:cs="宋体"/>
          <w:color w:val="auto"/>
          <w:kern w:val="0"/>
          <w:szCs w:val="21"/>
          <w:highlight w:val="none"/>
        </w:rPr>
        <w:t xml:space="preserve">手机：  </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14:paraId="39424375">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宋体"/>
          <w:color w:val="auto"/>
          <w:kern w:val="0"/>
          <w:szCs w:val="21"/>
          <w:highlight w:val="none"/>
        </w:rPr>
      </w:pP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年</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月</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日</w:t>
      </w:r>
    </w:p>
    <w:p w14:paraId="68606E3B">
      <w:pPr>
        <w:autoSpaceDE w:val="0"/>
        <w:autoSpaceDN w:val="0"/>
        <w:adjustRightInd w:val="0"/>
        <w:snapToGrid w:val="0"/>
        <w:spacing w:line="360" w:lineRule="auto"/>
        <w:jc w:val="left"/>
        <w:rPr>
          <w:rFonts w:hint="eastAsia" w:ascii="宋体" w:hAnsi="宋体" w:cs="宋体"/>
          <w:color w:val="auto"/>
          <w:kern w:val="0"/>
          <w:szCs w:val="21"/>
          <w:highlight w:val="none"/>
        </w:rPr>
      </w:pPr>
    </w:p>
    <w:tbl>
      <w:tblPr>
        <w:tblStyle w:val="51"/>
        <w:tblW w:w="8360" w:type="dxa"/>
        <w:tblInd w:w="20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0"/>
        <w:gridCol w:w="4180"/>
      </w:tblGrid>
      <w:tr w14:paraId="01FF3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trPr>
        <w:tc>
          <w:tcPr>
            <w:tcW w:w="4180" w:type="dxa"/>
            <w:noWrap w:val="0"/>
            <w:vAlign w:val="top"/>
          </w:tcPr>
          <w:p w14:paraId="5988AE99">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cs="宋体"/>
                <w:color w:val="auto"/>
                <w:highlight w:val="none"/>
                <w:lang w:val="en-US" w:eastAsia="zh-CN"/>
              </w:rPr>
              <w:t>法定代表</w:t>
            </w:r>
            <w:r>
              <w:rPr>
                <w:rFonts w:hint="eastAsia" w:ascii="宋体" w:hAnsi="宋体" w:eastAsia="宋体" w:cs="宋体"/>
                <w:color w:val="auto"/>
                <w:highlight w:val="none"/>
              </w:rPr>
              <w:t>人身份证复印件</w:t>
            </w:r>
          </w:p>
          <w:p w14:paraId="2A033C50">
            <w:pPr>
              <w:keepNext w:val="0"/>
              <w:keepLines w:val="0"/>
              <w:suppressLineNumbers w:val="0"/>
              <w:spacing w:before="0" w:beforeAutospacing="0" w:after="0" w:afterAutospacing="0" w:line="520" w:lineRule="exact"/>
              <w:ind w:left="0" w:right="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双面</w:t>
            </w:r>
          </w:p>
          <w:p w14:paraId="5BB3A45A">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color w:val="auto"/>
                <w:kern w:val="0"/>
                <w:sz w:val="20"/>
                <w:szCs w:val="20"/>
                <w:highlight w:val="none"/>
              </w:rPr>
            </w:pPr>
          </w:p>
          <w:p w14:paraId="75E28606">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color w:val="auto"/>
                <w:kern w:val="0"/>
                <w:sz w:val="20"/>
                <w:szCs w:val="20"/>
                <w:highlight w:val="none"/>
              </w:rPr>
            </w:pPr>
          </w:p>
          <w:p w14:paraId="467E8E20">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color w:val="auto"/>
                <w:kern w:val="0"/>
                <w:sz w:val="20"/>
                <w:szCs w:val="20"/>
                <w:highlight w:val="none"/>
              </w:rPr>
            </w:pPr>
          </w:p>
        </w:tc>
        <w:tc>
          <w:tcPr>
            <w:tcW w:w="4180" w:type="dxa"/>
            <w:noWrap w:val="0"/>
            <w:vAlign w:val="top"/>
          </w:tcPr>
          <w:p w14:paraId="44AA78C7">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委托代理人身份证复印件</w:t>
            </w:r>
          </w:p>
          <w:p w14:paraId="0C796B83">
            <w:pPr>
              <w:keepNext w:val="0"/>
              <w:keepLines w:val="0"/>
              <w:suppressLineNumbers w:val="0"/>
              <w:spacing w:before="0" w:beforeAutospacing="0" w:after="0" w:afterAutospacing="0" w:line="520" w:lineRule="exact"/>
              <w:ind w:left="0" w:right="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双面</w:t>
            </w:r>
          </w:p>
          <w:p w14:paraId="79B2BB2D">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color w:val="auto"/>
                <w:kern w:val="0"/>
                <w:sz w:val="20"/>
                <w:szCs w:val="20"/>
                <w:highlight w:val="none"/>
              </w:rPr>
            </w:pPr>
          </w:p>
        </w:tc>
      </w:tr>
    </w:tbl>
    <w:p w14:paraId="7A98FBB6">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宋体"/>
          <w:color w:val="auto"/>
          <w:w w:val="200"/>
          <w:kern w:val="0"/>
          <w:szCs w:val="21"/>
          <w:highlight w:val="none"/>
          <w:u w:val="single"/>
        </w:rPr>
      </w:pPr>
    </w:p>
    <w:p w14:paraId="767D96EF">
      <w:pPr>
        <w:autoSpaceDE w:val="0"/>
        <w:autoSpaceDN w:val="0"/>
        <w:adjustRightInd w:val="0"/>
        <w:snapToGrid w:val="0"/>
        <w:spacing w:line="360" w:lineRule="auto"/>
        <w:jc w:val="left"/>
        <w:rPr>
          <w:rFonts w:hint="eastAsia" w:ascii="宋体" w:hAnsi="宋体" w:cs="宋体"/>
          <w:color w:val="auto"/>
          <w:kern w:val="0"/>
          <w:sz w:val="28"/>
          <w:szCs w:val="28"/>
          <w:highlight w:val="none"/>
        </w:rPr>
      </w:pPr>
    </w:p>
    <w:p w14:paraId="0A266020">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宋体"/>
          <w:color w:val="auto"/>
          <w:kern w:val="0"/>
          <w:szCs w:val="21"/>
          <w:highlight w:val="none"/>
        </w:rPr>
      </w:pP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年</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月</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日</w:t>
      </w:r>
    </w:p>
    <w:p w14:paraId="5DD17221">
      <w:pPr>
        <w:autoSpaceDE w:val="0"/>
        <w:autoSpaceDN w:val="0"/>
        <w:adjustRightInd w:val="0"/>
        <w:snapToGrid w:val="0"/>
        <w:spacing w:line="360" w:lineRule="auto"/>
        <w:jc w:val="left"/>
        <w:rPr>
          <w:rFonts w:hint="eastAsia" w:ascii="宋体" w:hAnsi="宋体" w:cs="宋体"/>
          <w:color w:val="auto"/>
          <w:kern w:val="0"/>
          <w:highlight w:val="none"/>
        </w:rPr>
      </w:pPr>
    </w:p>
    <w:p w14:paraId="67BECA65">
      <w:pPr>
        <w:tabs>
          <w:tab w:val="left" w:pos="4005"/>
          <w:tab w:val="left" w:pos="4100"/>
          <w:tab w:val="left" w:pos="5040"/>
        </w:tabs>
        <w:autoSpaceDE w:val="0"/>
        <w:autoSpaceDN w:val="0"/>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rPr>
        <w:t>注：</w:t>
      </w:r>
      <w:r>
        <w:rPr>
          <w:rFonts w:hint="eastAsia" w:ascii="宋体" w:hAnsi="宋体" w:eastAsia="宋体" w:cs="宋体"/>
          <w:color w:val="auto"/>
          <w:kern w:val="0"/>
          <w:szCs w:val="21"/>
          <w:highlight w:val="none"/>
        </w:rPr>
        <w:t>1、法定代表人参加</w:t>
      </w:r>
      <w:r>
        <w:rPr>
          <w:rFonts w:hint="eastAsia" w:ascii="宋体" w:hAnsi="宋体" w:eastAsia="宋体" w:cs="宋体"/>
          <w:color w:val="auto"/>
          <w:kern w:val="0"/>
          <w:szCs w:val="21"/>
          <w:highlight w:val="none"/>
          <w:lang w:val="en-US" w:eastAsia="zh-CN"/>
        </w:rPr>
        <w:t>比选申请</w:t>
      </w:r>
      <w:r>
        <w:rPr>
          <w:rFonts w:hint="eastAsia" w:ascii="宋体" w:hAnsi="宋体" w:eastAsia="宋体" w:cs="宋体"/>
          <w:color w:val="auto"/>
          <w:kern w:val="0"/>
          <w:szCs w:val="21"/>
          <w:highlight w:val="none"/>
        </w:rPr>
        <w:t>活动并签署文件的不需要授权委托书，只需提供法定代表人身份证明；非法定代表人参加</w:t>
      </w:r>
      <w:r>
        <w:rPr>
          <w:rFonts w:hint="eastAsia" w:ascii="宋体" w:hAnsi="宋体" w:eastAsia="宋体" w:cs="宋体"/>
          <w:color w:val="auto"/>
          <w:kern w:val="0"/>
          <w:szCs w:val="21"/>
          <w:highlight w:val="none"/>
          <w:lang w:val="en-US" w:eastAsia="zh-CN"/>
        </w:rPr>
        <w:t>比选申请</w:t>
      </w:r>
      <w:r>
        <w:rPr>
          <w:rFonts w:hint="eastAsia" w:ascii="宋体" w:hAnsi="宋体" w:eastAsia="宋体" w:cs="宋体"/>
          <w:color w:val="auto"/>
          <w:kern w:val="0"/>
          <w:szCs w:val="21"/>
          <w:highlight w:val="none"/>
        </w:rPr>
        <w:t>活动及签署文件的除提供法定代表人身份证明外还须提供授权委托书。</w:t>
      </w:r>
    </w:p>
    <w:p w14:paraId="2A4A770F">
      <w:pPr>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2、法定代表人身份证明及授权委托书原件装入比选申请文件一并递交。另外须准备一份在开标现场出具。</w:t>
      </w:r>
    </w:p>
    <w:p w14:paraId="77B1466A">
      <w:pPr>
        <w:tabs>
          <w:tab w:val="left" w:pos="5760"/>
        </w:tabs>
        <w:autoSpaceDE w:val="0"/>
        <w:autoSpaceDN w:val="0"/>
        <w:adjustRightInd w:val="0"/>
        <w:spacing w:line="300" w:lineRule="exact"/>
        <w:ind w:right="11" w:firstLine="445" w:firstLineChars="212"/>
        <w:rPr>
          <w:rFonts w:hint="eastAsia"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601DD41C">
      <w:pPr>
        <w:rPr>
          <w:rFonts w:hint="eastAsia" w:ascii="宋体" w:hAnsi="宋体" w:cs="宋体"/>
          <w:b/>
          <w:color w:val="auto"/>
          <w:kern w:val="0"/>
          <w:highlight w:val="none"/>
        </w:rPr>
      </w:pPr>
    </w:p>
    <w:p w14:paraId="46096F8F">
      <w:pPr>
        <w:pStyle w:val="4"/>
        <w:numPr>
          <w:ilvl w:val="0"/>
          <w:numId w:val="0"/>
        </w:numPr>
        <w:tabs>
          <w:tab w:val="left" w:pos="720"/>
          <w:tab w:val="clear" w:pos="709"/>
        </w:tabs>
        <w:jc w:val="center"/>
        <w:rPr>
          <w:rFonts w:hint="eastAsia" w:ascii="宋体" w:hAnsi="宋体" w:eastAsia="宋体" w:cs="宋体"/>
          <w:color w:val="auto"/>
          <w:sz w:val="28"/>
          <w:highlight w:val="none"/>
        </w:rPr>
      </w:pPr>
      <w:bookmarkStart w:id="529" w:name="_Toc8037"/>
      <w:bookmarkStart w:id="530" w:name="_Toc391220338"/>
      <w:r>
        <w:rPr>
          <w:rFonts w:hint="eastAsia" w:ascii="宋体" w:hAnsi="宋体" w:eastAsia="宋体" w:cs="宋体"/>
          <w:color w:val="auto"/>
          <w:sz w:val="28"/>
          <w:highlight w:val="none"/>
        </w:rPr>
        <w:t>（二）比选申请人基本情况表</w:t>
      </w:r>
      <w:bookmarkEnd w:id="529"/>
      <w:bookmarkEnd w:id="530"/>
    </w:p>
    <w:tbl>
      <w:tblPr>
        <w:tblStyle w:val="51"/>
        <w:tblpPr w:leftFromText="180" w:rightFromText="180" w:vertAnchor="page" w:horzAnchor="page" w:tblpX="1644" w:tblpY="2207"/>
        <w:tblW w:w="0" w:type="auto"/>
        <w:tblInd w:w="-5" w:type="dxa"/>
        <w:tblLayout w:type="fixed"/>
        <w:tblCellMar>
          <w:top w:w="0" w:type="dxa"/>
          <w:left w:w="0" w:type="dxa"/>
          <w:bottom w:w="0" w:type="dxa"/>
          <w:right w:w="0" w:type="dxa"/>
        </w:tblCellMar>
      </w:tblPr>
      <w:tblGrid>
        <w:gridCol w:w="1728"/>
        <w:gridCol w:w="898"/>
        <w:gridCol w:w="79"/>
        <w:gridCol w:w="872"/>
        <w:gridCol w:w="840"/>
        <w:gridCol w:w="420"/>
        <w:gridCol w:w="96"/>
        <w:gridCol w:w="1293"/>
        <w:gridCol w:w="491"/>
        <w:gridCol w:w="859"/>
        <w:gridCol w:w="992"/>
      </w:tblGrid>
      <w:tr w14:paraId="33B98408">
        <w:tblPrEx>
          <w:tblCellMar>
            <w:top w:w="0" w:type="dxa"/>
            <w:left w:w="0" w:type="dxa"/>
            <w:bottom w:w="0" w:type="dxa"/>
            <w:right w:w="0" w:type="dxa"/>
          </w:tblCellMar>
        </w:tblPrEx>
        <w:trPr>
          <w:trHeight w:val="789"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39619AEF">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申请人名称</w:t>
            </w:r>
          </w:p>
        </w:tc>
        <w:tc>
          <w:tcPr>
            <w:tcW w:w="6840" w:type="dxa"/>
            <w:gridSpan w:val="10"/>
            <w:tcBorders>
              <w:top w:val="single" w:color="000000" w:sz="4" w:space="0"/>
              <w:left w:val="single" w:color="000000" w:sz="4" w:space="0"/>
              <w:bottom w:val="single" w:color="000000" w:sz="4" w:space="0"/>
              <w:right w:val="single" w:color="000000" w:sz="4" w:space="0"/>
            </w:tcBorders>
            <w:noWrap w:val="0"/>
            <w:vAlign w:val="center"/>
          </w:tcPr>
          <w:p w14:paraId="53EFAF57">
            <w:pPr>
              <w:keepNext w:val="0"/>
              <w:keepLines w:val="0"/>
              <w:suppressLineNumbers w:val="0"/>
              <w:autoSpaceDE w:val="0"/>
              <w:autoSpaceDN w:val="0"/>
              <w:adjustRightInd w:val="0"/>
              <w:snapToGrid w:val="0"/>
              <w:spacing w:before="0" w:beforeAutospacing="0" w:after="0" w:afterAutospacing="0"/>
              <w:ind w:left="0" w:right="-210" w:rightChars="-100"/>
              <w:jc w:val="center"/>
              <w:rPr>
                <w:rFonts w:hint="eastAsia" w:ascii="宋体" w:hAnsi="宋体" w:eastAsia="宋体" w:cs="宋体"/>
                <w:color w:val="auto"/>
                <w:kern w:val="0"/>
                <w:szCs w:val="21"/>
                <w:highlight w:val="none"/>
              </w:rPr>
            </w:pPr>
          </w:p>
        </w:tc>
      </w:tr>
      <w:tr w14:paraId="30DD9EF2">
        <w:tblPrEx>
          <w:tblCellMar>
            <w:top w:w="0" w:type="dxa"/>
            <w:left w:w="0" w:type="dxa"/>
            <w:bottom w:w="0" w:type="dxa"/>
            <w:right w:w="0" w:type="dxa"/>
          </w:tblCellMar>
        </w:tblPrEx>
        <w:trPr>
          <w:trHeight w:val="771"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337A48CF">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注册地址</w:t>
            </w:r>
          </w:p>
        </w:tc>
        <w:tc>
          <w:tcPr>
            <w:tcW w:w="3205" w:type="dxa"/>
            <w:gridSpan w:val="6"/>
            <w:tcBorders>
              <w:top w:val="single" w:color="000000" w:sz="4" w:space="0"/>
              <w:left w:val="single" w:color="000000" w:sz="4" w:space="0"/>
              <w:bottom w:val="single" w:color="000000" w:sz="4" w:space="0"/>
              <w:right w:val="single" w:color="000000" w:sz="4" w:space="0"/>
            </w:tcBorders>
            <w:noWrap w:val="0"/>
            <w:vAlign w:val="center"/>
          </w:tcPr>
          <w:p w14:paraId="7F2E002C">
            <w:pPr>
              <w:keepNext w:val="0"/>
              <w:keepLines w:val="0"/>
              <w:suppressLineNumbers w:val="0"/>
              <w:autoSpaceDE w:val="0"/>
              <w:autoSpaceDN w:val="0"/>
              <w:adjustRightInd w:val="0"/>
              <w:snapToGrid w:val="0"/>
              <w:spacing w:before="0" w:beforeAutospacing="0" w:after="0" w:afterAutospacing="0"/>
              <w:ind w:left="0" w:right="-210" w:rightChars="-100"/>
              <w:jc w:val="center"/>
              <w:rPr>
                <w:rFonts w:hint="eastAsia" w:ascii="宋体" w:hAnsi="宋体" w:eastAsia="宋体" w:cs="宋体"/>
                <w:color w:val="auto"/>
                <w:kern w:val="0"/>
                <w:szCs w:val="21"/>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52FC80C4">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邮政编码</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14:paraId="67A11929">
            <w:pPr>
              <w:keepNext w:val="0"/>
              <w:keepLines w:val="0"/>
              <w:suppressLineNumbers w:val="0"/>
              <w:autoSpaceDE w:val="0"/>
              <w:autoSpaceDN w:val="0"/>
              <w:adjustRightInd w:val="0"/>
              <w:snapToGrid w:val="0"/>
              <w:spacing w:before="0" w:beforeAutospacing="0" w:after="0" w:afterAutospacing="0"/>
              <w:ind w:left="0" w:right="-210" w:rightChars="-100"/>
              <w:jc w:val="center"/>
              <w:rPr>
                <w:rFonts w:hint="eastAsia" w:ascii="宋体" w:hAnsi="宋体" w:eastAsia="宋体" w:cs="宋体"/>
                <w:color w:val="auto"/>
                <w:kern w:val="0"/>
                <w:szCs w:val="21"/>
                <w:highlight w:val="none"/>
              </w:rPr>
            </w:pPr>
          </w:p>
        </w:tc>
      </w:tr>
      <w:tr w14:paraId="6CF601C2">
        <w:tblPrEx>
          <w:tblCellMar>
            <w:top w:w="0" w:type="dxa"/>
            <w:left w:w="0" w:type="dxa"/>
            <w:bottom w:w="0" w:type="dxa"/>
            <w:right w:w="0" w:type="dxa"/>
          </w:tblCellMar>
        </w:tblPrEx>
        <w:trPr>
          <w:cantSplit/>
          <w:trHeight w:val="625" w:hRule="exact"/>
        </w:trPr>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14:paraId="086220E7">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联系方式</w:t>
            </w:r>
          </w:p>
        </w:tc>
        <w:tc>
          <w:tcPr>
            <w:tcW w:w="977" w:type="dxa"/>
            <w:gridSpan w:val="2"/>
            <w:tcBorders>
              <w:top w:val="single" w:color="000000" w:sz="4" w:space="0"/>
              <w:left w:val="single" w:color="000000" w:sz="4" w:space="0"/>
              <w:bottom w:val="single" w:color="000000" w:sz="4" w:space="0"/>
              <w:right w:val="single" w:color="000000" w:sz="4" w:space="0"/>
            </w:tcBorders>
            <w:noWrap w:val="0"/>
            <w:vAlign w:val="center"/>
          </w:tcPr>
          <w:p w14:paraId="3613DBC9">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w:t>
            </w:r>
          </w:p>
        </w:tc>
        <w:tc>
          <w:tcPr>
            <w:tcW w:w="2228" w:type="dxa"/>
            <w:gridSpan w:val="4"/>
            <w:tcBorders>
              <w:top w:val="single" w:color="000000" w:sz="4" w:space="0"/>
              <w:left w:val="single" w:color="000000" w:sz="4" w:space="0"/>
              <w:bottom w:val="single" w:color="000000" w:sz="4" w:space="0"/>
              <w:right w:val="single" w:color="000000" w:sz="4" w:space="0"/>
            </w:tcBorders>
            <w:noWrap w:val="0"/>
            <w:vAlign w:val="center"/>
          </w:tcPr>
          <w:p w14:paraId="6AB2D1AA">
            <w:pPr>
              <w:keepNext w:val="0"/>
              <w:keepLines w:val="0"/>
              <w:suppressLineNumbers w:val="0"/>
              <w:autoSpaceDE w:val="0"/>
              <w:autoSpaceDN w:val="0"/>
              <w:adjustRightInd w:val="0"/>
              <w:snapToGrid w:val="0"/>
              <w:spacing w:before="0" w:beforeAutospacing="0" w:after="0" w:afterAutospacing="0"/>
              <w:ind w:left="0" w:right="-210" w:rightChars="-100"/>
              <w:jc w:val="center"/>
              <w:rPr>
                <w:rFonts w:hint="eastAsia" w:ascii="宋体" w:hAnsi="宋体" w:eastAsia="宋体" w:cs="宋体"/>
                <w:color w:val="auto"/>
                <w:kern w:val="0"/>
                <w:szCs w:val="21"/>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66D39A8C">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电 </w:t>
            </w:r>
            <w:r>
              <w:rPr>
                <w:rFonts w:hint="eastAsia" w:ascii="宋体" w:hAnsi="宋体" w:eastAsia="宋体" w:cs="宋体"/>
                <w:color w:val="auto"/>
                <w:spacing w:val="1"/>
                <w:kern w:val="0"/>
                <w:szCs w:val="21"/>
                <w:highlight w:val="none"/>
              </w:rPr>
              <w:t xml:space="preserve"> </w:t>
            </w:r>
            <w:r>
              <w:rPr>
                <w:rFonts w:hint="eastAsia" w:ascii="宋体" w:hAnsi="宋体" w:eastAsia="宋体" w:cs="宋体"/>
                <w:color w:val="auto"/>
                <w:kern w:val="0"/>
                <w:szCs w:val="21"/>
                <w:highlight w:val="none"/>
              </w:rPr>
              <w:t>话</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14:paraId="69498BD0">
            <w:pPr>
              <w:keepNext w:val="0"/>
              <w:keepLines w:val="0"/>
              <w:suppressLineNumbers w:val="0"/>
              <w:autoSpaceDE w:val="0"/>
              <w:autoSpaceDN w:val="0"/>
              <w:adjustRightInd w:val="0"/>
              <w:snapToGrid w:val="0"/>
              <w:spacing w:before="0" w:beforeAutospacing="0" w:after="0" w:afterAutospacing="0"/>
              <w:ind w:left="0" w:right="-210" w:rightChars="-100"/>
              <w:jc w:val="center"/>
              <w:rPr>
                <w:rFonts w:hint="eastAsia" w:ascii="宋体" w:hAnsi="宋体" w:eastAsia="宋体" w:cs="宋体"/>
                <w:color w:val="auto"/>
                <w:kern w:val="0"/>
                <w:szCs w:val="21"/>
                <w:highlight w:val="none"/>
              </w:rPr>
            </w:pPr>
          </w:p>
        </w:tc>
      </w:tr>
      <w:tr w14:paraId="779CC979">
        <w:trPr>
          <w:cantSplit/>
          <w:trHeight w:val="618" w:hRule="exact"/>
        </w:trPr>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031303">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977" w:type="dxa"/>
            <w:gridSpan w:val="2"/>
            <w:tcBorders>
              <w:top w:val="single" w:color="000000" w:sz="4" w:space="0"/>
              <w:left w:val="single" w:color="000000" w:sz="4" w:space="0"/>
              <w:bottom w:val="single" w:color="000000" w:sz="4" w:space="0"/>
              <w:right w:val="single" w:color="000000" w:sz="4" w:space="0"/>
            </w:tcBorders>
            <w:noWrap w:val="0"/>
            <w:vAlign w:val="center"/>
          </w:tcPr>
          <w:p w14:paraId="1FCE4630">
            <w:pPr>
              <w:keepNext w:val="0"/>
              <w:keepLines w:val="0"/>
              <w:suppressLineNumbers w:val="0"/>
              <w:tabs>
                <w:tab w:val="left" w:pos="540"/>
              </w:tabs>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传</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真</w:t>
            </w:r>
          </w:p>
        </w:tc>
        <w:tc>
          <w:tcPr>
            <w:tcW w:w="2228" w:type="dxa"/>
            <w:gridSpan w:val="4"/>
            <w:tcBorders>
              <w:top w:val="single" w:color="000000" w:sz="4" w:space="0"/>
              <w:left w:val="single" w:color="000000" w:sz="4" w:space="0"/>
              <w:bottom w:val="single" w:color="000000" w:sz="4" w:space="0"/>
              <w:right w:val="single" w:color="000000" w:sz="4" w:space="0"/>
            </w:tcBorders>
            <w:noWrap w:val="0"/>
            <w:vAlign w:val="center"/>
          </w:tcPr>
          <w:p w14:paraId="7CE7EF88">
            <w:pPr>
              <w:keepNext w:val="0"/>
              <w:keepLines w:val="0"/>
              <w:suppressLineNumbers w:val="0"/>
              <w:autoSpaceDE w:val="0"/>
              <w:autoSpaceDN w:val="0"/>
              <w:adjustRightInd w:val="0"/>
              <w:snapToGrid w:val="0"/>
              <w:spacing w:before="0" w:beforeAutospacing="0" w:after="0" w:afterAutospacing="0"/>
              <w:ind w:left="0" w:right="-210" w:rightChars="-100"/>
              <w:jc w:val="center"/>
              <w:rPr>
                <w:rFonts w:hint="eastAsia" w:ascii="宋体" w:hAnsi="宋体" w:eastAsia="宋体" w:cs="宋体"/>
                <w:color w:val="auto"/>
                <w:kern w:val="0"/>
                <w:szCs w:val="21"/>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249B8DFD">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网 </w:t>
            </w:r>
            <w:r>
              <w:rPr>
                <w:rFonts w:hint="eastAsia" w:ascii="宋体" w:hAnsi="宋体" w:eastAsia="宋体" w:cs="宋体"/>
                <w:color w:val="auto"/>
                <w:spacing w:val="1"/>
                <w:kern w:val="0"/>
                <w:szCs w:val="21"/>
                <w:highlight w:val="none"/>
              </w:rPr>
              <w:t xml:space="preserve"> </w:t>
            </w:r>
            <w:r>
              <w:rPr>
                <w:rFonts w:hint="eastAsia" w:ascii="宋体" w:hAnsi="宋体" w:eastAsia="宋体" w:cs="宋体"/>
                <w:color w:val="auto"/>
                <w:kern w:val="0"/>
                <w:szCs w:val="21"/>
                <w:highlight w:val="none"/>
              </w:rPr>
              <w:t>址</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14:paraId="5468691F">
            <w:pPr>
              <w:keepNext w:val="0"/>
              <w:keepLines w:val="0"/>
              <w:suppressLineNumbers w:val="0"/>
              <w:autoSpaceDE w:val="0"/>
              <w:autoSpaceDN w:val="0"/>
              <w:adjustRightInd w:val="0"/>
              <w:snapToGrid w:val="0"/>
              <w:spacing w:before="0" w:beforeAutospacing="0" w:after="0" w:afterAutospacing="0"/>
              <w:ind w:left="0" w:right="-210" w:rightChars="-100"/>
              <w:jc w:val="center"/>
              <w:rPr>
                <w:rFonts w:hint="eastAsia" w:ascii="宋体" w:hAnsi="宋体" w:eastAsia="宋体" w:cs="宋体"/>
                <w:color w:val="auto"/>
                <w:kern w:val="0"/>
                <w:szCs w:val="21"/>
                <w:highlight w:val="none"/>
              </w:rPr>
            </w:pPr>
          </w:p>
        </w:tc>
      </w:tr>
      <w:tr w14:paraId="007C20D2">
        <w:tblPrEx>
          <w:tblCellMar>
            <w:top w:w="0" w:type="dxa"/>
            <w:left w:w="0" w:type="dxa"/>
            <w:bottom w:w="0" w:type="dxa"/>
            <w:right w:w="0" w:type="dxa"/>
          </w:tblCellMar>
        </w:tblPrEx>
        <w:trPr>
          <w:trHeight w:val="471"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427CE70B">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组织结构</w:t>
            </w:r>
          </w:p>
        </w:tc>
        <w:tc>
          <w:tcPr>
            <w:tcW w:w="6840" w:type="dxa"/>
            <w:gridSpan w:val="10"/>
            <w:tcBorders>
              <w:top w:val="single" w:color="000000" w:sz="4" w:space="0"/>
              <w:left w:val="single" w:color="000000" w:sz="4" w:space="0"/>
              <w:bottom w:val="single" w:color="000000" w:sz="4" w:space="0"/>
              <w:right w:val="single" w:color="000000" w:sz="4" w:space="0"/>
            </w:tcBorders>
            <w:noWrap w:val="0"/>
            <w:vAlign w:val="center"/>
          </w:tcPr>
          <w:p w14:paraId="5DC8B1DD">
            <w:pPr>
              <w:keepNext w:val="0"/>
              <w:keepLines w:val="0"/>
              <w:suppressLineNumbers w:val="0"/>
              <w:autoSpaceDE w:val="0"/>
              <w:autoSpaceDN w:val="0"/>
              <w:adjustRightInd w:val="0"/>
              <w:snapToGrid w:val="0"/>
              <w:spacing w:before="0" w:beforeAutospacing="0" w:after="0" w:afterAutospacing="0"/>
              <w:ind w:left="0" w:right="-210" w:rightChars="-100"/>
              <w:jc w:val="center"/>
              <w:rPr>
                <w:rFonts w:hint="eastAsia" w:ascii="宋体" w:hAnsi="宋体" w:eastAsia="宋体" w:cs="宋体"/>
                <w:color w:val="auto"/>
                <w:kern w:val="0"/>
                <w:szCs w:val="21"/>
                <w:highlight w:val="none"/>
              </w:rPr>
            </w:pPr>
          </w:p>
        </w:tc>
      </w:tr>
      <w:tr w14:paraId="7D4336FB">
        <w:trPr>
          <w:trHeight w:val="633"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54CD86A5">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46093F0F">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951" w:type="dxa"/>
            <w:gridSpan w:val="2"/>
            <w:tcBorders>
              <w:top w:val="single" w:color="000000" w:sz="4" w:space="0"/>
              <w:left w:val="single" w:color="000000" w:sz="4" w:space="0"/>
              <w:bottom w:val="single" w:color="000000" w:sz="4" w:space="0"/>
              <w:right w:val="single" w:color="000000" w:sz="4" w:space="0"/>
            </w:tcBorders>
            <w:noWrap w:val="0"/>
            <w:vAlign w:val="center"/>
          </w:tcPr>
          <w:p w14:paraId="321C0C1C">
            <w:pPr>
              <w:keepNext w:val="0"/>
              <w:keepLines w:val="0"/>
              <w:suppressLineNumbers w:val="0"/>
              <w:autoSpaceDE w:val="0"/>
              <w:autoSpaceDN w:val="0"/>
              <w:adjustRightInd w:val="0"/>
              <w:snapToGrid w:val="0"/>
              <w:spacing w:before="0" w:beforeAutospacing="0" w:after="0" w:afterAutospacing="0"/>
              <w:ind w:left="0" w:right="-210" w:rightChars="-100"/>
              <w:jc w:val="center"/>
              <w:rPr>
                <w:rFonts w:hint="eastAsia" w:ascii="宋体" w:hAnsi="宋体" w:eastAsia="宋体" w:cs="宋体"/>
                <w:color w:val="auto"/>
                <w:kern w:val="0"/>
                <w:szCs w:val="21"/>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14:paraId="43124F3A">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14:paraId="56DECCEC">
            <w:pPr>
              <w:keepNext w:val="0"/>
              <w:keepLines w:val="0"/>
              <w:suppressLineNumbers w:val="0"/>
              <w:autoSpaceDE w:val="0"/>
              <w:autoSpaceDN w:val="0"/>
              <w:adjustRightInd w:val="0"/>
              <w:snapToGrid w:val="0"/>
              <w:spacing w:before="0" w:beforeAutospacing="0" w:after="0" w:afterAutospacing="0"/>
              <w:ind w:left="0" w:right="-210" w:rightChars="-100"/>
              <w:jc w:val="center"/>
              <w:rPr>
                <w:rFonts w:hint="eastAsia" w:ascii="宋体" w:hAnsi="宋体" w:eastAsia="宋体" w:cs="宋体"/>
                <w:color w:val="auto"/>
                <w:kern w:val="0"/>
                <w:szCs w:val="21"/>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2BE88C9">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621B858">
            <w:pPr>
              <w:keepNext w:val="0"/>
              <w:keepLines w:val="0"/>
              <w:suppressLineNumbers w:val="0"/>
              <w:autoSpaceDE w:val="0"/>
              <w:autoSpaceDN w:val="0"/>
              <w:adjustRightInd w:val="0"/>
              <w:snapToGrid w:val="0"/>
              <w:spacing w:before="0" w:beforeAutospacing="0" w:after="0" w:afterAutospacing="0"/>
              <w:ind w:left="0" w:right="-210" w:rightChars="-100"/>
              <w:jc w:val="center"/>
              <w:rPr>
                <w:rFonts w:hint="eastAsia" w:ascii="宋体" w:hAnsi="宋体" w:eastAsia="宋体" w:cs="宋体"/>
                <w:color w:val="auto"/>
                <w:kern w:val="0"/>
                <w:szCs w:val="21"/>
                <w:highlight w:val="none"/>
              </w:rPr>
            </w:pPr>
          </w:p>
        </w:tc>
      </w:tr>
      <w:tr w14:paraId="2C33A3DC">
        <w:tblPrEx>
          <w:tblCellMar>
            <w:top w:w="0" w:type="dxa"/>
            <w:left w:w="0" w:type="dxa"/>
            <w:bottom w:w="0" w:type="dxa"/>
            <w:right w:w="0" w:type="dxa"/>
          </w:tblCellMar>
        </w:tblPrEx>
        <w:trPr>
          <w:trHeight w:val="782"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181646D7">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技术负责人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35E9F4B9">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951" w:type="dxa"/>
            <w:gridSpan w:val="2"/>
            <w:tcBorders>
              <w:top w:val="single" w:color="000000" w:sz="4" w:space="0"/>
              <w:left w:val="single" w:color="000000" w:sz="4" w:space="0"/>
              <w:bottom w:val="single" w:color="000000" w:sz="4" w:space="0"/>
              <w:right w:val="single" w:color="000000" w:sz="4" w:space="0"/>
            </w:tcBorders>
            <w:noWrap w:val="0"/>
            <w:vAlign w:val="center"/>
          </w:tcPr>
          <w:p w14:paraId="2D61CFA4">
            <w:pPr>
              <w:keepNext w:val="0"/>
              <w:keepLines w:val="0"/>
              <w:suppressLineNumbers w:val="0"/>
              <w:autoSpaceDE w:val="0"/>
              <w:autoSpaceDN w:val="0"/>
              <w:adjustRightInd w:val="0"/>
              <w:snapToGrid w:val="0"/>
              <w:spacing w:before="0" w:beforeAutospacing="0" w:after="0" w:afterAutospacing="0"/>
              <w:ind w:left="0" w:right="-210" w:rightChars="-100"/>
              <w:jc w:val="center"/>
              <w:rPr>
                <w:rFonts w:hint="eastAsia" w:ascii="宋体" w:hAnsi="宋体" w:eastAsia="宋体" w:cs="宋体"/>
                <w:color w:val="auto"/>
                <w:kern w:val="0"/>
                <w:szCs w:val="21"/>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14:paraId="6FDCE02C">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14:paraId="373119BF">
            <w:pPr>
              <w:keepNext w:val="0"/>
              <w:keepLines w:val="0"/>
              <w:suppressLineNumbers w:val="0"/>
              <w:autoSpaceDE w:val="0"/>
              <w:autoSpaceDN w:val="0"/>
              <w:adjustRightInd w:val="0"/>
              <w:snapToGrid w:val="0"/>
              <w:spacing w:before="0" w:beforeAutospacing="0" w:after="0" w:afterAutospacing="0"/>
              <w:ind w:left="0" w:right="-210" w:rightChars="-100"/>
              <w:jc w:val="center"/>
              <w:rPr>
                <w:rFonts w:hint="eastAsia" w:ascii="宋体" w:hAnsi="宋体" w:eastAsia="宋体" w:cs="宋体"/>
                <w:color w:val="auto"/>
                <w:kern w:val="0"/>
                <w:szCs w:val="21"/>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0C8BA3CA">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3F79AC7">
            <w:pPr>
              <w:keepNext w:val="0"/>
              <w:keepLines w:val="0"/>
              <w:suppressLineNumbers w:val="0"/>
              <w:autoSpaceDE w:val="0"/>
              <w:autoSpaceDN w:val="0"/>
              <w:adjustRightInd w:val="0"/>
              <w:snapToGrid w:val="0"/>
              <w:spacing w:before="0" w:beforeAutospacing="0" w:after="0" w:afterAutospacing="0"/>
              <w:ind w:left="0" w:right="-210" w:rightChars="-100"/>
              <w:jc w:val="center"/>
              <w:rPr>
                <w:rFonts w:hint="eastAsia" w:ascii="宋体" w:hAnsi="宋体" w:eastAsia="宋体" w:cs="宋体"/>
                <w:color w:val="auto"/>
                <w:kern w:val="0"/>
                <w:szCs w:val="21"/>
                <w:highlight w:val="none"/>
              </w:rPr>
            </w:pPr>
          </w:p>
        </w:tc>
      </w:tr>
      <w:tr w14:paraId="162664AD">
        <w:tblPrEx>
          <w:tblCellMar>
            <w:top w:w="0" w:type="dxa"/>
            <w:left w:w="0" w:type="dxa"/>
            <w:bottom w:w="0" w:type="dxa"/>
            <w:right w:w="0" w:type="dxa"/>
          </w:tblCellMar>
        </w:tblPrEx>
        <w:trPr>
          <w:trHeight w:val="608"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7B1D4961">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成立时间</w:t>
            </w:r>
          </w:p>
        </w:tc>
        <w:tc>
          <w:tcPr>
            <w:tcW w:w="1849" w:type="dxa"/>
            <w:gridSpan w:val="3"/>
            <w:tcBorders>
              <w:top w:val="single" w:color="000000" w:sz="4" w:space="0"/>
              <w:left w:val="single" w:color="000000" w:sz="4" w:space="0"/>
              <w:bottom w:val="single" w:color="000000" w:sz="4" w:space="0"/>
              <w:right w:val="single" w:color="000000" w:sz="4" w:space="0"/>
            </w:tcBorders>
            <w:noWrap w:val="0"/>
            <w:vAlign w:val="center"/>
          </w:tcPr>
          <w:p w14:paraId="745987AC">
            <w:pPr>
              <w:keepNext w:val="0"/>
              <w:keepLines w:val="0"/>
              <w:suppressLineNumbers w:val="0"/>
              <w:autoSpaceDE w:val="0"/>
              <w:autoSpaceDN w:val="0"/>
              <w:adjustRightInd w:val="0"/>
              <w:snapToGrid w:val="0"/>
              <w:spacing w:before="0" w:beforeAutospacing="0" w:after="0" w:afterAutospacing="0"/>
              <w:ind w:left="0" w:right="-210" w:rightChars="-100"/>
              <w:jc w:val="center"/>
              <w:rPr>
                <w:rFonts w:hint="eastAsia" w:ascii="宋体" w:hAnsi="宋体" w:eastAsia="宋体" w:cs="宋体"/>
                <w:color w:val="auto"/>
                <w:kern w:val="0"/>
                <w:szCs w:val="21"/>
                <w:highlight w:val="none"/>
              </w:rPr>
            </w:pPr>
          </w:p>
        </w:tc>
        <w:tc>
          <w:tcPr>
            <w:tcW w:w="4991" w:type="dxa"/>
            <w:gridSpan w:val="7"/>
            <w:tcBorders>
              <w:top w:val="single" w:color="000000" w:sz="4" w:space="0"/>
              <w:left w:val="single" w:color="000000" w:sz="4" w:space="0"/>
              <w:bottom w:val="single" w:color="000000" w:sz="4" w:space="0"/>
              <w:right w:val="single" w:color="000000" w:sz="4" w:space="0"/>
            </w:tcBorders>
            <w:noWrap w:val="0"/>
            <w:vAlign w:val="center"/>
          </w:tcPr>
          <w:p w14:paraId="481356AA">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员工总人数：</w:t>
            </w:r>
          </w:p>
        </w:tc>
      </w:tr>
      <w:tr w14:paraId="5A6E730D">
        <w:tblPrEx>
          <w:tblCellMar>
            <w:top w:w="0" w:type="dxa"/>
            <w:left w:w="0" w:type="dxa"/>
            <w:bottom w:w="0" w:type="dxa"/>
            <w:right w:w="0" w:type="dxa"/>
          </w:tblCellMar>
        </w:tblPrEx>
        <w:trPr>
          <w:cantSplit/>
          <w:trHeight w:val="772"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69F9AED6">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企业资质等级</w:t>
            </w:r>
          </w:p>
        </w:tc>
        <w:tc>
          <w:tcPr>
            <w:tcW w:w="1849" w:type="dxa"/>
            <w:gridSpan w:val="3"/>
            <w:tcBorders>
              <w:top w:val="single" w:color="000000" w:sz="4" w:space="0"/>
              <w:left w:val="single" w:color="000000" w:sz="4" w:space="0"/>
              <w:bottom w:val="single" w:color="000000" w:sz="4" w:space="0"/>
              <w:right w:val="single" w:color="000000" w:sz="4" w:space="0"/>
            </w:tcBorders>
            <w:noWrap w:val="0"/>
            <w:vAlign w:val="center"/>
          </w:tcPr>
          <w:p w14:paraId="7F6F3838">
            <w:pPr>
              <w:keepNext w:val="0"/>
              <w:keepLines w:val="0"/>
              <w:suppressLineNumbers w:val="0"/>
              <w:autoSpaceDE w:val="0"/>
              <w:autoSpaceDN w:val="0"/>
              <w:adjustRightInd w:val="0"/>
              <w:snapToGrid w:val="0"/>
              <w:spacing w:before="0" w:beforeAutospacing="0" w:after="0" w:afterAutospacing="0"/>
              <w:ind w:left="0" w:right="-210" w:rightChars="-100"/>
              <w:jc w:val="center"/>
              <w:rPr>
                <w:rFonts w:hint="eastAsia" w:ascii="宋体" w:hAnsi="宋体" w:eastAsia="宋体" w:cs="宋体"/>
                <w:color w:val="auto"/>
                <w:kern w:val="0"/>
                <w:szCs w:val="21"/>
                <w:highlight w:val="none"/>
              </w:rPr>
            </w:pP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14:paraId="2A8D93D4">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其中</w:t>
            </w: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14:paraId="2952E0EA">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项目经理</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14:paraId="0D45FF3E">
            <w:pPr>
              <w:keepNext w:val="0"/>
              <w:keepLines w:val="0"/>
              <w:suppressLineNumbers w:val="0"/>
              <w:autoSpaceDE w:val="0"/>
              <w:autoSpaceDN w:val="0"/>
              <w:adjustRightInd w:val="0"/>
              <w:snapToGrid w:val="0"/>
              <w:spacing w:before="0" w:beforeAutospacing="0" w:after="0" w:afterAutospacing="0"/>
              <w:ind w:left="0" w:right="-210" w:rightChars="-100"/>
              <w:jc w:val="center"/>
              <w:rPr>
                <w:rFonts w:hint="eastAsia" w:ascii="宋体" w:hAnsi="宋体" w:eastAsia="宋体" w:cs="宋体"/>
                <w:color w:val="auto"/>
                <w:kern w:val="0"/>
                <w:szCs w:val="21"/>
                <w:highlight w:val="none"/>
              </w:rPr>
            </w:pPr>
          </w:p>
        </w:tc>
      </w:tr>
      <w:tr w14:paraId="73A48D22">
        <w:tblPrEx>
          <w:tblCellMar>
            <w:top w:w="0" w:type="dxa"/>
            <w:left w:w="0" w:type="dxa"/>
            <w:bottom w:w="0" w:type="dxa"/>
            <w:right w:w="0" w:type="dxa"/>
          </w:tblCellMar>
        </w:tblPrEx>
        <w:trPr>
          <w:cantSplit/>
          <w:trHeight w:val="768"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210867EE">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营业执照号</w:t>
            </w:r>
          </w:p>
        </w:tc>
        <w:tc>
          <w:tcPr>
            <w:tcW w:w="1849" w:type="dxa"/>
            <w:gridSpan w:val="3"/>
            <w:tcBorders>
              <w:top w:val="single" w:color="000000" w:sz="4" w:space="0"/>
              <w:left w:val="single" w:color="000000" w:sz="4" w:space="0"/>
              <w:bottom w:val="single" w:color="000000" w:sz="4" w:space="0"/>
              <w:right w:val="single" w:color="000000" w:sz="4" w:space="0"/>
            </w:tcBorders>
            <w:noWrap w:val="0"/>
            <w:vAlign w:val="center"/>
          </w:tcPr>
          <w:p w14:paraId="3391DB44">
            <w:pPr>
              <w:keepNext w:val="0"/>
              <w:keepLines w:val="0"/>
              <w:suppressLineNumbers w:val="0"/>
              <w:autoSpaceDE w:val="0"/>
              <w:autoSpaceDN w:val="0"/>
              <w:adjustRightInd w:val="0"/>
              <w:snapToGrid w:val="0"/>
              <w:spacing w:before="0" w:beforeAutospacing="0" w:after="0" w:afterAutospacing="0"/>
              <w:ind w:left="0" w:right="-210" w:rightChars="-100"/>
              <w:jc w:val="center"/>
              <w:rPr>
                <w:rFonts w:hint="eastAsia" w:ascii="宋体" w:hAnsi="宋体" w:eastAsia="宋体" w:cs="宋体"/>
                <w:color w:val="auto"/>
                <w:kern w:val="0"/>
                <w:szCs w:val="21"/>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649307">
            <w:pPr>
              <w:keepNext w:val="0"/>
              <w:keepLines w:val="0"/>
              <w:suppressLineNumbers w:val="0"/>
              <w:autoSpaceDE w:val="0"/>
              <w:autoSpaceDN w:val="0"/>
              <w:adjustRightInd w:val="0"/>
              <w:snapToGrid w:val="0"/>
              <w:spacing w:before="0" w:beforeAutospacing="0" w:after="0" w:afterAutospacing="0"/>
              <w:ind w:left="0" w:right="-210" w:rightChars="-100"/>
              <w:jc w:val="center"/>
              <w:rPr>
                <w:rFonts w:hint="eastAsia" w:ascii="宋体" w:hAnsi="宋体" w:eastAsia="宋体" w:cs="宋体"/>
                <w:color w:val="auto"/>
                <w:kern w:val="0"/>
                <w:szCs w:val="21"/>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14:paraId="790F840A">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14:paraId="6C5E8FA4">
            <w:pPr>
              <w:keepNext w:val="0"/>
              <w:keepLines w:val="0"/>
              <w:suppressLineNumbers w:val="0"/>
              <w:autoSpaceDE w:val="0"/>
              <w:autoSpaceDN w:val="0"/>
              <w:adjustRightInd w:val="0"/>
              <w:snapToGrid w:val="0"/>
              <w:spacing w:before="0" w:beforeAutospacing="0" w:after="0" w:afterAutospacing="0"/>
              <w:ind w:left="0" w:right="-210" w:rightChars="-100"/>
              <w:jc w:val="center"/>
              <w:rPr>
                <w:rFonts w:hint="eastAsia" w:ascii="宋体" w:hAnsi="宋体" w:eastAsia="宋体" w:cs="宋体"/>
                <w:color w:val="auto"/>
                <w:kern w:val="0"/>
                <w:szCs w:val="21"/>
                <w:highlight w:val="none"/>
              </w:rPr>
            </w:pPr>
          </w:p>
        </w:tc>
      </w:tr>
      <w:tr w14:paraId="7BA46848">
        <w:tblPrEx>
          <w:tblCellMar>
            <w:top w:w="0" w:type="dxa"/>
            <w:left w:w="0" w:type="dxa"/>
            <w:bottom w:w="0" w:type="dxa"/>
            <w:right w:w="0" w:type="dxa"/>
          </w:tblCellMar>
        </w:tblPrEx>
        <w:trPr>
          <w:cantSplit/>
          <w:trHeight w:val="792"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4AC81776">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注册资金</w:t>
            </w:r>
          </w:p>
        </w:tc>
        <w:tc>
          <w:tcPr>
            <w:tcW w:w="1849" w:type="dxa"/>
            <w:gridSpan w:val="3"/>
            <w:tcBorders>
              <w:top w:val="single" w:color="000000" w:sz="4" w:space="0"/>
              <w:left w:val="single" w:color="000000" w:sz="4" w:space="0"/>
              <w:bottom w:val="single" w:color="000000" w:sz="4" w:space="0"/>
              <w:right w:val="single" w:color="000000" w:sz="4" w:space="0"/>
            </w:tcBorders>
            <w:noWrap w:val="0"/>
            <w:vAlign w:val="center"/>
          </w:tcPr>
          <w:p w14:paraId="404E8EF9">
            <w:pPr>
              <w:keepNext w:val="0"/>
              <w:keepLines w:val="0"/>
              <w:suppressLineNumbers w:val="0"/>
              <w:autoSpaceDE w:val="0"/>
              <w:autoSpaceDN w:val="0"/>
              <w:adjustRightInd w:val="0"/>
              <w:snapToGrid w:val="0"/>
              <w:spacing w:before="0" w:beforeAutospacing="0" w:after="0" w:afterAutospacing="0"/>
              <w:ind w:left="0" w:right="-210" w:rightChars="-100"/>
              <w:jc w:val="center"/>
              <w:rPr>
                <w:rFonts w:hint="eastAsia" w:ascii="宋体" w:hAnsi="宋体" w:eastAsia="宋体" w:cs="宋体"/>
                <w:color w:val="auto"/>
                <w:kern w:val="0"/>
                <w:szCs w:val="21"/>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152CCC">
            <w:pPr>
              <w:keepNext w:val="0"/>
              <w:keepLines w:val="0"/>
              <w:suppressLineNumbers w:val="0"/>
              <w:autoSpaceDE w:val="0"/>
              <w:autoSpaceDN w:val="0"/>
              <w:adjustRightInd w:val="0"/>
              <w:snapToGrid w:val="0"/>
              <w:spacing w:before="0" w:beforeAutospacing="0" w:after="0" w:afterAutospacing="0"/>
              <w:ind w:left="0" w:right="-210" w:rightChars="-100"/>
              <w:jc w:val="center"/>
              <w:rPr>
                <w:rFonts w:hint="eastAsia" w:ascii="宋体" w:hAnsi="宋体" w:eastAsia="宋体" w:cs="宋体"/>
                <w:color w:val="auto"/>
                <w:kern w:val="0"/>
                <w:szCs w:val="21"/>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14:paraId="00097FF2">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14:paraId="0D4579A6">
            <w:pPr>
              <w:keepNext w:val="0"/>
              <w:keepLines w:val="0"/>
              <w:suppressLineNumbers w:val="0"/>
              <w:autoSpaceDE w:val="0"/>
              <w:autoSpaceDN w:val="0"/>
              <w:adjustRightInd w:val="0"/>
              <w:snapToGrid w:val="0"/>
              <w:spacing w:before="0" w:beforeAutospacing="0" w:after="0" w:afterAutospacing="0"/>
              <w:ind w:left="0" w:right="-210" w:rightChars="-100"/>
              <w:jc w:val="center"/>
              <w:rPr>
                <w:rFonts w:hint="eastAsia" w:ascii="宋体" w:hAnsi="宋体" w:eastAsia="宋体" w:cs="宋体"/>
                <w:color w:val="auto"/>
                <w:kern w:val="0"/>
                <w:szCs w:val="21"/>
                <w:highlight w:val="none"/>
              </w:rPr>
            </w:pPr>
          </w:p>
        </w:tc>
      </w:tr>
      <w:tr w14:paraId="4163990A">
        <w:trPr>
          <w:cantSplit/>
          <w:trHeight w:val="774"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39190B72">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开户银行</w:t>
            </w:r>
          </w:p>
        </w:tc>
        <w:tc>
          <w:tcPr>
            <w:tcW w:w="1849" w:type="dxa"/>
            <w:gridSpan w:val="3"/>
            <w:tcBorders>
              <w:top w:val="single" w:color="000000" w:sz="4" w:space="0"/>
              <w:left w:val="single" w:color="000000" w:sz="4" w:space="0"/>
              <w:bottom w:val="single" w:color="000000" w:sz="4" w:space="0"/>
              <w:right w:val="single" w:color="000000" w:sz="4" w:space="0"/>
            </w:tcBorders>
            <w:noWrap w:val="0"/>
            <w:vAlign w:val="center"/>
          </w:tcPr>
          <w:p w14:paraId="16C3D5F9">
            <w:pPr>
              <w:keepNext w:val="0"/>
              <w:keepLines w:val="0"/>
              <w:suppressLineNumbers w:val="0"/>
              <w:autoSpaceDE w:val="0"/>
              <w:autoSpaceDN w:val="0"/>
              <w:adjustRightInd w:val="0"/>
              <w:snapToGrid w:val="0"/>
              <w:spacing w:before="0" w:beforeAutospacing="0" w:after="0" w:afterAutospacing="0"/>
              <w:ind w:left="0" w:right="-210" w:rightChars="-100"/>
              <w:jc w:val="center"/>
              <w:rPr>
                <w:rFonts w:hint="eastAsia" w:ascii="宋体" w:hAnsi="宋体" w:eastAsia="宋体" w:cs="宋体"/>
                <w:color w:val="auto"/>
                <w:kern w:val="0"/>
                <w:szCs w:val="21"/>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D61546">
            <w:pPr>
              <w:keepNext w:val="0"/>
              <w:keepLines w:val="0"/>
              <w:suppressLineNumbers w:val="0"/>
              <w:autoSpaceDE w:val="0"/>
              <w:autoSpaceDN w:val="0"/>
              <w:adjustRightInd w:val="0"/>
              <w:snapToGrid w:val="0"/>
              <w:spacing w:before="0" w:beforeAutospacing="0" w:after="0" w:afterAutospacing="0"/>
              <w:ind w:left="0" w:right="-210" w:rightChars="-100"/>
              <w:jc w:val="center"/>
              <w:rPr>
                <w:rFonts w:hint="eastAsia" w:ascii="宋体" w:hAnsi="宋体" w:eastAsia="宋体" w:cs="宋体"/>
                <w:color w:val="auto"/>
                <w:kern w:val="0"/>
                <w:szCs w:val="21"/>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14:paraId="06F5EBBB">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14:paraId="0BFDEC20">
            <w:pPr>
              <w:keepNext w:val="0"/>
              <w:keepLines w:val="0"/>
              <w:suppressLineNumbers w:val="0"/>
              <w:autoSpaceDE w:val="0"/>
              <w:autoSpaceDN w:val="0"/>
              <w:adjustRightInd w:val="0"/>
              <w:snapToGrid w:val="0"/>
              <w:spacing w:before="0" w:beforeAutospacing="0" w:after="0" w:afterAutospacing="0"/>
              <w:ind w:left="0" w:right="-210" w:rightChars="-100"/>
              <w:jc w:val="center"/>
              <w:rPr>
                <w:rFonts w:hint="eastAsia" w:ascii="宋体" w:hAnsi="宋体" w:eastAsia="宋体" w:cs="宋体"/>
                <w:color w:val="auto"/>
                <w:kern w:val="0"/>
                <w:szCs w:val="21"/>
                <w:highlight w:val="none"/>
              </w:rPr>
            </w:pPr>
          </w:p>
        </w:tc>
      </w:tr>
      <w:tr w14:paraId="7F0B1B9F">
        <w:tblPrEx>
          <w:tblCellMar>
            <w:top w:w="0" w:type="dxa"/>
            <w:left w:w="0" w:type="dxa"/>
            <w:bottom w:w="0" w:type="dxa"/>
            <w:right w:w="0" w:type="dxa"/>
          </w:tblCellMar>
        </w:tblPrEx>
        <w:trPr>
          <w:cantSplit/>
          <w:trHeight w:val="615"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3B8FCFFB">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账   号</w:t>
            </w:r>
          </w:p>
        </w:tc>
        <w:tc>
          <w:tcPr>
            <w:tcW w:w="1849" w:type="dxa"/>
            <w:gridSpan w:val="3"/>
            <w:tcBorders>
              <w:top w:val="single" w:color="000000" w:sz="4" w:space="0"/>
              <w:left w:val="single" w:color="000000" w:sz="4" w:space="0"/>
              <w:bottom w:val="single" w:color="000000" w:sz="4" w:space="0"/>
              <w:right w:val="single" w:color="000000" w:sz="4" w:space="0"/>
            </w:tcBorders>
            <w:noWrap w:val="0"/>
            <w:vAlign w:val="center"/>
          </w:tcPr>
          <w:p w14:paraId="7E086FC4">
            <w:pPr>
              <w:keepNext w:val="0"/>
              <w:keepLines w:val="0"/>
              <w:suppressLineNumbers w:val="0"/>
              <w:autoSpaceDE w:val="0"/>
              <w:autoSpaceDN w:val="0"/>
              <w:adjustRightInd w:val="0"/>
              <w:snapToGrid w:val="0"/>
              <w:spacing w:before="0" w:beforeAutospacing="0" w:after="0" w:afterAutospacing="0"/>
              <w:ind w:left="0" w:right="-210" w:rightChars="-100"/>
              <w:jc w:val="center"/>
              <w:rPr>
                <w:rFonts w:hint="eastAsia" w:ascii="宋体" w:hAnsi="宋体" w:eastAsia="宋体" w:cs="宋体"/>
                <w:color w:val="auto"/>
                <w:kern w:val="0"/>
                <w:szCs w:val="21"/>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B92790">
            <w:pPr>
              <w:keepNext w:val="0"/>
              <w:keepLines w:val="0"/>
              <w:suppressLineNumbers w:val="0"/>
              <w:autoSpaceDE w:val="0"/>
              <w:autoSpaceDN w:val="0"/>
              <w:adjustRightInd w:val="0"/>
              <w:snapToGrid w:val="0"/>
              <w:spacing w:before="0" w:beforeAutospacing="0" w:after="0" w:afterAutospacing="0"/>
              <w:ind w:left="0" w:right="-210" w:rightChars="-100"/>
              <w:jc w:val="center"/>
              <w:rPr>
                <w:rFonts w:hint="eastAsia" w:ascii="宋体" w:hAnsi="宋体" w:eastAsia="宋体" w:cs="宋体"/>
                <w:color w:val="auto"/>
                <w:kern w:val="0"/>
                <w:szCs w:val="21"/>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14:paraId="5405815D">
            <w:pPr>
              <w:keepNext w:val="0"/>
              <w:keepLines w:val="0"/>
              <w:suppressLineNumbers w:val="0"/>
              <w:tabs>
                <w:tab w:val="left" w:pos="1240"/>
              </w:tabs>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       工</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14:paraId="40586FFB">
            <w:pPr>
              <w:keepNext w:val="0"/>
              <w:keepLines w:val="0"/>
              <w:suppressLineNumbers w:val="0"/>
              <w:autoSpaceDE w:val="0"/>
              <w:autoSpaceDN w:val="0"/>
              <w:adjustRightInd w:val="0"/>
              <w:snapToGrid w:val="0"/>
              <w:spacing w:before="0" w:beforeAutospacing="0" w:after="0" w:afterAutospacing="0"/>
              <w:ind w:left="0" w:right="-210" w:rightChars="-100"/>
              <w:jc w:val="center"/>
              <w:rPr>
                <w:rFonts w:hint="eastAsia" w:ascii="宋体" w:hAnsi="宋体" w:eastAsia="宋体" w:cs="宋体"/>
                <w:color w:val="auto"/>
                <w:kern w:val="0"/>
                <w:szCs w:val="21"/>
                <w:highlight w:val="none"/>
              </w:rPr>
            </w:pPr>
          </w:p>
        </w:tc>
      </w:tr>
      <w:tr w14:paraId="01A207D3">
        <w:tblPrEx>
          <w:tblCellMar>
            <w:top w:w="0" w:type="dxa"/>
            <w:left w:w="0" w:type="dxa"/>
            <w:bottom w:w="0" w:type="dxa"/>
            <w:right w:w="0" w:type="dxa"/>
          </w:tblCellMar>
        </w:tblPrEx>
        <w:trPr>
          <w:trHeight w:val="1245"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004C8536">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经营范围</w:t>
            </w:r>
          </w:p>
        </w:tc>
        <w:tc>
          <w:tcPr>
            <w:tcW w:w="6840" w:type="dxa"/>
            <w:gridSpan w:val="10"/>
            <w:tcBorders>
              <w:top w:val="single" w:color="000000" w:sz="4" w:space="0"/>
              <w:left w:val="single" w:color="000000" w:sz="4" w:space="0"/>
              <w:bottom w:val="single" w:color="000000" w:sz="4" w:space="0"/>
              <w:right w:val="single" w:color="000000" w:sz="4" w:space="0"/>
            </w:tcBorders>
            <w:noWrap w:val="0"/>
            <w:vAlign w:val="center"/>
          </w:tcPr>
          <w:p w14:paraId="24A4AF1E">
            <w:pPr>
              <w:keepNext w:val="0"/>
              <w:keepLines w:val="0"/>
              <w:suppressLineNumbers w:val="0"/>
              <w:autoSpaceDE w:val="0"/>
              <w:autoSpaceDN w:val="0"/>
              <w:adjustRightInd w:val="0"/>
              <w:snapToGrid w:val="0"/>
              <w:spacing w:before="0" w:beforeAutospacing="0" w:after="0" w:afterAutospacing="0"/>
              <w:ind w:left="0" w:right="-210" w:rightChars="-100"/>
              <w:jc w:val="center"/>
              <w:rPr>
                <w:rFonts w:hint="eastAsia" w:ascii="宋体" w:hAnsi="宋体" w:eastAsia="宋体" w:cs="宋体"/>
                <w:color w:val="auto"/>
                <w:kern w:val="0"/>
                <w:szCs w:val="21"/>
                <w:highlight w:val="none"/>
              </w:rPr>
            </w:pPr>
          </w:p>
        </w:tc>
      </w:tr>
      <w:tr w14:paraId="5D882B83">
        <w:tblPrEx>
          <w:tblCellMar>
            <w:top w:w="0" w:type="dxa"/>
            <w:left w:w="0" w:type="dxa"/>
            <w:bottom w:w="0" w:type="dxa"/>
            <w:right w:w="0" w:type="dxa"/>
          </w:tblCellMar>
        </w:tblPrEx>
        <w:trPr>
          <w:trHeight w:val="750" w:hRule="exac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3C99AF84">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   注</w:t>
            </w:r>
          </w:p>
        </w:tc>
        <w:tc>
          <w:tcPr>
            <w:tcW w:w="6840" w:type="dxa"/>
            <w:gridSpan w:val="10"/>
            <w:tcBorders>
              <w:top w:val="single" w:color="000000" w:sz="4" w:space="0"/>
              <w:left w:val="single" w:color="000000" w:sz="4" w:space="0"/>
              <w:bottom w:val="single" w:color="000000" w:sz="4" w:space="0"/>
              <w:right w:val="single" w:color="000000" w:sz="4" w:space="0"/>
            </w:tcBorders>
            <w:noWrap w:val="0"/>
            <w:vAlign w:val="center"/>
          </w:tcPr>
          <w:p w14:paraId="5672AABD">
            <w:pPr>
              <w:keepNext w:val="0"/>
              <w:keepLines w:val="0"/>
              <w:suppressLineNumbers w:val="0"/>
              <w:autoSpaceDE w:val="0"/>
              <w:autoSpaceDN w:val="0"/>
              <w:adjustRightInd w:val="0"/>
              <w:snapToGrid w:val="0"/>
              <w:spacing w:before="0" w:beforeAutospacing="0" w:after="0" w:afterAutospacing="0"/>
              <w:ind w:left="0" w:right="-210" w:rightChars="-100"/>
              <w:jc w:val="center"/>
              <w:rPr>
                <w:rFonts w:hint="eastAsia" w:ascii="宋体" w:hAnsi="宋体" w:eastAsia="宋体" w:cs="宋体"/>
                <w:color w:val="auto"/>
                <w:kern w:val="0"/>
                <w:szCs w:val="21"/>
                <w:highlight w:val="none"/>
              </w:rPr>
            </w:pPr>
          </w:p>
        </w:tc>
      </w:tr>
    </w:tbl>
    <w:p w14:paraId="47DD7A4E">
      <w:pPr>
        <w:rPr>
          <w:rFonts w:hint="eastAsia" w:ascii="宋体" w:hAnsi="宋体" w:cs="宋体"/>
          <w:color w:val="auto"/>
          <w:highlight w:val="none"/>
        </w:rPr>
      </w:pPr>
    </w:p>
    <w:p w14:paraId="7154B52D">
      <w:pPr>
        <w:rPr>
          <w:rFonts w:hint="eastAsia" w:ascii="宋体" w:hAnsi="宋体" w:cs="宋体"/>
          <w:color w:val="auto"/>
          <w:highlight w:val="none"/>
        </w:rPr>
      </w:pPr>
    </w:p>
    <w:p w14:paraId="2CDCF38D">
      <w:pPr>
        <w:pStyle w:val="19"/>
        <w:rPr>
          <w:rFonts w:hint="eastAsia" w:cs="宋体"/>
          <w:color w:val="auto"/>
          <w:highlight w:val="none"/>
        </w:rPr>
      </w:pPr>
    </w:p>
    <w:p w14:paraId="3C53FEC3">
      <w:pPr>
        <w:rPr>
          <w:rFonts w:hint="eastAsia" w:ascii="宋体" w:hAnsi="宋体" w:cs="宋体"/>
          <w:color w:val="auto"/>
          <w:highlight w:val="none"/>
        </w:rPr>
      </w:pPr>
    </w:p>
    <w:p w14:paraId="49C3EE3C">
      <w:pPr>
        <w:pStyle w:val="19"/>
        <w:rPr>
          <w:rFonts w:hint="eastAsia" w:cs="宋体"/>
          <w:color w:val="auto"/>
          <w:highlight w:val="none"/>
        </w:rPr>
      </w:pPr>
    </w:p>
    <w:p w14:paraId="17F72E38">
      <w:pPr>
        <w:rPr>
          <w:rFonts w:hint="eastAsia" w:ascii="宋体" w:hAnsi="宋体" w:cs="宋体"/>
          <w:color w:val="auto"/>
          <w:highlight w:val="none"/>
        </w:rPr>
      </w:pPr>
    </w:p>
    <w:p w14:paraId="7DF57451">
      <w:pPr>
        <w:pStyle w:val="19"/>
        <w:rPr>
          <w:rFonts w:hint="eastAsia" w:cs="宋体"/>
          <w:color w:val="auto"/>
          <w:highlight w:val="none"/>
        </w:rPr>
      </w:pPr>
    </w:p>
    <w:p w14:paraId="1E0DDA2B">
      <w:pPr>
        <w:rPr>
          <w:rFonts w:hint="eastAsia" w:ascii="宋体" w:hAnsi="宋体" w:cs="宋体"/>
          <w:color w:val="auto"/>
          <w:highlight w:val="none"/>
        </w:rPr>
      </w:pPr>
    </w:p>
    <w:p w14:paraId="5CFFB0D2">
      <w:pPr>
        <w:pStyle w:val="19"/>
        <w:rPr>
          <w:rFonts w:hint="eastAsia" w:cs="宋体"/>
          <w:color w:val="auto"/>
          <w:highlight w:val="none"/>
        </w:rPr>
      </w:pPr>
    </w:p>
    <w:p w14:paraId="19B9DCF0">
      <w:pPr>
        <w:rPr>
          <w:rFonts w:hint="eastAsia" w:ascii="宋体" w:hAnsi="宋体" w:cs="宋体"/>
          <w:color w:val="auto"/>
          <w:highlight w:val="none"/>
        </w:rPr>
      </w:pPr>
    </w:p>
    <w:p w14:paraId="54CB24A5">
      <w:pPr>
        <w:pStyle w:val="19"/>
        <w:rPr>
          <w:rFonts w:hint="eastAsia" w:cs="宋体"/>
          <w:color w:val="auto"/>
          <w:highlight w:val="none"/>
        </w:rPr>
      </w:pPr>
    </w:p>
    <w:p w14:paraId="641B267D">
      <w:pPr>
        <w:rPr>
          <w:rFonts w:hint="eastAsia" w:ascii="宋体" w:hAnsi="宋体" w:cs="宋体"/>
          <w:color w:val="auto"/>
          <w:highlight w:val="none"/>
        </w:rPr>
      </w:pPr>
    </w:p>
    <w:p w14:paraId="1574C53F">
      <w:pPr>
        <w:pStyle w:val="19"/>
        <w:rPr>
          <w:rFonts w:hint="eastAsia" w:cs="宋体"/>
          <w:color w:val="auto"/>
          <w:highlight w:val="none"/>
        </w:rPr>
      </w:pPr>
    </w:p>
    <w:p w14:paraId="34FA197C">
      <w:pPr>
        <w:rPr>
          <w:rFonts w:hint="eastAsia" w:ascii="宋体" w:hAnsi="宋体" w:cs="宋体"/>
          <w:color w:val="auto"/>
          <w:highlight w:val="none"/>
        </w:rPr>
      </w:pPr>
    </w:p>
    <w:p w14:paraId="3F6FA7C1">
      <w:pPr>
        <w:pStyle w:val="19"/>
        <w:rPr>
          <w:rFonts w:hint="eastAsia" w:cs="宋体"/>
          <w:color w:val="auto"/>
          <w:highlight w:val="none"/>
        </w:rPr>
      </w:pPr>
    </w:p>
    <w:p w14:paraId="7AE7316B">
      <w:pPr>
        <w:rPr>
          <w:rFonts w:hint="eastAsia" w:ascii="宋体" w:hAnsi="宋体" w:cs="宋体"/>
          <w:color w:val="auto"/>
          <w:highlight w:val="none"/>
        </w:rPr>
      </w:pPr>
    </w:p>
    <w:p w14:paraId="1231CC58">
      <w:pPr>
        <w:pStyle w:val="19"/>
        <w:rPr>
          <w:rFonts w:hint="eastAsia" w:cs="宋体"/>
          <w:color w:val="auto"/>
          <w:highlight w:val="none"/>
        </w:rPr>
      </w:pPr>
    </w:p>
    <w:p w14:paraId="39500E9E">
      <w:pPr>
        <w:rPr>
          <w:rFonts w:hint="eastAsia" w:ascii="宋体" w:hAnsi="宋体" w:cs="宋体"/>
          <w:color w:val="auto"/>
          <w:highlight w:val="none"/>
        </w:rPr>
      </w:pPr>
    </w:p>
    <w:p w14:paraId="19A8413B">
      <w:pPr>
        <w:pStyle w:val="19"/>
        <w:rPr>
          <w:rFonts w:hint="eastAsia" w:cs="宋体"/>
          <w:color w:val="auto"/>
          <w:highlight w:val="none"/>
        </w:rPr>
      </w:pPr>
    </w:p>
    <w:p w14:paraId="1845AED0">
      <w:pPr>
        <w:rPr>
          <w:rFonts w:hint="eastAsia" w:ascii="宋体" w:hAnsi="宋体" w:cs="宋体"/>
          <w:color w:val="auto"/>
          <w:highlight w:val="none"/>
        </w:rPr>
      </w:pPr>
    </w:p>
    <w:p w14:paraId="03DA0AA3">
      <w:pPr>
        <w:pStyle w:val="19"/>
        <w:rPr>
          <w:rFonts w:hint="eastAsia" w:cs="宋体"/>
          <w:color w:val="auto"/>
          <w:highlight w:val="none"/>
        </w:rPr>
      </w:pPr>
    </w:p>
    <w:p w14:paraId="1BC1F696">
      <w:pPr>
        <w:rPr>
          <w:rFonts w:hint="eastAsia" w:ascii="宋体" w:hAnsi="宋体" w:cs="宋体"/>
          <w:color w:val="auto"/>
          <w:highlight w:val="none"/>
        </w:rPr>
      </w:pPr>
    </w:p>
    <w:p w14:paraId="6EC6F7DB">
      <w:pPr>
        <w:pStyle w:val="19"/>
        <w:rPr>
          <w:rFonts w:hint="eastAsia" w:cs="宋体"/>
          <w:color w:val="auto"/>
          <w:highlight w:val="none"/>
        </w:rPr>
      </w:pPr>
    </w:p>
    <w:p w14:paraId="22E79C52">
      <w:pPr>
        <w:rPr>
          <w:rFonts w:hint="eastAsia" w:ascii="宋体" w:hAnsi="宋体" w:cs="宋体"/>
          <w:color w:val="auto"/>
          <w:highlight w:val="none"/>
        </w:rPr>
      </w:pPr>
    </w:p>
    <w:p w14:paraId="40EC5D63">
      <w:pPr>
        <w:pStyle w:val="19"/>
        <w:rPr>
          <w:rFonts w:hint="eastAsia" w:cs="宋体"/>
          <w:color w:val="auto"/>
          <w:highlight w:val="none"/>
        </w:rPr>
      </w:pPr>
    </w:p>
    <w:p w14:paraId="015A3D8C">
      <w:pPr>
        <w:rPr>
          <w:rFonts w:hint="eastAsia" w:ascii="宋体" w:hAnsi="宋体" w:cs="宋体"/>
          <w:color w:val="auto"/>
          <w:highlight w:val="none"/>
        </w:rPr>
      </w:pPr>
    </w:p>
    <w:p w14:paraId="051EB605">
      <w:pPr>
        <w:pStyle w:val="19"/>
        <w:rPr>
          <w:rFonts w:hint="eastAsia" w:cs="宋体"/>
          <w:color w:val="auto"/>
          <w:highlight w:val="none"/>
        </w:rPr>
      </w:pPr>
    </w:p>
    <w:p w14:paraId="7798B732">
      <w:pPr>
        <w:rPr>
          <w:rFonts w:hint="eastAsia" w:ascii="宋体" w:hAnsi="宋体" w:cs="宋体"/>
          <w:color w:val="auto"/>
          <w:highlight w:val="none"/>
        </w:rPr>
      </w:pPr>
    </w:p>
    <w:p w14:paraId="650197DF">
      <w:pPr>
        <w:pStyle w:val="19"/>
        <w:rPr>
          <w:rFonts w:hint="eastAsia" w:cs="宋体"/>
          <w:color w:val="auto"/>
          <w:highlight w:val="none"/>
        </w:rPr>
      </w:pPr>
    </w:p>
    <w:p w14:paraId="784D2C8D">
      <w:pPr>
        <w:rPr>
          <w:rFonts w:hint="eastAsia" w:ascii="宋体" w:hAnsi="宋体" w:cs="宋体"/>
          <w:color w:val="auto"/>
          <w:highlight w:val="none"/>
        </w:rPr>
      </w:pPr>
    </w:p>
    <w:p w14:paraId="5789E02D">
      <w:pPr>
        <w:pStyle w:val="19"/>
        <w:rPr>
          <w:rFonts w:hint="eastAsia" w:cs="宋体"/>
          <w:color w:val="auto"/>
          <w:highlight w:val="none"/>
        </w:rPr>
      </w:pPr>
    </w:p>
    <w:p w14:paraId="532034AB">
      <w:pPr>
        <w:rPr>
          <w:rFonts w:hint="eastAsia" w:ascii="宋体" w:hAnsi="宋体" w:cs="宋体"/>
          <w:color w:val="auto"/>
          <w:highlight w:val="none"/>
        </w:rPr>
      </w:pPr>
    </w:p>
    <w:p w14:paraId="4C29E0FB">
      <w:pPr>
        <w:rPr>
          <w:rFonts w:hint="eastAsia" w:ascii="宋体" w:hAnsi="宋体" w:cs="宋体"/>
          <w:color w:val="auto"/>
          <w:highlight w:val="none"/>
        </w:rPr>
      </w:pPr>
      <w:r>
        <w:rPr>
          <w:rFonts w:hint="eastAsia" w:ascii="宋体" w:hAnsi="宋体" w:cs="宋体"/>
          <w:color w:val="auto"/>
          <w:highlight w:val="none"/>
        </w:rPr>
        <w:t>注：应附资质证书</w:t>
      </w:r>
      <w:r>
        <w:rPr>
          <w:rFonts w:hint="eastAsia" w:ascii="宋体" w:hAnsi="宋体" w:cs="宋体"/>
          <w:color w:val="auto"/>
          <w:highlight w:val="none"/>
          <w:lang w:val="en-US" w:eastAsia="zh-CN"/>
        </w:rPr>
        <w:t>或者证明材料</w:t>
      </w:r>
      <w:r>
        <w:rPr>
          <w:rFonts w:hint="eastAsia" w:ascii="宋体" w:hAnsi="宋体" w:cs="宋体"/>
          <w:color w:val="auto"/>
          <w:highlight w:val="none"/>
          <w:lang w:eastAsia="zh-CN"/>
        </w:rPr>
        <w:t>、</w:t>
      </w:r>
      <w:r>
        <w:rPr>
          <w:rFonts w:hint="eastAsia" w:ascii="宋体" w:hAnsi="宋体" w:cs="宋体"/>
          <w:color w:val="auto"/>
          <w:highlight w:val="none"/>
        </w:rPr>
        <w:t>比选申请人营业执照的复印件</w:t>
      </w:r>
      <w:r>
        <w:rPr>
          <w:rFonts w:hint="eastAsia" w:ascii="宋体" w:hAnsi="宋体" w:cs="宋体"/>
          <w:color w:val="auto"/>
          <w:highlight w:val="none"/>
          <w:lang w:val="en-US" w:eastAsia="zh-CN"/>
        </w:rPr>
        <w:t>加盖</w:t>
      </w:r>
      <w:r>
        <w:rPr>
          <w:rFonts w:hint="eastAsia" w:ascii="宋体" w:hAnsi="宋体" w:cs="宋体"/>
          <w:color w:val="auto"/>
          <w:highlight w:val="none"/>
        </w:rPr>
        <w:t>比选申请人</w:t>
      </w:r>
      <w:r>
        <w:rPr>
          <w:rFonts w:hint="eastAsia" w:ascii="宋体" w:hAnsi="宋体" w:cs="宋体"/>
          <w:color w:val="auto"/>
          <w:highlight w:val="none"/>
          <w:lang w:val="en-US" w:eastAsia="zh-CN"/>
        </w:rPr>
        <w:t>公章</w:t>
      </w:r>
      <w:r>
        <w:rPr>
          <w:rFonts w:hint="eastAsia" w:ascii="宋体" w:hAnsi="宋体" w:cs="宋体"/>
          <w:color w:val="auto"/>
          <w:highlight w:val="none"/>
        </w:rPr>
        <w:t>。</w:t>
      </w:r>
    </w:p>
    <w:p w14:paraId="61AAF07C">
      <w:pPr>
        <w:pStyle w:val="4"/>
        <w:numPr>
          <w:ilvl w:val="0"/>
          <w:numId w:val="0"/>
        </w:numPr>
        <w:tabs>
          <w:tab w:val="left" w:pos="720"/>
          <w:tab w:val="clear" w:pos="709"/>
        </w:tabs>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br w:type="page"/>
      </w:r>
      <w:bookmarkStart w:id="531" w:name="_Toc277082663"/>
      <w:bookmarkStart w:id="532" w:name="_Toc287620839"/>
      <w:bookmarkStart w:id="533" w:name="_Toc430530552"/>
      <w:bookmarkStart w:id="534" w:name="_Toc287607893"/>
      <w:bookmarkStart w:id="535" w:name="_Toc57905935"/>
      <w:bookmarkStart w:id="536" w:name="_Toc3564"/>
      <w:bookmarkStart w:id="537" w:name="_Toc509218866"/>
      <w:bookmarkStart w:id="538" w:name="_Toc534185843"/>
      <w:r>
        <w:rPr>
          <w:rFonts w:hint="eastAsia" w:ascii="宋体" w:hAnsi="宋体" w:eastAsia="宋体" w:cs="宋体"/>
          <w:color w:val="auto"/>
          <w:sz w:val="28"/>
          <w:highlight w:val="none"/>
        </w:rPr>
        <w:t>（</w:t>
      </w:r>
      <w:r>
        <w:rPr>
          <w:rFonts w:hint="eastAsia" w:ascii="宋体" w:hAnsi="宋体" w:eastAsia="宋体" w:cs="宋体"/>
          <w:color w:val="auto"/>
          <w:sz w:val="28"/>
          <w:highlight w:val="none"/>
          <w:lang w:val="en-US" w:eastAsia="zh-CN"/>
        </w:rPr>
        <w:t>三</w:t>
      </w:r>
      <w:r>
        <w:rPr>
          <w:rFonts w:hint="eastAsia" w:ascii="宋体" w:hAnsi="宋体" w:eastAsia="宋体" w:cs="宋体"/>
          <w:color w:val="auto"/>
          <w:sz w:val="28"/>
          <w:highlight w:val="none"/>
        </w:rPr>
        <w:t>）</w:t>
      </w:r>
      <w:bookmarkEnd w:id="531"/>
      <w:bookmarkEnd w:id="532"/>
      <w:bookmarkEnd w:id="533"/>
      <w:bookmarkEnd w:id="534"/>
      <w:r>
        <w:rPr>
          <w:rFonts w:hint="eastAsia" w:ascii="宋体" w:hAnsi="宋体" w:eastAsia="宋体" w:cs="宋体"/>
          <w:color w:val="auto"/>
          <w:sz w:val="28"/>
          <w:highlight w:val="none"/>
        </w:rPr>
        <w:t>承诺</w:t>
      </w:r>
      <w:bookmarkEnd w:id="535"/>
      <w:bookmarkEnd w:id="536"/>
    </w:p>
    <w:bookmarkEnd w:id="537"/>
    <w:bookmarkEnd w:id="538"/>
    <w:p w14:paraId="6004441E">
      <w:pPr>
        <w:snapToGrid w:val="0"/>
        <w:spacing w:line="440" w:lineRule="exact"/>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        （比选人名称）</w:t>
      </w:r>
      <w:r>
        <w:rPr>
          <w:rFonts w:hint="eastAsia" w:ascii="宋体" w:hAnsi="宋体" w:cs="宋体"/>
          <w:color w:val="auto"/>
          <w:szCs w:val="21"/>
          <w:highlight w:val="none"/>
        </w:rPr>
        <w:t>：</w:t>
      </w:r>
    </w:p>
    <w:p w14:paraId="7A0CEC69">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我公司</w:t>
      </w:r>
      <w:r>
        <w:rPr>
          <w:rFonts w:hint="eastAsia" w:ascii="宋体" w:hAnsi="宋体" w:cs="宋体"/>
          <w:color w:val="auto"/>
          <w:szCs w:val="21"/>
          <w:highlight w:val="none"/>
          <w:u w:val="single"/>
        </w:rPr>
        <w:t xml:space="preserve">        （比选申请人名称）</w:t>
      </w:r>
      <w:r>
        <w:rPr>
          <w:rFonts w:hint="eastAsia" w:ascii="宋体" w:hAnsi="宋体" w:cs="宋体"/>
          <w:color w:val="auto"/>
          <w:szCs w:val="21"/>
          <w:highlight w:val="none"/>
        </w:rPr>
        <w:t>参加了贵单位</w:t>
      </w:r>
      <w:r>
        <w:rPr>
          <w:rFonts w:hint="eastAsia" w:ascii="宋体" w:hAnsi="宋体" w:cs="宋体"/>
          <w:snapToGrid w:val="0"/>
          <w:color w:val="auto"/>
          <w:w w:val="200"/>
          <w:kern w:val="0"/>
          <w:szCs w:val="21"/>
          <w:highlight w:val="none"/>
          <w:u w:val="single"/>
        </w:rPr>
        <w:t xml:space="preserve"> </w:t>
      </w: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u w:val="single"/>
        </w:rPr>
        <w:t>（项目名称）</w:t>
      </w:r>
      <w:r>
        <w:rPr>
          <w:rFonts w:hint="eastAsia" w:ascii="宋体" w:hAnsi="宋体" w:cs="宋体"/>
          <w:snapToGrid w:val="0"/>
          <w:color w:val="auto"/>
          <w:w w:val="200"/>
          <w:kern w:val="0"/>
          <w:szCs w:val="21"/>
          <w:highlight w:val="none"/>
          <w:u w:val="single"/>
        </w:rPr>
        <w:t xml:space="preserve"> </w:t>
      </w:r>
      <w:r>
        <w:rPr>
          <w:rFonts w:hint="eastAsia" w:ascii="宋体" w:hAnsi="宋体" w:cs="宋体"/>
          <w:snapToGrid w:val="0"/>
          <w:color w:val="auto"/>
          <w:kern w:val="0"/>
          <w:szCs w:val="21"/>
          <w:highlight w:val="none"/>
          <w:u w:val="single"/>
          <w:lang w:eastAsia="zh-CN"/>
        </w:rPr>
        <w:t>（</w:t>
      </w:r>
      <w:r>
        <w:rPr>
          <w:rFonts w:hint="eastAsia" w:ascii="宋体" w:hAnsi="宋体" w:cs="宋体"/>
          <w:snapToGrid w:val="0"/>
          <w:color w:val="auto"/>
          <w:kern w:val="0"/>
          <w:szCs w:val="21"/>
          <w:highlight w:val="none"/>
          <w:u w:val="single"/>
          <w:lang w:val="en-US" w:eastAsia="zh-CN"/>
        </w:rPr>
        <w:t xml:space="preserve">  </w:t>
      </w:r>
      <w:r>
        <w:rPr>
          <w:rFonts w:hint="eastAsia" w:ascii="宋体" w:hAnsi="宋体" w:cs="宋体"/>
          <w:snapToGrid w:val="0"/>
          <w:color w:val="auto"/>
          <w:kern w:val="0"/>
          <w:szCs w:val="21"/>
          <w:highlight w:val="none"/>
          <w:u w:val="single"/>
          <w:lang w:eastAsia="zh-CN"/>
        </w:rPr>
        <w:t>标段）</w:t>
      </w:r>
      <w:r>
        <w:rPr>
          <w:rFonts w:hint="eastAsia" w:ascii="宋体" w:hAnsi="宋体" w:cs="宋体"/>
          <w:color w:val="auto"/>
          <w:szCs w:val="21"/>
          <w:highlight w:val="none"/>
        </w:rPr>
        <w:t>的比选申请，自愿作出以下承诺：</w:t>
      </w:r>
    </w:p>
    <w:p w14:paraId="7DAA3DF5">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1、我公司2020年1月1日至比选申请截止日比选申请资格情况不存在下列情形之一：</w:t>
      </w:r>
    </w:p>
    <w:p w14:paraId="2A9524F7">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（1）被人民法院在“信用中国”网站（www.creditchina.gov.cn）列入失信被执行人名单且在被执行期内；</w:t>
      </w:r>
    </w:p>
    <w:p w14:paraId="73D71AAF">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（2）被列入《重庆市工程建设领域招标投标信用管理暂行办法》规定的重点关注名单且记分达到12分且在记分有效期内；</w:t>
      </w:r>
    </w:p>
    <w:p w14:paraId="5447619F">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（3）被列入《重庆市工程建设领域招标投标信用管理暂行办法》规定的黑名单且在记分有效期内；</w:t>
      </w:r>
    </w:p>
    <w:p w14:paraId="49A0F5A3">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（4）被国家、重庆市（含市或任意区县）有关行政部门处以暂停投标资格行政处罚，且在处罚期限内；</w:t>
      </w:r>
    </w:p>
    <w:p w14:paraId="0170E0BF">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（5）被重庆市住房和城乡建设主管部门暂停在渝承揽新业务且在暂停期内。</w:t>
      </w:r>
    </w:p>
    <w:p w14:paraId="4A56B194">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、我公司在资格审查部分中提供的相关证明材料真实有效，不存在弄虚作假情形。比选人在合同签订前均有权对我司提供的资料（如业绩截图信息等相关证明材料）进行核实，若发现弄虚作假，取消</w:t>
      </w:r>
      <w:r>
        <w:rPr>
          <w:rFonts w:hint="eastAsia" w:ascii="宋体" w:hAnsi="宋体" w:cs="宋体"/>
          <w:color w:val="auto"/>
          <w:szCs w:val="21"/>
          <w:highlight w:val="none"/>
          <w:lang w:eastAsia="zh-CN"/>
        </w:rPr>
        <w:t>中选</w:t>
      </w:r>
      <w:r>
        <w:rPr>
          <w:rFonts w:hint="eastAsia" w:ascii="宋体" w:hAnsi="宋体" w:cs="宋体"/>
          <w:color w:val="auto"/>
          <w:szCs w:val="21"/>
          <w:highlight w:val="none"/>
        </w:rPr>
        <w:t>资格，并按相关法律法规报招标投标监督部门处理，比选申请保证金不予退还，我司自愿承担因此造成的相关责任并赔偿相应损失。</w:t>
      </w:r>
    </w:p>
    <w:p w14:paraId="370A6E2D">
      <w:pPr>
        <w:snapToGrid w:val="0"/>
        <w:spacing w:line="44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3、我公司承诺：已标价工程量清单符合第五章“工程量清单”给出的范围及数量，竞争性比选文件中规定工程量清单不允许修改的内容不得修改。</w:t>
      </w:r>
    </w:p>
    <w:p w14:paraId="3CD3C95F">
      <w:pPr>
        <w:snapToGrid w:val="0"/>
        <w:spacing w:line="440" w:lineRule="exact"/>
        <w:ind w:firstLine="420" w:firstLineChars="200"/>
        <w:rPr>
          <w:rFonts w:hint="eastAsia" w:ascii="宋体" w:hAnsi="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olor w:val="auto"/>
          <w:szCs w:val="21"/>
          <w:highlight w:val="none"/>
        </w:rPr>
        <w:t>我公司不存在第二章 比选申请人须知第 1.4.3 项规定的任何一种情形。</w:t>
      </w:r>
    </w:p>
    <w:p w14:paraId="1FA10D57">
      <w:pPr>
        <w:snapToGrid w:val="0"/>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我公司的比选申请文件符合第二章 比选申请人须知第 1.3.1 项的规定。</w:t>
      </w:r>
    </w:p>
    <w:p w14:paraId="54FCE515">
      <w:pPr>
        <w:snapToGrid w:val="0"/>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我公司的比选申请文件符合第四章 合同条款及格式规定，比选申请文件中没有贵单位不能接受的条件。</w:t>
      </w:r>
    </w:p>
    <w:p w14:paraId="6CE56375">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、我公司的比选申请文件符合第七章 技术标准和要求（如有）。</w:t>
      </w:r>
    </w:p>
    <w:p w14:paraId="030ECA60">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w:t>
      </w:r>
    </w:p>
    <w:p w14:paraId="72CC87E3">
      <w:pPr>
        <w:tabs>
          <w:tab w:val="left" w:pos="4200"/>
          <w:tab w:val="left" w:pos="4620"/>
        </w:tabs>
        <w:autoSpaceDE w:val="0"/>
        <w:autoSpaceDN w:val="0"/>
        <w:adjustRightInd w:val="0"/>
        <w:snapToGrid w:val="0"/>
        <w:spacing w:line="440" w:lineRule="exact"/>
        <w:jc w:val="left"/>
        <w:rPr>
          <w:rFonts w:hint="eastAsia" w:ascii="宋体" w:hAnsi="宋体" w:cs="宋体"/>
          <w:color w:val="auto"/>
          <w:kern w:val="0"/>
          <w:szCs w:val="21"/>
          <w:highlight w:val="none"/>
        </w:rPr>
      </w:pPr>
    </w:p>
    <w:p w14:paraId="2018F1AE">
      <w:pPr>
        <w:tabs>
          <w:tab w:val="left" w:pos="4200"/>
          <w:tab w:val="left" w:pos="4620"/>
        </w:tabs>
        <w:autoSpaceDE w:val="0"/>
        <w:autoSpaceDN w:val="0"/>
        <w:adjustRightInd w:val="0"/>
        <w:snapToGrid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比选申请人：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盖单位法人章</w:t>
      </w:r>
      <w:r>
        <w:rPr>
          <w:rFonts w:hint="eastAsia" w:ascii="宋体" w:hAnsi="宋体" w:cs="宋体"/>
          <w:color w:val="auto"/>
          <w:kern w:val="0"/>
          <w:szCs w:val="21"/>
          <w:highlight w:val="none"/>
        </w:rPr>
        <w:t>）</w:t>
      </w:r>
    </w:p>
    <w:p w14:paraId="18D38F23">
      <w:pPr>
        <w:tabs>
          <w:tab w:val="left" w:pos="6300"/>
        </w:tabs>
        <w:autoSpaceDE w:val="0"/>
        <w:autoSpaceDN w:val="0"/>
        <w:adjustRightInd w:val="0"/>
        <w:snapToGrid w:val="0"/>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（签字或盖章）</w:t>
      </w:r>
    </w:p>
    <w:p w14:paraId="54CBF356">
      <w:pPr>
        <w:tabs>
          <w:tab w:val="left" w:pos="6300"/>
        </w:tabs>
        <w:autoSpaceDE w:val="0"/>
        <w:autoSpaceDN w:val="0"/>
        <w:adjustRightInd w:val="0"/>
        <w:snapToGrid w:val="0"/>
        <w:spacing w:line="440" w:lineRule="exact"/>
        <w:ind w:firstLine="420" w:firstLineChars="200"/>
        <w:jc w:val="left"/>
        <w:rPr>
          <w:rFonts w:hint="eastAsia" w:ascii="宋体" w:hAnsi="宋体" w:cs="宋体"/>
          <w:color w:val="auto"/>
          <w:kern w:val="0"/>
          <w:szCs w:val="21"/>
          <w:highlight w:val="none"/>
        </w:rPr>
      </w:pPr>
    </w:p>
    <w:p w14:paraId="50A62EE7">
      <w:pPr>
        <w:tabs>
          <w:tab w:val="left" w:pos="6300"/>
        </w:tabs>
        <w:autoSpaceDE w:val="0"/>
        <w:autoSpaceDN w:val="0"/>
        <w:adjustRightInd w:val="0"/>
        <w:snapToGrid w:val="0"/>
        <w:spacing w:line="440" w:lineRule="exact"/>
        <w:ind w:firstLine="420" w:firstLineChars="200"/>
        <w:jc w:val="right"/>
        <w:rPr>
          <w:rFonts w:hint="eastAsia" w:ascii="宋体" w:hAnsi="宋体" w:cs="宋体"/>
          <w:b/>
          <w:color w:val="auto"/>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日</w:t>
      </w:r>
    </w:p>
    <w:p w14:paraId="6FBC9149">
      <w:pPr>
        <w:ind w:firstLine="424" w:firstLineChars="202"/>
        <w:rPr>
          <w:rFonts w:hint="eastAsia" w:ascii="宋体" w:hAnsi="宋体" w:cs="宋体"/>
          <w:color w:val="auto"/>
          <w:highlight w:val="none"/>
        </w:rPr>
      </w:pPr>
    </w:p>
    <w:p w14:paraId="641BDEA8">
      <w:pPr>
        <w:ind w:firstLine="424" w:firstLineChars="202"/>
        <w:rPr>
          <w:rFonts w:hint="eastAsia" w:ascii="宋体" w:hAnsi="宋体" w:cs="宋体"/>
          <w:color w:val="auto"/>
          <w:highlight w:val="none"/>
        </w:rPr>
      </w:pPr>
    </w:p>
    <w:p w14:paraId="73CA366A">
      <w:pPr>
        <w:pStyle w:val="4"/>
        <w:numPr>
          <w:ilvl w:val="0"/>
          <w:numId w:val="0"/>
        </w:numPr>
        <w:tabs>
          <w:tab w:val="left" w:pos="720"/>
          <w:tab w:val="clear" w:pos="709"/>
        </w:tabs>
        <w:ind w:left="720"/>
        <w:jc w:val="center"/>
        <w:rPr>
          <w:rFonts w:hint="eastAsia" w:ascii="宋体" w:hAnsi="宋体" w:eastAsia="宋体" w:cs="宋体"/>
          <w:color w:val="auto"/>
          <w:sz w:val="28"/>
          <w:highlight w:val="none"/>
        </w:rPr>
      </w:pPr>
      <w:bookmarkStart w:id="539" w:name="_Toc224103520"/>
      <w:bookmarkStart w:id="540" w:name="_Toc391220344"/>
      <w:bookmarkStart w:id="541" w:name="_Toc1495"/>
      <w:r>
        <w:rPr>
          <w:rFonts w:hint="eastAsia" w:ascii="宋体" w:hAnsi="宋体" w:eastAsia="宋体" w:cs="宋体"/>
          <w:color w:val="auto"/>
          <w:sz w:val="28"/>
          <w:highlight w:val="none"/>
        </w:rPr>
        <w:br w:type="page"/>
      </w:r>
      <w:r>
        <w:rPr>
          <w:rFonts w:hint="eastAsia" w:ascii="宋体" w:hAnsi="宋体" w:eastAsia="宋体" w:cs="宋体"/>
          <w:color w:val="auto"/>
          <w:sz w:val="28"/>
          <w:highlight w:val="none"/>
        </w:rPr>
        <w:t>（</w:t>
      </w:r>
      <w:r>
        <w:rPr>
          <w:rFonts w:hint="eastAsia" w:ascii="宋体" w:hAnsi="宋体" w:eastAsia="宋体" w:cs="宋体"/>
          <w:color w:val="auto"/>
          <w:sz w:val="28"/>
          <w:highlight w:val="none"/>
          <w:lang w:val="en-US" w:eastAsia="zh-CN"/>
        </w:rPr>
        <w:t>四</w:t>
      </w:r>
      <w:r>
        <w:rPr>
          <w:rFonts w:hint="eastAsia" w:ascii="宋体" w:hAnsi="宋体" w:eastAsia="宋体" w:cs="宋体"/>
          <w:color w:val="auto"/>
          <w:sz w:val="28"/>
          <w:highlight w:val="none"/>
        </w:rPr>
        <w:t>）其他资料</w:t>
      </w:r>
      <w:bookmarkEnd w:id="539"/>
      <w:bookmarkEnd w:id="540"/>
      <w:bookmarkEnd w:id="541"/>
    </w:p>
    <w:p w14:paraId="1013E43A">
      <w:pPr>
        <w:ind w:firstLine="308" w:firstLineChars="147"/>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1.比选申请保证金转账截图。</w:t>
      </w:r>
    </w:p>
    <w:p w14:paraId="4E8290CB">
      <w:pPr>
        <w:ind w:firstLine="308" w:firstLineChars="147"/>
        <w:rPr>
          <w:rFonts w:hint="eastAsia"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比选文件要求提交的其他资料。</w:t>
      </w:r>
    </w:p>
    <w:p w14:paraId="5E0B4095">
      <w:pPr>
        <w:ind w:firstLine="308" w:firstLineChars="147"/>
        <w:rPr>
          <w:rFonts w:hint="eastAsia" w:ascii="宋体" w:hAnsi="宋体" w:cs="宋体"/>
          <w:color w:val="auto"/>
          <w:highlight w:val="none"/>
        </w:rPr>
      </w:pPr>
    </w:p>
    <w:p w14:paraId="7DBD6247">
      <w:pPr>
        <w:ind w:firstLine="467" w:firstLineChars="147"/>
        <w:jc w:val="center"/>
        <w:rPr>
          <w:rFonts w:hint="eastAsia" w:ascii="宋体" w:hAnsi="宋体" w:cs="宋体"/>
          <w:b/>
          <w:color w:val="auto"/>
          <w:spacing w:val="1"/>
          <w:w w:val="99"/>
          <w:sz w:val="32"/>
          <w:szCs w:val="32"/>
          <w:highlight w:val="none"/>
        </w:rPr>
      </w:pPr>
    </w:p>
    <w:p w14:paraId="2D631557">
      <w:pPr>
        <w:ind w:firstLine="467" w:firstLineChars="147"/>
        <w:jc w:val="center"/>
        <w:rPr>
          <w:rFonts w:hint="eastAsia" w:ascii="宋体" w:hAnsi="宋体" w:cs="宋体"/>
          <w:b/>
          <w:color w:val="auto"/>
          <w:spacing w:val="1"/>
          <w:w w:val="99"/>
          <w:sz w:val="32"/>
          <w:szCs w:val="32"/>
          <w:highlight w:val="none"/>
        </w:rPr>
      </w:pPr>
    </w:p>
    <w:p w14:paraId="035F8758">
      <w:pPr>
        <w:ind w:firstLine="467" w:firstLineChars="147"/>
        <w:jc w:val="center"/>
        <w:rPr>
          <w:rFonts w:hint="eastAsia" w:ascii="宋体" w:hAnsi="宋体" w:cs="宋体"/>
          <w:b/>
          <w:color w:val="auto"/>
          <w:spacing w:val="1"/>
          <w:w w:val="99"/>
          <w:sz w:val="32"/>
          <w:szCs w:val="32"/>
          <w:highlight w:val="none"/>
        </w:rPr>
      </w:pPr>
    </w:p>
    <w:p w14:paraId="6CDCE55A">
      <w:pPr>
        <w:ind w:firstLine="467" w:firstLineChars="147"/>
        <w:jc w:val="center"/>
        <w:rPr>
          <w:rFonts w:hint="eastAsia" w:ascii="宋体" w:hAnsi="宋体" w:cs="宋体"/>
          <w:b/>
          <w:color w:val="auto"/>
          <w:spacing w:val="1"/>
          <w:w w:val="99"/>
          <w:sz w:val="32"/>
          <w:szCs w:val="32"/>
          <w:highlight w:val="none"/>
        </w:rPr>
      </w:pPr>
    </w:p>
    <w:p w14:paraId="43FBACC2">
      <w:pPr>
        <w:ind w:firstLine="467" w:firstLineChars="147"/>
        <w:jc w:val="center"/>
        <w:rPr>
          <w:rFonts w:hint="eastAsia" w:ascii="宋体" w:hAnsi="宋体" w:cs="宋体"/>
          <w:b/>
          <w:color w:val="auto"/>
          <w:spacing w:val="1"/>
          <w:w w:val="99"/>
          <w:sz w:val="32"/>
          <w:szCs w:val="32"/>
          <w:highlight w:val="none"/>
        </w:rPr>
      </w:pPr>
    </w:p>
    <w:p w14:paraId="099CFEAF">
      <w:pPr>
        <w:ind w:firstLine="467" w:firstLineChars="147"/>
        <w:jc w:val="center"/>
        <w:rPr>
          <w:rFonts w:hint="eastAsia" w:ascii="宋体" w:hAnsi="宋体" w:cs="宋体"/>
          <w:b/>
          <w:color w:val="auto"/>
          <w:spacing w:val="1"/>
          <w:w w:val="99"/>
          <w:sz w:val="32"/>
          <w:szCs w:val="32"/>
          <w:highlight w:val="none"/>
        </w:rPr>
      </w:pPr>
    </w:p>
    <w:p w14:paraId="145E6D0D">
      <w:pPr>
        <w:ind w:firstLine="467" w:firstLineChars="147"/>
        <w:jc w:val="center"/>
        <w:rPr>
          <w:rFonts w:hint="eastAsia" w:ascii="宋体" w:hAnsi="宋体" w:cs="宋体"/>
          <w:b/>
          <w:color w:val="auto"/>
          <w:spacing w:val="1"/>
          <w:w w:val="99"/>
          <w:sz w:val="32"/>
          <w:szCs w:val="32"/>
          <w:highlight w:val="none"/>
        </w:rPr>
      </w:pPr>
    </w:p>
    <w:p w14:paraId="0486C27A">
      <w:pPr>
        <w:ind w:firstLine="467" w:firstLineChars="147"/>
        <w:jc w:val="center"/>
        <w:rPr>
          <w:rFonts w:hint="eastAsia" w:ascii="宋体" w:hAnsi="宋体" w:cs="宋体"/>
          <w:b/>
          <w:color w:val="auto"/>
          <w:spacing w:val="1"/>
          <w:w w:val="99"/>
          <w:sz w:val="32"/>
          <w:szCs w:val="32"/>
          <w:highlight w:val="none"/>
        </w:rPr>
      </w:pPr>
    </w:p>
    <w:p w14:paraId="20E13E43">
      <w:pPr>
        <w:ind w:firstLine="467" w:firstLineChars="147"/>
        <w:jc w:val="center"/>
        <w:rPr>
          <w:rFonts w:hint="eastAsia" w:ascii="宋体" w:hAnsi="宋体" w:cs="宋体"/>
          <w:b/>
          <w:color w:val="auto"/>
          <w:spacing w:val="1"/>
          <w:w w:val="99"/>
          <w:sz w:val="32"/>
          <w:szCs w:val="32"/>
          <w:highlight w:val="none"/>
        </w:rPr>
      </w:pPr>
    </w:p>
    <w:p w14:paraId="25E4A718">
      <w:pPr>
        <w:ind w:firstLine="467" w:firstLineChars="147"/>
        <w:jc w:val="center"/>
        <w:rPr>
          <w:rFonts w:hint="eastAsia" w:ascii="宋体" w:hAnsi="宋体" w:cs="宋体"/>
          <w:b/>
          <w:color w:val="auto"/>
          <w:spacing w:val="1"/>
          <w:w w:val="99"/>
          <w:sz w:val="32"/>
          <w:szCs w:val="32"/>
          <w:highlight w:val="none"/>
        </w:rPr>
      </w:pPr>
    </w:p>
    <w:p w14:paraId="2F140D9F">
      <w:pPr>
        <w:ind w:firstLine="467" w:firstLineChars="147"/>
        <w:jc w:val="center"/>
        <w:rPr>
          <w:rFonts w:hint="eastAsia" w:ascii="宋体" w:hAnsi="宋体" w:cs="宋体"/>
          <w:b/>
          <w:color w:val="auto"/>
          <w:spacing w:val="1"/>
          <w:w w:val="99"/>
          <w:sz w:val="32"/>
          <w:szCs w:val="32"/>
          <w:highlight w:val="none"/>
        </w:rPr>
      </w:pPr>
    </w:p>
    <w:p w14:paraId="0ED36343">
      <w:pPr>
        <w:ind w:firstLine="467" w:firstLineChars="147"/>
        <w:jc w:val="center"/>
        <w:rPr>
          <w:rFonts w:hint="eastAsia" w:ascii="宋体" w:hAnsi="宋体" w:cs="宋体"/>
          <w:b/>
          <w:color w:val="auto"/>
          <w:spacing w:val="1"/>
          <w:w w:val="99"/>
          <w:sz w:val="32"/>
          <w:szCs w:val="32"/>
          <w:highlight w:val="none"/>
        </w:rPr>
      </w:pPr>
    </w:p>
    <w:p w14:paraId="77210766">
      <w:pPr>
        <w:ind w:firstLine="467" w:firstLineChars="147"/>
        <w:jc w:val="center"/>
        <w:rPr>
          <w:rFonts w:hint="eastAsia" w:ascii="宋体" w:hAnsi="宋体" w:cs="宋体"/>
          <w:b/>
          <w:color w:val="auto"/>
          <w:spacing w:val="1"/>
          <w:w w:val="99"/>
          <w:sz w:val="32"/>
          <w:szCs w:val="32"/>
          <w:highlight w:val="none"/>
        </w:rPr>
      </w:pPr>
    </w:p>
    <w:p w14:paraId="29EC6866">
      <w:pPr>
        <w:ind w:firstLine="467" w:firstLineChars="147"/>
        <w:jc w:val="center"/>
        <w:rPr>
          <w:rFonts w:hint="eastAsia" w:ascii="宋体" w:hAnsi="宋体" w:cs="宋体"/>
          <w:b/>
          <w:color w:val="auto"/>
          <w:spacing w:val="1"/>
          <w:w w:val="99"/>
          <w:sz w:val="32"/>
          <w:szCs w:val="32"/>
          <w:highlight w:val="none"/>
        </w:rPr>
      </w:pPr>
    </w:p>
    <w:p w14:paraId="4A8396D4">
      <w:pPr>
        <w:ind w:firstLine="467" w:firstLineChars="147"/>
        <w:jc w:val="center"/>
        <w:rPr>
          <w:rFonts w:hint="eastAsia" w:ascii="宋体" w:hAnsi="宋体" w:cs="宋体"/>
          <w:b/>
          <w:color w:val="auto"/>
          <w:spacing w:val="1"/>
          <w:w w:val="99"/>
          <w:sz w:val="32"/>
          <w:szCs w:val="32"/>
          <w:highlight w:val="none"/>
        </w:rPr>
      </w:pPr>
    </w:p>
    <w:p w14:paraId="666ADB89">
      <w:pPr>
        <w:ind w:firstLine="467" w:firstLineChars="147"/>
        <w:jc w:val="center"/>
        <w:rPr>
          <w:rFonts w:hint="eastAsia" w:ascii="宋体" w:hAnsi="宋体" w:cs="宋体"/>
          <w:b/>
          <w:color w:val="auto"/>
          <w:spacing w:val="1"/>
          <w:w w:val="99"/>
          <w:sz w:val="32"/>
          <w:szCs w:val="32"/>
          <w:highlight w:val="none"/>
        </w:rPr>
      </w:pPr>
    </w:p>
    <w:p w14:paraId="1266DF23">
      <w:pPr>
        <w:ind w:firstLine="467" w:firstLineChars="147"/>
        <w:jc w:val="center"/>
        <w:rPr>
          <w:rFonts w:hint="eastAsia" w:ascii="宋体" w:hAnsi="宋体" w:cs="宋体"/>
          <w:b/>
          <w:color w:val="auto"/>
          <w:spacing w:val="1"/>
          <w:w w:val="99"/>
          <w:sz w:val="32"/>
          <w:szCs w:val="32"/>
          <w:highlight w:val="none"/>
        </w:rPr>
      </w:pPr>
    </w:p>
    <w:p w14:paraId="2834BE51">
      <w:pPr>
        <w:ind w:firstLine="467" w:firstLineChars="147"/>
        <w:jc w:val="center"/>
        <w:rPr>
          <w:rFonts w:hint="eastAsia" w:ascii="宋体" w:hAnsi="宋体" w:cs="宋体"/>
          <w:b/>
          <w:color w:val="auto"/>
          <w:spacing w:val="1"/>
          <w:w w:val="99"/>
          <w:sz w:val="32"/>
          <w:szCs w:val="32"/>
          <w:highlight w:val="none"/>
        </w:rPr>
      </w:pPr>
    </w:p>
    <w:p w14:paraId="2F177D85">
      <w:pPr>
        <w:ind w:firstLine="351" w:firstLineChars="147"/>
        <w:jc w:val="center"/>
        <w:rPr>
          <w:rFonts w:hint="eastAsia" w:ascii="宋体" w:hAnsi="宋体" w:cs="宋体"/>
          <w:b/>
          <w:color w:val="auto"/>
          <w:spacing w:val="1"/>
          <w:w w:val="99"/>
          <w:sz w:val="24"/>
          <w:highlight w:val="none"/>
        </w:rPr>
      </w:pPr>
      <w:r>
        <w:rPr>
          <w:rFonts w:hint="eastAsia" w:ascii="宋体" w:hAnsi="宋体" w:cs="宋体"/>
          <w:b/>
          <w:color w:val="auto"/>
          <w:spacing w:val="1"/>
          <w:w w:val="99"/>
          <w:sz w:val="24"/>
          <w:highlight w:val="none"/>
        </w:rPr>
        <w:t>（结束）</w:t>
      </w:r>
    </w:p>
    <w:sectPr>
      <w:footerReference r:id="rId9" w:type="first"/>
      <w:footerReference r:id="rId8" w:type="default"/>
      <w:pgSz w:w="11906" w:h="16838"/>
      <w:pgMar w:top="1440" w:right="1080" w:bottom="1440" w:left="1080"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方正仿宋简体">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方正书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hztxt">
    <w:altName w:val="宋体"/>
    <w:panose1 w:val="00000000000000000000"/>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E7F8F">
    <w:pPr>
      <w:tabs>
        <w:tab w:val="center" w:pos="3828"/>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C02D7">
    <w:pPr>
      <w:tabs>
        <w:tab w:val="center" w:pos="3828"/>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95DEC">
    <w:pPr>
      <w:pStyle w:val="33"/>
      <w:tabs>
        <w:tab w:val="center" w:pos="4873"/>
        <w:tab w:val="clear" w:pos="4153"/>
      </w:tabs>
      <w:rPr>
        <w:rFonts w:hint="eastAsia" w:eastAsia="宋体"/>
        <w:lang w:val="en-US" w:eastAsia="zh-CN"/>
      </w:rPr>
    </w:pPr>
    <w:r>
      <w:rPr>
        <w:rFonts w:hint="eastAsia"/>
        <w:lang w:val="en-US" w:eastAsia="zh-CN"/>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75832">
    <w:pPr>
      <w:pStyle w:val="3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BA25B3">
                          <w:pPr>
                            <w:pStyle w:val="3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BBA25B3">
                    <w:pPr>
                      <w:pStyle w:val="3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93DB5">
    <w:pPr>
      <w:pStyle w:val="3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6C3079">
                          <w:pPr>
                            <w:pStyle w:val="3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76C3079">
                    <w:pPr>
                      <w:pStyle w:val="3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28A0A">
    <w:pPr>
      <w:tabs>
        <w:tab w:val="center" w:pos="3828"/>
      </w:tabs>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2161DE">
                          <w:pPr>
                            <w:pStyle w:val="3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A2161DE">
                    <w:pPr>
                      <w:pStyle w:val="33"/>
                    </w:pPr>
                    <w:r>
                      <w:fldChar w:fldCharType="begin"/>
                    </w:r>
                    <w:r>
                      <w:instrText xml:space="preserve"> PAGE  \* MERGEFORMAT </w:instrText>
                    </w:r>
                    <w:r>
                      <w:fldChar w:fldCharType="separate"/>
                    </w:r>
                    <w:r>
                      <w:t>1</w:t>
                    </w:r>
                    <w:r>
                      <w:fldChar w:fldCharType="end"/>
                    </w:r>
                  </w:p>
                </w:txbxContent>
              </v:textbox>
            </v:shape>
          </w:pict>
        </mc:Fallback>
      </mc:AlternateContent>
    </w: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D7DC6">
    <w:pPr>
      <w:pStyle w:val="33"/>
      <w:tabs>
        <w:tab w:val="center" w:pos="4873"/>
        <w:tab w:val="clear" w:pos="4153"/>
      </w:tabs>
      <w:rPr>
        <w:rFonts w:hint="eastAsia" w:eastAsia="宋体"/>
        <w:lang w:val="en-US" w:eastAsia="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FABDD18">
                          <w:pPr>
                            <w:pStyle w:val="33"/>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CxpWUc1AEAAKYDAAAOAAAAAAAAAAEAIAAA&#10;ACIBAABkcnMvZTJvRG9jLnhtbFBLBQYAAAAABgAGAFkBAABoBQAAAAA=&#10;">
              <v:fill on="f" focussize="0,0"/>
              <v:stroke on="f" weight="1.25pt"/>
              <v:imagedata o:title=""/>
              <o:lock v:ext="edit" aspectratio="f"/>
              <v:textbox inset="0mm,0mm,0mm,0mm" style="mso-fit-shape-to-text:t;">
                <w:txbxContent>
                  <w:p w14:paraId="4FABDD18">
                    <w:pPr>
                      <w:pStyle w:val="33"/>
                    </w:pPr>
                    <w:r>
                      <w:fldChar w:fldCharType="begin"/>
                    </w:r>
                    <w:r>
                      <w:instrText xml:space="preserve"> PAGE  \* MERGEFORMAT </w:instrText>
                    </w:r>
                    <w:r>
                      <w:fldChar w:fldCharType="separate"/>
                    </w:r>
                    <w:r>
                      <w:t>4</w:t>
                    </w:r>
                    <w:r>
                      <w:fldChar w:fldCharType="end"/>
                    </w:r>
                  </w:p>
                </w:txbxContent>
              </v:textbox>
            </v:shape>
          </w:pict>
        </mc:Fallback>
      </mc:AlternateContent>
    </w:r>
    <w:r>
      <w:rPr>
        <w:rFonts w:hint="eastAsia"/>
        <w:lang w:val="en-US" w:eastAsia="zh-CN"/>
      </w:rPr>
      <w:t>1</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7B8572"/>
    <w:multiLevelType w:val="singleLevel"/>
    <w:tmpl w:val="9A7B8572"/>
    <w:lvl w:ilvl="0" w:tentative="0">
      <w:start w:val="1"/>
      <w:numFmt w:val="decimal"/>
      <w:suff w:val="nothing"/>
      <w:lvlText w:val="%1、"/>
      <w:lvlJc w:val="left"/>
    </w:lvl>
  </w:abstractNum>
  <w:abstractNum w:abstractNumId="1">
    <w:nsid w:val="A337AEBD"/>
    <w:multiLevelType w:val="singleLevel"/>
    <w:tmpl w:val="A337AEBD"/>
    <w:lvl w:ilvl="0" w:tentative="0">
      <w:start w:val="1"/>
      <w:numFmt w:val="decimal"/>
      <w:suff w:val="nothing"/>
      <w:lvlText w:val="%1、"/>
      <w:lvlJc w:val="left"/>
    </w:lvl>
  </w:abstractNum>
  <w:abstractNum w:abstractNumId="2">
    <w:nsid w:val="AA429BBD"/>
    <w:multiLevelType w:val="singleLevel"/>
    <w:tmpl w:val="AA429BBD"/>
    <w:lvl w:ilvl="0" w:tentative="0">
      <w:start w:val="4"/>
      <w:numFmt w:val="decimal"/>
      <w:suff w:val="nothing"/>
      <w:lvlText w:val="%1、"/>
      <w:lvlJc w:val="left"/>
    </w:lvl>
  </w:abstractNum>
  <w:abstractNum w:abstractNumId="3">
    <w:nsid w:val="DEA2BBDB"/>
    <w:multiLevelType w:val="singleLevel"/>
    <w:tmpl w:val="DEA2BBDB"/>
    <w:lvl w:ilvl="0" w:tentative="0">
      <w:start w:val="7"/>
      <w:numFmt w:val="chineseCounting"/>
      <w:suff w:val="space"/>
      <w:lvlText w:val="第%1章"/>
      <w:lvlJc w:val="left"/>
      <w:rPr>
        <w:rFonts w:hint="eastAsia"/>
      </w:rPr>
    </w:lvl>
  </w:abstractNum>
  <w:abstractNum w:abstractNumId="4">
    <w:nsid w:val="E1FA5E02"/>
    <w:multiLevelType w:val="singleLevel"/>
    <w:tmpl w:val="E1FA5E02"/>
    <w:lvl w:ilvl="0" w:tentative="0">
      <w:start w:val="2"/>
      <w:numFmt w:val="decimal"/>
      <w:suff w:val="nothing"/>
      <w:lvlText w:val="%1．"/>
      <w:lvlJc w:val="left"/>
    </w:lvl>
  </w:abstractNum>
  <w:abstractNum w:abstractNumId="5">
    <w:nsid w:val="00000007"/>
    <w:multiLevelType w:val="multilevel"/>
    <w:tmpl w:val="00000007"/>
    <w:lvl w:ilvl="0" w:tentative="0">
      <w:start w:val="1"/>
      <w:numFmt w:val="decimal"/>
      <w:pStyle w:val="27"/>
      <w:lvlText w:val="%1."/>
      <w:lvlJc w:val="left"/>
      <w:pPr>
        <w:tabs>
          <w:tab w:val="left" w:pos="425"/>
        </w:tabs>
        <w:ind w:left="425" w:hanging="425"/>
      </w:pPr>
      <w:rPr>
        <w:rFonts w:hint="eastAsia"/>
      </w:rPr>
    </w:lvl>
    <w:lvl w:ilvl="1" w:tentative="0">
      <w:start w:val="1"/>
      <w:numFmt w:val="decimal"/>
      <w:pStyle w:val="3"/>
      <w:lvlText w:val="%1.%2."/>
      <w:lvlJc w:val="left"/>
      <w:pPr>
        <w:tabs>
          <w:tab w:val="left" w:pos="567"/>
        </w:tabs>
        <w:ind w:left="567" w:hanging="567"/>
      </w:pPr>
      <w:rPr>
        <w:rFonts w:hint="eastAsia"/>
      </w:rPr>
    </w:lvl>
    <w:lvl w:ilvl="2" w:tentative="0">
      <w:start w:val="1"/>
      <w:numFmt w:val="decimal"/>
      <w:pStyle w:val="4"/>
      <w:lvlText w:val="%1.%2.%3."/>
      <w:lvlJc w:val="left"/>
      <w:pPr>
        <w:tabs>
          <w:tab w:val="left" w:pos="709"/>
        </w:tabs>
        <w:ind w:left="709" w:hanging="709"/>
      </w:pPr>
    </w:lvl>
    <w:lvl w:ilvl="3" w:tentative="0">
      <w:start w:val="1"/>
      <w:numFmt w:val="decimal"/>
      <w:pStyle w:val="5"/>
      <w:lvlText w:val="%4)"/>
      <w:lvlJc w:val="left"/>
      <w:pPr>
        <w:tabs>
          <w:tab w:val="left" w:pos="420"/>
        </w:tabs>
        <w:ind w:left="420" w:hanging="420"/>
      </w:pPr>
      <w:rPr>
        <w:rFonts w:hint="eastAsia"/>
      </w:rPr>
    </w:lvl>
    <w:lvl w:ilvl="4" w:tentative="0">
      <w:start w:val="1"/>
      <w:numFmt w:val="decimal"/>
      <w:pStyle w:val="6"/>
      <w:lvlText w:val="%1.%2.%3.%4.%5."/>
      <w:lvlJc w:val="left"/>
      <w:pPr>
        <w:tabs>
          <w:tab w:val="left" w:pos="992"/>
        </w:tabs>
        <w:ind w:left="992" w:hanging="992"/>
      </w:pPr>
    </w:lvl>
    <w:lvl w:ilvl="5" w:tentative="0">
      <w:start w:val="1"/>
      <w:numFmt w:val="decimal"/>
      <w:pStyle w:val="7"/>
      <w:lvlText w:val="%1.%2.%3.%4.%5.%6."/>
      <w:lvlJc w:val="left"/>
      <w:pPr>
        <w:tabs>
          <w:tab w:val="left" w:pos="1134"/>
        </w:tabs>
        <w:ind w:left="1134" w:hanging="1134"/>
      </w:pPr>
    </w:lvl>
    <w:lvl w:ilvl="6" w:tentative="0">
      <w:start w:val="1"/>
      <w:numFmt w:val="decimal"/>
      <w:pStyle w:val="8"/>
      <w:lvlText w:val="%1.%2.%3.%4.%5.%6.%7."/>
      <w:lvlJc w:val="left"/>
      <w:pPr>
        <w:tabs>
          <w:tab w:val="left" w:pos="1276"/>
        </w:tabs>
        <w:ind w:left="1276" w:hanging="1276"/>
      </w:pPr>
    </w:lvl>
    <w:lvl w:ilvl="7" w:tentative="0">
      <w:start w:val="1"/>
      <w:numFmt w:val="decimal"/>
      <w:pStyle w:val="9"/>
      <w:lvlText w:val="%1.%2.%3.%4.%5.%6.%7.%8."/>
      <w:lvlJc w:val="left"/>
      <w:pPr>
        <w:tabs>
          <w:tab w:val="left" w:pos="1418"/>
        </w:tabs>
        <w:ind w:left="1418" w:hanging="1418"/>
      </w:pPr>
    </w:lvl>
    <w:lvl w:ilvl="8" w:tentative="0">
      <w:start w:val="1"/>
      <w:numFmt w:val="decimal"/>
      <w:pStyle w:val="10"/>
      <w:lvlText w:val="%1.%2.%3.%4.%5.%6.%7.%8.%9."/>
      <w:lvlJc w:val="left"/>
      <w:pPr>
        <w:tabs>
          <w:tab w:val="left" w:pos="1559"/>
        </w:tabs>
        <w:ind w:left="1559" w:hanging="1559"/>
      </w:pPr>
    </w:lvl>
  </w:abstractNum>
  <w:abstractNum w:abstractNumId="6">
    <w:nsid w:val="0963CF26"/>
    <w:multiLevelType w:val="singleLevel"/>
    <w:tmpl w:val="0963CF26"/>
    <w:lvl w:ilvl="0" w:tentative="0">
      <w:start w:val="1"/>
      <w:numFmt w:val="chineseCounting"/>
      <w:suff w:val="nothing"/>
      <w:lvlText w:val="（%1）"/>
      <w:lvlJc w:val="left"/>
      <w:rPr>
        <w:rFonts w:hint="eastAsia"/>
      </w:rPr>
    </w:lvl>
  </w:abstractNum>
  <w:abstractNum w:abstractNumId="7">
    <w:nsid w:val="2ACD2A3F"/>
    <w:multiLevelType w:val="multilevel"/>
    <w:tmpl w:val="2ACD2A3F"/>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38F96723"/>
    <w:multiLevelType w:val="multilevel"/>
    <w:tmpl w:val="38F96723"/>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9">
    <w:nsid w:val="3A3D55A7"/>
    <w:multiLevelType w:val="singleLevel"/>
    <w:tmpl w:val="3A3D55A7"/>
    <w:lvl w:ilvl="0" w:tentative="0">
      <w:start w:val="1"/>
      <w:numFmt w:val="decimal"/>
      <w:suff w:val="nothing"/>
      <w:lvlText w:val="（%1）"/>
      <w:lvlJc w:val="left"/>
    </w:lvl>
  </w:abstractNum>
  <w:abstractNum w:abstractNumId="10">
    <w:nsid w:val="417B1022"/>
    <w:multiLevelType w:val="singleLevel"/>
    <w:tmpl w:val="417B1022"/>
    <w:lvl w:ilvl="0" w:tentative="0">
      <w:start w:val="1"/>
      <w:numFmt w:val="decimal"/>
      <w:lvlText w:val="%1."/>
      <w:lvlJc w:val="left"/>
      <w:pPr>
        <w:tabs>
          <w:tab w:val="left" w:pos="312"/>
        </w:tabs>
      </w:pPr>
    </w:lvl>
  </w:abstractNum>
  <w:abstractNum w:abstractNumId="11">
    <w:nsid w:val="455C078A"/>
    <w:multiLevelType w:val="singleLevel"/>
    <w:tmpl w:val="455C078A"/>
    <w:lvl w:ilvl="0" w:tentative="0">
      <w:start w:val="1"/>
      <w:numFmt w:val="decimal"/>
      <w:suff w:val="nothing"/>
      <w:lvlText w:val="%1、"/>
      <w:lvlJc w:val="left"/>
    </w:lvl>
  </w:abstractNum>
  <w:abstractNum w:abstractNumId="12">
    <w:nsid w:val="65D56349"/>
    <w:multiLevelType w:val="multilevel"/>
    <w:tmpl w:val="65D56349"/>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3">
    <w:nsid w:val="668E374D"/>
    <w:multiLevelType w:val="singleLevel"/>
    <w:tmpl w:val="668E374D"/>
    <w:lvl w:ilvl="0" w:tentative="0">
      <w:start w:val="1"/>
      <w:numFmt w:val="decimal"/>
      <w:suff w:val="nothing"/>
      <w:lvlText w:val="%1、"/>
      <w:lvlJc w:val="left"/>
    </w:lvl>
  </w:abstractNum>
  <w:abstractNum w:abstractNumId="14">
    <w:nsid w:val="72F3F01E"/>
    <w:multiLevelType w:val="singleLevel"/>
    <w:tmpl w:val="72F3F01E"/>
    <w:lvl w:ilvl="0" w:tentative="0">
      <w:start w:val="1"/>
      <w:numFmt w:val="decimal"/>
      <w:suff w:val="nothing"/>
      <w:lvlText w:val="（%1）"/>
      <w:lvlJc w:val="left"/>
    </w:lvl>
  </w:abstractNum>
  <w:abstractNum w:abstractNumId="15">
    <w:nsid w:val="75935219"/>
    <w:multiLevelType w:val="multilevel"/>
    <w:tmpl w:val="75935219"/>
    <w:lvl w:ilvl="0" w:tentative="0">
      <w:start w:val="1"/>
      <w:numFmt w:val="upp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7ECFBF99"/>
    <w:multiLevelType w:val="singleLevel"/>
    <w:tmpl w:val="7ECFBF99"/>
    <w:lvl w:ilvl="0" w:tentative="0">
      <w:start w:val="1"/>
      <w:numFmt w:val="chineseCounting"/>
      <w:suff w:val="nothing"/>
      <w:lvlText w:val="%1、"/>
      <w:lvlJc w:val="left"/>
      <w:rPr>
        <w:rFonts w:hint="eastAsia"/>
      </w:rPr>
    </w:lvl>
  </w:abstractNum>
  <w:abstractNum w:abstractNumId="17">
    <w:nsid w:val="7F7C1AC2"/>
    <w:multiLevelType w:val="multilevel"/>
    <w:tmpl w:val="7F7C1AC2"/>
    <w:lvl w:ilvl="0" w:tentative="0">
      <w:start w:val="1"/>
      <w:numFmt w:val="decimal"/>
      <w:lvlText w:val="（%1）"/>
      <w:lvlJc w:val="left"/>
      <w:pPr>
        <w:ind w:left="420"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5"/>
  </w:num>
  <w:num w:numId="2">
    <w:abstractNumId w:val="4"/>
  </w:num>
  <w:num w:numId="3">
    <w:abstractNumId w:val="9"/>
  </w:num>
  <w:num w:numId="4">
    <w:abstractNumId w:val="10"/>
  </w:num>
  <w:num w:numId="5">
    <w:abstractNumId w:val="1"/>
  </w:num>
  <w:num w:numId="6">
    <w:abstractNumId w:val="11"/>
  </w:num>
  <w:num w:numId="7">
    <w:abstractNumId w:val="2"/>
  </w:num>
  <w:num w:numId="8">
    <w:abstractNumId w:val="14"/>
  </w:num>
  <w:num w:numId="9">
    <w:abstractNumId w:val="16"/>
  </w:num>
  <w:num w:numId="10">
    <w:abstractNumId w:val="3"/>
  </w:num>
  <w:num w:numId="11">
    <w:abstractNumId w:val="13"/>
  </w:num>
  <w:num w:numId="12">
    <w:abstractNumId w:val="0"/>
  </w:num>
  <w:num w:numId="13">
    <w:abstractNumId w:val="15"/>
  </w:num>
  <w:num w:numId="14">
    <w:abstractNumId w:val="7"/>
  </w:num>
  <w:num w:numId="15">
    <w:abstractNumId w:val="17"/>
  </w:num>
  <w:num w:numId="16">
    <w:abstractNumId w:val="12"/>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5YTQzYjkxZmJlZDJmNjFhMTliZDRhOTlkN2U5MTAifQ=="/>
    <w:docVar w:name="KSO_WPS_MARK_KEY" w:val="b3ab89ad-3c87-44bf-946f-b2c118e78b65"/>
  </w:docVars>
  <w:rsids>
    <w:rsidRoot w:val="00172A27"/>
    <w:rsid w:val="00000F2B"/>
    <w:rsid w:val="00002595"/>
    <w:rsid w:val="00002BEE"/>
    <w:rsid w:val="00002CC9"/>
    <w:rsid w:val="00003147"/>
    <w:rsid w:val="00003BDF"/>
    <w:rsid w:val="00003C6C"/>
    <w:rsid w:val="00003C6D"/>
    <w:rsid w:val="00005247"/>
    <w:rsid w:val="00005319"/>
    <w:rsid w:val="00005392"/>
    <w:rsid w:val="00005F82"/>
    <w:rsid w:val="00006011"/>
    <w:rsid w:val="0001028B"/>
    <w:rsid w:val="00010FA0"/>
    <w:rsid w:val="00013C1B"/>
    <w:rsid w:val="00014A7A"/>
    <w:rsid w:val="000150D4"/>
    <w:rsid w:val="00016CD7"/>
    <w:rsid w:val="000170FE"/>
    <w:rsid w:val="00022726"/>
    <w:rsid w:val="00023164"/>
    <w:rsid w:val="00023A0C"/>
    <w:rsid w:val="00025379"/>
    <w:rsid w:val="00025661"/>
    <w:rsid w:val="000269E4"/>
    <w:rsid w:val="0002725F"/>
    <w:rsid w:val="00027770"/>
    <w:rsid w:val="00032338"/>
    <w:rsid w:val="00037633"/>
    <w:rsid w:val="000379A6"/>
    <w:rsid w:val="00041608"/>
    <w:rsid w:val="00042620"/>
    <w:rsid w:val="00042639"/>
    <w:rsid w:val="00044B61"/>
    <w:rsid w:val="000478D2"/>
    <w:rsid w:val="00047F0D"/>
    <w:rsid w:val="0005020E"/>
    <w:rsid w:val="000534D6"/>
    <w:rsid w:val="000547BA"/>
    <w:rsid w:val="00055282"/>
    <w:rsid w:val="00055A12"/>
    <w:rsid w:val="0005603C"/>
    <w:rsid w:val="00057ACA"/>
    <w:rsid w:val="00061EFC"/>
    <w:rsid w:val="00062055"/>
    <w:rsid w:val="00062067"/>
    <w:rsid w:val="000657F4"/>
    <w:rsid w:val="0006620C"/>
    <w:rsid w:val="00074748"/>
    <w:rsid w:val="00075BFE"/>
    <w:rsid w:val="00076729"/>
    <w:rsid w:val="000802A4"/>
    <w:rsid w:val="00080747"/>
    <w:rsid w:val="000809E8"/>
    <w:rsid w:val="00081CBF"/>
    <w:rsid w:val="000827CE"/>
    <w:rsid w:val="00082941"/>
    <w:rsid w:val="000829FC"/>
    <w:rsid w:val="00082B08"/>
    <w:rsid w:val="00082DF0"/>
    <w:rsid w:val="00082E50"/>
    <w:rsid w:val="000841BD"/>
    <w:rsid w:val="00084280"/>
    <w:rsid w:val="000852FC"/>
    <w:rsid w:val="00086BB3"/>
    <w:rsid w:val="00086DC9"/>
    <w:rsid w:val="00087137"/>
    <w:rsid w:val="000878E4"/>
    <w:rsid w:val="00092AD8"/>
    <w:rsid w:val="00093675"/>
    <w:rsid w:val="00093F7D"/>
    <w:rsid w:val="00095ACD"/>
    <w:rsid w:val="000965B9"/>
    <w:rsid w:val="000A320D"/>
    <w:rsid w:val="000A3BC6"/>
    <w:rsid w:val="000A47D6"/>
    <w:rsid w:val="000A4D33"/>
    <w:rsid w:val="000A5C74"/>
    <w:rsid w:val="000A5D68"/>
    <w:rsid w:val="000A7065"/>
    <w:rsid w:val="000B13C0"/>
    <w:rsid w:val="000B4CED"/>
    <w:rsid w:val="000B5C0D"/>
    <w:rsid w:val="000B5D98"/>
    <w:rsid w:val="000B625D"/>
    <w:rsid w:val="000B646B"/>
    <w:rsid w:val="000B6B24"/>
    <w:rsid w:val="000B6CFB"/>
    <w:rsid w:val="000B7D21"/>
    <w:rsid w:val="000B7D4D"/>
    <w:rsid w:val="000C0DB4"/>
    <w:rsid w:val="000C0E7F"/>
    <w:rsid w:val="000C223E"/>
    <w:rsid w:val="000C3142"/>
    <w:rsid w:val="000C4190"/>
    <w:rsid w:val="000C53BA"/>
    <w:rsid w:val="000C5E6F"/>
    <w:rsid w:val="000C6149"/>
    <w:rsid w:val="000C72A9"/>
    <w:rsid w:val="000D09E4"/>
    <w:rsid w:val="000D2720"/>
    <w:rsid w:val="000D2FB2"/>
    <w:rsid w:val="000D51F8"/>
    <w:rsid w:val="000D56FF"/>
    <w:rsid w:val="000D58AB"/>
    <w:rsid w:val="000D5CF8"/>
    <w:rsid w:val="000D657A"/>
    <w:rsid w:val="000E040A"/>
    <w:rsid w:val="000E28F2"/>
    <w:rsid w:val="000E3949"/>
    <w:rsid w:val="000E3DC0"/>
    <w:rsid w:val="000E46F1"/>
    <w:rsid w:val="000E4E67"/>
    <w:rsid w:val="000E67B2"/>
    <w:rsid w:val="000E706C"/>
    <w:rsid w:val="000E7E29"/>
    <w:rsid w:val="000F1A7A"/>
    <w:rsid w:val="000F5AA4"/>
    <w:rsid w:val="000F5B67"/>
    <w:rsid w:val="000F6046"/>
    <w:rsid w:val="000F7AC3"/>
    <w:rsid w:val="00102B4E"/>
    <w:rsid w:val="00102E1C"/>
    <w:rsid w:val="001033E8"/>
    <w:rsid w:val="001035AF"/>
    <w:rsid w:val="00104599"/>
    <w:rsid w:val="001052E1"/>
    <w:rsid w:val="001053B3"/>
    <w:rsid w:val="00106BBA"/>
    <w:rsid w:val="00106EFA"/>
    <w:rsid w:val="00106F13"/>
    <w:rsid w:val="00107BD3"/>
    <w:rsid w:val="00111F2A"/>
    <w:rsid w:val="00112213"/>
    <w:rsid w:val="00113435"/>
    <w:rsid w:val="00115BEA"/>
    <w:rsid w:val="001161D1"/>
    <w:rsid w:val="0011708B"/>
    <w:rsid w:val="001212E5"/>
    <w:rsid w:val="00122159"/>
    <w:rsid w:val="001225F7"/>
    <w:rsid w:val="001228CC"/>
    <w:rsid w:val="00122EE1"/>
    <w:rsid w:val="0012434E"/>
    <w:rsid w:val="00124DD9"/>
    <w:rsid w:val="0012583C"/>
    <w:rsid w:val="00125C53"/>
    <w:rsid w:val="00125D88"/>
    <w:rsid w:val="00125E1B"/>
    <w:rsid w:val="00132A17"/>
    <w:rsid w:val="00132E29"/>
    <w:rsid w:val="001338F8"/>
    <w:rsid w:val="00133A59"/>
    <w:rsid w:val="00133E44"/>
    <w:rsid w:val="00133FC3"/>
    <w:rsid w:val="001410BA"/>
    <w:rsid w:val="00141D20"/>
    <w:rsid w:val="00142422"/>
    <w:rsid w:val="001426E8"/>
    <w:rsid w:val="0014386F"/>
    <w:rsid w:val="00143968"/>
    <w:rsid w:val="00145C56"/>
    <w:rsid w:val="001462D8"/>
    <w:rsid w:val="0014783A"/>
    <w:rsid w:val="00147E63"/>
    <w:rsid w:val="00150562"/>
    <w:rsid w:val="0015073B"/>
    <w:rsid w:val="0015265A"/>
    <w:rsid w:val="00152A56"/>
    <w:rsid w:val="00152D93"/>
    <w:rsid w:val="00153756"/>
    <w:rsid w:val="001544CC"/>
    <w:rsid w:val="0015578E"/>
    <w:rsid w:val="00155B76"/>
    <w:rsid w:val="0015614C"/>
    <w:rsid w:val="00157ABB"/>
    <w:rsid w:val="00157F41"/>
    <w:rsid w:val="00163723"/>
    <w:rsid w:val="001645B2"/>
    <w:rsid w:val="00165163"/>
    <w:rsid w:val="001651C1"/>
    <w:rsid w:val="001667DB"/>
    <w:rsid w:val="001668B2"/>
    <w:rsid w:val="00166951"/>
    <w:rsid w:val="001670DA"/>
    <w:rsid w:val="00170544"/>
    <w:rsid w:val="001721D6"/>
    <w:rsid w:val="00172E9C"/>
    <w:rsid w:val="001737FA"/>
    <w:rsid w:val="001746B1"/>
    <w:rsid w:val="0017476E"/>
    <w:rsid w:val="0017483F"/>
    <w:rsid w:val="00181AF8"/>
    <w:rsid w:val="00181C48"/>
    <w:rsid w:val="001825B4"/>
    <w:rsid w:val="00182CC3"/>
    <w:rsid w:val="0018444C"/>
    <w:rsid w:val="00184AF1"/>
    <w:rsid w:val="0018531D"/>
    <w:rsid w:val="00186162"/>
    <w:rsid w:val="0018661D"/>
    <w:rsid w:val="00190FB4"/>
    <w:rsid w:val="001921D4"/>
    <w:rsid w:val="00195DB7"/>
    <w:rsid w:val="00196C1C"/>
    <w:rsid w:val="00196D4E"/>
    <w:rsid w:val="001A0ACC"/>
    <w:rsid w:val="001A13C0"/>
    <w:rsid w:val="001A197B"/>
    <w:rsid w:val="001A21DD"/>
    <w:rsid w:val="001A322B"/>
    <w:rsid w:val="001A34AF"/>
    <w:rsid w:val="001A385F"/>
    <w:rsid w:val="001A44BC"/>
    <w:rsid w:val="001A45E3"/>
    <w:rsid w:val="001A6169"/>
    <w:rsid w:val="001A70A8"/>
    <w:rsid w:val="001A73EB"/>
    <w:rsid w:val="001A7FC3"/>
    <w:rsid w:val="001B0ACE"/>
    <w:rsid w:val="001B0CBD"/>
    <w:rsid w:val="001B1D5A"/>
    <w:rsid w:val="001B31B4"/>
    <w:rsid w:val="001B35D6"/>
    <w:rsid w:val="001B35D9"/>
    <w:rsid w:val="001B411F"/>
    <w:rsid w:val="001B4987"/>
    <w:rsid w:val="001B4E91"/>
    <w:rsid w:val="001B5ED6"/>
    <w:rsid w:val="001B66EF"/>
    <w:rsid w:val="001B6FE3"/>
    <w:rsid w:val="001C0F5E"/>
    <w:rsid w:val="001C3095"/>
    <w:rsid w:val="001C3428"/>
    <w:rsid w:val="001C4FC5"/>
    <w:rsid w:val="001C5DCA"/>
    <w:rsid w:val="001C65C8"/>
    <w:rsid w:val="001C7246"/>
    <w:rsid w:val="001C7E7F"/>
    <w:rsid w:val="001D01C8"/>
    <w:rsid w:val="001D1CCC"/>
    <w:rsid w:val="001D2044"/>
    <w:rsid w:val="001D23DD"/>
    <w:rsid w:val="001D4305"/>
    <w:rsid w:val="001D4374"/>
    <w:rsid w:val="001D5BBF"/>
    <w:rsid w:val="001D6373"/>
    <w:rsid w:val="001E058A"/>
    <w:rsid w:val="001E2CAE"/>
    <w:rsid w:val="001E3809"/>
    <w:rsid w:val="001E52C5"/>
    <w:rsid w:val="001E59C0"/>
    <w:rsid w:val="001E62DA"/>
    <w:rsid w:val="001E7FDB"/>
    <w:rsid w:val="001F0B06"/>
    <w:rsid w:val="001F1770"/>
    <w:rsid w:val="001F2A95"/>
    <w:rsid w:val="001F3BE7"/>
    <w:rsid w:val="001F3C1A"/>
    <w:rsid w:val="001F3DB3"/>
    <w:rsid w:val="001F3FA7"/>
    <w:rsid w:val="001F41B8"/>
    <w:rsid w:val="001F456A"/>
    <w:rsid w:val="001F4DEA"/>
    <w:rsid w:val="001F4F54"/>
    <w:rsid w:val="001F5E37"/>
    <w:rsid w:val="001F7548"/>
    <w:rsid w:val="001F7ACE"/>
    <w:rsid w:val="001F7EBE"/>
    <w:rsid w:val="00200A43"/>
    <w:rsid w:val="00200BAC"/>
    <w:rsid w:val="0020174A"/>
    <w:rsid w:val="0020241B"/>
    <w:rsid w:val="002025F1"/>
    <w:rsid w:val="00202A72"/>
    <w:rsid w:val="00204552"/>
    <w:rsid w:val="00204938"/>
    <w:rsid w:val="00205F08"/>
    <w:rsid w:val="002063B2"/>
    <w:rsid w:val="00206726"/>
    <w:rsid w:val="0020796C"/>
    <w:rsid w:val="00207F4A"/>
    <w:rsid w:val="00210EB2"/>
    <w:rsid w:val="00210F2A"/>
    <w:rsid w:val="00211F88"/>
    <w:rsid w:val="00212A21"/>
    <w:rsid w:val="00213B5E"/>
    <w:rsid w:val="0021411F"/>
    <w:rsid w:val="00214715"/>
    <w:rsid w:val="00214FC2"/>
    <w:rsid w:val="002150E7"/>
    <w:rsid w:val="00221E5A"/>
    <w:rsid w:val="0022235C"/>
    <w:rsid w:val="00224317"/>
    <w:rsid w:val="002268BA"/>
    <w:rsid w:val="00231AFE"/>
    <w:rsid w:val="00234E7B"/>
    <w:rsid w:val="00236195"/>
    <w:rsid w:val="0023626D"/>
    <w:rsid w:val="00236AC9"/>
    <w:rsid w:val="0023781D"/>
    <w:rsid w:val="0023797D"/>
    <w:rsid w:val="002405F4"/>
    <w:rsid w:val="002406B0"/>
    <w:rsid w:val="0024086C"/>
    <w:rsid w:val="00240AC4"/>
    <w:rsid w:val="002411F4"/>
    <w:rsid w:val="00241D38"/>
    <w:rsid w:val="00242158"/>
    <w:rsid w:val="00242443"/>
    <w:rsid w:val="0024338C"/>
    <w:rsid w:val="00243670"/>
    <w:rsid w:val="00243FF0"/>
    <w:rsid w:val="002444C5"/>
    <w:rsid w:val="00244CA8"/>
    <w:rsid w:val="00244F2D"/>
    <w:rsid w:val="0024669C"/>
    <w:rsid w:val="00246CD0"/>
    <w:rsid w:val="00247BA7"/>
    <w:rsid w:val="00247F22"/>
    <w:rsid w:val="00250534"/>
    <w:rsid w:val="00257DD1"/>
    <w:rsid w:val="00260FE2"/>
    <w:rsid w:val="002613DE"/>
    <w:rsid w:val="00262B4D"/>
    <w:rsid w:val="00266387"/>
    <w:rsid w:val="002700B1"/>
    <w:rsid w:val="002707CB"/>
    <w:rsid w:val="0027267F"/>
    <w:rsid w:val="00273BEC"/>
    <w:rsid w:val="00274042"/>
    <w:rsid w:val="00274CF7"/>
    <w:rsid w:val="00276195"/>
    <w:rsid w:val="00276D21"/>
    <w:rsid w:val="00280A20"/>
    <w:rsid w:val="0028171C"/>
    <w:rsid w:val="00284BE2"/>
    <w:rsid w:val="00285091"/>
    <w:rsid w:val="00285523"/>
    <w:rsid w:val="00285B53"/>
    <w:rsid w:val="00285CD5"/>
    <w:rsid w:val="00285E1A"/>
    <w:rsid w:val="002868B7"/>
    <w:rsid w:val="00286C96"/>
    <w:rsid w:val="002903BE"/>
    <w:rsid w:val="00292583"/>
    <w:rsid w:val="002925F7"/>
    <w:rsid w:val="002927E8"/>
    <w:rsid w:val="00293185"/>
    <w:rsid w:val="0029531B"/>
    <w:rsid w:val="0029662A"/>
    <w:rsid w:val="002969F5"/>
    <w:rsid w:val="00297FC4"/>
    <w:rsid w:val="002A1CC5"/>
    <w:rsid w:val="002A348E"/>
    <w:rsid w:val="002A3D43"/>
    <w:rsid w:val="002A420D"/>
    <w:rsid w:val="002A4B04"/>
    <w:rsid w:val="002A5D40"/>
    <w:rsid w:val="002A617E"/>
    <w:rsid w:val="002A6764"/>
    <w:rsid w:val="002A6D54"/>
    <w:rsid w:val="002B0349"/>
    <w:rsid w:val="002B1B02"/>
    <w:rsid w:val="002B2D4B"/>
    <w:rsid w:val="002B3729"/>
    <w:rsid w:val="002B3F17"/>
    <w:rsid w:val="002B5194"/>
    <w:rsid w:val="002B7B70"/>
    <w:rsid w:val="002C1D28"/>
    <w:rsid w:val="002C2A18"/>
    <w:rsid w:val="002C5CAD"/>
    <w:rsid w:val="002C6F4A"/>
    <w:rsid w:val="002C7F58"/>
    <w:rsid w:val="002D5678"/>
    <w:rsid w:val="002E0E0B"/>
    <w:rsid w:val="002E1AE3"/>
    <w:rsid w:val="002E223F"/>
    <w:rsid w:val="002E5EDF"/>
    <w:rsid w:val="002F0BD5"/>
    <w:rsid w:val="002F2177"/>
    <w:rsid w:val="002F233F"/>
    <w:rsid w:val="002F3129"/>
    <w:rsid w:val="002F7F72"/>
    <w:rsid w:val="00300264"/>
    <w:rsid w:val="00300BE2"/>
    <w:rsid w:val="003018D6"/>
    <w:rsid w:val="003019A6"/>
    <w:rsid w:val="00302285"/>
    <w:rsid w:val="00302F01"/>
    <w:rsid w:val="00302F73"/>
    <w:rsid w:val="00305D14"/>
    <w:rsid w:val="0030647F"/>
    <w:rsid w:val="0031065A"/>
    <w:rsid w:val="003110D7"/>
    <w:rsid w:val="003111E3"/>
    <w:rsid w:val="00311789"/>
    <w:rsid w:val="00311C0B"/>
    <w:rsid w:val="00312CDB"/>
    <w:rsid w:val="003152B9"/>
    <w:rsid w:val="00320A8D"/>
    <w:rsid w:val="00320B8D"/>
    <w:rsid w:val="003222A1"/>
    <w:rsid w:val="00322A16"/>
    <w:rsid w:val="00323303"/>
    <w:rsid w:val="00325E6C"/>
    <w:rsid w:val="003320A7"/>
    <w:rsid w:val="003324E4"/>
    <w:rsid w:val="0033490D"/>
    <w:rsid w:val="00335CC6"/>
    <w:rsid w:val="00336099"/>
    <w:rsid w:val="0033637E"/>
    <w:rsid w:val="00336FA3"/>
    <w:rsid w:val="00337047"/>
    <w:rsid w:val="00337897"/>
    <w:rsid w:val="003406D4"/>
    <w:rsid w:val="003421DD"/>
    <w:rsid w:val="00342CFB"/>
    <w:rsid w:val="0034451A"/>
    <w:rsid w:val="003462EE"/>
    <w:rsid w:val="0034698A"/>
    <w:rsid w:val="0034735F"/>
    <w:rsid w:val="00347B04"/>
    <w:rsid w:val="00347E38"/>
    <w:rsid w:val="0035263A"/>
    <w:rsid w:val="003526B5"/>
    <w:rsid w:val="00354122"/>
    <w:rsid w:val="00354A06"/>
    <w:rsid w:val="00354E24"/>
    <w:rsid w:val="00355CC2"/>
    <w:rsid w:val="00357EE3"/>
    <w:rsid w:val="00357F35"/>
    <w:rsid w:val="00360314"/>
    <w:rsid w:val="0036160D"/>
    <w:rsid w:val="00361D5A"/>
    <w:rsid w:val="00362892"/>
    <w:rsid w:val="0036291D"/>
    <w:rsid w:val="00362FFE"/>
    <w:rsid w:val="00363A22"/>
    <w:rsid w:val="00364AE7"/>
    <w:rsid w:val="00364DB2"/>
    <w:rsid w:val="00366865"/>
    <w:rsid w:val="00370F94"/>
    <w:rsid w:val="0037181C"/>
    <w:rsid w:val="00372100"/>
    <w:rsid w:val="00372686"/>
    <w:rsid w:val="00373FB3"/>
    <w:rsid w:val="003754BE"/>
    <w:rsid w:val="003754D0"/>
    <w:rsid w:val="00376D23"/>
    <w:rsid w:val="00376EE9"/>
    <w:rsid w:val="003825E9"/>
    <w:rsid w:val="00382A0F"/>
    <w:rsid w:val="0038350B"/>
    <w:rsid w:val="00384DEC"/>
    <w:rsid w:val="00387167"/>
    <w:rsid w:val="003872A5"/>
    <w:rsid w:val="00387A97"/>
    <w:rsid w:val="003900EF"/>
    <w:rsid w:val="003906FD"/>
    <w:rsid w:val="00390723"/>
    <w:rsid w:val="00390EF6"/>
    <w:rsid w:val="0039354A"/>
    <w:rsid w:val="00393C7C"/>
    <w:rsid w:val="003941B1"/>
    <w:rsid w:val="003943F0"/>
    <w:rsid w:val="00394A78"/>
    <w:rsid w:val="00397498"/>
    <w:rsid w:val="00397798"/>
    <w:rsid w:val="003978C6"/>
    <w:rsid w:val="003A12BD"/>
    <w:rsid w:val="003A1A11"/>
    <w:rsid w:val="003A207D"/>
    <w:rsid w:val="003A2495"/>
    <w:rsid w:val="003A4245"/>
    <w:rsid w:val="003A42BD"/>
    <w:rsid w:val="003A4715"/>
    <w:rsid w:val="003A4B7E"/>
    <w:rsid w:val="003A518B"/>
    <w:rsid w:val="003A56B3"/>
    <w:rsid w:val="003A6987"/>
    <w:rsid w:val="003A733A"/>
    <w:rsid w:val="003B0356"/>
    <w:rsid w:val="003B140C"/>
    <w:rsid w:val="003B33B7"/>
    <w:rsid w:val="003B53AE"/>
    <w:rsid w:val="003B7B53"/>
    <w:rsid w:val="003C0785"/>
    <w:rsid w:val="003C22E8"/>
    <w:rsid w:val="003C4932"/>
    <w:rsid w:val="003C5B99"/>
    <w:rsid w:val="003C5CE8"/>
    <w:rsid w:val="003C6F19"/>
    <w:rsid w:val="003C74FB"/>
    <w:rsid w:val="003C7660"/>
    <w:rsid w:val="003C7DB1"/>
    <w:rsid w:val="003D0B6E"/>
    <w:rsid w:val="003D0BE3"/>
    <w:rsid w:val="003D1166"/>
    <w:rsid w:val="003D1686"/>
    <w:rsid w:val="003D2B5C"/>
    <w:rsid w:val="003D3103"/>
    <w:rsid w:val="003D358E"/>
    <w:rsid w:val="003D3A4E"/>
    <w:rsid w:val="003D3B1B"/>
    <w:rsid w:val="003D7471"/>
    <w:rsid w:val="003E1F56"/>
    <w:rsid w:val="003E21D3"/>
    <w:rsid w:val="003E2AF5"/>
    <w:rsid w:val="003E2BF5"/>
    <w:rsid w:val="003E31D8"/>
    <w:rsid w:val="003E35E2"/>
    <w:rsid w:val="003E549C"/>
    <w:rsid w:val="003E5F61"/>
    <w:rsid w:val="003E62F7"/>
    <w:rsid w:val="003E6E15"/>
    <w:rsid w:val="003E7114"/>
    <w:rsid w:val="003F2068"/>
    <w:rsid w:val="003F20A1"/>
    <w:rsid w:val="003F2286"/>
    <w:rsid w:val="003F3060"/>
    <w:rsid w:val="003F3FAF"/>
    <w:rsid w:val="003F52B3"/>
    <w:rsid w:val="003F6305"/>
    <w:rsid w:val="004008D7"/>
    <w:rsid w:val="00401163"/>
    <w:rsid w:val="0040176D"/>
    <w:rsid w:val="00401DF8"/>
    <w:rsid w:val="0040291A"/>
    <w:rsid w:val="00402BBB"/>
    <w:rsid w:val="0040352C"/>
    <w:rsid w:val="00403895"/>
    <w:rsid w:val="004055D7"/>
    <w:rsid w:val="004058B3"/>
    <w:rsid w:val="00406343"/>
    <w:rsid w:val="00413373"/>
    <w:rsid w:val="00414800"/>
    <w:rsid w:val="00414EC3"/>
    <w:rsid w:val="004153A8"/>
    <w:rsid w:val="004164F5"/>
    <w:rsid w:val="0041754E"/>
    <w:rsid w:val="00417712"/>
    <w:rsid w:val="0041773A"/>
    <w:rsid w:val="00420BC8"/>
    <w:rsid w:val="00423BA8"/>
    <w:rsid w:val="00423D17"/>
    <w:rsid w:val="00424268"/>
    <w:rsid w:val="00424EEA"/>
    <w:rsid w:val="0042590C"/>
    <w:rsid w:val="0042711D"/>
    <w:rsid w:val="00427D5C"/>
    <w:rsid w:val="0043020A"/>
    <w:rsid w:val="004305A5"/>
    <w:rsid w:val="00433A67"/>
    <w:rsid w:val="00433DFB"/>
    <w:rsid w:val="00434A5E"/>
    <w:rsid w:val="00434D2A"/>
    <w:rsid w:val="00435EF1"/>
    <w:rsid w:val="00435FFE"/>
    <w:rsid w:val="00437708"/>
    <w:rsid w:val="0044087F"/>
    <w:rsid w:val="0044229E"/>
    <w:rsid w:val="00442DA1"/>
    <w:rsid w:val="00442F38"/>
    <w:rsid w:val="00443EF6"/>
    <w:rsid w:val="004440E9"/>
    <w:rsid w:val="0044589E"/>
    <w:rsid w:val="0044618D"/>
    <w:rsid w:val="00446884"/>
    <w:rsid w:val="004477FF"/>
    <w:rsid w:val="00453BC1"/>
    <w:rsid w:val="00454291"/>
    <w:rsid w:val="004547D7"/>
    <w:rsid w:val="00456BFC"/>
    <w:rsid w:val="004603F4"/>
    <w:rsid w:val="00461F7C"/>
    <w:rsid w:val="00462558"/>
    <w:rsid w:val="00462FA2"/>
    <w:rsid w:val="00463BC3"/>
    <w:rsid w:val="00464B53"/>
    <w:rsid w:val="00465512"/>
    <w:rsid w:val="004658E6"/>
    <w:rsid w:val="00466E8A"/>
    <w:rsid w:val="00472774"/>
    <w:rsid w:val="0047416D"/>
    <w:rsid w:val="00476245"/>
    <w:rsid w:val="00476371"/>
    <w:rsid w:val="00476827"/>
    <w:rsid w:val="00476FBB"/>
    <w:rsid w:val="004802B9"/>
    <w:rsid w:val="004807DA"/>
    <w:rsid w:val="00481527"/>
    <w:rsid w:val="00481998"/>
    <w:rsid w:val="0048216D"/>
    <w:rsid w:val="0048355F"/>
    <w:rsid w:val="00483FDA"/>
    <w:rsid w:val="00484BA3"/>
    <w:rsid w:val="00485134"/>
    <w:rsid w:val="00485CAD"/>
    <w:rsid w:val="00485D77"/>
    <w:rsid w:val="004878C6"/>
    <w:rsid w:val="004879EA"/>
    <w:rsid w:val="00487CCD"/>
    <w:rsid w:val="0049175A"/>
    <w:rsid w:val="00491ABB"/>
    <w:rsid w:val="00494161"/>
    <w:rsid w:val="0049528F"/>
    <w:rsid w:val="00495BD9"/>
    <w:rsid w:val="00495FD6"/>
    <w:rsid w:val="004962BE"/>
    <w:rsid w:val="00496865"/>
    <w:rsid w:val="004A02A0"/>
    <w:rsid w:val="004A0A96"/>
    <w:rsid w:val="004A337A"/>
    <w:rsid w:val="004A4487"/>
    <w:rsid w:val="004A5012"/>
    <w:rsid w:val="004A52B9"/>
    <w:rsid w:val="004A76C8"/>
    <w:rsid w:val="004A7B41"/>
    <w:rsid w:val="004B3C7D"/>
    <w:rsid w:val="004B5938"/>
    <w:rsid w:val="004B599C"/>
    <w:rsid w:val="004B707F"/>
    <w:rsid w:val="004B748E"/>
    <w:rsid w:val="004C00F0"/>
    <w:rsid w:val="004C0A19"/>
    <w:rsid w:val="004C0CD6"/>
    <w:rsid w:val="004C226D"/>
    <w:rsid w:val="004C3E1A"/>
    <w:rsid w:val="004C470A"/>
    <w:rsid w:val="004C518B"/>
    <w:rsid w:val="004C6440"/>
    <w:rsid w:val="004D4A9C"/>
    <w:rsid w:val="004D5075"/>
    <w:rsid w:val="004D5227"/>
    <w:rsid w:val="004E0B61"/>
    <w:rsid w:val="004E1B27"/>
    <w:rsid w:val="004E239B"/>
    <w:rsid w:val="004E2AD4"/>
    <w:rsid w:val="004E30A9"/>
    <w:rsid w:val="004E3631"/>
    <w:rsid w:val="004E3BBA"/>
    <w:rsid w:val="004E3FE0"/>
    <w:rsid w:val="004E476D"/>
    <w:rsid w:val="004E6B5A"/>
    <w:rsid w:val="004E73F8"/>
    <w:rsid w:val="004E7671"/>
    <w:rsid w:val="004E7D9F"/>
    <w:rsid w:val="004F1363"/>
    <w:rsid w:val="004F3043"/>
    <w:rsid w:val="004F31BD"/>
    <w:rsid w:val="004F3BB1"/>
    <w:rsid w:val="004F4D4A"/>
    <w:rsid w:val="004F5FD4"/>
    <w:rsid w:val="004F6391"/>
    <w:rsid w:val="004F7BD0"/>
    <w:rsid w:val="005022A5"/>
    <w:rsid w:val="005026F8"/>
    <w:rsid w:val="005027DF"/>
    <w:rsid w:val="00502850"/>
    <w:rsid w:val="00502A0F"/>
    <w:rsid w:val="00502E5F"/>
    <w:rsid w:val="00505C0E"/>
    <w:rsid w:val="00505C86"/>
    <w:rsid w:val="00505D3F"/>
    <w:rsid w:val="005063EC"/>
    <w:rsid w:val="00506DC8"/>
    <w:rsid w:val="00506E16"/>
    <w:rsid w:val="00507369"/>
    <w:rsid w:val="00510563"/>
    <w:rsid w:val="00512C24"/>
    <w:rsid w:val="0051502A"/>
    <w:rsid w:val="00515145"/>
    <w:rsid w:val="00515313"/>
    <w:rsid w:val="0051536C"/>
    <w:rsid w:val="00516109"/>
    <w:rsid w:val="00516699"/>
    <w:rsid w:val="005177AC"/>
    <w:rsid w:val="00517EDB"/>
    <w:rsid w:val="005204DE"/>
    <w:rsid w:val="00520D90"/>
    <w:rsid w:val="005225F7"/>
    <w:rsid w:val="00523537"/>
    <w:rsid w:val="00524974"/>
    <w:rsid w:val="00524A58"/>
    <w:rsid w:val="00525206"/>
    <w:rsid w:val="00526C41"/>
    <w:rsid w:val="00530F08"/>
    <w:rsid w:val="00530F41"/>
    <w:rsid w:val="0053105D"/>
    <w:rsid w:val="005313BF"/>
    <w:rsid w:val="00531758"/>
    <w:rsid w:val="0053241D"/>
    <w:rsid w:val="00533540"/>
    <w:rsid w:val="005347D4"/>
    <w:rsid w:val="005360DB"/>
    <w:rsid w:val="00536237"/>
    <w:rsid w:val="00540321"/>
    <w:rsid w:val="00541A7D"/>
    <w:rsid w:val="00542002"/>
    <w:rsid w:val="005457A4"/>
    <w:rsid w:val="00545AA3"/>
    <w:rsid w:val="00546F05"/>
    <w:rsid w:val="00547CDD"/>
    <w:rsid w:val="00547FCF"/>
    <w:rsid w:val="005503F8"/>
    <w:rsid w:val="005515D8"/>
    <w:rsid w:val="00553024"/>
    <w:rsid w:val="00554172"/>
    <w:rsid w:val="00554B5F"/>
    <w:rsid w:val="00554C5B"/>
    <w:rsid w:val="00556E73"/>
    <w:rsid w:val="005570F9"/>
    <w:rsid w:val="005571D5"/>
    <w:rsid w:val="00560A2B"/>
    <w:rsid w:val="005617BC"/>
    <w:rsid w:val="00562054"/>
    <w:rsid w:val="00562A7E"/>
    <w:rsid w:val="00562E0B"/>
    <w:rsid w:val="00563D2C"/>
    <w:rsid w:val="00564A3D"/>
    <w:rsid w:val="00564E62"/>
    <w:rsid w:val="0056505B"/>
    <w:rsid w:val="005655F9"/>
    <w:rsid w:val="00565712"/>
    <w:rsid w:val="00565CC4"/>
    <w:rsid w:val="005660E5"/>
    <w:rsid w:val="00570441"/>
    <w:rsid w:val="00571193"/>
    <w:rsid w:val="005716E6"/>
    <w:rsid w:val="00573136"/>
    <w:rsid w:val="0057333E"/>
    <w:rsid w:val="005737A6"/>
    <w:rsid w:val="0057397B"/>
    <w:rsid w:val="00573B54"/>
    <w:rsid w:val="00573B5B"/>
    <w:rsid w:val="005763A3"/>
    <w:rsid w:val="005779D5"/>
    <w:rsid w:val="00577AFB"/>
    <w:rsid w:val="00581CF5"/>
    <w:rsid w:val="00581DBD"/>
    <w:rsid w:val="005837AC"/>
    <w:rsid w:val="0058382A"/>
    <w:rsid w:val="0058388A"/>
    <w:rsid w:val="00583D8D"/>
    <w:rsid w:val="00583F51"/>
    <w:rsid w:val="005843AA"/>
    <w:rsid w:val="005857FE"/>
    <w:rsid w:val="00585E97"/>
    <w:rsid w:val="00585F33"/>
    <w:rsid w:val="005866CF"/>
    <w:rsid w:val="00586C7B"/>
    <w:rsid w:val="005903A5"/>
    <w:rsid w:val="00590B5C"/>
    <w:rsid w:val="0059126F"/>
    <w:rsid w:val="00591974"/>
    <w:rsid w:val="00591E2B"/>
    <w:rsid w:val="00592A9C"/>
    <w:rsid w:val="00593478"/>
    <w:rsid w:val="00593E1B"/>
    <w:rsid w:val="005943BD"/>
    <w:rsid w:val="00595F89"/>
    <w:rsid w:val="00596AF4"/>
    <w:rsid w:val="00597F74"/>
    <w:rsid w:val="005A0BFF"/>
    <w:rsid w:val="005A0FCC"/>
    <w:rsid w:val="005A4BF7"/>
    <w:rsid w:val="005A4F9B"/>
    <w:rsid w:val="005A6D29"/>
    <w:rsid w:val="005A7C92"/>
    <w:rsid w:val="005B1010"/>
    <w:rsid w:val="005B2A6A"/>
    <w:rsid w:val="005B3507"/>
    <w:rsid w:val="005B5FAA"/>
    <w:rsid w:val="005B783F"/>
    <w:rsid w:val="005C00C5"/>
    <w:rsid w:val="005C0C7F"/>
    <w:rsid w:val="005C12F6"/>
    <w:rsid w:val="005C21D8"/>
    <w:rsid w:val="005C3A07"/>
    <w:rsid w:val="005C4457"/>
    <w:rsid w:val="005C4B17"/>
    <w:rsid w:val="005C502D"/>
    <w:rsid w:val="005C5AB9"/>
    <w:rsid w:val="005C5C51"/>
    <w:rsid w:val="005D0401"/>
    <w:rsid w:val="005D122A"/>
    <w:rsid w:val="005D2708"/>
    <w:rsid w:val="005D3803"/>
    <w:rsid w:val="005D3C69"/>
    <w:rsid w:val="005D4FE2"/>
    <w:rsid w:val="005D6DD9"/>
    <w:rsid w:val="005D7595"/>
    <w:rsid w:val="005E595F"/>
    <w:rsid w:val="005E6E25"/>
    <w:rsid w:val="005E6F95"/>
    <w:rsid w:val="005E7503"/>
    <w:rsid w:val="005E75AE"/>
    <w:rsid w:val="005F0C14"/>
    <w:rsid w:val="005F14A2"/>
    <w:rsid w:val="005F1A41"/>
    <w:rsid w:val="005F2BE0"/>
    <w:rsid w:val="005F2F8D"/>
    <w:rsid w:val="005F388B"/>
    <w:rsid w:val="005F4640"/>
    <w:rsid w:val="005F6388"/>
    <w:rsid w:val="005F657D"/>
    <w:rsid w:val="005F6984"/>
    <w:rsid w:val="005F71DC"/>
    <w:rsid w:val="006010A5"/>
    <w:rsid w:val="00601B97"/>
    <w:rsid w:val="00602114"/>
    <w:rsid w:val="00602618"/>
    <w:rsid w:val="006043D4"/>
    <w:rsid w:val="0060454F"/>
    <w:rsid w:val="00604A5F"/>
    <w:rsid w:val="0060560C"/>
    <w:rsid w:val="00605D11"/>
    <w:rsid w:val="00605FE6"/>
    <w:rsid w:val="00606CCC"/>
    <w:rsid w:val="00607426"/>
    <w:rsid w:val="00607687"/>
    <w:rsid w:val="0061022B"/>
    <w:rsid w:val="00612979"/>
    <w:rsid w:val="00614DC1"/>
    <w:rsid w:val="006167E4"/>
    <w:rsid w:val="0062245A"/>
    <w:rsid w:val="006234E4"/>
    <w:rsid w:val="006236D8"/>
    <w:rsid w:val="006245DA"/>
    <w:rsid w:val="00624DDE"/>
    <w:rsid w:val="006273F2"/>
    <w:rsid w:val="006307A3"/>
    <w:rsid w:val="0063190B"/>
    <w:rsid w:val="006325D5"/>
    <w:rsid w:val="00632C5F"/>
    <w:rsid w:val="00633914"/>
    <w:rsid w:val="00634B3B"/>
    <w:rsid w:val="00635B89"/>
    <w:rsid w:val="00636475"/>
    <w:rsid w:val="00636A96"/>
    <w:rsid w:val="00637A2C"/>
    <w:rsid w:val="00640D28"/>
    <w:rsid w:val="006417F5"/>
    <w:rsid w:val="0064393C"/>
    <w:rsid w:val="006473A6"/>
    <w:rsid w:val="00650419"/>
    <w:rsid w:val="006514AD"/>
    <w:rsid w:val="00651658"/>
    <w:rsid w:val="0065337E"/>
    <w:rsid w:val="00653CC0"/>
    <w:rsid w:val="0065422C"/>
    <w:rsid w:val="00654CC3"/>
    <w:rsid w:val="00654D7B"/>
    <w:rsid w:val="0065642C"/>
    <w:rsid w:val="0065682C"/>
    <w:rsid w:val="00665693"/>
    <w:rsid w:val="00665A6B"/>
    <w:rsid w:val="006669B1"/>
    <w:rsid w:val="00666E28"/>
    <w:rsid w:val="00667013"/>
    <w:rsid w:val="006755AE"/>
    <w:rsid w:val="00675FFA"/>
    <w:rsid w:val="00676C5A"/>
    <w:rsid w:val="00676C93"/>
    <w:rsid w:val="0068072B"/>
    <w:rsid w:val="00680E8F"/>
    <w:rsid w:val="006825D6"/>
    <w:rsid w:val="0068268C"/>
    <w:rsid w:val="00684770"/>
    <w:rsid w:val="006848C3"/>
    <w:rsid w:val="00684E76"/>
    <w:rsid w:val="00685519"/>
    <w:rsid w:val="00685B3E"/>
    <w:rsid w:val="00686782"/>
    <w:rsid w:val="0069063F"/>
    <w:rsid w:val="00690E2F"/>
    <w:rsid w:val="00691669"/>
    <w:rsid w:val="00691F8D"/>
    <w:rsid w:val="00695876"/>
    <w:rsid w:val="006A0599"/>
    <w:rsid w:val="006A0E90"/>
    <w:rsid w:val="006A0E98"/>
    <w:rsid w:val="006A2760"/>
    <w:rsid w:val="006A2A8C"/>
    <w:rsid w:val="006A711E"/>
    <w:rsid w:val="006B0BD4"/>
    <w:rsid w:val="006B45E2"/>
    <w:rsid w:val="006B5195"/>
    <w:rsid w:val="006B6B16"/>
    <w:rsid w:val="006B7AC5"/>
    <w:rsid w:val="006C2701"/>
    <w:rsid w:val="006C2EFF"/>
    <w:rsid w:val="006C3D13"/>
    <w:rsid w:val="006C6520"/>
    <w:rsid w:val="006C6A61"/>
    <w:rsid w:val="006C79F9"/>
    <w:rsid w:val="006D3328"/>
    <w:rsid w:val="006D4B05"/>
    <w:rsid w:val="006D5186"/>
    <w:rsid w:val="006D535C"/>
    <w:rsid w:val="006D5968"/>
    <w:rsid w:val="006D5B51"/>
    <w:rsid w:val="006D68FC"/>
    <w:rsid w:val="006D744D"/>
    <w:rsid w:val="006D7F62"/>
    <w:rsid w:val="006E1D25"/>
    <w:rsid w:val="006E2047"/>
    <w:rsid w:val="006E3E07"/>
    <w:rsid w:val="006F0EE1"/>
    <w:rsid w:val="006F145C"/>
    <w:rsid w:val="006F325E"/>
    <w:rsid w:val="006F41A6"/>
    <w:rsid w:val="006F4BB9"/>
    <w:rsid w:val="006F5F76"/>
    <w:rsid w:val="007016D3"/>
    <w:rsid w:val="00701B20"/>
    <w:rsid w:val="00701E15"/>
    <w:rsid w:val="00702890"/>
    <w:rsid w:val="00702F3E"/>
    <w:rsid w:val="00703A54"/>
    <w:rsid w:val="00704F51"/>
    <w:rsid w:val="00704F94"/>
    <w:rsid w:val="00704FFB"/>
    <w:rsid w:val="007050DB"/>
    <w:rsid w:val="00707B1E"/>
    <w:rsid w:val="007100F6"/>
    <w:rsid w:val="0071090B"/>
    <w:rsid w:val="00710D00"/>
    <w:rsid w:val="00711940"/>
    <w:rsid w:val="007123C4"/>
    <w:rsid w:val="007131AD"/>
    <w:rsid w:val="00714202"/>
    <w:rsid w:val="007209D2"/>
    <w:rsid w:val="00720E5D"/>
    <w:rsid w:val="00720EF5"/>
    <w:rsid w:val="0072121F"/>
    <w:rsid w:val="007214F6"/>
    <w:rsid w:val="007233DA"/>
    <w:rsid w:val="0072385F"/>
    <w:rsid w:val="00723EDD"/>
    <w:rsid w:val="007252EC"/>
    <w:rsid w:val="00725469"/>
    <w:rsid w:val="00726B31"/>
    <w:rsid w:val="00727390"/>
    <w:rsid w:val="00730BE8"/>
    <w:rsid w:val="007322D7"/>
    <w:rsid w:val="007329B6"/>
    <w:rsid w:val="0073468C"/>
    <w:rsid w:val="00734D51"/>
    <w:rsid w:val="00735D4F"/>
    <w:rsid w:val="00736DFD"/>
    <w:rsid w:val="00737951"/>
    <w:rsid w:val="00740147"/>
    <w:rsid w:val="00741589"/>
    <w:rsid w:val="00746994"/>
    <w:rsid w:val="007511DC"/>
    <w:rsid w:val="00754643"/>
    <w:rsid w:val="00754CF0"/>
    <w:rsid w:val="007552FE"/>
    <w:rsid w:val="0075593A"/>
    <w:rsid w:val="00755CA1"/>
    <w:rsid w:val="0075692F"/>
    <w:rsid w:val="00756A48"/>
    <w:rsid w:val="007579B6"/>
    <w:rsid w:val="00757E39"/>
    <w:rsid w:val="007615F1"/>
    <w:rsid w:val="00761B94"/>
    <w:rsid w:val="00761EE0"/>
    <w:rsid w:val="00763025"/>
    <w:rsid w:val="0076387B"/>
    <w:rsid w:val="007648EB"/>
    <w:rsid w:val="007661F7"/>
    <w:rsid w:val="0076692C"/>
    <w:rsid w:val="00767730"/>
    <w:rsid w:val="00767C1D"/>
    <w:rsid w:val="00771285"/>
    <w:rsid w:val="00772814"/>
    <w:rsid w:val="007732B2"/>
    <w:rsid w:val="00773F7B"/>
    <w:rsid w:val="00775BFD"/>
    <w:rsid w:val="00775F35"/>
    <w:rsid w:val="00776159"/>
    <w:rsid w:val="00776FFB"/>
    <w:rsid w:val="007772AE"/>
    <w:rsid w:val="00780CB1"/>
    <w:rsid w:val="00781D85"/>
    <w:rsid w:val="00782FE1"/>
    <w:rsid w:val="0078370C"/>
    <w:rsid w:val="0078528F"/>
    <w:rsid w:val="0078600F"/>
    <w:rsid w:val="0078660E"/>
    <w:rsid w:val="0079103A"/>
    <w:rsid w:val="007923F1"/>
    <w:rsid w:val="00792A40"/>
    <w:rsid w:val="0079304D"/>
    <w:rsid w:val="0079404C"/>
    <w:rsid w:val="007945BA"/>
    <w:rsid w:val="007945E6"/>
    <w:rsid w:val="00794F88"/>
    <w:rsid w:val="0079517C"/>
    <w:rsid w:val="007951A2"/>
    <w:rsid w:val="0079577A"/>
    <w:rsid w:val="00796614"/>
    <w:rsid w:val="007970E4"/>
    <w:rsid w:val="0079772D"/>
    <w:rsid w:val="007A00A3"/>
    <w:rsid w:val="007A2A41"/>
    <w:rsid w:val="007A3BE9"/>
    <w:rsid w:val="007A4281"/>
    <w:rsid w:val="007A4787"/>
    <w:rsid w:val="007B03E6"/>
    <w:rsid w:val="007B100A"/>
    <w:rsid w:val="007B26C1"/>
    <w:rsid w:val="007B3063"/>
    <w:rsid w:val="007B3270"/>
    <w:rsid w:val="007B3593"/>
    <w:rsid w:val="007B3D74"/>
    <w:rsid w:val="007C29FF"/>
    <w:rsid w:val="007C2CF0"/>
    <w:rsid w:val="007C3101"/>
    <w:rsid w:val="007C4611"/>
    <w:rsid w:val="007C544F"/>
    <w:rsid w:val="007C6648"/>
    <w:rsid w:val="007C6AE0"/>
    <w:rsid w:val="007C7EFB"/>
    <w:rsid w:val="007D0727"/>
    <w:rsid w:val="007D2F10"/>
    <w:rsid w:val="007D327B"/>
    <w:rsid w:val="007D45DB"/>
    <w:rsid w:val="007D5BCF"/>
    <w:rsid w:val="007E3423"/>
    <w:rsid w:val="007E3FAC"/>
    <w:rsid w:val="007E4BC7"/>
    <w:rsid w:val="007E5EB4"/>
    <w:rsid w:val="007E5FCD"/>
    <w:rsid w:val="007E6A95"/>
    <w:rsid w:val="007E6C7E"/>
    <w:rsid w:val="007E770E"/>
    <w:rsid w:val="007E7BDB"/>
    <w:rsid w:val="007E7D9B"/>
    <w:rsid w:val="007F185F"/>
    <w:rsid w:val="007F26EE"/>
    <w:rsid w:val="007F3AAD"/>
    <w:rsid w:val="007F3EA6"/>
    <w:rsid w:val="007F54D5"/>
    <w:rsid w:val="007F5E18"/>
    <w:rsid w:val="007F5F83"/>
    <w:rsid w:val="007F62A5"/>
    <w:rsid w:val="007F6623"/>
    <w:rsid w:val="007F7456"/>
    <w:rsid w:val="008000E4"/>
    <w:rsid w:val="00801DAB"/>
    <w:rsid w:val="0080395D"/>
    <w:rsid w:val="00803BFD"/>
    <w:rsid w:val="008040D7"/>
    <w:rsid w:val="0080425F"/>
    <w:rsid w:val="00804EB6"/>
    <w:rsid w:val="00805900"/>
    <w:rsid w:val="00805FED"/>
    <w:rsid w:val="00806098"/>
    <w:rsid w:val="00807853"/>
    <w:rsid w:val="008101C4"/>
    <w:rsid w:val="00812131"/>
    <w:rsid w:val="00813430"/>
    <w:rsid w:val="00814C25"/>
    <w:rsid w:val="0081511D"/>
    <w:rsid w:val="008176BC"/>
    <w:rsid w:val="00817757"/>
    <w:rsid w:val="00820184"/>
    <w:rsid w:val="008221DF"/>
    <w:rsid w:val="00822CD0"/>
    <w:rsid w:val="00823DFE"/>
    <w:rsid w:val="008262DA"/>
    <w:rsid w:val="008270DC"/>
    <w:rsid w:val="00827279"/>
    <w:rsid w:val="00827E9A"/>
    <w:rsid w:val="00831022"/>
    <w:rsid w:val="008313B4"/>
    <w:rsid w:val="0083212E"/>
    <w:rsid w:val="008332FE"/>
    <w:rsid w:val="00833E59"/>
    <w:rsid w:val="008359A8"/>
    <w:rsid w:val="00836272"/>
    <w:rsid w:val="00840074"/>
    <w:rsid w:val="0084183B"/>
    <w:rsid w:val="00841BB5"/>
    <w:rsid w:val="00841CA2"/>
    <w:rsid w:val="00844759"/>
    <w:rsid w:val="00844C7F"/>
    <w:rsid w:val="00845CF1"/>
    <w:rsid w:val="0085030B"/>
    <w:rsid w:val="00850378"/>
    <w:rsid w:val="0085087C"/>
    <w:rsid w:val="00851A15"/>
    <w:rsid w:val="00853F4C"/>
    <w:rsid w:val="00854962"/>
    <w:rsid w:val="0086156A"/>
    <w:rsid w:val="00861E1E"/>
    <w:rsid w:val="00862524"/>
    <w:rsid w:val="0086332B"/>
    <w:rsid w:val="00865718"/>
    <w:rsid w:val="00866056"/>
    <w:rsid w:val="008671F4"/>
    <w:rsid w:val="0086797E"/>
    <w:rsid w:val="00870A2C"/>
    <w:rsid w:val="00871307"/>
    <w:rsid w:val="0087191D"/>
    <w:rsid w:val="0087227A"/>
    <w:rsid w:val="00872BAF"/>
    <w:rsid w:val="00873419"/>
    <w:rsid w:val="00875856"/>
    <w:rsid w:val="008758DE"/>
    <w:rsid w:val="00875971"/>
    <w:rsid w:val="00876537"/>
    <w:rsid w:val="00880C2D"/>
    <w:rsid w:val="00881243"/>
    <w:rsid w:val="00881CB4"/>
    <w:rsid w:val="00881EC6"/>
    <w:rsid w:val="00883A6A"/>
    <w:rsid w:val="00884403"/>
    <w:rsid w:val="00884474"/>
    <w:rsid w:val="00884506"/>
    <w:rsid w:val="008852BC"/>
    <w:rsid w:val="00886116"/>
    <w:rsid w:val="00887659"/>
    <w:rsid w:val="008877A6"/>
    <w:rsid w:val="008913D5"/>
    <w:rsid w:val="008918DC"/>
    <w:rsid w:val="00894067"/>
    <w:rsid w:val="0089628D"/>
    <w:rsid w:val="008971E2"/>
    <w:rsid w:val="008975B7"/>
    <w:rsid w:val="008A0238"/>
    <w:rsid w:val="008A21F4"/>
    <w:rsid w:val="008A41F6"/>
    <w:rsid w:val="008A5A4D"/>
    <w:rsid w:val="008A6D4D"/>
    <w:rsid w:val="008A73E6"/>
    <w:rsid w:val="008A7481"/>
    <w:rsid w:val="008A7CDC"/>
    <w:rsid w:val="008B0A48"/>
    <w:rsid w:val="008B114F"/>
    <w:rsid w:val="008B1DB5"/>
    <w:rsid w:val="008B2D76"/>
    <w:rsid w:val="008B3C2E"/>
    <w:rsid w:val="008B45E0"/>
    <w:rsid w:val="008B4C77"/>
    <w:rsid w:val="008B5A00"/>
    <w:rsid w:val="008B604C"/>
    <w:rsid w:val="008C0B85"/>
    <w:rsid w:val="008C0F3B"/>
    <w:rsid w:val="008C2BDD"/>
    <w:rsid w:val="008C3ADB"/>
    <w:rsid w:val="008C50D0"/>
    <w:rsid w:val="008C5E7D"/>
    <w:rsid w:val="008C6125"/>
    <w:rsid w:val="008C7DFE"/>
    <w:rsid w:val="008D04F9"/>
    <w:rsid w:val="008D0C03"/>
    <w:rsid w:val="008D1427"/>
    <w:rsid w:val="008D1561"/>
    <w:rsid w:val="008D1A93"/>
    <w:rsid w:val="008D1F03"/>
    <w:rsid w:val="008D2078"/>
    <w:rsid w:val="008D26B8"/>
    <w:rsid w:val="008D4EFD"/>
    <w:rsid w:val="008D6FC0"/>
    <w:rsid w:val="008D792E"/>
    <w:rsid w:val="008E0058"/>
    <w:rsid w:val="008E2802"/>
    <w:rsid w:val="008E352F"/>
    <w:rsid w:val="008E42DD"/>
    <w:rsid w:val="008E5782"/>
    <w:rsid w:val="008E6D35"/>
    <w:rsid w:val="008E73F3"/>
    <w:rsid w:val="008F0024"/>
    <w:rsid w:val="008F0933"/>
    <w:rsid w:val="008F1DDF"/>
    <w:rsid w:val="008F2B99"/>
    <w:rsid w:val="008F307D"/>
    <w:rsid w:val="008F30F3"/>
    <w:rsid w:val="008F4FA2"/>
    <w:rsid w:val="008F75B6"/>
    <w:rsid w:val="008F7840"/>
    <w:rsid w:val="008F7BFE"/>
    <w:rsid w:val="0090072E"/>
    <w:rsid w:val="00900A60"/>
    <w:rsid w:val="00900D6D"/>
    <w:rsid w:val="0090104B"/>
    <w:rsid w:val="00901978"/>
    <w:rsid w:val="00902534"/>
    <w:rsid w:val="00902849"/>
    <w:rsid w:val="0090298E"/>
    <w:rsid w:val="0090395D"/>
    <w:rsid w:val="00905F17"/>
    <w:rsid w:val="00907E58"/>
    <w:rsid w:val="00911188"/>
    <w:rsid w:val="00911620"/>
    <w:rsid w:val="00911E09"/>
    <w:rsid w:val="00912567"/>
    <w:rsid w:val="00915023"/>
    <w:rsid w:val="00915466"/>
    <w:rsid w:val="00915A76"/>
    <w:rsid w:val="00916A88"/>
    <w:rsid w:val="0091708C"/>
    <w:rsid w:val="00917149"/>
    <w:rsid w:val="0092041E"/>
    <w:rsid w:val="0092129E"/>
    <w:rsid w:val="00923E9D"/>
    <w:rsid w:val="00926435"/>
    <w:rsid w:val="009271F1"/>
    <w:rsid w:val="00927490"/>
    <w:rsid w:val="00927A3E"/>
    <w:rsid w:val="0093093C"/>
    <w:rsid w:val="00931259"/>
    <w:rsid w:val="009318FA"/>
    <w:rsid w:val="00931A87"/>
    <w:rsid w:val="00932006"/>
    <w:rsid w:val="009331BC"/>
    <w:rsid w:val="0093495A"/>
    <w:rsid w:val="00937479"/>
    <w:rsid w:val="0093759E"/>
    <w:rsid w:val="00940DC3"/>
    <w:rsid w:val="009425D9"/>
    <w:rsid w:val="00943CFF"/>
    <w:rsid w:val="00944610"/>
    <w:rsid w:val="009469DF"/>
    <w:rsid w:val="00946E76"/>
    <w:rsid w:val="00947551"/>
    <w:rsid w:val="0095081A"/>
    <w:rsid w:val="009524A5"/>
    <w:rsid w:val="00952EFD"/>
    <w:rsid w:val="0095320B"/>
    <w:rsid w:val="00954EAD"/>
    <w:rsid w:val="00960522"/>
    <w:rsid w:val="009619C0"/>
    <w:rsid w:val="009620F6"/>
    <w:rsid w:val="00963175"/>
    <w:rsid w:val="00963478"/>
    <w:rsid w:val="00963F23"/>
    <w:rsid w:val="00963FD0"/>
    <w:rsid w:val="009642A2"/>
    <w:rsid w:val="00964699"/>
    <w:rsid w:val="00964EA1"/>
    <w:rsid w:val="009669AE"/>
    <w:rsid w:val="00966F2C"/>
    <w:rsid w:val="00970576"/>
    <w:rsid w:val="0097073E"/>
    <w:rsid w:val="00970E27"/>
    <w:rsid w:val="00970FE5"/>
    <w:rsid w:val="00971DB4"/>
    <w:rsid w:val="009723DC"/>
    <w:rsid w:val="00973188"/>
    <w:rsid w:val="009732DE"/>
    <w:rsid w:val="00974BBE"/>
    <w:rsid w:val="00976114"/>
    <w:rsid w:val="009765BE"/>
    <w:rsid w:val="009766C5"/>
    <w:rsid w:val="00980C7A"/>
    <w:rsid w:val="009816BE"/>
    <w:rsid w:val="00982EC9"/>
    <w:rsid w:val="009831BE"/>
    <w:rsid w:val="00984FEC"/>
    <w:rsid w:val="00985D19"/>
    <w:rsid w:val="0098661B"/>
    <w:rsid w:val="00987037"/>
    <w:rsid w:val="00990338"/>
    <w:rsid w:val="0099352F"/>
    <w:rsid w:val="009937B8"/>
    <w:rsid w:val="00993E17"/>
    <w:rsid w:val="009941C1"/>
    <w:rsid w:val="0099493A"/>
    <w:rsid w:val="00994B90"/>
    <w:rsid w:val="00994F5F"/>
    <w:rsid w:val="00995FEF"/>
    <w:rsid w:val="00996AEC"/>
    <w:rsid w:val="00997F5D"/>
    <w:rsid w:val="009A06C4"/>
    <w:rsid w:val="009A12BD"/>
    <w:rsid w:val="009A2035"/>
    <w:rsid w:val="009A239F"/>
    <w:rsid w:val="009A43C5"/>
    <w:rsid w:val="009A61BE"/>
    <w:rsid w:val="009A7C07"/>
    <w:rsid w:val="009A7C8E"/>
    <w:rsid w:val="009B1D95"/>
    <w:rsid w:val="009B1E78"/>
    <w:rsid w:val="009B2F97"/>
    <w:rsid w:val="009B393B"/>
    <w:rsid w:val="009B6FAE"/>
    <w:rsid w:val="009B7670"/>
    <w:rsid w:val="009B7878"/>
    <w:rsid w:val="009C0819"/>
    <w:rsid w:val="009C0C03"/>
    <w:rsid w:val="009C182F"/>
    <w:rsid w:val="009C2751"/>
    <w:rsid w:val="009C5AD7"/>
    <w:rsid w:val="009C6012"/>
    <w:rsid w:val="009C63A0"/>
    <w:rsid w:val="009C69B6"/>
    <w:rsid w:val="009C71C8"/>
    <w:rsid w:val="009C7210"/>
    <w:rsid w:val="009D258E"/>
    <w:rsid w:val="009D4C2D"/>
    <w:rsid w:val="009D60BB"/>
    <w:rsid w:val="009D75A1"/>
    <w:rsid w:val="009D7B73"/>
    <w:rsid w:val="009D7F80"/>
    <w:rsid w:val="009E2233"/>
    <w:rsid w:val="009E2BD5"/>
    <w:rsid w:val="009E360F"/>
    <w:rsid w:val="009E61FD"/>
    <w:rsid w:val="009E6568"/>
    <w:rsid w:val="009E7A9C"/>
    <w:rsid w:val="009E7EE8"/>
    <w:rsid w:val="009F0FA0"/>
    <w:rsid w:val="009F1F81"/>
    <w:rsid w:val="009F2DF1"/>
    <w:rsid w:val="009F3CD7"/>
    <w:rsid w:val="009F3DD3"/>
    <w:rsid w:val="009F47F7"/>
    <w:rsid w:val="009F4EC1"/>
    <w:rsid w:val="009F530A"/>
    <w:rsid w:val="009F7357"/>
    <w:rsid w:val="009F7650"/>
    <w:rsid w:val="009F76BC"/>
    <w:rsid w:val="00A02413"/>
    <w:rsid w:val="00A02706"/>
    <w:rsid w:val="00A04CDC"/>
    <w:rsid w:val="00A05BE0"/>
    <w:rsid w:val="00A05C85"/>
    <w:rsid w:val="00A0676F"/>
    <w:rsid w:val="00A07AE9"/>
    <w:rsid w:val="00A07BA5"/>
    <w:rsid w:val="00A104C0"/>
    <w:rsid w:val="00A114E4"/>
    <w:rsid w:val="00A123C7"/>
    <w:rsid w:val="00A14483"/>
    <w:rsid w:val="00A145F0"/>
    <w:rsid w:val="00A14A63"/>
    <w:rsid w:val="00A15BAC"/>
    <w:rsid w:val="00A16F64"/>
    <w:rsid w:val="00A177AB"/>
    <w:rsid w:val="00A2073E"/>
    <w:rsid w:val="00A21492"/>
    <w:rsid w:val="00A22E0C"/>
    <w:rsid w:val="00A2359E"/>
    <w:rsid w:val="00A24E7F"/>
    <w:rsid w:val="00A303CA"/>
    <w:rsid w:val="00A30B80"/>
    <w:rsid w:val="00A31D9A"/>
    <w:rsid w:val="00A3297E"/>
    <w:rsid w:val="00A35ABF"/>
    <w:rsid w:val="00A35F94"/>
    <w:rsid w:val="00A40F52"/>
    <w:rsid w:val="00A42E80"/>
    <w:rsid w:val="00A42FA8"/>
    <w:rsid w:val="00A463F7"/>
    <w:rsid w:val="00A4692D"/>
    <w:rsid w:val="00A46BDD"/>
    <w:rsid w:val="00A47A1E"/>
    <w:rsid w:val="00A50731"/>
    <w:rsid w:val="00A51DB4"/>
    <w:rsid w:val="00A52C05"/>
    <w:rsid w:val="00A5394A"/>
    <w:rsid w:val="00A539D5"/>
    <w:rsid w:val="00A556FD"/>
    <w:rsid w:val="00A55EAA"/>
    <w:rsid w:val="00A56713"/>
    <w:rsid w:val="00A57E42"/>
    <w:rsid w:val="00A57E86"/>
    <w:rsid w:val="00A60373"/>
    <w:rsid w:val="00A60513"/>
    <w:rsid w:val="00A60D4B"/>
    <w:rsid w:val="00A60EB0"/>
    <w:rsid w:val="00A610A0"/>
    <w:rsid w:val="00A6134B"/>
    <w:rsid w:val="00A620BC"/>
    <w:rsid w:val="00A63560"/>
    <w:rsid w:val="00A6598D"/>
    <w:rsid w:val="00A6708B"/>
    <w:rsid w:val="00A673F8"/>
    <w:rsid w:val="00A6774B"/>
    <w:rsid w:val="00A6776C"/>
    <w:rsid w:val="00A67D91"/>
    <w:rsid w:val="00A70776"/>
    <w:rsid w:val="00A7362A"/>
    <w:rsid w:val="00A7487D"/>
    <w:rsid w:val="00A74A9D"/>
    <w:rsid w:val="00A74FB8"/>
    <w:rsid w:val="00A76F5D"/>
    <w:rsid w:val="00A779FD"/>
    <w:rsid w:val="00A77C19"/>
    <w:rsid w:val="00A83FDA"/>
    <w:rsid w:val="00A90D73"/>
    <w:rsid w:val="00A90F74"/>
    <w:rsid w:val="00A913A6"/>
    <w:rsid w:val="00A92883"/>
    <w:rsid w:val="00A93052"/>
    <w:rsid w:val="00A931DC"/>
    <w:rsid w:val="00A94C22"/>
    <w:rsid w:val="00A95EAC"/>
    <w:rsid w:val="00A968F4"/>
    <w:rsid w:val="00A9773D"/>
    <w:rsid w:val="00AA0B86"/>
    <w:rsid w:val="00AA23B0"/>
    <w:rsid w:val="00AA410F"/>
    <w:rsid w:val="00AA42F5"/>
    <w:rsid w:val="00AA4607"/>
    <w:rsid w:val="00AA64B1"/>
    <w:rsid w:val="00AA757B"/>
    <w:rsid w:val="00AA7B9C"/>
    <w:rsid w:val="00AA7CA7"/>
    <w:rsid w:val="00AB0082"/>
    <w:rsid w:val="00AB21A9"/>
    <w:rsid w:val="00AB3B55"/>
    <w:rsid w:val="00AB48B1"/>
    <w:rsid w:val="00AB60E0"/>
    <w:rsid w:val="00AB7969"/>
    <w:rsid w:val="00AC049D"/>
    <w:rsid w:val="00AC1FFD"/>
    <w:rsid w:val="00AC38F1"/>
    <w:rsid w:val="00AC3910"/>
    <w:rsid w:val="00AD1B6B"/>
    <w:rsid w:val="00AD2C13"/>
    <w:rsid w:val="00AD329C"/>
    <w:rsid w:val="00AD4004"/>
    <w:rsid w:val="00AD4249"/>
    <w:rsid w:val="00AD54E5"/>
    <w:rsid w:val="00AD58AC"/>
    <w:rsid w:val="00AD5F5F"/>
    <w:rsid w:val="00AD6ADC"/>
    <w:rsid w:val="00AE130D"/>
    <w:rsid w:val="00AE2092"/>
    <w:rsid w:val="00AE211D"/>
    <w:rsid w:val="00AE2E2F"/>
    <w:rsid w:val="00AE3346"/>
    <w:rsid w:val="00AE4A0F"/>
    <w:rsid w:val="00AE59C5"/>
    <w:rsid w:val="00AE62F5"/>
    <w:rsid w:val="00AE7413"/>
    <w:rsid w:val="00AE7500"/>
    <w:rsid w:val="00AF0F9C"/>
    <w:rsid w:val="00AF1349"/>
    <w:rsid w:val="00AF1FA3"/>
    <w:rsid w:val="00AF738F"/>
    <w:rsid w:val="00AF77FC"/>
    <w:rsid w:val="00B00878"/>
    <w:rsid w:val="00B01933"/>
    <w:rsid w:val="00B02A38"/>
    <w:rsid w:val="00B045B6"/>
    <w:rsid w:val="00B05BC3"/>
    <w:rsid w:val="00B06ABB"/>
    <w:rsid w:val="00B06AD9"/>
    <w:rsid w:val="00B07597"/>
    <w:rsid w:val="00B07E09"/>
    <w:rsid w:val="00B1035E"/>
    <w:rsid w:val="00B1071F"/>
    <w:rsid w:val="00B1254C"/>
    <w:rsid w:val="00B142EA"/>
    <w:rsid w:val="00B148FB"/>
    <w:rsid w:val="00B1785E"/>
    <w:rsid w:val="00B17DEA"/>
    <w:rsid w:val="00B201D6"/>
    <w:rsid w:val="00B20A0E"/>
    <w:rsid w:val="00B23DAA"/>
    <w:rsid w:val="00B25C18"/>
    <w:rsid w:val="00B2715F"/>
    <w:rsid w:val="00B27553"/>
    <w:rsid w:val="00B27AC2"/>
    <w:rsid w:val="00B300E3"/>
    <w:rsid w:val="00B30737"/>
    <w:rsid w:val="00B30D33"/>
    <w:rsid w:val="00B31947"/>
    <w:rsid w:val="00B32B84"/>
    <w:rsid w:val="00B32F15"/>
    <w:rsid w:val="00B336AC"/>
    <w:rsid w:val="00B33D11"/>
    <w:rsid w:val="00B3475C"/>
    <w:rsid w:val="00B35156"/>
    <w:rsid w:val="00B35999"/>
    <w:rsid w:val="00B359A9"/>
    <w:rsid w:val="00B35E13"/>
    <w:rsid w:val="00B36A16"/>
    <w:rsid w:val="00B36B3E"/>
    <w:rsid w:val="00B36FE1"/>
    <w:rsid w:val="00B4165E"/>
    <w:rsid w:val="00B41D1A"/>
    <w:rsid w:val="00B432CC"/>
    <w:rsid w:val="00B43C5C"/>
    <w:rsid w:val="00B4492E"/>
    <w:rsid w:val="00B45E88"/>
    <w:rsid w:val="00B504BF"/>
    <w:rsid w:val="00B50671"/>
    <w:rsid w:val="00B513A0"/>
    <w:rsid w:val="00B5157E"/>
    <w:rsid w:val="00B517F1"/>
    <w:rsid w:val="00B53490"/>
    <w:rsid w:val="00B53574"/>
    <w:rsid w:val="00B54A0F"/>
    <w:rsid w:val="00B54B27"/>
    <w:rsid w:val="00B553BF"/>
    <w:rsid w:val="00B573AA"/>
    <w:rsid w:val="00B6090F"/>
    <w:rsid w:val="00B612E4"/>
    <w:rsid w:val="00B627DA"/>
    <w:rsid w:val="00B63609"/>
    <w:rsid w:val="00B651F9"/>
    <w:rsid w:val="00B65466"/>
    <w:rsid w:val="00B656FB"/>
    <w:rsid w:val="00B660F4"/>
    <w:rsid w:val="00B70977"/>
    <w:rsid w:val="00B71035"/>
    <w:rsid w:val="00B71135"/>
    <w:rsid w:val="00B7162A"/>
    <w:rsid w:val="00B73FAD"/>
    <w:rsid w:val="00B76AAD"/>
    <w:rsid w:val="00B77D2D"/>
    <w:rsid w:val="00B801A2"/>
    <w:rsid w:val="00B8134A"/>
    <w:rsid w:val="00B8193F"/>
    <w:rsid w:val="00B82C9D"/>
    <w:rsid w:val="00B82EDD"/>
    <w:rsid w:val="00B82FD2"/>
    <w:rsid w:val="00B83ECE"/>
    <w:rsid w:val="00B84AAF"/>
    <w:rsid w:val="00B84CE5"/>
    <w:rsid w:val="00B86361"/>
    <w:rsid w:val="00B90107"/>
    <w:rsid w:val="00B9339F"/>
    <w:rsid w:val="00B934C5"/>
    <w:rsid w:val="00B938D2"/>
    <w:rsid w:val="00B93B85"/>
    <w:rsid w:val="00B93F11"/>
    <w:rsid w:val="00B940D3"/>
    <w:rsid w:val="00B949AC"/>
    <w:rsid w:val="00B95729"/>
    <w:rsid w:val="00B958AA"/>
    <w:rsid w:val="00B9641A"/>
    <w:rsid w:val="00B978B9"/>
    <w:rsid w:val="00BA1762"/>
    <w:rsid w:val="00BA1D15"/>
    <w:rsid w:val="00BA2814"/>
    <w:rsid w:val="00BA296C"/>
    <w:rsid w:val="00BA59CA"/>
    <w:rsid w:val="00BA6DEC"/>
    <w:rsid w:val="00BB03C9"/>
    <w:rsid w:val="00BB13DC"/>
    <w:rsid w:val="00BB30F3"/>
    <w:rsid w:val="00BB4718"/>
    <w:rsid w:val="00BC1792"/>
    <w:rsid w:val="00BC22D5"/>
    <w:rsid w:val="00BC28AA"/>
    <w:rsid w:val="00BC317C"/>
    <w:rsid w:val="00BC42DE"/>
    <w:rsid w:val="00BD0B6B"/>
    <w:rsid w:val="00BD2858"/>
    <w:rsid w:val="00BD4682"/>
    <w:rsid w:val="00BD4769"/>
    <w:rsid w:val="00BD594D"/>
    <w:rsid w:val="00BE0013"/>
    <w:rsid w:val="00BE0289"/>
    <w:rsid w:val="00BE1A7C"/>
    <w:rsid w:val="00BE34E1"/>
    <w:rsid w:val="00BE385D"/>
    <w:rsid w:val="00BE43E2"/>
    <w:rsid w:val="00BE5A40"/>
    <w:rsid w:val="00BE5DF2"/>
    <w:rsid w:val="00BF1083"/>
    <w:rsid w:val="00BF1AF6"/>
    <w:rsid w:val="00BF4FC9"/>
    <w:rsid w:val="00BF5534"/>
    <w:rsid w:val="00BF5683"/>
    <w:rsid w:val="00BF6867"/>
    <w:rsid w:val="00BF6D1F"/>
    <w:rsid w:val="00C0369C"/>
    <w:rsid w:val="00C1016A"/>
    <w:rsid w:val="00C102C0"/>
    <w:rsid w:val="00C12421"/>
    <w:rsid w:val="00C13195"/>
    <w:rsid w:val="00C142EC"/>
    <w:rsid w:val="00C15DF5"/>
    <w:rsid w:val="00C16139"/>
    <w:rsid w:val="00C165BF"/>
    <w:rsid w:val="00C203A7"/>
    <w:rsid w:val="00C224E3"/>
    <w:rsid w:val="00C22A47"/>
    <w:rsid w:val="00C234C0"/>
    <w:rsid w:val="00C23566"/>
    <w:rsid w:val="00C24108"/>
    <w:rsid w:val="00C26332"/>
    <w:rsid w:val="00C308D5"/>
    <w:rsid w:val="00C317B8"/>
    <w:rsid w:val="00C32BC9"/>
    <w:rsid w:val="00C32E50"/>
    <w:rsid w:val="00C34C35"/>
    <w:rsid w:val="00C35E1D"/>
    <w:rsid w:val="00C35F69"/>
    <w:rsid w:val="00C36AA4"/>
    <w:rsid w:val="00C40667"/>
    <w:rsid w:val="00C41D25"/>
    <w:rsid w:val="00C42CBF"/>
    <w:rsid w:val="00C42FE6"/>
    <w:rsid w:val="00C43C09"/>
    <w:rsid w:val="00C45169"/>
    <w:rsid w:val="00C45CDE"/>
    <w:rsid w:val="00C47F6F"/>
    <w:rsid w:val="00C51768"/>
    <w:rsid w:val="00C52356"/>
    <w:rsid w:val="00C540BE"/>
    <w:rsid w:val="00C5529E"/>
    <w:rsid w:val="00C55A9D"/>
    <w:rsid w:val="00C57067"/>
    <w:rsid w:val="00C575C3"/>
    <w:rsid w:val="00C57FB2"/>
    <w:rsid w:val="00C60555"/>
    <w:rsid w:val="00C6099D"/>
    <w:rsid w:val="00C6242D"/>
    <w:rsid w:val="00C63690"/>
    <w:rsid w:val="00C63D22"/>
    <w:rsid w:val="00C65D28"/>
    <w:rsid w:val="00C66128"/>
    <w:rsid w:val="00C66245"/>
    <w:rsid w:val="00C70474"/>
    <w:rsid w:val="00C708AF"/>
    <w:rsid w:val="00C709B1"/>
    <w:rsid w:val="00C717ED"/>
    <w:rsid w:val="00C73F95"/>
    <w:rsid w:val="00C7405F"/>
    <w:rsid w:val="00C837E2"/>
    <w:rsid w:val="00C83D08"/>
    <w:rsid w:val="00C83E39"/>
    <w:rsid w:val="00C86C56"/>
    <w:rsid w:val="00C90A6C"/>
    <w:rsid w:val="00C90D60"/>
    <w:rsid w:val="00C9187F"/>
    <w:rsid w:val="00C929C6"/>
    <w:rsid w:val="00C92DD7"/>
    <w:rsid w:val="00CA01C0"/>
    <w:rsid w:val="00CA07F3"/>
    <w:rsid w:val="00CA09B3"/>
    <w:rsid w:val="00CA0AEA"/>
    <w:rsid w:val="00CA1119"/>
    <w:rsid w:val="00CA2C8A"/>
    <w:rsid w:val="00CA33A1"/>
    <w:rsid w:val="00CA6033"/>
    <w:rsid w:val="00CA7642"/>
    <w:rsid w:val="00CB046B"/>
    <w:rsid w:val="00CB176B"/>
    <w:rsid w:val="00CB2700"/>
    <w:rsid w:val="00CB275B"/>
    <w:rsid w:val="00CB2DDE"/>
    <w:rsid w:val="00CB38DF"/>
    <w:rsid w:val="00CB4F92"/>
    <w:rsid w:val="00CB7681"/>
    <w:rsid w:val="00CC081B"/>
    <w:rsid w:val="00CC10F9"/>
    <w:rsid w:val="00CC6952"/>
    <w:rsid w:val="00CD0734"/>
    <w:rsid w:val="00CD0E3D"/>
    <w:rsid w:val="00CD113B"/>
    <w:rsid w:val="00CD1182"/>
    <w:rsid w:val="00CD124F"/>
    <w:rsid w:val="00CD2B13"/>
    <w:rsid w:val="00CD4822"/>
    <w:rsid w:val="00CD6B7C"/>
    <w:rsid w:val="00CE0034"/>
    <w:rsid w:val="00CE1678"/>
    <w:rsid w:val="00CE2287"/>
    <w:rsid w:val="00CE3AAA"/>
    <w:rsid w:val="00CE4E56"/>
    <w:rsid w:val="00CE54CA"/>
    <w:rsid w:val="00CE6074"/>
    <w:rsid w:val="00CE6E11"/>
    <w:rsid w:val="00CF2725"/>
    <w:rsid w:val="00CF4169"/>
    <w:rsid w:val="00CF590A"/>
    <w:rsid w:val="00CF5DC7"/>
    <w:rsid w:val="00D0101B"/>
    <w:rsid w:val="00D014F7"/>
    <w:rsid w:val="00D04079"/>
    <w:rsid w:val="00D04145"/>
    <w:rsid w:val="00D051CB"/>
    <w:rsid w:val="00D06532"/>
    <w:rsid w:val="00D06ACA"/>
    <w:rsid w:val="00D06EAB"/>
    <w:rsid w:val="00D07021"/>
    <w:rsid w:val="00D07D70"/>
    <w:rsid w:val="00D13B16"/>
    <w:rsid w:val="00D13B82"/>
    <w:rsid w:val="00D14157"/>
    <w:rsid w:val="00D157E7"/>
    <w:rsid w:val="00D2029B"/>
    <w:rsid w:val="00D20624"/>
    <w:rsid w:val="00D213A6"/>
    <w:rsid w:val="00D21682"/>
    <w:rsid w:val="00D21700"/>
    <w:rsid w:val="00D21A8B"/>
    <w:rsid w:val="00D21D3E"/>
    <w:rsid w:val="00D236A3"/>
    <w:rsid w:val="00D24F67"/>
    <w:rsid w:val="00D25765"/>
    <w:rsid w:val="00D26A5A"/>
    <w:rsid w:val="00D27B23"/>
    <w:rsid w:val="00D306EB"/>
    <w:rsid w:val="00D30C13"/>
    <w:rsid w:val="00D32EDD"/>
    <w:rsid w:val="00D33A49"/>
    <w:rsid w:val="00D346D7"/>
    <w:rsid w:val="00D362B8"/>
    <w:rsid w:val="00D362BA"/>
    <w:rsid w:val="00D3662D"/>
    <w:rsid w:val="00D402F3"/>
    <w:rsid w:val="00D40B95"/>
    <w:rsid w:val="00D40C93"/>
    <w:rsid w:val="00D42317"/>
    <w:rsid w:val="00D42BE2"/>
    <w:rsid w:val="00D42F7A"/>
    <w:rsid w:val="00D43149"/>
    <w:rsid w:val="00D43690"/>
    <w:rsid w:val="00D4776E"/>
    <w:rsid w:val="00D47821"/>
    <w:rsid w:val="00D50E30"/>
    <w:rsid w:val="00D5378A"/>
    <w:rsid w:val="00D53E37"/>
    <w:rsid w:val="00D56C9A"/>
    <w:rsid w:val="00D57C71"/>
    <w:rsid w:val="00D607EC"/>
    <w:rsid w:val="00D632A0"/>
    <w:rsid w:val="00D63A58"/>
    <w:rsid w:val="00D64599"/>
    <w:rsid w:val="00D67424"/>
    <w:rsid w:val="00D7047D"/>
    <w:rsid w:val="00D70800"/>
    <w:rsid w:val="00D72A9D"/>
    <w:rsid w:val="00D74885"/>
    <w:rsid w:val="00D74988"/>
    <w:rsid w:val="00D778A2"/>
    <w:rsid w:val="00D77C62"/>
    <w:rsid w:val="00D77F7A"/>
    <w:rsid w:val="00D808B5"/>
    <w:rsid w:val="00D811FB"/>
    <w:rsid w:val="00D82621"/>
    <w:rsid w:val="00D8425F"/>
    <w:rsid w:val="00D9012D"/>
    <w:rsid w:val="00D90475"/>
    <w:rsid w:val="00D918DC"/>
    <w:rsid w:val="00D91E9A"/>
    <w:rsid w:val="00D934F5"/>
    <w:rsid w:val="00D93F11"/>
    <w:rsid w:val="00D959C8"/>
    <w:rsid w:val="00D976B3"/>
    <w:rsid w:val="00DA2A6E"/>
    <w:rsid w:val="00DA3AE3"/>
    <w:rsid w:val="00DA3CDA"/>
    <w:rsid w:val="00DA41DD"/>
    <w:rsid w:val="00DA454F"/>
    <w:rsid w:val="00DA58A8"/>
    <w:rsid w:val="00DA596C"/>
    <w:rsid w:val="00DA5AC2"/>
    <w:rsid w:val="00DA63C2"/>
    <w:rsid w:val="00DB0CB1"/>
    <w:rsid w:val="00DB1DE6"/>
    <w:rsid w:val="00DB2618"/>
    <w:rsid w:val="00DB2A2F"/>
    <w:rsid w:val="00DB2FCA"/>
    <w:rsid w:val="00DB3A46"/>
    <w:rsid w:val="00DB3D73"/>
    <w:rsid w:val="00DB498C"/>
    <w:rsid w:val="00DB5CCC"/>
    <w:rsid w:val="00DB5F42"/>
    <w:rsid w:val="00DB67DA"/>
    <w:rsid w:val="00DB6A71"/>
    <w:rsid w:val="00DB6E1E"/>
    <w:rsid w:val="00DC02B0"/>
    <w:rsid w:val="00DC0E28"/>
    <w:rsid w:val="00DC3B73"/>
    <w:rsid w:val="00DC3F1F"/>
    <w:rsid w:val="00DC67D1"/>
    <w:rsid w:val="00DD1AF7"/>
    <w:rsid w:val="00DD319A"/>
    <w:rsid w:val="00DD3380"/>
    <w:rsid w:val="00DD3F34"/>
    <w:rsid w:val="00DD407B"/>
    <w:rsid w:val="00DD4F34"/>
    <w:rsid w:val="00DD6707"/>
    <w:rsid w:val="00DE1DBF"/>
    <w:rsid w:val="00DE23B6"/>
    <w:rsid w:val="00DE398A"/>
    <w:rsid w:val="00DE4E0D"/>
    <w:rsid w:val="00DE792D"/>
    <w:rsid w:val="00DE7FCC"/>
    <w:rsid w:val="00DF0386"/>
    <w:rsid w:val="00DF0FB9"/>
    <w:rsid w:val="00DF127D"/>
    <w:rsid w:val="00DF1F1C"/>
    <w:rsid w:val="00DF233C"/>
    <w:rsid w:val="00DF242C"/>
    <w:rsid w:val="00DF2A72"/>
    <w:rsid w:val="00DF4573"/>
    <w:rsid w:val="00DF4763"/>
    <w:rsid w:val="00DF4A76"/>
    <w:rsid w:val="00DF60E7"/>
    <w:rsid w:val="00DF6AF9"/>
    <w:rsid w:val="00E00A71"/>
    <w:rsid w:val="00E0256B"/>
    <w:rsid w:val="00E0353E"/>
    <w:rsid w:val="00E05213"/>
    <w:rsid w:val="00E10384"/>
    <w:rsid w:val="00E103F8"/>
    <w:rsid w:val="00E10FF9"/>
    <w:rsid w:val="00E15ADE"/>
    <w:rsid w:val="00E15F62"/>
    <w:rsid w:val="00E219E2"/>
    <w:rsid w:val="00E25E9B"/>
    <w:rsid w:val="00E304DC"/>
    <w:rsid w:val="00E3283A"/>
    <w:rsid w:val="00E33BC9"/>
    <w:rsid w:val="00E34599"/>
    <w:rsid w:val="00E34A8B"/>
    <w:rsid w:val="00E35011"/>
    <w:rsid w:val="00E360D1"/>
    <w:rsid w:val="00E37150"/>
    <w:rsid w:val="00E4007C"/>
    <w:rsid w:val="00E41C49"/>
    <w:rsid w:val="00E43FE1"/>
    <w:rsid w:val="00E451C9"/>
    <w:rsid w:val="00E47B52"/>
    <w:rsid w:val="00E5005F"/>
    <w:rsid w:val="00E50E03"/>
    <w:rsid w:val="00E518F0"/>
    <w:rsid w:val="00E53D62"/>
    <w:rsid w:val="00E5476A"/>
    <w:rsid w:val="00E5510E"/>
    <w:rsid w:val="00E5545A"/>
    <w:rsid w:val="00E55A3F"/>
    <w:rsid w:val="00E56A54"/>
    <w:rsid w:val="00E56C38"/>
    <w:rsid w:val="00E601D3"/>
    <w:rsid w:val="00E61CE5"/>
    <w:rsid w:val="00E6239F"/>
    <w:rsid w:val="00E62871"/>
    <w:rsid w:val="00E643B6"/>
    <w:rsid w:val="00E6490F"/>
    <w:rsid w:val="00E66274"/>
    <w:rsid w:val="00E66FB5"/>
    <w:rsid w:val="00E67985"/>
    <w:rsid w:val="00E72E92"/>
    <w:rsid w:val="00E73CCF"/>
    <w:rsid w:val="00E74059"/>
    <w:rsid w:val="00E7476C"/>
    <w:rsid w:val="00E74E0D"/>
    <w:rsid w:val="00E80179"/>
    <w:rsid w:val="00E802A4"/>
    <w:rsid w:val="00E80369"/>
    <w:rsid w:val="00E80410"/>
    <w:rsid w:val="00E816C3"/>
    <w:rsid w:val="00E8289E"/>
    <w:rsid w:val="00E839CD"/>
    <w:rsid w:val="00E84498"/>
    <w:rsid w:val="00E84724"/>
    <w:rsid w:val="00E8498B"/>
    <w:rsid w:val="00E85722"/>
    <w:rsid w:val="00E85FF7"/>
    <w:rsid w:val="00E86504"/>
    <w:rsid w:val="00E8739B"/>
    <w:rsid w:val="00E90792"/>
    <w:rsid w:val="00E921E3"/>
    <w:rsid w:val="00E92497"/>
    <w:rsid w:val="00E92B88"/>
    <w:rsid w:val="00E92B92"/>
    <w:rsid w:val="00E930E2"/>
    <w:rsid w:val="00E9313A"/>
    <w:rsid w:val="00E948EA"/>
    <w:rsid w:val="00E957ED"/>
    <w:rsid w:val="00E9592B"/>
    <w:rsid w:val="00E967B7"/>
    <w:rsid w:val="00EA018D"/>
    <w:rsid w:val="00EA0ED6"/>
    <w:rsid w:val="00EA1245"/>
    <w:rsid w:val="00EA2EAF"/>
    <w:rsid w:val="00EA3F78"/>
    <w:rsid w:val="00EA5489"/>
    <w:rsid w:val="00EA56AE"/>
    <w:rsid w:val="00EA611D"/>
    <w:rsid w:val="00EB0D16"/>
    <w:rsid w:val="00EB16DF"/>
    <w:rsid w:val="00EB17EB"/>
    <w:rsid w:val="00EB4DC3"/>
    <w:rsid w:val="00EB72F0"/>
    <w:rsid w:val="00EB75E7"/>
    <w:rsid w:val="00EC2192"/>
    <w:rsid w:val="00EC2993"/>
    <w:rsid w:val="00EC29A9"/>
    <w:rsid w:val="00EC29B6"/>
    <w:rsid w:val="00EC2D03"/>
    <w:rsid w:val="00EC30A9"/>
    <w:rsid w:val="00EC31B2"/>
    <w:rsid w:val="00EC6534"/>
    <w:rsid w:val="00EC74F3"/>
    <w:rsid w:val="00ED0392"/>
    <w:rsid w:val="00ED0788"/>
    <w:rsid w:val="00ED1307"/>
    <w:rsid w:val="00ED4CBC"/>
    <w:rsid w:val="00ED543B"/>
    <w:rsid w:val="00ED5EB6"/>
    <w:rsid w:val="00ED72D7"/>
    <w:rsid w:val="00EE0309"/>
    <w:rsid w:val="00EE139E"/>
    <w:rsid w:val="00EE1869"/>
    <w:rsid w:val="00EE1A51"/>
    <w:rsid w:val="00EE1FC2"/>
    <w:rsid w:val="00EE211C"/>
    <w:rsid w:val="00EE37F2"/>
    <w:rsid w:val="00EE395A"/>
    <w:rsid w:val="00EE6A71"/>
    <w:rsid w:val="00EE703E"/>
    <w:rsid w:val="00EE7726"/>
    <w:rsid w:val="00EE7F0A"/>
    <w:rsid w:val="00EF23A5"/>
    <w:rsid w:val="00EF2ACD"/>
    <w:rsid w:val="00EF373B"/>
    <w:rsid w:val="00EF4B8D"/>
    <w:rsid w:val="00EF6390"/>
    <w:rsid w:val="00EF78A4"/>
    <w:rsid w:val="00F0006C"/>
    <w:rsid w:val="00F00337"/>
    <w:rsid w:val="00F015F6"/>
    <w:rsid w:val="00F03975"/>
    <w:rsid w:val="00F0518B"/>
    <w:rsid w:val="00F06C26"/>
    <w:rsid w:val="00F07EB1"/>
    <w:rsid w:val="00F12F9E"/>
    <w:rsid w:val="00F1373E"/>
    <w:rsid w:val="00F142AB"/>
    <w:rsid w:val="00F1600D"/>
    <w:rsid w:val="00F16966"/>
    <w:rsid w:val="00F16FE9"/>
    <w:rsid w:val="00F1723B"/>
    <w:rsid w:val="00F21C7E"/>
    <w:rsid w:val="00F21F4F"/>
    <w:rsid w:val="00F30482"/>
    <w:rsid w:val="00F306A1"/>
    <w:rsid w:val="00F30A5D"/>
    <w:rsid w:val="00F31B3D"/>
    <w:rsid w:val="00F32236"/>
    <w:rsid w:val="00F33217"/>
    <w:rsid w:val="00F342CA"/>
    <w:rsid w:val="00F354BC"/>
    <w:rsid w:val="00F35EC7"/>
    <w:rsid w:val="00F36320"/>
    <w:rsid w:val="00F37237"/>
    <w:rsid w:val="00F42DBE"/>
    <w:rsid w:val="00F433D4"/>
    <w:rsid w:val="00F43739"/>
    <w:rsid w:val="00F43F01"/>
    <w:rsid w:val="00F44445"/>
    <w:rsid w:val="00F465B9"/>
    <w:rsid w:val="00F514E9"/>
    <w:rsid w:val="00F60EBD"/>
    <w:rsid w:val="00F62211"/>
    <w:rsid w:val="00F6520D"/>
    <w:rsid w:val="00F6565E"/>
    <w:rsid w:val="00F65870"/>
    <w:rsid w:val="00F66C02"/>
    <w:rsid w:val="00F70878"/>
    <w:rsid w:val="00F70930"/>
    <w:rsid w:val="00F711AD"/>
    <w:rsid w:val="00F715C0"/>
    <w:rsid w:val="00F71811"/>
    <w:rsid w:val="00F724F3"/>
    <w:rsid w:val="00F7337A"/>
    <w:rsid w:val="00F74464"/>
    <w:rsid w:val="00F74592"/>
    <w:rsid w:val="00F745B5"/>
    <w:rsid w:val="00F7486E"/>
    <w:rsid w:val="00F7567F"/>
    <w:rsid w:val="00F75A06"/>
    <w:rsid w:val="00F77DDB"/>
    <w:rsid w:val="00F81352"/>
    <w:rsid w:val="00F852A8"/>
    <w:rsid w:val="00F85456"/>
    <w:rsid w:val="00F863AF"/>
    <w:rsid w:val="00F90AEC"/>
    <w:rsid w:val="00F90B88"/>
    <w:rsid w:val="00F90D62"/>
    <w:rsid w:val="00F91778"/>
    <w:rsid w:val="00F921C5"/>
    <w:rsid w:val="00F9294D"/>
    <w:rsid w:val="00F93455"/>
    <w:rsid w:val="00F93FBD"/>
    <w:rsid w:val="00F95EBE"/>
    <w:rsid w:val="00F96E78"/>
    <w:rsid w:val="00F971F3"/>
    <w:rsid w:val="00FA04BE"/>
    <w:rsid w:val="00FA3AD4"/>
    <w:rsid w:val="00FA543F"/>
    <w:rsid w:val="00FA5639"/>
    <w:rsid w:val="00FA7026"/>
    <w:rsid w:val="00FA714E"/>
    <w:rsid w:val="00FA7D49"/>
    <w:rsid w:val="00FB0D86"/>
    <w:rsid w:val="00FB16A6"/>
    <w:rsid w:val="00FB2022"/>
    <w:rsid w:val="00FB25DA"/>
    <w:rsid w:val="00FB2E0F"/>
    <w:rsid w:val="00FB56A0"/>
    <w:rsid w:val="00FB5982"/>
    <w:rsid w:val="00FB5F66"/>
    <w:rsid w:val="00FB7A0A"/>
    <w:rsid w:val="00FC01B8"/>
    <w:rsid w:val="00FC2177"/>
    <w:rsid w:val="00FC2533"/>
    <w:rsid w:val="00FC45C4"/>
    <w:rsid w:val="00FC5613"/>
    <w:rsid w:val="00FC5B8C"/>
    <w:rsid w:val="00FC5EEC"/>
    <w:rsid w:val="00FC7226"/>
    <w:rsid w:val="00FD18A3"/>
    <w:rsid w:val="00FD1EB9"/>
    <w:rsid w:val="00FD1F27"/>
    <w:rsid w:val="00FD4E61"/>
    <w:rsid w:val="00FD50C5"/>
    <w:rsid w:val="00FD5396"/>
    <w:rsid w:val="00FD6C30"/>
    <w:rsid w:val="00FD7B68"/>
    <w:rsid w:val="00FE1182"/>
    <w:rsid w:val="00FE1FBE"/>
    <w:rsid w:val="00FE316B"/>
    <w:rsid w:val="00FE33CE"/>
    <w:rsid w:val="00FE3CBB"/>
    <w:rsid w:val="00FE5619"/>
    <w:rsid w:val="00FE7C36"/>
    <w:rsid w:val="00FF0E94"/>
    <w:rsid w:val="00FF32D9"/>
    <w:rsid w:val="00FF360D"/>
    <w:rsid w:val="00FF3693"/>
    <w:rsid w:val="00FF4550"/>
    <w:rsid w:val="00FF595E"/>
    <w:rsid w:val="00FF782D"/>
    <w:rsid w:val="0103164E"/>
    <w:rsid w:val="010816C7"/>
    <w:rsid w:val="01423738"/>
    <w:rsid w:val="01612E4B"/>
    <w:rsid w:val="01A95DDB"/>
    <w:rsid w:val="01AD2EE5"/>
    <w:rsid w:val="01E06EAA"/>
    <w:rsid w:val="01F75402"/>
    <w:rsid w:val="023E1DAC"/>
    <w:rsid w:val="024E0BBD"/>
    <w:rsid w:val="024F2192"/>
    <w:rsid w:val="026304EE"/>
    <w:rsid w:val="026C6611"/>
    <w:rsid w:val="02966FE3"/>
    <w:rsid w:val="029804BC"/>
    <w:rsid w:val="02A56BD7"/>
    <w:rsid w:val="02C7409E"/>
    <w:rsid w:val="02E36EF5"/>
    <w:rsid w:val="02EA4CE1"/>
    <w:rsid w:val="030B47EA"/>
    <w:rsid w:val="031972BA"/>
    <w:rsid w:val="03261630"/>
    <w:rsid w:val="03502BEA"/>
    <w:rsid w:val="03782F90"/>
    <w:rsid w:val="03817C03"/>
    <w:rsid w:val="03AF514E"/>
    <w:rsid w:val="03B578BA"/>
    <w:rsid w:val="03C37966"/>
    <w:rsid w:val="03EC1B5D"/>
    <w:rsid w:val="04061802"/>
    <w:rsid w:val="0406235A"/>
    <w:rsid w:val="042F2D16"/>
    <w:rsid w:val="043079FC"/>
    <w:rsid w:val="04786B53"/>
    <w:rsid w:val="048F5B60"/>
    <w:rsid w:val="04C82640"/>
    <w:rsid w:val="04CD7FA9"/>
    <w:rsid w:val="04DC3CE8"/>
    <w:rsid w:val="05027081"/>
    <w:rsid w:val="050369D4"/>
    <w:rsid w:val="0514102F"/>
    <w:rsid w:val="051615A0"/>
    <w:rsid w:val="05466DFF"/>
    <w:rsid w:val="057254DF"/>
    <w:rsid w:val="058F23FE"/>
    <w:rsid w:val="05C0140E"/>
    <w:rsid w:val="05D6468A"/>
    <w:rsid w:val="05DD6CA4"/>
    <w:rsid w:val="05FB55CD"/>
    <w:rsid w:val="061A71B3"/>
    <w:rsid w:val="066936D1"/>
    <w:rsid w:val="06763DCD"/>
    <w:rsid w:val="06923647"/>
    <w:rsid w:val="069824C0"/>
    <w:rsid w:val="069E7FEB"/>
    <w:rsid w:val="06C852FF"/>
    <w:rsid w:val="06E62B0A"/>
    <w:rsid w:val="06F8212D"/>
    <w:rsid w:val="07241C0E"/>
    <w:rsid w:val="07257270"/>
    <w:rsid w:val="073161DB"/>
    <w:rsid w:val="07517B18"/>
    <w:rsid w:val="07D02692"/>
    <w:rsid w:val="07F103B6"/>
    <w:rsid w:val="081252EB"/>
    <w:rsid w:val="08676747"/>
    <w:rsid w:val="08EA3F02"/>
    <w:rsid w:val="08EF5B77"/>
    <w:rsid w:val="09175C96"/>
    <w:rsid w:val="0953084E"/>
    <w:rsid w:val="09657632"/>
    <w:rsid w:val="09DC41CD"/>
    <w:rsid w:val="09E0794B"/>
    <w:rsid w:val="09E316F2"/>
    <w:rsid w:val="09E83B69"/>
    <w:rsid w:val="09EF5F6F"/>
    <w:rsid w:val="09F903C5"/>
    <w:rsid w:val="0A0553CE"/>
    <w:rsid w:val="0A0A744B"/>
    <w:rsid w:val="0A172CA5"/>
    <w:rsid w:val="0A1B49A5"/>
    <w:rsid w:val="0A313BCD"/>
    <w:rsid w:val="0A422C7E"/>
    <w:rsid w:val="0A677FA3"/>
    <w:rsid w:val="0A846B71"/>
    <w:rsid w:val="0AA35AA3"/>
    <w:rsid w:val="0AA87228"/>
    <w:rsid w:val="0AC762AF"/>
    <w:rsid w:val="0ACF100A"/>
    <w:rsid w:val="0AF52007"/>
    <w:rsid w:val="0B06628C"/>
    <w:rsid w:val="0B20425A"/>
    <w:rsid w:val="0B336878"/>
    <w:rsid w:val="0B3C079C"/>
    <w:rsid w:val="0B5624BB"/>
    <w:rsid w:val="0B7D1010"/>
    <w:rsid w:val="0B9918AD"/>
    <w:rsid w:val="0BA2346E"/>
    <w:rsid w:val="0BB90736"/>
    <w:rsid w:val="0BD4485F"/>
    <w:rsid w:val="0BE1258C"/>
    <w:rsid w:val="0BE57BC6"/>
    <w:rsid w:val="0BE92B82"/>
    <w:rsid w:val="0BEE700B"/>
    <w:rsid w:val="0C6038E7"/>
    <w:rsid w:val="0C637715"/>
    <w:rsid w:val="0C721436"/>
    <w:rsid w:val="0CBF7448"/>
    <w:rsid w:val="0CC56F9D"/>
    <w:rsid w:val="0CC67A1C"/>
    <w:rsid w:val="0CCB256A"/>
    <w:rsid w:val="0CCE02FE"/>
    <w:rsid w:val="0CE65337"/>
    <w:rsid w:val="0D1674D8"/>
    <w:rsid w:val="0D1958C1"/>
    <w:rsid w:val="0D1F21FB"/>
    <w:rsid w:val="0D4424A1"/>
    <w:rsid w:val="0D4F5070"/>
    <w:rsid w:val="0D733DA8"/>
    <w:rsid w:val="0D81304C"/>
    <w:rsid w:val="0DA733B0"/>
    <w:rsid w:val="0DBC6E0C"/>
    <w:rsid w:val="0DCD1019"/>
    <w:rsid w:val="0DD06C9B"/>
    <w:rsid w:val="0DE22796"/>
    <w:rsid w:val="0E193F12"/>
    <w:rsid w:val="0E431E95"/>
    <w:rsid w:val="0E57368F"/>
    <w:rsid w:val="0E771258"/>
    <w:rsid w:val="0E8027A8"/>
    <w:rsid w:val="0E887881"/>
    <w:rsid w:val="0E9E6400"/>
    <w:rsid w:val="0EA10574"/>
    <w:rsid w:val="0EE11BFB"/>
    <w:rsid w:val="0F2E797C"/>
    <w:rsid w:val="0F795876"/>
    <w:rsid w:val="0F8D306D"/>
    <w:rsid w:val="0F91647E"/>
    <w:rsid w:val="0F957915"/>
    <w:rsid w:val="0FD00EDC"/>
    <w:rsid w:val="1007726E"/>
    <w:rsid w:val="10891939"/>
    <w:rsid w:val="10976DD5"/>
    <w:rsid w:val="109F739F"/>
    <w:rsid w:val="10D561EC"/>
    <w:rsid w:val="10E00948"/>
    <w:rsid w:val="111F3596"/>
    <w:rsid w:val="11262CF0"/>
    <w:rsid w:val="114F0A2A"/>
    <w:rsid w:val="117C3CB9"/>
    <w:rsid w:val="11B942FA"/>
    <w:rsid w:val="11C5246D"/>
    <w:rsid w:val="11E44159"/>
    <w:rsid w:val="12130B2F"/>
    <w:rsid w:val="123B03A5"/>
    <w:rsid w:val="12742199"/>
    <w:rsid w:val="127421EB"/>
    <w:rsid w:val="12753A2E"/>
    <w:rsid w:val="12847A53"/>
    <w:rsid w:val="129E4738"/>
    <w:rsid w:val="12B82C8B"/>
    <w:rsid w:val="12BE4D4B"/>
    <w:rsid w:val="12D20F92"/>
    <w:rsid w:val="12DB4311"/>
    <w:rsid w:val="12E14EFB"/>
    <w:rsid w:val="12EE3395"/>
    <w:rsid w:val="12FA5E53"/>
    <w:rsid w:val="12FD4C99"/>
    <w:rsid w:val="13412E0C"/>
    <w:rsid w:val="134A4A0B"/>
    <w:rsid w:val="134E089A"/>
    <w:rsid w:val="134F5744"/>
    <w:rsid w:val="1399510B"/>
    <w:rsid w:val="13AD22D8"/>
    <w:rsid w:val="13B95F5C"/>
    <w:rsid w:val="13DA6A45"/>
    <w:rsid w:val="13F92F0E"/>
    <w:rsid w:val="140750C8"/>
    <w:rsid w:val="140C2A83"/>
    <w:rsid w:val="1483018A"/>
    <w:rsid w:val="14837AC5"/>
    <w:rsid w:val="148722F0"/>
    <w:rsid w:val="14AA638F"/>
    <w:rsid w:val="14B9074C"/>
    <w:rsid w:val="14E7328D"/>
    <w:rsid w:val="151472CC"/>
    <w:rsid w:val="15306404"/>
    <w:rsid w:val="153C3136"/>
    <w:rsid w:val="156B3533"/>
    <w:rsid w:val="156E23A1"/>
    <w:rsid w:val="159B4640"/>
    <w:rsid w:val="15B2509A"/>
    <w:rsid w:val="15CC3D07"/>
    <w:rsid w:val="16084D59"/>
    <w:rsid w:val="1622517F"/>
    <w:rsid w:val="1623006B"/>
    <w:rsid w:val="162504CF"/>
    <w:rsid w:val="165B0AF1"/>
    <w:rsid w:val="16687118"/>
    <w:rsid w:val="16B1192B"/>
    <w:rsid w:val="16CB4564"/>
    <w:rsid w:val="17845A63"/>
    <w:rsid w:val="17AA6D2E"/>
    <w:rsid w:val="17D53845"/>
    <w:rsid w:val="17F96B73"/>
    <w:rsid w:val="184D00B8"/>
    <w:rsid w:val="18640AC1"/>
    <w:rsid w:val="1865796E"/>
    <w:rsid w:val="187321E7"/>
    <w:rsid w:val="18A07CA5"/>
    <w:rsid w:val="18B3573F"/>
    <w:rsid w:val="18D67819"/>
    <w:rsid w:val="18D9634F"/>
    <w:rsid w:val="18DC3FCF"/>
    <w:rsid w:val="18E53C78"/>
    <w:rsid w:val="18F870D9"/>
    <w:rsid w:val="1907663A"/>
    <w:rsid w:val="1988710C"/>
    <w:rsid w:val="19A05CAA"/>
    <w:rsid w:val="19A63856"/>
    <w:rsid w:val="19BB1F60"/>
    <w:rsid w:val="19F57AAA"/>
    <w:rsid w:val="1A0D279E"/>
    <w:rsid w:val="1A16525F"/>
    <w:rsid w:val="1AA20F0E"/>
    <w:rsid w:val="1AAF3966"/>
    <w:rsid w:val="1AB83A38"/>
    <w:rsid w:val="1B21500D"/>
    <w:rsid w:val="1B3B58F6"/>
    <w:rsid w:val="1B5452D5"/>
    <w:rsid w:val="1BE55E10"/>
    <w:rsid w:val="1BEA0111"/>
    <w:rsid w:val="1BEB4480"/>
    <w:rsid w:val="1C002C29"/>
    <w:rsid w:val="1C067942"/>
    <w:rsid w:val="1C133CFB"/>
    <w:rsid w:val="1C1F6544"/>
    <w:rsid w:val="1C423BF9"/>
    <w:rsid w:val="1C5A118C"/>
    <w:rsid w:val="1C8C6975"/>
    <w:rsid w:val="1CD66186"/>
    <w:rsid w:val="1CE01158"/>
    <w:rsid w:val="1D401B92"/>
    <w:rsid w:val="1D453E9F"/>
    <w:rsid w:val="1D503FAD"/>
    <w:rsid w:val="1D5D5AF8"/>
    <w:rsid w:val="1D8841D8"/>
    <w:rsid w:val="1D8A1EE1"/>
    <w:rsid w:val="1D9E3D7C"/>
    <w:rsid w:val="1DAD6772"/>
    <w:rsid w:val="1DB42900"/>
    <w:rsid w:val="1DD4095D"/>
    <w:rsid w:val="1DE27DFD"/>
    <w:rsid w:val="1DE859FC"/>
    <w:rsid w:val="1DEA1A3B"/>
    <w:rsid w:val="1DF84030"/>
    <w:rsid w:val="1E037D58"/>
    <w:rsid w:val="1E0466E1"/>
    <w:rsid w:val="1E1F1C4A"/>
    <w:rsid w:val="1E3F6B50"/>
    <w:rsid w:val="1E472722"/>
    <w:rsid w:val="1E485D9F"/>
    <w:rsid w:val="1E5C5CAB"/>
    <w:rsid w:val="1E616300"/>
    <w:rsid w:val="1EB46113"/>
    <w:rsid w:val="1EC74947"/>
    <w:rsid w:val="1ED42682"/>
    <w:rsid w:val="1EE14D8B"/>
    <w:rsid w:val="1F03370F"/>
    <w:rsid w:val="1F0678E6"/>
    <w:rsid w:val="1F10520A"/>
    <w:rsid w:val="1F162ECF"/>
    <w:rsid w:val="1F184F99"/>
    <w:rsid w:val="1F8C6655"/>
    <w:rsid w:val="1F9442DF"/>
    <w:rsid w:val="1F9642A6"/>
    <w:rsid w:val="1FD8045C"/>
    <w:rsid w:val="200C57D8"/>
    <w:rsid w:val="201F3ACC"/>
    <w:rsid w:val="20680A09"/>
    <w:rsid w:val="207C4233"/>
    <w:rsid w:val="212D2789"/>
    <w:rsid w:val="212E1922"/>
    <w:rsid w:val="214B5437"/>
    <w:rsid w:val="218D0B39"/>
    <w:rsid w:val="2190020B"/>
    <w:rsid w:val="219F2F1C"/>
    <w:rsid w:val="224817BC"/>
    <w:rsid w:val="22734827"/>
    <w:rsid w:val="22873627"/>
    <w:rsid w:val="228F1D67"/>
    <w:rsid w:val="229C29DE"/>
    <w:rsid w:val="229F7BE4"/>
    <w:rsid w:val="22CE3389"/>
    <w:rsid w:val="22D3622C"/>
    <w:rsid w:val="22E9476A"/>
    <w:rsid w:val="2317428E"/>
    <w:rsid w:val="231C1C61"/>
    <w:rsid w:val="231E6A53"/>
    <w:rsid w:val="2327403C"/>
    <w:rsid w:val="235762ED"/>
    <w:rsid w:val="237A1233"/>
    <w:rsid w:val="23BB3D21"/>
    <w:rsid w:val="23BF007E"/>
    <w:rsid w:val="23E675AA"/>
    <w:rsid w:val="23FD59F8"/>
    <w:rsid w:val="241678C4"/>
    <w:rsid w:val="243D014C"/>
    <w:rsid w:val="24523BCF"/>
    <w:rsid w:val="246209C1"/>
    <w:rsid w:val="24691329"/>
    <w:rsid w:val="24A47BCF"/>
    <w:rsid w:val="24B56982"/>
    <w:rsid w:val="24FB460C"/>
    <w:rsid w:val="251A5D18"/>
    <w:rsid w:val="25297E73"/>
    <w:rsid w:val="25540938"/>
    <w:rsid w:val="256736AA"/>
    <w:rsid w:val="25B21AA1"/>
    <w:rsid w:val="26170A55"/>
    <w:rsid w:val="264702FF"/>
    <w:rsid w:val="264A60C8"/>
    <w:rsid w:val="26905330"/>
    <w:rsid w:val="26B34448"/>
    <w:rsid w:val="26BF13FA"/>
    <w:rsid w:val="26BF1B45"/>
    <w:rsid w:val="26C021C0"/>
    <w:rsid w:val="26CF59AB"/>
    <w:rsid w:val="2725493E"/>
    <w:rsid w:val="273A1538"/>
    <w:rsid w:val="2743550A"/>
    <w:rsid w:val="27994A70"/>
    <w:rsid w:val="27A212DE"/>
    <w:rsid w:val="27A91850"/>
    <w:rsid w:val="27E4184B"/>
    <w:rsid w:val="27EF116C"/>
    <w:rsid w:val="27FB25AE"/>
    <w:rsid w:val="2819103E"/>
    <w:rsid w:val="287F3DAE"/>
    <w:rsid w:val="28856D20"/>
    <w:rsid w:val="288611FD"/>
    <w:rsid w:val="28AF7EA8"/>
    <w:rsid w:val="28B66825"/>
    <w:rsid w:val="28DE2FA0"/>
    <w:rsid w:val="290916B4"/>
    <w:rsid w:val="29114552"/>
    <w:rsid w:val="29210B4A"/>
    <w:rsid w:val="29211CED"/>
    <w:rsid w:val="292D76FD"/>
    <w:rsid w:val="29560F11"/>
    <w:rsid w:val="29BA18DD"/>
    <w:rsid w:val="29C24DA7"/>
    <w:rsid w:val="29E407A8"/>
    <w:rsid w:val="29E61890"/>
    <w:rsid w:val="29EA05C3"/>
    <w:rsid w:val="29FF6142"/>
    <w:rsid w:val="2A0E4A0F"/>
    <w:rsid w:val="2A222295"/>
    <w:rsid w:val="2AB44D00"/>
    <w:rsid w:val="2B083665"/>
    <w:rsid w:val="2B0A3DE3"/>
    <w:rsid w:val="2B0A6157"/>
    <w:rsid w:val="2B51578F"/>
    <w:rsid w:val="2B622A91"/>
    <w:rsid w:val="2BA1600E"/>
    <w:rsid w:val="2BE70F0C"/>
    <w:rsid w:val="2BE71D1B"/>
    <w:rsid w:val="2BEF6276"/>
    <w:rsid w:val="2C061866"/>
    <w:rsid w:val="2C185A3C"/>
    <w:rsid w:val="2C272B7C"/>
    <w:rsid w:val="2C4665FB"/>
    <w:rsid w:val="2C5A5CF3"/>
    <w:rsid w:val="2C7A20E3"/>
    <w:rsid w:val="2C7B36F1"/>
    <w:rsid w:val="2C8F27CA"/>
    <w:rsid w:val="2C8F5F19"/>
    <w:rsid w:val="2CBF61EA"/>
    <w:rsid w:val="2CD55344"/>
    <w:rsid w:val="2D374582"/>
    <w:rsid w:val="2D6162AC"/>
    <w:rsid w:val="2D725841"/>
    <w:rsid w:val="2D7869E0"/>
    <w:rsid w:val="2D850C82"/>
    <w:rsid w:val="2DA92C76"/>
    <w:rsid w:val="2DEE441B"/>
    <w:rsid w:val="2E14287C"/>
    <w:rsid w:val="2E333E15"/>
    <w:rsid w:val="2E4A10E4"/>
    <w:rsid w:val="2E4B04F2"/>
    <w:rsid w:val="2E515162"/>
    <w:rsid w:val="2E5914A0"/>
    <w:rsid w:val="2EA15774"/>
    <w:rsid w:val="2EB4737E"/>
    <w:rsid w:val="2EC91F74"/>
    <w:rsid w:val="2ED36883"/>
    <w:rsid w:val="2EE352F0"/>
    <w:rsid w:val="2EF46214"/>
    <w:rsid w:val="2F0739BF"/>
    <w:rsid w:val="2F263F7B"/>
    <w:rsid w:val="2F2C682C"/>
    <w:rsid w:val="2F3305AF"/>
    <w:rsid w:val="2F425A28"/>
    <w:rsid w:val="2F8D69DD"/>
    <w:rsid w:val="2FA21A63"/>
    <w:rsid w:val="2FEA5603"/>
    <w:rsid w:val="301E0BAB"/>
    <w:rsid w:val="305E5561"/>
    <w:rsid w:val="30670039"/>
    <w:rsid w:val="3068790E"/>
    <w:rsid w:val="30F06876"/>
    <w:rsid w:val="30FC6C4F"/>
    <w:rsid w:val="31052B9E"/>
    <w:rsid w:val="310979BA"/>
    <w:rsid w:val="31305298"/>
    <w:rsid w:val="314C7AD3"/>
    <w:rsid w:val="316025BD"/>
    <w:rsid w:val="316119A8"/>
    <w:rsid w:val="31A06A15"/>
    <w:rsid w:val="31A52BDE"/>
    <w:rsid w:val="31AE1969"/>
    <w:rsid w:val="31B64391"/>
    <w:rsid w:val="31E90C40"/>
    <w:rsid w:val="32151750"/>
    <w:rsid w:val="322060C4"/>
    <w:rsid w:val="32261AEA"/>
    <w:rsid w:val="32461E17"/>
    <w:rsid w:val="3255182D"/>
    <w:rsid w:val="325A5C3A"/>
    <w:rsid w:val="3276199A"/>
    <w:rsid w:val="32BA0621"/>
    <w:rsid w:val="32BA3AAE"/>
    <w:rsid w:val="32CA5A9D"/>
    <w:rsid w:val="32F06752"/>
    <w:rsid w:val="331843C1"/>
    <w:rsid w:val="332F3AE7"/>
    <w:rsid w:val="336707A1"/>
    <w:rsid w:val="33773AF9"/>
    <w:rsid w:val="339A4EDD"/>
    <w:rsid w:val="33B27876"/>
    <w:rsid w:val="33B43A69"/>
    <w:rsid w:val="33CC6B4C"/>
    <w:rsid w:val="33D14458"/>
    <w:rsid w:val="33DE31E7"/>
    <w:rsid w:val="33E30247"/>
    <w:rsid w:val="33ED255F"/>
    <w:rsid w:val="340E3B0D"/>
    <w:rsid w:val="342E30C9"/>
    <w:rsid w:val="3434509F"/>
    <w:rsid w:val="343D0995"/>
    <w:rsid w:val="3470670E"/>
    <w:rsid w:val="34C449E9"/>
    <w:rsid w:val="34F16887"/>
    <w:rsid w:val="34F334FB"/>
    <w:rsid w:val="34FD28FF"/>
    <w:rsid w:val="351E30C7"/>
    <w:rsid w:val="35292846"/>
    <w:rsid w:val="3538296D"/>
    <w:rsid w:val="35877644"/>
    <w:rsid w:val="35966F62"/>
    <w:rsid w:val="359F4B78"/>
    <w:rsid w:val="35EC1BEA"/>
    <w:rsid w:val="35F0361B"/>
    <w:rsid w:val="363356A2"/>
    <w:rsid w:val="3641625F"/>
    <w:rsid w:val="36483084"/>
    <w:rsid w:val="36976877"/>
    <w:rsid w:val="369D491B"/>
    <w:rsid w:val="36B40C7D"/>
    <w:rsid w:val="36C0763F"/>
    <w:rsid w:val="36D11753"/>
    <w:rsid w:val="36D709B1"/>
    <w:rsid w:val="36D925F7"/>
    <w:rsid w:val="36EF52AD"/>
    <w:rsid w:val="36F45A53"/>
    <w:rsid w:val="37026CCC"/>
    <w:rsid w:val="371B42F4"/>
    <w:rsid w:val="371F0170"/>
    <w:rsid w:val="37697EB1"/>
    <w:rsid w:val="37716157"/>
    <w:rsid w:val="377A6452"/>
    <w:rsid w:val="3792477F"/>
    <w:rsid w:val="37C868AE"/>
    <w:rsid w:val="380816ED"/>
    <w:rsid w:val="383200AA"/>
    <w:rsid w:val="38585B40"/>
    <w:rsid w:val="386B4280"/>
    <w:rsid w:val="38AA5FB2"/>
    <w:rsid w:val="38AA6930"/>
    <w:rsid w:val="38B41376"/>
    <w:rsid w:val="38DB4455"/>
    <w:rsid w:val="38E431E8"/>
    <w:rsid w:val="390F5AD7"/>
    <w:rsid w:val="390F77BA"/>
    <w:rsid w:val="39156D33"/>
    <w:rsid w:val="391C0D0C"/>
    <w:rsid w:val="3987584B"/>
    <w:rsid w:val="399B4B5C"/>
    <w:rsid w:val="39A57CA7"/>
    <w:rsid w:val="39C04F45"/>
    <w:rsid w:val="39FC6367"/>
    <w:rsid w:val="3A301B8C"/>
    <w:rsid w:val="3A415DE7"/>
    <w:rsid w:val="3AA93BAF"/>
    <w:rsid w:val="3AAC7278"/>
    <w:rsid w:val="3B060F02"/>
    <w:rsid w:val="3B3C01B9"/>
    <w:rsid w:val="3B3D2079"/>
    <w:rsid w:val="3B563461"/>
    <w:rsid w:val="3B5861F4"/>
    <w:rsid w:val="3B8D09B2"/>
    <w:rsid w:val="3BA61761"/>
    <w:rsid w:val="3BB170A6"/>
    <w:rsid w:val="3BC06B6E"/>
    <w:rsid w:val="3BC8700F"/>
    <w:rsid w:val="3BE92C13"/>
    <w:rsid w:val="3BF770DE"/>
    <w:rsid w:val="3C404E26"/>
    <w:rsid w:val="3C4351CB"/>
    <w:rsid w:val="3C6829B6"/>
    <w:rsid w:val="3CAF6DBD"/>
    <w:rsid w:val="3CC40D21"/>
    <w:rsid w:val="3CD836F6"/>
    <w:rsid w:val="3CD866E6"/>
    <w:rsid w:val="3D041823"/>
    <w:rsid w:val="3D2C23CE"/>
    <w:rsid w:val="3D4022B7"/>
    <w:rsid w:val="3D4E2F42"/>
    <w:rsid w:val="3D5119BF"/>
    <w:rsid w:val="3D7A76B1"/>
    <w:rsid w:val="3D8C66FB"/>
    <w:rsid w:val="3DCF3A06"/>
    <w:rsid w:val="3DDC587C"/>
    <w:rsid w:val="3E17543C"/>
    <w:rsid w:val="3E1A17F2"/>
    <w:rsid w:val="3E482957"/>
    <w:rsid w:val="3E4A1B7F"/>
    <w:rsid w:val="3E513877"/>
    <w:rsid w:val="3E6A3F92"/>
    <w:rsid w:val="3E6D2FAF"/>
    <w:rsid w:val="3E6F2585"/>
    <w:rsid w:val="3E9E106C"/>
    <w:rsid w:val="3EAD4723"/>
    <w:rsid w:val="3EBB6DCB"/>
    <w:rsid w:val="3EF07EFE"/>
    <w:rsid w:val="3EF8441C"/>
    <w:rsid w:val="3EFF35FD"/>
    <w:rsid w:val="3F606C89"/>
    <w:rsid w:val="3F7B2700"/>
    <w:rsid w:val="3FD2408E"/>
    <w:rsid w:val="400C0C7E"/>
    <w:rsid w:val="401806C9"/>
    <w:rsid w:val="40577393"/>
    <w:rsid w:val="40623CA4"/>
    <w:rsid w:val="406D5A33"/>
    <w:rsid w:val="40865D80"/>
    <w:rsid w:val="4090340A"/>
    <w:rsid w:val="40E36103"/>
    <w:rsid w:val="41110BC4"/>
    <w:rsid w:val="413929FD"/>
    <w:rsid w:val="41742F7F"/>
    <w:rsid w:val="419E5501"/>
    <w:rsid w:val="41BB2003"/>
    <w:rsid w:val="41CB0797"/>
    <w:rsid w:val="41D45C0C"/>
    <w:rsid w:val="41D674A5"/>
    <w:rsid w:val="41EE7DE5"/>
    <w:rsid w:val="421B4C5B"/>
    <w:rsid w:val="42236C38"/>
    <w:rsid w:val="42823484"/>
    <w:rsid w:val="428F7029"/>
    <w:rsid w:val="42957F01"/>
    <w:rsid w:val="429C18C1"/>
    <w:rsid w:val="42AC3CE4"/>
    <w:rsid w:val="42BF322A"/>
    <w:rsid w:val="42D322AC"/>
    <w:rsid w:val="430C59B2"/>
    <w:rsid w:val="434B6B15"/>
    <w:rsid w:val="43537743"/>
    <w:rsid w:val="43715578"/>
    <w:rsid w:val="437266C6"/>
    <w:rsid w:val="437548CB"/>
    <w:rsid w:val="43891C40"/>
    <w:rsid w:val="43AE09CA"/>
    <w:rsid w:val="44315733"/>
    <w:rsid w:val="4432423F"/>
    <w:rsid w:val="445D3150"/>
    <w:rsid w:val="44605B8C"/>
    <w:rsid w:val="44673ACE"/>
    <w:rsid w:val="446D0277"/>
    <w:rsid w:val="44845013"/>
    <w:rsid w:val="44A60B28"/>
    <w:rsid w:val="44AD06FE"/>
    <w:rsid w:val="44B85878"/>
    <w:rsid w:val="44C139FF"/>
    <w:rsid w:val="44D70041"/>
    <w:rsid w:val="45282035"/>
    <w:rsid w:val="4578240F"/>
    <w:rsid w:val="459F22D1"/>
    <w:rsid w:val="45B62DA2"/>
    <w:rsid w:val="45C00EB7"/>
    <w:rsid w:val="46053B65"/>
    <w:rsid w:val="464958EE"/>
    <w:rsid w:val="4663778A"/>
    <w:rsid w:val="466D01F3"/>
    <w:rsid w:val="467801D6"/>
    <w:rsid w:val="468C0FE8"/>
    <w:rsid w:val="46B418FA"/>
    <w:rsid w:val="46BD516E"/>
    <w:rsid w:val="46F87558"/>
    <w:rsid w:val="46FC1A15"/>
    <w:rsid w:val="4702216F"/>
    <w:rsid w:val="47500FB6"/>
    <w:rsid w:val="47C7241F"/>
    <w:rsid w:val="47DC7AF0"/>
    <w:rsid w:val="481916C4"/>
    <w:rsid w:val="481C1C7A"/>
    <w:rsid w:val="48292103"/>
    <w:rsid w:val="483E330A"/>
    <w:rsid w:val="486E7EA1"/>
    <w:rsid w:val="48797B65"/>
    <w:rsid w:val="48825477"/>
    <w:rsid w:val="48936954"/>
    <w:rsid w:val="49045722"/>
    <w:rsid w:val="49170EFD"/>
    <w:rsid w:val="4947400D"/>
    <w:rsid w:val="49A429A7"/>
    <w:rsid w:val="49ED119B"/>
    <w:rsid w:val="49ED38CE"/>
    <w:rsid w:val="49ED7030"/>
    <w:rsid w:val="49F16E74"/>
    <w:rsid w:val="49F5089D"/>
    <w:rsid w:val="4A111032"/>
    <w:rsid w:val="4A1A18BA"/>
    <w:rsid w:val="4A3C1764"/>
    <w:rsid w:val="4A752396"/>
    <w:rsid w:val="4A9D6BAE"/>
    <w:rsid w:val="4AC721E8"/>
    <w:rsid w:val="4B124434"/>
    <w:rsid w:val="4B217A34"/>
    <w:rsid w:val="4B4E65EF"/>
    <w:rsid w:val="4B6362E8"/>
    <w:rsid w:val="4B6A7F35"/>
    <w:rsid w:val="4B7A092D"/>
    <w:rsid w:val="4B7E26FB"/>
    <w:rsid w:val="4B863275"/>
    <w:rsid w:val="4BBE5B8A"/>
    <w:rsid w:val="4BD20E42"/>
    <w:rsid w:val="4C2B52E7"/>
    <w:rsid w:val="4C2C4BFA"/>
    <w:rsid w:val="4C833622"/>
    <w:rsid w:val="4C8A6656"/>
    <w:rsid w:val="4CC709CB"/>
    <w:rsid w:val="4CD24D3D"/>
    <w:rsid w:val="4CE76CFB"/>
    <w:rsid w:val="4D4B60B6"/>
    <w:rsid w:val="4D532C58"/>
    <w:rsid w:val="4D5743D6"/>
    <w:rsid w:val="4D8019B3"/>
    <w:rsid w:val="4DA105FE"/>
    <w:rsid w:val="4DDC3976"/>
    <w:rsid w:val="4DFF450F"/>
    <w:rsid w:val="4E5507E8"/>
    <w:rsid w:val="4E713F3B"/>
    <w:rsid w:val="4E72276D"/>
    <w:rsid w:val="4E9171D0"/>
    <w:rsid w:val="4EC80F36"/>
    <w:rsid w:val="4ECA5BB6"/>
    <w:rsid w:val="4EF50C3C"/>
    <w:rsid w:val="4EFF4E37"/>
    <w:rsid w:val="4EFF69A0"/>
    <w:rsid w:val="4F0771FB"/>
    <w:rsid w:val="4F0D1B0F"/>
    <w:rsid w:val="4F3C6E08"/>
    <w:rsid w:val="4F9408B5"/>
    <w:rsid w:val="4FA05F51"/>
    <w:rsid w:val="4FA57DE8"/>
    <w:rsid w:val="4FE4778B"/>
    <w:rsid w:val="4FEC0526"/>
    <w:rsid w:val="4FF0098B"/>
    <w:rsid w:val="50067C12"/>
    <w:rsid w:val="500739FD"/>
    <w:rsid w:val="50314534"/>
    <w:rsid w:val="50501D3C"/>
    <w:rsid w:val="50516A66"/>
    <w:rsid w:val="5076662A"/>
    <w:rsid w:val="50AC1C31"/>
    <w:rsid w:val="50F42CE8"/>
    <w:rsid w:val="511C709C"/>
    <w:rsid w:val="512D6E6F"/>
    <w:rsid w:val="513325F0"/>
    <w:rsid w:val="514F4E6E"/>
    <w:rsid w:val="51600B17"/>
    <w:rsid w:val="518F4341"/>
    <w:rsid w:val="51D87050"/>
    <w:rsid w:val="51D9675B"/>
    <w:rsid w:val="520222E0"/>
    <w:rsid w:val="520D70D0"/>
    <w:rsid w:val="52156883"/>
    <w:rsid w:val="52252495"/>
    <w:rsid w:val="528E018B"/>
    <w:rsid w:val="52A2277B"/>
    <w:rsid w:val="52B37182"/>
    <w:rsid w:val="52B5365A"/>
    <w:rsid w:val="533D1F43"/>
    <w:rsid w:val="536A66C9"/>
    <w:rsid w:val="53C4747C"/>
    <w:rsid w:val="53D92049"/>
    <w:rsid w:val="53E17AE0"/>
    <w:rsid w:val="54307D82"/>
    <w:rsid w:val="543E40C3"/>
    <w:rsid w:val="54442FCB"/>
    <w:rsid w:val="54805620"/>
    <w:rsid w:val="548F31EE"/>
    <w:rsid w:val="54C91CEE"/>
    <w:rsid w:val="54D90F3B"/>
    <w:rsid w:val="54F71E58"/>
    <w:rsid w:val="54F847C7"/>
    <w:rsid w:val="54FE152F"/>
    <w:rsid w:val="551E34D6"/>
    <w:rsid w:val="552A4C0D"/>
    <w:rsid w:val="55781280"/>
    <w:rsid w:val="558F3B10"/>
    <w:rsid w:val="55A01D03"/>
    <w:rsid w:val="55CF5E7D"/>
    <w:rsid w:val="55F10036"/>
    <w:rsid w:val="56032443"/>
    <w:rsid w:val="56252C05"/>
    <w:rsid w:val="5631648B"/>
    <w:rsid w:val="56605106"/>
    <w:rsid w:val="569071B7"/>
    <w:rsid w:val="56962FDB"/>
    <w:rsid w:val="56D131CF"/>
    <w:rsid w:val="56D32036"/>
    <w:rsid w:val="56D56BB1"/>
    <w:rsid w:val="56DE57A8"/>
    <w:rsid w:val="56F44CEA"/>
    <w:rsid w:val="56FF188B"/>
    <w:rsid w:val="57265675"/>
    <w:rsid w:val="5736152D"/>
    <w:rsid w:val="577F4B54"/>
    <w:rsid w:val="57AC78E9"/>
    <w:rsid w:val="57D26A6B"/>
    <w:rsid w:val="57EA5662"/>
    <w:rsid w:val="5815647A"/>
    <w:rsid w:val="58161E12"/>
    <w:rsid w:val="584F2624"/>
    <w:rsid w:val="585A1B53"/>
    <w:rsid w:val="58637281"/>
    <w:rsid w:val="587D4EC8"/>
    <w:rsid w:val="58A0591C"/>
    <w:rsid w:val="58A11C6C"/>
    <w:rsid w:val="59076BE9"/>
    <w:rsid w:val="591F781C"/>
    <w:rsid w:val="592B41A8"/>
    <w:rsid w:val="59467E0E"/>
    <w:rsid w:val="59801CCF"/>
    <w:rsid w:val="599B0934"/>
    <w:rsid w:val="59A771D9"/>
    <w:rsid w:val="59D40562"/>
    <w:rsid w:val="59E208A7"/>
    <w:rsid w:val="59EB2614"/>
    <w:rsid w:val="5A1117CC"/>
    <w:rsid w:val="5A291957"/>
    <w:rsid w:val="5A431678"/>
    <w:rsid w:val="5ACF62AF"/>
    <w:rsid w:val="5AE1043A"/>
    <w:rsid w:val="5B7E6A7C"/>
    <w:rsid w:val="5B8027F4"/>
    <w:rsid w:val="5B9104C7"/>
    <w:rsid w:val="5B960D96"/>
    <w:rsid w:val="5BB41543"/>
    <w:rsid w:val="5BDB4073"/>
    <w:rsid w:val="5BE3641E"/>
    <w:rsid w:val="5C127D43"/>
    <w:rsid w:val="5C1B616F"/>
    <w:rsid w:val="5C2208FA"/>
    <w:rsid w:val="5C270831"/>
    <w:rsid w:val="5C3F603B"/>
    <w:rsid w:val="5C43540C"/>
    <w:rsid w:val="5C63452B"/>
    <w:rsid w:val="5C845CDF"/>
    <w:rsid w:val="5CAB54B0"/>
    <w:rsid w:val="5CB911C0"/>
    <w:rsid w:val="5D094A6B"/>
    <w:rsid w:val="5D112A95"/>
    <w:rsid w:val="5D225483"/>
    <w:rsid w:val="5D2F4AB1"/>
    <w:rsid w:val="5D384C09"/>
    <w:rsid w:val="5D400306"/>
    <w:rsid w:val="5D883051"/>
    <w:rsid w:val="5DE744A2"/>
    <w:rsid w:val="5DEE42EF"/>
    <w:rsid w:val="5E174D7C"/>
    <w:rsid w:val="5E2740F3"/>
    <w:rsid w:val="5E4C355A"/>
    <w:rsid w:val="5E5E41CD"/>
    <w:rsid w:val="5E732FFC"/>
    <w:rsid w:val="5E800F94"/>
    <w:rsid w:val="5E882B70"/>
    <w:rsid w:val="5EBB6303"/>
    <w:rsid w:val="5F047E5E"/>
    <w:rsid w:val="5F0A3FD8"/>
    <w:rsid w:val="5F226D1F"/>
    <w:rsid w:val="5F24143E"/>
    <w:rsid w:val="5F2D4A41"/>
    <w:rsid w:val="5F930129"/>
    <w:rsid w:val="5F9E17A0"/>
    <w:rsid w:val="5FAB2677"/>
    <w:rsid w:val="5FBE40A5"/>
    <w:rsid w:val="5FCB4CDA"/>
    <w:rsid w:val="600608B4"/>
    <w:rsid w:val="60102AA8"/>
    <w:rsid w:val="603357AC"/>
    <w:rsid w:val="603779FB"/>
    <w:rsid w:val="60460872"/>
    <w:rsid w:val="605700A5"/>
    <w:rsid w:val="606D2933"/>
    <w:rsid w:val="60A94B78"/>
    <w:rsid w:val="60C43F68"/>
    <w:rsid w:val="60DE4B76"/>
    <w:rsid w:val="611068F3"/>
    <w:rsid w:val="611A31C3"/>
    <w:rsid w:val="61276DE0"/>
    <w:rsid w:val="61451027"/>
    <w:rsid w:val="615C0416"/>
    <w:rsid w:val="616C38A0"/>
    <w:rsid w:val="61943EDF"/>
    <w:rsid w:val="61AC7890"/>
    <w:rsid w:val="61B05AE7"/>
    <w:rsid w:val="61B315E0"/>
    <w:rsid w:val="61B8158B"/>
    <w:rsid w:val="61C1544C"/>
    <w:rsid w:val="61E82EA1"/>
    <w:rsid w:val="61F813B2"/>
    <w:rsid w:val="62267920"/>
    <w:rsid w:val="62367534"/>
    <w:rsid w:val="62523C89"/>
    <w:rsid w:val="625676B6"/>
    <w:rsid w:val="62606491"/>
    <w:rsid w:val="630C099A"/>
    <w:rsid w:val="63186E73"/>
    <w:rsid w:val="631A6EA7"/>
    <w:rsid w:val="63273781"/>
    <w:rsid w:val="63277D66"/>
    <w:rsid w:val="635E2A24"/>
    <w:rsid w:val="636B4DC1"/>
    <w:rsid w:val="637C3B46"/>
    <w:rsid w:val="637E32B2"/>
    <w:rsid w:val="638F1DF5"/>
    <w:rsid w:val="63B02A66"/>
    <w:rsid w:val="63D07AD2"/>
    <w:rsid w:val="63D97FAC"/>
    <w:rsid w:val="63E468C1"/>
    <w:rsid w:val="64210398"/>
    <w:rsid w:val="642540AC"/>
    <w:rsid w:val="642F388D"/>
    <w:rsid w:val="649877A7"/>
    <w:rsid w:val="654B7A14"/>
    <w:rsid w:val="655A4885"/>
    <w:rsid w:val="65BA15E9"/>
    <w:rsid w:val="65F70779"/>
    <w:rsid w:val="6616178C"/>
    <w:rsid w:val="661F5F41"/>
    <w:rsid w:val="662427D2"/>
    <w:rsid w:val="6665743E"/>
    <w:rsid w:val="66792BB6"/>
    <w:rsid w:val="667F454E"/>
    <w:rsid w:val="66A177D7"/>
    <w:rsid w:val="66AC4600"/>
    <w:rsid w:val="66BE19D6"/>
    <w:rsid w:val="671E6205"/>
    <w:rsid w:val="673F0FA2"/>
    <w:rsid w:val="67522B14"/>
    <w:rsid w:val="675D4063"/>
    <w:rsid w:val="67704073"/>
    <w:rsid w:val="67CD2885"/>
    <w:rsid w:val="67E37120"/>
    <w:rsid w:val="67F23C1E"/>
    <w:rsid w:val="68026DBA"/>
    <w:rsid w:val="680E192E"/>
    <w:rsid w:val="683A44B1"/>
    <w:rsid w:val="68BF574D"/>
    <w:rsid w:val="695C10CA"/>
    <w:rsid w:val="696D142E"/>
    <w:rsid w:val="698A663C"/>
    <w:rsid w:val="69B63BAF"/>
    <w:rsid w:val="69BD2F50"/>
    <w:rsid w:val="69D1634E"/>
    <w:rsid w:val="6A351D2B"/>
    <w:rsid w:val="6A716432"/>
    <w:rsid w:val="6A7A17C4"/>
    <w:rsid w:val="6A8A5BE4"/>
    <w:rsid w:val="6AA006BB"/>
    <w:rsid w:val="6AB62790"/>
    <w:rsid w:val="6AC50223"/>
    <w:rsid w:val="6B0B62B8"/>
    <w:rsid w:val="6B0E4EB0"/>
    <w:rsid w:val="6B185C2B"/>
    <w:rsid w:val="6B1C1E0E"/>
    <w:rsid w:val="6B2E526A"/>
    <w:rsid w:val="6B565260"/>
    <w:rsid w:val="6B62157B"/>
    <w:rsid w:val="6B6429B9"/>
    <w:rsid w:val="6B8218AA"/>
    <w:rsid w:val="6B9D7A10"/>
    <w:rsid w:val="6BC009EB"/>
    <w:rsid w:val="6BF043BD"/>
    <w:rsid w:val="6C137294"/>
    <w:rsid w:val="6C2E2123"/>
    <w:rsid w:val="6C340216"/>
    <w:rsid w:val="6C443BAA"/>
    <w:rsid w:val="6C67184F"/>
    <w:rsid w:val="6D035709"/>
    <w:rsid w:val="6D37356B"/>
    <w:rsid w:val="6D4515A7"/>
    <w:rsid w:val="6D68133A"/>
    <w:rsid w:val="6D6B5321"/>
    <w:rsid w:val="6D7C551B"/>
    <w:rsid w:val="6D9D75B8"/>
    <w:rsid w:val="6DB055DF"/>
    <w:rsid w:val="6DC0006B"/>
    <w:rsid w:val="6DC306D3"/>
    <w:rsid w:val="6DEC487F"/>
    <w:rsid w:val="6DFA123B"/>
    <w:rsid w:val="6E1E0856"/>
    <w:rsid w:val="6E51459A"/>
    <w:rsid w:val="6E5B729C"/>
    <w:rsid w:val="6E764C36"/>
    <w:rsid w:val="6E801677"/>
    <w:rsid w:val="6E893FFB"/>
    <w:rsid w:val="6E8B3752"/>
    <w:rsid w:val="6EA86FFC"/>
    <w:rsid w:val="6EE74C26"/>
    <w:rsid w:val="6EF664E3"/>
    <w:rsid w:val="6F141580"/>
    <w:rsid w:val="6F380DA4"/>
    <w:rsid w:val="6F3B6F0C"/>
    <w:rsid w:val="6F3C7FC4"/>
    <w:rsid w:val="6F4A4D7B"/>
    <w:rsid w:val="6F5B7076"/>
    <w:rsid w:val="6F6367BB"/>
    <w:rsid w:val="6F803E5A"/>
    <w:rsid w:val="6F810625"/>
    <w:rsid w:val="6F8F0F8B"/>
    <w:rsid w:val="6F945CFC"/>
    <w:rsid w:val="6FA97341"/>
    <w:rsid w:val="6FD309A6"/>
    <w:rsid w:val="6FDE3B35"/>
    <w:rsid w:val="6FED68F7"/>
    <w:rsid w:val="70125E65"/>
    <w:rsid w:val="70464C9C"/>
    <w:rsid w:val="70701432"/>
    <w:rsid w:val="708B3878"/>
    <w:rsid w:val="70947C56"/>
    <w:rsid w:val="70CB15ED"/>
    <w:rsid w:val="71303A3D"/>
    <w:rsid w:val="713577FB"/>
    <w:rsid w:val="71400858"/>
    <w:rsid w:val="715045F5"/>
    <w:rsid w:val="71634845"/>
    <w:rsid w:val="71705DB5"/>
    <w:rsid w:val="71770890"/>
    <w:rsid w:val="71A679B6"/>
    <w:rsid w:val="71C51E2C"/>
    <w:rsid w:val="71C8643D"/>
    <w:rsid w:val="71FC1A66"/>
    <w:rsid w:val="720D4BB3"/>
    <w:rsid w:val="72467F19"/>
    <w:rsid w:val="72770F87"/>
    <w:rsid w:val="7277675C"/>
    <w:rsid w:val="729E0D35"/>
    <w:rsid w:val="72C470F1"/>
    <w:rsid w:val="72E03D87"/>
    <w:rsid w:val="72F4618B"/>
    <w:rsid w:val="72FE0015"/>
    <w:rsid w:val="73107D3B"/>
    <w:rsid w:val="73163079"/>
    <w:rsid w:val="731E4D67"/>
    <w:rsid w:val="734D49C8"/>
    <w:rsid w:val="736569A1"/>
    <w:rsid w:val="736E1074"/>
    <w:rsid w:val="73840550"/>
    <w:rsid w:val="738635F8"/>
    <w:rsid w:val="73A94C1A"/>
    <w:rsid w:val="73B30CC6"/>
    <w:rsid w:val="73D01AAF"/>
    <w:rsid w:val="73DE19BD"/>
    <w:rsid w:val="73E57B09"/>
    <w:rsid w:val="73EC4ECD"/>
    <w:rsid w:val="741661A7"/>
    <w:rsid w:val="744F3F10"/>
    <w:rsid w:val="745B7218"/>
    <w:rsid w:val="74794513"/>
    <w:rsid w:val="74833804"/>
    <w:rsid w:val="748646D5"/>
    <w:rsid w:val="74C436D5"/>
    <w:rsid w:val="74EB22DF"/>
    <w:rsid w:val="750D576D"/>
    <w:rsid w:val="75294A16"/>
    <w:rsid w:val="752D2005"/>
    <w:rsid w:val="752D49F3"/>
    <w:rsid w:val="75637629"/>
    <w:rsid w:val="75940ED0"/>
    <w:rsid w:val="75C307E1"/>
    <w:rsid w:val="76042BEE"/>
    <w:rsid w:val="76065F22"/>
    <w:rsid w:val="765F74AB"/>
    <w:rsid w:val="7683736D"/>
    <w:rsid w:val="769E097D"/>
    <w:rsid w:val="76C60EF1"/>
    <w:rsid w:val="76CB050A"/>
    <w:rsid w:val="76E13D18"/>
    <w:rsid w:val="770025E3"/>
    <w:rsid w:val="774A385E"/>
    <w:rsid w:val="77567B56"/>
    <w:rsid w:val="77685B11"/>
    <w:rsid w:val="778D687C"/>
    <w:rsid w:val="779D4951"/>
    <w:rsid w:val="77A60C8D"/>
    <w:rsid w:val="77C01915"/>
    <w:rsid w:val="77D41585"/>
    <w:rsid w:val="783A7347"/>
    <w:rsid w:val="78582216"/>
    <w:rsid w:val="78784FE1"/>
    <w:rsid w:val="78923B99"/>
    <w:rsid w:val="78BB1547"/>
    <w:rsid w:val="78BF1726"/>
    <w:rsid w:val="78D05FA2"/>
    <w:rsid w:val="78E642F9"/>
    <w:rsid w:val="79001E84"/>
    <w:rsid w:val="79231624"/>
    <w:rsid w:val="7928466F"/>
    <w:rsid w:val="792E74DB"/>
    <w:rsid w:val="796364DA"/>
    <w:rsid w:val="79A66511"/>
    <w:rsid w:val="79DC6690"/>
    <w:rsid w:val="79E8275B"/>
    <w:rsid w:val="79E86DAB"/>
    <w:rsid w:val="7A012C29"/>
    <w:rsid w:val="7A0E3BAB"/>
    <w:rsid w:val="7A170905"/>
    <w:rsid w:val="7A4B179D"/>
    <w:rsid w:val="7A780F6D"/>
    <w:rsid w:val="7AB835BC"/>
    <w:rsid w:val="7AD80413"/>
    <w:rsid w:val="7AE169A7"/>
    <w:rsid w:val="7B0B0D83"/>
    <w:rsid w:val="7B0C0312"/>
    <w:rsid w:val="7B1229A0"/>
    <w:rsid w:val="7B3E585E"/>
    <w:rsid w:val="7B4153C1"/>
    <w:rsid w:val="7B875081"/>
    <w:rsid w:val="7B971768"/>
    <w:rsid w:val="7BA3482F"/>
    <w:rsid w:val="7BBE508B"/>
    <w:rsid w:val="7BC32533"/>
    <w:rsid w:val="7BE807E9"/>
    <w:rsid w:val="7BFD46D6"/>
    <w:rsid w:val="7C256E3D"/>
    <w:rsid w:val="7C52568F"/>
    <w:rsid w:val="7C5E121C"/>
    <w:rsid w:val="7C634657"/>
    <w:rsid w:val="7CA476DF"/>
    <w:rsid w:val="7CCA6DA8"/>
    <w:rsid w:val="7D080D7D"/>
    <w:rsid w:val="7D4E22FA"/>
    <w:rsid w:val="7D74355A"/>
    <w:rsid w:val="7D9705A7"/>
    <w:rsid w:val="7DED6FB5"/>
    <w:rsid w:val="7DF272E4"/>
    <w:rsid w:val="7E003768"/>
    <w:rsid w:val="7E1D061D"/>
    <w:rsid w:val="7E246689"/>
    <w:rsid w:val="7E6C7C61"/>
    <w:rsid w:val="7E8458A8"/>
    <w:rsid w:val="7EBD7055"/>
    <w:rsid w:val="7EE04917"/>
    <w:rsid w:val="7F011416"/>
    <w:rsid w:val="7F1E7A87"/>
    <w:rsid w:val="7F2F5A1A"/>
    <w:rsid w:val="7F424E3B"/>
    <w:rsid w:val="7F5722ED"/>
    <w:rsid w:val="7F652BD5"/>
    <w:rsid w:val="7F8F327A"/>
    <w:rsid w:val="7FCC5BB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qFormat="1"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0" w:semiHidden="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3"/>
    <w:autoRedefine/>
    <w:qFormat/>
    <w:uiPriority w:val="0"/>
    <w:pPr>
      <w:keepNext/>
      <w:keepLines/>
      <w:spacing w:before="340" w:beforeLines="0" w:after="330" w:afterLines="0" w:line="578" w:lineRule="auto"/>
      <w:outlineLvl w:val="0"/>
    </w:pPr>
    <w:rPr>
      <w:b/>
      <w:bCs/>
      <w:kern w:val="44"/>
      <w:sz w:val="44"/>
      <w:szCs w:val="44"/>
    </w:rPr>
  </w:style>
  <w:style w:type="paragraph" w:styleId="3">
    <w:name w:val="heading 2"/>
    <w:basedOn w:val="1"/>
    <w:next w:val="1"/>
    <w:link w:val="74"/>
    <w:autoRedefine/>
    <w:qFormat/>
    <w:uiPriority w:val="0"/>
    <w:pPr>
      <w:keepNext/>
      <w:keepLines/>
      <w:numPr>
        <w:ilvl w:val="1"/>
        <w:numId w:val="1"/>
      </w:numPr>
      <w:tabs>
        <w:tab w:val="left" w:pos="576"/>
      </w:tabs>
      <w:spacing w:before="100" w:after="100"/>
      <w:jc w:val="left"/>
      <w:outlineLvl w:val="1"/>
    </w:pPr>
    <w:rPr>
      <w:rFonts w:eastAsia="仿宋_GB2312"/>
      <w:b/>
      <w:sz w:val="28"/>
    </w:rPr>
  </w:style>
  <w:style w:type="paragraph" w:styleId="4">
    <w:name w:val="heading 3"/>
    <w:basedOn w:val="1"/>
    <w:next w:val="1"/>
    <w:link w:val="75"/>
    <w:autoRedefine/>
    <w:qFormat/>
    <w:uiPriority w:val="0"/>
    <w:pPr>
      <w:keepNext/>
      <w:keepLines/>
      <w:numPr>
        <w:ilvl w:val="2"/>
        <w:numId w:val="1"/>
      </w:numPr>
      <w:spacing w:before="100" w:after="100"/>
      <w:ind w:leftChars="0"/>
      <w:jc w:val="left"/>
      <w:outlineLvl w:val="2"/>
    </w:pPr>
    <w:rPr>
      <w:rFonts w:eastAsia="仿宋_GB2312"/>
      <w:b/>
    </w:rPr>
  </w:style>
  <w:style w:type="paragraph" w:styleId="5">
    <w:name w:val="heading 4"/>
    <w:basedOn w:val="1"/>
    <w:next w:val="1"/>
    <w:link w:val="76"/>
    <w:qFormat/>
    <w:uiPriority w:val="0"/>
    <w:pPr>
      <w:keepNext/>
      <w:numPr>
        <w:ilvl w:val="3"/>
        <w:numId w:val="1"/>
      </w:numPr>
      <w:tabs>
        <w:tab w:val="left" w:pos="864"/>
        <w:tab w:val="clear" w:pos="420"/>
      </w:tabs>
      <w:outlineLvl w:val="3"/>
    </w:pPr>
    <w:rPr>
      <w:rFonts w:eastAsia="仿宋_GB2312"/>
      <w:b/>
    </w:rPr>
  </w:style>
  <w:style w:type="paragraph" w:styleId="6">
    <w:name w:val="heading 5"/>
    <w:basedOn w:val="1"/>
    <w:next w:val="1"/>
    <w:link w:val="77"/>
    <w:autoRedefine/>
    <w:qFormat/>
    <w:uiPriority w:val="0"/>
    <w:pPr>
      <w:keepNext/>
      <w:numPr>
        <w:ilvl w:val="4"/>
        <w:numId w:val="1"/>
      </w:numPr>
      <w:tabs>
        <w:tab w:val="left" w:pos="1008"/>
        <w:tab w:val="clear" w:pos="992"/>
      </w:tabs>
      <w:outlineLvl w:val="4"/>
    </w:pPr>
    <w:rPr>
      <w:i/>
      <w:sz w:val="22"/>
    </w:rPr>
  </w:style>
  <w:style w:type="paragraph" w:styleId="7">
    <w:name w:val="heading 6"/>
    <w:basedOn w:val="1"/>
    <w:next w:val="1"/>
    <w:link w:val="78"/>
    <w:autoRedefine/>
    <w:qFormat/>
    <w:uiPriority w:val="0"/>
    <w:pPr>
      <w:keepNext/>
      <w:numPr>
        <w:ilvl w:val="5"/>
        <w:numId w:val="1"/>
      </w:numPr>
      <w:tabs>
        <w:tab w:val="left" w:pos="1152"/>
        <w:tab w:val="clear" w:pos="1134"/>
      </w:tabs>
      <w:outlineLvl w:val="5"/>
    </w:pPr>
    <w:rPr>
      <w:i/>
      <w:sz w:val="22"/>
    </w:rPr>
  </w:style>
  <w:style w:type="paragraph" w:styleId="8">
    <w:name w:val="heading 7"/>
    <w:basedOn w:val="1"/>
    <w:next w:val="1"/>
    <w:link w:val="79"/>
    <w:autoRedefine/>
    <w:qFormat/>
    <w:uiPriority w:val="0"/>
    <w:pPr>
      <w:keepNext/>
      <w:numPr>
        <w:ilvl w:val="6"/>
        <w:numId w:val="1"/>
      </w:numPr>
      <w:tabs>
        <w:tab w:val="left" w:pos="1296"/>
        <w:tab w:val="clear" w:pos="1276"/>
      </w:tabs>
      <w:outlineLvl w:val="6"/>
    </w:pPr>
    <w:rPr>
      <w:i/>
      <w:sz w:val="22"/>
    </w:rPr>
  </w:style>
  <w:style w:type="paragraph" w:styleId="9">
    <w:name w:val="heading 8"/>
    <w:basedOn w:val="1"/>
    <w:next w:val="1"/>
    <w:link w:val="80"/>
    <w:autoRedefine/>
    <w:qFormat/>
    <w:uiPriority w:val="0"/>
    <w:pPr>
      <w:keepNext/>
      <w:numPr>
        <w:ilvl w:val="7"/>
        <w:numId w:val="1"/>
      </w:numPr>
      <w:tabs>
        <w:tab w:val="left" w:pos="1440"/>
        <w:tab w:val="clear" w:pos="1418"/>
      </w:tabs>
      <w:outlineLvl w:val="7"/>
    </w:pPr>
    <w:rPr>
      <w:i/>
    </w:rPr>
  </w:style>
  <w:style w:type="paragraph" w:styleId="10">
    <w:name w:val="heading 9"/>
    <w:basedOn w:val="1"/>
    <w:next w:val="1"/>
    <w:link w:val="81"/>
    <w:qFormat/>
    <w:uiPriority w:val="0"/>
    <w:pPr>
      <w:keepNext/>
      <w:keepLines/>
      <w:numPr>
        <w:ilvl w:val="8"/>
        <w:numId w:val="1"/>
      </w:numPr>
      <w:tabs>
        <w:tab w:val="left" w:pos="1584"/>
        <w:tab w:val="clear" w:pos="1559"/>
      </w:tabs>
      <w:spacing w:before="240" w:beforeLines="0" w:after="64" w:afterLines="0" w:line="320" w:lineRule="auto"/>
      <w:outlineLvl w:val="8"/>
    </w:pPr>
    <w:rPr>
      <w:rFonts w:ascii="Arial" w:hAnsi="Arial" w:eastAsia="黑体"/>
    </w:rPr>
  </w:style>
  <w:style w:type="character" w:default="1" w:styleId="53">
    <w:name w:val="Default Paragraph Font"/>
    <w:autoRedefine/>
    <w:semiHidden/>
    <w:qFormat/>
    <w:uiPriority w:val="0"/>
  </w:style>
  <w:style w:type="table" w:default="1" w:styleId="51">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11">
    <w:name w:val="toc 7"/>
    <w:basedOn w:val="1"/>
    <w:next w:val="1"/>
    <w:autoRedefine/>
    <w:unhideWhenUsed/>
    <w:qFormat/>
    <w:uiPriority w:val="39"/>
    <w:pPr>
      <w:ind w:left="1260"/>
      <w:jc w:val="left"/>
    </w:pPr>
    <w:rPr>
      <w:sz w:val="18"/>
      <w:szCs w:val="18"/>
    </w:rPr>
  </w:style>
  <w:style w:type="paragraph" w:styleId="12">
    <w:name w:val="List Bullet 4"/>
    <w:basedOn w:val="1"/>
    <w:autoRedefine/>
    <w:qFormat/>
    <w:uiPriority w:val="0"/>
    <w:pPr>
      <w:numPr>
        <w:ilvl w:val="0"/>
        <w:numId w:val="1"/>
      </w:numPr>
    </w:pPr>
  </w:style>
  <w:style w:type="paragraph" w:styleId="13">
    <w:name w:val="Normal Indent"/>
    <w:basedOn w:val="1"/>
    <w:link w:val="82"/>
    <w:autoRedefine/>
    <w:unhideWhenUsed/>
    <w:qFormat/>
    <w:uiPriority w:val="0"/>
    <w:pPr>
      <w:adjustRightInd w:val="0"/>
      <w:spacing w:line="480" w:lineRule="atLeast"/>
      <w:ind w:firstLine="600"/>
    </w:pPr>
    <w:rPr>
      <w:rFonts w:eastAsia="仿宋_GB2312"/>
      <w:kern w:val="0"/>
      <w:sz w:val="30"/>
      <w:szCs w:val="20"/>
    </w:rPr>
  </w:style>
  <w:style w:type="paragraph" w:styleId="14">
    <w:name w:val="List Bullet"/>
    <w:basedOn w:val="1"/>
    <w:autoRedefine/>
    <w:qFormat/>
    <w:uiPriority w:val="0"/>
    <w:pPr>
      <w:numPr>
        <w:ilvl w:val="0"/>
        <w:numId w:val="1"/>
      </w:numPr>
    </w:pPr>
  </w:style>
  <w:style w:type="paragraph" w:styleId="15">
    <w:name w:val="Document Map"/>
    <w:basedOn w:val="1"/>
    <w:link w:val="83"/>
    <w:autoRedefine/>
    <w:qFormat/>
    <w:uiPriority w:val="0"/>
    <w:rPr>
      <w:rFonts w:ascii="宋体"/>
      <w:sz w:val="18"/>
      <w:szCs w:val="18"/>
    </w:rPr>
  </w:style>
  <w:style w:type="paragraph" w:styleId="16">
    <w:name w:val="annotation text"/>
    <w:basedOn w:val="1"/>
    <w:link w:val="84"/>
    <w:autoRedefine/>
    <w:qFormat/>
    <w:uiPriority w:val="0"/>
    <w:pPr>
      <w:adjustRightInd w:val="0"/>
      <w:spacing w:line="360" w:lineRule="atLeast"/>
      <w:jc w:val="left"/>
    </w:pPr>
    <w:rPr>
      <w:rFonts w:ascii="黑体" w:eastAsia="黑体"/>
      <w:sz w:val="44"/>
      <w:szCs w:val="44"/>
    </w:rPr>
  </w:style>
  <w:style w:type="paragraph" w:styleId="17">
    <w:name w:val="Body Text 3"/>
    <w:basedOn w:val="1"/>
    <w:link w:val="85"/>
    <w:autoRedefine/>
    <w:qFormat/>
    <w:uiPriority w:val="0"/>
    <w:pPr>
      <w:spacing w:after="120" w:afterLines="0"/>
    </w:pPr>
    <w:rPr>
      <w:rFonts w:ascii="宋体" w:hAnsi="宋体"/>
      <w:sz w:val="16"/>
      <w:szCs w:val="16"/>
    </w:rPr>
  </w:style>
  <w:style w:type="paragraph" w:styleId="18">
    <w:name w:val="List Bullet 3"/>
    <w:basedOn w:val="1"/>
    <w:autoRedefine/>
    <w:qFormat/>
    <w:uiPriority w:val="0"/>
    <w:pPr>
      <w:numPr>
        <w:ilvl w:val="0"/>
        <w:numId w:val="1"/>
      </w:numPr>
    </w:pPr>
  </w:style>
  <w:style w:type="paragraph" w:styleId="19">
    <w:name w:val="Body Text"/>
    <w:basedOn w:val="1"/>
    <w:next w:val="20"/>
    <w:link w:val="72"/>
    <w:autoRedefine/>
    <w:qFormat/>
    <w:uiPriority w:val="0"/>
    <w:pPr>
      <w:spacing w:after="120" w:afterLines="0"/>
    </w:pPr>
    <w:rPr>
      <w:rFonts w:ascii="宋体" w:hAnsi="宋体"/>
    </w:rPr>
  </w:style>
  <w:style w:type="paragraph" w:styleId="20">
    <w:name w:val="Body Text Indent"/>
    <w:basedOn w:val="1"/>
    <w:link w:val="86"/>
    <w:autoRedefine/>
    <w:qFormat/>
    <w:uiPriority w:val="0"/>
    <w:pPr>
      <w:adjustRightInd w:val="0"/>
      <w:snapToGrid w:val="0"/>
      <w:spacing w:line="360" w:lineRule="auto"/>
      <w:ind w:firstLine="420" w:firstLineChars="200"/>
    </w:pPr>
    <w:rPr>
      <w:rFonts w:ascii="宋体" w:hAnsi="宋体"/>
    </w:rPr>
  </w:style>
  <w:style w:type="paragraph" w:styleId="21">
    <w:name w:val="Block Text"/>
    <w:basedOn w:val="1"/>
    <w:autoRedefine/>
    <w:unhideWhenUsed/>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2">
    <w:name w:val="List Bullet 2"/>
    <w:basedOn w:val="1"/>
    <w:autoRedefine/>
    <w:qFormat/>
    <w:uiPriority w:val="0"/>
    <w:pPr>
      <w:numPr>
        <w:ilvl w:val="0"/>
        <w:numId w:val="1"/>
      </w:numPr>
    </w:pPr>
  </w:style>
  <w:style w:type="paragraph" w:styleId="23">
    <w:name w:val="index 4"/>
    <w:basedOn w:val="1"/>
    <w:next w:val="1"/>
    <w:autoRedefine/>
    <w:qFormat/>
    <w:uiPriority w:val="0"/>
    <w:pPr>
      <w:ind w:leftChars="600"/>
    </w:pPr>
  </w:style>
  <w:style w:type="paragraph" w:styleId="24">
    <w:name w:val="toc 5"/>
    <w:basedOn w:val="1"/>
    <w:next w:val="1"/>
    <w:autoRedefine/>
    <w:unhideWhenUsed/>
    <w:qFormat/>
    <w:uiPriority w:val="39"/>
    <w:pPr>
      <w:ind w:left="840"/>
      <w:jc w:val="left"/>
    </w:pPr>
    <w:rPr>
      <w:sz w:val="18"/>
      <w:szCs w:val="18"/>
    </w:rPr>
  </w:style>
  <w:style w:type="paragraph" w:styleId="25">
    <w:name w:val="toc 3"/>
    <w:basedOn w:val="1"/>
    <w:next w:val="1"/>
    <w:autoRedefine/>
    <w:qFormat/>
    <w:uiPriority w:val="39"/>
    <w:pPr>
      <w:ind w:left="840" w:leftChars="400"/>
    </w:pPr>
  </w:style>
  <w:style w:type="paragraph" w:styleId="26">
    <w:name w:val="Plain Text"/>
    <w:basedOn w:val="1"/>
    <w:autoRedefine/>
    <w:qFormat/>
    <w:uiPriority w:val="0"/>
    <w:rPr>
      <w:rFonts w:ascii="宋体" w:hAnsi="Courier New"/>
      <w:szCs w:val="21"/>
    </w:rPr>
  </w:style>
  <w:style w:type="paragraph" w:styleId="27">
    <w:name w:val="List Bullet 5"/>
    <w:basedOn w:val="1"/>
    <w:autoRedefine/>
    <w:qFormat/>
    <w:uiPriority w:val="0"/>
    <w:pPr>
      <w:numPr>
        <w:ilvl w:val="0"/>
        <w:numId w:val="1"/>
      </w:numPr>
    </w:pPr>
  </w:style>
  <w:style w:type="paragraph" w:styleId="28">
    <w:name w:val="toc 8"/>
    <w:basedOn w:val="1"/>
    <w:next w:val="1"/>
    <w:autoRedefine/>
    <w:unhideWhenUsed/>
    <w:qFormat/>
    <w:uiPriority w:val="39"/>
    <w:pPr>
      <w:ind w:left="1470"/>
      <w:jc w:val="left"/>
    </w:pPr>
    <w:rPr>
      <w:sz w:val="18"/>
      <w:szCs w:val="18"/>
    </w:rPr>
  </w:style>
  <w:style w:type="paragraph" w:styleId="29">
    <w:name w:val="Date"/>
    <w:basedOn w:val="1"/>
    <w:next w:val="1"/>
    <w:link w:val="87"/>
    <w:autoRedefine/>
    <w:qFormat/>
    <w:uiPriority w:val="0"/>
    <w:pPr>
      <w:ind w:left="100" w:leftChars="2500"/>
    </w:pPr>
    <w:rPr>
      <w:rFonts w:ascii="宋体" w:hAnsi="宋体"/>
    </w:rPr>
  </w:style>
  <w:style w:type="paragraph" w:styleId="30">
    <w:name w:val="Body Text Indent 2"/>
    <w:basedOn w:val="1"/>
    <w:link w:val="88"/>
    <w:autoRedefine/>
    <w:qFormat/>
    <w:uiPriority w:val="0"/>
    <w:pPr>
      <w:tabs>
        <w:tab w:val="left" w:pos="1365"/>
      </w:tabs>
      <w:spacing w:line="440" w:lineRule="atLeast"/>
      <w:ind w:left="1342" w:leftChars="639"/>
    </w:pPr>
    <w:rPr>
      <w:rFonts w:ascii="宋体" w:hAnsi="宋体"/>
      <w:sz w:val="24"/>
    </w:rPr>
  </w:style>
  <w:style w:type="paragraph" w:styleId="31">
    <w:name w:val="endnote text"/>
    <w:basedOn w:val="1"/>
    <w:link w:val="89"/>
    <w:autoRedefine/>
    <w:qFormat/>
    <w:uiPriority w:val="0"/>
    <w:pPr>
      <w:widowControl/>
      <w:snapToGrid w:val="0"/>
      <w:jc w:val="left"/>
    </w:pPr>
    <w:rPr>
      <w:rFonts w:ascii="Arial" w:hAnsi="Arial" w:cs="Arial"/>
      <w:kern w:val="0"/>
      <w:sz w:val="20"/>
      <w:lang w:eastAsia="en-US"/>
    </w:rPr>
  </w:style>
  <w:style w:type="paragraph" w:styleId="32">
    <w:name w:val="Balloon Text"/>
    <w:basedOn w:val="1"/>
    <w:link w:val="90"/>
    <w:autoRedefine/>
    <w:qFormat/>
    <w:uiPriority w:val="0"/>
    <w:rPr>
      <w:rFonts w:ascii="宋体" w:hAnsi="宋体"/>
      <w:sz w:val="18"/>
      <w:szCs w:val="18"/>
    </w:rPr>
  </w:style>
  <w:style w:type="paragraph" w:styleId="33">
    <w:name w:val="footer"/>
    <w:basedOn w:val="1"/>
    <w:link w:val="91"/>
    <w:autoRedefine/>
    <w:qFormat/>
    <w:uiPriority w:val="0"/>
    <w:pPr>
      <w:tabs>
        <w:tab w:val="center" w:pos="4153"/>
        <w:tab w:val="right" w:pos="8306"/>
      </w:tabs>
      <w:snapToGrid w:val="0"/>
      <w:jc w:val="left"/>
    </w:pPr>
    <w:rPr>
      <w:sz w:val="18"/>
      <w:szCs w:val="18"/>
    </w:rPr>
  </w:style>
  <w:style w:type="paragraph" w:styleId="34">
    <w:name w:val="header"/>
    <w:basedOn w:val="1"/>
    <w:link w:val="92"/>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autoRedefine/>
    <w:qFormat/>
    <w:uiPriority w:val="39"/>
  </w:style>
  <w:style w:type="paragraph" w:styleId="36">
    <w:name w:val="toc 4"/>
    <w:basedOn w:val="5"/>
    <w:next w:val="1"/>
    <w:autoRedefine/>
    <w:unhideWhenUsed/>
    <w:qFormat/>
    <w:uiPriority w:val="39"/>
    <w:pPr>
      <w:keepNext w:val="0"/>
      <w:numPr>
        <w:ilvl w:val="3"/>
        <w:numId w:val="0"/>
      </w:numPr>
      <w:tabs>
        <w:tab w:val="left" w:pos="420"/>
        <w:tab w:val="clear" w:pos="864"/>
      </w:tabs>
      <w:ind w:left="630"/>
      <w:jc w:val="left"/>
      <w:outlineLvl w:val="9"/>
    </w:pPr>
    <w:rPr>
      <w:rFonts w:eastAsia="宋体"/>
      <w:b w:val="0"/>
      <w:sz w:val="18"/>
      <w:szCs w:val="18"/>
    </w:rPr>
  </w:style>
  <w:style w:type="paragraph" w:styleId="37">
    <w:name w:val="Subtitle"/>
    <w:basedOn w:val="1"/>
    <w:link w:val="93"/>
    <w:autoRedefine/>
    <w:qFormat/>
    <w:uiPriority w:val="0"/>
    <w:pPr>
      <w:widowControl/>
      <w:jc w:val="center"/>
    </w:pPr>
    <w:rPr>
      <w:kern w:val="0"/>
      <w:sz w:val="20"/>
      <w:u w:val="single"/>
      <w:lang w:eastAsia="en-US"/>
    </w:rPr>
  </w:style>
  <w:style w:type="paragraph" w:styleId="38">
    <w:name w:val="footnote text"/>
    <w:basedOn w:val="1"/>
    <w:link w:val="94"/>
    <w:autoRedefine/>
    <w:qFormat/>
    <w:uiPriority w:val="0"/>
    <w:pPr>
      <w:widowControl/>
      <w:snapToGrid w:val="0"/>
      <w:jc w:val="left"/>
    </w:pPr>
    <w:rPr>
      <w:rFonts w:ascii="Arial" w:hAnsi="Arial" w:cs="Arial"/>
      <w:kern w:val="0"/>
      <w:sz w:val="18"/>
      <w:szCs w:val="18"/>
      <w:lang w:eastAsia="en-US"/>
    </w:rPr>
  </w:style>
  <w:style w:type="paragraph" w:styleId="39">
    <w:name w:val="toc 6"/>
    <w:basedOn w:val="1"/>
    <w:next w:val="1"/>
    <w:autoRedefine/>
    <w:unhideWhenUsed/>
    <w:qFormat/>
    <w:uiPriority w:val="39"/>
    <w:pPr>
      <w:ind w:left="1050"/>
      <w:jc w:val="left"/>
    </w:pPr>
    <w:rPr>
      <w:sz w:val="18"/>
      <w:szCs w:val="18"/>
    </w:rPr>
  </w:style>
  <w:style w:type="paragraph" w:styleId="40">
    <w:name w:val="Body Text Indent 3"/>
    <w:basedOn w:val="1"/>
    <w:link w:val="95"/>
    <w:autoRedefine/>
    <w:qFormat/>
    <w:uiPriority w:val="0"/>
    <w:pPr>
      <w:adjustRightInd w:val="0"/>
      <w:snapToGrid w:val="0"/>
      <w:spacing w:line="360" w:lineRule="auto"/>
      <w:ind w:left="1800" w:leftChars="857"/>
    </w:pPr>
    <w:rPr>
      <w:rFonts w:ascii="宋体" w:hAnsi="宋体"/>
    </w:rPr>
  </w:style>
  <w:style w:type="paragraph" w:styleId="41">
    <w:name w:val="toc 2"/>
    <w:basedOn w:val="1"/>
    <w:next w:val="1"/>
    <w:autoRedefine/>
    <w:qFormat/>
    <w:uiPriority w:val="39"/>
    <w:pPr>
      <w:ind w:left="420" w:leftChars="200"/>
    </w:pPr>
  </w:style>
  <w:style w:type="paragraph" w:styleId="42">
    <w:name w:val="toc 9"/>
    <w:basedOn w:val="1"/>
    <w:next w:val="1"/>
    <w:autoRedefine/>
    <w:unhideWhenUsed/>
    <w:qFormat/>
    <w:uiPriority w:val="39"/>
    <w:pPr>
      <w:ind w:left="1680"/>
      <w:jc w:val="left"/>
    </w:pPr>
    <w:rPr>
      <w:sz w:val="18"/>
      <w:szCs w:val="18"/>
    </w:rPr>
  </w:style>
  <w:style w:type="paragraph" w:styleId="43">
    <w:name w:val="Body Text 2"/>
    <w:basedOn w:val="1"/>
    <w:link w:val="96"/>
    <w:autoRedefine/>
    <w:unhideWhenUsed/>
    <w:qFormat/>
    <w:uiPriority w:val="0"/>
    <w:rPr>
      <w:i/>
      <w:iCs/>
      <w:sz w:val="26"/>
    </w:rPr>
  </w:style>
  <w:style w:type="paragraph" w:styleId="44">
    <w:name w:val="HTML Preformatted"/>
    <w:basedOn w:val="1"/>
    <w:link w:val="9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rPr>
  </w:style>
  <w:style w:type="paragraph" w:styleId="45">
    <w:name w:val="Normal (Web)"/>
    <w:basedOn w:val="1"/>
    <w:autoRedefine/>
    <w:unhideWhenUsed/>
    <w:qFormat/>
    <w:uiPriority w:val="0"/>
    <w:pPr>
      <w:widowControl/>
      <w:spacing w:before="100" w:beforeLines="0" w:beforeAutospacing="1" w:after="100" w:afterLines="0" w:afterAutospacing="1"/>
      <w:jc w:val="left"/>
    </w:pPr>
    <w:rPr>
      <w:rFonts w:ascii="宋体" w:hAnsi="宋体" w:cs="宋体"/>
      <w:kern w:val="0"/>
      <w:sz w:val="24"/>
    </w:rPr>
  </w:style>
  <w:style w:type="paragraph" w:styleId="46">
    <w:name w:val="index 1"/>
    <w:basedOn w:val="1"/>
    <w:next w:val="1"/>
    <w:autoRedefine/>
    <w:unhideWhenUsed/>
    <w:qFormat/>
    <w:uiPriority w:val="0"/>
    <w:pPr>
      <w:spacing w:line="220" w:lineRule="exact"/>
      <w:jc w:val="center"/>
    </w:pPr>
    <w:rPr>
      <w:rFonts w:ascii="仿宋_GB2312" w:eastAsia="仿宋_GB2312"/>
      <w:szCs w:val="21"/>
    </w:rPr>
  </w:style>
  <w:style w:type="paragraph" w:styleId="47">
    <w:name w:val="Title"/>
    <w:basedOn w:val="1"/>
    <w:link w:val="98"/>
    <w:autoRedefine/>
    <w:qFormat/>
    <w:uiPriority w:val="0"/>
    <w:pPr>
      <w:widowControl/>
      <w:jc w:val="center"/>
    </w:pPr>
    <w:rPr>
      <w:kern w:val="0"/>
      <w:sz w:val="20"/>
      <w:u w:val="single"/>
      <w:lang w:eastAsia="en-US"/>
    </w:rPr>
  </w:style>
  <w:style w:type="paragraph" w:styleId="48">
    <w:name w:val="annotation subject"/>
    <w:basedOn w:val="16"/>
    <w:next w:val="16"/>
    <w:link w:val="99"/>
    <w:autoRedefine/>
    <w:qFormat/>
    <w:uiPriority w:val="0"/>
    <w:pPr>
      <w:adjustRightInd/>
      <w:spacing w:line="240" w:lineRule="auto"/>
    </w:pPr>
    <w:rPr>
      <w:rFonts w:ascii="宋体" w:hAnsi="宋体" w:eastAsia="宋体"/>
      <w:b/>
      <w:bCs/>
      <w:sz w:val="21"/>
      <w:szCs w:val="24"/>
    </w:rPr>
  </w:style>
  <w:style w:type="paragraph" w:styleId="49">
    <w:name w:val="Body Text First Indent"/>
    <w:basedOn w:val="19"/>
    <w:link w:val="100"/>
    <w:autoRedefine/>
    <w:qFormat/>
    <w:uiPriority w:val="0"/>
    <w:pPr>
      <w:ind w:firstLine="420" w:firstLineChars="100"/>
    </w:pPr>
    <w:rPr>
      <w:rFonts w:ascii="Times New Roman" w:hAnsi="Times New Roman"/>
      <w:kern w:val="0"/>
      <w:sz w:val="20"/>
      <w:szCs w:val="20"/>
    </w:rPr>
  </w:style>
  <w:style w:type="paragraph" w:styleId="50">
    <w:name w:val="Body Text First Indent 2"/>
    <w:basedOn w:val="20"/>
    <w:link w:val="101"/>
    <w:autoRedefine/>
    <w:qFormat/>
    <w:uiPriority w:val="0"/>
    <w:pPr>
      <w:adjustRightInd/>
      <w:snapToGrid/>
      <w:spacing w:after="120" w:line="240" w:lineRule="auto"/>
      <w:ind w:left="420" w:leftChars="200"/>
    </w:pPr>
    <w:rPr>
      <w:rFonts w:ascii="Times New Roman" w:hAnsi="Times New Roman"/>
      <w:kern w:val="0"/>
      <w:sz w:val="20"/>
    </w:rPr>
  </w:style>
  <w:style w:type="table" w:styleId="52">
    <w:name w:val="Table Grid"/>
    <w:basedOn w:val="5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autoRedefine/>
    <w:qFormat/>
    <w:uiPriority w:val="0"/>
    <w:rPr>
      <w:b/>
      <w:bCs/>
    </w:rPr>
  </w:style>
  <w:style w:type="character" w:styleId="55">
    <w:name w:val="endnote reference"/>
    <w:autoRedefine/>
    <w:unhideWhenUsed/>
    <w:qFormat/>
    <w:uiPriority w:val="0"/>
    <w:rPr>
      <w:vertAlign w:val="superscript"/>
    </w:rPr>
  </w:style>
  <w:style w:type="character" w:styleId="56">
    <w:name w:val="page number"/>
    <w:autoRedefine/>
    <w:qFormat/>
    <w:uiPriority w:val="0"/>
  </w:style>
  <w:style w:type="character" w:styleId="57">
    <w:name w:val="FollowedHyperlink"/>
    <w:autoRedefine/>
    <w:unhideWhenUsed/>
    <w:qFormat/>
    <w:uiPriority w:val="0"/>
    <w:rPr>
      <w:color w:val="666666"/>
      <w:u w:val="none"/>
    </w:rPr>
  </w:style>
  <w:style w:type="character" w:styleId="58">
    <w:name w:val="Emphasis"/>
    <w:autoRedefine/>
    <w:qFormat/>
    <w:uiPriority w:val="0"/>
    <w:rPr>
      <w:color w:val="CC0000"/>
    </w:rPr>
  </w:style>
  <w:style w:type="character" w:styleId="59">
    <w:name w:val="HTML Definition"/>
    <w:autoRedefine/>
    <w:qFormat/>
    <w:uiPriority w:val="0"/>
  </w:style>
  <w:style w:type="character" w:styleId="60">
    <w:name w:val="HTML Typewriter"/>
    <w:autoRedefine/>
    <w:qFormat/>
    <w:uiPriority w:val="0"/>
    <w:rPr>
      <w:rFonts w:hint="default" w:ascii="monospace" w:hAnsi="monospace" w:eastAsia="monospace" w:cs="monospace"/>
      <w:sz w:val="20"/>
    </w:rPr>
  </w:style>
  <w:style w:type="character" w:styleId="61">
    <w:name w:val="HTML Acronym"/>
    <w:autoRedefine/>
    <w:qFormat/>
    <w:uiPriority w:val="0"/>
  </w:style>
  <w:style w:type="character" w:styleId="62">
    <w:name w:val="HTML Variable"/>
    <w:autoRedefine/>
    <w:qFormat/>
    <w:uiPriority w:val="0"/>
  </w:style>
  <w:style w:type="character" w:styleId="63">
    <w:name w:val="Hyperlink"/>
    <w:autoRedefine/>
    <w:qFormat/>
    <w:uiPriority w:val="99"/>
    <w:rPr>
      <w:color w:val="666666"/>
      <w:u w:val="none"/>
    </w:rPr>
  </w:style>
  <w:style w:type="character" w:styleId="64">
    <w:name w:val="HTML Code"/>
    <w:autoRedefine/>
    <w:qFormat/>
    <w:uiPriority w:val="0"/>
    <w:rPr>
      <w:rFonts w:ascii="monospace" w:hAnsi="monospace" w:eastAsia="monospace" w:cs="monospace"/>
      <w:sz w:val="20"/>
    </w:rPr>
  </w:style>
  <w:style w:type="character" w:styleId="65">
    <w:name w:val="annotation reference"/>
    <w:autoRedefine/>
    <w:unhideWhenUsed/>
    <w:qFormat/>
    <w:uiPriority w:val="0"/>
    <w:rPr>
      <w:sz w:val="21"/>
      <w:szCs w:val="21"/>
    </w:rPr>
  </w:style>
  <w:style w:type="character" w:styleId="66">
    <w:name w:val="HTML Cite"/>
    <w:autoRedefine/>
    <w:qFormat/>
    <w:uiPriority w:val="0"/>
  </w:style>
  <w:style w:type="character" w:styleId="67">
    <w:name w:val="footnote reference"/>
    <w:autoRedefine/>
    <w:unhideWhenUsed/>
    <w:qFormat/>
    <w:uiPriority w:val="0"/>
    <w:rPr>
      <w:vertAlign w:val="superscript"/>
    </w:rPr>
  </w:style>
  <w:style w:type="character" w:styleId="68">
    <w:name w:val="HTML Keyboard"/>
    <w:autoRedefine/>
    <w:qFormat/>
    <w:uiPriority w:val="0"/>
    <w:rPr>
      <w:rFonts w:hint="default" w:ascii="monospace" w:hAnsi="monospace" w:eastAsia="monospace" w:cs="monospace"/>
      <w:sz w:val="20"/>
    </w:rPr>
  </w:style>
  <w:style w:type="character" w:styleId="69">
    <w:name w:val="HTML Sample"/>
    <w:autoRedefine/>
    <w:qFormat/>
    <w:uiPriority w:val="0"/>
    <w:rPr>
      <w:rFonts w:hint="default" w:ascii="monospace" w:hAnsi="monospace" w:eastAsia="monospace" w:cs="monospace"/>
    </w:rPr>
  </w:style>
  <w:style w:type="paragraph" w:customStyle="1" w:styleId="70">
    <w:name w:val="目录 53"/>
    <w:next w:val="1"/>
    <w:autoRedefine/>
    <w:qFormat/>
    <w:uiPriority w:val="0"/>
    <w:pPr>
      <w:wordWrap w:val="0"/>
      <w:ind w:left="1275"/>
      <w:jc w:val="both"/>
    </w:pPr>
    <w:rPr>
      <w:rFonts w:ascii="Calibri" w:hAnsi="Calibri" w:eastAsia="宋体" w:cs="Times New Roman"/>
      <w:sz w:val="21"/>
      <w:szCs w:val="22"/>
      <w:lang w:val="en-US" w:eastAsia="zh-CN" w:bidi="ar-SA"/>
    </w:rPr>
  </w:style>
  <w:style w:type="paragraph" w:customStyle="1" w:styleId="71">
    <w:name w:val="Heading3"/>
    <w:basedOn w:val="1"/>
    <w:next w:val="1"/>
    <w:autoRedefine/>
    <w:qFormat/>
    <w:uiPriority w:val="99"/>
    <w:pPr>
      <w:spacing w:before="16"/>
      <w:jc w:val="left"/>
    </w:pPr>
    <w:rPr>
      <w:rFonts w:ascii="仿宋_GB2312" w:hAnsi="宋体" w:eastAsia="仿宋_GB2312" w:cs="仿宋_GB2312"/>
      <w:b/>
      <w:bCs/>
      <w:sz w:val="24"/>
      <w:szCs w:val="24"/>
    </w:rPr>
  </w:style>
  <w:style w:type="character" w:customStyle="1" w:styleId="72">
    <w:name w:val="正文文本 Char"/>
    <w:link w:val="19"/>
    <w:autoRedefine/>
    <w:qFormat/>
    <w:uiPriority w:val="0"/>
    <w:rPr>
      <w:rFonts w:ascii="宋体" w:hAnsi="宋体" w:eastAsia="宋体"/>
      <w:kern w:val="2"/>
      <w:sz w:val="21"/>
      <w:szCs w:val="24"/>
      <w:lang w:val="en-US" w:eastAsia="zh-CN" w:bidi="ar-SA"/>
    </w:rPr>
  </w:style>
  <w:style w:type="character" w:customStyle="1" w:styleId="73">
    <w:name w:val="标题 1 Char1"/>
    <w:link w:val="2"/>
    <w:autoRedefine/>
    <w:qFormat/>
    <w:uiPriority w:val="0"/>
    <w:rPr>
      <w:rFonts w:eastAsia="宋体"/>
      <w:b/>
      <w:bCs/>
      <w:kern w:val="44"/>
      <w:sz w:val="44"/>
      <w:szCs w:val="44"/>
      <w:lang w:val="en-US" w:eastAsia="zh-CN" w:bidi="ar-SA"/>
    </w:rPr>
  </w:style>
  <w:style w:type="character" w:customStyle="1" w:styleId="74">
    <w:name w:val="标题 2 Char"/>
    <w:link w:val="3"/>
    <w:autoRedefine/>
    <w:qFormat/>
    <w:uiPriority w:val="0"/>
    <w:rPr>
      <w:rFonts w:eastAsia="仿宋_GB2312"/>
      <w:b/>
      <w:kern w:val="2"/>
      <w:sz w:val="28"/>
      <w:szCs w:val="24"/>
      <w:lang w:val="en-US" w:eastAsia="zh-CN" w:bidi="ar-SA"/>
    </w:rPr>
  </w:style>
  <w:style w:type="character" w:customStyle="1" w:styleId="75">
    <w:name w:val="标题 3 Char"/>
    <w:link w:val="4"/>
    <w:autoRedefine/>
    <w:qFormat/>
    <w:uiPriority w:val="0"/>
    <w:rPr>
      <w:rFonts w:eastAsia="仿宋_GB2312"/>
      <w:b/>
      <w:kern w:val="2"/>
      <w:sz w:val="21"/>
      <w:szCs w:val="24"/>
      <w:lang w:val="en-US" w:eastAsia="zh-CN" w:bidi="ar-SA"/>
    </w:rPr>
  </w:style>
  <w:style w:type="character" w:customStyle="1" w:styleId="76">
    <w:name w:val="标题 4 Char"/>
    <w:link w:val="5"/>
    <w:autoRedefine/>
    <w:qFormat/>
    <w:uiPriority w:val="0"/>
    <w:rPr>
      <w:rFonts w:eastAsia="仿宋_GB2312"/>
      <w:b/>
      <w:kern w:val="2"/>
      <w:sz w:val="21"/>
      <w:szCs w:val="24"/>
      <w:lang w:val="en-US" w:eastAsia="zh-CN" w:bidi="ar-SA"/>
    </w:rPr>
  </w:style>
  <w:style w:type="character" w:customStyle="1" w:styleId="77">
    <w:name w:val="标题 5 Char"/>
    <w:link w:val="6"/>
    <w:autoRedefine/>
    <w:qFormat/>
    <w:uiPriority w:val="0"/>
    <w:rPr>
      <w:rFonts w:eastAsia="宋体"/>
      <w:i/>
      <w:kern w:val="2"/>
      <w:sz w:val="22"/>
      <w:szCs w:val="24"/>
      <w:lang w:val="en-US" w:eastAsia="zh-CN" w:bidi="ar-SA"/>
    </w:rPr>
  </w:style>
  <w:style w:type="character" w:customStyle="1" w:styleId="78">
    <w:name w:val="标题 6 Char"/>
    <w:link w:val="7"/>
    <w:autoRedefine/>
    <w:qFormat/>
    <w:uiPriority w:val="0"/>
    <w:rPr>
      <w:rFonts w:eastAsia="宋体"/>
      <w:i/>
      <w:kern w:val="2"/>
      <w:sz w:val="22"/>
      <w:szCs w:val="24"/>
      <w:lang w:val="en-US" w:eastAsia="zh-CN" w:bidi="ar-SA"/>
    </w:rPr>
  </w:style>
  <w:style w:type="character" w:customStyle="1" w:styleId="79">
    <w:name w:val="标题 7 Char"/>
    <w:link w:val="8"/>
    <w:autoRedefine/>
    <w:qFormat/>
    <w:uiPriority w:val="0"/>
    <w:rPr>
      <w:rFonts w:eastAsia="宋体"/>
      <w:i/>
      <w:kern w:val="2"/>
      <w:sz w:val="22"/>
      <w:szCs w:val="24"/>
      <w:lang w:val="en-US" w:eastAsia="zh-CN" w:bidi="ar-SA"/>
    </w:rPr>
  </w:style>
  <w:style w:type="character" w:customStyle="1" w:styleId="80">
    <w:name w:val="标题 8 Char"/>
    <w:link w:val="9"/>
    <w:autoRedefine/>
    <w:qFormat/>
    <w:uiPriority w:val="0"/>
    <w:rPr>
      <w:rFonts w:eastAsia="宋体"/>
      <w:i/>
      <w:kern w:val="2"/>
      <w:sz w:val="21"/>
      <w:szCs w:val="24"/>
      <w:lang w:val="en-US" w:eastAsia="zh-CN" w:bidi="ar-SA"/>
    </w:rPr>
  </w:style>
  <w:style w:type="character" w:customStyle="1" w:styleId="81">
    <w:name w:val="标题 9 Char"/>
    <w:link w:val="10"/>
    <w:autoRedefine/>
    <w:qFormat/>
    <w:uiPriority w:val="0"/>
    <w:rPr>
      <w:rFonts w:ascii="Arial" w:hAnsi="Arial" w:eastAsia="黑体"/>
      <w:kern w:val="2"/>
      <w:sz w:val="21"/>
      <w:szCs w:val="24"/>
      <w:lang w:val="en-US" w:eastAsia="zh-CN" w:bidi="ar-SA"/>
    </w:rPr>
  </w:style>
  <w:style w:type="character" w:customStyle="1" w:styleId="82">
    <w:name w:val="正文缩进 Char"/>
    <w:link w:val="13"/>
    <w:autoRedefine/>
    <w:qFormat/>
    <w:uiPriority w:val="0"/>
    <w:rPr>
      <w:rFonts w:eastAsia="仿宋_GB2312"/>
      <w:sz w:val="30"/>
      <w:lang w:val="en-US" w:eastAsia="zh-CN" w:bidi="ar-SA"/>
    </w:rPr>
  </w:style>
  <w:style w:type="character" w:customStyle="1" w:styleId="83">
    <w:name w:val="文档结构图 Char"/>
    <w:link w:val="15"/>
    <w:autoRedefine/>
    <w:qFormat/>
    <w:uiPriority w:val="0"/>
    <w:rPr>
      <w:rFonts w:ascii="宋体" w:eastAsia="宋体"/>
      <w:kern w:val="2"/>
      <w:sz w:val="18"/>
      <w:szCs w:val="18"/>
      <w:lang w:val="en-US" w:eastAsia="zh-CN" w:bidi="ar-SA"/>
    </w:rPr>
  </w:style>
  <w:style w:type="character" w:customStyle="1" w:styleId="84">
    <w:name w:val="批注文字 Char"/>
    <w:link w:val="16"/>
    <w:autoRedefine/>
    <w:qFormat/>
    <w:uiPriority w:val="0"/>
    <w:rPr>
      <w:rFonts w:ascii="黑体" w:eastAsia="黑体"/>
      <w:kern w:val="2"/>
      <w:sz w:val="44"/>
      <w:szCs w:val="44"/>
      <w:lang w:val="en-US" w:eastAsia="zh-CN" w:bidi="ar-SA"/>
    </w:rPr>
  </w:style>
  <w:style w:type="character" w:customStyle="1" w:styleId="85">
    <w:name w:val="正文文本 3 Char"/>
    <w:link w:val="17"/>
    <w:autoRedefine/>
    <w:qFormat/>
    <w:uiPriority w:val="0"/>
    <w:rPr>
      <w:rFonts w:ascii="宋体" w:hAnsi="宋体" w:eastAsia="宋体"/>
      <w:kern w:val="2"/>
      <w:sz w:val="16"/>
      <w:szCs w:val="16"/>
      <w:lang w:val="en-US" w:eastAsia="zh-CN" w:bidi="ar-SA"/>
    </w:rPr>
  </w:style>
  <w:style w:type="character" w:customStyle="1" w:styleId="86">
    <w:name w:val="正文文本缩进 Char"/>
    <w:link w:val="20"/>
    <w:autoRedefine/>
    <w:qFormat/>
    <w:uiPriority w:val="0"/>
    <w:rPr>
      <w:rFonts w:ascii="宋体" w:hAnsi="宋体" w:eastAsia="宋体"/>
      <w:kern w:val="2"/>
      <w:sz w:val="21"/>
      <w:szCs w:val="24"/>
      <w:lang w:val="en-US" w:eastAsia="zh-CN" w:bidi="ar-SA"/>
    </w:rPr>
  </w:style>
  <w:style w:type="character" w:customStyle="1" w:styleId="87">
    <w:name w:val="日期 Char"/>
    <w:link w:val="29"/>
    <w:autoRedefine/>
    <w:qFormat/>
    <w:uiPriority w:val="0"/>
    <w:rPr>
      <w:rFonts w:ascii="宋体" w:hAnsi="宋体" w:eastAsia="宋体"/>
      <w:kern w:val="2"/>
      <w:sz w:val="21"/>
      <w:szCs w:val="24"/>
      <w:lang w:val="en-US" w:eastAsia="zh-CN" w:bidi="ar-SA"/>
    </w:rPr>
  </w:style>
  <w:style w:type="character" w:customStyle="1" w:styleId="88">
    <w:name w:val="正文文本缩进 2 Char"/>
    <w:link w:val="30"/>
    <w:autoRedefine/>
    <w:qFormat/>
    <w:uiPriority w:val="0"/>
    <w:rPr>
      <w:rFonts w:ascii="宋体" w:hAnsi="宋体" w:eastAsia="宋体"/>
      <w:kern w:val="2"/>
      <w:sz w:val="24"/>
      <w:szCs w:val="24"/>
      <w:lang w:val="en-US" w:eastAsia="zh-CN" w:bidi="ar-SA"/>
    </w:rPr>
  </w:style>
  <w:style w:type="character" w:customStyle="1" w:styleId="89">
    <w:name w:val="尾注文本 Char"/>
    <w:link w:val="31"/>
    <w:autoRedefine/>
    <w:qFormat/>
    <w:uiPriority w:val="0"/>
    <w:rPr>
      <w:rFonts w:ascii="Arial" w:hAnsi="Arial" w:cs="Arial"/>
      <w:szCs w:val="24"/>
      <w:lang w:eastAsia="en-US" w:bidi="ar-SA"/>
    </w:rPr>
  </w:style>
  <w:style w:type="character" w:customStyle="1" w:styleId="90">
    <w:name w:val="批注框文本 Char"/>
    <w:link w:val="32"/>
    <w:autoRedefine/>
    <w:qFormat/>
    <w:uiPriority w:val="0"/>
    <w:rPr>
      <w:rFonts w:ascii="宋体" w:hAnsi="宋体" w:eastAsia="宋体"/>
      <w:kern w:val="2"/>
      <w:sz w:val="18"/>
      <w:szCs w:val="18"/>
      <w:lang w:val="en-US" w:eastAsia="zh-CN" w:bidi="ar-SA"/>
    </w:rPr>
  </w:style>
  <w:style w:type="character" w:customStyle="1" w:styleId="91">
    <w:name w:val="页脚 Char"/>
    <w:link w:val="33"/>
    <w:autoRedefine/>
    <w:qFormat/>
    <w:uiPriority w:val="0"/>
    <w:rPr>
      <w:rFonts w:eastAsia="宋体"/>
      <w:kern w:val="2"/>
      <w:sz w:val="18"/>
      <w:szCs w:val="18"/>
      <w:lang w:val="en-US" w:eastAsia="zh-CN" w:bidi="ar-SA"/>
    </w:rPr>
  </w:style>
  <w:style w:type="character" w:customStyle="1" w:styleId="92">
    <w:name w:val="页眉 Char"/>
    <w:link w:val="34"/>
    <w:autoRedefine/>
    <w:qFormat/>
    <w:uiPriority w:val="0"/>
    <w:rPr>
      <w:rFonts w:eastAsia="宋体"/>
      <w:kern w:val="2"/>
      <w:sz w:val="18"/>
      <w:szCs w:val="18"/>
      <w:lang w:val="en-US" w:eastAsia="zh-CN" w:bidi="ar-SA"/>
    </w:rPr>
  </w:style>
  <w:style w:type="character" w:customStyle="1" w:styleId="93">
    <w:name w:val="副标题 Char"/>
    <w:link w:val="37"/>
    <w:autoRedefine/>
    <w:qFormat/>
    <w:uiPriority w:val="0"/>
    <w:rPr>
      <w:rFonts w:eastAsia="宋体"/>
      <w:szCs w:val="24"/>
      <w:u w:val="single"/>
      <w:lang w:val="en-US" w:eastAsia="en-US" w:bidi="ar-SA"/>
    </w:rPr>
  </w:style>
  <w:style w:type="character" w:customStyle="1" w:styleId="94">
    <w:name w:val="脚注文本 Char"/>
    <w:link w:val="38"/>
    <w:autoRedefine/>
    <w:qFormat/>
    <w:uiPriority w:val="0"/>
    <w:rPr>
      <w:rFonts w:ascii="Arial" w:hAnsi="Arial" w:cs="Arial"/>
      <w:sz w:val="18"/>
      <w:szCs w:val="18"/>
      <w:lang w:eastAsia="en-US" w:bidi="ar-SA"/>
    </w:rPr>
  </w:style>
  <w:style w:type="character" w:customStyle="1" w:styleId="95">
    <w:name w:val="正文文本缩进 3 Char"/>
    <w:link w:val="40"/>
    <w:autoRedefine/>
    <w:qFormat/>
    <w:uiPriority w:val="0"/>
    <w:rPr>
      <w:rFonts w:ascii="宋体" w:hAnsi="宋体" w:eastAsia="宋体"/>
      <w:kern w:val="2"/>
      <w:sz w:val="21"/>
      <w:szCs w:val="24"/>
      <w:lang w:val="en-US" w:eastAsia="zh-CN" w:bidi="ar-SA"/>
    </w:rPr>
  </w:style>
  <w:style w:type="character" w:customStyle="1" w:styleId="96">
    <w:name w:val="正文文本 2 Char"/>
    <w:link w:val="43"/>
    <w:autoRedefine/>
    <w:qFormat/>
    <w:uiPriority w:val="0"/>
    <w:rPr>
      <w:rFonts w:eastAsia="宋体"/>
      <w:i/>
      <w:iCs/>
      <w:kern w:val="2"/>
      <w:sz w:val="26"/>
      <w:szCs w:val="24"/>
      <w:lang w:val="en-US" w:eastAsia="zh-CN" w:bidi="ar-SA"/>
    </w:rPr>
  </w:style>
  <w:style w:type="character" w:customStyle="1" w:styleId="97">
    <w:name w:val="HTML 预设格式 Char"/>
    <w:link w:val="44"/>
    <w:autoRedefine/>
    <w:qFormat/>
    <w:uiPriority w:val="0"/>
    <w:rPr>
      <w:rFonts w:ascii="宋体" w:hAnsi="宋体" w:eastAsia="宋体"/>
      <w:color w:val="000000"/>
      <w:sz w:val="24"/>
      <w:szCs w:val="24"/>
      <w:lang w:bidi="ar-SA"/>
    </w:rPr>
  </w:style>
  <w:style w:type="character" w:customStyle="1" w:styleId="98">
    <w:name w:val="标题 Char"/>
    <w:link w:val="47"/>
    <w:autoRedefine/>
    <w:qFormat/>
    <w:uiPriority w:val="0"/>
    <w:rPr>
      <w:szCs w:val="24"/>
      <w:u w:val="single"/>
      <w:lang w:eastAsia="en-US" w:bidi="ar-SA"/>
    </w:rPr>
  </w:style>
  <w:style w:type="character" w:customStyle="1" w:styleId="99">
    <w:name w:val="批注主题 Char1"/>
    <w:link w:val="48"/>
    <w:autoRedefine/>
    <w:qFormat/>
    <w:uiPriority w:val="0"/>
    <w:rPr>
      <w:rFonts w:ascii="宋体" w:hAnsi="宋体" w:eastAsia="宋体"/>
      <w:b/>
      <w:bCs/>
      <w:kern w:val="2"/>
      <w:sz w:val="21"/>
      <w:szCs w:val="24"/>
      <w:lang w:val="en-US" w:eastAsia="zh-CN" w:bidi="ar-SA"/>
    </w:rPr>
  </w:style>
  <w:style w:type="character" w:customStyle="1" w:styleId="100">
    <w:name w:val="正文首行缩进 Char"/>
    <w:link w:val="49"/>
    <w:autoRedefine/>
    <w:qFormat/>
    <w:uiPriority w:val="0"/>
    <w:rPr>
      <w:lang w:bidi="ar-SA"/>
    </w:rPr>
  </w:style>
  <w:style w:type="character" w:customStyle="1" w:styleId="101">
    <w:name w:val="正文首行缩进 2 Char"/>
    <w:link w:val="50"/>
    <w:autoRedefine/>
    <w:qFormat/>
    <w:uiPriority w:val="0"/>
    <w:rPr>
      <w:szCs w:val="24"/>
      <w:lang w:bidi="ar-SA"/>
    </w:rPr>
  </w:style>
  <w:style w:type="character" w:customStyle="1" w:styleId="102">
    <w:name w:val="5号正文 Char"/>
    <w:link w:val="103"/>
    <w:autoRedefine/>
    <w:qFormat/>
    <w:locked/>
    <w:uiPriority w:val="0"/>
    <w:rPr>
      <w:rFonts w:ascii="宋体" w:hAnsi="宋体" w:eastAsia="Times New Roman"/>
      <w:snapToGrid w:val="0"/>
      <w:kern w:val="2"/>
      <w:sz w:val="21"/>
      <w:szCs w:val="21"/>
      <w:lang w:val="en-US" w:eastAsia="zh-CN" w:bidi="ar-SA"/>
    </w:rPr>
  </w:style>
  <w:style w:type="paragraph" w:customStyle="1" w:styleId="103">
    <w:name w:val="5号正文"/>
    <w:link w:val="102"/>
    <w:autoRedefine/>
    <w:qFormat/>
    <w:uiPriority w:val="0"/>
    <w:pPr>
      <w:widowControl w:val="0"/>
      <w:snapToGrid w:val="0"/>
      <w:spacing w:line="360" w:lineRule="exact"/>
      <w:ind w:firstLine="420" w:firstLineChars="200"/>
      <w:jc w:val="both"/>
    </w:pPr>
    <w:rPr>
      <w:rFonts w:ascii="宋体" w:hAnsi="宋体" w:eastAsia="Times New Roman" w:cs="Times New Roman"/>
      <w:snapToGrid w:val="0"/>
      <w:kern w:val="2"/>
      <w:sz w:val="21"/>
      <w:szCs w:val="21"/>
      <w:lang w:val="en-US" w:eastAsia="zh-CN" w:bidi="ar-SA"/>
    </w:rPr>
  </w:style>
  <w:style w:type="character" w:customStyle="1" w:styleId="104">
    <w:name w:val="引用 Char"/>
    <w:link w:val="105"/>
    <w:autoRedefine/>
    <w:qFormat/>
    <w:locked/>
    <w:uiPriority w:val="0"/>
    <w:rPr>
      <w:i/>
      <w:iCs/>
      <w:color w:val="000000"/>
      <w:kern w:val="2"/>
      <w:sz w:val="21"/>
      <w:szCs w:val="22"/>
      <w:lang w:bidi="ar-SA"/>
    </w:rPr>
  </w:style>
  <w:style w:type="paragraph" w:styleId="105">
    <w:name w:val="Quote"/>
    <w:basedOn w:val="1"/>
    <w:next w:val="1"/>
    <w:link w:val="104"/>
    <w:autoRedefine/>
    <w:qFormat/>
    <w:uiPriority w:val="0"/>
    <w:rPr>
      <w:i/>
      <w:iCs/>
      <w:color w:val="000000"/>
      <w:szCs w:val="22"/>
    </w:rPr>
  </w:style>
  <w:style w:type="character" w:customStyle="1" w:styleId="106">
    <w:name w:val="Footer Char"/>
    <w:autoRedefine/>
    <w:qFormat/>
    <w:locked/>
    <w:uiPriority w:val="0"/>
    <w:rPr>
      <w:rFonts w:cs="Times New Roman"/>
      <w:kern w:val="2"/>
      <w:sz w:val="18"/>
      <w:szCs w:val="18"/>
    </w:rPr>
  </w:style>
  <w:style w:type="character" w:customStyle="1" w:styleId="107">
    <w:name w:val="脚注文本 Char Char"/>
    <w:autoRedefine/>
    <w:qFormat/>
    <w:uiPriority w:val="0"/>
    <w:rPr>
      <w:kern w:val="2"/>
      <w:sz w:val="18"/>
      <w:szCs w:val="18"/>
    </w:rPr>
  </w:style>
  <w:style w:type="character" w:customStyle="1" w:styleId="108">
    <w:name w:val=" Char Char27"/>
    <w:autoRedefine/>
    <w:qFormat/>
    <w:uiPriority w:val="0"/>
    <w:rPr>
      <w:rFonts w:eastAsia="宋体"/>
      <w:b/>
      <w:bCs/>
      <w:kern w:val="44"/>
      <w:sz w:val="44"/>
      <w:szCs w:val="44"/>
      <w:lang w:val="en-US" w:eastAsia="zh-CN" w:bidi="ar-SA"/>
    </w:rPr>
  </w:style>
  <w:style w:type="character" w:customStyle="1" w:styleId="109">
    <w:name w:val=" Char Char7"/>
    <w:autoRedefine/>
    <w:qFormat/>
    <w:locked/>
    <w:uiPriority w:val="0"/>
    <w:rPr>
      <w:rFonts w:eastAsia="宋体"/>
      <w:kern w:val="2"/>
      <w:sz w:val="21"/>
      <w:szCs w:val="24"/>
      <w:lang w:val="en-US" w:eastAsia="zh-CN" w:bidi="ar-SA"/>
    </w:rPr>
  </w:style>
  <w:style w:type="character" w:customStyle="1" w:styleId="110">
    <w:name w:val="脚注文本 Char3"/>
    <w:autoRedefine/>
    <w:qFormat/>
    <w:uiPriority w:val="0"/>
    <w:rPr>
      <w:rFonts w:ascii="Arial" w:hAnsi="Arial" w:eastAsia="宋体" w:cs="Arial"/>
      <w:sz w:val="18"/>
      <w:szCs w:val="18"/>
      <w:lang w:val="en-US" w:eastAsia="en-US" w:bidi="ar-SA"/>
    </w:rPr>
  </w:style>
  <w:style w:type="character" w:customStyle="1" w:styleId="111">
    <w:name w:val="style121"/>
    <w:autoRedefine/>
    <w:qFormat/>
    <w:uiPriority w:val="0"/>
    <w:rPr>
      <w:rFonts w:hint="eastAsia" w:ascii="宋体" w:hAnsi="宋体" w:eastAsia="宋体"/>
      <w:sz w:val="18"/>
      <w:szCs w:val="18"/>
    </w:rPr>
  </w:style>
  <w:style w:type="character" w:customStyle="1" w:styleId="112">
    <w:name w:val=" Char Char20"/>
    <w:autoRedefine/>
    <w:qFormat/>
    <w:uiPriority w:val="0"/>
    <w:rPr>
      <w:rFonts w:ascii="宋体" w:hAnsi="宋体" w:cs="宋体"/>
      <w:b/>
      <w:bCs/>
    </w:rPr>
  </w:style>
  <w:style w:type="character" w:customStyle="1" w:styleId="113">
    <w:name w:val=" Char Char15"/>
    <w:autoRedefine/>
    <w:qFormat/>
    <w:locked/>
    <w:uiPriority w:val="0"/>
    <w:rPr>
      <w:rFonts w:ascii="宋体" w:hAnsi="宋体" w:eastAsia="宋体" w:cs="宋体"/>
      <w:color w:val="000000"/>
      <w:sz w:val="24"/>
      <w:szCs w:val="24"/>
      <w:lang w:val="en-US" w:eastAsia="zh-CN" w:bidi="ar-SA"/>
    </w:rPr>
  </w:style>
  <w:style w:type="character" w:customStyle="1" w:styleId="114">
    <w:name w:val=" Char Char4"/>
    <w:autoRedefine/>
    <w:qFormat/>
    <w:locked/>
    <w:uiPriority w:val="0"/>
    <w:rPr>
      <w:rFonts w:eastAsia="宋体"/>
      <w:sz w:val="28"/>
      <w:szCs w:val="24"/>
      <w:lang w:val="en-US" w:eastAsia="zh-CN" w:bidi="ar-SA"/>
    </w:rPr>
  </w:style>
  <w:style w:type="character" w:customStyle="1" w:styleId="115">
    <w:name w:val="color_red1"/>
    <w:autoRedefine/>
    <w:qFormat/>
    <w:uiPriority w:val="0"/>
    <w:rPr>
      <w:color w:val="FA0004"/>
    </w:rPr>
  </w:style>
  <w:style w:type="character" w:customStyle="1" w:styleId="116">
    <w:name w:val="手改 Char Char"/>
    <w:autoRedefine/>
    <w:qFormat/>
    <w:uiPriority w:val="0"/>
    <w:rPr>
      <w:kern w:val="2"/>
      <w:sz w:val="21"/>
      <w:szCs w:val="24"/>
    </w:rPr>
  </w:style>
  <w:style w:type="character" w:customStyle="1" w:styleId="117">
    <w:name w:val="unnamed1"/>
    <w:autoRedefine/>
    <w:qFormat/>
    <w:uiPriority w:val="0"/>
  </w:style>
  <w:style w:type="character" w:customStyle="1" w:styleId="118">
    <w:name w:val="font161"/>
    <w:autoRedefine/>
    <w:qFormat/>
    <w:uiPriority w:val="0"/>
    <w:rPr>
      <w:b/>
      <w:bCs/>
      <w:sz w:val="32"/>
      <w:szCs w:val="32"/>
    </w:rPr>
  </w:style>
  <w:style w:type="character" w:customStyle="1" w:styleId="119">
    <w:name w:val="标题5 Char Char"/>
    <w:link w:val="120"/>
    <w:autoRedefine/>
    <w:qFormat/>
    <w:locked/>
    <w:uiPriority w:val="0"/>
    <w:rPr>
      <w:rFonts w:ascii="Arial" w:hAnsi="Arial" w:cs="Arial"/>
      <w:b/>
      <w:bCs/>
      <w:sz w:val="24"/>
      <w:szCs w:val="32"/>
      <w:lang w:bidi="ar-SA"/>
    </w:rPr>
  </w:style>
  <w:style w:type="paragraph" w:customStyle="1" w:styleId="120">
    <w:name w:val="标题5"/>
    <w:basedOn w:val="4"/>
    <w:link w:val="119"/>
    <w:autoRedefine/>
    <w:qFormat/>
    <w:uiPriority w:val="0"/>
    <w:pPr>
      <w:numPr>
        <w:ilvl w:val="2"/>
        <w:numId w:val="0"/>
      </w:numPr>
      <w:tabs>
        <w:tab w:val="clear" w:pos="709"/>
      </w:tabs>
      <w:spacing w:before="260" w:after="260" w:line="410" w:lineRule="auto"/>
      <w:jc w:val="both"/>
    </w:pPr>
    <w:rPr>
      <w:rFonts w:ascii="Arial" w:hAnsi="Arial" w:eastAsia="宋体" w:cs="Arial"/>
      <w:bCs/>
      <w:kern w:val="0"/>
      <w:sz w:val="24"/>
      <w:szCs w:val="32"/>
    </w:rPr>
  </w:style>
  <w:style w:type="character" w:customStyle="1" w:styleId="121">
    <w:name w:val="标题4 Char Char"/>
    <w:link w:val="122"/>
    <w:autoRedefine/>
    <w:qFormat/>
    <w:locked/>
    <w:uiPriority w:val="0"/>
    <w:rPr>
      <w:rFonts w:ascii="Arial" w:hAnsi="Arial" w:cs="Arial"/>
      <w:b/>
      <w:bCs/>
      <w:sz w:val="24"/>
      <w:szCs w:val="32"/>
      <w:lang w:bidi="ar-SA"/>
    </w:rPr>
  </w:style>
  <w:style w:type="paragraph" w:customStyle="1" w:styleId="122">
    <w:name w:val="标题4"/>
    <w:basedOn w:val="3"/>
    <w:next w:val="23"/>
    <w:link w:val="121"/>
    <w:autoRedefine/>
    <w:qFormat/>
    <w:uiPriority w:val="0"/>
    <w:pPr>
      <w:numPr>
        <w:ilvl w:val="1"/>
        <w:numId w:val="0"/>
      </w:numPr>
      <w:tabs>
        <w:tab w:val="clear" w:pos="567"/>
        <w:tab w:val="clear" w:pos="576"/>
      </w:tabs>
      <w:spacing w:before="260" w:after="260" w:line="410" w:lineRule="auto"/>
      <w:jc w:val="both"/>
    </w:pPr>
    <w:rPr>
      <w:rFonts w:ascii="Arial" w:hAnsi="Arial" w:eastAsia="宋体" w:cs="Arial"/>
      <w:bCs/>
      <w:kern w:val="0"/>
      <w:sz w:val="24"/>
      <w:szCs w:val="32"/>
    </w:rPr>
  </w:style>
  <w:style w:type="character" w:customStyle="1" w:styleId="123">
    <w:name w:val="批注文字 Char Char"/>
    <w:autoRedefine/>
    <w:qFormat/>
    <w:uiPriority w:val="0"/>
    <w:rPr>
      <w:kern w:val="2"/>
      <w:sz w:val="21"/>
      <w:szCs w:val="24"/>
    </w:rPr>
  </w:style>
  <w:style w:type="character" w:customStyle="1" w:styleId="124">
    <w:name w:val="main_tdbg_7601"/>
    <w:autoRedefine/>
    <w:qFormat/>
    <w:uiPriority w:val="0"/>
    <w:rPr>
      <w:sz w:val="14"/>
      <w:szCs w:val="14"/>
    </w:rPr>
  </w:style>
  <w:style w:type="character" w:customStyle="1" w:styleId="125">
    <w:name w:val=" Char Char16"/>
    <w:autoRedefine/>
    <w:qFormat/>
    <w:uiPriority w:val="0"/>
    <w:rPr>
      <w:rFonts w:ascii="宋体" w:eastAsia="宋体"/>
      <w:kern w:val="2"/>
      <w:sz w:val="18"/>
      <w:szCs w:val="18"/>
      <w:lang w:val="en-US" w:eastAsia="zh-CN" w:bidi="ar-SA"/>
    </w:rPr>
  </w:style>
  <w:style w:type="character" w:customStyle="1" w:styleId="126">
    <w:name w:val="ht1"/>
    <w:autoRedefine/>
    <w:qFormat/>
    <w:uiPriority w:val="0"/>
    <w:rPr>
      <w:rFonts w:hint="eastAsia" w:ascii="黑体" w:eastAsia="黑体"/>
      <w:b/>
      <w:bCs/>
    </w:rPr>
  </w:style>
  <w:style w:type="character" w:customStyle="1" w:styleId="127">
    <w:name w:val="ss16"/>
    <w:autoRedefine/>
    <w:qFormat/>
    <w:uiPriority w:val="0"/>
    <w:rPr>
      <w:rFonts w:hint="eastAsia" w:ascii="宋体" w:hAnsi="宋体" w:eastAsia="宋体"/>
      <w:color w:val="000000"/>
      <w:sz w:val="9"/>
      <w:szCs w:val="9"/>
    </w:rPr>
  </w:style>
  <w:style w:type="character" w:customStyle="1" w:styleId="128">
    <w:name w:val=" Char Char18"/>
    <w:autoRedefine/>
    <w:qFormat/>
    <w:uiPriority w:val="0"/>
    <w:rPr>
      <w:rFonts w:eastAsia="宋体"/>
      <w:kern w:val="2"/>
      <w:sz w:val="18"/>
      <w:szCs w:val="18"/>
      <w:lang w:val="en-US" w:eastAsia="zh-CN" w:bidi="ar-SA"/>
    </w:rPr>
  </w:style>
  <w:style w:type="character" w:customStyle="1" w:styleId="129">
    <w:name w:val="日期 Char Char"/>
    <w:autoRedefine/>
    <w:qFormat/>
    <w:uiPriority w:val="0"/>
    <w:rPr>
      <w:kern w:val="2"/>
      <w:sz w:val="21"/>
      <w:szCs w:val="24"/>
    </w:rPr>
  </w:style>
  <w:style w:type="character" w:customStyle="1" w:styleId="130">
    <w:name w:val="正文文本缩进 3 Char Char"/>
    <w:autoRedefine/>
    <w:qFormat/>
    <w:uiPriority w:val="0"/>
    <w:rPr>
      <w:kern w:val="2"/>
      <w:sz w:val="16"/>
      <w:szCs w:val="16"/>
    </w:rPr>
  </w:style>
  <w:style w:type="character" w:customStyle="1" w:styleId="131">
    <w:name w:val=" Char Char9"/>
    <w:autoRedefine/>
    <w:qFormat/>
    <w:locked/>
    <w:uiPriority w:val="0"/>
    <w:rPr>
      <w:rFonts w:eastAsia="宋体"/>
      <w:kern w:val="2"/>
      <w:sz w:val="21"/>
      <w:szCs w:val="24"/>
      <w:lang w:val="en-US" w:eastAsia="zh-CN" w:bidi="ar-SA"/>
    </w:rPr>
  </w:style>
  <w:style w:type="character" w:customStyle="1" w:styleId="132">
    <w:name w:val=" Char Char24"/>
    <w:autoRedefine/>
    <w:qFormat/>
    <w:uiPriority w:val="0"/>
    <w:rPr>
      <w:b/>
      <w:bCs/>
      <w:kern w:val="44"/>
      <w:sz w:val="44"/>
      <w:szCs w:val="44"/>
    </w:rPr>
  </w:style>
  <w:style w:type="character" w:customStyle="1" w:styleId="133">
    <w:name w:val="style31"/>
    <w:autoRedefine/>
    <w:qFormat/>
    <w:uiPriority w:val="0"/>
    <w:rPr>
      <w:sz w:val="10"/>
      <w:szCs w:val="10"/>
    </w:rPr>
  </w:style>
  <w:style w:type="character" w:customStyle="1" w:styleId="134">
    <w:name w:val="无间隔 Char1"/>
    <w:link w:val="135"/>
    <w:autoRedefine/>
    <w:qFormat/>
    <w:locked/>
    <w:uiPriority w:val="0"/>
    <w:rPr>
      <w:rFonts w:eastAsia="Times New Roman"/>
      <w:sz w:val="21"/>
      <w:szCs w:val="24"/>
      <w:lang w:val="en-US" w:eastAsia="zh-CN" w:bidi="ar-SA"/>
    </w:rPr>
  </w:style>
  <w:style w:type="paragraph" w:customStyle="1" w:styleId="135">
    <w:name w:val="无间隔1"/>
    <w:link w:val="134"/>
    <w:autoRedefine/>
    <w:qFormat/>
    <w:uiPriority w:val="0"/>
    <w:pPr>
      <w:widowControl w:val="0"/>
      <w:snapToGrid w:val="0"/>
      <w:spacing w:line="360" w:lineRule="auto"/>
    </w:pPr>
    <w:rPr>
      <w:rFonts w:ascii="Times New Roman" w:hAnsi="Times New Roman" w:eastAsia="Times New Roman" w:cs="Times New Roman"/>
      <w:sz w:val="21"/>
      <w:szCs w:val="24"/>
      <w:lang w:val="en-US" w:eastAsia="zh-CN" w:bidi="ar-SA"/>
    </w:rPr>
  </w:style>
  <w:style w:type="character" w:customStyle="1" w:styleId="136">
    <w:name w:val="明显引用 Char"/>
    <w:link w:val="137"/>
    <w:autoRedefine/>
    <w:qFormat/>
    <w:locked/>
    <w:uiPriority w:val="0"/>
    <w:rPr>
      <w:b/>
      <w:bCs/>
      <w:i/>
      <w:iCs/>
      <w:color w:val="4F81BD"/>
      <w:kern w:val="2"/>
      <w:sz w:val="21"/>
      <w:szCs w:val="22"/>
      <w:lang w:bidi="ar-SA"/>
    </w:rPr>
  </w:style>
  <w:style w:type="paragraph" w:styleId="137">
    <w:name w:val="Intense Quote"/>
    <w:basedOn w:val="1"/>
    <w:next w:val="1"/>
    <w:link w:val="136"/>
    <w:autoRedefine/>
    <w:qFormat/>
    <w:uiPriority w:val="0"/>
    <w:pPr>
      <w:pBdr>
        <w:bottom w:val="single" w:color="4F81BD" w:sz="4" w:space="4"/>
      </w:pBdr>
      <w:spacing w:before="200" w:after="280"/>
      <w:ind w:left="936" w:right="936"/>
    </w:pPr>
    <w:rPr>
      <w:b/>
      <w:bCs/>
      <w:i/>
      <w:iCs/>
      <w:color w:val="4F81BD"/>
      <w:szCs w:val="22"/>
    </w:rPr>
  </w:style>
  <w:style w:type="character" w:customStyle="1" w:styleId="138">
    <w:name w:val="0d1471"/>
    <w:autoRedefine/>
    <w:qFormat/>
    <w:uiPriority w:val="0"/>
    <w:rPr>
      <w:color w:val="000000"/>
      <w:sz w:val="11"/>
      <w:szCs w:val="11"/>
      <w:u w:val="none"/>
    </w:rPr>
  </w:style>
  <w:style w:type="character" w:customStyle="1" w:styleId="139">
    <w:name w:val="明显引用 Char1"/>
    <w:link w:val="140"/>
    <w:autoRedefine/>
    <w:qFormat/>
    <w:uiPriority w:val="0"/>
    <w:rPr>
      <w:b/>
      <w:bCs/>
      <w:i/>
      <w:iCs/>
      <w:color w:val="4F81BD"/>
      <w:kern w:val="2"/>
      <w:sz w:val="21"/>
      <w:lang w:bidi="ar-SA"/>
    </w:rPr>
  </w:style>
  <w:style w:type="paragraph" w:customStyle="1" w:styleId="140">
    <w:name w:val="明显引用1"/>
    <w:basedOn w:val="1"/>
    <w:next w:val="1"/>
    <w:link w:val="139"/>
    <w:autoRedefine/>
    <w:qFormat/>
    <w:uiPriority w:val="0"/>
    <w:pPr>
      <w:pBdr>
        <w:bottom w:val="single" w:color="4F81BD" w:sz="4" w:space="4"/>
      </w:pBdr>
      <w:spacing w:before="200" w:after="280"/>
      <w:ind w:left="936" w:right="936"/>
    </w:pPr>
    <w:rPr>
      <w:b/>
      <w:bCs/>
      <w:i/>
      <w:iCs/>
      <w:color w:val="4F81BD"/>
      <w:szCs w:val="20"/>
    </w:rPr>
  </w:style>
  <w:style w:type="character" w:customStyle="1" w:styleId="141">
    <w:name w:val=" Char Char"/>
    <w:link w:val="142"/>
    <w:autoRedefine/>
    <w:qFormat/>
    <w:locked/>
    <w:uiPriority w:val="0"/>
  </w:style>
  <w:style w:type="paragraph" w:customStyle="1" w:styleId="142">
    <w:name w:val=" Char"/>
    <w:basedOn w:val="1"/>
    <w:link w:val="141"/>
    <w:autoRedefine/>
    <w:qFormat/>
    <w:uiPriority w:val="0"/>
    <w:pPr>
      <w:ind w:firstLine="360" w:firstLineChars="150"/>
    </w:pPr>
  </w:style>
  <w:style w:type="character" w:customStyle="1" w:styleId="143">
    <w:name w:val="小标题 Char"/>
    <w:link w:val="144"/>
    <w:autoRedefine/>
    <w:qFormat/>
    <w:locked/>
    <w:uiPriority w:val="0"/>
    <w:rPr>
      <w:rFonts w:ascii="宋体" w:hAnsi="宋体"/>
      <w:kern w:val="2"/>
      <w:sz w:val="21"/>
      <w:szCs w:val="24"/>
      <w:lang w:bidi="ar-SA"/>
    </w:rPr>
  </w:style>
  <w:style w:type="paragraph" w:customStyle="1" w:styleId="144">
    <w:name w:val="小标题"/>
    <w:basedOn w:val="1"/>
    <w:link w:val="143"/>
    <w:autoRedefine/>
    <w:qFormat/>
    <w:uiPriority w:val="0"/>
    <w:rPr>
      <w:rFonts w:ascii="宋体" w:hAnsi="宋体"/>
    </w:rPr>
  </w:style>
  <w:style w:type="character" w:customStyle="1" w:styleId="145">
    <w:name w:val=" Char Char8"/>
    <w:autoRedefine/>
    <w:qFormat/>
    <w:locked/>
    <w:uiPriority w:val="0"/>
    <w:rPr>
      <w:rFonts w:eastAsia="宋体"/>
      <w:szCs w:val="24"/>
      <w:u w:val="single"/>
      <w:lang w:val="en-US" w:eastAsia="en-US" w:bidi="ar-SA"/>
    </w:rPr>
  </w:style>
  <w:style w:type="character" w:customStyle="1" w:styleId="146">
    <w:name w:val="引用 Char1"/>
    <w:link w:val="147"/>
    <w:autoRedefine/>
    <w:qFormat/>
    <w:uiPriority w:val="0"/>
    <w:rPr>
      <w:i/>
      <w:iCs/>
      <w:color w:val="000000"/>
      <w:kern w:val="2"/>
      <w:sz w:val="21"/>
      <w:lang w:bidi="ar-SA"/>
    </w:rPr>
  </w:style>
  <w:style w:type="paragraph" w:customStyle="1" w:styleId="147">
    <w:name w:val="引用1"/>
    <w:basedOn w:val="1"/>
    <w:next w:val="1"/>
    <w:link w:val="146"/>
    <w:autoRedefine/>
    <w:qFormat/>
    <w:uiPriority w:val="0"/>
    <w:rPr>
      <w:i/>
      <w:iCs/>
      <w:color w:val="000000"/>
      <w:szCs w:val="20"/>
    </w:rPr>
  </w:style>
  <w:style w:type="character" w:customStyle="1" w:styleId="148">
    <w:name w:val="style21"/>
    <w:autoRedefine/>
    <w:qFormat/>
    <w:uiPriority w:val="0"/>
    <w:rPr>
      <w:b/>
      <w:bCs/>
      <w:sz w:val="28"/>
      <w:szCs w:val="28"/>
    </w:rPr>
  </w:style>
  <w:style w:type="character" w:customStyle="1" w:styleId="149">
    <w:name w:val="无间隔 Char"/>
    <w:link w:val="150"/>
    <w:autoRedefine/>
    <w:qFormat/>
    <w:uiPriority w:val="0"/>
    <w:rPr>
      <w:rFonts w:eastAsia="Times New Roman"/>
      <w:kern w:val="2"/>
      <w:sz w:val="21"/>
      <w:szCs w:val="22"/>
      <w:lang w:val="en-US" w:eastAsia="zh-CN" w:bidi="ar-SA"/>
    </w:rPr>
  </w:style>
  <w:style w:type="paragraph" w:styleId="150">
    <w:name w:val="No Spacing"/>
    <w:link w:val="149"/>
    <w:autoRedefine/>
    <w:qFormat/>
    <w:uiPriority w:val="0"/>
    <w:pPr>
      <w:widowControl w:val="0"/>
      <w:jc w:val="both"/>
    </w:pPr>
    <w:rPr>
      <w:rFonts w:ascii="Times New Roman" w:hAnsi="Times New Roman" w:eastAsia="Times New Roman" w:cs="Times New Roman"/>
      <w:kern w:val="2"/>
      <w:sz w:val="21"/>
      <w:szCs w:val="22"/>
      <w:lang w:val="en-US" w:eastAsia="zh-CN" w:bidi="ar-SA"/>
    </w:rPr>
  </w:style>
  <w:style w:type="character" w:customStyle="1" w:styleId="151">
    <w:name w:val="docpro"/>
    <w:autoRedefine/>
    <w:qFormat/>
    <w:uiPriority w:val="0"/>
  </w:style>
  <w:style w:type="character" w:customStyle="1" w:styleId="152">
    <w:name w:val="l1"/>
    <w:autoRedefine/>
    <w:qFormat/>
    <w:uiPriority w:val="0"/>
  </w:style>
  <w:style w:type="character" w:customStyle="1" w:styleId="153">
    <w:name w:val="批注主题 Char Char"/>
    <w:autoRedefine/>
    <w:qFormat/>
    <w:uiPriority w:val="0"/>
    <w:rPr>
      <w:b/>
      <w:bCs/>
      <w:kern w:val="2"/>
      <w:sz w:val="21"/>
      <w:szCs w:val="24"/>
    </w:rPr>
  </w:style>
  <w:style w:type="character" w:customStyle="1" w:styleId="154">
    <w:name w:val=" Char Char17"/>
    <w:autoRedefine/>
    <w:qFormat/>
    <w:uiPriority w:val="0"/>
    <w:rPr>
      <w:rFonts w:eastAsia="宋体"/>
      <w:kern w:val="2"/>
      <w:sz w:val="18"/>
      <w:szCs w:val="18"/>
      <w:lang w:val="en-US" w:eastAsia="zh-CN" w:bidi="ar-SA"/>
    </w:rPr>
  </w:style>
  <w:style w:type="character" w:customStyle="1" w:styleId="155">
    <w:name w:val=" Char Char23"/>
    <w:autoRedefine/>
    <w:qFormat/>
    <w:uiPriority w:val="0"/>
    <w:rPr>
      <w:rFonts w:ascii="Cambria" w:hAnsi="Cambria" w:eastAsia="宋体" w:cs="Times New Roman"/>
      <w:b/>
      <w:bCs/>
      <w:kern w:val="2"/>
      <w:sz w:val="32"/>
      <w:szCs w:val="32"/>
    </w:rPr>
  </w:style>
  <w:style w:type="character" w:customStyle="1" w:styleId="156">
    <w:name w:val=" Char Char22"/>
    <w:autoRedefine/>
    <w:qFormat/>
    <w:uiPriority w:val="0"/>
    <w:rPr>
      <w:b/>
      <w:bCs/>
      <w:kern w:val="2"/>
      <w:sz w:val="32"/>
      <w:szCs w:val="32"/>
    </w:rPr>
  </w:style>
  <w:style w:type="character" w:customStyle="1" w:styleId="157">
    <w:name w:val="批注主题 Char"/>
    <w:autoRedefine/>
    <w:qFormat/>
    <w:uiPriority w:val="0"/>
    <w:rPr>
      <w:rFonts w:ascii="宋体" w:hAnsi="宋体" w:eastAsia="宋体"/>
      <w:i/>
      <w:iCs/>
      <w:kern w:val="2"/>
      <w:sz w:val="24"/>
      <w:szCs w:val="28"/>
      <w:lang w:val="en-US" w:eastAsia="zh-CN" w:bidi="ar-SA"/>
    </w:rPr>
  </w:style>
  <w:style w:type="character" w:customStyle="1" w:styleId="158">
    <w:name w:val="副标题 Char Char"/>
    <w:autoRedefine/>
    <w:qFormat/>
    <w:uiPriority w:val="0"/>
    <w:rPr>
      <w:rFonts w:ascii="Cambria" w:hAnsi="Cambria" w:cs="Times New Roman"/>
      <w:b/>
      <w:bCs/>
      <w:kern w:val="28"/>
      <w:sz w:val="32"/>
      <w:szCs w:val="32"/>
    </w:rPr>
  </w:style>
  <w:style w:type="character" w:customStyle="1" w:styleId="159">
    <w:name w:val="标题 1 Char"/>
    <w:autoRedefine/>
    <w:qFormat/>
    <w:uiPriority w:val="0"/>
    <w:rPr>
      <w:b/>
      <w:bCs/>
      <w:kern w:val="44"/>
      <w:sz w:val="44"/>
      <w:szCs w:val="44"/>
    </w:rPr>
  </w:style>
  <w:style w:type="character" w:customStyle="1" w:styleId="160">
    <w:name w:val="普通文字 Char Char1"/>
    <w:autoRedefine/>
    <w:qFormat/>
    <w:uiPriority w:val="0"/>
    <w:rPr>
      <w:rFonts w:hint="eastAsia" w:ascii="宋体" w:hAnsi="Courier New" w:eastAsia="宋体"/>
      <w:kern w:val="2"/>
      <w:sz w:val="28"/>
      <w:szCs w:val="28"/>
      <w:lang w:val="en-US" w:eastAsia="zh-CN" w:bidi="ar-SA"/>
    </w:rPr>
  </w:style>
  <w:style w:type="character" w:customStyle="1" w:styleId="161">
    <w:name w:val="公正文 Char Char"/>
    <w:link w:val="162"/>
    <w:autoRedefine/>
    <w:qFormat/>
    <w:locked/>
    <w:uiPriority w:val="0"/>
    <w:rPr>
      <w:rFonts w:ascii="宋体" w:hAnsi="宋体" w:eastAsia="仿宋_GB2312"/>
      <w:sz w:val="28"/>
      <w:lang w:bidi="ar-SA"/>
    </w:rPr>
  </w:style>
  <w:style w:type="paragraph" w:customStyle="1" w:styleId="162">
    <w:name w:val="公正文"/>
    <w:basedOn w:val="1"/>
    <w:link w:val="161"/>
    <w:autoRedefine/>
    <w:qFormat/>
    <w:uiPriority w:val="0"/>
    <w:pPr>
      <w:adjustRightInd w:val="0"/>
      <w:snapToGrid w:val="0"/>
      <w:spacing w:line="350" w:lineRule="auto"/>
      <w:ind w:firstLine="200" w:firstLineChars="200"/>
    </w:pPr>
    <w:rPr>
      <w:rFonts w:ascii="宋体" w:hAnsi="宋体" w:eastAsia="仿宋_GB2312"/>
      <w:kern w:val="0"/>
      <w:sz w:val="28"/>
      <w:szCs w:val="20"/>
    </w:rPr>
  </w:style>
  <w:style w:type="character" w:customStyle="1" w:styleId="163">
    <w:name w:val="HTML 预设格式 Char Char"/>
    <w:autoRedefine/>
    <w:qFormat/>
    <w:uiPriority w:val="0"/>
    <w:rPr>
      <w:rFonts w:ascii="Courier New" w:hAnsi="Courier New" w:cs="Courier New"/>
      <w:kern w:val="2"/>
    </w:rPr>
  </w:style>
  <w:style w:type="character" w:customStyle="1" w:styleId="164">
    <w:name w:val="正文文本缩进 Char Char"/>
    <w:autoRedefine/>
    <w:qFormat/>
    <w:uiPriority w:val="0"/>
    <w:rPr>
      <w:kern w:val="2"/>
      <w:sz w:val="21"/>
      <w:szCs w:val="24"/>
    </w:rPr>
  </w:style>
  <w:style w:type="character" w:customStyle="1" w:styleId="165">
    <w:name w:val="招标节 Char"/>
    <w:link w:val="166"/>
    <w:autoRedefine/>
    <w:qFormat/>
    <w:locked/>
    <w:uiPriority w:val="0"/>
    <w:rPr>
      <w:rFonts w:ascii="宋体" w:hAnsi="宋体"/>
      <w:b/>
      <w:szCs w:val="21"/>
      <w:lang w:bidi="ar-SA"/>
    </w:rPr>
  </w:style>
  <w:style w:type="paragraph" w:customStyle="1" w:styleId="166">
    <w:name w:val="招标节"/>
    <w:basedOn w:val="1"/>
    <w:next w:val="144"/>
    <w:link w:val="165"/>
    <w:autoRedefine/>
    <w:qFormat/>
    <w:uiPriority w:val="0"/>
    <w:pPr>
      <w:spacing w:beforeLines="50"/>
      <w:outlineLvl w:val="1"/>
    </w:pPr>
    <w:rPr>
      <w:rFonts w:ascii="宋体" w:hAnsi="宋体"/>
      <w:b/>
      <w:kern w:val="0"/>
      <w:sz w:val="20"/>
      <w:szCs w:val="21"/>
    </w:rPr>
  </w:style>
  <w:style w:type="character" w:customStyle="1" w:styleId="167">
    <w:name w:val="题目 Char"/>
    <w:link w:val="168"/>
    <w:autoRedefine/>
    <w:qFormat/>
    <w:uiPriority w:val="0"/>
    <w:rPr>
      <w:rFonts w:ascii="黑体" w:eastAsia="黑体"/>
      <w:color w:val="C00000"/>
      <w:kern w:val="2"/>
      <w:sz w:val="28"/>
      <w:szCs w:val="28"/>
      <w:lang w:val="en-US" w:eastAsia="zh-CN" w:bidi="ar-SA"/>
    </w:rPr>
  </w:style>
  <w:style w:type="paragraph" w:customStyle="1" w:styleId="168">
    <w:name w:val="题目"/>
    <w:basedOn w:val="1"/>
    <w:link w:val="167"/>
    <w:autoRedefine/>
    <w:qFormat/>
    <w:uiPriority w:val="0"/>
    <w:pPr>
      <w:spacing w:before="480" w:beforeLines="200" w:after="240" w:afterLines="100"/>
      <w:jc w:val="center"/>
    </w:pPr>
    <w:rPr>
      <w:rFonts w:ascii="黑体" w:eastAsia="黑体"/>
      <w:color w:val="C00000"/>
      <w:sz w:val="28"/>
      <w:szCs w:val="28"/>
    </w:rPr>
  </w:style>
  <w:style w:type="character" w:customStyle="1" w:styleId="169">
    <w:name w:val=" Char Char26"/>
    <w:autoRedefine/>
    <w:qFormat/>
    <w:uiPriority w:val="0"/>
    <w:rPr>
      <w:rFonts w:ascii="Cambria" w:hAnsi="Cambria" w:eastAsia="宋体"/>
      <w:b/>
      <w:bCs/>
      <w:kern w:val="2"/>
      <w:sz w:val="32"/>
      <w:szCs w:val="32"/>
      <w:lang w:val="en-US" w:eastAsia="zh-CN" w:bidi="ar-SA"/>
    </w:rPr>
  </w:style>
  <w:style w:type="character" w:customStyle="1" w:styleId="170">
    <w:name w:val="style161"/>
    <w:autoRedefine/>
    <w:qFormat/>
    <w:uiPriority w:val="0"/>
    <w:rPr>
      <w:b/>
      <w:bCs/>
      <w:color w:val="333333"/>
    </w:rPr>
  </w:style>
  <w:style w:type="character" w:customStyle="1" w:styleId="171">
    <w:name w:val="Header Char"/>
    <w:autoRedefine/>
    <w:qFormat/>
    <w:locked/>
    <w:uiPriority w:val="0"/>
    <w:rPr>
      <w:rFonts w:cs="Times New Roman"/>
      <w:kern w:val="2"/>
      <w:sz w:val="18"/>
      <w:szCs w:val="18"/>
    </w:rPr>
  </w:style>
  <w:style w:type="character" w:customStyle="1" w:styleId="172">
    <w:name w:val="正文文本缩进 2 Char Char"/>
    <w:autoRedefine/>
    <w:qFormat/>
    <w:uiPriority w:val="0"/>
    <w:rPr>
      <w:kern w:val="2"/>
      <w:sz w:val="21"/>
      <w:szCs w:val="24"/>
    </w:rPr>
  </w:style>
  <w:style w:type="character" w:customStyle="1" w:styleId="173">
    <w:name w:val="标题 3 Char1"/>
    <w:autoRedefine/>
    <w:qFormat/>
    <w:uiPriority w:val="0"/>
    <w:rPr>
      <w:rFonts w:eastAsia="宋体"/>
      <w:b/>
      <w:bCs/>
      <w:kern w:val="2"/>
      <w:sz w:val="32"/>
      <w:szCs w:val="32"/>
      <w:lang w:val="en-US" w:eastAsia="zh-CN" w:bidi="ar-SA"/>
    </w:rPr>
  </w:style>
  <w:style w:type="character" w:customStyle="1" w:styleId="174">
    <w:name w:val="intel3"/>
    <w:autoRedefine/>
    <w:qFormat/>
    <w:uiPriority w:val="0"/>
  </w:style>
  <w:style w:type="character" w:customStyle="1" w:styleId="175">
    <w:name w:val="正文文本 Char4"/>
    <w:autoRedefine/>
    <w:qFormat/>
    <w:uiPriority w:val="0"/>
    <w:rPr>
      <w:szCs w:val="24"/>
    </w:rPr>
  </w:style>
  <w:style w:type="character" w:customStyle="1" w:styleId="176">
    <w:name w:val="ca-141"/>
    <w:autoRedefine/>
    <w:qFormat/>
    <w:uiPriority w:val="0"/>
    <w:rPr>
      <w:rFonts w:hint="eastAsia" w:ascii="仿宋_GB2312" w:eastAsia="仿宋_GB2312"/>
      <w:sz w:val="21"/>
      <w:szCs w:val="21"/>
    </w:rPr>
  </w:style>
  <w:style w:type="character" w:customStyle="1" w:styleId="177">
    <w:name w:val="apple-converted-space"/>
    <w:autoRedefine/>
    <w:qFormat/>
    <w:uiPriority w:val="0"/>
  </w:style>
  <w:style w:type="character" w:customStyle="1" w:styleId="178">
    <w:name w:val="title11"/>
    <w:autoRedefine/>
    <w:qFormat/>
    <w:uiPriority w:val="0"/>
    <w:rPr>
      <w:b/>
      <w:bCs/>
      <w:color w:val="FFFFFF"/>
      <w:sz w:val="11"/>
      <w:szCs w:val="11"/>
    </w:rPr>
  </w:style>
  <w:style w:type="character" w:customStyle="1" w:styleId="179">
    <w:name w:val="正文文本 3 Char Char"/>
    <w:autoRedefine/>
    <w:qFormat/>
    <w:uiPriority w:val="0"/>
    <w:rPr>
      <w:kern w:val="2"/>
      <w:sz w:val="16"/>
      <w:szCs w:val="16"/>
    </w:rPr>
  </w:style>
  <w:style w:type="character" w:customStyle="1" w:styleId="180">
    <w:name w:val="14t1"/>
    <w:autoRedefine/>
    <w:qFormat/>
    <w:uiPriority w:val="0"/>
    <w:rPr>
      <w:rFonts w:hint="eastAsia" w:ascii="宋体" w:hAnsi="宋体" w:eastAsia="宋体"/>
      <w:sz w:val="11"/>
      <w:szCs w:val="11"/>
    </w:rPr>
  </w:style>
  <w:style w:type="character" w:customStyle="1" w:styleId="181">
    <w:name w:val="正文文字4 Char Char"/>
    <w:autoRedefine/>
    <w:qFormat/>
    <w:uiPriority w:val="0"/>
    <w:rPr>
      <w:kern w:val="2"/>
      <w:sz w:val="21"/>
      <w:szCs w:val="24"/>
    </w:rPr>
  </w:style>
  <w:style w:type="character" w:customStyle="1" w:styleId="182">
    <w:name w:val=" Char Char19"/>
    <w:autoRedefine/>
    <w:qFormat/>
    <w:uiPriority w:val="0"/>
    <w:rPr>
      <w:rFonts w:hAnsi="Arial" w:eastAsia="仿宋_GB2312"/>
      <w:sz w:val="30"/>
    </w:rPr>
  </w:style>
  <w:style w:type="character" w:customStyle="1" w:styleId="183">
    <w:name w:val="标题 Char Char"/>
    <w:autoRedefine/>
    <w:qFormat/>
    <w:uiPriority w:val="0"/>
    <w:rPr>
      <w:rFonts w:ascii="Cambria" w:hAnsi="Cambria" w:cs="Times New Roman"/>
      <w:b/>
      <w:bCs/>
      <w:kern w:val="2"/>
      <w:sz w:val="32"/>
      <w:szCs w:val="32"/>
    </w:rPr>
  </w:style>
  <w:style w:type="character" w:customStyle="1" w:styleId="184">
    <w:name w:val=" Char Char5"/>
    <w:autoRedefine/>
    <w:qFormat/>
    <w:locked/>
    <w:uiPriority w:val="0"/>
    <w:rPr>
      <w:rFonts w:eastAsia="宋体"/>
      <w:kern w:val="2"/>
      <w:sz w:val="16"/>
      <w:szCs w:val="16"/>
      <w:lang w:val="en-US" w:eastAsia="zh-CN" w:bidi="ar-SA"/>
    </w:rPr>
  </w:style>
  <w:style w:type="character" w:customStyle="1" w:styleId="185">
    <w:name w:val="招标正文 Char Char"/>
    <w:link w:val="186"/>
    <w:autoRedefine/>
    <w:qFormat/>
    <w:locked/>
    <w:uiPriority w:val="0"/>
    <w:rPr>
      <w:rFonts w:ascii="宋体" w:hAnsi="宋体" w:eastAsia="宋体"/>
      <w:kern w:val="2"/>
      <w:sz w:val="21"/>
      <w:szCs w:val="18"/>
      <w:lang w:val="en-US" w:eastAsia="zh-CN" w:bidi="ar-SA"/>
    </w:rPr>
  </w:style>
  <w:style w:type="paragraph" w:customStyle="1" w:styleId="186">
    <w:name w:val="招标正文"/>
    <w:basedOn w:val="1"/>
    <w:link w:val="185"/>
    <w:autoRedefine/>
    <w:qFormat/>
    <w:uiPriority w:val="0"/>
    <w:pPr>
      <w:spacing w:line="300" w:lineRule="auto"/>
      <w:ind w:firstLine="420" w:firstLineChars="200"/>
    </w:pPr>
    <w:rPr>
      <w:rFonts w:ascii="宋体" w:hAnsi="宋体"/>
      <w:szCs w:val="18"/>
    </w:rPr>
  </w:style>
  <w:style w:type="character" w:customStyle="1" w:styleId="187">
    <w:name w:val=" Char Char21"/>
    <w:autoRedefine/>
    <w:qFormat/>
    <w:uiPriority w:val="0"/>
    <w:rPr>
      <w:rFonts w:ascii="宋体" w:hAnsi="宋体" w:cs="宋体"/>
      <w:b/>
      <w:bCs/>
      <w:sz w:val="24"/>
      <w:szCs w:val="24"/>
    </w:rPr>
  </w:style>
  <w:style w:type="character" w:customStyle="1" w:styleId="188">
    <w:name w:val="批注框文本 Char Char"/>
    <w:autoRedefine/>
    <w:qFormat/>
    <w:uiPriority w:val="0"/>
    <w:rPr>
      <w:kern w:val="2"/>
      <w:sz w:val="18"/>
      <w:szCs w:val="18"/>
    </w:rPr>
  </w:style>
  <w:style w:type="character" w:customStyle="1" w:styleId="189">
    <w:name w:val="正文文本 Char Char"/>
    <w:autoRedefine/>
    <w:qFormat/>
    <w:uiPriority w:val="0"/>
    <w:rPr>
      <w:kern w:val="2"/>
      <w:sz w:val="21"/>
      <w:szCs w:val="24"/>
    </w:rPr>
  </w:style>
  <w:style w:type="character" w:customStyle="1" w:styleId="190">
    <w:name w:val="尾注文本 Char Char"/>
    <w:autoRedefine/>
    <w:qFormat/>
    <w:uiPriority w:val="0"/>
    <w:rPr>
      <w:kern w:val="2"/>
      <w:sz w:val="21"/>
      <w:szCs w:val="24"/>
    </w:rPr>
  </w:style>
  <w:style w:type="character" w:customStyle="1" w:styleId="191">
    <w:name w:val=" Char Char14"/>
    <w:autoRedefine/>
    <w:qFormat/>
    <w:locked/>
    <w:uiPriority w:val="0"/>
    <w:rPr>
      <w:rFonts w:ascii="Arial" w:hAnsi="Arial" w:eastAsia="宋体" w:cs="Arial"/>
      <w:sz w:val="18"/>
      <w:szCs w:val="18"/>
      <w:lang w:val="en-US" w:eastAsia="en-US" w:bidi="ar-SA"/>
    </w:rPr>
  </w:style>
  <w:style w:type="character" w:customStyle="1" w:styleId="192">
    <w:name w:val="normaltext1"/>
    <w:autoRedefine/>
    <w:qFormat/>
    <w:uiPriority w:val="0"/>
    <w:rPr>
      <w:rFonts w:hint="default" w:ascii="ˎ̥" w:hAnsi="ˎ̥"/>
      <w:sz w:val="9"/>
      <w:szCs w:val="9"/>
    </w:rPr>
  </w:style>
  <w:style w:type="character" w:customStyle="1" w:styleId="193">
    <w:name w:val=" Char Char10"/>
    <w:autoRedefine/>
    <w:qFormat/>
    <w:locked/>
    <w:uiPriority w:val="0"/>
    <w:rPr>
      <w:rFonts w:eastAsia="宋体"/>
      <w:kern w:val="2"/>
      <w:sz w:val="21"/>
      <w:szCs w:val="24"/>
      <w:lang w:val="en-US" w:eastAsia="zh-CN" w:bidi="ar-SA"/>
    </w:rPr>
  </w:style>
  <w:style w:type="character" w:customStyle="1" w:styleId="194">
    <w:name w:val=" Char Char13"/>
    <w:autoRedefine/>
    <w:qFormat/>
    <w:locked/>
    <w:uiPriority w:val="0"/>
    <w:rPr>
      <w:rFonts w:eastAsia="宋体"/>
      <w:kern w:val="2"/>
      <w:sz w:val="21"/>
      <w:szCs w:val="24"/>
      <w:lang w:val="en-US" w:eastAsia="zh-CN" w:bidi="ar-SA"/>
    </w:rPr>
  </w:style>
  <w:style w:type="paragraph" w:customStyle="1" w:styleId="195">
    <w:name w:val="样式3"/>
    <w:basedOn w:val="4"/>
    <w:autoRedefine/>
    <w:qFormat/>
    <w:uiPriority w:val="0"/>
    <w:pPr>
      <w:numPr>
        <w:ilvl w:val="2"/>
        <w:numId w:val="0"/>
      </w:numPr>
      <w:autoSpaceDE w:val="0"/>
      <w:autoSpaceDN w:val="0"/>
      <w:adjustRightInd w:val="0"/>
      <w:spacing w:before="0" w:beforeLines="0" w:after="0" w:afterLines="0" w:line="360" w:lineRule="auto"/>
      <w:ind w:left="119" w:right="-23"/>
    </w:pPr>
    <w:rPr>
      <w:rFonts w:ascii="宋体" w:hAnsi="宋体"/>
      <w:bCs/>
      <w:kern w:val="0"/>
      <w:sz w:val="24"/>
      <w:szCs w:val="32"/>
    </w:rPr>
  </w:style>
  <w:style w:type="paragraph" w:customStyle="1" w:styleId="196">
    <w:name w:val="rw"/>
    <w:basedOn w:val="1"/>
    <w:autoRedefine/>
    <w:qFormat/>
    <w:uiPriority w:val="0"/>
    <w:pPr>
      <w:widowControl/>
      <w:spacing w:before="30" w:beforeLines="0"/>
      <w:ind w:left="100" w:right="100"/>
      <w:jc w:val="right"/>
    </w:pPr>
    <w:rPr>
      <w:rFonts w:ascii="方正仿宋简体" w:hAnsi="宋体" w:eastAsia="方正仿宋简体"/>
      <w:color w:val="000000"/>
      <w:kern w:val="0"/>
      <w:szCs w:val="21"/>
    </w:rPr>
  </w:style>
  <w:style w:type="paragraph" w:customStyle="1" w:styleId="197">
    <w:name w:val="CM95"/>
    <w:basedOn w:val="1"/>
    <w:next w:val="1"/>
    <w:autoRedefine/>
    <w:qFormat/>
    <w:uiPriority w:val="0"/>
    <w:pPr>
      <w:autoSpaceDE w:val="0"/>
      <w:autoSpaceDN w:val="0"/>
      <w:adjustRightInd w:val="0"/>
      <w:spacing w:after="115" w:afterLines="0"/>
      <w:jc w:val="left"/>
    </w:pPr>
    <w:rPr>
      <w:rFonts w:ascii="宋体"/>
      <w:kern w:val="0"/>
      <w:sz w:val="24"/>
    </w:rPr>
  </w:style>
  <w:style w:type="paragraph" w:customStyle="1" w:styleId="198">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99">
    <w:name w:val="Char Char Char Char"/>
    <w:basedOn w:val="1"/>
    <w:autoRedefine/>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200">
    <w:name w:val="表格文字"/>
    <w:basedOn w:val="1"/>
    <w:autoRedefine/>
    <w:qFormat/>
    <w:uiPriority w:val="0"/>
    <w:pPr>
      <w:adjustRightInd w:val="0"/>
      <w:spacing w:line="420" w:lineRule="atLeast"/>
      <w:jc w:val="left"/>
    </w:pPr>
    <w:rPr>
      <w:kern w:val="0"/>
      <w:szCs w:val="20"/>
    </w:rPr>
  </w:style>
  <w:style w:type="paragraph" w:styleId="201">
    <w:name w:val="List Paragraph"/>
    <w:basedOn w:val="1"/>
    <w:autoRedefine/>
    <w:qFormat/>
    <w:uiPriority w:val="0"/>
    <w:pPr>
      <w:ind w:firstLine="420" w:firstLineChars="200"/>
    </w:pPr>
    <w:rPr>
      <w:sz w:val="28"/>
      <w:szCs w:val="28"/>
    </w:rPr>
  </w:style>
  <w:style w:type="paragraph" w:customStyle="1" w:styleId="202">
    <w:name w:val="g3"/>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03">
    <w:name w:val="表格"/>
    <w:basedOn w:val="1"/>
    <w:autoRedefine/>
    <w:qFormat/>
    <w:uiPriority w:val="0"/>
    <w:pPr>
      <w:jc w:val="center"/>
    </w:pPr>
    <w:rPr>
      <w:rFonts w:ascii="华文细黑" w:hAnsi="华文细黑"/>
      <w:kern w:val="0"/>
      <w:szCs w:val="20"/>
    </w:rPr>
  </w:style>
  <w:style w:type="paragraph" w:customStyle="1" w:styleId="204">
    <w:name w:val="自定样式1"/>
    <w:basedOn w:val="1"/>
    <w:autoRedefine/>
    <w:qFormat/>
    <w:uiPriority w:val="0"/>
    <w:pPr>
      <w:suppressAutoHyphens/>
      <w:jc w:val="center"/>
    </w:pPr>
    <w:rPr>
      <w:rFonts w:ascii="宋体" w:hAnsi="宋体"/>
      <w:color w:val="000000"/>
      <w:sz w:val="18"/>
    </w:rPr>
  </w:style>
  <w:style w:type="paragraph" w:customStyle="1" w:styleId="205">
    <w:name w:val="title"/>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06">
    <w:name w:val="rr"/>
    <w:basedOn w:val="1"/>
    <w:autoRedefine/>
    <w:qFormat/>
    <w:uiPriority w:val="0"/>
    <w:pPr>
      <w:widowControl/>
      <w:spacing w:before="100" w:beforeLines="0" w:beforeAutospacing="1" w:after="100" w:afterLines="0" w:afterAutospacing="1"/>
      <w:jc w:val="left"/>
    </w:pPr>
    <w:rPr>
      <w:rFonts w:ascii="宋体" w:hAnsi="宋体"/>
      <w:kern w:val="0"/>
      <w:szCs w:val="21"/>
    </w:rPr>
  </w:style>
  <w:style w:type="paragraph" w:customStyle="1" w:styleId="207">
    <w:name w:val="pa-34"/>
    <w:basedOn w:val="1"/>
    <w:autoRedefine/>
    <w:qFormat/>
    <w:uiPriority w:val="0"/>
    <w:pPr>
      <w:widowControl/>
      <w:spacing w:line="360" w:lineRule="atLeast"/>
      <w:ind w:firstLine="420"/>
      <w:jc w:val="left"/>
    </w:pPr>
    <w:rPr>
      <w:rFonts w:ascii="宋体" w:hAnsi="宋体" w:cs="宋体"/>
      <w:kern w:val="0"/>
      <w:sz w:val="24"/>
    </w:rPr>
  </w:style>
  <w:style w:type="paragraph" w:customStyle="1" w:styleId="208">
    <w:name w:val="表格内容"/>
    <w:basedOn w:val="1"/>
    <w:autoRedefine/>
    <w:qFormat/>
    <w:uiPriority w:val="0"/>
    <w:pPr>
      <w:suppressLineNumbers/>
      <w:suppressAutoHyphens/>
    </w:pPr>
  </w:style>
  <w:style w:type="paragraph" w:customStyle="1" w:styleId="209">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10">
    <w:name w:val="WW-表格内容"/>
    <w:basedOn w:val="1"/>
    <w:autoRedefine/>
    <w:qFormat/>
    <w:uiPriority w:val="0"/>
    <w:pPr>
      <w:suppressLineNumbers/>
      <w:suppressAutoHyphens/>
    </w:pPr>
  </w:style>
  <w:style w:type="paragraph" w:customStyle="1" w:styleId="211">
    <w:name w:val="zw"/>
    <w:basedOn w:val="1"/>
    <w:autoRedefine/>
    <w:qFormat/>
    <w:uiPriority w:val="0"/>
    <w:pPr>
      <w:widowControl/>
      <w:spacing w:before="30" w:beforeLines="0"/>
      <w:ind w:left="100" w:right="100"/>
    </w:pPr>
    <w:rPr>
      <w:rFonts w:ascii="方正书宋简体" w:hAnsi="宋体" w:eastAsia="方正书宋简体"/>
      <w:color w:val="000000"/>
      <w:kern w:val="0"/>
      <w:szCs w:val="21"/>
    </w:rPr>
  </w:style>
  <w:style w:type="paragraph" w:customStyle="1" w:styleId="212">
    <w:name w:val="样式1"/>
    <w:basedOn w:val="1"/>
    <w:autoRedefine/>
    <w:qFormat/>
    <w:uiPriority w:val="0"/>
    <w:pPr>
      <w:spacing w:before="120" w:beforeLines="0" w:after="120" w:afterLines="0" w:line="300" w:lineRule="auto"/>
    </w:pPr>
    <w:rPr>
      <w:rFonts w:ascii="宋体" w:hAnsi="宋体"/>
      <w:b/>
      <w:sz w:val="24"/>
      <w:szCs w:val="20"/>
    </w:rPr>
  </w:style>
  <w:style w:type="paragraph" w:customStyle="1" w:styleId="213">
    <w:name w:val="样式 标题 3 + (中文) 黑体 小四 非加粗 段前: 7.8 磅 段后: 0 磅 行距: 固定值 20 磅"/>
    <w:basedOn w:val="4"/>
    <w:next w:val="1"/>
    <w:autoRedefine/>
    <w:qFormat/>
    <w:uiPriority w:val="0"/>
    <w:pPr>
      <w:numPr>
        <w:ilvl w:val="2"/>
        <w:numId w:val="0"/>
      </w:numPr>
      <w:spacing w:before="0" w:beforeLines="0" w:after="0" w:afterLines="0" w:line="400" w:lineRule="exact"/>
      <w:jc w:val="both"/>
    </w:pPr>
    <w:rPr>
      <w:rFonts w:eastAsia="黑体" w:cs="宋体"/>
      <w:b w:val="0"/>
      <w:sz w:val="24"/>
      <w:szCs w:val="20"/>
    </w:rPr>
  </w:style>
  <w:style w:type="paragraph" w:customStyle="1" w:styleId="214">
    <w:name w:val="6'"/>
    <w:basedOn w:val="1"/>
    <w:autoRedefine/>
    <w:qFormat/>
    <w:uiPriority w:val="0"/>
    <w:pPr>
      <w:autoSpaceDE w:val="0"/>
      <w:autoSpaceDN w:val="0"/>
      <w:adjustRightInd w:val="0"/>
      <w:snapToGrid w:val="0"/>
      <w:spacing w:line="320" w:lineRule="exact"/>
      <w:jc w:val="center"/>
    </w:pPr>
    <w:rPr>
      <w:spacing w:val="20"/>
      <w:kern w:val="28"/>
      <w:szCs w:val="20"/>
    </w:rPr>
  </w:style>
  <w:style w:type="paragraph" w:customStyle="1" w:styleId="215">
    <w:name w:val="pa-27"/>
    <w:basedOn w:val="1"/>
    <w:autoRedefine/>
    <w:qFormat/>
    <w:uiPriority w:val="0"/>
    <w:pPr>
      <w:widowControl/>
      <w:spacing w:line="360" w:lineRule="atLeast"/>
      <w:ind w:firstLine="420"/>
    </w:pPr>
    <w:rPr>
      <w:rFonts w:ascii="宋体" w:hAnsi="宋体" w:cs="宋体"/>
      <w:kern w:val="0"/>
      <w:sz w:val="24"/>
    </w:rPr>
  </w:style>
  <w:style w:type="paragraph" w:customStyle="1" w:styleId="216">
    <w:name w:val="p23"/>
    <w:basedOn w:val="1"/>
    <w:autoRedefine/>
    <w:qFormat/>
    <w:uiPriority w:val="0"/>
    <w:pPr>
      <w:widowControl/>
      <w:jc w:val="left"/>
    </w:pPr>
    <w:rPr>
      <w:rFonts w:hint="eastAsia" w:ascii="宋体" w:hAnsi="宋体"/>
      <w:kern w:val="0"/>
      <w:sz w:val="18"/>
      <w:szCs w:val="18"/>
    </w:rPr>
  </w:style>
  <w:style w:type="paragraph" w:customStyle="1" w:styleId="217">
    <w:name w:val="zz"/>
    <w:basedOn w:val="1"/>
    <w:autoRedefine/>
    <w:qFormat/>
    <w:uiPriority w:val="0"/>
    <w:pPr>
      <w:widowControl/>
      <w:spacing w:before="30" w:beforeLines="0"/>
      <w:jc w:val="right"/>
    </w:pPr>
    <w:rPr>
      <w:rFonts w:ascii="方正书宋简体" w:hAnsi="宋体" w:eastAsia="方正书宋简体"/>
      <w:color w:val="000000"/>
      <w:kern w:val="0"/>
      <w:szCs w:val="21"/>
    </w:rPr>
  </w:style>
  <w:style w:type="paragraph" w:customStyle="1" w:styleId="218">
    <w:name w:val="style12"/>
    <w:basedOn w:val="1"/>
    <w:autoRedefine/>
    <w:qFormat/>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219">
    <w:name w:val="Char"/>
    <w:basedOn w:val="1"/>
    <w:autoRedefine/>
    <w:qFormat/>
    <w:uiPriority w:val="0"/>
    <w:rPr>
      <w:sz w:val="32"/>
    </w:rPr>
  </w:style>
  <w:style w:type="paragraph" w:customStyle="1" w:styleId="220">
    <w:name w:val="p21"/>
    <w:basedOn w:val="1"/>
    <w:autoRedefine/>
    <w:qFormat/>
    <w:uiPriority w:val="0"/>
    <w:pPr>
      <w:widowControl/>
      <w:jc w:val="left"/>
    </w:pPr>
    <w:rPr>
      <w:rFonts w:ascii="Times New Roman" w:hAnsi="Times New Roman" w:eastAsia="宋体" w:cs="Times New Roman"/>
      <w:kern w:val="0"/>
      <w:sz w:val="18"/>
      <w:szCs w:val="18"/>
    </w:rPr>
  </w:style>
  <w:style w:type="paragraph" w:customStyle="1" w:styleId="221">
    <w:name w:val="样式 标题 1 + 黑体 三号 非加粗 居中 段前: 6 磅 段后: 6 磅 行距: 固定值 20 磅"/>
    <w:basedOn w:val="2"/>
    <w:autoRedefine/>
    <w:qFormat/>
    <w:uiPriority w:val="0"/>
    <w:pPr>
      <w:spacing w:before="120" w:beforeLines="0" w:after="120" w:afterLines="0" w:line="400" w:lineRule="exact"/>
      <w:jc w:val="center"/>
    </w:pPr>
    <w:rPr>
      <w:rFonts w:ascii="黑体" w:hAnsi="黑体" w:eastAsia="黑体" w:cs="宋体"/>
      <w:b w:val="0"/>
      <w:bCs w:val="0"/>
      <w:sz w:val="32"/>
      <w:szCs w:val="20"/>
    </w:rPr>
  </w:style>
  <w:style w:type="paragraph" w:customStyle="1" w:styleId="222">
    <w:name w:val="_Style 220"/>
    <w:basedOn w:val="2"/>
    <w:next w:val="1"/>
    <w:autoRedefine/>
    <w:qFormat/>
    <w:uiPriority w:val="0"/>
    <w:pPr>
      <w:widowControl/>
      <w:spacing w:before="480" w:beforeLines="0" w:after="0" w:afterLines="0" w:line="276" w:lineRule="auto"/>
      <w:jc w:val="left"/>
      <w:outlineLvl w:val="9"/>
    </w:pPr>
    <w:rPr>
      <w:rFonts w:ascii="Cambria" w:hAnsi="Cambria"/>
      <w:color w:val="365F91"/>
      <w:kern w:val="0"/>
      <w:sz w:val="28"/>
      <w:szCs w:val="28"/>
    </w:rPr>
  </w:style>
  <w:style w:type="paragraph" w:customStyle="1" w:styleId="223">
    <w:name w:val="Char Char Char Char Char Char Char"/>
    <w:basedOn w:val="1"/>
    <w:autoRedefine/>
    <w:semiHidden/>
    <w:qFormat/>
    <w:uiPriority w:val="0"/>
    <w:rPr>
      <w:szCs w:val="20"/>
    </w:rPr>
  </w:style>
  <w:style w:type="paragraph" w:customStyle="1" w:styleId="224">
    <w:name w:val="TOC 标题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25">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26">
    <w:name w:val="WPSOffice手动目录 1"/>
    <w:autoRedefine/>
    <w:qFormat/>
    <w:uiPriority w:val="0"/>
    <w:rPr>
      <w:rFonts w:ascii="Times New Roman" w:hAnsi="Times New Roman" w:eastAsia="宋体" w:cs="Times New Roman"/>
      <w:lang w:val="en-US" w:eastAsia="zh-CN" w:bidi="ar-SA"/>
    </w:rPr>
  </w:style>
  <w:style w:type="paragraph" w:customStyle="1" w:styleId="227">
    <w:name w:val="paragraph"/>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28">
    <w:name w:val="p0"/>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29">
    <w:name w:val="intel1"/>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30">
    <w:name w:val="WW-表格标题"/>
    <w:basedOn w:val="210"/>
    <w:autoRedefine/>
    <w:qFormat/>
    <w:uiPriority w:val="0"/>
  </w:style>
  <w:style w:type="paragraph" w:customStyle="1" w:styleId="231">
    <w:name w:val="ly"/>
    <w:basedOn w:val="1"/>
    <w:autoRedefine/>
    <w:qFormat/>
    <w:uiPriority w:val="0"/>
    <w:pPr>
      <w:widowControl/>
      <w:spacing w:before="30" w:beforeLines="0"/>
      <w:jc w:val="right"/>
    </w:pPr>
    <w:rPr>
      <w:rFonts w:ascii="方正书宋简体" w:hAnsi="宋体" w:eastAsia="方正书宋简体"/>
      <w:color w:val="000000"/>
      <w:kern w:val="0"/>
      <w:szCs w:val="21"/>
    </w:rPr>
  </w:style>
  <w:style w:type="paragraph" w:customStyle="1" w:styleId="232">
    <w:name w:val="1"/>
    <w:basedOn w:val="1"/>
    <w:autoRedefine/>
    <w:qFormat/>
    <w:uiPriority w:val="0"/>
    <w:pPr>
      <w:widowControl/>
      <w:spacing w:before="100" w:beforeLines="0" w:beforeAutospacing="1" w:after="100" w:afterLines="0" w:afterAutospacing="1"/>
      <w:jc w:val="left"/>
    </w:pPr>
    <w:rPr>
      <w:rFonts w:ascii="ˎ̥" w:hAnsi="ˎ̥" w:cs="宋体"/>
      <w:kern w:val="0"/>
      <w:sz w:val="24"/>
    </w:rPr>
  </w:style>
  <w:style w:type="paragraph" w:customStyle="1" w:styleId="233">
    <w:name w:val="表格标题"/>
    <w:basedOn w:val="208"/>
    <w:autoRedefine/>
    <w:qFormat/>
    <w:uiPriority w:val="0"/>
  </w:style>
  <w:style w:type="paragraph" w:customStyle="1" w:styleId="234">
    <w:name w:val="g2"/>
    <w:basedOn w:val="1"/>
    <w:autoRedefine/>
    <w:qFormat/>
    <w:uiPriority w:val="0"/>
    <w:pPr>
      <w:widowControl/>
      <w:spacing w:before="100" w:beforeLines="0" w:beforeAutospacing="1" w:after="100" w:afterLines="0" w:afterAutospacing="1"/>
      <w:jc w:val="left"/>
    </w:pPr>
    <w:rPr>
      <w:rFonts w:ascii="仿宋_GB2312" w:hAnsi="宋体" w:eastAsia="仿宋_GB2312" w:cs="宋体"/>
      <w:kern w:val="0"/>
      <w:sz w:val="17"/>
      <w:szCs w:val="17"/>
    </w:rPr>
  </w:style>
  <w:style w:type="paragraph" w:customStyle="1" w:styleId="235">
    <w:name w:val="正文1"/>
    <w:basedOn w:val="1"/>
    <w:autoRedefine/>
    <w:qFormat/>
    <w:uiPriority w:val="0"/>
    <w:pPr>
      <w:tabs>
        <w:tab w:val="left" w:pos="6020"/>
      </w:tabs>
      <w:adjustRightInd w:val="0"/>
      <w:snapToGrid w:val="0"/>
      <w:spacing w:line="460" w:lineRule="exact"/>
      <w:jc w:val="center"/>
    </w:pPr>
    <w:rPr>
      <w:rFonts w:ascii="宋体" w:hAnsi="宋体"/>
      <w:snapToGrid w:val="0"/>
      <w:kern w:val="0"/>
      <w:sz w:val="24"/>
      <w:szCs w:val="20"/>
    </w:rPr>
  </w:style>
  <w:style w:type="paragraph" w:customStyle="1" w:styleId="236">
    <w:name w:val="样式 标题 2 + Times New Roman 四号 非加粗 段前: 5 磅 段后: 0 磅 行距: 固定值 20..."/>
    <w:basedOn w:val="3"/>
    <w:autoRedefine/>
    <w:qFormat/>
    <w:uiPriority w:val="0"/>
    <w:pPr>
      <w:numPr>
        <w:ilvl w:val="1"/>
        <w:numId w:val="0"/>
      </w:numPr>
      <w:tabs>
        <w:tab w:val="clear" w:pos="576"/>
      </w:tabs>
      <w:spacing w:after="0" w:afterLines="0" w:line="400" w:lineRule="exact"/>
      <w:jc w:val="both"/>
    </w:pPr>
    <w:rPr>
      <w:rFonts w:eastAsia="黑体" w:cs="宋体"/>
      <w:b w:val="0"/>
      <w:szCs w:val="20"/>
    </w:rPr>
  </w:style>
  <w:style w:type="paragraph" w:customStyle="1" w:styleId="237">
    <w:name w:val="默认段落字体 Para Char Char Char Char Char Char Char Char Char Char Char Char Char"/>
    <w:basedOn w:val="1"/>
    <w:autoRedefine/>
    <w:qFormat/>
    <w:uiPriority w:val="0"/>
    <w:rPr>
      <w:szCs w:val="20"/>
    </w:rPr>
  </w:style>
  <w:style w:type="paragraph" w:customStyle="1" w:styleId="238">
    <w:name w:val="样式 样式 正文shen + 左侧:  1 字符 右侧:  1 字符 + 左侧:  1 字符 右侧:  1 字符"/>
    <w:basedOn w:val="1"/>
    <w:autoRedefine/>
    <w:qFormat/>
    <w:uiPriority w:val="0"/>
    <w:pPr>
      <w:ind w:left="100" w:leftChars="100" w:right="100" w:rightChars="100" w:firstLine="567"/>
    </w:pPr>
    <w:rPr>
      <w:rFonts w:cs="宋体"/>
      <w:snapToGrid w:val="0"/>
      <w:kern w:val="0"/>
      <w:sz w:val="28"/>
      <w:szCs w:val="20"/>
    </w:rPr>
  </w:style>
  <w:style w:type="paragraph" w:customStyle="1" w:styleId="239">
    <w:name w:val="g11"/>
    <w:basedOn w:val="1"/>
    <w:autoRedefine/>
    <w:qFormat/>
    <w:uiPriority w:val="0"/>
    <w:pPr>
      <w:widowControl/>
      <w:spacing w:before="100" w:beforeLines="0" w:beforeAutospacing="1" w:after="100" w:afterLines="0" w:afterAutospacing="1" w:line="465" w:lineRule="atLeast"/>
      <w:jc w:val="left"/>
    </w:pPr>
    <w:rPr>
      <w:rFonts w:ascii="华文中宋" w:hAnsi="华文中宋" w:eastAsia="华文中宋" w:cs="宋体"/>
      <w:b/>
      <w:bCs/>
      <w:color w:val="FF0000"/>
      <w:kern w:val="0"/>
      <w:sz w:val="31"/>
      <w:szCs w:val="31"/>
    </w:rPr>
  </w:style>
  <w:style w:type="paragraph" w:customStyle="1" w:styleId="240">
    <w:name w:val="样式2"/>
    <w:basedOn w:val="3"/>
    <w:autoRedefine/>
    <w:qFormat/>
    <w:uiPriority w:val="0"/>
    <w:pPr>
      <w:numPr>
        <w:ilvl w:val="1"/>
        <w:numId w:val="0"/>
      </w:numPr>
      <w:tabs>
        <w:tab w:val="clear" w:pos="576"/>
      </w:tabs>
      <w:autoSpaceDE w:val="0"/>
      <w:autoSpaceDN w:val="0"/>
      <w:adjustRightInd w:val="0"/>
      <w:spacing w:before="260" w:beforeLines="0" w:after="260" w:afterLines="0" w:line="300" w:lineRule="exact"/>
      <w:ind w:left="220" w:right="-20"/>
      <w:jc w:val="center"/>
    </w:pPr>
    <w:rPr>
      <w:rFonts w:ascii="宋体" w:hAnsi="宋体"/>
      <w:bCs/>
      <w:w w:val="99"/>
      <w:kern w:val="0"/>
      <w:szCs w:val="28"/>
    </w:rPr>
  </w:style>
  <w:style w:type="paragraph" w:customStyle="1" w:styleId="241">
    <w:name w:val="l-2"/>
    <w:basedOn w:val="1"/>
    <w:autoRedefine/>
    <w:qFormat/>
    <w:uiPriority w:val="0"/>
    <w:pPr>
      <w:widowControl/>
      <w:spacing w:before="100" w:beforeLines="0" w:beforeAutospacing="1" w:after="100" w:afterLines="0" w:afterAutospacing="1"/>
      <w:jc w:val="left"/>
    </w:pPr>
    <w:rPr>
      <w:rFonts w:ascii="宋体" w:hAnsi="宋体" w:cs="宋体"/>
      <w:b/>
      <w:bCs/>
      <w:color w:val="000000"/>
      <w:kern w:val="0"/>
      <w:sz w:val="13"/>
      <w:szCs w:val="13"/>
    </w:rPr>
  </w:style>
  <w:style w:type="paragraph" w:customStyle="1" w:styleId="242">
    <w:name w:val="mtitle"/>
    <w:basedOn w:val="1"/>
    <w:autoRedefine/>
    <w:qFormat/>
    <w:uiPriority w:val="0"/>
    <w:pPr>
      <w:widowControl/>
      <w:spacing w:before="30" w:beforeLines="0"/>
      <w:jc w:val="center"/>
    </w:pPr>
    <w:rPr>
      <w:rFonts w:ascii="微软雅黑" w:hAnsi="宋体" w:eastAsia="微软雅黑"/>
      <w:color w:val="000000"/>
      <w:kern w:val="0"/>
      <w:sz w:val="44"/>
      <w:szCs w:val="44"/>
    </w:rPr>
  </w:style>
  <w:style w:type="character" w:customStyle="1" w:styleId="243">
    <w:name w:val="NormalCharacter"/>
    <w:autoRedefine/>
    <w:semiHidden/>
    <w:qFormat/>
    <w:uiPriority w:val="0"/>
  </w:style>
  <w:style w:type="paragraph" w:customStyle="1" w:styleId="244">
    <w:name w:val="UserStyle_0"/>
    <w:basedOn w:val="1"/>
    <w:next w:val="1"/>
    <w:autoRedefine/>
    <w:qFormat/>
    <w:uiPriority w:val="0"/>
    <w:pPr>
      <w:spacing w:before="16"/>
      <w:jc w:val="left"/>
    </w:pPr>
    <w:rPr>
      <w:rFonts w:ascii="仿宋_GB2312" w:hAnsi="宋体" w:eastAsia="仿宋_GB2312" w:cs="仿宋_GB2312"/>
      <w:b/>
      <w:bCs/>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96</Pages>
  <Words>4616</Words>
  <Characters>5088</Characters>
  <Lines>468</Lines>
  <Paragraphs>131</Paragraphs>
  <TotalTime>63</TotalTime>
  <ScaleCrop>false</ScaleCrop>
  <LinksUpToDate>false</LinksUpToDate>
  <CharactersWithSpaces>5235</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2021-04-21T14:11:00Z</dcterms:created>
  <dc:creator>微软用户</dc:creator>
  <cp:lastModifiedBy>user</cp:lastModifiedBy>
  <cp:lastPrinted>2023-07-06T15:49:00Z</cp:lastPrinted>
  <dcterms:modified xsi:type="dcterms:W3CDTF">2025-04-27T10:41:12Z</dcterms:modified>
  <dc:title>陈家桥街道二号路西段道路工程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7462BE0C58EF4861899EE0BF9A8F4C48_13</vt:lpwstr>
  </property>
  <property fmtid="{D5CDD505-2E9C-101B-9397-08002B2CF9AE}" pid="4" name="KSOTemplateDocerSaveRecord">
    <vt:lpwstr>eyJoZGlkIjoiY2NkYjdiNGU1M2E0YjA4ZTBiNWExOWQzZWU3YWY0NTUiLCJ1c2VySWQiOiI0MzkwMjQ5MTEifQ==</vt:lpwstr>
  </property>
</Properties>
</file>