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26"/>
        </w:tabs>
        <w:ind w:firstLine="800" w:firstLineChars="200"/>
        <w:jc w:val="center"/>
        <w:rPr>
          <w:rFonts w:ascii="宋体" w:hAnsi="宋体"/>
          <w:b/>
          <w:color w:val="000000"/>
          <w:sz w:val="40"/>
          <w:szCs w:val="28"/>
        </w:rPr>
      </w:pPr>
      <w:bookmarkStart w:id="0" w:name="_Hlk26780924"/>
      <w:r>
        <w:rPr>
          <w:rFonts w:hint="eastAsia" w:ascii="宋体" w:hAnsi="宋体"/>
          <w:b/>
          <w:color w:val="000000"/>
          <w:sz w:val="40"/>
          <w:szCs w:val="28"/>
        </w:rPr>
        <w:t>东部新区停车位规划设计</w:t>
      </w:r>
    </w:p>
    <w:p>
      <w:pPr>
        <w:tabs>
          <w:tab w:val="left" w:pos="126"/>
        </w:tabs>
        <w:ind w:firstLine="800" w:firstLineChars="200"/>
        <w:jc w:val="center"/>
        <w:rPr>
          <w:rFonts w:ascii="宋体" w:hAnsi="宋体"/>
          <w:b/>
          <w:color w:val="000000"/>
          <w:sz w:val="40"/>
          <w:szCs w:val="28"/>
        </w:rPr>
      </w:pPr>
      <w:r>
        <w:rPr>
          <w:rFonts w:hint="eastAsia" w:ascii="宋体" w:hAnsi="宋体"/>
          <w:b/>
          <w:color w:val="000000"/>
          <w:sz w:val="40"/>
          <w:szCs w:val="28"/>
        </w:rPr>
        <w:t>施工图设计说明</w:t>
      </w:r>
      <w:bookmarkEnd w:id="0"/>
    </w:p>
    <w:p>
      <w:pPr>
        <w:tabs>
          <w:tab w:val="left" w:pos="126"/>
        </w:tabs>
        <w:ind w:firstLine="560" w:firstLineChars="200"/>
        <w:jc w:val="center"/>
        <w:rPr>
          <w:rFonts w:ascii="宋体" w:hAnsi="宋体"/>
          <w:b/>
          <w:bCs/>
          <w:sz w:val="28"/>
          <w:szCs w:val="28"/>
        </w:rPr>
      </w:pPr>
    </w:p>
    <w:p>
      <w:pPr>
        <w:tabs>
          <w:tab w:val="left" w:pos="126"/>
        </w:tabs>
        <w:ind w:firstLine="560" w:firstLineChars="200"/>
        <w:jc w:val="center"/>
        <w:rPr>
          <w:rFonts w:ascii="宋体" w:hAnsi="宋体"/>
          <w:b/>
          <w:bCs/>
          <w:sz w:val="28"/>
          <w:szCs w:val="28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pgSz w:w="23814" w:h="16839" w:orient="landscape"/>
          <w:pgMar w:top="1418" w:right="873" w:bottom="1797" w:left="2007" w:header="612" w:footer="850" w:gutter="0"/>
          <w:pgNumType w:fmt="decimal" w:start="1"/>
          <w:cols w:space="720" w:num="1"/>
          <w:docGrid w:type="linesAndChars" w:linePitch="312" w:charSpace="0"/>
        </w:sectPr>
      </w:pPr>
    </w:p>
    <w:p>
      <w:pPr>
        <w:numPr>
          <w:ilvl w:val="0"/>
          <w:numId w:val="2"/>
        </w:numPr>
        <w:spacing w:line="480" w:lineRule="auto"/>
        <w:outlineLvl w:val="0"/>
        <w:rPr>
          <w:rFonts w:ascii="宋体" w:hAnsi="宋体"/>
          <w:b/>
          <w:bCs/>
          <w:sz w:val="28"/>
          <w:szCs w:val="28"/>
        </w:rPr>
      </w:pPr>
      <w:bookmarkStart w:id="1" w:name="_Hlk26781129"/>
      <w:r>
        <w:rPr>
          <w:rFonts w:hint="eastAsia" w:ascii="宋体" w:hAnsi="宋体"/>
          <w:b/>
          <w:bCs/>
          <w:sz w:val="28"/>
          <w:szCs w:val="28"/>
        </w:rPr>
        <w:t xml:space="preserve"> 工程概况</w:t>
      </w:r>
    </w:p>
    <w:p>
      <w:pPr>
        <w:numPr>
          <w:ilvl w:val="1"/>
          <w:numId w:val="3"/>
        </w:numPr>
        <w:spacing w:line="360" w:lineRule="auto"/>
        <w:outlineLvl w:val="1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项目背景</w:t>
      </w:r>
    </w:p>
    <w:p>
      <w:pPr>
        <w:tabs>
          <w:tab w:val="left" w:pos="1"/>
        </w:tabs>
        <w:spacing w:beforeLines="0" w:afterLines="0" w:line="360" w:lineRule="auto"/>
        <w:ind w:firstLine="560" w:firstLineChars="200"/>
        <w:rPr>
          <w:rFonts w:hint="eastAsia" w:ascii="System" w:hAnsi="System" w:eastAsia="System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System" w:hAnsi="System" w:eastAsia="System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垫江县位于重庆市东北部，地处长江上游地区，距重庆主城区120公里，是重庆1小时经济圈和渝东北翼重要接点，渝川东部陆上交通枢纽和渝东北地区商贸流通、物资集散地。规划建设中的东部新区位于垫江县东北部，规划总面积为11.9平方公里，供开发用地8786亩，可建规模1100万平方米，规划总人口10万人，南靠牡丹大道，西接城市一环路，处三峡库区腹地，区位优越，交通发达，地势平坦。是垫江县城“50平方公里，50万人口”城市发展目标核心拓展区。</w:t>
      </w:r>
    </w:p>
    <w:p>
      <w:pPr>
        <w:tabs>
          <w:tab w:val="left" w:pos="1"/>
        </w:tabs>
        <w:spacing w:beforeLines="0" w:afterLines="0" w:line="360" w:lineRule="auto"/>
        <w:ind w:firstLine="560" w:firstLineChars="200"/>
        <w:rPr>
          <w:rFonts w:hint="eastAsia" w:ascii="System" w:hAnsi="System" w:eastAsia="System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System" w:hAnsi="System" w:eastAsia="System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本次建设的东部新区停车位规划设计项目包含约22条次支道路约3000个路边停车位规划设计。项目的实施将是新区停车设施的重要补充，将切实提升城市居民出行的品质提升。</w:t>
      </w:r>
    </w:p>
    <w:p>
      <w:pPr>
        <w:numPr>
          <w:ilvl w:val="1"/>
          <w:numId w:val="3"/>
        </w:numPr>
        <w:spacing w:line="360" w:lineRule="auto"/>
        <w:outlineLvl w:val="1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设计内容</w:t>
      </w:r>
    </w:p>
    <w:p>
      <w:pPr>
        <w:spacing w:line="360" w:lineRule="auto"/>
        <w:ind w:firstLine="551" w:firstLineChars="197"/>
        <w:rPr>
          <w:rFonts w:hint="eastAsia" w:eastAsia="宋体"/>
          <w:color w:val="000000"/>
          <w:sz w:val="28"/>
          <w:szCs w:val="28"/>
          <w:lang w:eastAsia="zh-CN"/>
        </w:rPr>
      </w:pPr>
      <w:r>
        <w:rPr>
          <w:rFonts w:hint="eastAsia"/>
          <w:color w:val="000000"/>
          <w:sz w:val="28"/>
          <w:szCs w:val="28"/>
        </w:rPr>
        <w:t>（1）</w:t>
      </w:r>
      <w:r>
        <w:rPr>
          <w:rFonts w:hint="eastAsia"/>
          <w:color w:val="000000"/>
          <w:sz w:val="28"/>
          <w:szCs w:val="28"/>
          <w:lang w:eastAsia="zh-CN"/>
        </w:rPr>
        <w:t>东部新区道路增设公共停车位。</w:t>
      </w:r>
    </w:p>
    <w:p>
      <w:pPr>
        <w:numPr>
          <w:ilvl w:val="1"/>
          <w:numId w:val="3"/>
        </w:numPr>
        <w:spacing w:line="360" w:lineRule="auto"/>
        <w:outlineLvl w:val="1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设计依据</w:t>
      </w:r>
    </w:p>
    <w:p>
      <w:pPr>
        <w:pStyle w:val="12"/>
        <w:numPr>
          <w:ilvl w:val="0"/>
          <w:numId w:val="4"/>
        </w:numPr>
        <w:tabs>
          <w:tab w:val="left" w:pos="840"/>
        </w:tabs>
        <w:spacing w:line="360" w:lineRule="auto"/>
        <w:ind w:firstLineChars="0"/>
        <w:rPr>
          <w:rFonts w:ascii="宋体" w:hAnsi="宋体"/>
          <w:sz w:val="28"/>
          <w:szCs w:val="28"/>
        </w:rPr>
      </w:pPr>
      <w:bookmarkStart w:id="2" w:name="_Hlk18415317"/>
      <w:r>
        <w:rPr>
          <w:rFonts w:hint="eastAsia" w:ascii="宋体" w:hAnsi="宋体"/>
          <w:sz w:val="28"/>
          <w:szCs w:val="28"/>
        </w:rPr>
        <w:t>甲方提供设计条件。</w:t>
      </w:r>
    </w:p>
    <w:p>
      <w:pPr>
        <w:pStyle w:val="12"/>
        <w:numPr>
          <w:ilvl w:val="0"/>
          <w:numId w:val="4"/>
        </w:numPr>
        <w:tabs>
          <w:tab w:val="left" w:pos="840"/>
        </w:tabs>
        <w:spacing w:line="360" w:lineRule="auto"/>
        <w:ind w:firstLineChars="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工程范围内1：500现状地形图</w:t>
      </w:r>
    </w:p>
    <w:p>
      <w:pPr>
        <w:pStyle w:val="12"/>
        <w:numPr>
          <w:ilvl w:val="0"/>
          <w:numId w:val="4"/>
        </w:numPr>
        <w:tabs>
          <w:tab w:val="left" w:pos="840"/>
        </w:tabs>
        <w:spacing w:line="360" w:lineRule="auto"/>
        <w:ind w:firstLineChars="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与本项目有关的其它相关资料</w:t>
      </w:r>
    </w:p>
    <w:p>
      <w:pPr>
        <w:pStyle w:val="12"/>
        <w:numPr>
          <w:ilvl w:val="0"/>
          <w:numId w:val="4"/>
        </w:numPr>
        <w:tabs>
          <w:tab w:val="left" w:pos="840"/>
        </w:tabs>
        <w:spacing w:line="360" w:lineRule="auto"/>
        <w:ind w:firstLineChars="0"/>
        <w:rPr>
          <w:rFonts w:ascii="宋体" w:hAnsi="宋体"/>
          <w:sz w:val="28"/>
          <w:szCs w:val="28"/>
        </w:rPr>
      </w:pP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《中华人民共和国道路交通安全法》</w:t>
      </w:r>
    </w:p>
    <w:p>
      <w:pPr>
        <w:pStyle w:val="12"/>
        <w:numPr>
          <w:ilvl w:val="0"/>
          <w:numId w:val="4"/>
        </w:numPr>
        <w:tabs>
          <w:tab w:val="left" w:pos="840"/>
        </w:tabs>
        <w:spacing w:line="432" w:lineRule="auto"/>
        <w:ind w:firstLineChars="0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《城市道路交通工程项目规范》GB55011-2021</w:t>
      </w:r>
    </w:p>
    <w:p>
      <w:pPr>
        <w:pStyle w:val="12"/>
        <w:numPr>
          <w:ilvl w:val="0"/>
          <w:numId w:val="4"/>
        </w:numPr>
        <w:tabs>
          <w:tab w:val="left" w:pos="840"/>
        </w:tabs>
        <w:spacing w:line="360" w:lineRule="auto"/>
        <w:ind w:firstLineChars="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《道路交通标志和标线》（GB 5768-2009）</w:t>
      </w:r>
    </w:p>
    <w:p>
      <w:pPr>
        <w:pStyle w:val="12"/>
        <w:numPr>
          <w:ilvl w:val="0"/>
          <w:numId w:val="4"/>
        </w:numPr>
        <w:tabs>
          <w:tab w:val="left" w:pos="840"/>
        </w:tabs>
        <w:spacing w:line="360" w:lineRule="auto"/>
        <w:ind w:firstLineChars="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《城市道路交通标志和标线设置规范》（GB 51038-2015）</w:t>
      </w:r>
    </w:p>
    <w:p>
      <w:pPr>
        <w:pStyle w:val="12"/>
        <w:numPr>
          <w:ilvl w:val="0"/>
          <w:numId w:val="4"/>
        </w:numPr>
        <w:tabs>
          <w:tab w:val="left" w:pos="840"/>
        </w:tabs>
        <w:spacing w:line="360" w:lineRule="auto"/>
        <w:ind w:firstLineChars="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《道路交通标线质量要求和检测方法》（GB/T 16311-2009）</w:t>
      </w:r>
    </w:p>
    <w:p>
      <w:pPr>
        <w:pStyle w:val="12"/>
        <w:numPr>
          <w:ilvl w:val="0"/>
          <w:numId w:val="4"/>
        </w:numPr>
        <w:tabs>
          <w:tab w:val="left" w:pos="840"/>
        </w:tabs>
        <w:spacing w:line="360" w:lineRule="auto"/>
        <w:ind w:firstLineChars="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《路面标线涂料》(JT/T 280-2004)</w:t>
      </w:r>
    </w:p>
    <w:p>
      <w:pPr>
        <w:pStyle w:val="12"/>
        <w:numPr>
          <w:ilvl w:val="0"/>
          <w:numId w:val="4"/>
        </w:numPr>
        <w:tabs>
          <w:tab w:val="left" w:pos="840"/>
        </w:tabs>
        <w:spacing w:line="360" w:lineRule="auto"/>
        <w:ind w:firstLineChars="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《城市道路交通设施设计规范》(GB 50688-2011)</w:t>
      </w:r>
    </w:p>
    <w:p>
      <w:pPr>
        <w:pStyle w:val="12"/>
        <w:numPr>
          <w:ilvl w:val="0"/>
          <w:numId w:val="4"/>
        </w:numPr>
        <w:tabs>
          <w:tab w:val="left" w:pos="840"/>
        </w:tabs>
        <w:spacing w:line="360" w:lineRule="auto"/>
        <w:ind w:firstLineChars="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《视觉信号表面色》（GB/T 8416-2003）</w:t>
      </w:r>
    </w:p>
    <w:p>
      <w:pPr>
        <w:pStyle w:val="12"/>
        <w:numPr>
          <w:ilvl w:val="0"/>
          <w:numId w:val="4"/>
        </w:numPr>
        <w:tabs>
          <w:tab w:val="left" w:pos="840"/>
        </w:tabs>
        <w:spacing w:line="360" w:lineRule="auto"/>
        <w:ind w:firstLineChars="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《重庆市城市道路交通管理设施设置规范》（DB 50/T548-2014）</w:t>
      </w:r>
    </w:p>
    <w:p>
      <w:pPr>
        <w:pStyle w:val="12"/>
        <w:numPr>
          <w:ilvl w:val="0"/>
          <w:numId w:val="4"/>
        </w:numPr>
        <w:tabs>
          <w:tab w:val="left" w:pos="840"/>
        </w:tabs>
        <w:spacing w:line="360" w:lineRule="auto"/>
        <w:ind w:firstLineChars="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国家及重庆市现行其他有关标准、规范、规程与规定</w:t>
      </w:r>
    </w:p>
    <w:bookmarkEnd w:id="1"/>
    <w:bookmarkEnd w:id="2"/>
    <w:p>
      <w:pPr>
        <w:numPr>
          <w:ilvl w:val="0"/>
          <w:numId w:val="2"/>
        </w:numPr>
        <w:spacing w:line="480" w:lineRule="auto"/>
        <w:outlineLvl w:val="0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标线设计</w:t>
      </w:r>
    </w:p>
    <w:p>
      <w:pPr>
        <w:pStyle w:val="14"/>
        <w:numPr>
          <w:ilvl w:val="0"/>
          <w:numId w:val="5"/>
        </w:numPr>
        <w:spacing w:line="360" w:lineRule="auto"/>
        <w:ind w:firstLineChars="0"/>
        <w:outlineLvl w:val="1"/>
        <w:rPr>
          <w:rFonts w:ascii="宋体" w:hAnsi="宋体"/>
          <w:b/>
          <w:bCs/>
          <w:vanish/>
          <w:kern w:val="2"/>
          <w:sz w:val="28"/>
          <w:szCs w:val="28"/>
        </w:rPr>
      </w:pPr>
    </w:p>
    <w:p>
      <w:pPr>
        <w:pStyle w:val="14"/>
        <w:numPr>
          <w:ilvl w:val="0"/>
          <w:numId w:val="5"/>
        </w:numPr>
        <w:spacing w:line="360" w:lineRule="auto"/>
        <w:ind w:firstLineChars="0"/>
        <w:outlineLvl w:val="1"/>
        <w:rPr>
          <w:rFonts w:ascii="宋体" w:hAnsi="宋体"/>
          <w:b/>
          <w:bCs/>
          <w:vanish/>
          <w:kern w:val="2"/>
          <w:sz w:val="28"/>
          <w:szCs w:val="28"/>
        </w:rPr>
      </w:pPr>
    </w:p>
    <w:p>
      <w:pPr>
        <w:numPr>
          <w:ilvl w:val="0"/>
          <w:numId w:val="0"/>
        </w:numPr>
        <w:spacing w:line="360" w:lineRule="auto"/>
        <w:ind w:left="425" w:leftChars="0"/>
        <w:outlineLvl w:val="9"/>
        <w:rPr>
          <w:rFonts w:hint="eastAsia" w:ascii="宋体" w:hAnsi="宋体"/>
          <w:b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bCs/>
          <w:sz w:val="28"/>
          <w:szCs w:val="28"/>
          <w:lang w:eastAsia="zh-CN"/>
        </w:rPr>
        <w:t>车位标线</w:t>
      </w:r>
    </w:p>
    <w:p>
      <w:pPr>
        <w:spacing w:before="60" w:beforeLines="0" w:afterLines="0"/>
        <w:jc w:val="left"/>
        <w:rPr>
          <w:rFonts w:hint="eastAsia" w:ascii="System" w:hAnsi="System" w:eastAsia="System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System" w:hAnsi="System" w:eastAsia="System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1.车位尺寸：</w:t>
      </w:r>
      <w:r>
        <w:rPr>
          <w:rFonts w:hint="eastAsia" w:ascii="System" w:hAnsi="System" w:eastAsia="System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2.5</w:t>
      </w:r>
      <w:r>
        <w:rPr>
          <w:rFonts w:hint="eastAsia" w:ascii="System" w:hAnsi="System" w:eastAsia="System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m*6m</w:t>
      </w:r>
    </w:p>
    <w:p>
      <w:pPr>
        <w:spacing w:before="60" w:beforeLines="0" w:afterLines="0"/>
        <w:jc w:val="left"/>
        <w:rPr>
          <w:rFonts w:hint="eastAsia" w:ascii="System" w:hAnsi="System" w:eastAsia="System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System" w:hAnsi="System" w:eastAsia="System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2.车位边缘线采用线宽15cm的白色热熔型涂料面撒反光玻璃珠的标线；</w:t>
      </w:r>
    </w:p>
    <w:p>
      <w:pPr>
        <w:spacing w:before="60" w:beforeLines="0" w:afterLines="0"/>
        <w:jc w:val="left"/>
        <w:rPr>
          <w:rFonts w:hint="eastAsia" w:ascii="System" w:hAnsi="System" w:eastAsia="System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System" w:hAnsi="System" w:eastAsia="System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3.施工技术要求：</w:t>
      </w:r>
    </w:p>
    <w:p>
      <w:pPr>
        <w:spacing w:before="60" w:beforeLines="0" w:afterLines="0"/>
        <w:jc w:val="left"/>
        <w:rPr>
          <w:rFonts w:hint="eastAsia" w:ascii="System" w:hAnsi="System" w:eastAsia="System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System" w:hAnsi="System" w:eastAsia="System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    1）所有标线及标记均采用热熔型反光涂料；</w:t>
      </w:r>
    </w:p>
    <w:p>
      <w:pPr>
        <w:tabs>
          <w:tab w:val="left" w:pos="1"/>
        </w:tabs>
        <w:spacing w:beforeLines="0" w:afterLines="0" w:line="360" w:lineRule="auto"/>
        <w:rPr>
          <w:rFonts w:hint="eastAsia" w:ascii="System" w:hAnsi="System" w:eastAsia="System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System" w:hAnsi="System" w:eastAsia="System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标线材料应符合《路面标线涂料》(JT/T280-2004)的规定。</w:t>
      </w:r>
    </w:p>
    <w:p>
      <w:pPr>
        <w:tabs>
          <w:tab w:val="left" w:pos="1"/>
        </w:tabs>
        <w:spacing w:beforeLines="0" w:afterLines="0" w:line="360" w:lineRule="auto"/>
        <w:rPr>
          <w:rFonts w:hint="eastAsia" w:ascii="System" w:hAnsi="System" w:eastAsia="System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System" w:hAnsi="System" w:eastAsia="System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标线的颜色及形状应符合《道路交通标志和标线》（GB5768.3－2009）的规定和设计要求。</w:t>
      </w:r>
    </w:p>
    <w:p>
      <w:pPr>
        <w:numPr>
          <w:ilvl w:val="0"/>
          <w:numId w:val="6"/>
        </w:numPr>
        <w:spacing w:beforeLines="0" w:afterLines="0"/>
        <w:ind w:left="560" w:leftChars="0" w:firstLine="0" w:firstLineChars="0"/>
        <w:jc w:val="left"/>
        <w:rPr>
          <w:rFonts w:hint="eastAsia" w:ascii="System" w:hAnsi="System" w:eastAsia="System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System" w:hAnsi="System" w:eastAsia="System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所有标线干燥后的厚度为2.00mm±10%，涂料中应混合占总量18%的玻璃微珠，在喷涂时，标线表面还应均撒0.3Kg/ m2的玻璃微珠；</w:t>
      </w:r>
    </w:p>
    <w:p>
      <w:pPr>
        <w:numPr>
          <w:ilvl w:val="0"/>
          <w:numId w:val="6"/>
        </w:numPr>
        <w:spacing w:beforeLines="0" w:afterLines="0"/>
        <w:ind w:left="560" w:leftChars="0" w:firstLine="0" w:firstLineChars="0"/>
        <w:jc w:val="left"/>
        <w:rPr>
          <w:rFonts w:hint="eastAsia" w:ascii="System" w:hAnsi="System" w:eastAsia="System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System" w:hAnsi="System" w:eastAsia="System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施工前应设置相应的施工安全设施，彻底清扫标线施工范围内的路面，不得有起灰现象，并按设计或原有的线型要求放样；各种标线或底漆漆划后，应放置锥型路标等护线物体，加强护线措施，不应有车轮带出涂料、压漆现象；检查涂敷后标线的色泽、厚度、宽度、玻璃珠撒布的质量和数量以及线型等，对不符合要求的标线进行修整，并将残留物清除干净。</w:t>
      </w:r>
    </w:p>
    <w:p>
      <w:pPr>
        <w:numPr>
          <w:ilvl w:val="0"/>
          <w:numId w:val="0"/>
        </w:numPr>
        <w:spacing w:line="360" w:lineRule="auto"/>
        <w:ind w:left="425" w:leftChars="0"/>
        <w:outlineLvl w:val="9"/>
        <w:rPr>
          <w:rFonts w:hint="eastAsia" w:ascii="宋体" w:hAnsi="宋体"/>
          <w:b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bCs/>
          <w:sz w:val="28"/>
          <w:szCs w:val="28"/>
          <w:lang w:eastAsia="zh-CN"/>
        </w:rPr>
        <w:t>车位设置要求</w:t>
      </w:r>
    </w:p>
    <w:p>
      <w:pPr>
        <w:spacing w:before="60" w:beforeLines="0" w:afterLines="0"/>
        <w:jc w:val="left"/>
        <w:rPr>
          <w:rFonts w:hint="eastAsia" w:ascii="System" w:hAnsi="System" w:eastAsia="System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System" w:hAnsi="System" w:eastAsia="System"/>
          <w:color w:val="FFFFFF"/>
          <w:sz w:val="24"/>
          <w:szCs w:val="24"/>
        </w:rPr>
        <w:t>四、</w:t>
      </w:r>
      <w:r>
        <w:rPr>
          <w:rFonts w:hint="eastAsia" w:ascii="System" w:hAnsi="System" w:eastAsia="System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1.停车位的设置不应侵占消防车通道、盲道及行人过街设施。停车位的设置应综合考虑道路、交通运行等条件，并兼顾停车需求。</w:t>
      </w:r>
    </w:p>
    <w:p>
      <w:pPr>
        <w:spacing w:before="60" w:beforeLines="0" w:afterLines="0"/>
        <w:jc w:val="left"/>
        <w:rPr>
          <w:rFonts w:hint="eastAsia" w:ascii="System" w:hAnsi="System" w:eastAsia="System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System" w:hAnsi="System" w:eastAsia="System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2.停车位标志、标线的设置应符合 GB 5768.2、GB5768.3、GB 51038 和 GA/T 1271 的规定。</w:t>
      </w:r>
    </w:p>
    <w:p>
      <w:pPr>
        <w:spacing w:before="60" w:beforeLines="0" w:afterLines="0"/>
        <w:jc w:val="left"/>
        <w:rPr>
          <w:rFonts w:hint="eastAsia" w:ascii="System" w:hAnsi="System" w:eastAsia="System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System" w:hAnsi="System" w:eastAsia="System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3.停车位宜设置停车位编码，编码规则和喷涂方式见 GA/T 1271。</w:t>
      </w:r>
    </w:p>
    <w:p>
      <w:pPr>
        <w:spacing w:before="60" w:beforeLines="0" w:afterLines="0"/>
        <w:jc w:val="left"/>
        <w:rPr>
          <w:rFonts w:hint="eastAsia" w:ascii="System" w:hAnsi="System" w:eastAsia="System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System" w:hAnsi="System" w:eastAsia="System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4.道路条件：</w:t>
      </w:r>
    </w:p>
    <w:p>
      <w:pPr>
        <w:spacing w:before="60" w:beforeLines="0" w:afterLines="0"/>
        <w:jc w:val="left"/>
        <w:rPr>
          <w:rFonts w:hint="eastAsia" w:ascii="System" w:hAnsi="System" w:eastAsia="System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System" w:hAnsi="System" w:eastAsia="System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1）下列路段和区域不应设置停车位：</w:t>
      </w:r>
    </w:p>
    <w:p>
      <w:pPr>
        <w:spacing w:before="60" w:beforeLines="0" w:afterLines="0"/>
        <w:jc w:val="left"/>
        <w:rPr>
          <w:rFonts w:hint="eastAsia" w:ascii="System" w:hAnsi="System" w:eastAsia="System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System" w:hAnsi="System" w:eastAsia="System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a) 快速路主路；b) 人行横道；c) 主干路、次干路交叉口渐变段的起点开始的路段，若交叉口未展宽则距离交叉口停止线50m以内的路段；d) 支路距离交叉口停止线20m以内的路段；e) 铁路道口、急弯路、宽度不足4m的窄路、桥梁、陡坡、隧道及距离50m以内的路段； f)  公交车站、急救站、加油站或消防队(站)门前及距离30m以内的路段；g) 水、电、气等地下管道工作井及1.5m以内的路段。</w:t>
      </w:r>
    </w:p>
    <w:p>
      <w:pPr>
        <w:spacing w:line="360" w:lineRule="auto"/>
        <w:ind w:left="565"/>
        <w:jc w:val="lef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交通标线材料及施工要求：</w:t>
      </w:r>
    </w:p>
    <w:p>
      <w:pPr>
        <w:numPr>
          <w:ilvl w:val="0"/>
          <w:numId w:val="7"/>
        </w:numPr>
        <w:tabs>
          <w:tab w:val="left" w:pos="851"/>
        </w:tabs>
        <w:spacing w:line="360" w:lineRule="auto"/>
        <w:ind w:left="849" w:leftChars="270" w:hanging="282" w:hangingChars="101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所有标线材料均采用热熔型反光涂料</w:t>
      </w:r>
      <w:r>
        <w:rPr>
          <w:rFonts w:hint="eastAsia"/>
          <w:sz w:val="28"/>
          <w:szCs w:val="28"/>
        </w:rPr>
        <w:t>（表面撒反光玻珠）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numPr>
          <w:ilvl w:val="0"/>
          <w:numId w:val="7"/>
        </w:numPr>
        <w:tabs>
          <w:tab w:val="left" w:pos="851"/>
        </w:tabs>
        <w:spacing w:line="360" w:lineRule="auto"/>
        <w:ind w:left="849" w:leftChars="270" w:hanging="282" w:hangingChars="101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标线材料应符合部标《路面标线涂料》(JT/T280-2004)的规定。</w:t>
      </w:r>
    </w:p>
    <w:p>
      <w:pPr>
        <w:numPr>
          <w:ilvl w:val="0"/>
          <w:numId w:val="7"/>
        </w:numPr>
        <w:tabs>
          <w:tab w:val="left" w:pos="840"/>
        </w:tabs>
        <w:spacing w:line="360" w:lineRule="auto"/>
        <w:ind w:left="849" w:leftChars="270" w:hanging="282" w:hangingChars="101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标线的颜色及形状应符合《道路交通标志和标线》(GB5768.2－2009)的规定和设计要求。</w:t>
      </w:r>
    </w:p>
    <w:p>
      <w:pPr>
        <w:numPr>
          <w:ilvl w:val="0"/>
          <w:numId w:val="7"/>
        </w:numPr>
        <w:tabs>
          <w:tab w:val="left" w:pos="851"/>
        </w:tabs>
        <w:spacing w:line="360" w:lineRule="auto"/>
        <w:ind w:left="849" w:leftChars="270" w:hanging="282" w:hangingChars="101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所有标线干燥后的厚度为2mm，涂料中应混合占总量18%的玻璃微珠，在喷涂时，标线表面还应均撒0.3Kg/㎡的玻璃微珠。</w:t>
      </w:r>
    </w:p>
    <w:p>
      <w:pPr>
        <w:numPr>
          <w:ilvl w:val="0"/>
          <w:numId w:val="7"/>
        </w:numPr>
        <w:tabs>
          <w:tab w:val="left" w:pos="851"/>
        </w:tabs>
        <w:spacing w:line="360" w:lineRule="auto"/>
        <w:ind w:left="849" w:leftChars="270" w:hanging="282" w:hangingChars="101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施工路面标线之前，要求路面干燥、清洁，除净杂物及灰尘。</w:t>
      </w:r>
    </w:p>
    <w:p>
      <w:pPr>
        <w:numPr>
          <w:ilvl w:val="0"/>
          <w:numId w:val="7"/>
        </w:numPr>
        <w:tabs>
          <w:tab w:val="left" w:pos="840"/>
        </w:tabs>
        <w:spacing w:line="360" w:lineRule="auto"/>
        <w:ind w:left="849" w:leftChars="270" w:hanging="282" w:hangingChars="101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车道边缘线不得侵占车行道宽度。</w:t>
      </w:r>
    </w:p>
    <w:p>
      <w:pPr>
        <w:numPr>
          <w:ilvl w:val="0"/>
          <w:numId w:val="7"/>
        </w:numPr>
        <w:tabs>
          <w:tab w:val="left" w:pos="840"/>
        </w:tabs>
        <w:spacing w:line="360" w:lineRule="auto"/>
        <w:ind w:left="849" w:leftChars="270" w:hanging="282" w:hangingChars="101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划标线之前，要根据设计图纸要求并结合道路平曲线要素实地放线，以保证标线位置精确、线形顺畅。</w:t>
      </w:r>
    </w:p>
    <w:p>
      <w:pPr>
        <w:numPr>
          <w:ilvl w:val="0"/>
          <w:numId w:val="7"/>
        </w:numPr>
        <w:tabs>
          <w:tab w:val="left" w:pos="840"/>
        </w:tabs>
        <w:spacing w:line="360" w:lineRule="auto"/>
        <w:ind w:left="849" w:leftChars="270" w:hanging="282" w:hangingChars="101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标线施划厚度允许偏差±0.25mm，宽度允许偏差±5mm，长度偏差±50mm，横向偏位±30mm。喷涂后边缘无明显毛边，顺直平滑。</w:t>
      </w:r>
    </w:p>
    <w:p>
      <w:pPr>
        <w:numPr>
          <w:ilvl w:val="0"/>
          <w:numId w:val="7"/>
        </w:numPr>
        <w:tabs>
          <w:tab w:val="left" w:pos="851"/>
        </w:tabs>
        <w:spacing w:line="360" w:lineRule="auto"/>
        <w:ind w:left="849" w:leftChars="270" w:hanging="282" w:hangingChars="101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标线的颜色及形状应符合《道路交通标志和标线》（GB5768.2－2009）、《城市道路交通标志和标线设置规范》（GB 50138-2015）以及《重庆市城市道路交通管理设施设置规范》（DB 50/T 548-2014）的规定和设计要求。</w:t>
      </w:r>
    </w:p>
    <w:p>
      <w:pPr>
        <w:numPr>
          <w:ilvl w:val="0"/>
          <w:numId w:val="7"/>
        </w:numPr>
        <w:tabs>
          <w:tab w:val="left" w:pos="851"/>
        </w:tabs>
        <w:spacing w:line="360" w:lineRule="auto"/>
        <w:ind w:left="849" w:leftChars="270" w:hanging="282" w:hangingChars="101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交通标线的材料要求</w:t>
      </w:r>
    </w:p>
    <w:p>
      <w:pPr>
        <w:numPr>
          <w:ilvl w:val="0"/>
          <w:numId w:val="7"/>
        </w:numPr>
        <w:tabs>
          <w:tab w:val="left" w:pos="851"/>
        </w:tabs>
        <w:spacing w:line="360" w:lineRule="auto"/>
        <w:ind w:left="849" w:leftChars="270" w:hanging="282" w:hangingChars="101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用于施划道路交通标线的涂料，应符合下列要求:</w:t>
      </w:r>
    </w:p>
    <w:p>
      <w:pPr>
        <w:numPr>
          <w:ilvl w:val="0"/>
          <w:numId w:val="7"/>
        </w:numPr>
        <w:tabs>
          <w:tab w:val="left" w:pos="851"/>
        </w:tabs>
        <w:spacing w:line="360" w:lineRule="auto"/>
        <w:ind w:left="849" w:leftChars="270" w:hanging="282" w:hangingChars="101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应具有抗滑性能，不宜低于所在道路路面的抗滑要求;</w:t>
      </w:r>
    </w:p>
    <w:p>
      <w:pPr>
        <w:numPr>
          <w:ilvl w:val="0"/>
          <w:numId w:val="7"/>
        </w:numPr>
        <w:tabs>
          <w:tab w:val="left" w:pos="851"/>
        </w:tabs>
        <w:spacing w:line="360" w:lineRule="auto"/>
        <w:ind w:left="849" w:leftChars="270" w:hanging="282" w:hangingChars="101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具有磨性能，保证正常的使用寿命;</w:t>
      </w:r>
    </w:p>
    <w:p>
      <w:pPr>
        <w:numPr>
          <w:ilvl w:val="0"/>
          <w:numId w:val="7"/>
        </w:numPr>
        <w:tabs>
          <w:tab w:val="left" w:pos="851"/>
        </w:tabs>
        <w:spacing w:line="360" w:lineRule="auto"/>
        <w:ind w:left="849" w:leftChars="270" w:hanging="282" w:hangingChars="101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应具有可视性，具备良好的反射能力，白天、夜间及雨天视认性符合要求;</w:t>
      </w:r>
    </w:p>
    <w:p>
      <w:pPr>
        <w:numPr>
          <w:ilvl w:val="0"/>
          <w:numId w:val="7"/>
        </w:numPr>
        <w:tabs>
          <w:tab w:val="left" w:pos="851"/>
        </w:tabs>
        <w:spacing w:line="360" w:lineRule="auto"/>
        <w:ind w:left="849" w:leftChars="270" w:hanging="282" w:hangingChars="101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干燥时间应短，操作应简单，利于施工;</w:t>
      </w:r>
    </w:p>
    <w:p>
      <w:pPr>
        <w:numPr>
          <w:ilvl w:val="0"/>
          <w:numId w:val="7"/>
        </w:numPr>
        <w:tabs>
          <w:tab w:val="left" w:pos="851"/>
        </w:tabs>
        <w:spacing w:line="360" w:lineRule="auto"/>
        <w:ind w:left="849" w:leftChars="270" w:hanging="282" w:hangingChars="101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应具有良好的环保性能。</w:t>
      </w:r>
    </w:p>
    <w:p>
      <w:pPr>
        <w:numPr>
          <w:ilvl w:val="0"/>
          <w:numId w:val="7"/>
        </w:numPr>
        <w:tabs>
          <w:tab w:val="left" w:pos="851"/>
        </w:tabs>
        <w:spacing w:line="360" w:lineRule="auto"/>
        <w:ind w:left="849" w:leftChars="270" w:hanging="282" w:hangingChars="101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规定的使用期限内标线不应出现明显的变色。道路交通标线颜色的色度性能应符合现行国家标准《道路交通标线质量要求和检测方法》GB/T16311的规定。</w:t>
      </w:r>
    </w:p>
    <w:p>
      <w:pPr>
        <w:numPr>
          <w:ilvl w:val="0"/>
          <w:numId w:val="7"/>
        </w:numPr>
        <w:tabs>
          <w:tab w:val="left" w:pos="851"/>
        </w:tabs>
        <w:spacing w:line="360" w:lineRule="auto"/>
        <w:ind w:left="849" w:leftChars="270" w:hanging="282" w:hangingChars="101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城市快速路、主干路应采用反光标线，次干路、支路及其他城市道路可根据需要采用反光标线。白色反光标线的亮度因数应大于或等于035,黄色反光标线的亮度因数应大于或等于027。在多雨地区易积水路段和人机非混行路段，宜采用水下反光标线材料或附加突起路标。</w:t>
      </w:r>
    </w:p>
    <w:p>
      <w:pPr>
        <w:numPr>
          <w:ilvl w:val="0"/>
          <w:numId w:val="7"/>
        </w:numPr>
        <w:tabs>
          <w:tab w:val="left" w:pos="851"/>
        </w:tabs>
        <w:spacing w:line="360" w:lineRule="auto"/>
        <w:ind w:left="849" w:leftChars="270" w:hanging="282" w:hangingChars="101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新施划标线的初始逆反射亮度系数应符合现行国家标准《新划路面标线初始逆反射亮度系数及测试方法》GB/T21383的规定，白色反光标线的逆反射亮度系数不应低于150mcd·m-21x-1,黄色反光标线的逆反射亮度系数不应低于100mcd·m-21x-¹。</w:t>
      </w:r>
    </w:p>
    <w:p>
      <w:pPr>
        <w:numPr>
          <w:ilvl w:val="0"/>
          <w:numId w:val="7"/>
        </w:numPr>
        <w:tabs>
          <w:tab w:val="left" w:pos="851"/>
        </w:tabs>
        <w:spacing w:line="360" w:lineRule="auto"/>
        <w:ind w:left="849" w:leftChars="270" w:hanging="282" w:hangingChars="101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标线在正常使用期间，反射标线的逆反射系数应满足夜间水下视认要求，白色反光标线的逆反射亮度系数不应低于80mcd·m-2·1x-1，黄色反光标线的逆反射亮度系数不应低于50mcd·m-2·1x-1。</w:t>
      </w:r>
    </w:p>
    <w:p>
      <w:pPr>
        <w:numPr>
          <w:ilvl w:val="0"/>
          <w:numId w:val="7"/>
        </w:numPr>
        <w:tabs>
          <w:tab w:val="left" w:pos="851"/>
        </w:tabs>
        <w:spacing w:line="360" w:lineRule="auto"/>
        <w:ind w:left="849" w:leftChars="270" w:hanging="282" w:hangingChars="101"/>
        <w:jc w:val="left"/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标线应使用抗滑材料，抗滑值应不小于 </w:t>
      </w:r>
      <w:r>
        <w:rPr>
          <w:rFonts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45BPN</w:t>
      </w:r>
    </w:p>
    <w:p>
      <w:pPr>
        <w:spacing w:beforeLines="0" w:afterLines="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本施工图未尽事宜，需告知业主和设计师，由设计师根据项目实际情况和业主商定确认。</w:t>
      </w:r>
    </w:p>
    <w:tbl>
      <w:tblPr>
        <w:tblStyle w:val="9"/>
        <w:tblpPr w:leftFromText="180" w:rightFromText="180" w:vertAnchor="text" w:horzAnchor="page" w:tblpX="13739" w:tblpY="330"/>
        <w:tblOverlap w:val="never"/>
        <w:tblW w:w="70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0"/>
        <w:gridCol w:w="2025"/>
        <w:gridCol w:w="1348"/>
        <w:gridCol w:w="1687"/>
        <w:gridCol w:w="10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车位统计表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道路名称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车位数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车位布置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丹 桂 街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单侧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规划支路一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单侧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朝阳北路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397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双侧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规划支路二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单侧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规划支路三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单侧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规划支路四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192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双侧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凤 凰 街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单侧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 新 路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双侧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冬 雪 街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双侧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 田 路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双侧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 鹤 路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单侧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东 康 路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单侧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 福 路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双侧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桂 水 街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210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双侧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桂 澄 街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双侧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北新东路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双侧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桂 青 街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双侧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规划支路五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204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双侧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葛 塘 路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241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双侧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霞 云 路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单侧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 岭 街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单侧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峡云大道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双侧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30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317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spacing w:beforeLines="0" w:afterLines="0"/>
        <w:jc w:val="left"/>
        <w:rPr>
          <w:rFonts w:hint="eastAsia" w:ascii="宋体" w:hAnsi="宋体"/>
          <w:sz w:val="28"/>
          <w:szCs w:val="28"/>
        </w:rPr>
      </w:pPr>
    </w:p>
    <w:p>
      <w:pPr>
        <w:rPr>
          <w:sz w:val="24"/>
        </w:rPr>
      </w:pPr>
      <w:bookmarkStart w:id="3" w:name="_GoBack"/>
      <w:bookmarkEnd w:id="3"/>
    </w:p>
    <w:sectPr>
      <w:type w:val="continuous"/>
      <w:pgSz w:w="23814" w:h="16839" w:orient="landscape"/>
      <w:pgMar w:top="1797" w:right="839" w:bottom="1797" w:left="2041" w:header="612" w:footer="850" w:gutter="0"/>
      <w:pgNumType w:fmt="decimal"/>
      <w:cols w:equalWidth="0" w:num="2">
        <w:col w:w="10254" w:space="425"/>
        <w:col w:w="10254"/>
      </w:cols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ystem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bVWnMqAgAAVQQAAA4AAABkcnMvZTJvRG9jLnhtbK1UzY7TMBC+I/EO&#10;lu80bRFVVTVdla2KkCp2pQVxdh2nieQ/2W6T8gDwBpy4cOe5+hx8dpIuWjjsgYsz9oy/8ffNTJY3&#10;rZLkJJyvjc7pZDSmRGhuilofcvrp4/bVnBIfmC6YNFrk9Cw8vVm9fLFs7EJMTWVkIRwBiPaLxua0&#10;CsEusszzSijmR8YKDWdpnGIBW3fICscaoCuZTcfjWdYYV1hnuPAep5vOSXtE9xxAU5Y1FxvDj0ro&#10;0KE6IVkAJV/V1tNVem1ZCh7uytKLQGROwTSkFUlg7+OarZZscXDMVjXvn8Ce84QnnBSrNZJeoTYs&#10;MHJ09V9QqubOeFOGETcq64gkRcBiMn6izUPFrEhcILW3V9H9/4PlH073jtRFTmeUaKZQ8Mv3b5cf&#10;vy4/v5JZlKexfoGoB4u40L41LZpmOPc4jKzb0qn4BR8CP8Q9X8UVbSA8XppP5/MxXBy+YQP87PG6&#10;dT68E0aRaOTUoXpJVHba+dCFDiExmzbbWspUQalJAwqv34zThasH4FIjRyTRPTZaod23PbO9Kc4g&#10;5kzXGd7ybY3kO+bDPXNoBTwYwxLusJTSIInpLUoq47786zzGo0LwUtKgtXKqMUmUyPcalQNgGAw3&#10;GPvB0Ed1a9CrEwyh5cnEBRfkYJbOqM+YoHXMARfTHJlyGgbzNnTtjQnkYr1OQeg1y8JOP1geoaN4&#10;3q6PAQImXaMonRK9Vui2VJl+MmI7/7lPUY9/g9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CbVWnM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                                                                            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12783820</wp:posOffset>
              </wp:positionH>
              <wp:positionV relativeFrom="paragraph">
                <wp:posOffset>-25400</wp:posOffset>
              </wp:positionV>
              <wp:extent cx="671830" cy="41148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183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006.6pt;margin-top:-2pt;height:32.4pt;width:52.9pt;z-index:251661312;mso-width-relative:page;mso-height-relative:page;" filled="f" stroked="f" coordsize="21600,21600" o:gfxdata="UEsDBAoAAAAAAIdO4kAAAAAAAAAAAAAAAAAEAAAAZHJzL1BLAwQUAAAACACHTuJAUSclUdgAAAAL&#10;AQAADwAAAGRycy9kb3ducmV2LnhtbE2PTU/DMAyG70j8h8hI3LakZUxbqbsDiCuI8SFxyxqvrWic&#10;qsnW8u8xJ7jZ8qPXz1vuZt+rM42xC4yQLQ0o4jq4jhuEt9fHxQZUTJad7QMTwjdF2FWXF6UtXJj4&#10;hc771CgJ4VhYhDalodA61i15G5dhIJbbMYzeJlnHRrvRThLue50bs9bediwfWjvQfUv11/7kEd6f&#10;jp8fK/PcPPjbYQqz0ey3GvH6KjN3oBLN6Q+GX31Rh0qcDuHELqoeITfZTS4swmIlpYTIs2wr0wFh&#10;bTagq1L/71D9AFBLAwQUAAAACACHTuJAWdwwga0BAABNAwAADgAAAGRycy9lMm9Eb2MueG1srVNL&#10;btswEN0X6B0I7mtacZAaguUAhZFsgrZA2gPQFGURIDkEh7bkC7Q36Kqb7nsun6ND2nF+myy6ociZ&#10;pzfz3pCL69FZttMRDfiGV5MpZ9oraI3fNPz7t5sPc84wSd9KC143fK+RXy/fv1sModYX0INtdWRE&#10;4rEeQsP7lEItBKpeO4kTCNpTsoPoZKJj3Ig2yoHYnRUX0+mVGCC2IYLSiBRdHZP8xBjfQghdZ5Re&#10;gdo67dORNWorE0nC3gTky9Jt12mVvnQd6sRsw0lpKisVof06r2K5kPUmytAbdWpBvqWFF5qcNJ6K&#10;nqlWMkm2jeYVlTMqAkKXJgqcOAopjpCKavrCm/teBl20kNUYzqbj/6NVn3dfIzNtw2eceelo4Idf&#10;Pw+//x7+/GCzbM8QsCbUfSBcGj/BSJfmIY4UzKrHLrr8JT2M8mTu/myuHhNTFLz6WM1nlFGUuqyq&#10;y3kxXzz+HCKmWw2O5U3DI82uWCp3d5ioEYI+QHItDzfG2jI/658FCJgjInd+7DDv0rgeT3LW0O5J&#10;zTZEs+mpVNFT4ORyKXS6EXmMT8+F9PEVLP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USclUdgA&#10;AAALAQAADwAAAAAAAAABACAAAAAiAAAAZHJzL2Rvd25yZXYueG1sUEsBAhQAFAAAAAgAh07iQFnc&#10;MIGtAQAATQMAAA4AAAAAAAAAAQAgAAAAJwEAAGRycy9lMm9Eb2MueG1sUEsFBgAAAAAGAAYAWQEA&#10;AEYFAAAAAA==&#10;"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12059920</wp:posOffset>
              </wp:positionH>
              <wp:positionV relativeFrom="paragraph">
                <wp:posOffset>-25400</wp:posOffset>
              </wp:positionV>
              <wp:extent cx="623570" cy="297180"/>
              <wp:effectExtent l="0" t="0" r="0" b="0"/>
              <wp:wrapSquare wrapText="bothSides"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3570" cy="297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949.6pt;margin-top:-2pt;height:23.4pt;width:49.1pt;mso-wrap-distance-bottom:3.6pt;mso-wrap-distance-left:9pt;mso-wrap-distance-right:9pt;mso-wrap-distance-top:3.6pt;z-index:251660288;mso-width-relative:page;mso-height-relative:page;" filled="f" stroked="f" coordsize="21600,21600" o:gfxdata="UEsDBAoAAAAAAIdO4kAAAAAAAAAAAAAAAAAEAAAAZHJzL1BLAwQUAAAACACHTuJA0JiPpdcAAAAL&#10;AQAADwAAAGRycy9kb3ducmV2LnhtbE2Py07DMBBF90j8gzVI7Fq7UYA4xOkCxBZEeUjs3HiaRMTj&#10;KHab8PdMV7C8mqM751bbxQ/ihFPsAxnYrBUIpCa4nloD729PqwJETJacHQKhgR+MsK0vLypbujDT&#10;K552qRVcQrG0BrqUxlLK2HTobVyHEYlvhzB5mzhOrXSTnbncDzJT6lZ62xN/6OyIDx0237ujN/Dx&#10;fPj6zNVL++hvxjksSpLX0pjrq426B5FwSX8wnPVZHWp22ocjuSgGzoXWGbMGVjmPOhNa3+Ug9gby&#10;rABZV/L/hvoXUEsDBBQAAAAIAIdO4kDuaVGyrQEAAE0DAAAOAAAAZHJzL2Uyb0RvYy54bWytU8Fu&#10;EzEQvSPxD5bvxEkobVllUwlF5YIAqeUDHK+dtWR7LI+T3fwA/AEnLtz5rnwHYydNoVx64OK1Z96+&#10;mffGXtyM3rGdTmghtHw2mXKmg4LOhk3Lv9zfvrrmDLMMnXQQdMv3GvnN8uWLxRAbPYceXKcTI5KA&#10;zRBb3uccGyFQ9dpLnEDUgZIGkpeZjmkjuiQHYvdOzKfTSzFA6mICpREpujom+YkxPYcQjLFKr0Bt&#10;vQ75yJq0k5kkYW8j8mXt1hit8idjUGfmWk5Kc12pCO3XZRXLhWw2ScbeqlML8jktPNHkpQ1U9Ey1&#10;klmybbL/UHmrEiCYPFHgxVFIdYRUzKZPvLnrZdRVC1mN8Ww6/j9a9XH3OTHbtfyCsyA9Dfzw/dvh&#10;x6/Dz6/sotgzRGwIdRcJl8d3MNKleYgjBYvq0SRfvqSHUZ7M3Z/N1WNmioKX89dvriijKDV/ezW7&#10;ruaLx59jwvxeg2dl0/JEs6uWyt0HzNQIQR8gpVaAW+tcnZ8LfwUIWCKidH7ssOzyuB5PctbQ7UnN&#10;Nia76alU1VPh5HItdLoRZYx/nivp4ytY/gZ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QmI+l1wAA&#10;AAsBAAAPAAAAAAAAAAEAIAAAACIAAABkcnMvZG93bnJldi54bWxQSwECFAAUAAAACACHTuJA7mlR&#10;sq0BAABNAwAADgAAAAAAAAABACAAAAAmAQAAZHJzL2Uyb0RvYy54bWxQSwUGAAAAAAYABgBZAQAA&#10;RQUAAAAA&#10;"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sz w:val="18"/>
                        <w:szCs w:val="1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5128875" cy="10694035"/>
          <wp:effectExtent l="0" t="0" r="4445" b="4445"/>
          <wp:wrapNone/>
          <wp:docPr id="5" name="WordPictureWatermark5932797" descr="S-T-00 图纸目录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5932797" descr="S-T-00 图纸目录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128875" cy="1069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5128875" cy="10694035"/>
          <wp:effectExtent l="0" t="0" r="4445" b="4445"/>
          <wp:wrapNone/>
          <wp:docPr id="1" name="WordPictureWatermark5932796" descr="S-T-00 图纸目录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5932796" descr="S-T-00 图纸目录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128875" cy="1069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column">
                <wp:posOffset>12007215</wp:posOffset>
              </wp:positionH>
              <wp:positionV relativeFrom="paragraph">
                <wp:posOffset>-18415</wp:posOffset>
              </wp:positionV>
              <wp:extent cx="658495" cy="235585"/>
              <wp:effectExtent l="0" t="0" r="0" b="0"/>
              <wp:wrapSquare wrapText="bothSides"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8495" cy="235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jc w:val="center"/>
                            <w:rPr>
                              <w:rFonts w:ascii="仿宋" w:hAnsi="仿宋" w:eastAsia="仿宋"/>
                              <w:b/>
                              <w:bCs/>
                            </w:rPr>
                          </w:pPr>
                          <w:r>
                            <w:rPr>
                              <w:rFonts w:ascii="仿宋" w:hAnsi="仿宋" w:eastAsia="仿宋"/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rFonts w:ascii="仿宋" w:hAnsi="仿宋" w:eastAsia="仿宋"/>
                              <w:b/>
                              <w:bCs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仿宋" w:hAnsi="仿宋" w:eastAsia="仿宋"/>
                              <w:b/>
                              <w:bCs/>
                            </w:rPr>
                            <w:fldChar w:fldCharType="separate"/>
                          </w:r>
                          <w:r>
                            <w:rPr>
                              <w:rFonts w:ascii="仿宋" w:hAnsi="仿宋" w:eastAsia="仿宋"/>
                              <w:b/>
                              <w:bCs/>
                              <w:lang w:val="zh-CN"/>
                            </w:rPr>
                            <w:t>1</w:t>
                          </w:r>
                          <w:r>
                            <w:rPr>
                              <w:rFonts w:ascii="仿宋" w:hAnsi="仿宋" w:eastAsia="仿宋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945.45pt;margin-top:-1.45pt;height:18.55pt;width:51.85pt;mso-wrap-distance-bottom:3.6pt;mso-wrap-distance-left:9pt;mso-wrap-distance-right:9pt;mso-wrap-distance-top:3.6pt;z-index:251659264;mso-width-relative:page;mso-height-relative:page;" filled="f" stroked="f" coordsize="21600,21600" o:gfxdata="UEsDBAoAAAAAAIdO4kAAAAAAAAAAAAAAAAAEAAAAZHJzL1BLAwQUAAAACACHTuJAmHdUOdcAAAAL&#10;AQAADwAAAGRycy9kb3ducmV2LnhtbE2PwU7DMAyG70i8Q2QkbluyUqalNN0BxBXEBkjcssZrKxqn&#10;arK1vD3eCU7WL3/6/bnczr4XZxxjF8jAaqlAINXBddQYeN8/LzYgYrLkbB8IDfxghG11fVXawoWJ&#10;3vC8S43gEoqFNdCmNBRSxrpFb+MyDEi8O4bR28RxbKQb7cTlvpeZUmvpbUd8obUDPrZYf+9O3sDH&#10;y/HrM1evzZO/H6YwK0leS2Nub1bqAUTCOf3BcNFndajY6RBO5KLoOW+00swaWGQ8L4TW+RrEwcBd&#10;noGsSvn/h+oXUEsDBBQAAAAIAIdO4kBzzrvOrQEAAE0DAAAOAAAAZHJzL2Uyb0RvYy54bWytU0tu&#10;2zAQ3RfoHQjuazpqFTiC5QCFkW6KtECaA9AUaRHgDxzaki+Q3qCrbrrvuXyODinHSdNNFt1Q5Mzo&#10;zXtvyOX1aA3Zywjau5ZezOaUSCd8p922pfffbt4tKIHEXceNd7KlBwn0evX2zXIIjax8700nI0EQ&#10;B80QWtqnFBrGQPTScpj5IB0mlY+WJzzGLesiHxDdGlbN55ds8LEL0QsJgNH1lKQnxPgaQK+UFnLt&#10;xc5KlybUKA1PKAl6HYCuClulpEhflAKZiGkpKk1lxSa43+SVrZa82UYeei1OFPhrKLzQZLl22PQM&#10;teaJk13U/0BZLaIHr9JMeMsmIcURVHExf+HNXc+DLFrQaghn0+H/wYrb/ddIdNfSihLHLQ78+OP7&#10;8efv468HUmV7hgANVt0FrEvjRz/ipXmMAwaz6lFFm7+oh2AezT2czZVjIgKDl/Xiw1VNicBU9b6u&#10;F3VGYU8/hwjpk/SW5E1LI86uWMr3nyFNpY8luZfzN9qYMj/j/gogZo6wzHximHdp3IwnORvfHVDN&#10;LkS97bFV0VPK0eXC6XQj8hifnwvo0ytY/Q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CYd1Q51wAA&#10;AAsBAAAPAAAAAAAAAAEAIAAAACIAAABkcnMvZG93bnJldi54bWxQSwECFAAUAAAACACHTuJAc867&#10;zq0BAABNAwAADgAAAAAAAAABACAAAAAmAQAAZHJzL2Uyb0RvYy54bWxQSwUGAAAAAAYABgBZAQAA&#10;RQUAAAAA&#10;"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jc w:val="center"/>
                      <w:rPr>
                        <w:rFonts w:ascii="仿宋" w:hAnsi="仿宋" w:eastAsia="仿宋"/>
                        <w:b/>
                        <w:bCs/>
                      </w:rPr>
                    </w:pPr>
                    <w:r>
                      <w:rPr>
                        <w:rFonts w:ascii="仿宋" w:hAnsi="仿宋" w:eastAsia="仿宋"/>
                        <w:b/>
                        <w:bCs/>
                      </w:rPr>
                      <w:fldChar w:fldCharType="begin"/>
                    </w:r>
                    <w:r>
                      <w:rPr>
                        <w:rFonts w:ascii="仿宋" w:hAnsi="仿宋" w:eastAsia="仿宋"/>
                        <w:b/>
                        <w:bCs/>
                      </w:rPr>
                      <w:instrText xml:space="preserve">PAGE   \* MERGEFORMAT</w:instrText>
                    </w:r>
                    <w:r>
                      <w:rPr>
                        <w:rFonts w:ascii="仿宋" w:hAnsi="仿宋" w:eastAsia="仿宋"/>
                        <w:b/>
                        <w:bCs/>
                      </w:rPr>
                      <w:fldChar w:fldCharType="separate"/>
                    </w:r>
                    <w:r>
                      <w:rPr>
                        <w:rFonts w:ascii="仿宋" w:hAnsi="仿宋" w:eastAsia="仿宋"/>
                        <w:b/>
                        <w:bCs/>
                        <w:lang w:val="zh-CN"/>
                      </w:rPr>
                      <w:t>1</w:t>
                    </w:r>
                    <w:r>
                      <w:rPr>
                        <w:rFonts w:ascii="仿宋" w:hAnsi="仿宋" w:eastAsia="仿宋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DF0802"/>
    <w:multiLevelType w:val="multilevel"/>
    <w:tmpl w:val="00DF0802"/>
    <w:lvl w:ilvl="0" w:tentative="0">
      <w:start w:val="1"/>
      <w:numFmt w:val="decimal"/>
      <w:pStyle w:val="15"/>
      <w:lvlText w:val="%1."/>
      <w:lvlJc w:val="left"/>
      <w:pPr>
        <w:tabs>
          <w:tab w:val="left" w:pos="540"/>
        </w:tabs>
        <w:ind w:left="540" w:firstLine="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13735CE9"/>
    <w:multiLevelType w:val="multilevel"/>
    <w:tmpl w:val="13735CE9"/>
    <w:lvl w:ilvl="0" w:tentative="0">
      <w:start w:val="1"/>
      <w:numFmt w:val="decimal"/>
      <w:lvlText w:val="%1"/>
      <w:lvlJc w:val="left"/>
      <w:pPr>
        <w:ind w:left="425" w:hanging="425"/>
      </w:pPr>
    </w:lvl>
    <w:lvl w:ilvl="1" w:tentative="0">
      <w:start w:val="1"/>
      <w:numFmt w:val="decimal"/>
      <w:lvlText w:val="%1.%2"/>
      <w:lvlJc w:val="left"/>
      <w:pPr>
        <w:ind w:left="992" w:hanging="567"/>
      </w:pPr>
      <w:rPr>
        <w:b/>
        <w:bCs/>
        <w:sz w:val="24"/>
        <w:szCs w:val="24"/>
      </w:rPr>
    </w:lvl>
    <w:lvl w:ilvl="2" w:tentative="0">
      <w:start w:val="1"/>
      <w:numFmt w:val="decimal"/>
      <w:lvlText w:val="%1.%2.%3"/>
      <w:lvlJc w:val="left"/>
      <w:pPr>
        <w:ind w:left="1418" w:hanging="567"/>
      </w:pPr>
    </w:lvl>
    <w:lvl w:ilvl="3" w:tentative="0">
      <w:start w:val="1"/>
      <w:numFmt w:val="decimal"/>
      <w:lvlText w:val="%1.%2.%3.%4"/>
      <w:lvlJc w:val="left"/>
      <w:pPr>
        <w:ind w:left="1984" w:hanging="708"/>
      </w:pPr>
    </w:lvl>
    <w:lvl w:ilvl="4" w:tentative="0">
      <w:start w:val="1"/>
      <w:numFmt w:val="decimal"/>
      <w:lvlText w:val="%1.%2.%3.%4.%5"/>
      <w:lvlJc w:val="left"/>
      <w:pPr>
        <w:ind w:left="2551" w:hanging="85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">
    <w:nsid w:val="1A2834CC"/>
    <w:multiLevelType w:val="multilevel"/>
    <w:tmpl w:val="1A2834CC"/>
    <w:lvl w:ilvl="0" w:tentative="0">
      <w:start w:val="1"/>
      <w:numFmt w:val="decimal"/>
      <w:lvlText w:val="%1"/>
      <w:lvlJc w:val="left"/>
      <w:pPr>
        <w:ind w:left="425" w:hanging="425"/>
      </w:pPr>
    </w:lvl>
    <w:lvl w:ilvl="1" w:tentative="0">
      <w:start w:val="1"/>
      <w:numFmt w:val="decimal"/>
      <w:lvlText w:val="%1.%2"/>
      <w:lvlJc w:val="left"/>
      <w:pPr>
        <w:ind w:left="992" w:hanging="567"/>
      </w:pPr>
      <w:rPr>
        <w:b/>
        <w:bCs/>
        <w:sz w:val="24"/>
        <w:szCs w:val="24"/>
      </w:rPr>
    </w:lvl>
    <w:lvl w:ilvl="2" w:tentative="0">
      <w:start w:val="1"/>
      <w:numFmt w:val="decimal"/>
      <w:lvlText w:val="%1.%2.%3"/>
      <w:lvlJc w:val="left"/>
      <w:pPr>
        <w:ind w:left="1418" w:hanging="567"/>
      </w:pPr>
    </w:lvl>
    <w:lvl w:ilvl="3" w:tentative="0">
      <w:start w:val="1"/>
      <w:numFmt w:val="decimal"/>
      <w:lvlText w:val="%1.%2.%3.%4"/>
      <w:lvlJc w:val="left"/>
      <w:pPr>
        <w:ind w:left="1984" w:hanging="708"/>
      </w:pPr>
    </w:lvl>
    <w:lvl w:ilvl="4" w:tentative="0">
      <w:start w:val="1"/>
      <w:numFmt w:val="decimal"/>
      <w:lvlText w:val="%1.%2.%3.%4.%5"/>
      <w:lvlJc w:val="left"/>
      <w:pPr>
        <w:ind w:left="2551" w:hanging="85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">
    <w:nsid w:val="431D5A1D"/>
    <w:multiLevelType w:val="singleLevel"/>
    <w:tmpl w:val="431D5A1D"/>
    <w:lvl w:ilvl="0" w:tentative="0">
      <w:start w:val="2"/>
      <w:numFmt w:val="decimal"/>
      <w:suff w:val="nothing"/>
      <w:lvlText w:val="%1）"/>
      <w:lvlJc w:val="left"/>
      <w:pPr>
        <w:ind w:left="560" w:leftChars="0" w:firstLine="0" w:firstLineChars="0"/>
      </w:pPr>
    </w:lvl>
  </w:abstractNum>
  <w:abstractNum w:abstractNumId="4">
    <w:nsid w:val="447A4657"/>
    <w:multiLevelType w:val="multilevel"/>
    <w:tmpl w:val="447A4657"/>
    <w:lvl w:ilvl="0" w:tentative="0">
      <w:start w:val="1"/>
      <w:numFmt w:val="bullet"/>
      <w:lvlText w:val=""/>
      <w:lvlJc w:val="left"/>
      <w:pPr>
        <w:ind w:left="1140" w:hanging="720"/>
      </w:pPr>
      <w:rPr>
        <w:rFonts w:hint="default" w:ascii="Wingdings" w:hAnsi="Wingdings"/>
        <w:sz w:val="15"/>
        <w:szCs w:val="15"/>
        <w:lang w:val="en-US"/>
      </w:rPr>
    </w:lvl>
    <w:lvl w:ilvl="1" w:tentative="0">
      <w:start w:val="1"/>
      <w:numFmt w:val="lowerLetter"/>
      <w:lvlText w:val="%2)"/>
      <w:lvlJc w:val="left"/>
      <w:pPr>
        <w:ind w:left="1118" w:hanging="420"/>
      </w:pPr>
    </w:lvl>
    <w:lvl w:ilvl="2" w:tentative="0">
      <w:start w:val="1"/>
      <w:numFmt w:val="lowerRoman"/>
      <w:lvlText w:val="%3."/>
      <w:lvlJc w:val="right"/>
      <w:pPr>
        <w:ind w:left="1538" w:hanging="420"/>
      </w:pPr>
    </w:lvl>
    <w:lvl w:ilvl="3" w:tentative="0">
      <w:start w:val="1"/>
      <w:numFmt w:val="decimal"/>
      <w:lvlText w:val="%4."/>
      <w:lvlJc w:val="left"/>
      <w:pPr>
        <w:ind w:left="1958" w:hanging="420"/>
      </w:pPr>
    </w:lvl>
    <w:lvl w:ilvl="4" w:tentative="0">
      <w:start w:val="1"/>
      <w:numFmt w:val="lowerLetter"/>
      <w:lvlText w:val="%5)"/>
      <w:lvlJc w:val="left"/>
      <w:pPr>
        <w:ind w:left="2378" w:hanging="420"/>
      </w:pPr>
    </w:lvl>
    <w:lvl w:ilvl="5" w:tentative="0">
      <w:start w:val="1"/>
      <w:numFmt w:val="lowerRoman"/>
      <w:lvlText w:val="%6."/>
      <w:lvlJc w:val="right"/>
      <w:pPr>
        <w:ind w:left="2798" w:hanging="420"/>
      </w:pPr>
    </w:lvl>
    <w:lvl w:ilvl="6" w:tentative="0">
      <w:start w:val="1"/>
      <w:numFmt w:val="decimal"/>
      <w:lvlText w:val="%7."/>
      <w:lvlJc w:val="left"/>
      <w:pPr>
        <w:ind w:left="3218" w:hanging="420"/>
      </w:pPr>
    </w:lvl>
    <w:lvl w:ilvl="7" w:tentative="0">
      <w:start w:val="1"/>
      <w:numFmt w:val="lowerLetter"/>
      <w:lvlText w:val="%8)"/>
      <w:lvlJc w:val="left"/>
      <w:pPr>
        <w:ind w:left="3638" w:hanging="420"/>
      </w:pPr>
    </w:lvl>
    <w:lvl w:ilvl="8" w:tentative="0">
      <w:start w:val="1"/>
      <w:numFmt w:val="lowerRoman"/>
      <w:lvlText w:val="%9."/>
      <w:lvlJc w:val="right"/>
      <w:pPr>
        <w:ind w:left="4058" w:hanging="420"/>
      </w:pPr>
    </w:lvl>
  </w:abstractNum>
  <w:abstractNum w:abstractNumId="5">
    <w:nsid w:val="795A3FA2"/>
    <w:multiLevelType w:val="multilevel"/>
    <w:tmpl w:val="795A3FA2"/>
    <w:lvl w:ilvl="0" w:tentative="0">
      <w:start w:val="1"/>
      <w:numFmt w:val="bullet"/>
      <w:lvlText w:val=""/>
      <w:lvlJc w:val="left"/>
      <w:pPr>
        <w:ind w:left="0" w:firstLine="0"/>
      </w:pPr>
      <w:rPr>
        <w:rFonts w:hint="default" w:ascii="Wingdings" w:hAnsi="Wingdings"/>
      </w:rPr>
    </w:lvl>
    <w:lvl w:ilvl="1" w:tentative="0">
      <w:start w:val="1"/>
      <w:numFmt w:val="decimal"/>
      <w:lvlText w:val="%2.1"/>
      <w:lvlJc w:val="left"/>
      <w:pPr>
        <w:tabs>
          <w:tab w:val="left" w:pos="425"/>
        </w:tabs>
        <w:ind w:left="0" w:firstLine="425"/>
      </w:pPr>
      <w:rPr>
        <w:rFonts w:hint="default" w:ascii="Times New Roman" w:hAnsi="Times New Roman"/>
      </w:rPr>
    </w:lvl>
    <w:lvl w:ilvl="2" w:tentative="0">
      <w:start w:val="1"/>
      <w:numFmt w:val="none"/>
      <w:lvlText w:val=""/>
      <w:lvlJc w:val="left"/>
      <w:pPr>
        <w:ind w:left="0" w:firstLine="0"/>
      </w:pPr>
      <w:rPr>
        <w:rFonts w:hint="eastAsia"/>
      </w:rPr>
    </w:lvl>
    <w:lvl w:ilvl="3" w:tentative="0">
      <w:start w:val="1"/>
      <w:numFmt w:val="bullet"/>
      <w:lvlText w:val=""/>
      <w:lvlJc w:val="left"/>
      <w:pPr>
        <w:tabs>
          <w:tab w:val="left" w:pos="567"/>
        </w:tabs>
        <w:ind w:left="0" w:firstLine="425"/>
      </w:pPr>
      <w:rPr>
        <w:rFonts w:hint="default" w:ascii="Wingdings" w:hAnsi="Wingdings"/>
      </w:rPr>
    </w:lvl>
    <w:lvl w:ilvl="4" w:tentative="0">
      <w:start w:val="1"/>
      <w:numFmt w:val="decimal"/>
      <w:lvlText w:val="%1.%2.%3.%4.%5"/>
      <w:lvlJc w:val="left"/>
      <w:pPr>
        <w:ind w:left="0" w:firstLine="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abstractNum w:abstractNumId="6">
    <w:nsid w:val="7C866DDA"/>
    <w:multiLevelType w:val="multilevel"/>
    <w:tmpl w:val="7C866DDA"/>
    <w:lvl w:ilvl="0" w:tentative="0">
      <w:start w:val="1"/>
      <w:numFmt w:val="decimal"/>
      <w:lvlText w:val="%1"/>
      <w:lvlJc w:val="left"/>
      <w:pPr>
        <w:ind w:left="425" w:hanging="425"/>
      </w:pPr>
    </w:lvl>
    <w:lvl w:ilvl="1" w:tentative="0">
      <w:start w:val="1"/>
      <w:numFmt w:val="decimal"/>
      <w:lvlText w:val="%1.%2"/>
      <w:lvlJc w:val="left"/>
      <w:pPr>
        <w:ind w:left="992" w:hanging="567"/>
      </w:pPr>
    </w:lvl>
    <w:lvl w:ilvl="2" w:tentative="0">
      <w:start w:val="1"/>
      <w:numFmt w:val="decimal"/>
      <w:lvlText w:val="%1.%2.%3"/>
      <w:lvlJc w:val="left"/>
      <w:pPr>
        <w:ind w:left="1418" w:hanging="567"/>
      </w:pPr>
    </w:lvl>
    <w:lvl w:ilvl="3" w:tentative="0">
      <w:start w:val="1"/>
      <w:numFmt w:val="decimal"/>
      <w:lvlText w:val="%1.%2.%3.%4"/>
      <w:lvlJc w:val="left"/>
      <w:pPr>
        <w:ind w:left="1984" w:hanging="708"/>
      </w:pPr>
    </w:lvl>
    <w:lvl w:ilvl="4" w:tentative="0">
      <w:start w:val="1"/>
      <w:numFmt w:val="decimal"/>
      <w:lvlText w:val="%1.%2.%3.%4.%5"/>
      <w:lvlJc w:val="left"/>
      <w:pPr>
        <w:ind w:left="2551" w:hanging="85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4NTBjNDNkMzY3N2NiNTA3ZWVlNjQxMDZhYmFhYzgifQ=="/>
  </w:docVars>
  <w:rsids>
    <w:rsidRoot w:val="00172A27"/>
    <w:rsid w:val="00254F69"/>
    <w:rsid w:val="00494726"/>
    <w:rsid w:val="00573249"/>
    <w:rsid w:val="00743849"/>
    <w:rsid w:val="00A73776"/>
    <w:rsid w:val="00D865E6"/>
    <w:rsid w:val="05492D25"/>
    <w:rsid w:val="0B8E6867"/>
    <w:rsid w:val="0D0D03E3"/>
    <w:rsid w:val="1981642E"/>
    <w:rsid w:val="1A6626C7"/>
    <w:rsid w:val="26DD00C8"/>
    <w:rsid w:val="27EB627D"/>
    <w:rsid w:val="2E68489E"/>
    <w:rsid w:val="3ECC2AA4"/>
    <w:rsid w:val="409F3960"/>
    <w:rsid w:val="41931657"/>
    <w:rsid w:val="4C913FD7"/>
    <w:rsid w:val="4F29184C"/>
    <w:rsid w:val="4F6373CA"/>
    <w:rsid w:val="56C74A5D"/>
    <w:rsid w:val="5DA215ED"/>
    <w:rsid w:val="64A8404F"/>
    <w:rsid w:val="69351DA1"/>
    <w:rsid w:val="6B157ABB"/>
    <w:rsid w:val="706E180E"/>
    <w:rsid w:val="7B765D83"/>
    <w:rsid w:val="7D825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before="50" w:beforeLines="50" w:after="50" w:afterLines="50"/>
      <w:jc w:val="left"/>
      <w:outlineLvl w:val="0"/>
    </w:pPr>
    <w:rPr>
      <w:rFonts w:ascii="仿宋" w:hAnsi="仿宋"/>
      <w:b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spacing w:beforeLines="50" w:afterLines="50" w:line="360" w:lineRule="auto"/>
      <w:ind w:left="40" w:firstLine="554" w:firstLineChars="200"/>
      <w:jc w:val="left"/>
    </w:pPr>
    <w:rPr>
      <w:rFonts w:ascii="宋体" w:hAnsi="宋体"/>
      <w:kern w:val="0"/>
      <w:sz w:val="24"/>
    </w:rPr>
  </w:style>
  <w:style w:type="paragraph" w:styleId="4">
    <w:name w:val="Body Text"/>
    <w:basedOn w:val="1"/>
    <w:unhideWhenUsed/>
    <w:qFormat/>
    <w:uiPriority w:val="0"/>
    <w:pPr>
      <w:spacing w:after="120"/>
    </w:p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6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paragraph" w:styleId="7">
    <w:name w:val="Subtitle"/>
    <w:basedOn w:val="1"/>
    <w:next w:val="1"/>
    <w:qFormat/>
    <w:uiPriority w:val="11"/>
    <w:pPr>
      <w:spacing w:before="120" w:after="120"/>
      <w:jc w:val="left"/>
      <w:outlineLvl w:val="2"/>
    </w:pPr>
    <w:rPr>
      <w:b/>
      <w:bCs/>
      <w:kern w:val="28"/>
      <w:szCs w:val="32"/>
    </w:rPr>
  </w:style>
  <w:style w:type="paragraph" w:styleId="8">
    <w:name w:val="Title"/>
    <w:basedOn w:val="1"/>
    <w:next w:val="1"/>
    <w:qFormat/>
    <w:uiPriority w:val="10"/>
    <w:pPr>
      <w:spacing w:before="50" w:beforeLines="50" w:after="50" w:afterLines="50"/>
      <w:jc w:val="left"/>
      <w:outlineLvl w:val="1"/>
    </w:pPr>
    <w:rPr>
      <w:rFonts w:cstheme="majorBidi"/>
      <w:b/>
      <w:bCs/>
      <w:szCs w:val="32"/>
    </w:rPr>
  </w:style>
  <w:style w:type="character" w:styleId="11">
    <w:name w:val="Hyperlink"/>
    <w:basedOn w:val="10"/>
    <w:qFormat/>
    <w:uiPriority w:val="99"/>
    <w:rPr>
      <w:color w:val="0000FF"/>
      <w:u w:val="single"/>
    </w:rPr>
  </w:style>
  <w:style w:type="paragraph" w:customStyle="1" w:styleId="12">
    <w:name w:val="列出段落1"/>
    <w:basedOn w:val="1"/>
    <w:qFormat/>
    <w:uiPriority w:val="0"/>
    <w:pPr>
      <w:ind w:firstLine="420" w:firstLineChars="200"/>
    </w:pPr>
  </w:style>
  <w:style w:type="paragraph" w:customStyle="1" w:styleId="13">
    <w:name w:val="_Style 15"/>
    <w:basedOn w:val="1"/>
    <w:next w:val="14"/>
    <w:qFormat/>
    <w:uiPriority w:val="34"/>
    <w:pPr>
      <w:ind w:firstLine="420" w:firstLineChars="200"/>
    </w:pPr>
  </w:style>
  <w:style w:type="paragraph" w:styleId="14">
    <w:name w:val="List Paragraph"/>
    <w:basedOn w:val="1"/>
    <w:qFormat/>
    <w:uiPriority w:val="34"/>
    <w:pPr>
      <w:ind w:firstLine="420" w:firstLineChars="200"/>
    </w:pPr>
    <w:rPr>
      <w:kern w:val="0"/>
      <w:sz w:val="20"/>
    </w:rPr>
  </w:style>
  <w:style w:type="paragraph" w:customStyle="1" w:styleId="15">
    <w:name w:val="项目符号1"/>
    <w:basedOn w:val="1"/>
    <w:next w:val="1"/>
    <w:qFormat/>
    <w:uiPriority w:val="0"/>
    <w:pPr>
      <w:numPr>
        <w:ilvl w:val="0"/>
        <w:numId w:val="1"/>
      </w:numPr>
      <w:wordWrap w:val="0"/>
      <w:spacing w:line="360" w:lineRule="auto"/>
      <w:jc w:val="left"/>
    </w:pPr>
    <w:rPr>
      <w:rFonts w:ascii="宋体" w:hAnsi="宋体"/>
      <w:color w:val="000000"/>
      <w:kern w:val="0"/>
      <w:sz w:val="24"/>
      <w:szCs w:val="20"/>
    </w:rPr>
  </w:style>
  <w:style w:type="paragraph" w:customStyle="1" w:styleId="16">
    <w:name w:val="1"/>
    <w:basedOn w:val="1"/>
    <w:next w:val="14"/>
    <w:unhideWhenUsed/>
    <w:qFormat/>
    <w:uiPriority w:val="34"/>
    <w:pPr>
      <w:ind w:firstLine="420" w:firstLineChars="200"/>
    </w:pPr>
    <w:rPr>
      <w:kern w:val="0"/>
      <w:sz w:val="20"/>
    </w:rPr>
  </w:style>
  <w:style w:type="paragraph" w:customStyle="1" w:styleId="17">
    <w:name w:val="￥正文"/>
    <w:basedOn w:val="1"/>
    <w:qFormat/>
    <w:uiPriority w:val="0"/>
    <w:pPr>
      <w:spacing w:line="360" w:lineRule="auto"/>
      <w:ind w:firstLine="200" w:firstLineChars="200"/>
    </w:pPr>
    <w:rPr>
      <w:rFonts w:ascii="Calibri" w:hAnsi="Calibri"/>
      <w:sz w:val="24"/>
      <w:szCs w:val="22"/>
    </w:rPr>
  </w:style>
  <w:style w:type="paragraph" w:customStyle="1" w:styleId="18">
    <w:name w:val="正文-石板"/>
    <w:basedOn w:val="1"/>
    <w:qFormat/>
    <w:uiPriority w:val="0"/>
    <w:pPr>
      <w:widowControl/>
      <w:adjustRightInd w:val="0"/>
      <w:snapToGrid w:val="0"/>
      <w:spacing w:line="560" w:lineRule="exact"/>
      <w:jc w:val="left"/>
    </w:pPr>
    <w:rPr>
      <w:rFonts w:cs="宋体"/>
      <w:kern w:val="0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2289</Words>
  <Characters>2693</Characters>
  <Lines>281</Lines>
  <Paragraphs>79</Paragraphs>
  <TotalTime>1</TotalTime>
  <ScaleCrop>false</ScaleCrop>
  <LinksUpToDate>false</LinksUpToDate>
  <CharactersWithSpaces>2761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2022-04-08T03:20:00Z</dcterms:created>
  <dc:creator>Administrator</dc:creator>
  <cp:lastModifiedBy>东边有尊如来佛 </cp:lastModifiedBy>
  <dcterms:modified xsi:type="dcterms:W3CDTF">2023-06-05T10:22:38Z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AE1F863C039D40EC96DC766F5B3D2421</vt:lpwstr>
  </property>
</Properties>
</file>