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1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〔2025〕   号</w:t>
      </w:r>
      <w:r>
        <w:rPr>
          <w:rFonts w:hint="eastAsia" w:ascii="方正小标宋_GBK" w:hAnsi="方正小标宋_GBK" w:eastAsia="方正小标宋_GBK" w:cs="方正小标宋_GBK"/>
          <w:sz w:val="21"/>
          <w:szCs w:val="21"/>
          <w:lang w:val="en-US" w:eastAsia="zh-CN"/>
        </w:rPr>
        <w:t>）</w:t>
      </w:r>
    </w:p>
    <w:p w14:paraId="34B309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66CF65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6319F84">
      <w:pPr>
        <w:pStyle w:val="2"/>
        <w:jc w:val="center"/>
        <w:rPr>
          <w:rFonts w:hint="eastAsia" w:ascii="方正小标宋_GBK" w:hAnsi="方正小标宋_GBK" w:eastAsia="方正小标宋_GBK" w:cs="方正小标宋_GBK"/>
          <w:b w:val="0"/>
          <w:bCs w:val="0"/>
          <w:sz w:val="36"/>
          <w:szCs w:val="36"/>
          <w:lang w:val="en-US" w:eastAsia="zh-CN"/>
        </w:rPr>
      </w:pPr>
    </w:p>
    <w:p w14:paraId="72B0160C">
      <w:pPr>
        <w:pStyle w:val="2"/>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垫江县城桂阳片区公共空间改造利用项目（一期）工程长安馨苑节点钢结构风雨连廊专业分包合同</w:t>
      </w:r>
    </w:p>
    <w:p w14:paraId="2E699126">
      <w:pPr>
        <w:pStyle w:val="2"/>
        <w:rPr>
          <w:rFonts w:hint="eastAsia" w:ascii="宋体" w:eastAsia="宋体" w:cs="宋体"/>
          <w:sz w:val="36"/>
          <w:szCs w:val="36"/>
          <w:lang w:val="en-US" w:eastAsia="zh-CN"/>
        </w:rPr>
      </w:pPr>
    </w:p>
    <w:p w14:paraId="56CBBCAC">
      <w:pPr>
        <w:rPr>
          <w:rFonts w:hint="eastAsia" w:asciiTheme="majorEastAsia" w:hAnsiTheme="majorEastAsia" w:eastAsiaTheme="majorEastAsia" w:cstheme="majorEastAsia"/>
          <w:sz w:val="36"/>
          <w:szCs w:val="36"/>
          <w:lang w:val="en-US" w:eastAsia="zh-CN"/>
        </w:rPr>
      </w:pPr>
    </w:p>
    <w:p w14:paraId="6CB483E7">
      <w:pPr>
        <w:pStyle w:val="2"/>
        <w:rPr>
          <w:rFonts w:hint="eastAsia" w:asciiTheme="majorEastAsia" w:hAnsiTheme="majorEastAsia" w:eastAsiaTheme="majorEastAsia" w:cstheme="majorEastAsia"/>
          <w:lang w:val="en-US" w:eastAsia="zh-CN"/>
        </w:rPr>
      </w:pPr>
    </w:p>
    <w:p w14:paraId="0F09CED6">
      <w:pPr>
        <w:rPr>
          <w:rFonts w:hint="eastAsia" w:asciiTheme="majorEastAsia" w:hAnsiTheme="majorEastAsia" w:eastAsiaTheme="majorEastAsia" w:cstheme="majorEastAsia"/>
          <w:lang w:val="en-US" w:eastAsia="zh-CN"/>
        </w:rPr>
      </w:pPr>
    </w:p>
    <w:p w14:paraId="3443EB3D">
      <w:pPr>
        <w:rPr>
          <w:rFonts w:hint="eastAsia" w:asciiTheme="majorEastAsia" w:hAnsiTheme="majorEastAsia" w:eastAsiaTheme="majorEastAsia" w:cstheme="majorEastAsia"/>
          <w:lang w:val="en-US" w:eastAsia="zh-CN"/>
        </w:rPr>
      </w:pPr>
    </w:p>
    <w:p w14:paraId="64D6A6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eastAsia="zh-CN"/>
        </w:rPr>
        <w:t>垫江县小厦建筑有限公司</w:t>
      </w:r>
      <w:r>
        <w:rPr>
          <w:rFonts w:hint="eastAsia" w:asciiTheme="majorEastAsia" w:hAnsiTheme="majorEastAsia" w:eastAsiaTheme="majorEastAsia" w:cstheme="majorEastAsia"/>
          <w:b/>
          <w:bCs/>
          <w:sz w:val="32"/>
          <w:szCs w:val="32"/>
          <w:u w:val="single"/>
          <w:lang w:val="en-US" w:eastAsia="zh-CN"/>
        </w:rPr>
        <w:t xml:space="preserve"> </w:t>
      </w:r>
    </w:p>
    <w:p w14:paraId="074209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5C7663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170497B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6CC533C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95E571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61EFD1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36"/>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602CF021">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sz w:val="36"/>
          <w:lang w:eastAsia="zh-CN"/>
        </w:rPr>
      </w:pPr>
      <w:r>
        <w:rPr>
          <w:rFonts w:hint="eastAsia" w:ascii="方正仿宋_GBK" w:hAnsi="方正仿宋_GBK" w:eastAsia="方正仿宋_GBK" w:cs="方正仿宋_GBK"/>
          <w:b/>
          <w:bCs/>
          <w:sz w:val="36"/>
        </w:rPr>
        <w:t>垫江县城桂阳片区公共空间改造利用项目（一期）工程长安馨苑节点钢结构风雨连廊专业分包合同</w:t>
      </w:r>
    </w:p>
    <w:p w14:paraId="190D7313">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7BC91960">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9A88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2627F36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56094A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垫江县城桂阳片区公共空间改造利用项目（一期）工程长安馨苑节点钢结构风雨连廊专业分包 。</w:t>
      </w:r>
    </w:p>
    <w:p w14:paraId="0AAE2F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 。</w:t>
      </w:r>
    </w:p>
    <w:p w14:paraId="26B6FBF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详见施工图、清单、《垫江县城桂阳片区公共空间改造利用项目（一期）工程长安馨苑节点钢结构风雨连廊专业分包</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45630A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15301EC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u w:val="single"/>
          <w:lang w:val="en-US" w:eastAsia="zh-CN"/>
        </w:rPr>
        <w:t>完成施工图及工程量清单内的全部工作内容 。</w:t>
      </w:r>
    </w:p>
    <w:p w14:paraId="65E1206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34D5B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7308B6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专业分包（包工包料）</w:t>
      </w:r>
      <w:r>
        <w:rPr>
          <w:rFonts w:hint="eastAsia" w:ascii="方正仿宋_GBK" w:hAnsi="方正仿宋_GBK" w:eastAsia="方正仿宋_GBK" w:cs="方正仿宋_GBK"/>
          <w:sz w:val="28"/>
          <w:lang w:val="en-US" w:eastAsia="zh-CN"/>
        </w:rPr>
        <w:t>。</w:t>
      </w:r>
    </w:p>
    <w:p w14:paraId="1FC68C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2.本合同以招标人招标时发布的项目预算书中各项全费用综合单价金额为基数并按中标固定费率</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%签订。</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u w:val="none"/>
          <w:lang w:eastAsia="zh-CN"/>
        </w:rPr>
        <w:t>。</w:t>
      </w:r>
      <w:r>
        <w:rPr>
          <w:rFonts w:hint="eastAsia" w:ascii="方正仿宋_GBK" w:hAnsi="方正仿宋_GBK" w:eastAsia="方正仿宋_GBK" w:cs="方正仿宋_GBK"/>
          <w:sz w:val="28"/>
          <w:lang w:val="en-US" w:eastAsia="zh-CN"/>
        </w:rPr>
        <w:t>本合同金额包含乙方履行完成本合同内容涉及的全部费用，包括但不限于</w:t>
      </w:r>
      <w:r>
        <w:rPr>
          <w:rFonts w:hint="eastAsia" w:ascii="方正仿宋_GBK" w:hAnsi="方正仿宋_GBK" w:eastAsia="方正仿宋_GBK" w:cs="方正仿宋_GBK"/>
          <w:sz w:val="28"/>
          <w:u w:val="single"/>
          <w:lang w:eastAsia="zh-CN"/>
        </w:rPr>
        <w:t>完成所有施工内容所需的人工费、材料费（含上下车及运输费用）、设备费、施工机具使用费、企业管理费、利润、一般风险费、措施项目费（含临时设施费）、施工技术措施项目费、施工组织措施项目费、甲供材料转运费及上下车费、安全文明施工费等、保险费（含意外伤害保险及第三者责任险等）、多次转运费、吊装费、多次进出场费（若涉及）、施工配合费（若需与其他班组配合）、其他项目费、验收费、规费、税金（增值税专用发票税率为9%）、项目资料费、招标文件及合同约定的相关费用、政策性文件规定的全部费用</w:t>
      </w:r>
      <w:r>
        <w:rPr>
          <w:rFonts w:hint="eastAsia" w:ascii="方正仿宋_GBK" w:hAnsi="方正仿宋_GBK" w:eastAsia="方正仿宋_GBK" w:cs="方正仿宋_GBK"/>
          <w:sz w:val="28"/>
          <w:u w:val="none"/>
          <w:lang w:eastAsia="zh-CN"/>
        </w:rPr>
        <w:t>。</w:t>
      </w:r>
    </w:p>
    <w:p w14:paraId="4DE5CF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3.结算：</w:t>
      </w:r>
    </w:p>
    <w:p w14:paraId="4D0B6F63">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1）固定费率包干，工程量按实际完成的合格工程量结算【工程量按《建设工程工程量清单计价规范》（GB50500-2013）、《重庆市建设工程工程量计算规则》（CQJLGZ-2013）等规定的计算规则及招标时招标人发布的项目预算书规定的工程量计算规则计量】，结算总价=Σ（分部分项结算全费用综合单价×实际合格工程量）+变更（签证）部分价款-Σ各种违约金。</w:t>
      </w:r>
    </w:p>
    <w:p w14:paraId="5B74F040">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分部分项的结算全费用综合单价的确定：结算时以招标人发布的项目预算书中的各项全费用综合单价金额为基数按照投标人填报的固定费率计算出的价格作为对应分部分项的结算全费用综合单价（即：某分部分项结算全费用综合单价=招标人发布的项目预算书中对应该分部分项的全费用综合单价×中标固定费率）。</w:t>
      </w:r>
    </w:p>
    <w:p w14:paraId="0AD530B6">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2）若施工过程中发生工程变更和新增工作内容：招标时招标人发布的项目预算书中有相同或相似清单的以发布的预算书中相同或相似清单的价格按（1）确定结算全费用综合单价；招标时招标人发布的项目预算书中没有相同或相似清单的，变更工程内容按《建设工程工程量清单计价规范》（GB50500-2013）、《重庆市建设工程工程量清单计价规则》（CQJJGZ-2013）、《重庆市建设工程费用定额》（CQFYDE-2018）、《重庆市建设工程安全文明施工费计取及使用管理规定》(渝建管〔2024〕38号)、《重庆市住房和城乡建设委员会关于调整建设施工现场形象品质提升安全文明施工费计取的通知》（渝建管〔2020〕97号）、《重庆市住房和城乡建设委员会关于适用增值税新税率调整建设工程计价依据的通知》（渝建〔2019〕143号）《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等相关配套定额及文件编制预算（措施费不计取），下浮率以成交价与最高限价的下浮率同比例下浮，若计算后的下浮比例小于15%的，按总价下浮15%后的价格进行结算。其中：人材机按成交当月重庆信息价执行，信息价中没有的材料价双方认质认价共同确定；</w:t>
      </w:r>
    </w:p>
    <w:p w14:paraId="56785273">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（3） 乙方必须实事求是编制结算，严禁高估冒算。如结算审减率超过5%（审减金额与送审金额之比）的，甲方对乙方实施处违约金，违约金金额为审减率5%以外的审减额的30%，甲方在支付工程款时直接扣除。</w:t>
      </w:r>
    </w:p>
    <w:p w14:paraId="0221B87A">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default"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（4）甲方有权根据建设项目实际情况和需求增加或取消部分清单内的建设工作内容，如取消实施内容，甲方不对乙方承担任何赔偿责任，甲方将按照已实施完工验收合格的部分进行工程量结算。</w:t>
      </w:r>
    </w:p>
    <w:p w14:paraId="49027D99">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4.款项支付节点：</w:t>
      </w:r>
    </w:p>
    <w:p w14:paraId="21C839A1">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农民工工资支付：乙方应于每月25日前向甲方提交当月工程量产值报表及相关支付资料，甲方在乙方提交完整资料后的次月进行支付。支付前，乙方应提交相应的农民工工资发放表、身份证复印件、农民工银行卡、上月工资发放公示照片、上月民工签字确认已经领用的工资表、收条、增值税专用发票等有关支付资料递交至甲方指定人员处由甲方代为支付农民工工资。资料不齐或经审核与实际情况不符时，甲方有权拒绝支付进度款且不承担因此导致的任何责任。过程中的工程量仅作为进度款的支付依据，最终完成的工程量以双方实际办理结算为准。</w:t>
      </w:r>
    </w:p>
    <w:p w14:paraId="5CAAC3B9">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（2）每月支付已完合格工程量价款的80%，但需扣除已支付的农民工工资。</w:t>
      </w:r>
    </w:p>
    <w:p w14:paraId="07DE1C1A">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（3）工程完工后支付至已完合格工程量价款的80%，但不超过合同金额的80%。</w:t>
      </w:r>
    </w:p>
    <w:p w14:paraId="765E90D4">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（4）完工验收合格并结算后支付至结算金额的97%。</w:t>
      </w:r>
    </w:p>
    <w:p w14:paraId="7AED94A4">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（5）剩余结算价款的3%作为质保金，自竣工验收合格之日起两年后无质量问题一次性无息支付。</w:t>
      </w:r>
    </w:p>
    <w:p w14:paraId="0589FA2F">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（6）每次支付款项时，乙方需提供付款金额等额的增值税专用发票（税率为9%）。</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1.2履约担保的形式二选一待定：现金或现金（50%）+履约保函（50%）的组合，履约保函包括银行保函、保证保险和担保保函。红名单优惠：红名单中的中标人履约担保金额为应缴纳金额的 80%。</w:t>
      </w:r>
    </w:p>
    <w:p w14:paraId="03A505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17D5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3768BD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2.低价风险担保：</w:t>
      </w:r>
    </w:p>
    <w:p w14:paraId="659105D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2.1金额：¥      元（大写人民币     ）。</w:t>
      </w:r>
    </w:p>
    <w:p w14:paraId="1A60C4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2.2低价风险担保的形式及具体要求二选一待定：</w:t>
      </w:r>
    </w:p>
    <w:p w14:paraId="338F377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现金或现金（50%）+低价风险担保保函（50%）的组合；采用现金（50%）+低价风险担保保函（50%）组合形式的，保函必须为不可撤销、不可转让且见索即付的独立保函，保函格式详见第四章合同条款及格式附件，中标人出具保函时，不得修改“低价风险担保保函”名称，也不得对低价风险担保保函示范文本中付款条件等实质性内容进行修改，否则视为不符合招标文件规定。</w:t>
      </w:r>
    </w:p>
    <w:p w14:paraId="203A1F3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具体要求：低价风险担保保函的开立人应当是具有相应资格的银行（工农中建四大行）或垫江县国有融资担保公司，其信用资质、履约能力、担保能力、赔付流程、安全保密等应符合开具保函业务条件。低价风险担保保函应合法合规，符合招投标行政监督部门、行业主管部门和金融监管部门的相关规定，满足招标文件约定要求。低价风险担保保函为纸质保函的，纸质保函应注明核验地址和核验方式。中标人对所提交的低价风险担保保函的真实性、合法性、有效性负责。</w:t>
      </w:r>
    </w:p>
    <w:p w14:paraId="7FAD673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2.3低价风险担保送达招标人的时间：从甲方中标通知书送达乙方之日起5个工作日内。</w:t>
      </w:r>
    </w:p>
    <w:p w14:paraId="2EB9ADB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2.4低价风险担保的期限：自低价风险担保生效之日起至完工验收合格之日止。</w:t>
      </w:r>
    </w:p>
    <w:p w14:paraId="0F16FDD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2.5低价风险担保的退还时间：①采用现金形式的：完成合同工程量50%后退还低价风险担保总额的50%，剩余低价风险担保在完工验收合格后一次性退还。退还均不计息。</w:t>
      </w:r>
    </w:p>
    <w:p w14:paraId="0DD2273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②采用现金（50%）+低价风险担保保函（50%）组合形式的：完成合同工程量50%后退还低价风险担保现金部分的50%，完工验收合格后退还低价风险担保剩余现金部分和低价风险担保保函。退还均不计息。</w:t>
      </w:r>
    </w:p>
    <w:p w14:paraId="0599299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19F03A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 xml:space="preserve"> 30 </w:t>
      </w:r>
      <w:r>
        <w:rPr>
          <w:rFonts w:hint="eastAsia" w:ascii="方正仿宋_GBK" w:hAnsi="方正仿宋_GBK" w:eastAsia="方正仿宋_GBK" w:cs="方正仿宋_GBK"/>
          <w:sz w:val="28"/>
          <w:u w:val="single"/>
          <w:lang w:eastAsia="zh-CN"/>
        </w:rPr>
        <w:t>日历天。收到</w:t>
      </w:r>
      <w:r>
        <w:rPr>
          <w:rFonts w:hint="eastAsia" w:ascii="方正仿宋_GBK" w:hAnsi="方正仿宋_GBK" w:eastAsia="方正仿宋_GBK" w:cs="方正仿宋_GBK"/>
          <w:sz w:val="28"/>
          <w:u w:val="single"/>
          <w:lang w:val="en-US" w:eastAsia="zh-CN"/>
        </w:rPr>
        <w:t>中标</w:t>
      </w:r>
      <w:r>
        <w:rPr>
          <w:rFonts w:hint="eastAsia" w:ascii="方正仿宋_GBK" w:hAnsi="方正仿宋_GBK" w:eastAsia="方正仿宋_GBK" w:cs="方正仿宋_GBK"/>
          <w:sz w:val="28"/>
          <w:u w:val="single"/>
          <w:lang w:eastAsia="zh-CN"/>
        </w:rPr>
        <w:t>通知书第5日起算，</w:t>
      </w:r>
      <w:r>
        <w:rPr>
          <w:rFonts w:hint="eastAsia" w:ascii="方正仿宋_GBK" w:hAnsi="方正仿宋_GBK" w:eastAsia="方正仿宋_GBK" w:cs="方正仿宋_GBK"/>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1AE6256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2FF78DD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01590D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eastAsia="zh-CN"/>
        </w:rPr>
        <w:t>。</w:t>
      </w:r>
    </w:p>
    <w:p w14:paraId="73F5562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7860A52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w:t>
      </w:r>
      <w:r>
        <w:rPr>
          <w:rFonts w:hint="eastAsia" w:ascii="方正仿宋_GBK" w:hAnsi="方正仿宋_GBK" w:eastAsia="方正仿宋_GBK" w:cs="方正仿宋_GBK"/>
          <w:sz w:val="28"/>
          <w:lang w:eastAsia="zh-CN"/>
        </w:rPr>
        <w:t>单位</w:t>
      </w:r>
      <w:r>
        <w:rPr>
          <w:rFonts w:hint="eastAsia" w:ascii="方正仿宋_GBK" w:hAnsi="方正仿宋_GBK" w:eastAsia="方正仿宋_GBK" w:cs="方正仿宋_GBK"/>
          <w:sz w:val="28"/>
        </w:rPr>
        <w:t>规定要求合格率100%</w:t>
      </w:r>
      <w:r>
        <w:rPr>
          <w:rFonts w:hint="eastAsia" w:ascii="方正仿宋_GBK" w:hAnsi="方正仿宋_GBK" w:eastAsia="方正仿宋_GBK" w:cs="方正仿宋_GBK"/>
          <w:sz w:val="28"/>
          <w:lang w:eastAsia="zh-CN"/>
        </w:rPr>
        <w:t>。</w:t>
      </w:r>
    </w:p>
    <w:p w14:paraId="0439E1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rPr>
        <w:t>因甲方造成的损失，由甲方承担</w:t>
      </w:r>
      <w:r>
        <w:rPr>
          <w:rFonts w:hint="eastAsia" w:ascii="方正仿宋_GBK" w:hAnsi="方正仿宋_GBK" w:eastAsia="方正仿宋_GBK" w:cs="方正仿宋_GBK"/>
          <w:sz w:val="28"/>
          <w:lang w:eastAsia="zh-CN"/>
        </w:rPr>
        <w:t>。</w:t>
      </w:r>
    </w:p>
    <w:p w14:paraId="0D6EB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1000.00元（最高视情况确定且不超过合同金额）每次的违约金。</w:t>
      </w:r>
    </w:p>
    <w:p w14:paraId="66E3379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材料、机械设备供应与管理</w:t>
      </w:r>
    </w:p>
    <w:p w14:paraId="5FF564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r>
        <w:rPr>
          <w:rFonts w:hint="eastAsia" w:ascii="方正仿宋_GBK" w:hAnsi="方正仿宋_GBK" w:eastAsia="方正仿宋_GBK" w:cs="方正仿宋_GBK"/>
          <w:sz w:val="28"/>
          <w:lang w:eastAsia="zh-CN"/>
        </w:rPr>
        <w:t>。</w:t>
      </w:r>
    </w:p>
    <w:p w14:paraId="1A2138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4DC9637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266AD6A8">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791CAF6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6E37D1E1">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0D94F919">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59F78985">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按双方的协商制订生</w:t>
      </w:r>
      <w:bookmarkStart w:id="0" w:name="_GoBack"/>
      <w:bookmarkEnd w:id="0"/>
      <w:r>
        <w:rPr>
          <w:rFonts w:hint="eastAsia" w:ascii="方正仿宋_GBK" w:hAnsi="方正仿宋_GBK" w:eastAsia="方正仿宋_GBK" w:cs="方正仿宋_GBK"/>
          <w:sz w:val="28"/>
        </w:rPr>
        <w:t>产、技术、质量、安全、材料等方面的管理规定和责任制，有权要求乙方按有关规定执行</w:t>
      </w:r>
      <w:r>
        <w:rPr>
          <w:rFonts w:hint="eastAsia" w:ascii="方正仿宋_GBK" w:hAnsi="方正仿宋_GBK" w:eastAsia="方正仿宋_GBK" w:cs="方正仿宋_GBK"/>
          <w:sz w:val="28"/>
          <w:lang w:eastAsia="zh-CN"/>
        </w:rPr>
        <w:t>。</w:t>
      </w:r>
    </w:p>
    <w:p w14:paraId="740D4952">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及时向乙方提供施工图纸，并组织图纸会审和技术交底</w:t>
      </w:r>
      <w:r>
        <w:rPr>
          <w:rFonts w:hint="eastAsia" w:ascii="方正仿宋_GBK" w:hAnsi="方正仿宋_GBK" w:eastAsia="方正仿宋_GBK" w:cs="方正仿宋_GBK"/>
          <w:sz w:val="28"/>
          <w:lang w:eastAsia="zh-CN"/>
        </w:rPr>
        <w:t>。</w:t>
      </w:r>
    </w:p>
    <w:p w14:paraId="39C58D7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r>
        <w:rPr>
          <w:rFonts w:hint="eastAsia" w:ascii="方正仿宋_GBK" w:hAnsi="方正仿宋_GBK" w:eastAsia="方正仿宋_GBK" w:cs="方正仿宋_GBK"/>
          <w:sz w:val="28"/>
          <w:lang w:eastAsia="zh-CN"/>
        </w:rPr>
        <w:t>。</w:t>
      </w:r>
    </w:p>
    <w:p w14:paraId="2323C530">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负责向乙方进行质量、安全、技术交底。</w:t>
      </w:r>
    </w:p>
    <w:p w14:paraId="63A8D5E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根据施工组织设计要求，对工程的进度进行检</w:t>
      </w:r>
      <w:r>
        <w:rPr>
          <w:rFonts w:hint="eastAsia" w:ascii="方正仿宋_GBK" w:hAnsi="方正仿宋_GBK" w:eastAsia="方正仿宋_GBK" w:cs="方正仿宋_GBK"/>
          <w:sz w:val="28"/>
        </w:rPr>
        <w:t>查落实，及时完成验收工作</w:t>
      </w:r>
      <w:r>
        <w:rPr>
          <w:rFonts w:hint="eastAsia" w:ascii="方正仿宋_GBK" w:hAnsi="方正仿宋_GBK" w:eastAsia="方正仿宋_GBK" w:cs="方正仿宋_GBK"/>
          <w:sz w:val="28"/>
          <w:lang w:eastAsia="zh-CN"/>
        </w:rPr>
        <w:t>。</w:t>
      </w:r>
    </w:p>
    <w:p w14:paraId="7DD9032F">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715E14E4">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498BA50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lang w:eastAsia="zh-CN"/>
        </w:rPr>
        <w:t>。</w:t>
      </w:r>
    </w:p>
    <w:p w14:paraId="14A40239">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2FFDFD23">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r>
        <w:rPr>
          <w:rFonts w:hint="eastAsia" w:ascii="方正仿宋_GBK" w:hAnsi="方正仿宋_GBK" w:eastAsia="方正仿宋_GBK" w:cs="方正仿宋_GBK"/>
          <w:sz w:val="28"/>
          <w:lang w:eastAsia="zh-CN"/>
        </w:rPr>
        <w:t>。</w:t>
      </w:r>
    </w:p>
    <w:p w14:paraId="4A45C9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412EA5A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r>
        <w:rPr>
          <w:rFonts w:hint="eastAsia" w:ascii="方正仿宋_GBK" w:hAnsi="方正仿宋_GBK" w:eastAsia="方正仿宋_GBK" w:cs="方正仿宋_GBK"/>
          <w:sz w:val="28"/>
          <w:lang w:eastAsia="zh-CN"/>
        </w:rPr>
        <w:t>。</w:t>
      </w:r>
    </w:p>
    <w:p w14:paraId="418E55B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乙方要及时派驻合格的工地代表，</w:t>
      </w: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更换代表，不得擅自更换，更换前，应提前通知甲方，并保证更换的代表具有相应资质</w:t>
      </w:r>
      <w:r>
        <w:rPr>
          <w:rFonts w:hint="eastAsia" w:ascii="方正仿宋_GBK" w:hAnsi="方正仿宋_GBK" w:eastAsia="方正仿宋_GBK" w:cs="方正仿宋_GBK"/>
          <w:sz w:val="28"/>
          <w:lang w:eastAsia="zh-CN"/>
        </w:rPr>
        <w:t>。</w:t>
      </w:r>
    </w:p>
    <w:p w14:paraId="01AD20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配合甲方进行材料、设备、工艺检测。</w:t>
      </w:r>
    </w:p>
    <w:p w14:paraId="0E909EC8">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按期完成项目，按时提交有关报表、完整的原始技术资料，配合甲方办理交工验收。</w:t>
      </w:r>
    </w:p>
    <w:p w14:paraId="4244C8D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74A278C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2"/>
          <w:lang w:val="en-US" w:eastAsia="zh-CN" w:bidi="ar-SA"/>
        </w:rPr>
        <w:t>乙方自行协调和排除施工的一切障碍，并承担费用。并主动配合本项目其他有关的劳务（专业）分包单位的工作。</w:t>
      </w:r>
    </w:p>
    <w:p w14:paraId="14AB7867">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sz w:val="28"/>
          <w:lang w:val="en-US" w:eastAsia="zh-CN"/>
        </w:rPr>
        <w:t>如乙方未按月足额支付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r>
        <w:rPr>
          <w:rFonts w:hint="eastAsia" w:ascii="方正仿宋_GBK" w:hAnsi="方正仿宋_GBK" w:eastAsia="方正仿宋_GBK" w:cs="方正仿宋_GBK"/>
          <w:b w:val="0"/>
          <w:bCs w:val="0"/>
          <w:kern w:val="2"/>
          <w:sz w:val="28"/>
          <w:szCs w:val="28"/>
          <w:lang w:val="en-US" w:eastAsia="zh-CN" w:bidi="ar-SA"/>
        </w:rPr>
        <w:t>。</w:t>
      </w:r>
    </w:p>
    <w:p w14:paraId="5829460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4323EC17">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0D985BF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42822CB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2511455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508A2AF4">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61CD3FE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104C1F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FBD96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BC877D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并依据相关的法律法规及甲方规章制度对乙方及其违章人员实施罚款及作出停工整改等措施，直至对乙方清退出场。</w:t>
      </w:r>
    </w:p>
    <w:p w14:paraId="75966782">
      <w:pPr>
        <w:keepNext w:val="0"/>
        <w:keepLines w:val="0"/>
        <w:pageBreakBefore w:val="0"/>
        <w:numPr>
          <w:ilvl w:val="0"/>
          <w:numId w:val="3"/>
        </w:numPr>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03DF7173">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74F361E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03F0B8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6BC900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6ED586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52EA73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本合同的保密条款在合同解除或终止后，保密资料依法定途径公开前，同样具有约束力。</w:t>
      </w:r>
    </w:p>
    <w:p w14:paraId="78D16BB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0D1FFE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B917C7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61D5B2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789FA4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442EBA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17E9928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u w:val="single"/>
          <w:lang w:val="en-US" w:eastAsia="zh-CN"/>
        </w:rPr>
        <w:t xml:space="preserve"> 3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3C4A1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违约责任</w:t>
      </w:r>
    </w:p>
    <w:p w14:paraId="51FEC9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5F97BEF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260DBFD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C57BCF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第十三条 组成分包合同的文件</w:t>
      </w:r>
    </w:p>
    <w:p w14:paraId="123912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本合同；</w:t>
      </w:r>
    </w:p>
    <w:p w14:paraId="453234B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成交（中标）通知书；</w:t>
      </w:r>
    </w:p>
    <w:p w14:paraId="51B84D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《垫江县城桂阳片区公共空间改造利用项目（一期）工程长安馨苑节点钢结构风雨连廊专业分包竞争性比选公告》；</w:t>
      </w:r>
    </w:p>
    <w:p w14:paraId="6B6320A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乙方对《垫江县城桂阳片区公共空间改造利用项目（一期）工程长安馨苑节点钢结构风雨连廊专业分包竞争性比选公告》的响应文件。</w:t>
      </w:r>
    </w:p>
    <w:p w14:paraId="14F1E4A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512F33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6FC95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4EB1222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031274A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08ED8AD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33E852B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4A86381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0B7120E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2F8B910B">
      <w:pPr>
        <w:pStyle w:val="3"/>
        <w:rPr>
          <w:rFonts w:hint="eastAsia" w:eastAsia="方正仿宋_GBK"/>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p>
    <w:p w14:paraId="037FF1D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0C7FD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651472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77AE1C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EFF27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377E1FEB">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5CAFA18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9FF8B93">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D721342">
      <w:pPr>
        <w:keepNext w:val="0"/>
        <w:keepLines w:val="0"/>
        <w:pageBreakBefore w:val="0"/>
        <w:tabs>
          <w:tab w:val="left" w:pos="0"/>
        </w:tabs>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sz w:val="28"/>
          <w:szCs w:val="28"/>
          <w:lang w:val="zh-CN"/>
        </w:rPr>
      </w:pPr>
    </w:p>
    <w:p w14:paraId="2652AA1E">
      <w:pPr>
        <w:rPr>
          <w:rFonts w:hint="eastAsia"/>
          <w:lang w:val="en-US" w:eastAsia="zh-CN"/>
        </w:rPr>
        <w:sectPr>
          <w:pgSz w:w="11906" w:h="16838"/>
          <w:pgMar w:top="1417" w:right="1701" w:bottom="1417" w:left="1701" w:header="851" w:footer="992" w:gutter="0"/>
          <w:cols w:space="425" w:num="1"/>
          <w:docGrid w:type="lines" w:linePitch="312" w:charSpace="0"/>
        </w:sectPr>
      </w:pPr>
    </w:p>
    <w:p w14:paraId="7BE1CE59">
      <w:pPr>
        <w:pStyle w:val="7"/>
        <w:rPr>
          <w:rFonts w:hint="eastAsia"/>
          <w:lang w:val="en-US" w:eastAsia="zh-CN"/>
        </w:rPr>
      </w:pPr>
    </w:p>
    <w:p w14:paraId="601BDB39">
      <w:pPr>
        <w:pStyle w:val="3"/>
        <w:rPr>
          <w:rFonts w:hint="eastAsia"/>
          <w:lang w:val="en-US" w:eastAsia="zh-CN"/>
        </w:rPr>
      </w:pPr>
      <w:r>
        <w:rPr>
          <w:rFonts w:hint="eastAsia" w:ascii="方正仿宋_GBK" w:hAnsi="方正仿宋_GBK" w:eastAsia="方正仿宋_GBK" w:cs="方正仿宋_GBK"/>
          <w:b/>
          <w:bCs/>
          <w:sz w:val="28"/>
          <w:szCs w:val="28"/>
          <w:lang w:val="en-US" w:eastAsia="zh-CN"/>
        </w:rPr>
        <w:t>附件1：工程量清单（若有）</w:t>
      </w:r>
    </w:p>
    <w:p w14:paraId="3589767D">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12142DB">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eastAsia="zh-CN"/>
        </w:rPr>
      </w:pPr>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eastAsia="zh-CN"/>
        </w:rPr>
        <w:t>垫江县城桂阳片区公共空间改造利用项目（一期）工程长安馨苑节点钢结构风雨连廊专业分包</w:t>
      </w:r>
    </w:p>
    <w:p w14:paraId="37FABE9F">
      <w:pPr>
        <w:pStyle w:val="2"/>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洁建设，根据有关法律法规规定，经甲乙双方商定，特作如下廉洁承诺，共同严格遵守。</w:t>
      </w:r>
    </w:p>
    <w:p w14:paraId="66E93C06">
      <w:pPr>
        <w:keepNext w:val="0"/>
        <w:keepLines w:val="0"/>
        <w:pageBreakBefore w:val="0"/>
        <w:widowControl w:val="0"/>
        <w:numPr>
          <w:ilvl w:val="0"/>
          <w:numId w:val="7"/>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1.甲方人员违反上述承诺，由公司按照党纪党规、国家法律法规和单位规章制度予以经济处罚、组织处理、纪律处分或移送有关单位追究法律责任。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；致甲方人员犯罪的，自愿同意按照双方合作事项总金额5%-10%的数目支付赔偿金给甲方，列入甲方黑色失信企业和人员，取消十年内与甲方业务合作资格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方正小标宋_GBK">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FD75"/>
    <w:multiLevelType w:val="singleLevel"/>
    <w:tmpl w:val="0C0AFD75"/>
    <w:lvl w:ilvl="0" w:tentative="0">
      <w:start w:val="1"/>
      <w:numFmt w:val="decimal"/>
      <w:lvlText w:val="(%1)"/>
      <w:lvlJc w:val="left"/>
      <w:pPr>
        <w:ind w:left="425" w:hanging="425"/>
      </w:pPr>
      <w:rPr>
        <w:rFonts w:hint="default"/>
      </w:rPr>
    </w:lvl>
  </w:abstractNum>
  <w:abstractNum w:abstractNumId="1">
    <w:nsid w:val="37ADBEA2"/>
    <w:multiLevelType w:val="singleLevel"/>
    <w:tmpl w:val="37ADBEA2"/>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3">
    <w:nsid w:val="6A8990F9"/>
    <w:multiLevelType w:val="singleLevel"/>
    <w:tmpl w:val="6A8990F9"/>
    <w:lvl w:ilvl="0" w:tentative="0">
      <w:start w:val="1"/>
      <w:numFmt w:val="decimal"/>
      <w:lvlText w:val="(%1)"/>
      <w:lvlJc w:val="left"/>
      <w:pPr>
        <w:ind w:left="425" w:hanging="425"/>
      </w:pPr>
      <w:rPr>
        <w:rFonts w:hint="default"/>
      </w:rPr>
    </w:lvl>
  </w:abstractNum>
  <w:abstractNum w:abstractNumId="4">
    <w:nsid w:val="72B98108"/>
    <w:multiLevelType w:val="singleLevel"/>
    <w:tmpl w:val="72B98108"/>
    <w:lvl w:ilvl="0" w:tentative="0">
      <w:start w:val="2"/>
      <w:numFmt w:val="decimal"/>
      <w:suff w:val="space"/>
      <w:lvlText w:val="%1."/>
      <w:lvlJc w:val="left"/>
    </w:lvl>
  </w:abstractNum>
  <w:abstractNum w:abstractNumId="5">
    <w:nsid w:val="72F3F01E"/>
    <w:multiLevelType w:val="singleLevel"/>
    <w:tmpl w:val="72F3F01E"/>
    <w:lvl w:ilvl="0" w:tentative="0">
      <w:start w:val="1"/>
      <w:numFmt w:val="decimal"/>
      <w:suff w:val="nothing"/>
      <w:lvlText w:val="（%1）"/>
      <w:lvlJc w:val="left"/>
    </w:lvl>
  </w:abstractNum>
  <w:abstractNum w:abstractNumId="6">
    <w:nsid w:val="7ECFBF99"/>
    <w:multiLevelType w:val="singleLevel"/>
    <w:tmpl w:val="7ECFBF99"/>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2D7792"/>
    <w:rsid w:val="004E247C"/>
    <w:rsid w:val="005E48F7"/>
    <w:rsid w:val="00692507"/>
    <w:rsid w:val="007011B6"/>
    <w:rsid w:val="00846F54"/>
    <w:rsid w:val="008F659E"/>
    <w:rsid w:val="00983004"/>
    <w:rsid w:val="00CF29F3"/>
    <w:rsid w:val="00E323B2"/>
    <w:rsid w:val="00F84641"/>
    <w:rsid w:val="02726C0F"/>
    <w:rsid w:val="04C747B3"/>
    <w:rsid w:val="04F72443"/>
    <w:rsid w:val="069B7C33"/>
    <w:rsid w:val="06EB1DC7"/>
    <w:rsid w:val="07B64184"/>
    <w:rsid w:val="081C66FB"/>
    <w:rsid w:val="081F5E95"/>
    <w:rsid w:val="095D4C2A"/>
    <w:rsid w:val="09765430"/>
    <w:rsid w:val="0B7A6C79"/>
    <w:rsid w:val="0EB10E3E"/>
    <w:rsid w:val="0F2B4BEA"/>
    <w:rsid w:val="10022A8D"/>
    <w:rsid w:val="10D40F96"/>
    <w:rsid w:val="12ED3AF7"/>
    <w:rsid w:val="15904C95"/>
    <w:rsid w:val="15931E77"/>
    <w:rsid w:val="18255BA2"/>
    <w:rsid w:val="18443CAA"/>
    <w:rsid w:val="1B10162F"/>
    <w:rsid w:val="1E545551"/>
    <w:rsid w:val="1EBA1D43"/>
    <w:rsid w:val="1EC63BAC"/>
    <w:rsid w:val="1F8E4D1A"/>
    <w:rsid w:val="1FC3402A"/>
    <w:rsid w:val="216C24A0"/>
    <w:rsid w:val="21AE4866"/>
    <w:rsid w:val="23425081"/>
    <w:rsid w:val="23867D2F"/>
    <w:rsid w:val="24541F5B"/>
    <w:rsid w:val="24902E71"/>
    <w:rsid w:val="24BC729A"/>
    <w:rsid w:val="25680878"/>
    <w:rsid w:val="25BA07B8"/>
    <w:rsid w:val="27561240"/>
    <w:rsid w:val="29782945"/>
    <w:rsid w:val="2EDF4484"/>
    <w:rsid w:val="30CF389F"/>
    <w:rsid w:val="327036FA"/>
    <w:rsid w:val="353A6E2B"/>
    <w:rsid w:val="372A7A2F"/>
    <w:rsid w:val="37775AB1"/>
    <w:rsid w:val="39127992"/>
    <w:rsid w:val="3B605DEA"/>
    <w:rsid w:val="3EA801DE"/>
    <w:rsid w:val="408F37BF"/>
    <w:rsid w:val="418211F7"/>
    <w:rsid w:val="41A24E54"/>
    <w:rsid w:val="41EB12BF"/>
    <w:rsid w:val="44511355"/>
    <w:rsid w:val="45C5024D"/>
    <w:rsid w:val="471E5F4B"/>
    <w:rsid w:val="4893519B"/>
    <w:rsid w:val="4AF1795C"/>
    <w:rsid w:val="4E25143E"/>
    <w:rsid w:val="4EAF1A9A"/>
    <w:rsid w:val="4F2B4F44"/>
    <w:rsid w:val="50D30A0F"/>
    <w:rsid w:val="54A93D4B"/>
    <w:rsid w:val="56111506"/>
    <w:rsid w:val="577A1642"/>
    <w:rsid w:val="587A4EC7"/>
    <w:rsid w:val="5AB63BD0"/>
    <w:rsid w:val="5ABD70FE"/>
    <w:rsid w:val="5B5C6BD3"/>
    <w:rsid w:val="5D0814E0"/>
    <w:rsid w:val="5F7E2339"/>
    <w:rsid w:val="604843E8"/>
    <w:rsid w:val="62E56991"/>
    <w:rsid w:val="6380051D"/>
    <w:rsid w:val="66EA7C12"/>
    <w:rsid w:val="67EB35AF"/>
    <w:rsid w:val="68B26892"/>
    <w:rsid w:val="69AD2BFB"/>
    <w:rsid w:val="6E4C532A"/>
    <w:rsid w:val="6FF0313F"/>
    <w:rsid w:val="72761FC3"/>
    <w:rsid w:val="740357A1"/>
    <w:rsid w:val="74794E80"/>
    <w:rsid w:val="747B7369"/>
    <w:rsid w:val="74D84FF7"/>
    <w:rsid w:val="7A077F60"/>
    <w:rsid w:val="7C32590E"/>
    <w:rsid w:val="7DBF2A6D"/>
    <w:rsid w:val="7E2C0742"/>
    <w:rsid w:val="7E837086"/>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99"/>
    <w:pPr>
      <w:spacing w:before="16"/>
      <w:jc w:val="left"/>
    </w:pPr>
    <w:rPr>
      <w:rFonts w:ascii="仿宋_GB2312" w:hAnsi="宋体" w:eastAsia="仿宋_GB2312" w:cs="仿宋_GB2312"/>
      <w:b/>
      <w:bCs/>
      <w:sz w:val="24"/>
      <w:szCs w:val="24"/>
    </w:rPr>
  </w:style>
  <w:style w:type="paragraph" w:styleId="4">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w:basedOn w:val="4"/>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character" w:styleId="10">
    <w:name w:val="page number"/>
    <w:basedOn w:val="9"/>
    <w:qFormat/>
    <w:uiPriority w:val="0"/>
  </w:style>
  <w:style w:type="paragraph" w:customStyle="1" w:styleId="11">
    <w:name w:val="默认"/>
    <w:qFormat/>
    <w:uiPriority w:val="0"/>
    <w:rPr>
      <w:rFonts w:ascii="Helvetica" w:hAnsi="Helvetica" w:eastAsia="Helvetica" w:cs="Helvetica"/>
      <w:color w:val="000000"/>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14</Pages>
  <Words>9550</Words>
  <Characters>10036</Characters>
  <Lines>191</Lines>
  <Paragraphs>108</Paragraphs>
  <TotalTime>0</TotalTime>
  <ScaleCrop>false</ScaleCrop>
  <LinksUpToDate>false</LinksUpToDate>
  <CharactersWithSpaces>10455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2023-09-05T03:50:00Z</cp:lastPrinted>
  <dcterms:modified xsi:type="dcterms:W3CDTF">2025-06-17T08:26:53Z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C0AF42C2997B4E0E8AA684B2D927747C</vt:lpwstr>
  </property>
  <property fmtid="{D5CDD505-2E9C-101B-9397-08002B2CF9AE}" pid="3" name="KSOProductBuildVer">
    <vt:lpwstr>2052-12.1.0.21541</vt:lpwstr>
  </property>
  <property fmtid="{D5CDD505-2E9C-101B-9397-08002B2CF9AE}" pid="4" name="KSOTemplateDocerSaveRecord">
    <vt:lpwstr>eyJoZGlkIjoiNTVkZTIyYTQ0ZDUzMGU3MjA1N2FmYmNkYmM4YThkZDQiLCJ1c2VySWQiOiIyNjQwMDM1OTQifQ==</vt:lpwstr>
  </property>
</Properties>
</file>