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6B0625">
      <w:pPr>
        <w:jc w:val="center"/>
        <w:rPr>
          <w:rFonts w:hint="eastAsia" w:asciiTheme="minorEastAsia" w:hAnsiTheme="minorEastAsia"/>
          <w:color w:val="auto"/>
          <w:highlight w:val="none"/>
        </w:rPr>
      </w:pPr>
    </w:p>
    <w:p w14:paraId="71CF4F83">
      <w:pPr>
        <w:pStyle w:val="2"/>
        <w:ind w:left="1260"/>
        <w:rPr>
          <w:color w:val="auto"/>
          <w:highlight w:val="none"/>
        </w:rPr>
      </w:pPr>
    </w:p>
    <w:p w14:paraId="29CE7216">
      <w:pPr>
        <w:rPr>
          <w:color w:val="auto"/>
          <w:highlight w:val="none"/>
        </w:rPr>
      </w:pPr>
    </w:p>
    <w:p w14:paraId="574453FE">
      <w:pPr>
        <w:pStyle w:val="2"/>
        <w:ind w:left="1260"/>
        <w:rPr>
          <w:color w:val="auto"/>
          <w:highlight w:val="none"/>
        </w:rPr>
      </w:pPr>
    </w:p>
    <w:p w14:paraId="65230E24">
      <w:pPr>
        <w:rPr>
          <w:color w:val="auto"/>
          <w:highlight w:val="none"/>
        </w:rPr>
      </w:pPr>
    </w:p>
    <w:p w14:paraId="6D1D8DC7">
      <w:pPr>
        <w:pStyle w:val="2"/>
        <w:ind w:left="1260"/>
        <w:rPr>
          <w:color w:val="auto"/>
          <w:highlight w:val="none"/>
        </w:rPr>
      </w:pPr>
    </w:p>
    <w:p w14:paraId="198ABB94">
      <w:pPr>
        <w:rPr>
          <w:color w:val="auto"/>
          <w:highlight w:val="none"/>
        </w:rPr>
      </w:pPr>
    </w:p>
    <w:p w14:paraId="7F2C8D00">
      <w:pPr>
        <w:pStyle w:val="2"/>
        <w:ind w:left="1260"/>
        <w:rPr>
          <w:color w:val="auto"/>
          <w:highlight w:val="none"/>
        </w:rPr>
      </w:pPr>
    </w:p>
    <w:p w14:paraId="5C285BAF">
      <w:pPr>
        <w:spacing w:line="1600" w:lineRule="exact"/>
        <w:jc w:val="center"/>
        <w:outlineLvl w:val="0"/>
        <w:rPr>
          <w:rFonts w:hint="eastAsia" w:asciiTheme="minorEastAsia" w:hAnsiTheme="minorEastAsia"/>
          <w:color w:val="auto"/>
          <w:sz w:val="130"/>
          <w:szCs w:val="130"/>
          <w:highlight w:val="none"/>
        </w:rPr>
      </w:pPr>
      <w:r>
        <w:rPr>
          <w:rFonts w:hint="eastAsia" w:asciiTheme="minorEastAsia" w:hAnsiTheme="minorEastAsia"/>
          <w:color w:val="auto"/>
          <w:sz w:val="130"/>
          <w:szCs w:val="130"/>
          <w:highlight w:val="none"/>
        </w:rPr>
        <w:t>询价通知书</w:t>
      </w:r>
    </w:p>
    <w:p w14:paraId="68EFEC83">
      <w:pPr>
        <w:spacing w:line="700" w:lineRule="exact"/>
        <w:rPr>
          <w:rFonts w:hint="eastAsia" w:asciiTheme="minorEastAsia" w:hAnsiTheme="minorEastAsia"/>
          <w:color w:val="auto"/>
          <w:sz w:val="32"/>
          <w:highlight w:val="none"/>
        </w:rPr>
      </w:pPr>
    </w:p>
    <w:p w14:paraId="5C658730">
      <w:pPr>
        <w:spacing w:line="700" w:lineRule="exact"/>
        <w:jc w:val="center"/>
        <w:rPr>
          <w:rFonts w:hint="eastAsia" w:asciiTheme="minorEastAsia" w:hAnsiTheme="minorEastAsia"/>
          <w:color w:val="auto"/>
          <w:sz w:val="32"/>
          <w:highlight w:val="none"/>
        </w:rPr>
      </w:pPr>
    </w:p>
    <w:p w14:paraId="648B5562">
      <w:pPr>
        <w:widowControl/>
        <w:ind w:left="2520" w:hanging="2520" w:hangingChars="700"/>
        <w:jc w:val="left"/>
        <w:textAlignment w:val="center"/>
        <w:rPr>
          <w:rFonts w:hint="default" w:asciiTheme="minorEastAsia" w:hAnsiTheme="minorEastAsia" w:eastAsiaTheme="minorEastAsia"/>
          <w:color w:val="auto"/>
          <w:sz w:val="36"/>
          <w:szCs w:val="36"/>
          <w:highlight w:val="none"/>
          <w:lang w:val="en-US" w:eastAsia="zh-CN"/>
        </w:rPr>
      </w:pPr>
      <w:r>
        <w:rPr>
          <w:rFonts w:hint="eastAsia" w:asciiTheme="minorEastAsia" w:hAnsiTheme="minorEastAsia"/>
          <w:color w:val="auto"/>
          <w:sz w:val="36"/>
          <w:szCs w:val="36"/>
          <w:highlight w:val="none"/>
        </w:rPr>
        <w:t>询价项目名称：</w:t>
      </w:r>
      <w:bookmarkStart w:id="0" w:name="OLE_LINK5"/>
      <w:bookmarkStart w:id="1" w:name="OLE_LINK7"/>
      <w:bookmarkStart w:id="301" w:name="_GoBack"/>
      <w:r>
        <w:rPr>
          <w:rFonts w:hint="eastAsia" w:asciiTheme="minorEastAsia" w:hAnsiTheme="minorEastAsia"/>
          <w:color w:val="auto"/>
          <w:sz w:val="36"/>
          <w:szCs w:val="36"/>
          <w:highlight w:val="none"/>
        </w:rPr>
        <w:t>重庆东鸿城市运营管理有限责任公司废弃食用油脂收运车辆采购</w:t>
      </w:r>
      <w:bookmarkEnd w:id="0"/>
      <w:r>
        <w:rPr>
          <w:rFonts w:hint="eastAsia" w:asciiTheme="minorEastAsia" w:hAnsiTheme="minorEastAsia"/>
          <w:color w:val="auto"/>
          <w:sz w:val="36"/>
          <w:szCs w:val="36"/>
          <w:highlight w:val="none"/>
          <w:lang w:eastAsia="zh-CN"/>
        </w:rPr>
        <w:t>（</w:t>
      </w:r>
      <w:r>
        <w:rPr>
          <w:rFonts w:hint="eastAsia" w:asciiTheme="minorEastAsia" w:hAnsiTheme="minorEastAsia"/>
          <w:color w:val="auto"/>
          <w:sz w:val="36"/>
          <w:szCs w:val="36"/>
          <w:highlight w:val="none"/>
          <w:lang w:val="en-US" w:eastAsia="zh-CN"/>
        </w:rPr>
        <w:t>第三次）</w:t>
      </w:r>
      <w:bookmarkEnd w:id="301"/>
    </w:p>
    <w:bookmarkEnd w:id="1"/>
    <w:p w14:paraId="75581F08">
      <w:pPr>
        <w:spacing w:line="700" w:lineRule="exact"/>
        <w:jc w:val="center"/>
        <w:rPr>
          <w:rFonts w:hint="eastAsia" w:asciiTheme="minorEastAsia" w:hAnsiTheme="minorEastAsia"/>
          <w:color w:val="auto"/>
          <w:sz w:val="36"/>
          <w:szCs w:val="36"/>
          <w:highlight w:val="none"/>
        </w:rPr>
      </w:pPr>
    </w:p>
    <w:p w14:paraId="447D89FD">
      <w:pPr>
        <w:spacing w:line="700" w:lineRule="exact"/>
        <w:rPr>
          <w:rFonts w:hint="eastAsia" w:asciiTheme="minorEastAsia" w:hAnsiTheme="minorEastAsia"/>
          <w:color w:val="auto"/>
          <w:sz w:val="36"/>
          <w:szCs w:val="36"/>
          <w:highlight w:val="none"/>
        </w:rPr>
      </w:pPr>
    </w:p>
    <w:p w14:paraId="49BDA9BE">
      <w:pPr>
        <w:spacing w:line="500" w:lineRule="exact"/>
        <w:jc w:val="center"/>
        <w:outlineLvl w:val="0"/>
        <w:rPr>
          <w:rFonts w:hint="eastAsia" w:asciiTheme="minorEastAsia" w:hAnsiTheme="minorEastAsia"/>
          <w:color w:val="auto"/>
          <w:sz w:val="36"/>
          <w:szCs w:val="36"/>
          <w:highlight w:val="none"/>
        </w:rPr>
      </w:pPr>
      <w:r>
        <w:rPr>
          <w:rFonts w:hint="eastAsia" w:asciiTheme="minorEastAsia" w:hAnsiTheme="minorEastAsia"/>
          <w:color w:val="auto"/>
          <w:sz w:val="36"/>
          <w:szCs w:val="36"/>
          <w:highlight w:val="none"/>
        </w:rPr>
        <w:t>采购人：</w:t>
      </w:r>
      <w:bookmarkStart w:id="2" w:name="OLE_LINK1"/>
      <w:r>
        <w:rPr>
          <w:rFonts w:hint="eastAsia" w:asciiTheme="minorEastAsia" w:hAnsiTheme="minorEastAsia"/>
          <w:color w:val="auto"/>
          <w:sz w:val="36"/>
          <w:szCs w:val="36"/>
          <w:highlight w:val="none"/>
        </w:rPr>
        <w:t>重庆东鸿城市运营管理有限责任公司</w:t>
      </w:r>
    </w:p>
    <w:bookmarkEnd w:id="2"/>
    <w:p w14:paraId="5F29B792">
      <w:pPr>
        <w:spacing w:line="700" w:lineRule="exact"/>
        <w:ind w:firstLine="1080" w:firstLineChars="300"/>
        <w:rPr>
          <w:rFonts w:hint="eastAsia" w:asciiTheme="minorEastAsia" w:hAnsiTheme="minorEastAsia"/>
          <w:color w:val="auto"/>
          <w:sz w:val="36"/>
          <w:szCs w:val="30"/>
          <w:highlight w:val="none"/>
        </w:rPr>
      </w:pPr>
      <w:r>
        <w:rPr>
          <w:rFonts w:hint="eastAsia" w:asciiTheme="minorEastAsia" w:hAnsiTheme="minorEastAsia"/>
          <w:color w:val="auto"/>
          <w:sz w:val="36"/>
          <w:szCs w:val="36"/>
          <w:highlight w:val="none"/>
        </w:rPr>
        <w:t>采购代理机构：</w:t>
      </w:r>
      <w:bookmarkStart w:id="3" w:name="OLE_LINK8"/>
      <w:r>
        <w:rPr>
          <w:rFonts w:hint="eastAsia" w:asciiTheme="minorEastAsia" w:hAnsiTheme="minorEastAsia"/>
          <w:color w:val="auto"/>
          <w:sz w:val="36"/>
          <w:szCs w:val="36"/>
          <w:highlight w:val="none"/>
        </w:rPr>
        <w:t>重庆渝东勘测设计研究院有限公司</w:t>
      </w:r>
      <w:bookmarkEnd w:id="3"/>
    </w:p>
    <w:p w14:paraId="3DF95B25">
      <w:pPr>
        <w:spacing w:line="500" w:lineRule="exact"/>
        <w:jc w:val="center"/>
        <w:outlineLvl w:val="0"/>
        <w:rPr>
          <w:rFonts w:hint="eastAsia" w:asciiTheme="minorEastAsia" w:hAnsiTheme="minorEastAsia"/>
          <w:color w:val="auto"/>
          <w:sz w:val="36"/>
          <w:szCs w:val="36"/>
          <w:highlight w:val="none"/>
        </w:rPr>
      </w:pPr>
    </w:p>
    <w:p w14:paraId="7EB0FAFA">
      <w:pPr>
        <w:spacing w:line="720" w:lineRule="exact"/>
        <w:jc w:val="center"/>
        <w:outlineLvl w:val="0"/>
        <w:rPr>
          <w:rFonts w:hint="eastAsia" w:asciiTheme="minorEastAsia" w:hAnsiTheme="minorEastAsia"/>
          <w:color w:val="auto"/>
          <w:sz w:val="48"/>
          <w:szCs w:val="32"/>
          <w:highlight w:val="none"/>
        </w:rPr>
      </w:pPr>
      <w:r>
        <w:rPr>
          <w:rFonts w:hint="eastAsia" w:asciiTheme="minorEastAsia" w:hAnsiTheme="minorEastAsia"/>
          <w:color w:val="auto"/>
          <w:sz w:val="36"/>
          <w:szCs w:val="36"/>
          <w:highlight w:val="none"/>
        </w:rPr>
        <w:t>二〇二五年</w:t>
      </w:r>
      <w:r>
        <w:rPr>
          <w:rFonts w:hint="eastAsia" w:asciiTheme="minorEastAsia" w:hAnsiTheme="minorEastAsia"/>
          <w:color w:val="auto"/>
          <w:sz w:val="36"/>
          <w:szCs w:val="36"/>
          <w:highlight w:val="none"/>
          <w:lang w:val="en-US" w:eastAsia="zh-CN"/>
        </w:rPr>
        <w:t>六</w:t>
      </w:r>
      <w:r>
        <w:rPr>
          <w:rFonts w:hint="eastAsia" w:asciiTheme="minorEastAsia" w:hAnsiTheme="minorEastAsia"/>
          <w:color w:val="auto"/>
          <w:sz w:val="36"/>
          <w:szCs w:val="36"/>
          <w:highlight w:val="none"/>
        </w:rPr>
        <w:t>月</w:t>
      </w:r>
    </w:p>
    <w:p w14:paraId="50F6A81A">
      <w:pPr>
        <w:spacing w:line="480" w:lineRule="exact"/>
        <w:outlineLvl w:val="0"/>
        <w:rPr>
          <w:rFonts w:hint="eastAsia" w:asciiTheme="minorEastAsia" w:hAnsiTheme="minorEastAsia"/>
          <w:color w:val="auto"/>
          <w:sz w:val="44"/>
          <w:szCs w:val="28"/>
          <w:highlight w:val="none"/>
        </w:rPr>
        <w:sectPr>
          <w:headerReference r:id="rId6" w:type="first"/>
          <w:footerReference r:id="rId9" w:type="first"/>
          <w:headerReference r:id="rId5" w:type="default"/>
          <w:footerReference r:id="rId7" w:type="default"/>
          <w:footerReference r:id="rId8" w:type="even"/>
          <w:pgSz w:w="11907" w:h="16840"/>
          <w:pgMar w:top="1134" w:right="1191" w:bottom="1134" w:left="1304" w:header="851" w:footer="992" w:gutter="0"/>
          <w:pgNumType w:fmt="numberInDash" w:start="1"/>
          <w:cols w:space="720" w:num="1"/>
          <w:titlePg/>
          <w:docGrid w:linePitch="381" w:charSpace="-5735"/>
        </w:sectPr>
      </w:pPr>
    </w:p>
    <w:p w14:paraId="7F26B606">
      <w:pPr>
        <w:spacing w:line="480" w:lineRule="exact"/>
        <w:jc w:val="center"/>
        <w:outlineLvl w:val="0"/>
        <w:rPr>
          <w:rFonts w:hint="eastAsia" w:asciiTheme="minorEastAsia" w:hAnsiTheme="minorEastAsia"/>
          <w:color w:val="auto"/>
          <w:sz w:val="44"/>
          <w:szCs w:val="28"/>
          <w:highlight w:val="none"/>
        </w:rPr>
      </w:pPr>
      <w:r>
        <w:rPr>
          <w:rFonts w:hint="eastAsia" w:asciiTheme="minorEastAsia" w:hAnsiTheme="minorEastAsia"/>
          <w:color w:val="auto"/>
          <w:sz w:val="44"/>
          <w:szCs w:val="28"/>
          <w:highlight w:val="none"/>
        </w:rPr>
        <w:t>目   录</w:t>
      </w:r>
    </w:p>
    <w:p w14:paraId="51B72243">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TOC \o "1-3" \h \z </w:instrText>
      </w:r>
      <w:r>
        <w:rPr>
          <w:rFonts w:hint="eastAsia" w:asciiTheme="minorEastAsia" w:hAnsiTheme="minorEastAsia"/>
          <w:color w:val="auto"/>
          <w:szCs w:val="21"/>
          <w:highlight w:val="none"/>
        </w:rPr>
        <w:fldChar w:fldCharType="separate"/>
      </w: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_Toc31771 </w:instrText>
      </w:r>
      <w:r>
        <w:rPr>
          <w:rFonts w:hint="eastAsia" w:asciiTheme="minorEastAsia" w:hAnsiTheme="minorEastAsia"/>
          <w:color w:val="auto"/>
          <w:szCs w:val="21"/>
          <w:highlight w:val="none"/>
        </w:rPr>
        <w:fldChar w:fldCharType="separate"/>
      </w:r>
      <w:r>
        <w:rPr>
          <w:rFonts w:hint="eastAsia" w:asciiTheme="minorEastAsia" w:hAnsiTheme="minorEastAsia"/>
          <w:color w:val="auto"/>
          <w:szCs w:val="30"/>
          <w:highlight w:val="none"/>
        </w:rPr>
        <w:t xml:space="preserve">第一篇  </w:t>
      </w:r>
      <w:r>
        <w:rPr>
          <w:rFonts w:hint="eastAsia" w:cs="Arial" w:asciiTheme="minorEastAsia" w:hAnsiTheme="minorEastAsia"/>
          <w:color w:val="auto"/>
          <w:highlight w:val="none"/>
        </w:rPr>
        <w:t>询价采购邀请书</w:t>
      </w:r>
      <w:r>
        <w:rPr>
          <w:color w:val="auto"/>
          <w:highlight w:val="none"/>
        </w:rPr>
        <w:tab/>
      </w:r>
      <w:r>
        <w:rPr>
          <w:color w:val="auto"/>
          <w:highlight w:val="none"/>
        </w:rPr>
        <w:fldChar w:fldCharType="begin"/>
      </w:r>
      <w:r>
        <w:rPr>
          <w:color w:val="auto"/>
          <w:highlight w:val="none"/>
        </w:rPr>
        <w:instrText xml:space="preserve"> PAGEREF _Toc31771 \h </w:instrText>
      </w:r>
      <w:r>
        <w:rPr>
          <w:color w:val="auto"/>
          <w:highlight w:val="none"/>
        </w:rPr>
        <w:fldChar w:fldCharType="separate"/>
      </w:r>
      <w:r>
        <w:rPr>
          <w:color w:val="auto"/>
          <w:highlight w:val="none"/>
        </w:rPr>
        <w:t>- 3 -</w:t>
      </w:r>
      <w:r>
        <w:rPr>
          <w:color w:val="auto"/>
          <w:highlight w:val="none"/>
        </w:rPr>
        <w:fldChar w:fldCharType="end"/>
      </w:r>
      <w:r>
        <w:rPr>
          <w:rFonts w:hint="eastAsia" w:asciiTheme="minorEastAsia" w:hAnsiTheme="minorEastAsia"/>
          <w:color w:val="auto"/>
          <w:szCs w:val="21"/>
          <w:highlight w:val="none"/>
        </w:rPr>
        <w:fldChar w:fldCharType="end"/>
      </w:r>
    </w:p>
    <w:p w14:paraId="2ECFF29C">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_Toc17011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一、 询价内容</w:t>
      </w:r>
      <w:r>
        <w:rPr>
          <w:color w:val="auto"/>
          <w:highlight w:val="none"/>
        </w:rPr>
        <w:tab/>
      </w:r>
      <w:r>
        <w:rPr>
          <w:color w:val="auto"/>
          <w:highlight w:val="none"/>
        </w:rPr>
        <w:fldChar w:fldCharType="begin"/>
      </w:r>
      <w:r>
        <w:rPr>
          <w:color w:val="auto"/>
          <w:highlight w:val="none"/>
        </w:rPr>
        <w:instrText xml:space="preserve"> PAGEREF _Toc17011 \h </w:instrText>
      </w:r>
      <w:r>
        <w:rPr>
          <w:color w:val="auto"/>
          <w:highlight w:val="none"/>
        </w:rPr>
        <w:fldChar w:fldCharType="separate"/>
      </w:r>
      <w:r>
        <w:rPr>
          <w:color w:val="auto"/>
          <w:highlight w:val="none"/>
        </w:rPr>
        <w:t>- 3 -</w:t>
      </w:r>
      <w:r>
        <w:rPr>
          <w:color w:val="auto"/>
          <w:highlight w:val="none"/>
        </w:rPr>
        <w:fldChar w:fldCharType="end"/>
      </w:r>
      <w:r>
        <w:rPr>
          <w:rFonts w:hint="eastAsia" w:asciiTheme="minorEastAsia" w:hAnsiTheme="minorEastAsia"/>
          <w:color w:val="auto"/>
          <w:szCs w:val="21"/>
          <w:highlight w:val="none"/>
        </w:rPr>
        <w:fldChar w:fldCharType="end"/>
      </w:r>
    </w:p>
    <w:p w14:paraId="2FC07A20">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_Toc32545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二、资金来源</w:t>
      </w:r>
      <w:r>
        <w:rPr>
          <w:color w:val="auto"/>
          <w:highlight w:val="none"/>
        </w:rPr>
        <w:tab/>
      </w:r>
      <w:r>
        <w:rPr>
          <w:color w:val="auto"/>
          <w:highlight w:val="none"/>
        </w:rPr>
        <w:fldChar w:fldCharType="begin"/>
      </w:r>
      <w:r>
        <w:rPr>
          <w:color w:val="auto"/>
          <w:highlight w:val="none"/>
        </w:rPr>
        <w:instrText xml:space="preserve"> PAGEREF _Toc32545 \h </w:instrText>
      </w:r>
      <w:r>
        <w:rPr>
          <w:color w:val="auto"/>
          <w:highlight w:val="none"/>
        </w:rPr>
        <w:fldChar w:fldCharType="separate"/>
      </w:r>
      <w:r>
        <w:rPr>
          <w:color w:val="auto"/>
          <w:highlight w:val="none"/>
        </w:rPr>
        <w:t>- 3 -</w:t>
      </w:r>
      <w:r>
        <w:rPr>
          <w:color w:val="auto"/>
          <w:highlight w:val="none"/>
        </w:rPr>
        <w:fldChar w:fldCharType="end"/>
      </w:r>
      <w:r>
        <w:rPr>
          <w:rFonts w:hint="eastAsia" w:asciiTheme="minorEastAsia" w:hAnsiTheme="minorEastAsia"/>
          <w:color w:val="auto"/>
          <w:szCs w:val="21"/>
          <w:highlight w:val="none"/>
        </w:rPr>
        <w:fldChar w:fldCharType="end"/>
      </w:r>
    </w:p>
    <w:p w14:paraId="4C8E7934">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_Toc21798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三、供应商资格条件</w:t>
      </w:r>
      <w:r>
        <w:rPr>
          <w:color w:val="auto"/>
          <w:highlight w:val="none"/>
        </w:rPr>
        <w:tab/>
      </w:r>
      <w:r>
        <w:rPr>
          <w:color w:val="auto"/>
          <w:highlight w:val="none"/>
        </w:rPr>
        <w:fldChar w:fldCharType="begin"/>
      </w:r>
      <w:r>
        <w:rPr>
          <w:color w:val="auto"/>
          <w:highlight w:val="none"/>
        </w:rPr>
        <w:instrText xml:space="preserve"> PAGEREF _Toc21798 \h </w:instrText>
      </w:r>
      <w:r>
        <w:rPr>
          <w:color w:val="auto"/>
          <w:highlight w:val="none"/>
        </w:rPr>
        <w:fldChar w:fldCharType="separate"/>
      </w:r>
      <w:r>
        <w:rPr>
          <w:color w:val="auto"/>
          <w:highlight w:val="none"/>
        </w:rPr>
        <w:t>- 3 -</w:t>
      </w:r>
      <w:r>
        <w:rPr>
          <w:color w:val="auto"/>
          <w:highlight w:val="none"/>
        </w:rPr>
        <w:fldChar w:fldCharType="end"/>
      </w:r>
      <w:r>
        <w:rPr>
          <w:rFonts w:hint="eastAsia" w:asciiTheme="minorEastAsia" w:hAnsiTheme="minorEastAsia"/>
          <w:color w:val="auto"/>
          <w:szCs w:val="21"/>
          <w:highlight w:val="none"/>
        </w:rPr>
        <w:fldChar w:fldCharType="end"/>
      </w:r>
    </w:p>
    <w:p w14:paraId="4F9CB1F4">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_Toc15701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四、询价有关说明</w:t>
      </w:r>
      <w:r>
        <w:rPr>
          <w:color w:val="auto"/>
          <w:highlight w:val="none"/>
        </w:rPr>
        <w:tab/>
      </w:r>
      <w:r>
        <w:rPr>
          <w:color w:val="auto"/>
          <w:highlight w:val="none"/>
        </w:rPr>
        <w:fldChar w:fldCharType="begin"/>
      </w:r>
      <w:r>
        <w:rPr>
          <w:color w:val="auto"/>
          <w:highlight w:val="none"/>
        </w:rPr>
        <w:instrText xml:space="preserve"> PAGEREF _Toc15701 \h </w:instrText>
      </w:r>
      <w:r>
        <w:rPr>
          <w:color w:val="auto"/>
          <w:highlight w:val="none"/>
        </w:rPr>
        <w:fldChar w:fldCharType="separate"/>
      </w:r>
      <w:r>
        <w:rPr>
          <w:color w:val="auto"/>
          <w:highlight w:val="none"/>
        </w:rPr>
        <w:t>- 3 -</w:t>
      </w:r>
      <w:r>
        <w:rPr>
          <w:color w:val="auto"/>
          <w:highlight w:val="none"/>
        </w:rPr>
        <w:fldChar w:fldCharType="end"/>
      </w:r>
      <w:r>
        <w:rPr>
          <w:rFonts w:hint="eastAsia" w:asciiTheme="minorEastAsia" w:hAnsiTheme="minorEastAsia"/>
          <w:color w:val="auto"/>
          <w:szCs w:val="21"/>
          <w:highlight w:val="none"/>
        </w:rPr>
        <w:fldChar w:fldCharType="end"/>
      </w:r>
    </w:p>
    <w:p w14:paraId="6D070F70">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_Toc23231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五、保证金</w:t>
      </w:r>
      <w:r>
        <w:rPr>
          <w:color w:val="auto"/>
          <w:highlight w:val="none"/>
        </w:rPr>
        <w:tab/>
      </w:r>
      <w:r>
        <w:rPr>
          <w:color w:val="auto"/>
          <w:highlight w:val="none"/>
        </w:rPr>
        <w:fldChar w:fldCharType="begin"/>
      </w:r>
      <w:r>
        <w:rPr>
          <w:color w:val="auto"/>
          <w:highlight w:val="none"/>
        </w:rPr>
        <w:instrText xml:space="preserve"> PAGEREF _Toc23231 \h </w:instrText>
      </w:r>
      <w:r>
        <w:rPr>
          <w:color w:val="auto"/>
          <w:highlight w:val="none"/>
        </w:rPr>
        <w:fldChar w:fldCharType="separate"/>
      </w:r>
      <w:r>
        <w:rPr>
          <w:color w:val="auto"/>
          <w:highlight w:val="none"/>
        </w:rPr>
        <w:t>- 3 -</w:t>
      </w:r>
      <w:r>
        <w:rPr>
          <w:color w:val="auto"/>
          <w:highlight w:val="none"/>
        </w:rPr>
        <w:fldChar w:fldCharType="end"/>
      </w:r>
      <w:r>
        <w:rPr>
          <w:rFonts w:hint="eastAsia" w:asciiTheme="minorEastAsia" w:hAnsiTheme="minorEastAsia"/>
          <w:color w:val="auto"/>
          <w:szCs w:val="21"/>
          <w:highlight w:val="none"/>
        </w:rPr>
        <w:fldChar w:fldCharType="end"/>
      </w:r>
    </w:p>
    <w:p w14:paraId="4979BE89">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_Toc650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六、其它有关规定</w:t>
      </w:r>
      <w:r>
        <w:rPr>
          <w:color w:val="auto"/>
          <w:highlight w:val="none"/>
        </w:rPr>
        <w:tab/>
      </w:r>
      <w:r>
        <w:rPr>
          <w:color w:val="auto"/>
          <w:highlight w:val="none"/>
        </w:rPr>
        <w:fldChar w:fldCharType="begin"/>
      </w:r>
      <w:r>
        <w:rPr>
          <w:color w:val="auto"/>
          <w:highlight w:val="none"/>
        </w:rPr>
        <w:instrText xml:space="preserve"> PAGEREF _Toc650 \h </w:instrText>
      </w:r>
      <w:r>
        <w:rPr>
          <w:color w:val="auto"/>
          <w:highlight w:val="none"/>
        </w:rPr>
        <w:fldChar w:fldCharType="separate"/>
      </w:r>
      <w:r>
        <w:rPr>
          <w:color w:val="auto"/>
          <w:highlight w:val="none"/>
        </w:rPr>
        <w:t>- 4 -</w:t>
      </w:r>
      <w:r>
        <w:rPr>
          <w:color w:val="auto"/>
          <w:highlight w:val="none"/>
        </w:rPr>
        <w:fldChar w:fldCharType="end"/>
      </w:r>
      <w:r>
        <w:rPr>
          <w:rFonts w:hint="eastAsia" w:asciiTheme="minorEastAsia" w:hAnsiTheme="minorEastAsia"/>
          <w:color w:val="auto"/>
          <w:szCs w:val="21"/>
          <w:highlight w:val="none"/>
        </w:rPr>
        <w:fldChar w:fldCharType="end"/>
      </w:r>
    </w:p>
    <w:p w14:paraId="2D04215B">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_Toc17727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七、联系方式</w:t>
      </w:r>
      <w:r>
        <w:rPr>
          <w:color w:val="auto"/>
          <w:highlight w:val="none"/>
        </w:rPr>
        <w:tab/>
      </w:r>
      <w:r>
        <w:rPr>
          <w:color w:val="auto"/>
          <w:highlight w:val="none"/>
        </w:rPr>
        <w:fldChar w:fldCharType="begin"/>
      </w:r>
      <w:r>
        <w:rPr>
          <w:color w:val="auto"/>
          <w:highlight w:val="none"/>
        </w:rPr>
        <w:instrText xml:space="preserve"> PAGEREF _Toc17727 \h </w:instrText>
      </w:r>
      <w:r>
        <w:rPr>
          <w:color w:val="auto"/>
          <w:highlight w:val="none"/>
        </w:rPr>
        <w:fldChar w:fldCharType="separate"/>
      </w:r>
      <w:r>
        <w:rPr>
          <w:color w:val="auto"/>
          <w:highlight w:val="none"/>
        </w:rPr>
        <w:t>- 4 -</w:t>
      </w:r>
      <w:r>
        <w:rPr>
          <w:color w:val="auto"/>
          <w:highlight w:val="none"/>
        </w:rPr>
        <w:fldChar w:fldCharType="end"/>
      </w:r>
      <w:r>
        <w:rPr>
          <w:rFonts w:hint="eastAsia" w:asciiTheme="minorEastAsia" w:hAnsiTheme="minorEastAsia"/>
          <w:color w:val="auto"/>
          <w:szCs w:val="21"/>
          <w:highlight w:val="none"/>
        </w:rPr>
        <w:fldChar w:fldCharType="end"/>
      </w:r>
    </w:p>
    <w:p w14:paraId="1C2D67A9">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_Toc24656 </w:instrText>
      </w:r>
      <w:r>
        <w:rPr>
          <w:rFonts w:hint="eastAsia" w:asciiTheme="minorEastAsia" w:hAnsiTheme="minorEastAsia"/>
          <w:color w:val="auto"/>
          <w:szCs w:val="21"/>
          <w:highlight w:val="none"/>
        </w:rPr>
        <w:fldChar w:fldCharType="separate"/>
      </w:r>
      <w:r>
        <w:rPr>
          <w:rFonts w:hint="eastAsia" w:asciiTheme="minorEastAsia" w:hAnsiTheme="minorEastAsia"/>
          <w:color w:val="auto"/>
          <w:szCs w:val="30"/>
          <w:highlight w:val="none"/>
        </w:rPr>
        <w:t>第二篇 询价项目技术（质量）需求</w:t>
      </w:r>
      <w:r>
        <w:rPr>
          <w:color w:val="auto"/>
          <w:highlight w:val="none"/>
        </w:rPr>
        <w:tab/>
      </w:r>
      <w:r>
        <w:rPr>
          <w:color w:val="auto"/>
          <w:highlight w:val="none"/>
        </w:rPr>
        <w:fldChar w:fldCharType="begin"/>
      </w:r>
      <w:r>
        <w:rPr>
          <w:color w:val="auto"/>
          <w:highlight w:val="none"/>
        </w:rPr>
        <w:instrText xml:space="preserve"> PAGEREF _Toc24656 \h </w:instrText>
      </w:r>
      <w:r>
        <w:rPr>
          <w:color w:val="auto"/>
          <w:highlight w:val="none"/>
        </w:rPr>
        <w:fldChar w:fldCharType="separate"/>
      </w:r>
      <w:r>
        <w:rPr>
          <w:color w:val="auto"/>
          <w:highlight w:val="none"/>
        </w:rPr>
        <w:t>- 5 -</w:t>
      </w:r>
      <w:r>
        <w:rPr>
          <w:color w:val="auto"/>
          <w:highlight w:val="none"/>
        </w:rPr>
        <w:fldChar w:fldCharType="end"/>
      </w:r>
      <w:r>
        <w:rPr>
          <w:rFonts w:hint="eastAsia" w:asciiTheme="minorEastAsia" w:hAnsiTheme="minorEastAsia"/>
          <w:color w:val="auto"/>
          <w:szCs w:val="21"/>
          <w:highlight w:val="none"/>
        </w:rPr>
        <w:fldChar w:fldCharType="end"/>
      </w:r>
    </w:p>
    <w:p w14:paraId="5FAB5122">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_Toc28992 </w:instrText>
      </w:r>
      <w:r>
        <w:rPr>
          <w:rFonts w:hint="eastAsia" w:asciiTheme="minorEastAsia" w:hAnsiTheme="minorEastAsia"/>
          <w:color w:val="auto"/>
          <w:szCs w:val="21"/>
          <w:highlight w:val="none"/>
        </w:rPr>
        <w:fldChar w:fldCharType="separate"/>
      </w:r>
      <w:r>
        <w:rPr>
          <w:rFonts w:hint="eastAsia" w:asciiTheme="minorEastAsia" w:hAnsiTheme="minorEastAsia"/>
          <w:color w:val="auto"/>
          <w:szCs w:val="30"/>
          <w:highlight w:val="none"/>
        </w:rPr>
        <w:t>第三篇  询价项目服务需求</w:t>
      </w:r>
      <w:r>
        <w:rPr>
          <w:color w:val="auto"/>
          <w:highlight w:val="none"/>
        </w:rPr>
        <w:tab/>
      </w:r>
      <w:r>
        <w:rPr>
          <w:color w:val="auto"/>
          <w:highlight w:val="none"/>
        </w:rPr>
        <w:fldChar w:fldCharType="begin"/>
      </w:r>
      <w:r>
        <w:rPr>
          <w:color w:val="auto"/>
          <w:highlight w:val="none"/>
        </w:rPr>
        <w:instrText xml:space="preserve"> PAGEREF _Toc28992 \h </w:instrText>
      </w:r>
      <w:r>
        <w:rPr>
          <w:color w:val="auto"/>
          <w:highlight w:val="none"/>
        </w:rPr>
        <w:fldChar w:fldCharType="separate"/>
      </w:r>
      <w:r>
        <w:rPr>
          <w:color w:val="auto"/>
          <w:highlight w:val="none"/>
        </w:rPr>
        <w:t>- 7 -</w:t>
      </w:r>
      <w:r>
        <w:rPr>
          <w:color w:val="auto"/>
          <w:highlight w:val="none"/>
        </w:rPr>
        <w:fldChar w:fldCharType="end"/>
      </w:r>
      <w:r>
        <w:rPr>
          <w:rFonts w:hint="eastAsia" w:asciiTheme="minorEastAsia" w:hAnsiTheme="minorEastAsia"/>
          <w:color w:val="auto"/>
          <w:szCs w:val="21"/>
          <w:highlight w:val="none"/>
        </w:rPr>
        <w:fldChar w:fldCharType="end"/>
      </w:r>
    </w:p>
    <w:p w14:paraId="730699AC">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_Toc13560 </w:instrText>
      </w:r>
      <w:r>
        <w:rPr>
          <w:rFonts w:hint="eastAsia" w:asciiTheme="minorEastAsia" w:hAnsiTheme="minorEastAsia"/>
          <w:color w:val="auto"/>
          <w:szCs w:val="21"/>
          <w:highlight w:val="none"/>
        </w:rPr>
        <w:fldChar w:fldCharType="separate"/>
      </w:r>
      <w:r>
        <w:rPr>
          <w:rFonts w:hint="eastAsia" w:asciiTheme="minorEastAsia" w:hAnsiTheme="minorEastAsia"/>
          <w:color w:val="auto"/>
          <w:szCs w:val="24"/>
          <w:highlight w:val="none"/>
        </w:rPr>
        <w:t>一、交货期、交货地点及验收方式</w:t>
      </w:r>
      <w:r>
        <w:rPr>
          <w:color w:val="auto"/>
          <w:highlight w:val="none"/>
        </w:rPr>
        <w:tab/>
      </w:r>
      <w:r>
        <w:rPr>
          <w:color w:val="auto"/>
          <w:highlight w:val="none"/>
        </w:rPr>
        <w:fldChar w:fldCharType="begin"/>
      </w:r>
      <w:r>
        <w:rPr>
          <w:color w:val="auto"/>
          <w:highlight w:val="none"/>
        </w:rPr>
        <w:instrText xml:space="preserve"> PAGEREF _Toc13560 \h </w:instrText>
      </w:r>
      <w:r>
        <w:rPr>
          <w:color w:val="auto"/>
          <w:highlight w:val="none"/>
        </w:rPr>
        <w:fldChar w:fldCharType="separate"/>
      </w:r>
      <w:r>
        <w:rPr>
          <w:color w:val="auto"/>
          <w:highlight w:val="none"/>
        </w:rPr>
        <w:t>- 7 -</w:t>
      </w:r>
      <w:r>
        <w:rPr>
          <w:color w:val="auto"/>
          <w:highlight w:val="none"/>
        </w:rPr>
        <w:fldChar w:fldCharType="end"/>
      </w:r>
      <w:r>
        <w:rPr>
          <w:rFonts w:hint="eastAsia" w:asciiTheme="minorEastAsia" w:hAnsiTheme="minorEastAsia"/>
          <w:color w:val="auto"/>
          <w:szCs w:val="21"/>
          <w:highlight w:val="none"/>
        </w:rPr>
        <w:fldChar w:fldCharType="end"/>
      </w:r>
    </w:p>
    <w:p w14:paraId="2E3C83CD">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_Toc28518 </w:instrText>
      </w:r>
      <w:r>
        <w:rPr>
          <w:rFonts w:hint="eastAsia" w:asciiTheme="minorEastAsia" w:hAnsiTheme="minorEastAsia"/>
          <w:color w:val="auto"/>
          <w:szCs w:val="21"/>
          <w:highlight w:val="none"/>
        </w:rPr>
        <w:fldChar w:fldCharType="separate"/>
      </w:r>
      <w:r>
        <w:rPr>
          <w:rFonts w:hint="eastAsia" w:asciiTheme="minorEastAsia" w:hAnsiTheme="minorEastAsia"/>
          <w:color w:val="auto"/>
          <w:szCs w:val="24"/>
          <w:highlight w:val="none"/>
        </w:rPr>
        <w:t>二、报价要求</w:t>
      </w:r>
      <w:r>
        <w:rPr>
          <w:color w:val="auto"/>
          <w:highlight w:val="none"/>
        </w:rPr>
        <w:tab/>
      </w:r>
      <w:r>
        <w:rPr>
          <w:color w:val="auto"/>
          <w:highlight w:val="none"/>
        </w:rPr>
        <w:fldChar w:fldCharType="begin"/>
      </w:r>
      <w:r>
        <w:rPr>
          <w:color w:val="auto"/>
          <w:highlight w:val="none"/>
        </w:rPr>
        <w:instrText xml:space="preserve"> PAGEREF _Toc28518 \h </w:instrText>
      </w:r>
      <w:r>
        <w:rPr>
          <w:color w:val="auto"/>
          <w:highlight w:val="none"/>
        </w:rPr>
        <w:fldChar w:fldCharType="separate"/>
      </w:r>
      <w:r>
        <w:rPr>
          <w:color w:val="auto"/>
          <w:highlight w:val="none"/>
        </w:rPr>
        <w:t>- 7 -</w:t>
      </w:r>
      <w:r>
        <w:rPr>
          <w:color w:val="auto"/>
          <w:highlight w:val="none"/>
        </w:rPr>
        <w:fldChar w:fldCharType="end"/>
      </w:r>
      <w:r>
        <w:rPr>
          <w:rFonts w:hint="eastAsia" w:asciiTheme="minorEastAsia" w:hAnsiTheme="minorEastAsia"/>
          <w:color w:val="auto"/>
          <w:szCs w:val="21"/>
          <w:highlight w:val="none"/>
        </w:rPr>
        <w:fldChar w:fldCharType="end"/>
      </w:r>
    </w:p>
    <w:p w14:paraId="67FC14EF">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_Toc13259 </w:instrText>
      </w:r>
      <w:r>
        <w:rPr>
          <w:rFonts w:hint="eastAsia" w:asciiTheme="minorEastAsia" w:hAnsiTheme="minorEastAsia"/>
          <w:color w:val="auto"/>
          <w:szCs w:val="21"/>
          <w:highlight w:val="none"/>
        </w:rPr>
        <w:fldChar w:fldCharType="separate"/>
      </w:r>
      <w:r>
        <w:rPr>
          <w:rFonts w:hint="eastAsia" w:asciiTheme="minorEastAsia" w:hAnsiTheme="minorEastAsia"/>
          <w:color w:val="auto"/>
          <w:szCs w:val="24"/>
          <w:highlight w:val="none"/>
        </w:rPr>
        <w:t>三、</w:t>
      </w:r>
      <w:r>
        <w:rPr>
          <w:rFonts w:hint="eastAsia" w:cs="宋体"/>
          <w:color w:val="auto"/>
          <w:szCs w:val="24"/>
          <w:highlight w:val="none"/>
        </w:rPr>
        <w:t>质量保证及售后服务</w:t>
      </w:r>
      <w:r>
        <w:rPr>
          <w:color w:val="auto"/>
          <w:highlight w:val="none"/>
        </w:rPr>
        <w:tab/>
      </w:r>
      <w:r>
        <w:rPr>
          <w:color w:val="auto"/>
          <w:highlight w:val="none"/>
        </w:rPr>
        <w:fldChar w:fldCharType="begin"/>
      </w:r>
      <w:r>
        <w:rPr>
          <w:color w:val="auto"/>
          <w:highlight w:val="none"/>
        </w:rPr>
        <w:instrText xml:space="preserve"> PAGEREF _Toc13259 \h </w:instrText>
      </w:r>
      <w:r>
        <w:rPr>
          <w:color w:val="auto"/>
          <w:highlight w:val="none"/>
        </w:rPr>
        <w:fldChar w:fldCharType="separate"/>
      </w:r>
      <w:r>
        <w:rPr>
          <w:color w:val="auto"/>
          <w:highlight w:val="none"/>
        </w:rPr>
        <w:t>- 8 -</w:t>
      </w:r>
      <w:r>
        <w:rPr>
          <w:color w:val="auto"/>
          <w:highlight w:val="none"/>
        </w:rPr>
        <w:fldChar w:fldCharType="end"/>
      </w:r>
      <w:r>
        <w:rPr>
          <w:rFonts w:hint="eastAsia" w:asciiTheme="minorEastAsia" w:hAnsiTheme="minorEastAsia"/>
          <w:color w:val="auto"/>
          <w:szCs w:val="21"/>
          <w:highlight w:val="none"/>
        </w:rPr>
        <w:fldChar w:fldCharType="end"/>
      </w:r>
    </w:p>
    <w:p w14:paraId="4999000F">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_Toc15941 </w:instrText>
      </w:r>
      <w:r>
        <w:rPr>
          <w:rFonts w:hint="eastAsia" w:asciiTheme="minorEastAsia" w:hAnsiTheme="minorEastAsia"/>
          <w:color w:val="auto"/>
          <w:szCs w:val="21"/>
          <w:highlight w:val="none"/>
        </w:rPr>
        <w:fldChar w:fldCharType="separate"/>
      </w:r>
      <w:r>
        <w:rPr>
          <w:rFonts w:hint="eastAsia" w:asciiTheme="minorEastAsia" w:hAnsiTheme="minorEastAsia"/>
          <w:color w:val="auto"/>
          <w:szCs w:val="24"/>
          <w:highlight w:val="none"/>
        </w:rPr>
        <w:t>四、付款方式</w:t>
      </w:r>
      <w:r>
        <w:rPr>
          <w:color w:val="auto"/>
          <w:highlight w:val="none"/>
        </w:rPr>
        <w:tab/>
      </w:r>
      <w:r>
        <w:rPr>
          <w:color w:val="auto"/>
          <w:highlight w:val="none"/>
        </w:rPr>
        <w:fldChar w:fldCharType="begin"/>
      </w:r>
      <w:r>
        <w:rPr>
          <w:color w:val="auto"/>
          <w:highlight w:val="none"/>
        </w:rPr>
        <w:instrText xml:space="preserve"> PAGEREF _Toc15941 \h </w:instrText>
      </w:r>
      <w:r>
        <w:rPr>
          <w:color w:val="auto"/>
          <w:highlight w:val="none"/>
        </w:rPr>
        <w:fldChar w:fldCharType="separate"/>
      </w:r>
      <w:r>
        <w:rPr>
          <w:color w:val="auto"/>
          <w:highlight w:val="none"/>
        </w:rPr>
        <w:t>- 9 -</w:t>
      </w:r>
      <w:r>
        <w:rPr>
          <w:color w:val="auto"/>
          <w:highlight w:val="none"/>
        </w:rPr>
        <w:fldChar w:fldCharType="end"/>
      </w:r>
      <w:r>
        <w:rPr>
          <w:rFonts w:hint="eastAsia" w:asciiTheme="minorEastAsia" w:hAnsiTheme="minorEastAsia"/>
          <w:color w:val="auto"/>
          <w:szCs w:val="21"/>
          <w:highlight w:val="none"/>
        </w:rPr>
        <w:fldChar w:fldCharType="end"/>
      </w:r>
    </w:p>
    <w:p w14:paraId="533E0CFC">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_Toc16330 </w:instrText>
      </w:r>
      <w:r>
        <w:rPr>
          <w:rFonts w:hint="eastAsia" w:asciiTheme="minorEastAsia" w:hAnsiTheme="minorEastAsia"/>
          <w:color w:val="auto"/>
          <w:szCs w:val="21"/>
          <w:highlight w:val="none"/>
        </w:rPr>
        <w:fldChar w:fldCharType="separate"/>
      </w:r>
      <w:r>
        <w:rPr>
          <w:rFonts w:hint="eastAsia" w:cs="宋体"/>
          <w:color w:val="auto"/>
          <w:szCs w:val="24"/>
          <w:highlight w:val="none"/>
        </w:rPr>
        <w:t>五、知识产权</w:t>
      </w:r>
      <w:r>
        <w:rPr>
          <w:color w:val="auto"/>
          <w:highlight w:val="none"/>
        </w:rPr>
        <w:tab/>
      </w:r>
      <w:r>
        <w:rPr>
          <w:color w:val="auto"/>
          <w:highlight w:val="none"/>
        </w:rPr>
        <w:fldChar w:fldCharType="begin"/>
      </w:r>
      <w:r>
        <w:rPr>
          <w:color w:val="auto"/>
          <w:highlight w:val="none"/>
        </w:rPr>
        <w:instrText xml:space="preserve"> PAGEREF _Toc16330 \h </w:instrText>
      </w:r>
      <w:r>
        <w:rPr>
          <w:color w:val="auto"/>
          <w:highlight w:val="none"/>
        </w:rPr>
        <w:fldChar w:fldCharType="separate"/>
      </w:r>
      <w:r>
        <w:rPr>
          <w:color w:val="auto"/>
          <w:highlight w:val="none"/>
        </w:rPr>
        <w:t>- 9 -</w:t>
      </w:r>
      <w:r>
        <w:rPr>
          <w:color w:val="auto"/>
          <w:highlight w:val="none"/>
        </w:rPr>
        <w:fldChar w:fldCharType="end"/>
      </w:r>
      <w:r>
        <w:rPr>
          <w:rFonts w:hint="eastAsia" w:asciiTheme="minorEastAsia" w:hAnsiTheme="minorEastAsia"/>
          <w:color w:val="auto"/>
          <w:szCs w:val="21"/>
          <w:highlight w:val="none"/>
        </w:rPr>
        <w:fldChar w:fldCharType="end"/>
      </w:r>
    </w:p>
    <w:p w14:paraId="2ED87201">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_Toc8333 </w:instrText>
      </w:r>
      <w:r>
        <w:rPr>
          <w:rFonts w:hint="eastAsia" w:asciiTheme="minorEastAsia" w:hAnsiTheme="minorEastAsia"/>
          <w:color w:val="auto"/>
          <w:szCs w:val="21"/>
          <w:highlight w:val="none"/>
        </w:rPr>
        <w:fldChar w:fldCharType="separate"/>
      </w:r>
      <w:r>
        <w:rPr>
          <w:rFonts w:hint="eastAsia" w:cs="宋体"/>
          <w:color w:val="auto"/>
          <w:szCs w:val="24"/>
          <w:highlight w:val="none"/>
        </w:rPr>
        <w:t>六、培训</w:t>
      </w:r>
      <w:r>
        <w:rPr>
          <w:color w:val="auto"/>
          <w:highlight w:val="none"/>
        </w:rPr>
        <w:tab/>
      </w:r>
      <w:r>
        <w:rPr>
          <w:color w:val="auto"/>
          <w:highlight w:val="none"/>
        </w:rPr>
        <w:fldChar w:fldCharType="begin"/>
      </w:r>
      <w:r>
        <w:rPr>
          <w:color w:val="auto"/>
          <w:highlight w:val="none"/>
        </w:rPr>
        <w:instrText xml:space="preserve"> PAGEREF _Toc8333 \h </w:instrText>
      </w:r>
      <w:r>
        <w:rPr>
          <w:color w:val="auto"/>
          <w:highlight w:val="none"/>
        </w:rPr>
        <w:fldChar w:fldCharType="separate"/>
      </w:r>
      <w:r>
        <w:rPr>
          <w:color w:val="auto"/>
          <w:highlight w:val="none"/>
        </w:rPr>
        <w:t>- 9 -</w:t>
      </w:r>
      <w:r>
        <w:rPr>
          <w:color w:val="auto"/>
          <w:highlight w:val="none"/>
        </w:rPr>
        <w:fldChar w:fldCharType="end"/>
      </w:r>
      <w:r>
        <w:rPr>
          <w:rFonts w:hint="eastAsia" w:asciiTheme="minorEastAsia" w:hAnsiTheme="minorEastAsia"/>
          <w:color w:val="auto"/>
          <w:szCs w:val="21"/>
          <w:highlight w:val="none"/>
        </w:rPr>
        <w:fldChar w:fldCharType="end"/>
      </w:r>
    </w:p>
    <w:p w14:paraId="7C6C6E1F">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_Toc13757 </w:instrText>
      </w:r>
      <w:r>
        <w:rPr>
          <w:rFonts w:hint="eastAsia" w:asciiTheme="minorEastAsia" w:hAnsiTheme="minorEastAsia"/>
          <w:color w:val="auto"/>
          <w:szCs w:val="21"/>
          <w:highlight w:val="none"/>
        </w:rPr>
        <w:fldChar w:fldCharType="separate"/>
      </w:r>
      <w:r>
        <w:rPr>
          <w:rFonts w:hint="eastAsia" w:cs="宋体"/>
          <w:color w:val="auto"/>
          <w:highlight w:val="none"/>
        </w:rPr>
        <w:t>七、附件、图纸及包装要求</w:t>
      </w:r>
      <w:r>
        <w:rPr>
          <w:color w:val="auto"/>
          <w:highlight w:val="none"/>
        </w:rPr>
        <w:tab/>
      </w:r>
      <w:r>
        <w:rPr>
          <w:color w:val="auto"/>
          <w:highlight w:val="none"/>
        </w:rPr>
        <w:fldChar w:fldCharType="begin"/>
      </w:r>
      <w:r>
        <w:rPr>
          <w:color w:val="auto"/>
          <w:highlight w:val="none"/>
        </w:rPr>
        <w:instrText xml:space="preserve"> PAGEREF _Toc13757 \h </w:instrText>
      </w:r>
      <w:r>
        <w:rPr>
          <w:color w:val="auto"/>
          <w:highlight w:val="none"/>
        </w:rPr>
        <w:fldChar w:fldCharType="separate"/>
      </w:r>
      <w:r>
        <w:rPr>
          <w:color w:val="auto"/>
          <w:highlight w:val="none"/>
        </w:rPr>
        <w:t>- 9 -</w:t>
      </w:r>
      <w:r>
        <w:rPr>
          <w:color w:val="auto"/>
          <w:highlight w:val="none"/>
        </w:rPr>
        <w:fldChar w:fldCharType="end"/>
      </w:r>
      <w:r>
        <w:rPr>
          <w:rFonts w:hint="eastAsia" w:asciiTheme="minorEastAsia" w:hAnsiTheme="minorEastAsia"/>
          <w:color w:val="auto"/>
          <w:szCs w:val="21"/>
          <w:highlight w:val="none"/>
        </w:rPr>
        <w:fldChar w:fldCharType="end"/>
      </w:r>
    </w:p>
    <w:p w14:paraId="5FB9CFBE">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_Toc22905 </w:instrText>
      </w:r>
      <w:r>
        <w:rPr>
          <w:rFonts w:hint="eastAsia" w:asciiTheme="minorEastAsia" w:hAnsiTheme="minorEastAsia"/>
          <w:color w:val="auto"/>
          <w:szCs w:val="21"/>
          <w:highlight w:val="none"/>
        </w:rPr>
        <w:fldChar w:fldCharType="separate"/>
      </w:r>
      <w:r>
        <w:rPr>
          <w:rFonts w:hint="eastAsia" w:cs="宋体"/>
          <w:color w:val="auto"/>
          <w:szCs w:val="24"/>
          <w:highlight w:val="none"/>
        </w:rPr>
        <w:t>八、其他商务要求内容</w:t>
      </w:r>
      <w:r>
        <w:rPr>
          <w:color w:val="auto"/>
          <w:highlight w:val="none"/>
        </w:rPr>
        <w:tab/>
      </w:r>
      <w:r>
        <w:rPr>
          <w:color w:val="auto"/>
          <w:highlight w:val="none"/>
        </w:rPr>
        <w:fldChar w:fldCharType="begin"/>
      </w:r>
      <w:r>
        <w:rPr>
          <w:color w:val="auto"/>
          <w:highlight w:val="none"/>
        </w:rPr>
        <w:instrText xml:space="preserve"> PAGEREF _Toc22905 \h </w:instrText>
      </w:r>
      <w:r>
        <w:rPr>
          <w:color w:val="auto"/>
          <w:highlight w:val="none"/>
        </w:rPr>
        <w:fldChar w:fldCharType="separate"/>
      </w:r>
      <w:r>
        <w:rPr>
          <w:color w:val="auto"/>
          <w:highlight w:val="none"/>
        </w:rPr>
        <w:t>- 9 -</w:t>
      </w:r>
      <w:r>
        <w:rPr>
          <w:color w:val="auto"/>
          <w:highlight w:val="none"/>
        </w:rPr>
        <w:fldChar w:fldCharType="end"/>
      </w:r>
      <w:r>
        <w:rPr>
          <w:rFonts w:hint="eastAsia" w:asciiTheme="minorEastAsia" w:hAnsiTheme="minorEastAsia"/>
          <w:color w:val="auto"/>
          <w:szCs w:val="21"/>
          <w:highlight w:val="none"/>
        </w:rPr>
        <w:fldChar w:fldCharType="end"/>
      </w:r>
    </w:p>
    <w:p w14:paraId="68B1CB30">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_Toc26449 </w:instrText>
      </w:r>
      <w:r>
        <w:rPr>
          <w:rFonts w:hint="eastAsia" w:asciiTheme="minorEastAsia" w:hAnsiTheme="minorEastAsia"/>
          <w:color w:val="auto"/>
          <w:szCs w:val="21"/>
          <w:highlight w:val="none"/>
        </w:rPr>
        <w:fldChar w:fldCharType="separate"/>
      </w:r>
      <w:r>
        <w:rPr>
          <w:rFonts w:hint="eastAsia" w:asciiTheme="minorEastAsia" w:hAnsiTheme="minorEastAsia"/>
          <w:color w:val="auto"/>
          <w:szCs w:val="30"/>
          <w:highlight w:val="none"/>
        </w:rPr>
        <w:t>第四篇  采购程序、评定成交的标准、无效报价及采购终止</w:t>
      </w:r>
      <w:r>
        <w:rPr>
          <w:color w:val="auto"/>
          <w:highlight w:val="none"/>
        </w:rPr>
        <w:tab/>
      </w:r>
      <w:r>
        <w:rPr>
          <w:color w:val="auto"/>
          <w:highlight w:val="none"/>
        </w:rPr>
        <w:fldChar w:fldCharType="begin"/>
      </w:r>
      <w:r>
        <w:rPr>
          <w:color w:val="auto"/>
          <w:highlight w:val="none"/>
        </w:rPr>
        <w:instrText xml:space="preserve"> PAGEREF _Toc26449 \h </w:instrText>
      </w:r>
      <w:r>
        <w:rPr>
          <w:color w:val="auto"/>
          <w:highlight w:val="none"/>
        </w:rPr>
        <w:fldChar w:fldCharType="separate"/>
      </w:r>
      <w:r>
        <w:rPr>
          <w:color w:val="auto"/>
          <w:highlight w:val="none"/>
        </w:rPr>
        <w:t>- 10 -</w:t>
      </w:r>
      <w:r>
        <w:rPr>
          <w:color w:val="auto"/>
          <w:highlight w:val="none"/>
        </w:rPr>
        <w:fldChar w:fldCharType="end"/>
      </w:r>
      <w:r>
        <w:rPr>
          <w:rFonts w:hint="eastAsia" w:asciiTheme="minorEastAsia" w:hAnsiTheme="minorEastAsia"/>
          <w:color w:val="auto"/>
          <w:szCs w:val="21"/>
          <w:highlight w:val="none"/>
        </w:rPr>
        <w:fldChar w:fldCharType="end"/>
      </w:r>
    </w:p>
    <w:p w14:paraId="458ABEAB">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_Toc10708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一、采购程序</w:t>
      </w:r>
      <w:r>
        <w:rPr>
          <w:color w:val="auto"/>
          <w:highlight w:val="none"/>
        </w:rPr>
        <w:tab/>
      </w:r>
      <w:r>
        <w:rPr>
          <w:color w:val="auto"/>
          <w:highlight w:val="none"/>
        </w:rPr>
        <w:fldChar w:fldCharType="begin"/>
      </w:r>
      <w:r>
        <w:rPr>
          <w:color w:val="auto"/>
          <w:highlight w:val="none"/>
        </w:rPr>
        <w:instrText xml:space="preserve"> PAGEREF _Toc10708 \h </w:instrText>
      </w:r>
      <w:r>
        <w:rPr>
          <w:color w:val="auto"/>
          <w:highlight w:val="none"/>
        </w:rPr>
        <w:fldChar w:fldCharType="separate"/>
      </w:r>
      <w:r>
        <w:rPr>
          <w:color w:val="auto"/>
          <w:highlight w:val="none"/>
        </w:rPr>
        <w:t>- 10 -</w:t>
      </w:r>
      <w:r>
        <w:rPr>
          <w:color w:val="auto"/>
          <w:highlight w:val="none"/>
        </w:rPr>
        <w:fldChar w:fldCharType="end"/>
      </w:r>
      <w:r>
        <w:rPr>
          <w:rFonts w:hint="eastAsia" w:asciiTheme="minorEastAsia" w:hAnsiTheme="minorEastAsia"/>
          <w:color w:val="auto"/>
          <w:szCs w:val="21"/>
          <w:highlight w:val="none"/>
        </w:rPr>
        <w:fldChar w:fldCharType="end"/>
      </w:r>
    </w:p>
    <w:p w14:paraId="64D1336C">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_Toc22681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二、评定成交的标准</w:t>
      </w:r>
      <w:r>
        <w:rPr>
          <w:color w:val="auto"/>
          <w:highlight w:val="none"/>
        </w:rPr>
        <w:tab/>
      </w:r>
      <w:r>
        <w:rPr>
          <w:color w:val="auto"/>
          <w:highlight w:val="none"/>
        </w:rPr>
        <w:fldChar w:fldCharType="begin"/>
      </w:r>
      <w:r>
        <w:rPr>
          <w:color w:val="auto"/>
          <w:highlight w:val="none"/>
        </w:rPr>
        <w:instrText xml:space="preserve"> PAGEREF _Toc22681 \h </w:instrText>
      </w:r>
      <w:r>
        <w:rPr>
          <w:color w:val="auto"/>
          <w:highlight w:val="none"/>
        </w:rPr>
        <w:fldChar w:fldCharType="separate"/>
      </w:r>
      <w:r>
        <w:rPr>
          <w:color w:val="auto"/>
          <w:highlight w:val="none"/>
        </w:rPr>
        <w:t>- 11 -</w:t>
      </w:r>
      <w:r>
        <w:rPr>
          <w:color w:val="auto"/>
          <w:highlight w:val="none"/>
        </w:rPr>
        <w:fldChar w:fldCharType="end"/>
      </w:r>
      <w:r>
        <w:rPr>
          <w:rFonts w:hint="eastAsia" w:asciiTheme="minorEastAsia" w:hAnsiTheme="minorEastAsia"/>
          <w:color w:val="auto"/>
          <w:szCs w:val="21"/>
          <w:highlight w:val="none"/>
        </w:rPr>
        <w:fldChar w:fldCharType="end"/>
      </w:r>
    </w:p>
    <w:p w14:paraId="2A4E5100">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_Toc31252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三、无效报价</w:t>
      </w:r>
      <w:r>
        <w:rPr>
          <w:color w:val="auto"/>
          <w:highlight w:val="none"/>
        </w:rPr>
        <w:tab/>
      </w:r>
      <w:r>
        <w:rPr>
          <w:color w:val="auto"/>
          <w:highlight w:val="none"/>
        </w:rPr>
        <w:fldChar w:fldCharType="begin"/>
      </w:r>
      <w:r>
        <w:rPr>
          <w:color w:val="auto"/>
          <w:highlight w:val="none"/>
        </w:rPr>
        <w:instrText xml:space="preserve"> PAGEREF _Toc31252 \h </w:instrText>
      </w:r>
      <w:r>
        <w:rPr>
          <w:color w:val="auto"/>
          <w:highlight w:val="none"/>
        </w:rPr>
        <w:fldChar w:fldCharType="separate"/>
      </w:r>
      <w:r>
        <w:rPr>
          <w:color w:val="auto"/>
          <w:highlight w:val="none"/>
        </w:rPr>
        <w:t>- 11 -</w:t>
      </w:r>
      <w:r>
        <w:rPr>
          <w:color w:val="auto"/>
          <w:highlight w:val="none"/>
        </w:rPr>
        <w:fldChar w:fldCharType="end"/>
      </w:r>
      <w:r>
        <w:rPr>
          <w:rFonts w:hint="eastAsia" w:asciiTheme="minorEastAsia" w:hAnsiTheme="minorEastAsia"/>
          <w:color w:val="auto"/>
          <w:szCs w:val="21"/>
          <w:highlight w:val="none"/>
        </w:rPr>
        <w:fldChar w:fldCharType="end"/>
      </w:r>
    </w:p>
    <w:p w14:paraId="70DBE7A8">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_Toc6706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四、采购终止</w:t>
      </w:r>
      <w:r>
        <w:rPr>
          <w:color w:val="auto"/>
          <w:highlight w:val="none"/>
        </w:rPr>
        <w:tab/>
      </w:r>
      <w:r>
        <w:rPr>
          <w:color w:val="auto"/>
          <w:highlight w:val="none"/>
        </w:rPr>
        <w:fldChar w:fldCharType="begin"/>
      </w:r>
      <w:r>
        <w:rPr>
          <w:color w:val="auto"/>
          <w:highlight w:val="none"/>
        </w:rPr>
        <w:instrText xml:space="preserve"> PAGEREF _Toc6706 \h </w:instrText>
      </w:r>
      <w:r>
        <w:rPr>
          <w:color w:val="auto"/>
          <w:highlight w:val="none"/>
        </w:rPr>
        <w:fldChar w:fldCharType="separate"/>
      </w:r>
      <w:r>
        <w:rPr>
          <w:color w:val="auto"/>
          <w:highlight w:val="none"/>
        </w:rPr>
        <w:t>- 12 -</w:t>
      </w:r>
      <w:r>
        <w:rPr>
          <w:color w:val="auto"/>
          <w:highlight w:val="none"/>
        </w:rPr>
        <w:fldChar w:fldCharType="end"/>
      </w:r>
      <w:r>
        <w:rPr>
          <w:rFonts w:hint="eastAsia" w:asciiTheme="minorEastAsia" w:hAnsiTheme="minorEastAsia"/>
          <w:color w:val="auto"/>
          <w:szCs w:val="21"/>
          <w:highlight w:val="none"/>
        </w:rPr>
        <w:fldChar w:fldCharType="end"/>
      </w:r>
    </w:p>
    <w:p w14:paraId="32056FCD">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_Toc16986 </w:instrText>
      </w:r>
      <w:r>
        <w:rPr>
          <w:rFonts w:hint="eastAsia" w:asciiTheme="minorEastAsia" w:hAnsiTheme="minorEastAsia"/>
          <w:color w:val="auto"/>
          <w:szCs w:val="21"/>
          <w:highlight w:val="none"/>
        </w:rPr>
        <w:fldChar w:fldCharType="separate"/>
      </w:r>
      <w:r>
        <w:rPr>
          <w:rFonts w:hint="eastAsia" w:asciiTheme="minorEastAsia" w:hAnsiTheme="minorEastAsia"/>
          <w:color w:val="auto"/>
          <w:szCs w:val="30"/>
          <w:highlight w:val="none"/>
        </w:rPr>
        <w:t>第五篇  供应商须知</w:t>
      </w:r>
      <w:r>
        <w:rPr>
          <w:color w:val="auto"/>
          <w:highlight w:val="none"/>
        </w:rPr>
        <w:tab/>
      </w:r>
      <w:r>
        <w:rPr>
          <w:color w:val="auto"/>
          <w:highlight w:val="none"/>
        </w:rPr>
        <w:fldChar w:fldCharType="begin"/>
      </w:r>
      <w:r>
        <w:rPr>
          <w:color w:val="auto"/>
          <w:highlight w:val="none"/>
        </w:rPr>
        <w:instrText xml:space="preserve"> PAGEREF _Toc16986 \h </w:instrText>
      </w:r>
      <w:r>
        <w:rPr>
          <w:color w:val="auto"/>
          <w:highlight w:val="none"/>
        </w:rPr>
        <w:fldChar w:fldCharType="separate"/>
      </w:r>
      <w:r>
        <w:rPr>
          <w:color w:val="auto"/>
          <w:highlight w:val="none"/>
        </w:rPr>
        <w:t>- 13 -</w:t>
      </w:r>
      <w:r>
        <w:rPr>
          <w:color w:val="auto"/>
          <w:highlight w:val="none"/>
        </w:rPr>
        <w:fldChar w:fldCharType="end"/>
      </w:r>
      <w:r>
        <w:rPr>
          <w:rFonts w:hint="eastAsia" w:asciiTheme="minorEastAsia" w:hAnsiTheme="minorEastAsia"/>
          <w:color w:val="auto"/>
          <w:szCs w:val="21"/>
          <w:highlight w:val="none"/>
        </w:rPr>
        <w:fldChar w:fldCharType="end"/>
      </w:r>
    </w:p>
    <w:p w14:paraId="4D38F070">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_Toc11728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一、询价费用</w:t>
      </w:r>
      <w:r>
        <w:rPr>
          <w:color w:val="auto"/>
          <w:highlight w:val="none"/>
        </w:rPr>
        <w:tab/>
      </w:r>
      <w:r>
        <w:rPr>
          <w:color w:val="auto"/>
          <w:highlight w:val="none"/>
        </w:rPr>
        <w:fldChar w:fldCharType="begin"/>
      </w:r>
      <w:r>
        <w:rPr>
          <w:color w:val="auto"/>
          <w:highlight w:val="none"/>
        </w:rPr>
        <w:instrText xml:space="preserve"> PAGEREF _Toc11728 \h </w:instrText>
      </w:r>
      <w:r>
        <w:rPr>
          <w:color w:val="auto"/>
          <w:highlight w:val="none"/>
        </w:rPr>
        <w:fldChar w:fldCharType="separate"/>
      </w:r>
      <w:r>
        <w:rPr>
          <w:color w:val="auto"/>
          <w:highlight w:val="none"/>
        </w:rPr>
        <w:t>- 13 -</w:t>
      </w:r>
      <w:r>
        <w:rPr>
          <w:color w:val="auto"/>
          <w:highlight w:val="none"/>
        </w:rPr>
        <w:fldChar w:fldCharType="end"/>
      </w:r>
      <w:r>
        <w:rPr>
          <w:rFonts w:hint="eastAsia" w:asciiTheme="minorEastAsia" w:hAnsiTheme="minorEastAsia"/>
          <w:color w:val="auto"/>
          <w:szCs w:val="21"/>
          <w:highlight w:val="none"/>
        </w:rPr>
        <w:fldChar w:fldCharType="end"/>
      </w:r>
    </w:p>
    <w:p w14:paraId="109D591F">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_Toc1874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二、询价通知书</w:t>
      </w:r>
      <w:r>
        <w:rPr>
          <w:color w:val="auto"/>
          <w:highlight w:val="none"/>
        </w:rPr>
        <w:tab/>
      </w:r>
      <w:r>
        <w:rPr>
          <w:color w:val="auto"/>
          <w:highlight w:val="none"/>
        </w:rPr>
        <w:fldChar w:fldCharType="begin"/>
      </w:r>
      <w:r>
        <w:rPr>
          <w:color w:val="auto"/>
          <w:highlight w:val="none"/>
        </w:rPr>
        <w:instrText xml:space="preserve"> PAGEREF _Toc1874 \h </w:instrText>
      </w:r>
      <w:r>
        <w:rPr>
          <w:color w:val="auto"/>
          <w:highlight w:val="none"/>
        </w:rPr>
        <w:fldChar w:fldCharType="separate"/>
      </w:r>
      <w:r>
        <w:rPr>
          <w:color w:val="auto"/>
          <w:highlight w:val="none"/>
        </w:rPr>
        <w:t>- 13 -</w:t>
      </w:r>
      <w:r>
        <w:rPr>
          <w:color w:val="auto"/>
          <w:highlight w:val="none"/>
        </w:rPr>
        <w:fldChar w:fldCharType="end"/>
      </w:r>
      <w:r>
        <w:rPr>
          <w:rFonts w:hint="eastAsia" w:asciiTheme="minorEastAsia" w:hAnsiTheme="minorEastAsia"/>
          <w:color w:val="auto"/>
          <w:szCs w:val="21"/>
          <w:highlight w:val="none"/>
        </w:rPr>
        <w:fldChar w:fldCharType="end"/>
      </w:r>
    </w:p>
    <w:p w14:paraId="4E1735DE">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_Toc4107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三、报价要求</w:t>
      </w:r>
      <w:r>
        <w:rPr>
          <w:color w:val="auto"/>
          <w:highlight w:val="none"/>
        </w:rPr>
        <w:tab/>
      </w:r>
      <w:r>
        <w:rPr>
          <w:color w:val="auto"/>
          <w:highlight w:val="none"/>
        </w:rPr>
        <w:fldChar w:fldCharType="begin"/>
      </w:r>
      <w:r>
        <w:rPr>
          <w:color w:val="auto"/>
          <w:highlight w:val="none"/>
        </w:rPr>
        <w:instrText xml:space="preserve"> PAGEREF _Toc4107 \h </w:instrText>
      </w:r>
      <w:r>
        <w:rPr>
          <w:color w:val="auto"/>
          <w:highlight w:val="none"/>
        </w:rPr>
        <w:fldChar w:fldCharType="separate"/>
      </w:r>
      <w:r>
        <w:rPr>
          <w:color w:val="auto"/>
          <w:highlight w:val="none"/>
        </w:rPr>
        <w:t>- 13 -</w:t>
      </w:r>
      <w:r>
        <w:rPr>
          <w:color w:val="auto"/>
          <w:highlight w:val="none"/>
        </w:rPr>
        <w:fldChar w:fldCharType="end"/>
      </w:r>
      <w:r>
        <w:rPr>
          <w:rFonts w:hint="eastAsia" w:asciiTheme="minorEastAsia" w:hAnsiTheme="minorEastAsia"/>
          <w:color w:val="auto"/>
          <w:szCs w:val="21"/>
          <w:highlight w:val="none"/>
        </w:rPr>
        <w:fldChar w:fldCharType="end"/>
      </w:r>
    </w:p>
    <w:p w14:paraId="17BF3A73">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_Toc15186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四、成交供应商的确定和变更</w:t>
      </w:r>
      <w:r>
        <w:rPr>
          <w:color w:val="auto"/>
          <w:highlight w:val="none"/>
        </w:rPr>
        <w:tab/>
      </w:r>
      <w:r>
        <w:rPr>
          <w:color w:val="auto"/>
          <w:highlight w:val="none"/>
        </w:rPr>
        <w:fldChar w:fldCharType="begin"/>
      </w:r>
      <w:r>
        <w:rPr>
          <w:color w:val="auto"/>
          <w:highlight w:val="none"/>
        </w:rPr>
        <w:instrText xml:space="preserve"> PAGEREF _Toc15186 \h </w:instrText>
      </w:r>
      <w:r>
        <w:rPr>
          <w:color w:val="auto"/>
          <w:highlight w:val="none"/>
        </w:rPr>
        <w:fldChar w:fldCharType="separate"/>
      </w:r>
      <w:r>
        <w:rPr>
          <w:color w:val="auto"/>
          <w:highlight w:val="none"/>
        </w:rPr>
        <w:t>- 14 -</w:t>
      </w:r>
      <w:r>
        <w:rPr>
          <w:color w:val="auto"/>
          <w:highlight w:val="none"/>
        </w:rPr>
        <w:fldChar w:fldCharType="end"/>
      </w:r>
      <w:r>
        <w:rPr>
          <w:rFonts w:hint="eastAsia" w:asciiTheme="minorEastAsia" w:hAnsiTheme="minorEastAsia"/>
          <w:color w:val="auto"/>
          <w:szCs w:val="21"/>
          <w:highlight w:val="none"/>
        </w:rPr>
        <w:fldChar w:fldCharType="end"/>
      </w:r>
    </w:p>
    <w:p w14:paraId="336A3C23">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_Toc6551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五、成交通知</w:t>
      </w:r>
      <w:r>
        <w:rPr>
          <w:color w:val="auto"/>
          <w:highlight w:val="none"/>
        </w:rPr>
        <w:tab/>
      </w:r>
      <w:r>
        <w:rPr>
          <w:color w:val="auto"/>
          <w:highlight w:val="none"/>
        </w:rPr>
        <w:fldChar w:fldCharType="begin"/>
      </w:r>
      <w:r>
        <w:rPr>
          <w:color w:val="auto"/>
          <w:highlight w:val="none"/>
        </w:rPr>
        <w:instrText xml:space="preserve"> PAGEREF _Toc6551 \h </w:instrText>
      </w:r>
      <w:r>
        <w:rPr>
          <w:color w:val="auto"/>
          <w:highlight w:val="none"/>
        </w:rPr>
        <w:fldChar w:fldCharType="separate"/>
      </w:r>
      <w:r>
        <w:rPr>
          <w:color w:val="auto"/>
          <w:highlight w:val="none"/>
        </w:rPr>
        <w:t>- 15 -</w:t>
      </w:r>
      <w:r>
        <w:rPr>
          <w:color w:val="auto"/>
          <w:highlight w:val="none"/>
        </w:rPr>
        <w:fldChar w:fldCharType="end"/>
      </w:r>
      <w:r>
        <w:rPr>
          <w:rFonts w:hint="eastAsia" w:asciiTheme="minorEastAsia" w:hAnsiTheme="minorEastAsia"/>
          <w:color w:val="auto"/>
          <w:szCs w:val="21"/>
          <w:highlight w:val="none"/>
        </w:rPr>
        <w:fldChar w:fldCharType="end"/>
      </w:r>
    </w:p>
    <w:p w14:paraId="237201DA">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_Toc3365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六、关于质疑和投诉</w:t>
      </w:r>
      <w:r>
        <w:rPr>
          <w:color w:val="auto"/>
          <w:highlight w:val="none"/>
        </w:rPr>
        <w:tab/>
      </w:r>
      <w:r>
        <w:rPr>
          <w:color w:val="auto"/>
          <w:highlight w:val="none"/>
        </w:rPr>
        <w:fldChar w:fldCharType="begin"/>
      </w:r>
      <w:r>
        <w:rPr>
          <w:color w:val="auto"/>
          <w:highlight w:val="none"/>
        </w:rPr>
        <w:instrText xml:space="preserve"> PAGEREF _Toc3365 \h </w:instrText>
      </w:r>
      <w:r>
        <w:rPr>
          <w:color w:val="auto"/>
          <w:highlight w:val="none"/>
        </w:rPr>
        <w:fldChar w:fldCharType="separate"/>
      </w:r>
      <w:r>
        <w:rPr>
          <w:color w:val="auto"/>
          <w:highlight w:val="none"/>
        </w:rPr>
        <w:t>- 15 -</w:t>
      </w:r>
      <w:r>
        <w:rPr>
          <w:color w:val="auto"/>
          <w:highlight w:val="none"/>
        </w:rPr>
        <w:fldChar w:fldCharType="end"/>
      </w:r>
      <w:r>
        <w:rPr>
          <w:rFonts w:hint="eastAsia" w:asciiTheme="minorEastAsia" w:hAnsiTheme="minorEastAsia"/>
          <w:color w:val="auto"/>
          <w:szCs w:val="21"/>
          <w:highlight w:val="none"/>
        </w:rPr>
        <w:fldChar w:fldCharType="end"/>
      </w:r>
    </w:p>
    <w:p w14:paraId="468BAD15">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_Toc15193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七、签订合同</w:t>
      </w:r>
      <w:r>
        <w:rPr>
          <w:color w:val="auto"/>
          <w:highlight w:val="none"/>
        </w:rPr>
        <w:tab/>
      </w:r>
      <w:r>
        <w:rPr>
          <w:color w:val="auto"/>
          <w:highlight w:val="none"/>
        </w:rPr>
        <w:fldChar w:fldCharType="begin"/>
      </w:r>
      <w:r>
        <w:rPr>
          <w:color w:val="auto"/>
          <w:highlight w:val="none"/>
        </w:rPr>
        <w:instrText xml:space="preserve"> PAGEREF _Toc15193 \h </w:instrText>
      </w:r>
      <w:r>
        <w:rPr>
          <w:color w:val="auto"/>
          <w:highlight w:val="none"/>
        </w:rPr>
        <w:fldChar w:fldCharType="separate"/>
      </w:r>
      <w:r>
        <w:rPr>
          <w:color w:val="auto"/>
          <w:highlight w:val="none"/>
        </w:rPr>
        <w:t>- 16 -</w:t>
      </w:r>
      <w:r>
        <w:rPr>
          <w:color w:val="auto"/>
          <w:highlight w:val="none"/>
        </w:rPr>
        <w:fldChar w:fldCharType="end"/>
      </w:r>
      <w:r>
        <w:rPr>
          <w:rFonts w:hint="eastAsia" w:asciiTheme="minorEastAsia" w:hAnsiTheme="minorEastAsia"/>
          <w:color w:val="auto"/>
          <w:szCs w:val="21"/>
          <w:highlight w:val="none"/>
        </w:rPr>
        <w:fldChar w:fldCharType="end"/>
      </w:r>
    </w:p>
    <w:p w14:paraId="5340DAD6">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_Toc14938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八、项目验收</w:t>
      </w:r>
      <w:r>
        <w:rPr>
          <w:color w:val="auto"/>
          <w:highlight w:val="none"/>
        </w:rPr>
        <w:tab/>
      </w:r>
      <w:r>
        <w:rPr>
          <w:color w:val="auto"/>
          <w:highlight w:val="none"/>
        </w:rPr>
        <w:fldChar w:fldCharType="begin"/>
      </w:r>
      <w:r>
        <w:rPr>
          <w:color w:val="auto"/>
          <w:highlight w:val="none"/>
        </w:rPr>
        <w:instrText xml:space="preserve"> PAGEREF _Toc14938 \h </w:instrText>
      </w:r>
      <w:r>
        <w:rPr>
          <w:color w:val="auto"/>
          <w:highlight w:val="none"/>
        </w:rPr>
        <w:fldChar w:fldCharType="separate"/>
      </w:r>
      <w:r>
        <w:rPr>
          <w:color w:val="auto"/>
          <w:highlight w:val="none"/>
        </w:rPr>
        <w:t>- 16 -</w:t>
      </w:r>
      <w:r>
        <w:rPr>
          <w:color w:val="auto"/>
          <w:highlight w:val="none"/>
        </w:rPr>
        <w:fldChar w:fldCharType="end"/>
      </w:r>
      <w:r>
        <w:rPr>
          <w:rFonts w:hint="eastAsia" w:asciiTheme="minorEastAsia" w:hAnsiTheme="minorEastAsia"/>
          <w:color w:val="auto"/>
          <w:szCs w:val="21"/>
          <w:highlight w:val="none"/>
        </w:rPr>
        <w:fldChar w:fldCharType="end"/>
      </w:r>
    </w:p>
    <w:p w14:paraId="1A1E3D39">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_Toc29676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九、采购代理服务费</w:t>
      </w:r>
      <w:r>
        <w:rPr>
          <w:color w:val="auto"/>
          <w:highlight w:val="none"/>
        </w:rPr>
        <w:tab/>
      </w:r>
      <w:r>
        <w:rPr>
          <w:color w:val="auto"/>
          <w:highlight w:val="none"/>
        </w:rPr>
        <w:fldChar w:fldCharType="begin"/>
      </w:r>
      <w:r>
        <w:rPr>
          <w:color w:val="auto"/>
          <w:highlight w:val="none"/>
        </w:rPr>
        <w:instrText xml:space="preserve"> PAGEREF _Toc29676 \h </w:instrText>
      </w:r>
      <w:r>
        <w:rPr>
          <w:color w:val="auto"/>
          <w:highlight w:val="none"/>
        </w:rPr>
        <w:fldChar w:fldCharType="separate"/>
      </w:r>
      <w:r>
        <w:rPr>
          <w:color w:val="auto"/>
          <w:highlight w:val="none"/>
        </w:rPr>
        <w:t>- 16 -</w:t>
      </w:r>
      <w:r>
        <w:rPr>
          <w:color w:val="auto"/>
          <w:highlight w:val="none"/>
        </w:rPr>
        <w:fldChar w:fldCharType="end"/>
      </w:r>
      <w:r>
        <w:rPr>
          <w:rFonts w:hint="eastAsia" w:asciiTheme="minorEastAsia" w:hAnsiTheme="minorEastAsia"/>
          <w:color w:val="auto"/>
          <w:szCs w:val="21"/>
          <w:highlight w:val="none"/>
        </w:rPr>
        <w:fldChar w:fldCharType="end"/>
      </w:r>
    </w:p>
    <w:p w14:paraId="789A096D">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_Toc26918 </w:instrText>
      </w:r>
      <w:r>
        <w:rPr>
          <w:rFonts w:hint="eastAsia" w:asciiTheme="minorEastAsia" w:hAnsiTheme="minorEastAsia"/>
          <w:color w:val="auto"/>
          <w:szCs w:val="21"/>
          <w:highlight w:val="none"/>
        </w:rPr>
        <w:fldChar w:fldCharType="separate"/>
      </w:r>
      <w:r>
        <w:rPr>
          <w:rFonts w:hint="eastAsia" w:asciiTheme="minorEastAsia" w:hAnsiTheme="minorEastAsia"/>
          <w:color w:val="auto"/>
          <w:szCs w:val="30"/>
          <w:highlight w:val="none"/>
        </w:rPr>
        <w:t>第六篇  合同草案条款（如果有)</w:t>
      </w:r>
      <w:r>
        <w:rPr>
          <w:color w:val="auto"/>
          <w:highlight w:val="none"/>
        </w:rPr>
        <w:tab/>
      </w:r>
      <w:r>
        <w:rPr>
          <w:color w:val="auto"/>
          <w:highlight w:val="none"/>
        </w:rPr>
        <w:fldChar w:fldCharType="begin"/>
      </w:r>
      <w:r>
        <w:rPr>
          <w:color w:val="auto"/>
          <w:highlight w:val="none"/>
        </w:rPr>
        <w:instrText xml:space="preserve"> PAGEREF _Toc26918 \h </w:instrText>
      </w:r>
      <w:r>
        <w:rPr>
          <w:color w:val="auto"/>
          <w:highlight w:val="none"/>
        </w:rPr>
        <w:fldChar w:fldCharType="separate"/>
      </w:r>
      <w:r>
        <w:rPr>
          <w:color w:val="auto"/>
          <w:highlight w:val="none"/>
        </w:rPr>
        <w:t>- 18 -</w:t>
      </w:r>
      <w:r>
        <w:rPr>
          <w:color w:val="auto"/>
          <w:highlight w:val="none"/>
        </w:rPr>
        <w:fldChar w:fldCharType="end"/>
      </w:r>
      <w:r>
        <w:rPr>
          <w:rFonts w:hint="eastAsia" w:asciiTheme="minorEastAsia" w:hAnsiTheme="minorEastAsia"/>
          <w:color w:val="auto"/>
          <w:szCs w:val="21"/>
          <w:highlight w:val="none"/>
        </w:rPr>
        <w:fldChar w:fldCharType="end"/>
      </w:r>
    </w:p>
    <w:p w14:paraId="2395AE88">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_Toc4761 </w:instrText>
      </w:r>
      <w:r>
        <w:rPr>
          <w:rFonts w:hint="eastAsia" w:asciiTheme="minorEastAsia" w:hAnsiTheme="minorEastAsia"/>
          <w:color w:val="auto"/>
          <w:szCs w:val="21"/>
          <w:highlight w:val="none"/>
        </w:rPr>
        <w:fldChar w:fldCharType="separate"/>
      </w:r>
      <w:r>
        <w:rPr>
          <w:rFonts w:hint="eastAsia" w:asciiTheme="minorEastAsia" w:hAnsiTheme="minorEastAsia"/>
          <w:color w:val="auto"/>
          <w:szCs w:val="30"/>
          <w:highlight w:val="none"/>
        </w:rPr>
        <w:t>第七篇  响应文件格式要求</w:t>
      </w:r>
      <w:r>
        <w:rPr>
          <w:color w:val="auto"/>
          <w:highlight w:val="none"/>
        </w:rPr>
        <w:tab/>
      </w:r>
      <w:r>
        <w:rPr>
          <w:color w:val="auto"/>
          <w:highlight w:val="none"/>
        </w:rPr>
        <w:fldChar w:fldCharType="begin"/>
      </w:r>
      <w:r>
        <w:rPr>
          <w:color w:val="auto"/>
          <w:highlight w:val="none"/>
        </w:rPr>
        <w:instrText xml:space="preserve"> PAGEREF _Toc4761 \h </w:instrText>
      </w:r>
      <w:r>
        <w:rPr>
          <w:color w:val="auto"/>
          <w:highlight w:val="none"/>
        </w:rPr>
        <w:fldChar w:fldCharType="separate"/>
      </w:r>
      <w:r>
        <w:rPr>
          <w:color w:val="auto"/>
          <w:highlight w:val="none"/>
        </w:rPr>
        <w:t>- 19 -</w:t>
      </w:r>
      <w:r>
        <w:rPr>
          <w:color w:val="auto"/>
          <w:highlight w:val="none"/>
        </w:rPr>
        <w:fldChar w:fldCharType="end"/>
      </w:r>
      <w:r>
        <w:rPr>
          <w:rFonts w:hint="eastAsia" w:asciiTheme="minorEastAsia" w:hAnsiTheme="minorEastAsia"/>
          <w:color w:val="auto"/>
          <w:szCs w:val="21"/>
          <w:highlight w:val="none"/>
        </w:rPr>
        <w:fldChar w:fldCharType="end"/>
      </w:r>
    </w:p>
    <w:p w14:paraId="5B16D2BF">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_Toc28169 </w:instrText>
      </w:r>
      <w:r>
        <w:rPr>
          <w:rFonts w:hint="eastAsia" w:asciiTheme="minorEastAsia" w:hAnsiTheme="minorEastAsia"/>
          <w:color w:val="auto"/>
          <w:szCs w:val="21"/>
          <w:highlight w:val="none"/>
        </w:rPr>
        <w:fldChar w:fldCharType="separate"/>
      </w:r>
      <w:r>
        <w:rPr>
          <w:rFonts w:hint="eastAsia" w:asciiTheme="minorEastAsia" w:hAnsiTheme="minorEastAsia"/>
          <w:color w:val="auto"/>
          <w:szCs w:val="28"/>
          <w:highlight w:val="none"/>
        </w:rPr>
        <w:t>一、经济部分</w:t>
      </w:r>
      <w:r>
        <w:rPr>
          <w:color w:val="auto"/>
          <w:highlight w:val="none"/>
        </w:rPr>
        <w:tab/>
      </w:r>
      <w:r>
        <w:rPr>
          <w:color w:val="auto"/>
          <w:highlight w:val="none"/>
        </w:rPr>
        <w:fldChar w:fldCharType="begin"/>
      </w:r>
      <w:r>
        <w:rPr>
          <w:color w:val="auto"/>
          <w:highlight w:val="none"/>
        </w:rPr>
        <w:instrText xml:space="preserve"> PAGEREF _Toc28169 \h </w:instrText>
      </w:r>
      <w:r>
        <w:rPr>
          <w:color w:val="auto"/>
          <w:highlight w:val="none"/>
        </w:rPr>
        <w:fldChar w:fldCharType="separate"/>
      </w:r>
      <w:r>
        <w:rPr>
          <w:color w:val="auto"/>
          <w:highlight w:val="none"/>
        </w:rPr>
        <w:t>- 20 -</w:t>
      </w:r>
      <w:r>
        <w:rPr>
          <w:color w:val="auto"/>
          <w:highlight w:val="none"/>
        </w:rPr>
        <w:fldChar w:fldCharType="end"/>
      </w:r>
      <w:r>
        <w:rPr>
          <w:rFonts w:hint="eastAsia" w:asciiTheme="minorEastAsia" w:hAnsiTheme="minorEastAsia"/>
          <w:color w:val="auto"/>
          <w:szCs w:val="21"/>
          <w:highlight w:val="none"/>
        </w:rPr>
        <w:fldChar w:fldCharType="end"/>
      </w:r>
    </w:p>
    <w:p w14:paraId="30D58506">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_Toc15059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二、技术（质量）部分</w:t>
      </w:r>
      <w:r>
        <w:rPr>
          <w:color w:val="auto"/>
          <w:highlight w:val="none"/>
        </w:rPr>
        <w:tab/>
      </w:r>
      <w:r>
        <w:rPr>
          <w:color w:val="auto"/>
          <w:highlight w:val="none"/>
        </w:rPr>
        <w:fldChar w:fldCharType="begin"/>
      </w:r>
      <w:r>
        <w:rPr>
          <w:color w:val="auto"/>
          <w:highlight w:val="none"/>
        </w:rPr>
        <w:instrText xml:space="preserve"> PAGEREF _Toc15059 \h </w:instrText>
      </w:r>
      <w:r>
        <w:rPr>
          <w:color w:val="auto"/>
          <w:highlight w:val="none"/>
        </w:rPr>
        <w:fldChar w:fldCharType="separate"/>
      </w:r>
      <w:r>
        <w:rPr>
          <w:color w:val="auto"/>
          <w:highlight w:val="none"/>
        </w:rPr>
        <w:t>22</w:t>
      </w:r>
      <w:r>
        <w:rPr>
          <w:color w:val="auto"/>
          <w:highlight w:val="none"/>
        </w:rPr>
        <w:fldChar w:fldCharType="end"/>
      </w:r>
      <w:r>
        <w:rPr>
          <w:rFonts w:hint="eastAsia" w:asciiTheme="minorEastAsia" w:hAnsiTheme="minorEastAsia"/>
          <w:color w:val="auto"/>
          <w:szCs w:val="21"/>
          <w:highlight w:val="none"/>
        </w:rPr>
        <w:fldChar w:fldCharType="end"/>
      </w:r>
    </w:p>
    <w:p w14:paraId="0A66190A">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_Toc17362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三、服务部分</w:t>
      </w:r>
      <w:r>
        <w:rPr>
          <w:color w:val="auto"/>
          <w:highlight w:val="none"/>
        </w:rPr>
        <w:tab/>
      </w:r>
      <w:r>
        <w:rPr>
          <w:color w:val="auto"/>
          <w:highlight w:val="none"/>
        </w:rPr>
        <w:fldChar w:fldCharType="begin"/>
      </w:r>
      <w:r>
        <w:rPr>
          <w:color w:val="auto"/>
          <w:highlight w:val="none"/>
        </w:rPr>
        <w:instrText xml:space="preserve"> PAGEREF _Toc17362 \h </w:instrText>
      </w:r>
      <w:r>
        <w:rPr>
          <w:color w:val="auto"/>
          <w:highlight w:val="none"/>
        </w:rPr>
        <w:fldChar w:fldCharType="separate"/>
      </w:r>
      <w:r>
        <w:rPr>
          <w:color w:val="auto"/>
          <w:highlight w:val="none"/>
        </w:rPr>
        <w:t>24</w:t>
      </w:r>
      <w:r>
        <w:rPr>
          <w:color w:val="auto"/>
          <w:highlight w:val="none"/>
        </w:rPr>
        <w:fldChar w:fldCharType="end"/>
      </w:r>
      <w:r>
        <w:rPr>
          <w:rFonts w:hint="eastAsia" w:asciiTheme="minorEastAsia" w:hAnsiTheme="minorEastAsia"/>
          <w:color w:val="auto"/>
          <w:szCs w:val="21"/>
          <w:highlight w:val="none"/>
        </w:rPr>
        <w:fldChar w:fldCharType="end"/>
      </w:r>
    </w:p>
    <w:p w14:paraId="6C93ADAB">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_Toc29869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四、资格条件及其他</w:t>
      </w:r>
      <w:r>
        <w:rPr>
          <w:color w:val="auto"/>
          <w:highlight w:val="none"/>
        </w:rPr>
        <w:tab/>
      </w:r>
      <w:r>
        <w:rPr>
          <w:color w:val="auto"/>
          <w:highlight w:val="none"/>
        </w:rPr>
        <w:fldChar w:fldCharType="begin"/>
      </w:r>
      <w:r>
        <w:rPr>
          <w:color w:val="auto"/>
          <w:highlight w:val="none"/>
        </w:rPr>
        <w:instrText xml:space="preserve"> PAGEREF _Toc29869 \h </w:instrText>
      </w:r>
      <w:r>
        <w:rPr>
          <w:color w:val="auto"/>
          <w:highlight w:val="none"/>
        </w:rPr>
        <w:fldChar w:fldCharType="separate"/>
      </w:r>
      <w:r>
        <w:rPr>
          <w:color w:val="auto"/>
          <w:highlight w:val="none"/>
        </w:rPr>
        <w:t>28</w:t>
      </w:r>
      <w:r>
        <w:rPr>
          <w:color w:val="auto"/>
          <w:highlight w:val="none"/>
        </w:rPr>
        <w:fldChar w:fldCharType="end"/>
      </w:r>
      <w:r>
        <w:rPr>
          <w:rFonts w:hint="eastAsia" w:asciiTheme="minorEastAsia" w:hAnsiTheme="minorEastAsia"/>
          <w:color w:val="auto"/>
          <w:szCs w:val="21"/>
          <w:highlight w:val="none"/>
        </w:rPr>
        <w:fldChar w:fldCharType="end"/>
      </w:r>
    </w:p>
    <w:p w14:paraId="797B2CD2">
      <w:pPr>
        <w:pStyle w:val="17"/>
        <w:tabs>
          <w:tab w:val="right" w:leader="dot" w:pos="9412"/>
          <w:tab w:val="clear" w:pos="8400"/>
        </w:tabs>
        <w:rPr>
          <w:color w:val="auto"/>
          <w:highlight w:val="none"/>
        </w:rPr>
      </w:pPr>
      <w:r>
        <w:rPr>
          <w:rFonts w:hint="eastAsia" w:asciiTheme="minorEastAsia" w:hAnsiTheme="minorEastAsia"/>
          <w:color w:val="auto"/>
          <w:szCs w:val="21"/>
          <w:highlight w:val="none"/>
        </w:rPr>
        <w:fldChar w:fldCharType="begin"/>
      </w:r>
      <w:r>
        <w:rPr>
          <w:rFonts w:hint="eastAsia" w:asciiTheme="minorEastAsia" w:hAnsiTheme="minorEastAsia"/>
          <w:color w:val="auto"/>
          <w:szCs w:val="21"/>
          <w:highlight w:val="none"/>
        </w:rPr>
        <w:instrText xml:space="preserve"> HYPERLINK \l _Toc28871 </w:instrText>
      </w:r>
      <w:r>
        <w:rPr>
          <w:rFonts w:hint="eastAsia" w:asciiTheme="minorEastAsia" w:hAnsiTheme="minorEastAsia"/>
          <w:color w:val="auto"/>
          <w:szCs w:val="21"/>
          <w:highlight w:val="none"/>
        </w:rPr>
        <w:fldChar w:fldCharType="separate"/>
      </w:r>
      <w:r>
        <w:rPr>
          <w:rFonts w:hint="eastAsia" w:asciiTheme="minorEastAsia" w:hAnsiTheme="minorEastAsia"/>
          <w:color w:val="auto"/>
          <w:highlight w:val="none"/>
        </w:rPr>
        <w:t>五、其他资料</w:t>
      </w:r>
      <w:r>
        <w:rPr>
          <w:color w:val="auto"/>
          <w:highlight w:val="none"/>
        </w:rPr>
        <w:tab/>
      </w:r>
      <w:r>
        <w:rPr>
          <w:color w:val="auto"/>
          <w:highlight w:val="none"/>
        </w:rPr>
        <w:fldChar w:fldCharType="begin"/>
      </w:r>
      <w:r>
        <w:rPr>
          <w:color w:val="auto"/>
          <w:highlight w:val="none"/>
        </w:rPr>
        <w:instrText xml:space="preserve"> PAGEREF _Toc28871 \h </w:instrText>
      </w:r>
      <w:r>
        <w:rPr>
          <w:color w:val="auto"/>
          <w:highlight w:val="none"/>
        </w:rPr>
        <w:fldChar w:fldCharType="separate"/>
      </w:r>
      <w:r>
        <w:rPr>
          <w:color w:val="auto"/>
          <w:highlight w:val="none"/>
        </w:rPr>
        <w:t>33</w:t>
      </w:r>
      <w:r>
        <w:rPr>
          <w:color w:val="auto"/>
          <w:highlight w:val="none"/>
        </w:rPr>
        <w:fldChar w:fldCharType="end"/>
      </w:r>
      <w:r>
        <w:rPr>
          <w:rFonts w:hint="eastAsia" w:asciiTheme="minorEastAsia" w:hAnsiTheme="minorEastAsia"/>
          <w:color w:val="auto"/>
          <w:szCs w:val="21"/>
          <w:highlight w:val="none"/>
        </w:rPr>
        <w:fldChar w:fldCharType="end"/>
      </w:r>
    </w:p>
    <w:p w14:paraId="1617B80E">
      <w:pPr>
        <w:pStyle w:val="17"/>
        <w:tabs>
          <w:tab w:val="right" w:leader="dot" w:pos="9402"/>
          <w:tab w:val="clear" w:pos="8400"/>
        </w:tabs>
        <w:spacing w:line="480" w:lineRule="exact"/>
        <w:ind w:left="210" w:right="-191"/>
        <w:rPr>
          <w:rFonts w:hint="eastAsia" w:asciiTheme="minorEastAsia" w:hAnsiTheme="minorEastAsia"/>
          <w:color w:val="auto"/>
          <w:sz w:val="18"/>
          <w:highlight w:val="none"/>
        </w:rPr>
        <w:sectPr>
          <w:pgSz w:w="11907" w:h="16840"/>
          <w:pgMar w:top="1134" w:right="1191" w:bottom="1134" w:left="1304" w:header="851" w:footer="992" w:gutter="0"/>
          <w:pgNumType w:fmt="numberInDash" w:start="1"/>
          <w:cols w:space="720" w:num="1"/>
          <w:docGrid w:linePitch="381" w:charSpace="-5735"/>
        </w:sectPr>
      </w:pPr>
      <w:r>
        <w:rPr>
          <w:rFonts w:hint="eastAsia" w:asciiTheme="minorEastAsia" w:hAnsiTheme="minorEastAsia"/>
          <w:color w:val="auto"/>
          <w:szCs w:val="21"/>
          <w:highlight w:val="none"/>
        </w:rPr>
        <w:fldChar w:fldCharType="end"/>
      </w:r>
    </w:p>
    <w:p w14:paraId="3A8A5172">
      <w:pPr>
        <w:pStyle w:val="4"/>
        <w:spacing w:after="0"/>
        <w:jc w:val="center"/>
        <w:rPr>
          <w:rFonts w:hint="eastAsia" w:asciiTheme="minorEastAsia" w:hAnsiTheme="minorEastAsia"/>
          <w:color w:val="auto"/>
          <w:sz w:val="36"/>
          <w:szCs w:val="30"/>
          <w:highlight w:val="none"/>
        </w:rPr>
      </w:pPr>
      <w:bookmarkStart w:id="4" w:name="_Toc15726"/>
      <w:bookmarkStart w:id="5" w:name="_Toc65660329"/>
      <w:bookmarkStart w:id="6" w:name="_Toc31771"/>
      <w:bookmarkStart w:id="7" w:name="_Toc24817"/>
      <w:bookmarkStart w:id="8" w:name="_Toc11641050"/>
      <w:bookmarkStart w:id="9" w:name="_Toc24173"/>
      <w:bookmarkStart w:id="10" w:name="_Toc12789052"/>
      <w:r>
        <w:rPr>
          <w:rFonts w:hint="eastAsia" w:asciiTheme="minorEastAsia" w:hAnsiTheme="minorEastAsia"/>
          <w:color w:val="auto"/>
          <w:sz w:val="36"/>
          <w:szCs w:val="30"/>
          <w:highlight w:val="none"/>
        </w:rPr>
        <w:t xml:space="preserve">第一篇  </w:t>
      </w:r>
      <w:r>
        <w:rPr>
          <w:rFonts w:hint="eastAsia" w:cs="Arial" w:asciiTheme="minorEastAsia" w:hAnsiTheme="minorEastAsia"/>
          <w:color w:val="auto"/>
          <w:sz w:val="36"/>
          <w:highlight w:val="none"/>
        </w:rPr>
        <w:t>询价采购邀请书</w:t>
      </w:r>
      <w:bookmarkEnd w:id="4"/>
      <w:bookmarkEnd w:id="5"/>
      <w:bookmarkEnd w:id="6"/>
      <w:bookmarkEnd w:id="7"/>
      <w:bookmarkEnd w:id="8"/>
      <w:bookmarkEnd w:id="9"/>
      <w:bookmarkEnd w:id="10"/>
    </w:p>
    <w:p w14:paraId="0E0FDECC">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重庆渝东勘测设计研究院有限公司（以下简称：采购代理机构）接受重庆东鸿城市运营管理有限责任公司（以下简称：采购人）的委托，对重庆东鸿城市运营管理有限责任公司废弃食用油脂收运车辆采购</w:t>
      </w:r>
      <w:r>
        <w:rPr>
          <w:rFonts w:hint="eastAsia" w:asciiTheme="minorEastAsia" w:hAnsiTheme="minorEastAsia"/>
          <w:color w:val="auto"/>
          <w:sz w:val="24"/>
          <w:szCs w:val="24"/>
          <w:highlight w:val="none"/>
          <w:lang w:eastAsia="zh-CN"/>
        </w:rPr>
        <w:t>（</w:t>
      </w:r>
      <w:r>
        <w:rPr>
          <w:rFonts w:hint="eastAsia" w:asciiTheme="minorEastAsia" w:hAnsiTheme="minorEastAsia"/>
          <w:color w:val="auto"/>
          <w:sz w:val="24"/>
          <w:szCs w:val="24"/>
          <w:highlight w:val="none"/>
          <w:lang w:val="en-US" w:eastAsia="zh-CN"/>
        </w:rPr>
        <w:t>第三次）</w:t>
      </w:r>
      <w:r>
        <w:rPr>
          <w:rFonts w:hint="eastAsia" w:asciiTheme="minorEastAsia" w:hAnsiTheme="minorEastAsia"/>
          <w:color w:val="auto"/>
          <w:sz w:val="24"/>
          <w:szCs w:val="24"/>
          <w:highlight w:val="none"/>
        </w:rPr>
        <w:t>进行询价采购。欢迎有资格的供应商前来参加报价。</w:t>
      </w:r>
    </w:p>
    <w:p w14:paraId="36D88B97">
      <w:pPr>
        <w:pStyle w:val="4"/>
        <w:numPr>
          <w:ilvl w:val="0"/>
          <w:numId w:val="1"/>
        </w:numPr>
        <w:spacing w:after="0" w:line="400" w:lineRule="exact"/>
        <w:ind w:firstLine="480" w:firstLineChars="200"/>
        <w:rPr>
          <w:rFonts w:hint="eastAsia" w:asciiTheme="minorEastAsia" w:hAnsiTheme="minorEastAsia"/>
          <w:color w:val="auto"/>
          <w:sz w:val="24"/>
          <w:highlight w:val="none"/>
        </w:rPr>
      </w:pPr>
      <w:bookmarkStart w:id="11" w:name="_Toc317775175"/>
      <w:bookmarkStart w:id="12" w:name="_Toc17011"/>
      <w:bookmarkStart w:id="13" w:name="_Toc313893526"/>
      <w:bookmarkStart w:id="14" w:name="_Toc18246"/>
      <w:bookmarkStart w:id="15" w:name="_Toc7758"/>
      <w:bookmarkStart w:id="16" w:name="_Toc65660330"/>
      <w:bookmarkStart w:id="17" w:name="_Toc26091"/>
      <w:r>
        <w:rPr>
          <w:rFonts w:hint="eastAsia" w:asciiTheme="minorEastAsia" w:hAnsiTheme="minorEastAsia"/>
          <w:color w:val="auto"/>
          <w:sz w:val="24"/>
          <w:highlight w:val="none"/>
        </w:rPr>
        <w:t>询价内容</w:t>
      </w:r>
      <w:bookmarkEnd w:id="11"/>
      <w:bookmarkEnd w:id="12"/>
      <w:bookmarkEnd w:id="13"/>
      <w:bookmarkEnd w:id="14"/>
      <w:bookmarkEnd w:id="15"/>
      <w:bookmarkEnd w:id="16"/>
      <w:bookmarkEnd w:id="17"/>
    </w:p>
    <w:tbl>
      <w:tblPr>
        <w:tblStyle w:val="21"/>
        <w:tblW w:w="91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57"/>
        <w:gridCol w:w="2712"/>
        <w:gridCol w:w="1463"/>
      </w:tblGrid>
      <w:tr w14:paraId="157C4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vAlign w:val="center"/>
          </w:tcPr>
          <w:p w14:paraId="093F5160">
            <w:pPr>
              <w:pStyle w:val="9"/>
              <w:spacing w:line="240" w:lineRule="auto"/>
              <w:ind w:left="0"/>
              <w:jc w:val="center"/>
              <w:outlineLvl w:val="0"/>
              <w:rPr>
                <w:rFonts w:hint="eastAsia" w:asciiTheme="minorEastAsia" w:hAnsiTheme="minorEastAsia"/>
                <w:b/>
                <w:color w:val="auto"/>
                <w:sz w:val="21"/>
                <w:szCs w:val="21"/>
                <w:highlight w:val="none"/>
              </w:rPr>
            </w:pPr>
            <w:r>
              <w:rPr>
                <w:rFonts w:hint="eastAsia" w:asciiTheme="minorEastAsia" w:hAnsiTheme="minorEastAsia"/>
                <w:b/>
                <w:color w:val="auto"/>
                <w:sz w:val="21"/>
                <w:szCs w:val="21"/>
                <w:highlight w:val="none"/>
              </w:rPr>
              <w:t>名称</w:t>
            </w:r>
          </w:p>
        </w:tc>
        <w:tc>
          <w:tcPr>
            <w:tcW w:w="2712" w:type="dxa"/>
            <w:vAlign w:val="center"/>
          </w:tcPr>
          <w:p w14:paraId="0EC88493">
            <w:pPr>
              <w:pStyle w:val="9"/>
              <w:spacing w:line="240" w:lineRule="auto"/>
              <w:ind w:left="0"/>
              <w:jc w:val="center"/>
              <w:outlineLvl w:val="0"/>
              <w:rPr>
                <w:rFonts w:hint="eastAsia" w:asciiTheme="minorEastAsia" w:hAnsiTheme="minorEastAsia"/>
                <w:b/>
                <w:color w:val="auto"/>
                <w:sz w:val="21"/>
                <w:szCs w:val="21"/>
                <w:highlight w:val="none"/>
              </w:rPr>
            </w:pPr>
            <w:r>
              <w:rPr>
                <w:rFonts w:hint="eastAsia" w:asciiTheme="minorEastAsia" w:hAnsiTheme="minorEastAsia"/>
                <w:b/>
                <w:color w:val="auto"/>
                <w:sz w:val="21"/>
                <w:szCs w:val="21"/>
                <w:highlight w:val="none"/>
              </w:rPr>
              <w:t>最高限价（万元）</w:t>
            </w:r>
          </w:p>
        </w:tc>
        <w:tc>
          <w:tcPr>
            <w:tcW w:w="1463" w:type="dxa"/>
            <w:vAlign w:val="center"/>
          </w:tcPr>
          <w:p w14:paraId="790D78FC">
            <w:pPr>
              <w:pStyle w:val="9"/>
              <w:spacing w:line="240" w:lineRule="auto"/>
              <w:ind w:left="0"/>
              <w:jc w:val="center"/>
              <w:outlineLvl w:val="0"/>
              <w:rPr>
                <w:rFonts w:hint="eastAsia" w:asciiTheme="minorEastAsia" w:hAnsiTheme="minorEastAsia"/>
                <w:b/>
                <w:color w:val="auto"/>
                <w:sz w:val="21"/>
                <w:szCs w:val="21"/>
                <w:highlight w:val="none"/>
              </w:rPr>
            </w:pPr>
            <w:r>
              <w:rPr>
                <w:rFonts w:hint="eastAsia" w:asciiTheme="minorEastAsia" w:hAnsiTheme="minorEastAsia"/>
                <w:b/>
                <w:color w:val="auto"/>
                <w:sz w:val="21"/>
                <w:szCs w:val="21"/>
                <w:highlight w:val="none"/>
              </w:rPr>
              <w:t>成交供应商数量（名）</w:t>
            </w:r>
          </w:p>
        </w:tc>
      </w:tr>
      <w:tr w14:paraId="021D5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57" w:type="dxa"/>
            <w:vAlign w:val="center"/>
          </w:tcPr>
          <w:p w14:paraId="636A5A91">
            <w:pPr>
              <w:pStyle w:val="9"/>
              <w:spacing w:line="240" w:lineRule="auto"/>
              <w:ind w:left="0"/>
              <w:jc w:val="center"/>
              <w:outlineLvl w:val="0"/>
              <w:rPr>
                <w:rFonts w:hint="default" w:asciiTheme="minorEastAsia" w:hAnsiTheme="minorEastAsia" w:eastAsiaTheme="minorEastAsia"/>
                <w:b/>
                <w:color w:val="auto"/>
                <w:sz w:val="21"/>
                <w:szCs w:val="21"/>
                <w:highlight w:val="none"/>
                <w:lang w:val="en-US" w:eastAsia="zh-CN"/>
              </w:rPr>
            </w:pPr>
            <w:r>
              <w:rPr>
                <w:rFonts w:hint="eastAsia" w:asciiTheme="minorEastAsia" w:hAnsiTheme="minorEastAsia"/>
                <w:color w:val="auto"/>
                <w:sz w:val="21"/>
                <w:szCs w:val="21"/>
                <w:highlight w:val="none"/>
              </w:rPr>
              <w:t>重庆东鸿城市运营管理有限责任公司废弃食用油脂收运车辆采购</w:t>
            </w:r>
            <w:r>
              <w:rPr>
                <w:rFonts w:hint="eastAsia" w:asciiTheme="minorEastAsia" w:hAnsiTheme="minorEastAsia"/>
                <w:color w:val="auto"/>
                <w:sz w:val="21"/>
                <w:szCs w:val="21"/>
                <w:highlight w:val="none"/>
                <w:lang w:eastAsia="zh-CN"/>
              </w:rPr>
              <w:t>（</w:t>
            </w:r>
            <w:r>
              <w:rPr>
                <w:rFonts w:hint="eastAsia" w:asciiTheme="minorEastAsia" w:hAnsiTheme="minorEastAsia"/>
                <w:color w:val="auto"/>
                <w:sz w:val="21"/>
                <w:szCs w:val="21"/>
                <w:highlight w:val="none"/>
                <w:lang w:val="en-US" w:eastAsia="zh-CN"/>
              </w:rPr>
              <w:t>第三次）</w:t>
            </w:r>
          </w:p>
        </w:tc>
        <w:tc>
          <w:tcPr>
            <w:tcW w:w="2712" w:type="dxa"/>
            <w:vAlign w:val="center"/>
          </w:tcPr>
          <w:p w14:paraId="277AE888">
            <w:pPr>
              <w:pStyle w:val="9"/>
              <w:spacing w:line="240" w:lineRule="auto"/>
              <w:ind w:left="0"/>
              <w:jc w:val="center"/>
              <w:outlineLvl w:val="0"/>
              <w:rPr>
                <w:rFonts w:hint="eastAsia" w:asciiTheme="minorEastAsia" w:hAnsiTheme="minorEastAsia"/>
                <w:b/>
                <w:color w:val="auto"/>
                <w:sz w:val="21"/>
                <w:szCs w:val="21"/>
                <w:highlight w:val="none"/>
              </w:rPr>
            </w:pPr>
            <w:r>
              <w:rPr>
                <w:rFonts w:hint="eastAsia" w:asciiTheme="minorEastAsia" w:hAnsiTheme="minorEastAsia"/>
                <w:color w:val="auto"/>
                <w:sz w:val="21"/>
                <w:szCs w:val="21"/>
                <w:highlight w:val="none"/>
              </w:rPr>
              <w:t>16.7</w:t>
            </w:r>
          </w:p>
        </w:tc>
        <w:tc>
          <w:tcPr>
            <w:tcW w:w="1463" w:type="dxa"/>
            <w:vAlign w:val="center"/>
          </w:tcPr>
          <w:p w14:paraId="4426FA3D">
            <w:pPr>
              <w:pStyle w:val="9"/>
              <w:spacing w:line="240" w:lineRule="auto"/>
              <w:ind w:left="0"/>
              <w:jc w:val="center"/>
              <w:outlineLvl w:val="0"/>
              <w:rPr>
                <w:rFonts w:hint="eastAsia" w:asciiTheme="minorEastAsia" w:hAnsiTheme="minorEastAsia"/>
                <w:b/>
                <w:color w:val="auto"/>
                <w:sz w:val="21"/>
                <w:szCs w:val="21"/>
                <w:highlight w:val="none"/>
              </w:rPr>
            </w:pPr>
            <w:r>
              <w:rPr>
                <w:rFonts w:hint="eastAsia" w:asciiTheme="minorEastAsia" w:hAnsiTheme="minorEastAsia"/>
                <w:color w:val="auto"/>
                <w:sz w:val="21"/>
                <w:szCs w:val="21"/>
                <w:highlight w:val="none"/>
              </w:rPr>
              <w:t>1</w:t>
            </w:r>
          </w:p>
        </w:tc>
      </w:tr>
    </w:tbl>
    <w:p w14:paraId="14488D22">
      <w:pPr>
        <w:pStyle w:val="4"/>
        <w:spacing w:after="0" w:line="400" w:lineRule="exact"/>
        <w:ind w:firstLine="480" w:firstLineChars="200"/>
        <w:rPr>
          <w:rFonts w:hint="eastAsia" w:asciiTheme="minorEastAsia" w:hAnsiTheme="minorEastAsia"/>
          <w:color w:val="auto"/>
          <w:sz w:val="24"/>
          <w:highlight w:val="none"/>
        </w:rPr>
      </w:pPr>
      <w:bookmarkStart w:id="18" w:name="_Toc4424"/>
      <w:bookmarkStart w:id="19" w:name="_Toc27028"/>
      <w:bookmarkStart w:id="20" w:name="_Toc65660331"/>
      <w:bookmarkStart w:id="21" w:name="_Toc3256"/>
      <w:bookmarkStart w:id="22" w:name="_Toc32545"/>
      <w:bookmarkStart w:id="23" w:name="_Toc373860293"/>
      <w:bookmarkStart w:id="24" w:name="_Toc317775178"/>
      <w:r>
        <w:rPr>
          <w:rFonts w:hint="eastAsia" w:asciiTheme="minorEastAsia" w:hAnsiTheme="minorEastAsia"/>
          <w:color w:val="auto"/>
          <w:sz w:val="24"/>
          <w:highlight w:val="none"/>
        </w:rPr>
        <w:t>二、资金来源</w:t>
      </w:r>
      <w:bookmarkEnd w:id="18"/>
      <w:bookmarkEnd w:id="19"/>
      <w:bookmarkEnd w:id="20"/>
      <w:bookmarkEnd w:id="21"/>
      <w:bookmarkEnd w:id="22"/>
    </w:p>
    <w:p w14:paraId="0A11F5E0">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单位自筹资金，采购预算共16.7万元。</w:t>
      </w:r>
    </w:p>
    <w:bookmarkEnd w:id="23"/>
    <w:p w14:paraId="52A287A5">
      <w:pPr>
        <w:pStyle w:val="4"/>
        <w:spacing w:after="0" w:line="400" w:lineRule="exact"/>
        <w:ind w:firstLine="480" w:firstLineChars="200"/>
        <w:rPr>
          <w:rFonts w:hint="eastAsia" w:asciiTheme="minorEastAsia" w:hAnsiTheme="minorEastAsia"/>
          <w:color w:val="auto"/>
          <w:sz w:val="24"/>
          <w:highlight w:val="none"/>
        </w:rPr>
      </w:pPr>
      <w:bookmarkStart w:id="25" w:name="_Toc21798"/>
      <w:r>
        <w:rPr>
          <w:rFonts w:hint="eastAsia" w:asciiTheme="minorEastAsia" w:hAnsiTheme="minorEastAsia"/>
          <w:color w:val="auto"/>
          <w:sz w:val="24"/>
          <w:highlight w:val="none"/>
        </w:rPr>
        <w:t>三、供应商资格条件</w:t>
      </w:r>
      <w:bookmarkEnd w:id="25"/>
    </w:p>
    <w:p w14:paraId="6EC7DC43">
      <w:pPr>
        <w:snapToGrid w:val="0"/>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（一）满足《中华人民共和国政府采购法》第二十二条规定；</w:t>
      </w:r>
    </w:p>
    <w:p w14:paraId="25ABE17A">
      <w:pPr>
        <w:snapToGrid w:val="0"/>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（二）本项目的特定资格要求：无。</w:t>
      </w:r>
    </w:p>
    <w:p w14:paraId="3DF64D75">
      <w:pPr>
        <w:pStyle w:val="4"/>
        <w:spacing w:after="0" w:line="400" w:lineRule="exact"/>
        <w:ind w:firstLine="480" w:firstLineChars="200"/>
        <w:rPr>
          <w:rFonts w:hint="eastAsia" w:asciiTheme="minorEastAsia" w:hAnsiTheme="minorEastAsia"/>
          <w:color w:val="auto"/>
          <w:sz w:val="24"/>
          <w:highlight w:val="none"/>
        </w:rPr>
      </w:pPr>
      <w:bookmarkStart w:id="26" w:name="_Toc15701"/>
      <w:r>
        <w:rPr>
          <w:rFonts w:hint="eastAsia" w:asciiTheme="minorEastAsia" w:hAnsiTheme="minorEastAsia"/>
          <w:color w:val="auto"/>
          <w:sz w:val="24"/>
          <w:highlight w:val="none"/>
        </w:rPr>
        <w:t>四、询价有关说明</w:t>
      </w:r>
      <w:bookmarkEnd w:id="26"/>
    </w:p>
    <w:p w14:paraId="4FFDF57F">
      <w:pPr>
        <w:snapToGrid w:val="0"/>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一）凡有意参加询价的供应商，请在垫江县人民政府网和重庆渝垫国有资产经营集团有限公司官网上下载本项目询价通知书、澄清等报价前公布的所有项目资料，无论供应商下载与否，均视为已知晓所有实质性要求内容。</w:t>
      </w:r>
    </w:p>
    <w:p w14:paraId="565DD73D">
      <w:pPr>
        <w:snapToGrid w:val="0"/>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（二）询价公告期限：自采购公告发布之日起三个工作日。</w:t>
      </w:r>
    </w:p>
    <w:p w14:paraId="543A35B0">
      <w:pPr>
        <w:snapToGrid w:val="0"/>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（三）获取询价通知书期限：</w:t>
      </w:r>
    </w:p>
    <w:p w14:paraId="4E1547F0">
      <w:pPr>
        <w:snapToGrid w:val="0"/>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1.询价通知书提供期限：同询价公告期限。</w:t>
      </w:r>
    </w:p>
    <w:p w14:paraId="170AF988">
      <w:pPr>
        <w:snapToGrid w:val="0"/>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2.报名方式：无需报名</w:t>
      </w:r>
    </w:p>
    <w:p w14:paraId="5C022757">
      <w:pPr>
        <w:snapToGrid w:val="0"/>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3.询价通知书售价：人民币0元/包。</w:t>
      </w:r>
    </w:p>
    <w:p w14:paraId="112CBC16">
      <w:pPr>
        <w:snapToGrid w:val="0"/>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（四）递交响应文件地点：重庆市垫江县桂溪镇镇中社区5楼512</w:t>
      </w:r>
    </w:p>
    <w:p w14:paraId="35555BC5">
      <w:pPr>
        <w:snapToGrid w:val="0"/>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（五）提交响应文件截止时间：2025年</w:t>
      </w:r>
      <w:r>
        <w:rPr>
          <w:rFonts w:hint="eastAsia" w:asciiTheme="minorEastAsia" w:hAnsiTheme="minorEastAsia"/>
          <w:color w:val="auto"/>
          <w:sz w:val="24"/>
          <w:highlight w:val="none"/>
          <w:lang w:val="en-US" w:eastAsia="zh-CN"/>
        </w:rPr>
        <w:t>6</w:t>
      </w:r>
      <w:r>
        <w:rPr>
          <w:rFonts w:hint="eastAsia" w:asciiTheme="minorEastAsia" w:hAnsiTheme="minorEastAsia"/>
          <w:color w:val="auto"/>
          <w:sz w:val="24"/>
          <w:highlight w:val="none"/>
        </w:rPr>
        <w:t>月</w:t>
      </w:r>
      <w:r>
        <w:rPr>
          <w:rFonts w:hint="eastAsia" w:asciiTheme="minorEastAsia" w:hAnsiTheme="minorEastAsia"/>
          <w:color w:val="auto"/>
          <w:sz w:val="24"/>
          <w:highlight w:val="none"/>
          <w:lang w:val="en-US" w:eastAsia="zh-CN"/>
        </w:rPr>
        <w:t>30</w:t>
      </w:r>
      <w:r>
        <w:rPr>
          <w:rFonts w:hint="eastAsia" w:asciiTheme="minorEastAsia" w:hAnsiTheme="minorEastAsia"/>
          <w:color w:val="auto"/>
          <w:sz w:val="24"/>
          <w:highlight w:val="none"/>
        </w:rPr>
        <w:t>日北京时间15:00，截止时间前半小时内为递交响应文件时间。</w:t>
      </w:r>
    </w:p>
    <w:p w14:paraId="74642084">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highlight w:val="none"/>
        </w:rPr>
        <w:t>（六）评审开始时间：2025年</w:t>
      </w:r>
      <w:r>
        <w:rPr>
          <w:rFonts w:hint="eastAsia" w:asciiTheme="minorEastAsia" w:hAnsiTheme="minorEastAsia"/>
          <w:color w:val="auto"/>
          <w:sz w:val="24"/>
          <w:highlight w:val="none"/>
          <w:lang w:val="en-US" w:eastAsia="zh-CN"/>
        </w:rPr>
        <w:t>6</w:t>
      </w:r>
      <w:r>
        <w:rPr>
          <w:rFonts w:hint="eastAsia" w:asciiTheme="minorEastAsia" w:hAnsiTheme="minorEastAsia"/>
          <w:color w:val="auto"/>
          <w:sz w:val="24"/>
          <w:highlight w:val="none"/>
        </w:rPr>
        <w:t>月</w:t>
      </w:r>
      <w:r>
        <w:rPr>
          <w:rFonts w:hint="eastAsia" w:asciiTheme="minorEastAsia" w:hAnsiTheme="minorEastAsia"/>
          <w:color w:val="auto"/>
          <w:sz w:val="24"/>
          <w:highlight w:val="none"/>
          <w:lang w:val="en-US" w:eastAsia="zh-CN"/>
        </w:rPr>
        <w:t>30</w:t>
      </w:r>
      <w:r>
        <w:rPr>
          <w:rFonts w:hint="eastAsia" w:asciiTheme="minorEastAsia" w:hAnsiTheme="minorEastAsia"/>
          <w:color w:val="auto"/>
          <w:sz w:val="24"/>
          <w:highlight w:val="none"/>
        </w:rPr>
        <w:t>日北京时间15:00。</w:t>
      </w:r>
    </w:p>
    <w:bookmarkEnd w:id="24"/>
    <w:p w14:paraId="6B739D4B">
      <w:pPr>
        <w:pStyle w:val="4"/>
        <w:spacing w:after="0" w:line="400" w:lineRule="exact"/>
        <w:ind w:firstLine="480" w:firstLineChars="200"/>
        <w:rPr>
          <w:rFonts w:hint="eastAsia" w:asciiTheme="minorEastAsia" w:hAnsiTheme="minorEastAsia"/>
          <w:color w:val="auto"/>
          <w:sz w:val="24"/>
          <w:highlight w:val="none"/>
        </w:rPr>
      </w:pPr>
      <w:bookmarkStart w:id="27" w:name="_Toc65660334"/>
      <w:bookmarkStart w:id="28" w:name="_Toc6178"/>
      <w:bookmarkStart w:id="29" w:name="_Toc521053053"/>
      <w:bookmarkStart w:id="30" w:name="_Toc373860294"/>
      <w:bookmarkStart w:id="31" w:name="_Toc525047161"/>
      <w:bookmarkStart w:id="32" w:name="_Toc11956"/>
      <w:bookmarkStart w:id="33" w:name="_Toc23231"/>
      <w:bookmarkStart w:id="34" w:name="_Toc4638"/>
      <w:r>
        <w:rPr>
          <w:rFonts w:hint="eastAsia" w:asciiTheme="minorEastAsia" w:hAnsiTheme="minorEastAsia"/>
          <w:color w:val="auto"/>
          <w:sz w:val="24"/>
          <w:highlight w:val="none"/>
        </w:rPr>
        <w:t>五、保证金</w:t>
      </w:r>
      <w:bookmarkEnd w:id="27"/>
      <w:bookmarkEnd w:id="28"/>
      <w:bookmarkEnd w:id="29"/>
      <w:bookmarkEnd w:id="30"/>
      <w:bookmarkEnd w:id="31"/>
      <w:bookmarkEnd w:id="32"/>
      <w:bookmarkEnd w:id="33"/>
      <w:bookmarkEnd w:id="34"/>
    </w:p>
    <w:p w14:paraId="169C5970">
      <w:pPr>
        <w:snapToGrid w:val="0"/>
        <w:spacing w:line="400" w:lineRule="exact"/>
        <w:ind w:firstLine="480" w:firstLineChars="200"/>
        <w:rPr>
          <w:rFonts w:hint="eastAsia" w:cs="Times New Roman" w:asciiTheme="minorEastAsia" w:hAnsiTheme="minorEastAsia"/>
          <w:color w:val="auto"/>
          <w:sz w:val="24"/>
          <w:szCs w:val="24"/>
          <w:highlight w:val="none"/>
        </w:rPr>
      </w:pPr>
      <w:bookmarkStart w:id="35" w:name="_Toc479668114"/>
      <w:bookmarkStart w:id="36" w:name="_Toc2945"/>
      <w:bookmarkStart w:id="37" w:name="_Toc525047162"/>
      <w:bookmarkStart w:id="38" w:name="_Toc4355"/>
      <w:bookmarkStart w:id="39" w:name="_Toc65660335"/>
      <w:bookmarkStart w:id="40" w:name="_Toc521053054"/>
      <w:bookmarkStart w:id="41" w:name="_Toc12296"/>
      <w:r>
        <w:rPr>
          <w:rFonts w:hint="eastAsia" w:ascii="宋体" w:hAnsi="宋体" w:cs="宋体"/>
          <w:color w:val="auto"/>
          <w:sz w:val="24"/>
          <w:szCs w:val="24"/>
          <w:highlight w:val="none"/>
        </w:rPr>
        <w:t>无</w:t>
      </w:r>
    </w:p>
    <w:p w14:paraId="1B387447">
      <w:pPr>
        <w:pStyle w:val="4"/>
        <w:spacing w:after="0" w:line="400" w:lineRule="exact"/>
        <w:ind w:firstLine="480" w:firstLineChars="200"/>
        <w:rPr>
          <w:rFonts w:hint="eastAsia" w:asciiTheme="minorEastAsia" w:hAnsiTheme="minorEastAsia"/>
          <w:color w:val="auto"/>
          <w:sz w:val="24"/>
          <w:highlight w:val="none"/>
        </w:rPr>
      </w:pPr>
      <w:bookmarkStart w:id="42" w:name="_Toc650"/>
      <w:r>
        <w:rPr>
          <w:rFonts w:hint="eastAsia" w:asciiTheme="minorEastAsia" w:hAnsiTheme="minorEastAsia"/>
          <w:color w:val="auto"/>
          <w:sz w:val="24"/>
          <w:highlight w:val="none"/>
        </w:rPr>
        <w:t>六、</w:t>
      </w:r>
      <w:bookmarkEnd w:id="35"/>
      <w:bookmarkEnd w:id="36"/>
      <w:bookmarkEnd w:id="37"/>
      <w:bookmarkEnd w:id="38"/>
      <w:bookmarkEnd w:id="39"/>
      <w:bookmarkEnd w:id="40"/>
      <w:bookmarkEnd w:id="41"/>
      <w:bookmarkStart w:id="43" w:name="_Toc4728"/>
      <w:bookmarkStart w:id="44" w:name="_Toc521053055"/>
      <w:bookmarkStart w:id="45" w:name="_Toc6563"/>
      <w:bookmarkStart w:id="46" w:name="_Toc16269"/>
      <w:bookmarkStart w:id="47" w:name="_Toc525047163"/>
      <w:bookmarkStart w:id="48" w:name="_Toc65660336"/>
      <w:r>
        <w:rPr>
          <w:rFonts w:hint="eastAsia" w:asciiTheme="minorEastAsia" w:hAnsiTheme="minorEastAsia"/>
          <w:color w:val="auto"/>
          <w:sz w:val="24"/>
          <w:highlight w:val="none"/>
        </w:rPr>
        <w:t>其它有关规定</w:t>
      </w:r>
      <w:bookmarkEnd w:id="42"/>
      <w:bookmarkEnd w:id="43"/>
      <w:bookmarkEnd w:id="44"/>
      <w:bookmarkEnd w:id="45"/>
      <w:bookmarkEnd w:id="46"/>
      <w:bookmarkEnd w:id="47"/>
      <w:bookmarkEnd w:id="48"/>
    </w:p>
    <w:p w14:paraId="0BA66684">
      <w:pPr>
        <w:snapToGrid w:val="0"/>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（一）单位负责人为同一人或者存在直接控股、管理关系的不同供应商，</w:t>
      </w:r>
      <w:r>
        <w:rPr>
          <w:rFonts w:asciiTheme="minorEastAsia" w:hAnsiTheme="minorEastAsia"/>
          <w:color w:val="auto"/>
          <w:sz w:val="24"/>
          <w:szCs w:val="24"/>
          <w:highlight w:val="none"/>
        </w:rPr>
        <w:t>不得参加同一合同项</w:t>
      </w:r>
      <w:r>
        <w:rPr>
          <w:rFonts w:hint="eastAsia" w:asciiTheme="minorEastAsia" w:hAnsiTheme="minorEastAsia"/>
          <w:color w:val="auto"/>
          <w:sz w:val="24"/>
          <w:szCs w:val="24"/>
          <w:highlight w:val="none"/>
        </w:rPr>
        <w:t>（包）</w:t>
      </w:r>
      <w:r>
        <w:rPr>
          <w:rFonts w:asciiTheme="minorEastAsia" w:hAnsiTheme="minorEastAsia"/>
          <w:color w:val="auto"/>
          <w:sz w:val="24"/>
          <w:szCs w:val="24"/>
          <w:highlight w:val="none"/>
        </w:rPr>
        <w:t>下的采购活动</w:t>
      </w:r>
      <w:r>
        <w:rPr>
          <w:rFonts w:hint="eastAsia" w:asciiTheme="minorEastAsia" w:hAnsiTheme="minorEastAsia"/>
          <w:color w:val="auto"/>
          <w:sz w:val="24"/>
          <w:szCs w:val="24"/>
          <w:highlight w:val="none"/>
        </w:rPr>
        <w:t>，否则均为无效报价。</w:t>
      </w:r>
    </w:p>
    <w:p w14:paraId="0548ADE0">
      <w:pPr>
        <w:snapToGrid w:val="0"/>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（二）为采购项目提供整体设计、规范编制或者项目管理、监理、检测等服务的供应商，不得再</w:t>
      </w:r>
      <w:r>
        <w:rPr>
          <w:rFonts w:asciiTheme="minorEastAsia" w:hAnsiTheme="minorEastAsia"/>
          <w:color w:val="auto"/>
          <w:sz w:val="24"/>
          <w:szCs w:val="24"/>
          <w:highlight w:val="none"/>
        </w:rPr>
        <w:t>参加</w:t>
      </w:r>
      <w:r>
        <w:rPr>
          <w:rFonts w:hint="eastAsia" w:asciiTheme="minorEastAsia" w:hAnsiTheme="minorEastAsia"/>
          <w:color w:val="auto"/>
          <w:sz w:val="24"/>
          <w:szCs w:val="24"/>
          <w:highlight w:val="none"/>
        </w:rPr>
        <w:t>该采购</w:t>
      </w:r>
      <w:r>
        <w:rPr>
          <w:rFonts w:asciiTheme="minorEastAsia" w:hAnsiTheme="minorEastAsia"/>
          <w:color w:val="auto"/>
          <w:sz w:val="24"/>
          <w:szCs w:val="24"/>
          <w:highlight w:val="none"/>
        </w:rPr>
        <w:t>项目的</w:t>
      </w:r>
      <w:r>
        <w:rPr>
          <w:rFonts w:hint="eastAsia" w:asciiTheme="minorEastAsia" w:hAnsiTheme="minorEastAsia"/>
          <w:color w:val="auto"/>
          <w:sz w:val="24"/>
          <w:szCs w:val="24"/>
          <w:highlight w:val="none"/>
        </w:rPr>
        <w:t>其他</w:t>
      </w:r>
      <w:r>
        <w:rPr>
          <w:rFonts w:asciiTheme="minorEastAsia" w:hAnsiTheme="minorEastAsia"/>
          <w:color w:val="auto"/>
          <w:sz w:val="24"/>
          <w:szCs w:val="24"/>
          <w:highlight w:val="none"/>
        </w:rPr>
        <w:t>采购活动</w:t>
      </w:r>
      <w:r>
        <w:rPr>
          <w:rFonts w:hint="eastAsia" w:asciiTheme="minorEastAsia" w:hAnsiTheme="minorEastAsia"/>
          <w:color w:val="auto"/>
          <w:sz w:val="24"/>
          <w:szCs w:val="24"/>
          <w:highlight w:val="none"/>
        </w:rPr>
        <w:t>。</w:t>
      </w:r>
    </w:p>
    <w:p w14:paraId="54740C51">
      <w:pPr>
        <w:snapToGrid w:val="0"/>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（三）同一合同项（包）下的货物，制造商参与报价的，不得再委托代理商参与报价。</w:t>
      </w:r>
    </w:p>
    <w:p w14:paraId="306F537C">
      <w:pPr>
        <w:snapToGrid w:val="0"/>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（四）本项目的澄清文件（如果有）一律在</w:t>
      </w:r>
      <w:r>
        <w:rPr>
          <w:rFonts w:hint="eastAsia" w:ascii="宋体" w:hAnsi="宋体"/>
          <w:color w:val="auto"/>
          <w:sz w:val="24"/>
          <w:szCs w:val="24"/>
          <w:highlight w:val="none"/>
        </w:rPr>
        <w:t>垫江县人民政府网</w:t>
      </w:r>
      <w:r>
        <w:rPr>
          <w:rFonts w:hint="eastAsia" w:asciiTheme="minorEastAsia" w:hAnsiTheme="minorEastAsia"/>
          <w:color w:val="auto"/>
          <w:sz w:val="24"/>
          <w:szCs w:val="24"/>
          <w:highlight w:val="none"/>
        </w:rPr>
        <w:t>上发布，请各供应商注意下载；无论供应商下载与否，均视同供应商已知晓本项目澄清文件（如果有）的内容。</w:t>
      </w:r>
    </w:p>
    <w:p w14:paraId="57FB4F46">
      <w:pPr>
        <w:snapToGrid w:val="0"/>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（五）超过响应文件截止时间递交的响应文件，恕不接收。</w:t>
      </w:r>
    </w:p>
    <w:p w14:paraId="711D45A5">
      <w:pPr>
        <w:snapToGrid w:val="0"/>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（六）询价费用：无论询价结果如何，供应商参与本项目询价的所有费用均应由供应商自行承担。</w:t>
      </w:r>
    </w:p>
    <w:p w14:paraId="7A670F20">
      <w:pPr>
        <w:snapToGrid w:val="0"/>
        <w:spacing w:line="400" w:lineRule="exact"/>
        <w:ind w:firstLine="361" w:firstLineChars="150"/>
        <w:rPr>
          <w:rFonts w:hint="eastAsia" w:asciiTheme="minorEastAsia" w:hAnsiTheme="minorEastAsia"/>
          <w:color w:val="auto"/>
          <w:sz w:val="24"/>
          <w:szCs w:val="24"/>
          <w:highlight w:val="none"/>
        </w:rPr>
      </w:pPr>
      <w:r>
        <w:rPr>
          <w:rFonts w:hint="eastAsia" w:asciiTheme="minorEastAsia" w:hAnsiTheme="minorEastAsia"/>
          <w:b/>
          <w:bCs/>
          <w:color w:val="auto"/>
          <w:sz w:val="24"/>
          <w:szCs w:val="24"/>
          <w:highlight w:val="none"/>
        </w:rPr>
        <w:t>（七）</w:t>
      </w:r>
      <w:r>
        <w:rPr>
          <w:rFonts w:hint="eastAsia" w:asciiTheme="minorEastAsia" w:hAnsiTheme="minorEastAsia"/>
          <w:b/>
          <w:color w:val="auto"/>
          <w:sz w:val="24"/>
          <w:szCs w:val="24"/>
          <w:highlight w:val="none"/>
        </w:rPr>
        <w:t>本项目不接受联合体参与报价，否则按无效处理。</w:t>
      </w:r>
    </w:p>
    <w:p w14:paraId="59728D9E">
      <w:pPr>
        <w:snapToGrid w:val="0"/>
        <w:spacing w:line="400" w:lineRule="exact"/>
        <w:ind w:firstLine="361" w:firstLineChars="150"/>
        <w:rPr>
          <w:rFonts w:hint="eastAsia" w:asciiTheme="minorEastAsia" w:hAnsiTheme="minorEastAsia"/>
          <w:b/>
          <w:color w:val="auto"/>
          <w:sz w:val="24"/>
          <w:szCs w:val="24"/>
          <w:highlight w:val="none"/>
        </w:rPr>
      </w:pPr>
      <w:r>
        <w:rPr>
          <w:rFonts w:hint="eastAsia" w:asciiTheme="minorEastAsia" w:hAnsiTheme="minorEastAsia"/>
          <w:b/>
          <w:color w:val="auto"/>
          <w:sz w:val="24"/>
          <w:szCs w:val="24"/>
          <w:highlight w:val="none"/>
        </w:rPr>
        <w:t>（八）本项目不接受合同分包，否则按无效处理。</w:t>
      </w:r>
    </w:p>
    <w:p w14:paraId="23BFB70C">
      <w:pPr>
        <w:snapToGrid w:val="0"/>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bCs/>
          <w:color w:val="auto"/>
          <w:sz w:val="24"/>
          <w:szCs w:val="24"/>
          <w:highlight w:val="none"/>
        </w:rPr>
        <w:t>（九）</w:t>
      </w:r>
      <w:r>
        <w:rPr>
          <w:rFonts w:hint="eastAsia" w:asciiTheme="minorEastAsia" w:hAnsiTheme="minorEastAsia"/>
          <w:color w:val="auto"/>
          <w:sz w:val="24"/>
          <w:szCs w:val="24"/>
          <w:highlight w:val="none"/>
        </w:rPr>
        <w:t>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w:t>
      </w:r>
      <w:r>
        <w:rPr>
          <w:rFonts w:hint="eastAsia" w:asciiTheme="minorEastAsia" w:hAnsiTheme="minorEastAsia"/>
          <w:color w:val="auto"/>
          <w:sz w:val="24"/>
          <w:szCs w:val="24"/>
          <w:highlight w:val="none"/>
          <w:lang w:val="en-US" w:eastAsia="zh-CN"/>
        </w:rPr>
        <w:t>本次</w:t>
      </w:r>
      <w:r>
        <w:rPr>
          <w:rFonts w:hint="eastAsia" w:asciiTheme="minorEastAsia" w:hAnsiTheme="minorEastAsia"/>
          <w:color w:val="auto"/>
          <w:sz w:val="24"/>
          <w:szCs w:val="24"/>
          <w:highlight w:val="none"/>
        </w:rPr>
        <w:t>采购活动。</w:t>
      </w:r>
    </w:p>
    <w:p w14:paraId="59ADAB7B">
      <w:pPr>
        <w:pStyle w:val="4"/>
        <w:spacing w:after="0" w:line="400" w:lineRule="exact"/>
        <w:ind w:firstLine="480" w:firstLineChars="200"/>
        <w:rPr>
          <w:rFonts w:hint="eastAsia" w:asciiTheme="minorEastAsia" w:hAnsiTheme="minorEastAsia"/>
          <w:color w:val="auto"/>
          <w:sz w:val="24"/>
          <w:highlight w:val="none"/>
        </w:rPr>
      </w:pPr>
      <w:bookmarkStart w:id="49" w:name="_Toc10415"/>
      <w:bookmarkStart w:id="50" w:name="_Toc1733"/>
      <w:bookmarkStart w:id="51" w:name="_Toc17727"/>
      <w:bookmarkStart w:id="52" w:name="_Toc525047164"/>
      <w:bookmarkStart w:id="53" w:name="_Toc521053056"/>
      <w:bookmarkStart w:id="54" w:name="_Toc65660337"/>
      <w:bookmarkStart w:id="55" w:name="_Toc1552"/>
      <w:r>
        <w:rPr>
          <w:rFonts w:hint="eastAsia" w:asciiTheme="minorEastAsia" w:hAnsiTheme="minorEastAsia"/>
          <w:color w:val="auto"/>
          <w:sz w:val="24"/>
          <w:highlight w:val="none"/>
        </w:rPr>
        <w:t>七、联系方式</w:t>
      </w:r>
      <w:bookmarkEnd w:id="49"/>
      <w:bookmarkEnd w:id="50"/>
      <w:bookmarkEnd w:id="51"/>
      <w:bookmarkEnd w:id="52"/>
      <w:bookmarkEnd w:id="53"/>
      <w:bookmarkEnd w:id="54"/>
      <w:bookmarkEnd w:id="55"/>
    </w:p>
    <w:p w14:paraId="4A355D9B">
      <w:pPr>
        <w:spacing w:line="400" w:lineRule="exact"/>
        <w:ind w:firstLine="480" w:firstLineChars="200"/>
        <w:rPr>
          <w:rFonts w:hint="eastAsia" w:asciiTheme="minorEastAsia" w:hAnsiTheme="minorEastAsia"/>
          <w:color w:val="auto"/>
          <w:sz w:val="24"/>
          <w:szCs w:val="24"/>
          <w:highlight w:val="none"/>
        </w:rPr>
      </w:pPr>
      <w:bookmarkStart w:id="56" w:name="_Toc14516"/>
      <w:bookmarkStart w:id="57" w:name="_Toc11327"/>
      <w:bookmarkStart w:id="58" w:name="_Toc1292"/>
      <w:bookmarkStart w:id="59" w:name="_Toc65660338"/>
      <w:bookmarkStart w:id="60" w:name="_Toc102227313"/>
      <w:r>
        <w:rPr>
          <w:rFonts w:hint="eastAsia" w:asciiTheme="minorEastAsia" w:hAnsiTheme="minorEastAsia"/>
          <w:color w:val="auto"/>
          <w:sz w:val="24"/>
          <w:szCs w:val="24"/>
          <w:highlight w:val="none"/>
        </w:rPr>
        <w:t xml:space="preserve">（一）采购人：重庆东鸿城市运营管理有限责任公司  </w:t>
      </w:r>
    </w:p>
    <w:p w14:paraId="4882A09D">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联系人：张老师   联系电话：15923737588</w:t>
      </w:r>
    </w:p>
    <w:p w14:paraId="76592372">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（二）采购代理机构：重庆渝东勘测设计研究院有限公司</w:t>
      </w:r>
    </w:p>
    <w:p w14:paraId="73D61B8E">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联系人：朱老师    联系电话：15215147947</w:t>
      </w:r>
    </w:p>
    <w:p w14:paraId="3EC47834">
      <w:pPr>
        <w:spacing w:line="400" w:lineRule="exact"/>
        <w:ind w:firstLine="480" w:firstLineChars="200"/>
        <w:rPr>
          <w:rFonts w:cs="Times New Roman" w:asciiTheme="minorEastAsia" w:hAnsiTheme="minorEastAsia"/>
          <w:color w:val="auto"/>
          <w:sz w:val="24"/>
          <w:szCs w:val="24"/>
          <w:highlight w:val="none"/>
        </w:rPr>
      </w:pPr>
      <w:r>
        <w:rPr>
          <w:rFonts w:hint="eastAsia" w:asciiTheme="minorEastAsia" w:hAnsiTheme="minorEastAsia"/>
          <w:color w:val="auto"/>
          <w:sz w:val="24"/>
          <w:szCs w:val="24"/>
          <w:highlight w:val="none"/>
        </w:rPr>
        <w:t>地址：重庆市垫江县桂阳街道桂西大道南二段2号财富大厦14楼</w:t>
      </w:r>
    </w:p>
    <w:p w14:paraId="79FBFC75">
      <w:pPr>
        <w:pStyle w:val="2"/>
        <w:ind w:left="1260"/>
        <w:rPr>
          <w:color w:val="auto"/>
          <w:highlight w:val="none"/>
        </w:rPr>
      </w:pPr>
    </w:p>
    <w:p w14:paraId="2281F3F0">
      <w:pPr>
        <w:rPr>
          <w:color w:val="auto"/>
          <w:highlight w:val="none"/>
        </w:rPr>
      </w:pPr>
    </w:p>
    <w:p w14:paraId="4F951A4B">
      <w:pPr>
        <w:pStyle w:val="2"/>
        <w:ind w:left="1260"/>
        <w:rPr>
          <w:color w:val="auto"/>
          <w:highlight w:val="none"/>
        </w:rPr>
      </w:pPr>
    </w:p>
    <w:p w14:paraId="46644C3C">
      <w:pPr>
        <w:rPr>
          <w:color w:val="auto"/>
          <w:highlight w:val="none"/>
        </w:rPr>
      </w:pPr>
    </w:p>
    <w:p w14:paraId="7F5E037C">
      <w:pPr>
        <w:pStyle w:val="2"/>
        <w:ind w:left="1260"/>
        <w:rPr>
          <w:rFonts w:hint="eastAsia"/>
          <w:color w:val="auto"/>
          <w:highlight w:val="none"/>
        </w:rPr>
      </w:pPr>
    </w:p>
    <w:p w14:paraId="10F6051F">
      <w:pPr>
        <w:pStyle w:val="4"/>
        <w:keepNext/>
        <w:keepLines/>
        <w:pageBreakBefore/>
        <w:widowControl w:val="0"/>
        <w:numPr>
          <w:ilvl w:val="0"/>
          <w:numId w:val="2"/>
        </w:numPr>
        <w:kinsoku/>
        <w:wordWrap/>
        <w:overflowPunct/>
        <w:topLinePunct w:val="0"/>
        <w:autoSpaceDE/>
        <w:autoSpaceDN/>
        <w:bidi w:val="0"/>
        <w:adjustRightInd w:val="0"/>
        <w:snapToGrid w:val="0"/>
        <w:spacing w:after="0"/>
        <w:jc w:val="center"/>
        <w:textAlignment w:val="auto"/>
        <w:rPr>
          <w:rFonts w:hint="eastAsia" w:asciiTheme="minorEastAsia" w:hAnsiTheme="minorEastAsia"/>
          <w:color w:val="auto"/>
          <w:sz w:val="36"/>
          <w:szCs w:val="30"/>
          <w:highlight w:val="none"/>
        </w:rPr>
      </w:pPr>
      <w:bookmarkStart w:id="61" w:name="_Toc24656"/>
      <w:r>
        <w:rPr>
          <w:rFonts w:hint="eastAsia" w:asciiTheme="minorEastAsia" w:hAnsiTheme="minorEastAsia"/>
          <w:color w:val="auto"/>
          <w:sz w:val="36"/>
          <w:szCs w:val="30"/>
          <w:highlight w:val="none"/>
        </w:rPr>
        <w:t>询价项目技术（质量）需求</w:t>
      </w:r>
      <w:bookmarkEnd w:id="56"/>
      <w:bookmarkEnd w:id="57"/>
      <w:bookmarkEnd w:id="58"/>
      <w:bookmarkEnd w:id="59"/>
      <w:bookmarkEnd w:id="61"/>
    </w:p>
    <w:p w14:paraId="7E52107C">
      <w:pPr>
        <w:numPr>
          <w:ilvl w:val="0"/>
          <w:numId w:val="3"/>
        </w:numPr>
        <w:snapToGrid w:val="0"/>
        <w:spacing w:line="400" w:lineRule="exact"/>
        <w:ind w:left="-118" w:leftChars="0" w:firstLine="480" w:firstLineChars="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废弃食用油脂收运车辆参数及性能要求</w:t>
      </w:r>
    </w:p>
    <w:tbl>
      <w:tblPr>
        <w:tblStyle w:val="21"/>
        <w:tblW w:w="9836" w:type="dxa"/>
        <w:tblInd w:w="0" w:type="dxa"/>
        <w:tblLayout w:type="autofit"/>
        <w:tblCellMar>
          <w:top w:w="0" w:type="dxa"/>
          <w:left w:w="108" w:type="dxa"/>
          <w:bottom w:w="0" w:type="dxa"/>
          <w:right w:w="108" w:type="dxa"/>
        </w:tblCellMar>
      </w:tblPr>
      <w:tblGrid>
        <w:gridCol w:w="777"/>
        <w:gridCol w:w="3129"/>
        <w:gridCol w:w="4826"/>
        <w:gridCol w:w="1104"/>
      </w:tblGrid>
      <w:tr w14:paraId="45926F6A">
        <w:tblPrEx>
          <w:tblCellMar>
            <w:top w:w="0" w:type="dxa"/>
            <w:left w:w="108" w:type="dxa"/>
            <w:bottom w:w="0" w:type="dxa"/>
            <w:right w:w="108" w:type="dxa"/>
          </w:tblCellMar>
        </w:tblPrEx>
        <w:trPr>
          <w:trHeight w:val="439" w:hRule="atLeast"/>
        </w:trPr>
        <w:tc>
          <w:tcPr>
            <w:tcW w:w="777" w:type="dxa"/>
            <w:tcBorders>
              <w:top w:val="single" w:color="000000" w:sz="4" w:space="0"/>
              <w:left w:val="single" w:color="auto" w:sz="4" w:space="0"/>
              <w:bottom w:val="single" w:color="auto" w:sz="4" w:space="0"/>
              <w:right w:val="single" w:color="auto" w:sz="4" w:space="0"/>
            </w:tcBorders>
            <w:shd w:val="clear" w:color="auto" w:fill="auto"/>
            <w:noWrap/>
            <w:vAlign w:val="center"/>
          </w:tcPr>
          <w:p w14:paraId="05614458">
            <w:pPr>
              <w:widowControl/>
              <w:spacing w:after="0" w:line="240" w:lineRule="auto"/>
              <w:jc w:val="center"/>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3129" w:type="dxa"/>
            <w:tcBorders>
              <w:top w:val="single" w:color="000000" w:sz="4" w:space="0"/>
              <w:left w:val="nil"/>
              <w:bottom w:val="single" w:color="auto" w:sz="4" w:space="0"/>
              <w:right w:val="single" w:color="auto" w:sz="4" w:space="0"/>
            </w:tcBorders>
            <w:shd w:val="clear" w:color="auto" w:fill="auto"/>
            <w:noWrap/>
            <w:vAlign w:val="center"/>
          </w:tcPr>
          <w:p w14:paraId="32A3D233">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内容</w:t>
            </w:r>
          </w:p>
        </w:tc>
        <w:tc>
          <w:tcPr>
            <w:tcW w:w="4826" w:type="dxa"/>
            <w:tcBorders>
              <w:top w:val="single" w:color="000000" w:sz="4" w:space="0"/>
              <w:left w:val="nil"/>
              <w:bottom w:val="single" w:color="auto" w:sz="4" w:space="0"/>
              <w:right w:val="single" w:color="auto" w:sz="4" w:space="0"/>
            </w:tcBorders>
            <w:shd w:val="clear" w:color="auto" w:fill="auto"/>
            <w:noWrap/>
            <w:vAlign w:val="center"/>
          </w:tcPr>
          <w:p w14:paraId="0B113ED0">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参数</w:t>
            </w:r>
          </w:p>
        </w:tc>
        <w:tc>
          <w:tcPr>
            <w:tcW w:w="1104" w:type="dxa"/>
            <w:tcBorders>
              <w:top w:val="single" w:color="000000" w:sz="4" w:space="0"/>
              <w:left w:val="nil"/>
              <w:bottom w:val="single" w:color="auto" w:sz="4" w:space="0"/>
              <w:right w:val="single" w:color="000000" w:sz="4" w:space="0"/>
            </w:tcBorders>
            <w:shd w:val="clear" w:color="auto" w:fill="auto"/>
            <w:noWrap/>
            <w:vAlign w:val="center"/>
          </w:tcPr>
          <w:p w14:paraId="0B3E8E6F">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14:paraId="32DDEABD">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2A201E9C">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3129" w:type="dxa"/>
            <w:tcBorders>
              <w:top w:val="nil"/>
              <w:left w:val="nil"/>
              <w:bottom w:val="single" w:color="auto" w:sz="4" w:space="0"/>
              <w:right w:val="single" w:color="auto" w:sz="4" w:space="0"/>
            </w:tcBorders>
            <w:shd w:val="clear" w:color="auto" w:fill="auto"/>
            <w:noWrap/>
            <w:vAlign w:val="center"/>
          </w:tcPr>
          <w:p w14:paraId="2C6D8C49">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底    盘</w:t>
            </w:r>
          </w:p>
        </w:tc>
        <w:tc>
          <w:tcPr>
            <w:tcW w:w="4826" w:type="dxa"/>
            <w:tcBorders>
              <w:top w:val="nil"/>
              <w:left w:val="nil"/>
              <w:bottom w:val="nil"/>
              <w:right w:val="nil"/>
            </w:tcBorders>
            <w:shd w:val="clear" w:color="auto" w:fill="auto"/>
            <w:noWrap/>
            <w:vAlign w:val="center"/>
          </w:tcPr>
          <w:p w14:paraId="7F46CCF4">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国内知名汽车底盘</w:t>
            </w:r>
          </w:p>
        </w:tc>
        <w:tc>
          <w:tcPr>
            <w:tcW w:w="1104" w:type="dxa"/>
            <w:tcBorders>
              <w:top w:val="nil"/>
              <w:left w:val="single" w:color="auto" w:sz="4" w:space="0"/>
              <w:bottom w:val="single" w:color="auto" w:sz="4" w:space="0"/>
              <w:right w:val="single" w:color="000000" w:sz="4" w:space="0"/>
            </w:tcBorders>
            <w:shd w:val="clear" w:color="auto" w:fill="auto"/>
            <w:noWrap/>
            <w:vAlign w:val="center"/>
          </w:tcPr>
          <w:p w14:paraId="32CEC608">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0B0155D">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4A9E063F">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3129" w:type="dxa"/>
            <w:tcBorders>
              <w:top w:val="nil"/>
              <w:left w:val="nil"/>
              <w:bottom w:val="single" w:color="auto" w:sz="4" w:space="0"/>
              <w:right w:val="single" w:color="auto" w:sz="4" w:space="0"/>
            </w:tcBorders>
            <w:shd w:val="clear" w:color="auto" w:fill="auto"/>
            <w:noWrap/>
            <w:vAlign w:val="center"/>
          </w:tcPr>
          <w:p w14:paraId="0A5407CF">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排放标准</w:t>
            </w:r>
          </w:p>
        </w:tc>
        <w:tc>
          <w:tcPr>
            <w:tcW w:w="4826" w:type="dxa"/>
            <w:tcBorders>
              <w:top w:val="single" w:color="auto" w:sz="4" w:space="0"/>
              <w:left w:val="nil"/>
              <w:bottom w:val="single" w:color="auto" w:sz="4" w:space="0"/>
              <w:right w:val="single" w:color="auto" w:sz="4" w:space="0"/>
            </w:tcBorders>
            <w:shd w:val="clear" w:color="auto" w:fill="auto"/>
            <w:noWrap/>
            <w:vAlign w:val="center"/>
          </w:tcPr>
          <w:p w14:paraId="49CA7B1E">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国VI及以上排放</w:t>
            </w:r>
          </w:p>
        </w:tc>
        <w:tc>
          <w:tcPr>
            <w:tcW w:w="1104" w:type="dxa"/>
            <w:tcBorders>
              <w:top w:val="nil"/>
              <w:left w:val="nil"/>
              <w:bottom w:val="single" w:color="auto" w:sz="4" w:space="0"/>
              <w:right w:val="single" w:color="000000" w:sz="4" w:space="0"/>
            </w:tcBorders>
            <w:shd w:val="clear" w:color="auto" w:fill="auto"/>
            <w:noWrap/>
            <w:vAlign w:val="center"/>
          </w:tcPr>
          <w:p w14:paraId="2110CD1B">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DB2AF9B">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51DC3E3E">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3129" w:type="dxa"/>
            <w:tcBorders>
              <w:top w:val="nil"/>
              <w:left w:val="nil"/>
              <w:bottom w:val="single" w:color="auto" w:sz="4" w:space="0"/>
              <w:right w:val="single" w:color="auto" w:sz="4" w:space="0"/>
            </w:tcBorders>
            <w:shd w:val="clear" w:color="auto" w:fill="auto"/>
            <w:noWrap/>
            <w:vAlign w:val="center"/>
          </w:tcPr>
          <w:p w14:paraId="15DC9B8A">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燃油类型</w:t>
            </w:r>
          </w:p>
        </w:tc>
        <w:tc>
          <w:tcPr>
            <w:tcW w:w="4826" w:type="dxa"/>
            <w:tcBorders>
              <w:top w:val="nil"/>
              <w:left w:val="nil"/>
              <w:bottom w:val="single" w:color="auto" w:sz="4" w:space="0"/>
              <w:right w:val="single" w:color="auto" w:sz="4" w:space="0"/>
            </w:tcBorders>
            <w:shd w:val="clear" w:color="auto" w:fill="auto"/>
            <w:noWrap/>
            <w:vAlign w:val="center"/>
          </w:tcPr>
          <w:p w14:paraId="334ADE73">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柴油</w:t>
            </w:r>
          </w:p>
        </w:tc>
        <w:tc>
          <w:tcPr>
            <w:tcW w:w="1104" w:type="dxa"/>
            <w:tcBorders>
              <w:top w:val="nil"/>
              <w:left w:val="nil"/>
              <w:bottom w:val="single" w:color="auto" w:sz="4" w:space="0"/>
              <w:right w:val="single" w:color="000000" w:sz="4" w:space="0"/>
            </w:tcBorders>
            <w:shd w:val="clear" w:color="auto" w:fill="auto"/>
            <w:noWrap/>
            <w:vAlign w:val="center"/>
          </w:tcPr>
          <w:p w14:paraId="0AADD952">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D81599C">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4EDC09D2">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3129" w:type="dxa"/>
            <w:tcBorders>
              <w:top w:val="nil"/>
              <w:left w:val="nil"/>
              <w:bottom w:val="single" w:color="auto" w:sz="4" w:space="0"/>
              <w:right w:val="single" w:color="auto" w:sz="4" w:space="0"/>
            </w:tcBorders>
            <w:shd w:val="clear" w:color="auto" w:fill="auto"/>
            <w:noWrap/>
            <w:vAlign w:val="center"/>
          </w:tcPr>
          <w:p w14:paraId="2471F201">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发动机功率(kw)</w:t>
            </w:r>
          </w:p>
        </w:tc>
        <w:tc>
          <w:tcPr>
            <w:tcW w:w="4826" w:type="dxa"/>
            <w:tcBorders>
              <w:top w:val="nil"/>
              <w:left w:val="nil"/>
              <w:bottom w:val="single" w:color="auto" w:sz="4" w:space="0"/>
              <w:right w:val="single" w:color="auto" w:sz="4" w:space="0"/>
            </w:tcBorders>
            <w:shd w:val="clear" w:color="auto" w:fill="auto"/>
            <w:noWrap/>
            <w:vAlign w:val="center"/>
          </w:tcPr>
          <w:p w14:paraId="79B3D939">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≥80</w:t>
            </w:r>
          </w:p>
        </w:tc>
        <w:tc>
          <w:tcPr>
            <w:tcW w:w="1104" w:type="dxa"/>
            <w:tcBorders>
              <w:top w:val="nil"/>
              <w:left w:val="nil"/>
              <w:bottom w:val="single" w:color="auto" w:sz="4" w:space="0"/>
              <w:right w:val="single" w:color="000000" w:sz="4" w:space="0"/>
            </w:tcBorders>
            <w:shd w:val="clear" w:color="auto" w:fill="auto"/>
            <w:noWrap/>
            <w:vAlign w:val="center"/>
          </w:tcPr>
          <w:p w14:paraId="6FDA564A">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77E2B75">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6F330BA6">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3129" w:type="dxa"/>
            <w:tcBorders>
              <w:top w:val="nil"/>
              <w:left w:val="nil"/>
              <w:bottom w:val="single" w:color="auto" w:sz="4" w:space="0"/>
              <w:right w:val="single" w:color="auto" w:sz="4" w:space="0"/>
            </w:tcBorders>
            <w:shd w:val="clear" w:color="auto" w:fill="auto"/>
            <w:noWrap/>
            <w:vAlign w:val="center"/>
          </w:tcPr>
          <w:p w14:paraId="367D047B">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整车外形尺寸长(mm)</w:t>
            </w:r>
          </w:p>
        </w:tc>
        <w:tc>
          <w:tcPr>
            <w:tcW w:w="4826" w:type="dxa"/>
            <w:tcBorders>
              <w:top w:val="nil"/>
              <w:left w:val="nil"/>
              <w:bottom w:val="single" w:color="auto" w:sz="4" w:space="0"/>
              <w:right w:val="single" w:color="auto" w:sz="4" w:space="0"/>
            </w:tcBorders>
            <w:shd w:val="clear" w:color="auto" w:fill="auto"/>
            <w:noWrap/>
            <w:vAlign w:val="center"/>
          </w:tcPr>
          <w:p w14:paraId="7BE76ECB">
            <w:pPr>
              <w:widowControl/>
              <w:spacing w:after="0" w:line="240" w:lineRule="auto"/>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≥6300</w:t>
            </w:r>
          </w:p>
        </w:tc>
        <w:tc>
          <w:tcPr>
            <w:tcW w:w="1104" w:type="dxa"/>
            <w:tcBorders>
              <w:top w:val="nil"/>
              <w:left w:val="nil"/>
              <w:bottom w:val="single" w:color="auto" w:sz="4" w:space="0"/>
              <w:right w:val="single" w:color="000000" w:sz="4" w:space="0"/>
            </w:tcBorders>
            <w:shd w:val="clear" w:color="auto" w:fill="auto"/>
            <w:noWrap/>
            <w:vAlign w:val="center"/>
          </w:tcPr>
          <w:p w14:paraId="3F98BF7A">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6EBD64B">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5489E8F0">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3129" w:type="dxa"/>
            <w:tcBorders>
              <w:top w:val="nil"/>
              <w:left w:val="nil"/>
              <w:bottom w:val="single" w:color="auto" w:sz="4" w:space="0"/>
              <w:right w:val="single" w:color="auto" w:sz="4" w:space="0"/>
            </w:tcBorders>
            <w:shd w:val="clear" w:color="auto" w:fill="auto"/>
            <w:noWrap/>
            <w:vAlign w:val="center"/>
          </w:tcPr>
          <w:p w14:paraId="320E3674">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整车外形尺寸宽(mm)</w:t>
            </w:r>
          </w:p>
        </w:tc>
        <w:tc>
          <w:tcPr>
            <w:tcW w:w="4826" w:type="dxa"/>
            <w:tcBorders>
              <w:top w:val="nil"/>
              <w:left w:val="nil"/>
              <w:bottom w:val="single" w:color="auto" w:sz="4" w:space="0"/>
              <w:right w:val="single" w:color="auto" w:sz="4" w:space="0"/>
            </w:tcBorders>
            <w:shd w:val="clear" w:color="auto" w:fill="auto"/>
            <w:noWrap/>
            <w:vAlign w:val="center"/>
          </w:tcPr>
          <w:p w14:paraId="0A73415D">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≥2000</w:t>
            </w:r>
          </w:p>
        </w:tc>
        <w:tc>
          <w:tcPr>
            <w:tcW w:w="1104" w:type="dxa"/>
            <w:tcBorders>
              <w:top w:val="nil"/>
              <w:left w:val="nil"/>
              <w:bottom w:val="single" w:color="auto" w:sz="4" w:space="0"/>
              <w:right w:val="single" w:color="000000" w:sz="4" w:space="0"/>
            </w:tcBorders>
            <w:shd w:val="clear" w:color="auto" w:fill="auto"/>
            <w:noWrap/>
            <w:vAlign w:val="center"/>
          </w:tcPr>
          <w:p w14:paraId="2F2127E3">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58FD10B">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3C6773EB">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p>
        </w:tc>
        <w:tc>
          <w:tcPr>
            <w:tcW w:w="3129" w:type="dxa"/>
            <w:tcBorders>
              <w:top w:val="nil"/>
              <w:left w:val="nil"/>
              <w:bottom w:val="single" w:color="auto" w:sz="4" w:space="0"/>
              <w:right w:val="single" w:color="auto" w:sz="4" w:space="0"/>
            </w:tcBorders>
            <w:shd w:val="clear" w:color="auto" w:fill="auto"/>
            <w:noWrap/>
            <w:vAlign w:val="center"/>
          </w:tcPr>
          <w:p w14:paraId="46B6B557">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整车外形尺寸高(mm)</w:t>
            </w:r>
          </w:p>
        </w:tc>
        <w:tc>
          <w:tcPr>
            <w:tcW w:w="4826" w:type="dxa"/>
            <w:tcBorders>
              <w:top w:val="nil"/>
              <w:left w:val="nil"/>
              <w:bottom w:val="single" w:color="auto" w:sz="4" w:space="0"/>
              <w:right w:val="single" w:color="auto" w:sz="4" w:space="0"/>
            </w:tcBorders>
            <w:shd w:val="clear" w:color="auto" w:fill="auto"/>
            <w:noWrap/>
            <w:vAlign w:val="center"/>
          </w:tcPr>
          <w:p w14:paraId="5E186760">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≥2400</w:t>
            </w:r>
          </w:p>
        </w:tc>
        <w:tc>
          <w:tcPr>
            <w:tcW w:w="1104" w:type="dxa"/>
            <w:tcBorders>
              <w:top w:val="nil"/>
              <w:left w:val="nil"/>
              <w:bottom w:val="single" w:color="auto" w:sz="4" w:space="0"/>
              <w:right w:val="single" w:color="000000" w:sz="4" w:space="0"/>
            </w:tcBorders>
            <w:shd w:val="clear" w:color="auto" w:fill="auto"/>
            <w:noWrap/>
            <w:vAlign w:val="center"/>
          </w:tcPr>
          <w:p w14:paraId="7339DDF5">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47D1D2C">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224E5DA5">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p>
        </w:tc>
        <w:tc>
          <w:tcPr>
            <w:tcW w:w="3129" w:type="dxa"/>
            <w:tcBorders>
              <w:top w:val="nil"/>
              <w:left w:val="nil"/>
              <w:bottom w:val="single" w:color="auto" w:sz="4" w:space="0"/>
              <w:right w:val="single" w:color="auto" w:sz="4" w:space="0"/>
            </w:tcBorders>
            <w:shd w:val="clear" w:color="auto" w:fill="auto"/>
            <w:noWrap/>
            <w:vAlign w:val="center"/>
          </w:tcPr>
          <w:p w14:paraId="7C951F5A">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总质量(kg)</w:t>
            </w:r>
          </w:p>
        </w:tc>
        <w:tc>
          <w:tcPr>
            <w:tcW w:w="4826" w:type="dxa"/>
            <w:tcBorders>
              <w:top w:val="nil"/>
              <w:left w:val="nil"/>
              <w:bottom w:val="single" w:color="auto" w:sz="4" w:space="0"/>
              <w:right w:val="single" w:color="auto" w:sz="4" w:space="0"/>
            </w:tcBorders>
            <w:shd w:val="clear" w:color="auto" w:fill="auto"/>
            <w:noWrap/>
            <w:vAlign w:val="center"/>
          </w:tcPr>
          <w:p w14:paraId="66A2FA6F">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≥7360</w:t>
            </w:r>
          </w:p>
        </w:tc>
        <w:tc>
          <w:tcPr>
            <w:tcW w:w="1104" w:type="dxa"/>
            <w:tcBorders>
              <w:top w:val="nil"/>
              <w:left w:val="nil"/>
              <w:bottom w:val="single" w:color="auto" w:sz="4" w:space="0"/>
              <w:right w:val="single" w:color="000000" w:sz="4" w:space="0"/>
            </w:tcBorders>
            <w:shd w:val="clear" w:color="auto" w:fill="auto"/>
            <w:noWrap/>
            <w:vAlign w:val="center"/>
          </w:tcPr>
          <w:p w14:paraId="053B573A">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984DCC2">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19A8118E">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p>
        </w:tc>
        <w:tc>
          <w:tcPr>
            <w:tcW w:w="3129" w:type="dxa"/>
            <w:tcBorders>
              <w:top w:val="nil"/>
              <w:left w:val="nil"/>
              <w:bottom w:val="single" w:color="auto" w:sz="4" w:space="0"/>
              <w:right w:val="single" w:color="auto" w:sz="4" w:space="0"/>
            </w:tcBorders>
            <w:shd w:val="clear" w:color="auto" w:fill="auto"/>
            <w:noWrap/>
            <w:vAlign w:val="center"/>
          </w:tcPr>
          <w:p w14:paraId="6A6787C8">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额定载质量(kg)</w:t>
            </w:r>
          </w:p>
        </w:tc>
        <w:tc>
          <w:tcPr>
            <w:tcW w:w="4826" w:type="dxa"/>
            <w:tcBorders>
              <w:top w:val="nil"/>
              <w:left w:val="nil"/>
              <w:bottom w:val="single" w:color="auto" w:sz="4" w:space="0"/>
              <w:right w:val="single" w:color="auto" w:sz="4" w:space="0"/>
            </w:tcBorders>
            <w:shd w:val="clear" w:color="auto" w:fill="auto"/>
            <w:noWrap/>
            <w:vAlign w:val="center"/>
          </w:tcPr>
          <w:p w14:paraId="1E0F9C3A">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≥3600</w:t>
            </w:r>
          </w:p>
        </w:tc>
        <w:tc>
          <w:tcPr>
            <w:tcW w:w="1104" w:type="dxa"/>
            <w:tcBorders>
              <w:top w:val="nil"/>
              <w:left w:val="nil"/>
              <w:bottom w:val="single" w:color="auto" w:sz="4" w:space="0"/>
              <w:right w:val="single" w:color="000000" w:sz="4" w:space="0"/>
            </w:tcBorders>
            <w:shd w:val="clear" w:color="auto" w:fill="auto"/>
            <w:noWrap/>
            <w:vAlign w:val="center"/>
          </w:tcPr>
          <w:p w14:paraId="526C1C1B">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7062E2D">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08474F28">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p>
        </w:tc>
        <w:tc>
          <w:tcPr>
            <w:tcW w:w="3129" w:type="dxa"/>
            <w:tcBorders>
              <w:top w:val="nil"/>
              <w:left w:val="nil"/>
              <w:bottom w:val="single" w:color="auto" w:sz="4" w:space="0"/>
              <w:right w:val="single" w:color="auto" w:sz="4" w:space="0"/>
            </w:tcBorders>
            <w:shd w:val="clear" w:color="auto" w:fill="auto"/>
            <w:noWrap/>
            <w:vAlign w:val="center"/>
          </w:tcPr>
          <w:p w14:paraId="4AF0CE94">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整备质量(kg)</w:t>
            </w:r>
          </w:p>
        </w:tc>
        <w:tc>
          <w:tcPr>
            <w:tcW w:w="4826" w:type="dxa"/>
            <w:tcBorders>
              <w:top w:val="nil"/>
              <w:left w:val="nil"/>
              <w:bottom w:val="single" w:color="auto" w:sz="4" w:space="0"/>
              <w:right w:val="single" w:color="auto" w:sz="4" w:space="0"/>
            </w:tcBorders>
            <w:shd w:val="clear" w:color="auto" w:fill="auto"/>
            <w:noWrap/>
            <w:vAlign w:val="center"/>
          </w:tcPr>
          <w:p w14:paraId="1F8159E9">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≥3400</w:t>
            </w:r>
          </w:p>
        </w:tc>
        <w:tc>
          <w:tcPr>
            <w:tcW w:w="1104" w:type="dxa"/>
            <w:tcBorders>
              <w:top w:val="nil"/>
              <w:left w:val="nil"/>
              <w:bottom w:val="single" w:color="auto" w:sz="4" w:space="0"/>
              <w:right w:val="single" w:color="000000" w:sz="4" w:space="0"/>
            </w:tcBorders>
            <w:shd w:val="clear" w:color="auto" w:fill="auto"/>
            <w:noWrap/>
            <w:vAlign w:val="center"/>
          </w:tcPr>
          <w:p w14:paraId="6DF29BD1">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0C001E5">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1A5698E5">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p>
        </w:tc>
        <w:tc>
          <w:tcPr>
            <w:tcW w:w="3129" w:type="dxa"/>
            <w:tcBorders>
              <w:top w:val="nil"/>
              <w:left w:val="nil"/>
              <w:bottom w:val="single" w:color="auto" w:sz="4" w:space="0"/>
              <w:right w:val="single" w:color="auto" w:sz="4" w:space="0"/>
            </w:tcBorders>
            <w:shd w:val="clear" w:color="auto" w:fill="auto"/>
            <w:noWrap/>
            <w:vAlign w:val="center"/>
          </w:tcPr>
          <w:p w14:paraId="6F55CB9D">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轴距(mm)</w:t>
            </w:r>
          </w:p>
        </w:tc>
        <w:tc>
          <w:tcPr>
            <w:tcW w:w="4826" w:type="dxa"/>
            <w:tcBorders>
              <w:top w:val="nil"/>
              <w:left w:val="nil"/>
              <w:bottom w:val="single" w:color="auto" w:sz="4" w:space="0"/>
              <w:right w:val="single" w:color="auto" w:sz="4" w:space="0"/>
            </w:tcBorders>
            <w:shd w:val="clear" w:color="auto" w:fill="auto"/>
            <w:noWrap/>
            <w:vAlign w:val="center"/>
          </w:tcPr>
          <w:p w14:paraId="40FB48D6">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≥3360</w:t>
            </w:r>
          </w:p>
        </w:tc>
        <w:tc>
          <w:tcPr>
            <w:tcW w:w="1104" w:type="dxa"/>
            <w:tcBorders>
              <w:top w:val="nil"/>
              <w:left w:val="nil"/>
              <w:bottom w:val="single" w:color="auto" w:sz="4" w:space="0"/>
              <w:right w:val="single" w:color="000000" w:sz="4" w:space="0"/>
            </w:tcBorders>
            <w:shd w:val="clear" w:color="auto" w:fill="auto"/>
            <w:noWrap/>
            <w:vAlign w:val="center"/>
          </w:tcPr>
          <w:p w14:paraId="6A4C7806">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27AA4AE">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117154EF">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p>
        </w:tc>
        <w:tc>
          <w:tcPr>
            <w:tcW w:w="3129" w:type="dxa"/>
            <w:tcBorders>
              <w:top w:val="nil"/>
              <w:left w:val="nil"/>
              <w:bottom w:val="single" w:color="auto" w:sz="4" w:space="0"/>
              <w:right w:val="single" w:color="auto" w:sz="4" w:space="0"/>
            </w:tcBorders>
            <w:shd w:val="clear" w:color="auto" w:fill="auto"/>
            <w:noWrap/>
            <w:vAlign w:val="center"/>
          </w:tcPr>
          <w:p w14:paraId="34D711A5">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前悬/后悬(mm)</w:t>
            </w:r>
          </w:p>
        </w:tc>
        <w:tc>
          <w:tcPr>
            <w:tcW w:w="4826" w:type="dxa"/>
            <w:tcBorders>
              <w:top w:val="nil"/>
              <w:left w:val="nil"/>
              <w:bottom w:val="single" w:color="auto" w:sz="4" w:space="0"/>
              <w:right w:val="single" w:color="auto" w:sz="4" w:space="0"/>
            </w:tcBorders>
            <w:shd w:val="clear" w:color="auto" w:fill="auto"/>
            <w:noWrap/>
            <w:vAlign w:val="center"/>
          </w:tcPr>
          <w:p w14:paraId="677F5C2F">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≥1130/2000</w:t>
            </w:r>
          </w:p>
        </w:tc>
        <w:tc>
          <w:tcPr>
            <w:tcW w:w="1104" w:type="dxa"/>
            <w:tcBorders>
              <w:top w:val="nil"/>
              <w:left w:val="nil"/>
              <w:bottom w:val="single" w:color="auto" w:sz="4" w:space="0"/>
              <w:right w:val="single" w:color="000000" w:sz="4" w:space="0"/>
            </w:tcBorders>
            <w:shd w:val="clear" w:color="auto" w:fill="auto"/>
            <w:noWrap/>
            <w:vAlign w:val="center"/>
          </w:tcPr>
          <w:p w14:paraId="3B573090">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234BB08">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33C9E3BE">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p>
        </w:tc>
        <w:tc>
          <w:tcPr>
            <w:tcW w:w="3129" w:type="dxa"/>
            <w:tcBorders>
              <w:top w:val="nil"/>
              <w:left w:val="nil"/>
              <w:bottom w:val="single" w:color="auto" w:sz="4" w:space="0"/>
              <w:right w:val="single" w:color="auto" w:sz="4" w:space="0"/>
            </w:tcBorders>
            <w:shd w:val="clear" w:color="auto" w:fill="auto"/>
            <w:noWrap/>
            <w:vAlign w:val="center"/>
          </w:tcPr>
          <w:p w14:paraId="16B0993B">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接近角/离去角（°）</w:t>
            </w:r>
          </w:p>
        </w:tc>
        <w:tc>
          <w:tcPr>
            <w:tcW w:w="4826" w:type="dxa"/>
            <w:tcBorders>
              <w:top w:val="nil"/>
              <w:left w:val="nil"/>
              <w:bottom w:val="single" w:color="auto" w:sz="4" w:space="0"/>
              <w:right w:val="single" w:color="auto" w:sz="4" w:space="0"/>
            </w:tcBorders>
            <w:shd w:val="clear" w:color="auto" w:fill="auto"/>
            <w:noWrap/>
            <w:vAlign w:val="center"/>
          </w:tcPr>
          <w:p w14:paraId="53D63633">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≥16/10</w:t>
            </w:r>
          </w:p>
        </w:tc>
        <w:tc>
          <w:tcPr>
            <w:tcW w:w="1104" w:type="dxa"/>
            <w:tcBorders>
              <w:top w:val="nil"/>
              <w:left w:val="nil"/>
              <w:bottom w:val="single" w:color="auto" w:sz="4" w:space="0"/>
              <w:right w:val="single" w:color="000000" w:sz="4" w:space="0"/>
            </w:tcBorders>
            <w:shd w:val="clear" w:color="auto" w:fill="auto"/>
            <w:noWrap/>
            <w:vAlign w:val="center"/>
          </w:tcPr>
          <w:p w14:paraId="3C30D379">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C4C6067">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13EBAA07">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3129" w:type="dxa"/>
            <w:tcBorders>
              <w:top w:val="nil"/>
              <w:left w:val="nil"/>
              <w:bottom w:val="single" w:color="auto" w:sz="4" w:space="0"/>
              <w:right w:val="single" w:color="auto" w:sz="4" w:space="0"/>
            </w:tcBorders>
            <w:shd w:val="clear" w:color="auto" w:fill="auto"/>
            <w:noWrap/>
            <w:vAlign w:val="center"/>
          </w:tcPr>
          <w:p w14:paraId="5A371F64">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垃圾桶装数量</w:t>
            </w:r>
          </w:p>
        </w:tc>
        <w:tc>
          <w:tcPr>
            <w:tcW w:w="4826" w:type="dxa"/>
            <w:tcBorders>
              <w:top w:val="nil"/>
              <w:left w:val="nil"/>
              <w:bottom w:val="single" w:color="auto" w:sz="4" w:space="0"/>
              <w:right w:val="single" w:color="auto" w:sz="4" w:space="0"/>
            </w:tcBorders>
            <w:shd w:val="clear" w:color="auto" w:fill="auto"/>
            <w:noWrap/>
            <w:vAlign w:val="center"/>
          </w:tcPr>
          <w:p w14:paraId="7DE8B6B0">
            <w:pPr>
              <w:widowControl/>
              <w:spacing w:after="0" w:line="240" w:lineRule="auto"/>
              <w:jc w:val="center"/>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240L垃圾桶≥</w:t>
            </w:r>
            <w:r>
              <w:rPr>
                <w:rFonts w:hint="eastAsia" w:ascii="宋体" w:hAnsi="宋体" w:eastAsia="宋体" w:cs="宋体"/>
                <w:color w:val="auto"/>
                <w:kern w:val="0"/>
                <w:sz w:val="24"/>
                <w:szCs w:val="24"/>
                <w:highlight w:val="none"/>
                <w:lang w:val="en-US" w:eastAsia="zh-CN"/>
              </w:rPr>
              <w:t>21个</w:t>
            </w:r>
          </w:p>
        </w:tc>
        <w:tc>
          <w:tcPr>
            <w:tcW w:w="1104" w:type="dxa"/>
            <w:tcBorders>
              <w:top w:val="nil"/>
              <w:left w:val="nil"/>
              <w:bottom w:val="single" w:color="auto" w:sz="4" w:space="0"/>
              <w:right w:val="single" w:color="000000" w:sz="4" w:space="0"/>
            </w:tcBorders>
            <w:shd w:val="clear" w:color="auto" w:fill="auto"/>
            <w:noWrap/>
            <w:vAlign w:val="center"/>
          </w:tcPr>
          <w:p w14:paraId="7FAF3897">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06152D0">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3672E0D4">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3129" w:type="dxa"/>
            <w:tcBorders>
              <w:top w:val="nil"/>
              <w:left w:val="nil"/>
              <w:bottom w:val="single" w:color="auto" w:sz="4" w:space="0"/>
              <w:right w:val="single" w:color="auto" w:sz="4" w:space="0"/>
            </w:tcBorders>
            <w:shd w:val="clear" w:color="auto" w:fill="auto"/>
            <w:noWrap/>
            <w:vAlign w:val="center"/>
          </w:tcPr>
          <w:p w14:paraId="23855A85">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尾板额定载重量（Kg）</w:t>
            </w:r>
          </w:p>
        </w:tc>
        <w:tc>
          <w:tcPr>
            <w:tcW w:w="4826" w:type="dxa"/>
            <w:tcBorders>
              <w:top w:val="nil"/>
              <w:left w:val="nil"/>
              <w:bottom w:val="single" w:color="auto" w:sz="4" w:space="0"/>
              <w:right w:val="single" w:color="auto" w:sz="4" w:space="0"/>
            </w:tcBorders>
            <w:shd w:val="clear" w:color="auto" w:fill="auto"/>
            <w:noWrap/>
            <w:vAlign w:val="center"/>
          </w:tcPr>
          <w:p w14:paraId="21379505">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≥1000</w:t>
            </w:r>
          </w:p>
        </w:tc>
        <w:tc>
          <w:tcPr>
            <w:tcW w:w="1104" w:type="dxa"/>
            <w:tcBorders>
              <w:top w:val="nil"/>
              <w:left w:val="nil"/>
              <w:bottom w:val="single" w:color="auto" w:sz="4" w:space="0"/>
              <w:right w:val="single" w:color="000000" w:sz="4" w:space="0"/>
            </w:tcBorders>
            <w:shd w:val="clear" w:color="auto" w:fill="auto"/>
            <w:noWrap/>
            <w:vAlign w:val="center"/>
          </w:tcPr>
          <w:p w14:paraId="5AA519E4">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34835BE">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45985067">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3129" w:type="dxa"/>
            <w:tcBorders>
              <w:top w:val="nil"/>
              <w:left w:val="nil"/>
              <w:bottom w:val="single" w:color="auto" w:sz="4" w:space="0"/>
              <w:right w:val="single" w:color="auto" w:sz="4" w:space="0"/>
            </w:tcBorders>
            <w:shd w:val="clear" w:color="auto" w:fill="auto"/>
            <w:noWrap/>
            <w:vAlign w:val="center"/>
          </w:tcPr>
          <w:p w14:paraId="4585EEA5">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最大举升高度</w:t>
            </w:r>
          </w:p>
        </w:tc>
        <w:tc>
          <w:tcPr>
            <w:tcW w:w="4826" w:type="dxa"/>
            <w:tcBorders>
              <w:top w:val="nil"/>
              <w:left w:val="nil"/>
              <w:bottom w:val="single" w:color="auto" w:sz="4" w:space="0"/>
              <w:right w:val="single" w:color="auto" w:sz="4" w:space="0"/>
            </w:tcBorders>
            <w:shd w:val="clear" w:color="auto" w:fill="auto"/>
            <w:noWrap/>
            <w:vAlign w:val="center"/>
          </w:tcPr>
          <w:p w14:paraId="67E89210">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与车厢底面平</w:t>
            </w:r>
          </w:p>
        </w:tc>
        <w:tc>
          <w:tcPr>
            <w:tcW w:w="1104" w:type="dxa"/>
            <w:tcBorders>
              <w:top w:val="nil"/>
              <w:left w:val="nil"/>
              <w:bottom w:val="single" w:color="auto" w:sz="4" w:space="0"/>
              <w:right w:val="single" w:color="000000" w:sz="4" w:space="0"/>
            </w:tcBorders>
            <w:shd w:val="clear" w:color="auto" w:fill="auto"/>
            <w:noWrap/>
            <w:vAlign w:val="center"/>
          </w:tcPr>
          <w:p w14:paraId="2F373BAD">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38D45D3">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46789428">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3129" w:type="dxa"/>
            <w:tcBorders>
              <w:top w:val="nil"/>
              <w:left w:val="nil"/>
              <w:bottom w:val="single" w:color="000000" w:sz="4" w:space="0"/>
              <w:right w:val="single" w:color="auto" w:sz="4" w:space="0"/>
            </w:tcBorders>
            <w:shd w:val="clear" w:color="auto" w:fill="auto"/>
            <w:noWrap/>
            <w:vAlign w:val="center"/>
          </w:tcPr>
          <w:p w14:paraId="7865B441">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车厢内配置监控系统</w:t>
            </w:r>
          </w:p>
        </w:tc>
        <w:tc>
          <w:tcPr>
            <w:tcW w:w="4826" w:type="dxa"/>
            <w:tcBorders>
              <w:top w:val="nil"/>
              <w:left w:val="nil"/>
              <w:bottom w:val="single" w:color="000000" w:sz="4" w:space="0"/>
              <w:right w:val="single" w:color="auto" w:sz="4" w:space="0"/>
            </w:tcBorders>
            <w:shd w:val="clear" w:color="auto" w:fill="auto"/>
            <w:noWrap/>
            <w:vAlign w:val="center"/>
          </w:tcPr>
          <w:p w14:paraId="5E9A541F">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1套（像素要求：1280x720或1920x1080）</w:t>
            </w:r>
          </w:p>
        </w:tc>
        <w:tc>
          <w:tcPr>
            <w:tcW w:w="1104" w:type="dxa"/>
            <w:tcBorders>
              <w:top w:val="nil"/>
              <w:left w:val="nil"/>
              <w:bottom w:val="single" w:color="000000" w:sz="4" w:space="0"/>
              <w:right w:val="single" w:color="000000" w:sz="4" w:space="0"/>
            </w:tcBorders>
            <w:shd w:val="clear" w:color="auto" w:fill="auto"/>
            <w:noWrap/>
            <w:vAlign w:val="center"/>
          </w:tcPr>
          <w:p w14:paraId="630BA135">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AEA689">
        <w:tblPrEx>
          <w:tblCellMar>
            <w:top w:w="0" w:type="dxa"/>
            <w:left w:w="108" w:type="dxa"/>
            <w:bottom w:w="0" w:type="dxa"/>
            <w:right w:w="108" w:type="dxa"/>
          </w:tblCellMar>
        </w:tblPrEx>
        <w:trPr>
          <w:trHeight w:val="439" w:hRule="atLeast"/>
        </w:trPr>
        <w:tc>
          <w:tcPr>
            <w:tcW w:w="777" w:type="dxa"/>
            <w:tcBorders>
              <w:top w:val="nil"/>
              <w:left w:val="single" w:color="auto" w:sz="4" w:space="0"/>
              <w:bottom w:val="single" w:color="auto" w:sz="4" w:space="0"/>
              <w:right w:val="single" w:color="auto" w:sz="4" w:space="0"/>
            </w:tcBorders>
            <w:shd w:val="clear" w:color="auto" w:fill="auto"/>
            <w:noWrap/>
            <w:vAlign w:val="center"/>
          </w:tcPr>
          <w:p w14:paraId="40E19CFC">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3129" w:type="dxa"/>
            <w:tcBorders>
              <w:top w:val="nil"/>
              <w:left w:val="nil"/>
              <w:bottom w:val="single" w:color="auto" w:sz="4" w:space="0"/>
              <w:right w:val="single" w:color="auto" w:sz="4" w:space="0"/>
            </w:tcBorders>
            <w:shd w:val="clear" w:color="auto" w:fill="auto"/>
            <w:noWrap/>
            <w:vAlign w:val="center"/>
          </w:tcPr>
          <w:p w14:paraId="5FD62953">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车身标示</w:t>
            </w:r>
          </w:p>
        </w:tc>
        <w:tc>
          <w:tcPr>
            <w:tcW w:w="4826" w:type="dxa"/>
            <w:tcBorders>
              <w:top w:val="nil"/>
              <w:left w:val="nil"/>
              <w:bottom w:val="single" w:color="auto" w:sz="4" w:space="0"/>
              <w:right w:val="single" w:color="auto" w:sz="4" w:space="0"/>
            </w:tcBorders>
            <w:shd w:val="clear" w:color="auto" w:fill="auto"/>
            <w:noWrap/>
            <w:vAlign w:val="center"/>
          </w:tcPr>
          <w:p w14:paraId="0B683725">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具体见附件</w:t>
            </w:r>
          </w:p>
        </w:tc>
        <w:tc>
          <w:tcPr>
            <w:tcW w:w="1104" w:type="dxa"/>
            <w:tcBorders>
              <w:top w:val="nil"/>
              <w:left w:val="nil"/>
              <w:bottom w:val="single" w:color="auto" w:sz="4" w:space="0"/>
              <w:right w:val="single" w:color="000000" w:sz="4" w:space="0"/>
            </w:tcBorders>
            <w:shd w:val="clear" w:color="auto" w:fill="auto"/>
            <w:noWrap/>
            <w:vAlign w:val="center"/>
          </w:tcPr>
          <w:p w14:paraId="205B30B1">
            <w:pPr>
              <w:widowControl/>
              <w:spacing w:after="0" w:line="24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9947E25">
        <w:tblPrEx>
          <w:tblCellMar>
            <w:top w:w="0" w:type="dxa"/>
            <w:left w:w="108" w:type="dxa"/>
            <w:bottom w:w="0" w:type="dxa"/>
            <w:right w:w="108" w:type="dxa"/>
          </w:tblCellMar>
        </w:tblPrEx>
        <w:trPr>
          <w:trHeight w:val="439" w:hRule="atLeast"/>
        </w:trPr>
        <w:tc>
          <w:tcPr>
            <w:tcW w:w="9836" w:type="dxa"/>
            <w:gridSpan w:val="4"/>
            <w:tcBorders>
              <w:top w:val="single" w:color="auto" w:sz="4" w:space="0"/>
              <w:left w:val="single" w:color="auto" w:sz="4" w:space="0"/>
              <w:bottom w:val="single" w:color="auto" w:sz="4" w:space="0"/>
              <w:right w:val="single" w:color="000000" w:sz="4" w:space="0"/>
            </w:tcBorders>
            <w:shd w:val="clear" w:color="auto" w:fill="auto"/>
            <w:noWrap/>
            <w:vAlign w:val="center"/>
          </w:tcPr>
          <w:p w14:paraId="753C3ADA">
            <w:pPr>
              <w:widowControl/>
              <w:spacing w:after="0" w:line="240" w:lineRule="auto"/>
              <w:jc w:val="center"/>
              <w:rPr>
                <w:rFonts w:hint="eastAsia" w:ascii="宋体" w:hAnsi="宋体" w:eastAsia="宋体" w:cs="宋体"/>
                <w:color w:val="auto"/>
                <w:kern w:val="0"/>
                <w:sz w:val="24"/>
                <w:szCs w:val="24"/>
                <w:highlight w:val="none"/>
              </w:rPr>
            </w:pPr>
            <w:r>
              <w:rPr>
                <w:rFonts w:hint="eastAsia" w:ascii="方正小标宋_GBK" w:hAnsi="宋体" w:eastAsia="方正小标宋_GBK" w:cs="宋体"/>
                <w:color w:val="auto"/>
                <w:kern w:val="0"/>
                <w:sz w:val="36"/>
                <w:szCs w:val="36"/>
                <w:highlight w:val="none"/>
              </w:rPr>
              <w:t>车辆性能</w:t>
            </w:r>
          </w:p>
        </w:tc>
      </w:tr>
      <w:tr w14:paraId="0A8D5F50">
        <w:tblPrEx>
          <w:tblCellMar>
            <w:top w:w="0" w:type="dxa"/>
            <w:left w:w="108" w:type="dxa"/>
            <w:bottom w:w="0" w:type="dxa"/>
            <w:right w:w="108" w:type="dxa"/>
          </w:tblCellMar>
        </w:tblPrEx>
        <w:trPr>
          <w:trHeight w:val="439" w:hRule="atLeast"/>
        </w:trPr>
        <w:tc>
          <w:tcPr>
            <w:tcW w:w="9836" w:type="dxa"/>
            <w:gridSpan w:val="4"/>
            <w:tcBorders>
              <w:top w:val="single" w:color="auto" w:sz="4" w:space="0"/>
              <w:left w:val="single" w:color="auto" w:sz="4" w:space="0"/>
              <w:bottom w:val="single" w:color="auto" w:sz="4" w:space="0"/>
              <w:right w:val="single" w:color="000000" w:sz="4" w:space="0"/>
            </w:tcBorders>
            <w:shd w:val="clear" w:color="auto" w:fill="auto"/>
            <w:noWrap/>
            <w:vAlign w:val="center"/>
          </w:tcPr>
          <w:p w14:paraId="58A83D3D">
            <w:pPr>
              <w:widowControl/>
              <w:spacing w:after="0" w:line="240" w:lineRule="auto"/>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1.用于城镇垃圾桶收集的专用车辆，采用全封闭的结构，垃圾桶被遮蔽在箱体内，外型美观大方，美化市容环境，干净整洁，操作简单方便。</w:t>
            </w:r>
          </w:p>
          <w:p w14:paraId="37088B84">
            <w:pPr>
              <w:widowControl/>
              <w:spacing w:after="0" w:line="240" w:lineRule="auto"/>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2.装卸垃圾桶时，箱体上盖可以升起到1800mm以上，方便人员进入进行垃圾桶装卸。</w:t>
            </w:r>
          </w:p>
          <w:p w14:paraId="04269506">
            <w:pPr>
              <w:widowControl/>
              <w:spacing w:after="0" w:line="240" w:lineRule="auto"/>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3.箱体地板与侧板采用二氧化碳气体保护焊，并且箱体内部全部打防漏密封胶，避免了收集垃圾时的污水滴漏。</w:t>
            </w:r>
          </w:p>
          <w:p w14:paraId="0C7112F1">
            <w:pPr>
              <w:widowControl/>
              <w:spacing w:after="0" w:line="240" w:lineRule="auto"/>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4.箱体向驾驶室方向倾斜，并在箱体前端设有污水箱及排污阀。</w:t>
            </w:r>
          </w:p>
          <w:p w14:paraId="496C4F94">
            <w:pPr>
              <w:widowControl/>
              <w:spacing w:after="0" w:line="24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5.箱体地板采用花纹钢板，防滑能力好。</w:t>
            </w:r>
          </w:p>
          <w:p w14:paraId="60720F60">
            <w:pPr>
              <w:widowControl/>
              <w:spacing w:after="0" w:line="24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6.在车辆的后部箱体右侧装有尾板控制盒，通过控制盒按钮即可实现尾板和上盖的升降，且尾板控制按钮装在可关闭的盒内，安全可靠。上装动作还可遥控操作。操作极为安全，方便，快捷。</w:t>
            </w:r>
          </w:p>
          <w:p w14:paraId="3E400F01">
            <w:pPr>
              <w:widowControl/>
              <w:spacing w:after="0" w:line="240" w:lineRule="auto"/>
              <w:rPr>
                <w:rFonts w:hint="default" w:eastAsia="宋体"/>
                <w:color w:val="auto"/>
                <w:highlight w:val="none"/>
                <w:lang w:val="en-US" w:eastAsia="zh-CN"/>
              </w:rPr>
            </w:pPr>
            <w:r>
              <w:rPr>
                <w:rFonts w:hint="eastAsia" w:ascii="宋体" w:hAnsi="宋体" w:eastAsia="宋体" w:cs="宋体"/>
                <w:color w:val="auto"/>
                <w:kern w:val="0"/>
                <w:sz w:val="24"/>
                <w:szCs w:val="24"/>
                <w:highlight w:val="none"/>
                <w:lang w:val="en-US" w:eastAsia="zh-CN"/>
              </w:rPr>
              <w:t>7.驾驶室除驾驶员外，须有2个副驾座位。</w:t>
            </w:r>
          </w:p>
        </w:tc>
      </w:tr>
    </w:tbl>
    <w:p w14:paraId="028A6C85">
      <w:pPr>
        <w:numPr>
          <w:ilvl w:val="0"/>
          <w:numId w:val="3"/>
        </w:numPr>
        <w:snapToGrid w:val="0"/>
        <w:spacing w:line="400" w:lineRule="exact"/>
        <w:ind w:left="-118" w:leftChars="0" w:firstLine="480" w:firstLineChars="0"/>
        <w:rPr>
          <w:rFonts w:hint="eastAsia" w:asciiTheme="minorEastAsia" w:hAnsiTheme="minorEastAsia"/>
          <w:color w:val="auto"/>
          <w:sz w:val="24"/>
          <w:szCs w:val="24"/>
          <w:highlight w:val="none"/>
          <w:lang w:val="en-US" w:eastAsia="zh-CN"/>
        </w:rPr>
      </w:pPr>
      <w:r>
        <w:rPr>
          <w:rFonts w:hint="eastAsia" w:asciiTheme="minorEastAsia" w:hAnsiTheme="minorEastAsia"/>
          <w:color w:val="auto"/>
          <w:sz w:val="24"/>
          <w:szCs w:val="24"/>
          <w:highlight w:val="none"/>
        </w:rPr>
        <w:t>供方提供的货物</w:t>
      </w:r>
      <w:r>
        <w:rPr>
          <w:rFonts w:hint="eastAsia" w:asciiTheme="minorEastAsia" w:hAnsiTheme="minorEastAsia"/>
          <w:color w:val="auto"/>
          <w:sz w:val="24"/>
          <w:szCs w:val="24"/>
          <w:highlight w:val="none"/>
          <w:lang w:eastAsia="zh-CN"/>
        </w:rPr>
        <w:t>（含加装设备）及所有配件</w:t>
      </w:r>
      <w:r>
        <w:rPr>
          <w:rFonts w:hint="eastAsia" w:asciiTheme="minorEastAsia" w:hAnsiTheme="minorEastAsia"/>
          <w:color w:val="auto"/>
          <w:sz w:val="24"/>
          <w:szCs w:val="24"/>
          <w:highlight w:val="none"/>
        </w:rPr>
        <w:t>必须是全新的货物。</w:t>
      </w:r>
    </w:p>
    <w:p w14:paraId="69D1AF0B">
      <w:pPr>
        <w:numPr>
          <w:ilvl w:val="0"/>
          <w:numId w:val="3"/>
        </w:numPr>
        <w:snapToGrid w:val="0"/>
        <w:spacing w:line="400" w:lineRule="exact"/>
        <w:ind w:left="-118" w:leftChars="0" w:firstLine="480" w:firstLineChars="0"/>
        <w:rPr>
          <w:rFonts w:hint="eastAsia" w:asciiTheme="minorEastAsia" w:hAnsiTheme="minorEastAsia"/>
          <w:color w:val="auto"/>
          <w:sz w:val="24"/>
          <w:szCs w:val="24"/>
          <w:highlight w:val="none"/>
          <w:lang w:val="en-US" w:eastAsia="zh-CN"/>
        </w:rPr>
      </w:pPr>
      <w:r>
        <w:rPr>
          <w:rFonts w:hint="eastAsia" w:asciiTheme="minorEastAsia" w:hAnsiTheme="minorEastAsia"/>
          <w:color w:val="auto"/>
          <w:sz w:val="24"/>
          <w:szCs w:val="24"/>
          <w:highlight w:val="none"/>
          <w:lang w:val="en-US" w:eastAsia="zh-CN"/>
        </w:rPr>
        <w:t>废弃食用油脂收运车辆标识要求按随本询价通知书发出附件为准。</w:t>
      </w:r>
    </w:p>
    <w:p w14:paraId="5E001E86">
      <w:pPr>
        <w:pStyle w:val="4"/>
        <w:pageBreakBefore/>
        <w:spacing w:after="0"/>
        <w:ind w:firstLine="2160" w:firstLineChars="600"/>
        <w:rPr>
          <w:rFonts w:hint="eastAsia" w:asciiTheme="minorEastAsia" w:hAnsiTheme="minorEastAsia"/>
          <w:color w:val="auto"/>
          <w:sz w:val="36"/>
          <w:szCs w:val="30"/>
          <w:highlight w:val="none"/>
        </w:rPr>
      </w:pPr>
      <w:bookmarkStart w:id="62" w:name="_Toc65660341"/>
      <w:bookmarkStart w:id="63" w:name="_Toc13356"/>
      <w:bookmarkStart w:id="64" w:name="_Toc523"/>
      <w:bookmarkStart w:id="65" w:name="_Toc15492"/>
      <w:bookmarkStart w:id="66" w:name="_Toc28992"/>
      <w:r>
        <w:rPr>
          <w:rFonts w:hint="eastAsia" w:asciiTheme="minorEastAsia" w:hAnsiTheme="minorEastAsia"/>
          <w:color w:val="auto"/>
          <w:sz w:val="36"/>
          <w:szCs w:val="30"/>
          <w:highlight w:val="none"/>
        </w:rPr>
        <w:t xml:space="preserve">第三篇  </w:t>
      </w:r>
      <w:bookmarkEnd w:id="60"/>
      <w:r>
        <w:rPr>
          <w:rFonts w:hint="eastAsia" w:asciiTheme="minorEastAsia" w:hAnsiTheme="minorEastAsia"/>
          <w:color w:val="auto"/>
          <w:sz w:val="36"/>
          <w:szCs w:val="30"/>
          <w:highlight w:val="none"/>
        </w:rPr>
        <w:t>询价项目服务</w:t>
      </w:r>
      <w:bookmarkEnd w:id="62"/>
      <w:bookmarkEnd w:id="63"/>
      <w:bookmarkEnd w:id="64"/>
      <w:bookmarkEnd w:id="65"/>
      <w:r>
        <w:rPr>
          <w:rFonts w:hint="eastAsia" w:asciiTheme="minorEastAsia" w:hAnsiTheme="minorEastAsia"/>
          <w:color w:val="auto"/>
          <w:sz w:val="36"/>
          <w:szCs w:val="30"/>
          <w:highlight w:val="none"/>
        </w:rPr>
        <w:t>需求</w:t>
      </w:r>
      <w:bookmarkEnd w:id="66"/>
    </w:p>
    <w:p w14:paraId="005779A2">
      <w:pPr>
        <w:pStyle w:val="4"/>
        <w:spacing w:line="400" w:lineRule="exact"/>
        <w:ind w:firstLine="482" w:firstLineChars="200"/>
        <w:rPr>
          <w:rFonts w:hint="eastAsia" w:asciiTheme="minorEastAsia" w:hAnsiTheme="minorEastAsia"/>
          <w:b/>
          <w:color w:val="auto"/>
          <w:sz w:val="24"/>
          <w:szCs w:val="24"/>
          <w:highlight w:val="none"/>
        </w:rPr>
      </w:pPr>
      <w:bookmarkStart w:id="67" w:name="_Toc13560"/>
      <w:bookmarkStart w:id="68" w:name="_Hlk199144897"/>
      <w:r>
        <w:rPr>
          <w:rFonts w:hint="eastAsia" w:asciiTheme="minorEastAsia" w:hAnsiTheme="minorEastAsia"/>
          <w:b/>
          <w:color w:val="auto"/>
          <w:sz w:val="24"/>
          <w:szCs w:val="24"/>
          <w:highlight w:val="none"/>
        </w:rPr>
        <w:t>一、交货期、交货地点及验收方式</w:t>
      </w:r>
      <w:bookmarkEnd w:id="67"/>
    </w:p>
    <w:p w14:paraId="746D1D8E">
      <w:pPr>
        <w:snapToGrid w:val="0"/>
        <w:spacing w:line="400" w:lineRule="exact"/>
        <w:ind w:firstLine="480" w:firstLineChars="200"/>
        <w:outlineLvl w:val="2"/>
        <w:rPr>
          <w:rFonts w:hint="eastAsia" w:cs="宋体" w:asciiTheme="minorEastAsia" w:hAnsiTheme="minorEastAsia"/>
          <w:color w:val="auto"/>
          <w:kern w:val="0"/>
          <w:sz w:val="24"/>
          <w:szCs w:val="24"/>
          <w:highlight w:val="none"/>
        </w:rPr>
      </w:pPr>
      <w:r>
        <w:rPr>
          <w:rFonts w:hint="eastAsia" w:cs="宋体" w:asciiTheme="minorEastAsia" w:hAnsiTheme="minorEastAsia"/>
          <w:color w:val="auto"/>
          <w:kern w:val="0"/>
          <w:sz w:val="24"/>
          <w:szCs w:val="24"/>
          <w:highlight w:val="none"/>
        </w:rPr>
        <w:t>（一）交货期</w:t>
      </w:r>
    </w:p>
    <w:p w14:paraId="619A757C">
      <w:pPr>
        <w:snapToGrid w:val="0"/>
        <w:spacing w:line="400" w:lineRule="exact"/>
        <w:ind w:firstLine="480" w:firstLineChars="200"/>
        <w:rPr>
          <w:rFonts w:hint="eastAsia" w:cs="宋体" w:asciiTheme="minorEastAsia" w:hAnsiTheme="minorEastAsia"/>
          <w:color w:val="auto"/>
          <w:kern w:val="0"/>
          <w:szCs w:val="24"/>
          <w:highlight w:val="none"/>
        </w:rPr>
      </w:pPr>
      <w:r>
        <w:rPr>
          <w:rFonts w:hint="eastAsia" w:ascii="宋体" w:hAnsi="宋体" w:cs="宋体"/>
          <w:color w:val="auto"/>
          <w:kern w:val="0"/>
          <w:sz w:val="24"/>
          <w:szCs w:val="24"/>
          <w:highlight w:val="none"/>
        </w:rPr>
        <w:t>应在采购合同签订后</w:t>
      </w:r>
      <w:r>
        <w:rPr>
          <w:rFonts w:hint="eastAsia" w:ascii="宋体" w:hAnsi="宋体" w:cs="宋体"/>
          <w:color w:val="auto"/>
          <w:kern w:val="0"/>
          <w:sz w:val="24"/>
          <w:szCs w:val="24"/>
          <w:highlight w:val="none"/>
          <w:lang w:val="en-US" w:eastAsia="zh-CN"/>
        </w:rPr>
        <w:t>30</w:t>
      </w:r>
      <w:r>
        <w:rPr>
          <w:rFonts w:hint="eastAsia" w:ascii="宋体" w:hAnsi="宋体" w:cs="宋体"/>
          <w:color w:val="auto"/>
          <w:kern w:val="0"/>
          <w:sz w:val="24"/>
          <w:szCs w:val="24"/>
          <w:highlight w:val="none"/>
        </w:rPr>
        <w:t>日历天内交货并调试合格。</w:t>
      </w:r>
    </w:p>
    <w:p w14:paraId="6E2C973A">
      <w:pPr>
        <w:snapToGrid w:val="0"/>
        <w:spacing w:line="400" w:lineRule="exact"/>
        <w:ind w:firstLine="480" w:firstLineChars="200"/>
        <w:outlineLvl w:val="2"/>
        <w:rPr>
          <w:rFonts w:hint="eastAsia" w:cs="宋体" w:asciiTheme="minorEastAsia" w:hAnsiTheme="minorEastAsia"/>
          <w:color w:val="auto"/>
          <w:kern w:val="0"/>
          <w:sz w:val="24"/>
          <w:szCs w:val="24"/>
          <w:highlight w:val="none"/>
        </w:rPr>
      </w:pPr>
      <w:r>
        <w:rPr>
          <w:rFonts w:hint="eastAsia" w:cs="宋体" w:asciiTheme="minorEastAsia" w:hAnsiTheme="minorEastAsia"/>
          <w:color w:val="auto"/>
          <w:kern w:val="0"/>
          <w:sz w:val="24"/>
          <w:szCs w:val="24"/>
          <w:highlight w:val="none"/>
        </w:rPr>
        <w:t>（二）交货地点</w:t>
      </w:r>
    </w:p>
    <w:p w14:paraId="59EA3F0F">
      <w:pPr>
        <w:snapToGrid w:val="0"/>
        <w:spacing w:line="400" w:lineRule="exact"/>
        <w:ind w:firstLine="480" w:firstLineChars="200"/>
        <w:rPr>
          <w:rFonts w:hint="eastAsia" w:cs="宋体" w:asciiTheme="minorEastAsia" w:hAnsiTheme="minorEastAsia"/>
          <w:color w:val="auto"/>
          <w:kern w:val="0"/>
          <w:sz w:val="24"/>
          <w:szCs w:val="24"/>
          <w:highlight w:val="none"/>
        </w:rPr>
      </w:pPr>
      <w:r>
        <w:rPr>
          <w:rFonts w:hint="eastAsia" w:cs="宋体" w:asciiTheme="minorEastAsia" w:hAnsiTheme="minorEastAsia"/>
          <w:color w:val="auto"/>
          <w:kern w:val="0"/>
          <w:sz w:val="24"/>
          <w:szCs w:val="24"/>
          <w:highlight w:val="none"/>
        </w:rPr>
        <w:t>交货地点：</w:t>
      </w:r>
      <w:r>
        <w:rPr>
          <w:rFonts w:hint="eastAsia" w:ascii="宋体" w:hAnsi="宋体" w:cs="宋体"/>
          <w:color w:val="auto"/>
          <w:kern w:val="0"/>
          <w:sz w:val="24"/>
          <w:szCs w:val="24"/>
          <w:highlight w:val="none"/>
        </w:rPr>
        <w:t>采购人指定地点。</w:t>
      </w:r>
    </w:p>
    <w:p w14:paraId="0EA460EA">
      <w:pPr>
        <w:snapToGrid w:val="0"/>
        <w:spacing w:line="400" w:lineRule="exact"/>
        <w:ind w:firstLine="480" w:firstLineChars="200"/>
        <w:outlineLvl w:val="2"/>
        <w:rPr>
          <w:rFonts w:hint="eastAsia" w:cs="宋体" w:asciiTheme="minorEastAsia" w:hAnsiTheme="minorEastAsia"/>
          <w:color w:val="auto"/>
          <w:kern w:val="0"/>
          <w:sz w:val="24"/>
          <w:szCs w:val="24"/>
          <w:highlight w:val="none"/>
        </w:rPr>
      </w:pPr>
      <w:r>
        <w:rPr>
          <w:rFonts w:hint="eastAsia" w:cs="宋体" w:asciiTheme="minorEastAsia" w:hAnsiTheme="minorEastAsia"/>
          <w:color w:val="auto"/>
          <w:kern w:val="0"/>
          <w:sz w:val="24"/>
          <w:szCs w:val="24"/>
          <w:highlight w:val="none"/>
        </w:rPr>
        <w:t>（三）验收方式</w:t>
      </w:r>
    </w:p>
    <w:p w14:paraId="42F87246">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w:t>
      </w:r>
      <w:r>
        <w:rPr>
          <w:rFonts w:hint="eastAsia" w:ascii="宋体" w:hAnsi="宋体" w:eastAsia="宋体" w:cs="宋体"/>
          <w:color w:val="auto"/>
          <w:sz w:val="24"/>
          <w:szCs w:val="18"/>
          <w:highlight w:val="none"/>
          <w:lang w:val="en-US" w:eastAsia="zh-CN"/>
        </w:rPr>
        <w:t>货物到达现场后，投标人应经采购人或其指定验收单位清点品名、规格、数量；检查外观，作出验收记录，双方签字确认。</w:t>
      </w:r>
    </w:p>
    <w:p w14:paraId="14BDA678">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2.成交供应商应保证货物到达采购人所在地完好无损，如有缺漏、损坏，由投标人负责调换、补齐或赔偿。</w:t>
      </w:r>
    </w:p>
    <w:p w14:paraId="7AB87414">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3.成交供应商应提供完备的技术资料和合格证等，并派遣专业技术人员进行现场安装调试。验收合格条件如下：</w:t>
      </w:r>
    </w:p>
    <w:p w14:paraId="1B22B247">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3.1设备配置参数与采购合同一致，性能指标达到规定的标准。</w:t>
      </w:r>
    </w:p>
    <w:p w14:paraId="33D6629A">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3.2货物技术资料、合格证等资料齐全。</w:t>
      </w:r>
    </w:p>
    <w:p w14:paraId="1D258905">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3.3在规定时间内完成交货并验收，并经采购人确认。</w:t>
      </w:r>
    </w:p>
    <w:p w14:paraId="3DAB95D0">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4.产品在安装调试并试运行符合要求后，才作为最终验收。</w:t>
      </w:r>
    </w:p>
    <w:p w14:paraId="6BF1B654">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5.成交供应商提供的货物未达到招标文件</w:t>
      </w:r>
      <w:r>
        <w:rPr>
          <w:rFonts w:hint="eastAsia" w:ascii="宋体" w:hAnsi="宋体" w:cs="宋体"/>
          <w:color w:val="auto"/>
          <w:kern w:val="0"/>
          <w:sz w:val="24"/>
          <w:szCs w:val="24"/>
          <w:highlight w:val="none"/>
          <w:lang w:val="en-US" w:eastAsia="zh-CN"/>
        </w:rPr>
        <w:t>第二篇</w:t>
      </w:r>
      <w:r>
        <w:rPr>
          <w:rFonts w:hint="eastAsia" w:ascii="宋体" w:hAnsi="宋体" w:cs="宋体"/>
          <w:color w:val="auto"/>
          <w:kern w:val="0"/>
          <w:sz w:val="24"/>
          <w:szCs w:val="24"/>
          <w:highlight w:val="none"/>
        </w:rPr>
        <w:t>规定</w:t>
      </w:r>
      <w:r>
        <w:rPr>
          <w:rFonts w:hint="eastAsia" w:ascii="宋体" w:hAnsi="宋体" w:cs="宋体"/>
          <w:color w:val="auto"/>
          <w:kern w:val="0"/>
          <w:sz w:val="24"/>
          <w:szCs w:val="24"/>
          <w:highlight w:val="none"/>
          <w:lang w:eastAsia="zh-CN"/>
        </w:rPr>
        <w:t>的</w:t>
      </w:r>
      <w:r>
        <w:rPr>
          <w:rFonts w:hint="eastAsia" w:asciiTheme="minorEastAsia" w:hAnsiTheme="minorEastAsia"/>
          <w:color w:val="auto"/>
          <w:sz w:val="24"/>
          <w:szCs w:val="24"/>
          <w:highlight w:val="none"/>
        </w:rPr>
        <w:t>参数及性能要求</w:t>
      </w:r>
      <w:r>
        <w:rPr>
          <w:rFonts w:hint="eastAsia" w:asciiTheme="minorEastAsia" w:hAnsiTheme="minorEastAsia"/>
          <w:color w:val="auto"/>
          <w:sz w:val="24"/>
          <w:szCs w:val="24"/>
          <w:highlight w:val="none"/>
          <w:lang w:eastAsia="zh-CN"/>
        </w:rPr>
        <w:t>的</w:t>
      </w:r>
      <w:r>
        <w:rPr>
          <w:rFonts w:hint="eastAsia" w:ascii="宋体" w:hAnsi="宋体" w:cs="宋体"/>
          <w:color w:val="auto"/>
          <w:kern w:val="0"/>
          <w:sz w:val="24"/>
          <w:szCs w:val="24"/>
          <w:highlight w:val="none"/>
        </w:rPr>
        <w:t>，</w:t>
      </w:r>
      <w:r>
        <w:rPr>
          <w:rFonts w:hint="eastAsia" w:ascii="宋体" w:hAnsi="宋体" w:cs="宋体"/>
          <w:color w:val="auto"/>
          <w:kern w:val="0"/>
          <w:sz w:val="24"/>
          <w:szCs w:val="24"/>
          <w:highlight w:val="none"/>
          <w:lang w:val="en-US" w:eastAsia="zh-CN"/>
        </w:rPr>
        <w:t>采购人有权拒收货物且不支付任何款项并终止合同，货物由成交供应商自行运回并承担费用；</w:t>
      </w:r>
      <w:r>
        <w:rPr>
          <w:rFonts w:hint="eastAsia" w:ascii="宋体" w:hAnsi="宋体" w:cs="宋体"/>
          <w:color w:val="auto"/>
          <w:kern w:val="0"/>
          <w:sz w:val="24"/>
          <w:szCs w:val="24"/>
          <w:highlight w:val="none"/>
        </w:rPr>
        <w:t>对采购人造成损失的，由成交供应商承担一切责任，并赔偿所造成的损失。</w:t>
      </w:r>
    </w:p>
    <w:p w14:paraId="26DB3E31">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6.采购人需要制造商对成交供应商交付的产品（包括质量、配置参数等）进行确认的，制造商应予以配合，并出具书面意见。</w:t>
      </w:r>
    </w:p>
    <w:p w14:paraId="605FA05F">
      <w:pPr>
        <w:snapToGrid w:val="0"/>
        <w:spacing w:line="400" w:lineRule="exact"/>
        <w:ind w:firstLine="480" w:firstLineChars="200"/>
        <w:rPr>
          <w:rFonts w:hint="eastAsia" w:cs="宋体" w:asciiTheme="minorEastAsia" w:hAnsiTheme="minorEastAsia"/>
          <w:color w:val="auto"/>
          <w:kern w:val="0"/>
          <w:sz w:val="24"/>
          <w:szCs w:val="24"/>
          <w:highlight w:val="none"/>
        </w:rPr>
      </w:pPr>
      <w:r>
        <w:rPr>
          <w:rFonts w:hint="eastAsia" w:ascii="宋体" w:hAnsi="宋体" w:cs="宋体"/>
          <w:color w:val="auto"/>
          <w:kern w:val="0"/>
          <w:sz w:val="24"/>
          <w:szCs w:val="24"/>
          <w:highlight w:val="none"/>
        </w:rPr>
        <w:t>8.产品包装材料归采购人所有。</w:t>
      </w:r>
    </w:p>
    <w:p w14:paraId="73FFA370">
      <w:pPr>
        <w:pStyle w:val="4"/>
        <w:spacing w:line="400" w:lineRule="exact"/>
        <w:ind w:firstLine="482" w:firstLineChars="200"/>
        <w:rPr>
          <w:rFonts w:hint="eastAsia" w:asciiTheme="minorEastAsia" w:hAnsiTheme="minorEastAsia"/>
          <w:b/>
          <w:color w:val="auto"/>
          <w:sz w:val="24"/>
          <w:szCs w:val="24"/>
          <w:highlight w:val="none"/>
        </w:rPr>
      </w:pPr>
      <w:bookmarkStart w:id="69" w:name="_Toc29144"/>
      <w:bookmarkStart w:id="70" w:name="_Toc20367"/>
      <w:bookmarkStart w:id="71" w:name="_Toc21022"/>
      <w:bookmarkStart w:id="72" w:name="_Toc9271"/>
      <w:bookmarkStart w:id="73" w:name="_Toc22142"/>
      <w:bookmarkStart w:id="74" w:name="_Toc13418"/>
      <w:bookmarkStart w:id="75" w:name="_Toc4036"/>
      <w:bookmarkStart w:id="76" w:name="_Toc1484"/>
      <w:bookmarkStart w:id="77" w:name="_Toc75793510"/>
      <w:bookmarkStart w:id="78" w:name="_Toc18152"/>
      <w:bookmarkStart w:id="79" w:name="_Toc22158"/>
      <w:bookmarkStart w:id="80" w:name="_Toc7746"/>
      <w:bookmarkStart w:id="81" w:name="_Toc30781"/>
      <w:bookmarkStart w:id="82" w:name="_Toc28518"/>
      <w:bookmarkStart w:id="83" w:name="_Toc8592"/>
      <w:bookmarkStart w:id="84" w:name="_Toc29436"/>
      <w:bookmarkStart w:id="85" w:name="_Toc28679"/>
      <w:bookmarkStart w:id="86" w:name="_Toc267320050"/>
      <w:r>
        <w:rPr>
          <w:rFonts w:hint="eastAsia" w:asciiTheme="minorEastAsia" w:hAnsiTheme="minorEastAsia"/>
          <w:b/>
          <w:color w:val="auto"/>
          <w:sz w:val="24"/>
          <w:szCs w:val="24"/>
          <w:highlight w:val="none"/>
        </w:rPr>
        <w:t>二、报价要求</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5EEDC239">
      <w:pPr>
        <w:snapToGrid w:val="0"/>
        <w:spacing w:line="360" w:lineRule="auto"/>
        <w:ind w:firstLine="480" w:firstLineChars="200"/>
        <w:rPr>
          <w:rFonts w:hint="eastAsia" w:ascii="宋体" w:hAnsi="宋体" w:cs="宋体"/>
          <w:color w:val="auto"/>
          <w:kern w:val="0"/>
          <w:sz w:val="24"/>
          <w:szCs w:val="24"/>
          <w:highlight w:val="none"/>
        </w:rPr>
      </w:pPr>
      <w:bookmarkStart w:id="87" w:name="_Toc15096"/>
      <w:bookmarkStart w:id="88" w:name="_Toc23903"/>
      <w:bookmarkStart w:id="89" w:name="_Toc1450"/>
      <w:bookmarkStart w:id="90" w:name="_Toc2244"/>
      <w:bookmarkStart w:id="91" w:name="_Toc3465"/>
      <w:bookmarkStart w:id="92" w:name="_Toc15677"/>
      <w:bookmarkStart w:id="93" w:name="_Toc16693"/>
      <w:bookmarkStart w:id="94" w:name="_Toc20887"/>
      <w:bookmarkStart w:id="95" w:name="_Toc75793511"/>
      <w:bookmarkStart w:id="96" w:name="_Toc4252"/>
      <w:bookmarkStart w:id="97" w:name="_Toc20182"/>
      <w:bookmarkStart w:id="98" w:name="_Toc14177"/>
      <w:bookmarkStart w:id="99" w:name="_Toc4774"/>
      <w:bookmarkStart w:id="100" w:name="_Toc2821"/>
      <w:bookmarkStart w:id="101" w:name="_Toc27382"/>
      <w:bookmarkStart w:id="102" w:name="_Toc32313"/>
      <w:r>
        <w:rPr>
          <w:rFonts w:hint="eastAsia" w:ascii="宋体" w:hAnsi="宋体" w:cs="宋体"/>
          <w:color w:val="auto"/>
          <w:kern w:val="0"/>
          <w:sz w:val="24"/>
          <w:szCs w:val="24"/>
          <w:highlight w:val="none"/>
        </w:rPr>
        <w:t>1、本次报价须为人民币报价，包含：成交供应商将成交产品送达采购人指定地点并安装完成的所有费用，包括：货物费、运输费（含装卸费）、人工费、保险费、安装费、调试费、各种应纳的税费、培训费、采购代理服务费、一切可预见和不可预见的、合同明示或暗示的应由投标人承担的一切责任、义务和风险等货到采购人指定地点的所有费用。</w:t>
      </w:r>
    </w:p>
    <w:p w14:paraId="759B71C3">
      <w:pPr>
        <w:pStyle w:val="7"/>
        <w:spacing w:line="360" w:lineRule="auto"/>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eastAsia="zh-CN"/>
        </w:rPr>
        <w:t>2、供应商</w:t>
      </w:r>
      <w:r>
        <w:rPr>
          <w:rFonts w:hint="eastAsia" w:ascii="宋体" w:hAnsi="宋体" w:eastAsia="宋体" w:cs="宋体"/>
          <w:color w:val="auto"/>
          <w:szCs w:val="24"/>
          <w:highlight w:val="none"/>
        </w:rPr>
        <w:t>必须按照分项报价明细表认真填写各项明细，报价不得超过最高限价</w:t>
      </w:r>
      <w:r>
        <w:rPr>
          <w:rFonts w:hint="eastAsia" w:ascii="宋体" w:hAnsi="宋体" w:eastAsia="宋体" w:cs="宋体"/>
          <w:color w:val="auto"/>
          <w:szCs w:val="24"/>
          <w:highlight w:val="none"/>
          <w:lang w:eastAsia="zh-CN"/>
        </w:rPr>
        <w:t>和</w:t>
      </w:r>
      <w:r>
        <w:rPr>
          <w:rFonts w:hint="eastAsia" w:ascii="宋体" w:hAnsi="宋体" w:eastAsia="宋体" w:cs="宋体"/>
          <w:color w:val="auto"/>
          <w:szCs w:val="24"/>
          <w:highlight w:val="none"/>
        </w:rPr>
        <w:t>采购预算。</w:t>
      </w:r>
    </w:p>
    <w:p w14:paraId="79F7B74F">
      <w:pPr>
        <w:pStyle w:val="4"/>
        <w:ind w:firstLine="482" w:firstLineChars="200"/>
        <w:rPr>
          <w:rFonts w:hint="eastAsia" w:cs="宋体"/>
          <w:b/>
          <w:color w:val="auto"/>
          <w:sz w:val="24"/>
          <w:szCs w:val="24"/>
          <w:highlight w:val="none"/>
        </w:rPr>
      </w:pPr>
      <w:bookmarkStart w:id="103" w:name="_Toc13259"/>
      <w:r>
        <w:rPr>
          <w:rFonts w:hint="eastAsia" w:asciiTheme="minorEastAsia" w:hAnsiTheme="minorEastAsia"/>
          <w:b/>
          <w:color w:val="auto"/>
          <w:sz w:val="24"/>
          <w:szCs w:val="24"/>
          <w:highlight w:val="none"/>
        </w:rPr>
        <w:t>三、</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Pr>
          <w:rFonts w:hint="eastAsia" w:cs="宋体"/>
          <w:b/>
          <w:color w:val="auto"/>
          <w:sz w:val="24"/>
          <w:szCs w:val="24"/>
          <w:highlight w:val="none"/>
        </w:rPr>
        <w:t>质量保证及售后服务</w:t>
      </w:r>
      <w:bookmarkEnd w:id="103"/>
    </w:p>
    <w:p w14:paraId="5FA0C457">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（一）产品质量保证期：自验收合格之日起，其投标产品质量保证期达到1年。</w:t>
      </w:r>
    </w:p>
    <w:p w14:paraId="29214E9B">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（二）售后服务内容</w:t>
      </w:r>
    </w:p>
    <w:p w14:paraId="0082D3B9">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1.投标人在质量保证期内应当为采购人提供以下技术支持和服务：</w:t>
      </w:r>
    </w:p>
    <w:p w14:paraId="445A32B9">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1.1电话咨询</w:t>
      </w:r>
    </w:p>
    <w:p w14:paraId="02CA0D4B">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投标人应当为采购人提供技术援助电话，解答采购人在使用中遇到的问题，及时为采购人提出解决问题的建议。</w:t>
      </w:r>
    </w:p>
    <w:p w14:paraId="3E4E36D8">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1.2现场响应</w:t>
      </w:r>
    </w:p>
    <w:p w14:paraId="241E43E0">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采购人遇到使用及技术问题，电话咨询不能解决的，投标人应在2小时内到达现场（远郊区12小时内到达现场）进行处理，确保产品正常工作；无法在12小时内解决的，应在12小时内提供备用产品，使采购人能够正常使用。</w:t>
      </w:r>
    </w:p>
    <w:p w14:paraId="3BA8B14A">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1.3技术升级</w:t>
      </w:r>
    </w:p>
    <w:p w14:paraId="1EF2A76C">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在质保期内，如果投标人的产品技术升级，投标人应及时通知采购人，如采购人有相应要求，投标人应对采购人购买的产品进行升级服务。</w:t>
      </w:r>
    </w:p>
    <w:p w14:paraId="7EAEF39B">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2.质保期外服务要求</w:t>
      </w:r>
    </w:p>
    <w:p w14:paraId="032C595B">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2.1质量保证期过后，投标人应同样提供免费电话咨询服务，并应承诺提供产品上门维护服务。</w:t>
      </w:r>
    </w:p>
    <w:p w14:paraId="03C4BADD">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2.2质量保证期过后，采购人需要继续由原投标人提供售后服务的，该投标人应以优惠价格提供售后服务。</w:t>
      </w:r>
    </w:p>
    <w:p w14:paraId="3CE47F8D">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（三）备品备件及易损件</w:t>
      </w:r>
    </w:p>
    <w:p w14:paraId="4A4BC66D">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投标人售后服务中，维修使用的备品备件及易损件应为原厂配件，未经采购人同意不得使用非原厂配件，常用的、容易损坏的备品备件及易损件的价格清单须在投标文件中列出。</w:t>
      </w:r>
    </w:p>
    <w:p w14:paraId="35915816">
      <w:pPr>
        <w:pStyle w:val="4"/>
        <w:spacing w:line="400" w:lineRule="exact"/>
        <w:ind w:firstLine="482" w:firstLineChars="200"/>
        <w:rPr>
          <w:rFonts w:hint="eastAsia" w:asciiTheme="minorEastAsia" w:hAnsiTheme="minorEastAsia"/>
          <w:b/>
          <w:color w:val="auto"/>
          <w:sz w:val="24"/>
          <w:szCs w:val="24"/>
          <w:highlight w:val="none"/>
        </w:rPr>
      </w:pPr>
      <w:bookmarkStart w:id="104" w:name="_Toc25552"/>
      <w:bookmarkStart w:id="105" w:name="_Toc5174"/>
      <w:bookmarkStart w:id="106" w:name="_Toc8955"/>
      <w:bookmarkStart w:id="107" w:name="_Toc32722"/>
      <w:bookmarkStart w:id="108" w:name="_Toc19350"/>
      <w:bookmarkStart w:id="109" w:name="_Toc29286"/>
      <w:bookmarkStart w:id="110" w:name="_Toc1008"/>
      <w:bookmarkStart w:id="111" w:name="_Toc21888"/>
      <w:bookmarkStart w:id="112" w:name="_Toc18007"/>
      <w:bookmarkStart w:id="113" w:name="_Toc30442"/>
      <w:bookmarkStart w:id="114" w:name="_Toc15941"/>
      <w:bookmarkStart w:id="115" w:name="_Toc75793512"/>
      <w:bookmarkStart w:id="116" w:name="_Toc12285"/>
      <w:bookmarkStart w:id="117" w:name="_Toc22695"/>
      <w:bookmarkStart w:id="118" w:name="_Toc8529"/>
      <w:bookmarkStart w:id="119" w:name="_Toc25745"/>
      <w:bookmarkStart w:id="120" w:name="_Toc25932"/>
      <w:r>
        <w:rPr>
          <w:rFonts w:hint="eastAsia" w:asciiTheme="minorEastAsia" w:hAnsiTheme="minorEastAsia"/>
          <w:b/>
          <w:color w:val="auto"/>
          <w:sz w:val="24"/>
          <w:szCs w:val="24"/>
          <w:highlight w:val="none"/>
        </w:rPr>
        <w:t>四、付款方式</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7024464C">
      <w:pPr>
        <w:snapToGrid w:val="0"/>
        <w:spacing w:line="400" w:lineRule="exact"/>
        <w:ind w:firstLine="480" w:firstLineChars="200"/>
        <w:rPr>
          <w:rFonts w:hint="default" w:cs="宋体" w:asciiTheme="minorEastAsia" w:hAnsiTheme="minorEastAsia" w:eastAsiaTheme="minorEastAsia"/>
          <w:color w:val="auto"/>
          <w:kern w:val="0"/>
          <w:sz w:val="24"/>
          <w:szCs w:val="24"/>
          <w:highlight w:val="none"/>
          <w:lang w:val="en-US" w:eastAsia="zh-CN"/>
        </w:rPr>
      </w:pPr>
      <w:r>
        <w:rPr>
          <w:rFonts w:hint="eastAsia" w:cs="宋体" w:asciiTheme="minorEastAsia" w:hAnsiTheme="minorEastAsia"/>
          <w:color w:val="auto"/>
          <w:kern w:val="0"/>
          <w:sz w:val="24"/>
          <w:szCs w:val="24"/>
          <w:highlight w:val="none"/>
        </w:rPr>
        <w:t>（一）履约保证金:合同签订时中标人向采购人缴纳合同金额10%的履约保证金（以支票、汇票、本票或者金融机构、担保机构出具的保函等非现金形式提交）</w:t>
      </w:r>
      <w:r>
        <w:rPr>
          <w:rFonts w:hint="eastAsia" w:cs="宋体" w:asciiTheme="minorEastAsia" w:hAnsiTheme="minorEastAsia"/>
          <w:color w:val="auto"/>
          <w:kern w:val="0"/>
          <w:sz w:val="24"/>
          <w:szCs w:val="24"/>
          <w:highlight w:val="none"/>
          <w:lang w:eastAsia="zh-CN"/>
        </w:rPr>
        <w:t>；</w:t>
      </w:r>
      <w:r>
        <w:rPr>
          <w:rFonts w:hint="eastAsia" w:cs="宋体" w:asciiTheme="minorEastAsia" w:hAnsiTheme="minorEastAsia"/>
          <w:color w:val="auto"/>
          <w:kern w:val="0"/>
          <w:sz w:val="24"/>
          <w:szCs w:val="24"/>
          <w:highlight w:val="none"/>
          <w:lang w:val="en-US" w:eastAsia="zh-CN"/>
        </w:rPr>
        <w:t>货物验收合格后一次性无息退还（若采用保函的货物验收合格后自动失效）。</w:t>
      </w:r>
    </w:p>
    <w:p w14:paraId="562AB256">
      <w:pPr>
        <w:snapToGrid w:val="0"/>
        <w:spacing w:line="400" w:lineRule="exact"/>
        <w:ind w:firstLine="480" w:firstLineChars="200"/>
        <w:rPr>
          <w:rFonts w:hint="eastAsia" w:cs="宋体" w:asciiTheme="minorEastAsia" w:hAnsiTheme="minorEastAsia"/>
          <w:color w:val="auto"/>
          <w:kern w:val="0"/>
          <w:sz w:val="24"/>
          <w:szCs w:val="24"/>
          <w:highlight w:val="none"/>
        </w:rPr>
      </w:pPr>
      <w:r>
        <w:rPr>
          <w:rFonts w:hint="eastAsia" w:cs="宋体" w:asciiTheme="minorEastAsia" w:hAnsiTheme="minorEastAsia"/>
          <w:color w:val="auto"/>
          <w:kern w:val="0"/>
          <w:sz w:val="24"/>
          <w:szCs w:val="24"/>
          <w:highlight w:val="none"/>
        </w:rPr>
        <w:t>（二）采购人组织验收后支付至结算金额的80%。</w:t>
      </w:r>
    </w:p>
    <w:p w14:paraId="6A0FE530">
      <w:pPr>
        <w:snapToGrid w:val="0"/>
        <w:spacing w:line="400" w:lineRule="exact"/>
        <w:ind w:firstLine="480" w:firstLineChars="200"/>
        <w:rPr>
          <w:rFonts w:hint="eastAsia" w:cs="宋体" w:asciiTheme="minorEastAsia" w:hAnsiTheme="minorEastAsia"/>
          <w:color w:val="auto"/>
          <w:kern w:val="0"/>
          <w:sz w:val="24"/>
          <w:szCs w:val="24"/>
          <w:highlight w:val="none"/>
        </w:rPr>
      </w:pPr>
      <w:r>
        <w:rPr>
          <w:rFonts w:hint="eastAsia" w:cs="宋体" w:asciiTheme="minorEastAsia" w:hAnsiTheme="minorEastAsia"/>
          <w:color w:val="auto"/>
          <w:kern w:val="0"/>
          <w:sz w:val="24"/>
          <w:szCs w:val="24"/>
          <w:highlight w:val="none"/>
        </w:rPr>
        <w:t>（三）验收合格三个月</w:t>
      </w:r>
      <w:r>
        <w:rPr>
          <w:rFonts w:hint="eastAsia" w:cs="宋体" w:asciiTheme="minorEastAsia" w:hAnsiTheme="minorEastAsia"/>
          <w:color w:val="auto"/>
          <w:kern w:val="0"/>
          <w:sz w:val="24"/>
          <w:szCs w:val="24"/>
          <w:highlight w:val="none"/>
          <w:lang w:eastAsia="zh-CN"/>
        </w:rPr>
        <w:t>内</w:t>
      </w:r>
      <w:r>
        <w:rPr>
          <w:rFonts w:hint="eastAsia" w:cs="宋体" w:asciiTheme="minorEastAsia" w:hAnsiTheme="minorEastAsia"/>
          <w:color w:val="auto"/>
          <w:kern w:val="0"/>
          <w:sz w:val="24"/>
          <w:szCs w:val="24"/>
          <w:highlight w:val="none"/>
        </w:rPr>
        <w:t>无产品质量问题</w:t>
      </w:r>
      <w:r>
        <w:rPr>
          <w:rFonts w:hint="eastAsia" w:cs="宋体" w:asciiTheme="minorEastAsia" w:hAnsiTheme="minorEastAsia"/>
          <w:color w:val="auto"/>
          <w:kern w:val="0"/>
          <w:sz w:val="24"/>
          <w:szCs w:val="24"/>
          <w:highlight w:val="none"/>
          <w:lang w:eastAsia="zh-CN"/>
        </w:rPr>
        <w:t>并确认成交供应商已交纳全部违约金（如有）</w:t>
      </w:r>
      <w:r>
        <w:rPr>
          <w:rFonts w:hint="eastAsia" w:cs="宋体" w:asciiTheme="minorEastAsia" w:hAnsiTheme="minorEastAsia"/>
          <w:color w:val="auto"/>
          <w:kern w:val="0"/>
          <w:sz w:val="24"/>
          <w:szCs w:val="24"/>
          <w:highlight w:val="none"/>
        </w:rPr>
        <w:t>后支付至结算金额的100%。</w:t>
      </w:r>
    </w:p>
    <w:p w14:paraId="3BA41AAB">
      <w:pPr>
        <w:pStyle w:val="4"/>
        <w:ind w:firstLine="482" w:firstLineChars="200"/>
        <w:rPr>
          <w:rFonts w:hint="eastAsia" w:cs="宋体"/>
          <w:b/>
          <w:color w:val="auto"/>
          <w:sz w:val="24"/>
          <w:szCs w:val="24"/>
          <w:highlight w:val="none"/>
        </w:rPr>
      </w:pPr>
      <w:bookmarkStart w:id="121" w:name="_Toc16330"/>
      <w:bookmarkStart w:id="122" w:name="_Toc342913389"/>
      <w:r>
        <w:rPr>
          <w:rFonts w:hint="eastAsia" w:cs="宋体"/>
          <w:b/>
          <w:color w:val="auto"/>
          <w:sz w:val="24"/>
          <w:szCs w:val="24"/>
          <w:highlight w:val="none"/>
        </w:rPr>
        <w:t>五、知识产权</w:t>
      </w:r>
      <w:bookmarkEnd w:id="121"/>
    </w:p>
    <w:p w14:paraId="5FA85AB8">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采购人在中华人民共和国境内使用投标人提供的货物及服务时免受第三方提出的侵犯其专利权或其它知识产权的起诉。如果第三方提出侵权指控，中标人应承担由此而引起的一切法律责任和费用。</w:t>
      </w:r>
    </w:p>
    <w:p w14:paraId="0AABF024">
      <w:pPr>
        <w:pStyle w:val="4"/>
        <w:ind w:firstLine="482" w:firstLineChars="200"/>
        <w:rPr>
          <w:rFonts w:hint="eastAsia" w:cs="宋体"/>
          <w:b/>
          <w:color w:val="auto"/>
          <w:sz w:val="24"/>
          <w:szCs w:val="24"/>
          <w:highlight w:val="none"/>
        </w:rPr>
      </w:pPr>
      <w:bookmarkStart w:id="123" w:name="_Toc1026"/>
      <w:bookmarkStart w:id="124" w:name="_Toc15109"/>
      <w:bookmarkStart w:id="125" w:name="_Toc29615"/>
      <w:bookmarkStart w:id="126" w:name="_Toc25464"/>
      <w:bookmarkStart w:id="127" w:name="_Toc106030390"/>
      <w:bookmarkStart w:id="128" w:name="_Toc27637"/>
      <w:bookmarkStart w:id="129" w:name="_Toc8333"/>
      <w:bookmarkStart w:id="130" w:name="_Toc15159"/>
      <w:bookmarkStart w:id="131" w:name="_Toc267320053"/>
      <w:bookmarkStart w:id="132" w:name="_Toc15548"/>
      <w:bookmarkStart w:id="133" w:name="_Toc14096"/>
      <w:bookmarkStart w:id="134" w:name="_Toc1949"/>
      <w:bookmarkStart w:id="135" w:name="_Toc31803"/>
      <w:bookmarkStart w:id="136" w:name="_Toc4784"/>
      <w:bookmarkStart w:id="137" w:name="_Toc75793514"/>
      <w:bookmarkStart w:id="138" w:name="_Toc7629"/>
      <w:bookmarkStart w:id="139" w:name="_Toc26926"/>
      <w:bookmarkStart w:id="140" w:name="_Toc3404"/>
      <w:r>
        <w:rPr>
          <w:rFonts w:hint="eastAsia" w:cs="宋体"/>
          <w:b/>
          <w:color w:val="auto"/>
          <w:sz w:val="24"/>
          <w:szCs w:val="24"/>
          <w:highlight w:val="none"/>
        </w:rPr>
        <w:t>六、培训</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118F316D">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投标人对其提供产品的使用和操作应尽培训义务</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培训时间不低于2个日历天</w:t>
      </w:r>
      <w:r>
        <w:rPr>
          <w:rFonts w:hint="eastAsia" w:ascii="宋体" w:hAnsi="宋体" w:cs="宋体"/>
          <w:color w:val="auto"/>
          <w:kern w:val="0"/>
          <w:sz w:val="24"/>
          <w:szCs w:val="24"/>
          <w:highlight w:val="none"/>
        </w:rPr>
        <w:t>。投标人应提供对采购人的基本免费培训，使采购人使用人员能够正常操作。</w:t>
      </w:r>
    </w:p>
    <w:p w14:paraId="79FA059B">
      <w:pPr>
        <w:pStyle w:val="4"/>
        <w:ind w:firstLine="482" w:firstLineChars="200"/>
        <w:rPr>
          <w:rFonts w:hint="eastAsia" w:cs="宋体"/>
          <w:b/>
          <w:color w:val="auto"/>
          <w:sz w:val="24"/>
          <w:highlight w:val="none"/>
        </w:rPr>
      </w:pPr>
      <w:bookmarkStart w:id="141" w:name="_Toc9916"/>
      <w:bookmarkStart w:id="142" w:name="_Toc8027"/>
      <w:bookmarkStart w:id="143" w:name="_Toc7168"/>
      <w:bookmarkStart w:id="144" w:name="_Toc13757"/>
      <w:bookmarkStart w:id="145" w:name="_Toc106030391"/>
      <w:bookmarkStart w:id="146" w:name="_Toc28797"/>
      <w:bookmarkStart w:id="147" w:name="_Toc18659"/>
      <w:bookmarkStart w:id="148" w:name="_Toc75793515"/>
      <w:bookmarkStart w:id="149" w:name="_Toc18165"/>
      <w:bookmarkStart w:id="150" w:name="_Toc15245"/>
      <w:bookmarkStart w:id="151" w:name="_Toc26367"/>
      <w:bookmarkStart w:id="152" w:name="_Toc20414"/>
      <w:bookmarkStart w:id="153" w:name="_Toc28278"/>
      <w:bookmarkStart w:id="154" w:name="_Toc28488"/>
      <w:bookmarkStart w:id="155" w:name="_Toc26694"/>
      <w:bookmarkStart w:id="156" w:name="_Toc13166"/>
      <w:bookmarkStart w:id="157" w:name="_Toc5987"/>
      <w:r>
        <w:rPr>
          <w:rFonts w:hint="eastAsia" w:cs="宋体"/>
          <w:b/>
          <w:color w:val="auto"/>
          <w:sz w:val="24"/>
          <w:highlight w:val="none"/>
        </w:rPr>
        <w:t>七、附件、图纸及包装要求</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385E2E56">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sz w:val="24"/>
          <w:szCs w:val="28"/>
          <w:highlight w:val="none"/>
        </w:rPr>
        <w:t>所有设备按照制造商规定的产品包装和随机标准附件为准。</w:t>
      </w:r>
    </w:p>
    <w:p w14:paraId="1BA7F2B2">
      <w:pPr>
        <w:pStyle w:val="4"/>
        <w:ind w:firstLine="482" w:firstLineChars="200"/>
        <w:rPr>
          <w:rFonts w:hint="eastAsia" w:cs="宋体"/>
          <w:b/>
          <w:color w:val="auto"/>
          <w:sz w:val="24"/>
          <w:szCs w:val="24"/>
          <w:highlight w:val="none"/>
        </w:rPr>
      </w:pPr>
      <w:bookmarkStart w:id="158" w:name="_Toc267320054"/>
      <w:bookmarkStart w:id="159" w:name="_Toc27175"/>
      <w:bookmarkStart w:id="160" w:name="_Toc30515"/>
      <w:bookmarkStart w:id="161" w:name="_Toc17569"/>
      <w:bookmarkStart w:id="162" w:name="_Toc32308"/>
      <w:bookmarkStart w:id="163" w:name="_Toc1138"/>
      <w:bookmarkStart w:id="164" w:name="_Toc4353"/>
      <w:bookmarkStart w:id="165" w:name="_Toc529"/>
      <w:bookmarkStart w:id="166" w:name="_Toc23858"/>
      <w:bookmarkStart w:id="167" w:name="_Toc6099"/>
      <w:bookmarkStart w:id="168" w:name="_Toc106030392"/>
      <w:bookmarkStart w:id="169" w:name="_Toc13936"/>
      <w:bookmarkStart w:id="170" w:name="_Toc75793516"/>
      <w:bookmarkStart w:id="171" w:name="_Toc10406"/>
      <w:bookmarkStart w:id="172" w:name="_Toc28513"/>
      <w:bookmarkStart w:id="173" w:name="_Toc14923"/>
      <w:bookmarkStart w:id="174" w:name="_Toc22905"/>
      <w:bookmarkStart w:id="175" w:name="_Toc6385"/>
      <w:r>
        <w:rPr>
          <w:rFonts w:hint="eastAsia" w:cs="宋体"/>
          <w:b/>
          <w:color w:val="auto"/>
          <w:sz w:val="24"/>
          <w:szCs w:val="24"/>
          <w:highlight w:val="none"/>
        </w:rPr>
        <w:t>八、</w:t>
      </w:r>
      <w:bookmarkEnd w:id="158"/>
      <w:r>
        <w:rPr>
          <w:rFonts w:hint="eastAsia" w:cs="宋体"/>
          <w:b/>
          <w:color w:val="auto"/>
          <w:sz w:val="24"/>
          <w:szCs w:val="24"/>
          <w:highlight w:val="none"/>
        </w:rPr>
        <w:t>其他商务要求内容</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668C307C">
      <w:pPr>
        <w:snapToGrid w:val="0"/>
        <w:spacing w:line="360" w:lineRule="auto"/>
        <w:ind w:firstLine="480" w:firstLineChars="200"/>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1、本项目车辆上户，办理手续及流程由成交供应商负责并承担费用（车辆保险费用由采购人承担）。</w:t>
      </w:r>
    </w:p>
    <w:p w14:paraId="02DFF547">
      <w:pPr>
        <w:snapToGrid w:val="0"/>
        <w:spacing w:line="360" w:lineRule="auto"/>
        <w:ind w:firstLine="480" w:firstLineChars="200"/>
        <w:rPr>
          <w:rFonts w:hint="default"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2、若未在规定的交货期内</w:t>
      </w:r>
      <w:r>
        <w:rPr>
          <w:rFonts w:hint="eastAsia" w:ascii="宋体" w:hAnsi="宋体" w:cs="宋体"/>
          <w:color w:val="auto"/>
          <w:kern w:val="0"/>
          <w:sz w:val="24"/>
          <w:szCs w:val="24"/>
          <w:highlight w:val="none"/>
        </w:rPr>
        <w:t>交货并调试合格</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每延期一天按500元/天处以违约金，违约金在货款最后一次付款前交纳，否则由成交供应商自行承担由此导致的款项支付延后。</w:t>
      </w:r>
    </w:p>
    <w:p w14:paraId="4D52CA08">
      <w:pPr>
        <w:snapToGrid w:val="0"/>
        <w:spacing w:line="360" w:lineRule="auto"/>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lang w:val="en-US" w:eastAsia="zh-CN"/>
        </w:rPr>
        <w:t>3、</w:t>
      </w:r>
      <w:r>
        <w:rPr>
          <w:rFonts w:hint="eastAsia" w:ascii="宋体" w:hAnsi="宋体" w:cs="宋体"/>
          <w:color w:val="auto"/>
          <w:kern w:val="0"/>
          <w:sz w:val="24"/>
          <w:szCs w:val="24"/>
          <w:highlight w:val="none"/>
        </w:rPr>
        <w:t>其他未尽事宜由供需双方在采购合同中详细约定。</w:t>
      </w:r>
      <w:bookmarkEnd w:id="68"/>
    </w:p>
    <w:p w14:paraId="103A4706">
      <w:pPr>
        <w:rPr>
          <w:rFonts w:hint="eastAsia" w:asciiTheme="minorEastAsia" w:hAnsiTheme="minorEastAsia"/>
          <w:color w:val="auto"/>
          <w:highlight w:val="none"/>
        </w:rPr>
      </w:pPr>
    </w:p>
    <w:p w14:paraId="79D7DBC7">
      <w:pPr>
        <w:pStyle w:val="2"/>
        <w:ind w:left="1260"/>
        <w:rPr>
          <w:rFonts w:hint="eastAsia" w:asciiTheme="minorEastAsia" w:hAnsiTheme="minorEastAsia"/>
          <w:color w:val="auto"/>
          <w:highlight w:val="none"/>
        </w:rPr>
      </w:pPr>
    </w:p>
    <w:p w14:paraId="3416384A">
      <w:pPr>
        <w:rPr>
          <w:rFonts w:hint="eastAsia" w:asciiTheme="minorEastAsia" w:hAnsiTheme="minorEastAsia"/>
          <w:color w:val="auto"/>
          <w:highlight w:val="none"/>
        </w:rPr>
      </w:pPr>
    </w:p>
    <w:p w14:paraId="1B7CB94B">
      <w:pPr>
        <w:pStyle w:val="2"/>
        <w:ind w:left="1260"/>
        <w:rPr>
          <w:rFonts w:hint="eastAsia" w:asciiTheme="minorEastAsia" w:hAnsiTheme="minorEastAsia"/>
          <w:color w:val="auto"/>
          <w:highlight w:val="none"/>
        </w:rPr>
      </w:pPr>
    </w:p>
    <w:p w14:paraId="7252B9DC">
      <w:pPr>
        <w:pStyle w:val="2"/>
        <w:ind w:left="1260"/>
        <w:rPr>
          <w:color w:val="auto"/>
          <w:highlight w:val="none"/>
        </w:rPr>
      </w:pPr>
    </w:p>
    <w:p w14:paraId="59CA1752">
      <w:pPr>
        <w:pStyle w:val="4"/>
        <w:spacing w:after="0"/>
        <w:rPr>
          <w:rFonts w:hint="eastAsia" w:asciiTheme="minorEastAsia" w:hAnsiTheme="minorEastAsia"/>
          <w:color w:val="auto"/>
          <w:sz w:val="36"/>
          <w:szCs w:val="30"/>
          <w:highlight w:val="none"/>
        </w:rPr>
      </w:pPr>
      <w:bookmarkStart w:id="176" w:name="_Toc16123"/>
      <w:bookmarkStart w:id="177" w:name="_Toc31282"/>
      <w:bookmarkStart w:id="178" w:name="_Toc24195"/>
      <w:bookmarkStart w:id="179" w:name="_Toc26449"/>
      <w:bookmarkStart w:id="180" w:name="_Toc65660349"/>
      <w:r>
        <w:rPr>
          <w:rFonts w:hint="eastAsia" w:asciiTheme="minorEastAsia" w:hAnsiTheme="minorEastAsia"/>
          <w:color w:val="auto"/>
          <w:sz w:val="36"/>
          <w:szCs w:val="30"/>
          <w:highlight w:val="none"/>
        </w:rPr>
        <w:t>第四篇  采购程序、评定成交的标准、无效报价及采购终止</w:t>
      </w:r>
      <w:bookmarkEnd w:id="176"/>
      <w:bookmarkEnd w:id="177"/>
      <w:bookmarkEnd w:id="178"/>
      <w:bookmarkEnd w:id="179"/>
      <w:bookmarkEnd w:id="180"/>
    </w:p>
    <w:p w14:paraId="4ED85B99">
      <w:pPr>
        <w:pStyle w:val="4"/>
        <w:spacing w:after="0" w:line="400" w:lineRule="exact"/>
        <w:rPr>
          <w:rFonts w:hint="eastAsia" w:asciiTheme="minorEastAsia" w:hAnsiTheme="minorEastAsia"/>
          <w:color w:val="auto"/>
          <w:sz w:val="24"/>
          <w:highlight w:val="none"/>
        </w:rPr>
      </w:pPr>
      <w:bookmarkStart w:id="181" w:name="_Toc9361"/>
      <w:bookmarkStart w:id="182" w:name="_Toc10708"/>
      <w:bookmarkStart w:id="183" w:name="_Toc27932"/>
      <w:bookmarkStart w:id="184" w:name="_Toc64732012"/>
      <w:bookmarkStart w:id="185" w:name="_Toc65660350"/>
      <w:bookmarkStart w:id="186" w:name="_Toc5167"/>
      <w:r>
        <w:rPr>
          <w:rFonts w:hint="eastAsia" w:asciiTheme="minorEastAsia" w:hAnsiTheme="minorEastAsia"/>
          <w:color w:val="auto"/>
          <w:sz w:val="24"/>
          <w:highlight w:val="none"/>
        </w:rPr>
        <w:t>一、采购程序</w:t>
      </w:r>
      <w:bookmarkEnd w:id="181"/>
      <w:bookmarkEnd w:id="182"/>
      <w:bookmarkEnd w:id="183"/>
      <w:bookmarkEnd w:id="184"/>
      <w:bookmarkEnd w:id="185"/>
      <w:bookmarkEnd w:id="186"/>
    </w:p>
    <w:p w14:paraId="3D9682BF">
      <w:pPr>
        <w:pStyle w:val="12"/>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（一）询价按询价通知书规定的时间和地点进行。</w:t>
      </w:r>
    </w:p>
    <w:p w14:paraId="0582211A">
      <w:pPr>
        <w:pStyle w:val="12"/>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 xml:space="preserve">（二）由本项目询价小组对各供应商的资格条件、实质性响应等进行审查。 </w:t>
      </w:r>
    </w:p>
    <w:p w14:paraId="33FCF5BD">
      <w:pPr>
        <w:snapToGrid w:val="0"/>
        <w:spacing w:line="400" w:lineRule="exact"/>
        <w:ind w:firstLine="480" w:firstLineChars="200"/>
        <w:rPr>
          <w:rFonts w:hint="eastAsia" w:cs="宋体" w:asciiTheme="minorEastAsia" w:hAnsiTheme="minorEastAsia"/>
          <w:color w:val="auto"/>
          <w:kern w:val="0"/>
          <w:sz w:val="24"/>
          <w:szCs w:val="24"/>
          <w:highlight w:val="none"/>
        </w:rPr>
      </w:pPr>
      <w:r>
        <w:rPr>
          <w:rFonts w:hint="eastAsia" w:asciiTheme="minorEastAsia" w:hAnsiTheme="minorEastAsia"/>
          <w:color w:val="auto"/>
          <w:sz w:val="24"/>
          <w:szCs w:val="24"/>
          <w:highlight w:val="none"/>
        </w:rPr>
        <w:t>1.资格性审查。依据法律法规和询价通知书的规定，对响应文件中的资格证明材料、保证金等进行审查。资格性审查内容如下：</w:t>
      </w:r>
    </w:p>
    <w:tbl>
      <w:tblPr>
        <w:tblStyle w:val="21"/>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09"/>
        <w:gridCol w:w="2835"/>
        <w:gridCol w:w="5267"/>
      </w:tblGrid>
      <w:tr w14:paraId="18CE8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32322363">
            <w:pPr>
              <w:jc w:val="center"/>
              <w:rPr>
                <w:rFonts w:hint="eastAsia"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序号</w:t>
            </w:r>
          </w:p>
        </w:tc>
        <w:tc>
          <w:tcPr>
            <w:tcW w:w="3544" w:type="dxa"/>
            <w:gridSpan w:val="2"/>
            <w:tcBorders>
              <w:top w:val="single" w:color="auto" w:sz="4" w:space="0"/>
              <w:left w:val="single" w:color="auto" w:sz="4" w:space="0"/>
              <w:bottom w:val="single" w:color="auto" w:sz="4" w:space="0"/>
              <w:right w:val="single" w:color="auto" w:sz="4" w:space="0"/>
            </w:tcBorders>
            <w:vAlign w:val="center"/>
          </w:tcPr>
          <w:p w14:paraId="2EC893E6">
            <w:pPr>
              <w:jc w:val="center"/>
              <w:rPr>
                <w:rFonts w:hint="eastAsia"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检查因素</w:t>
            </w:r>
          </w:p>
        </w:tc>
        <w:tc>
          <w:tcPr>
            <w:tcW w:w="5267" w:type="dxa"/>
            <w:tcBorders>
              <w:top w:val="single" w:color="auto" w:sz="4" w:space="0"/>
              <w:left w:val="single" w:color="auto" w:sz="4" w:space="0"/>
              <w:bottom w:val="single" w:color="auto" w:sz="4" w:space="0"/>
              <w:right w:val="single" w:color="auto" w:sz="4" w:space="0"/>
            </w:tcBorders>
            <w:vAlign w:val="center"/>
          </w:tcPr>
          <w:p w14:paraId="006B9764">
            <w:pPr>
              <w:jc w:val="center"/>
              <w:rPr>
                <w:rFonts w:hint="eastAsia"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检查内容</w:t>
            </w:r>
          </w:p>
        </w:tc>
      </w:tr>
      <w:tr w14:paraId="1C55D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vAlign w:val="center"/>
          </w:tcPr>
          <w:p w14:paraId="7A26C461">
            <w:pPr>
              <w:jc w:val="center"/>
              <w:rPr>
                <w:rFonts w:hint="eastAsia" w:asciiTheme="minorEastAsia" w:hAnsiTheme="minorEastAsia"/>
                <w:color w:val="auto"/>
                <w:szCs w:val="21"/>
                <w:highlight w:val="none"/>
              </w:rPr>
            </w:pPr>
            <w:r>
              <w:rPr>
                <w:rFonts w:hint="eastAsia" w:asciiTheme="minorEastAsia" w:hAnsiTheme="minorEastAsia"/>
                <w:color w:val="auto"/>
                <w:szCs w:val="21"/>
                <w:highlight w:val="none"/>
              </w:rPr>
              <w:t>（一）</w:t>
            </w:r>
          </w:p>
        </w:tc>
        <w:tc>
          <w:tcPr>
            <w:tcW w:w="709" w:type="dxa"/>
            <w:vMerge w:val="restart"/>
            <w:vAlign w:val="center"/>
          </w:tcPr>
          <w:p w14:paraId="6F011732">
            <w:pPr>
              <w:rPr>
                <w:rFonts w:hint="eastAsia" w:cs="仿宋_GB2312" w:asciiTheme="minorEastAsia" w:hAnsiTheme="minorEastAsia"/>
                <w:color w:val="auto"/>
                <w:szCs w:val="21"/>
                <w:highlight w:val="none"/>
                <w:lang w:val="zh-CN"/>
              </w:rPr>
            </w:pPr>
            <w:r>
              <w:rPr>
                <w:rFonts w:hint="eastAsia" w:cs="仿宋_GB2312" w:asciiTheme="minorEastAsia" w:hAnsiTheme="minorEastAsia"/>
                <w:color w:val="auto"/>
                <w:szCs w:val="21"/>
                <w:highlight w:val="none"/>
                <w:lang w:val="zh-CN"/>
              </w:rPr>
              <w:t>《中华人民共和国政府采购法》第二十二条规定</w:t>
            </w:r>
          </w:p>
        </w:tc>
        <w:tc>
          <w:tcPr>
            <w:tcW w:w="2835" w:type="dxa"/>
            <w:vAlign w:val="center"/>
          </w:tcPr>
          <w:p w14:paraId="31FAA532">
            <w:pPr>
              <w:rPr>
                <w:rFonts w:hint="eastAsia" w:asciiTheme="minorEastAsia" w:hAnsiTheme="minorEastAsia"/>
                <w:color w:val="auto"/>
                <w:szCs w:val="21"/>
                <w:highlight w:val="none"/>
              </w:rPr>
            </w:pPr>
            <w:r>
              <w:rPr>
                <w:rFonts w:hint="eastAsia" w:asciiTheme="minorEastAsia" w:hAnsiTheme="minorEastAsia"/>
                <w:color w:val="auto"/>
                <w:szCs w:val="21"/>
                <w:highlight w:val="none"/>
              </w:rPr>
              <w:t>1.具有独立承担民事责任的能力</w:t>
            </w:r>
          </w:p>
        </w:tc>
        <w:tc>
          <w:tcPr>
            <w:tcW w:w="5267" w:type="dxa"/>
            <w:vAlign w:val="center"/>
          </w:tcPr>
          <w:p w14:paraId="738A06DB">
            <w:pPr>
              <w:rPr>
                <w:rFonts w:hint="eastAsia" w:asciiTheme="minorEastAsia" w:hAnsiTheme="minorEastAsia"/>
                <w:color w:val="auto"/>
                <w:szCs w:val="21"/>
                <w:highlight w:val="none"/>
              </w:rPr>
            </w:pPr>
            <w:r>
              <w:rPr>
                <w:rFonts w:hint="eastAsia" w:asciiTheme="minorEastAsia" w:hAnsiTheme="minorEastAsia"/>
                <w:color w:val="auto"/>
                <w:szCs w:val="21"/>
                <w:highlight w:val="none"/>
              </w:rPr>
              <w:t xml:space="preserve">1.供应商法人营业执照（副本）或事业单位法人证书（副本）或个体工商户营业执照或有效的自然人身份证明或社会团体法人登记证书（提供复印件）。 </w:t>
            </w:r>
          </w:p>
          <w:p w14:paraId="6D7A9CBE">
            <w:pPr>
              <w:rPr>
                <w:rFonts w:hint="eastAsia" w:asciiTheme="minorEastAsia" w:hAnsiTheme="minorEastAsia"/>
                <w:color w:val="auto"/>
                <w:szCs w:val="21"/>
                <w:highlight w:val="none"/>
              </w:rPr>
            </w:pPr>
            <w:r>
              <w:rPr>
                <w:rFonts w:hint="eastAsia" w:asciiTheme="minorEastAsia" w:hAnsiTheme="minorEastAsia"/>
                <w:color w:val="auto"/>
                <w:szCs w:val="21"/>
                <w:highlight w:val="none"/>
              </w:rPr>
              <w:t>2.供应商法定代表人身份证明和法定代表人授权代表委托书。</w:t>
            </w:r>
          </w:p>
        </w:tc>
      </w:tr>
      <w:tr w14:paraId="36EAC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2BA74A20">
            <w:pPr>
              <w:jc w:val="center"/>
              <w:rPr>
                <w:rFonts w:hint="eastAsia" w:asciiTheme="minorEastAsia" w:hAnsiTheme="minorEastAsia"/>
                <w:color w:val="auto"/>
                <w:szCs w:val="21"/>
                <w:highlight w:val="none"/>
              </w:rPr>
            </w:pPr>
          </w:p>
        </w:tc>
        <w:tc>
          <w:tcPr>
            <w:tcW w:w="709" w:type="dxa"/>
            <w:vMerge w:val="continue"/>
            <w:vAlign w:val="center"/>
          </w:tcPr>
          <w:p w14:paraId="6DE918F0">
            <w:pPr>
              <w:rPr>
                <w:rFonts w:hint="eastAsia" w:cs="仿宋_GB2312" w:asciiTheme="minorEastAsia" w:hAnsiTheme="minorEastAsia"/>
                <w:color w:val="auto"/>
                <w:szCs w:val="21"/>
                <w:highlight w:val="none"/>
                <w:lang w:val="zh-CN"/>
              </w:rPr>
            </w:pPr>
          </w:p>
        </w:tc>
        <w:tc>
          <w:tcPr>
            <w:tcW w:w="2835" w:type="dxa"/>
            <w:vAlign w:val="center"/>
          </w:tcPr>
          <w:p w14:paraId="7D328C43">
            <w:pPr>
              <w:rPr>
                <w:rFonts w:hint="eastAsia" w:asciiTheme="minorEastAsia" w:hAnsiTheme="minorEastAsia"/>
                <w:color w:val="auto"/>
                <w:szCs w:val="21"/>
                <w:highlight w:val="none"/>
              </w:rPr>
            </w:pPr>
            <w:r>
              <w:rPr>
                <w:rFonts w:hint="eastAsia" w:cs="仿宋_GB2312" w:asciiTheme="minorEastAsia" w:hAnsiTheme="minorEastAsia"/>
                <w:color w:val="auto"/>
                <w:szCs w:val="21"/>
                <w:highlight w:val="none"/>
                <w:lang w:val="zh-CN"/>
              </w:rPr>
              <w:t>2.</w:t>
            </w:r>
            <w:r>
              <w:rPr>
                <w:rFonts w:hint="eastAsia" w:asciiTheme="minorEastAsia" w:hAnsiTheme="minorEastAsia"/>
                <w:color w:val="auto"/>
                <w:szCs w:val="21"/>
                <w:highlight w:val="none"/>
              </w:rPr>
              <w:t>具有良好的商业信誉和健全的财务会计制度</w:t>
            </w:r>
          </w:p>
        </w:tc>
        <w:tc>
          <w:tcPr>
            <w:tcW w:w="5267" w:type="dxa"/>
            <w:vMerge w:val="restart"/>
            <w:vAlign w:val="center"/>
          </w:tcPr>
          <w:p w14:paraId="1F763BB1">
            <w:pPr>
              <w:rPr>
                <w:rFonts w:hint="eastAsia" w:asciiTheme="minorEastAsia" w:hAnsiTheme="minorEastAsia"/>
                <w:b/>
                <w:color w:val="auto"/>
                <w:szCs w:val="21"/>
                <w:highlight w:val="none"/>
              </w:rPr>
            </w:pPr>
            <w:r>
              <w:rPr>
                <w:rFonts w:hint="eastAsia" w:asciiTheme="minorEastAsia" w:hAnsiTheme="minorEastAsia"/>
                <w:color w:val="auto"/>
                <w:szCs w:val="21"/>
                <w:highlight w:val="none"/>
              </w:rPr>
              <w:t>供应商提供“基本资格条件承诺函”（格式详见第七篇）</w:t>
            </w:r>
          </w:p>
        </w:tc>
      </w:tr>
      <w:tr w14:paraId="6E287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5CC9C924">
            <w:pPr>
              <w:jc w:val="center"/>
              <w:rPr>
                <w:rFonts w:hint="eastAsia" w:asciiTheme="minorEastAsia" w:hAnsiTheme="minorEastAsia"/>
                <w:color w:val="auto"/>
                <w:szCs w:val="21"/>
                <w:highlight w:val="none"/>
              </w:rPr>
            </w:pPr>
          </w:p>
        </w:tc>
        <w:tc>
          <w:tcPr>
            <w:tcW w:w="709" w:type="dxa"/>
            <w:vMerge w:val="continue"/>
            <w:vAlign w:val="center"/>
          </w:tcPr>
          <w:p w14:paraId="5D11EA12">
            <w:pPr>
              <w:rPr>
                <w:rFonts w:hint="eastAsia" w:cs="仿宋_GB2312" w:asciiTheme="minorEastAsia" w:hAnsiTheme="minorEastAsia"/>
                <w:color w:val="auto"/>
                <w:szCs w:val="21"/>
                <w:highlight w:val="none"/>
                <w:lang w:val="zh-CN"/>
              </w:rPr>
            </w:pPr>
          </w:p>
        </w:tc>
        <w:tc>
          <w:tcPr>
            <w:tcW w:w="2835" w:type="dxa"/>
            <w:vAlign w:val="center"/>
          </w:tcPr>
          <w:p w14:paraId="5E3D41A8">
            <w:pPr>
              <w:rPr>
                <w:rFonts w:hint="eastAsia" w:cs="仿宋_GB2312" w:asciiTheme="minorEastAsia" w:hAnsiTheme="minorEastAsia"/>
                <w:color w:val="auto"/>
                <w:szCs w:val="21"/>
                <w:highlight w:val="none"/>
                <w:lang w:val="zh-CN"/>
              </w:rPr>
            </w:pPr>
            <w:r>
              <w:rPr>
                <w:rFonts w:hint="eastAsia" w:cs="仿宋_GB2312" w:asciiTheme="minorEastAsia" w:hAnsiTheme="minorEastAsia"/>
                <w:color w:val="auto"/>
                <w:szCs w:val="21"/>
                <w:highlight w:val="none"/>
                <w:lang w:val="zh-CN"/>
              </w:rPr>
              <w:t>3.具有履行合同所必需的设备和专业技术能力</w:t>
            </w:r>
          </w:p>
        </w:tc>
        <w:tc>
          <w:tcPr>
            <w:tcW w:w="5267" w:type="dxa"/>
            <w:vMerge w:val="continue"/>
            <w:vAlign w:val="center"/>
          </w:tcPr>
          <w:p w14:paraId="4A7339DC">
            <w:pPr>
              <w:rPr>
                <w:rFonts w:hint="eastAsia" w:asciiTheme="minorEastAsia" w:hAnsiTheme="minorEastAsia"/>
                <w:color w:val="auto"/>
                <w:szCs w:val="21"/>
                <w:highlight w:val="none"/>
              </w:rPr>
            </w:pPr>
          </w:p>
        </w:tc>
      </w:tr>
      <w:tr w14:paraId="575BD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23CBF5B4">
            <w:pPr>
              <w:jc w:val="center"/>
              <w:rPr>
                <w:rFonts w:hint="eastAsia" w:asciiTheme="minorEastAsia" w:hAnsiTheme="minorEastAsia"/>
                <w:color w:val="auto"/>
                <w:szCs w:val="21"/>
                <w:highlight w:val="none"/>
              </w:rPr>
            </w:pPr>
          </w:p>
        </w:tc>
        <w:tc>
          <w:tcPr>
            <w:tcW w:w="709" w:type="dxa"/>
            <w:vMerge w:val="continue"/>
            <w:vAlign w:val="center"/>
          </w:tcPr>
          <w:p w14:paraId="2CF480CB">
            <w:pPr>
              <w:rPr>
                <w:rFonts w:hint="eastAsia" w:cs="仿宋_GB2312" w:asciiTheme="minorEastAsia" w:hAnsiTheme="minorEastAsia"/>
                <w:color w:val="auto"/>
                <w:szCs w:val="21"/>
                <w:highlight w:val="none"/>
                <w:lang w:val="zh-CN"/>
              </w:rPr>
            </w:pPr>
          </w:p>
        </w:tc>
        <w:tc>
          <w:tcPr>
            <w:tcW w:w="2835" w:type="dxa"/>
            <w:vAlign w:val="center"/>
          </w:tcPr>
          <w:p w14:paraId="1D26A6C9">
            <w:pPr>
              <w:rPr>
                <w:rFonts w:hint="eastAsia" w:cs="仿宋_GB2312" w:asciiTheme="minorEastAsia" w:hAnsiTheme="minorEastAsia"/>
                <w:color w:val="auto"/>
                <w:szCs w:val="21"/>
                <w:highlight w:val="none"/>
                <w:lang w:val="zh-CN"/>
              </w:rPr>
            </w:pPr>
            <w:r>
              <w:rPr>
                <w:rFonts w:hint="eastAsia" w:cs="仿宋_GB2312" w:asciiTheme="minorEastAsia" w:hAnsiTheme="minorEastAsia"/>
                <w:color w:val="auto"/>
                <w:szCs w:val="21"/>
                <w:highlight w:val="none"/>
                <w:lang w:val="zh-CN"/>
              </w:rPr>
              <w:t>4.有依法缴纳税收和社会保障金的良好记录</w:t>
            </w:r>
          </w:p>
        </w:tc>
        <w:tc>
          <w:tcPr>
            <w:tcW w:w="5267" w:type="dxa"/>
            <w:vMerge w:val="continue"/>
            <w:vAlign w:val="center"/>
          </w:tcPr>
          <w:p w14:paraId="2F9F9E8A">
            <w:pPr>
              <w:rPr>
                <w:rFonts w:hint="eastAsia" w:asciiTheme="minorEastAsia" w:hAnsiTheme="minorEastAsia"/>
                <w:color w:val="auto"/>
                <w:szCs w:val="21"/>
                <w:highlight w:val="none"/>
              </w:rPr>
            </w:pPr>
          </w:p>
        </w:tc>
      </w:tr>
      <w:tr w14:paraId="0B6D3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continue"/>
            <w:vAlign w:val="center"/>
          </w:tcPr>
          <w:p w14:paraId="1ADA38D0">
            <w:pPr>
              <w:jc w:val="center"/>
              <w:rPr>
                <w:rFonts w:hint="eastAsia" w:asciiTheme="minorEastAsia" w:hAnsiTheme="minorEastAsia"/>
                <w:color w:val="auto"/>
                <w:szCs w:val="21"/>
                <w:highlight w:val="none"/>
              </w:rPr>
            </w:pPr>
          </w:p>
        </w:tc>
        <w:tc>
          <w:tcPr>
            <w:tcW w:w="709" w:type="dxa"/>
            <w:vMerge w:val="continue"/>
            <w:vAlign w:val="center"/>
          </w:tcPr>
          <w:p w14:paraId="4EA0F419">
            <w:pPr>
              <w:rPr>
                <w:rFonts w:hint="eastAsia" w:cs="仿宋_GB2312" w:asciiTheme="minorEastAsia" w:hAnsiTheme="minorEastAsia"/>
                <w:color w:val="auto"/>
                <w:szCs w:val="21"/>
                <w:highlight w:val="none"/>
                <w:lang w:val="zh-CN"/>
              </w:rPr>
            </w:pPr>
          </w:p>
        </w:tc>
        <w:tc>
          <w:tcPr>
            <w:tcW w:w="2835" w:type="dxa"/>
            <w:vAlign w:val="center"/>
          </w:tcPr>
          <w:p w14:paraId="2E27D28F">
            <w:pPr>
              <w:rPr>
                <w:rFonts w:hint="eastAsia" w:cs="仿宋_GB2312" w:asciiTheme="minorEastAsia" w:hAnsiTheme="minorEastAsia"/>
                <w:color w:val="auto"/>
                <w:szCs w:val="21"/>
                <w:highlight w:val="none"/>
                <w:lang w:val="zh-CN"/>
              </w:rPr>
            </w:pPr>
            <w:r>
              <w:rPr>
                <w:rFonts w:hint="eastAsia" w:asciiTheme="minorEastAsia" w:hAnsiTheme="minorEastAsia"/>
                <w:color w:val="auto"/>
                <w:szCs w:val="21"/>
                <w:highlight w:val="none"/>
              </w:rPr>
              <w:t>5.参加政府采购活动前三年内，在经营活动中没有重大违法记录</w:t>
            </w:r>
          </w:p>
        </w:tc>
        <w:tc>
          <w:tcPr>
            <w:tcW w:w="5267" w:type="dxa"/>
            <w:vMerge w:val="continue"/>
            <w:vAlign w:val="center"/>
          </w:tcPr>
          <w:p w14:paraId="13522EA1">
            <w:pPr>
              <w:rPr>
                <w:rFonts w:hint="eastAsia" w:asciiTheme="minorEastAsia" w:hAnsiTheme="minorEastAsia"/>
                <w:b/>
                <w:color w:val="auto"/>
                <w:szCs w:val="21"/>
                <w:highlight w:val="none"/>
              </w:rPr>
            </w:pPr>
          </w:p>
        </w:tc>
      </w:tr>
      <w:tr w14:paraId="0854F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17" w:type="dxa"/>
            <w:vMerge w:val="continue"/>
            <w:vAlign w:val="center"/>
          </w:tcPr>
          <w:p w14:paraId="3234F549">
            <w:pPr>
              <w:jc w:val="center"/>
              <w:rPr>
                <w:rFonts w:hint="eastAsia" w:asciiTheme="minorEastAsia" w:hAnsiTheme="minorEastAsia"/>
                <w:color w:val="auto"/>
                <w:szCs w:val="21"/>
                <w:highlight w:val="none"/>
              </w:rPr>
            </w:pPr>
          </w:p>
        </w:tc>
        <w:tc>
          <w:tcPr>
            <w:tcW w:w="709" w:type="dxa"/>
            <w:vMerge w:val="continue"/>
            <w:vAlign w:val="center"/>
          </w:tcPr>
          <w:p w14:paraId="7F5FB9D1">
            <w:pPr>
              <w:rPr>
                <w:rFonts w:hint="eastAsia" w:cs="仿宋_GB2312" w:asciiTheme="minorEastAsia" w:hAnsiTheme="minorEastAsia"/>
                <w:color w:val="auto"/>
                <w:szCs w:val="21"/>
                <w:highlight w:val="none"/>
              </w:rPr>
            </w:pPr>
          </w:p>
        </w:tc>
        <w:tc>
          <w:tcPr>
            <w:tcW w:w="2835" w:type="dxa"/>
            <w:vAlign w:val="center"/>
          </w:tcPr>
          <w:p w14:paraId="24F878BD">
            <w:pPr>
              <w:rPr>
                <w:rFonts w:hint="eastAsia" w:asciiTheme="minorEastAsia" w:hAnsiTheme="minorEastAsia"/>
                <w:color w:val="auto"/>
                <w:szCs w:val="21"/>
                <w:highlight w:val="none"/>
              </w:rPr>
            </w:pPr>
            <w:r>
              <w:rPr>
                <w:rFonts w:hint="eastAsia" w:asciiTheme="minorEastAsia" w:hAnsiTheme="minorEastAsia"/>
                <w:color w:val="auto"/>
                <w:szCs w:val="21"/>
                <w:highlight w:val="none"/>
              </w:rPr>
              <w:t>6.法律、行政法规规定的其他条件</w:t>
            </w:r>
          </w:p>
        </w:tc>
        <w:tc>
          <w:tcPr>
            <w:tcW w:w="5267" w:type="dxa"/>
            <w:vAlign w:val="center"/>
          </w:tcPr>
          <w:p w14:paraId="1BFD10FC">
            <w:pPr>
              <w:rPr>
                <w:rFonts w:hint="eastAsia" w:asciiTheme="minorEastAsia" w:hAnsiTheme="minorEastAsia"/>
                <w:color w:val="auto"/>
                <w:szCs w:val="21"/>
                <w:highlight w:val="none"/>
              </w:rPr>
            </w:pPr>
          </w:p>
        </w:tc>
      </w:tr>
      <w:tr w14:paraId="7BAFC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17" w:type="dxa"/>
            <w:vMerge w:val="continue"/>
            <w:vAlign w:val="center"/>
          </w:tcPr>
          <w:p w14:paraId="634E50F9">
            <w:pPr>
              <w:jc w:val="center"/>
              <w:rPr>
                <w:rFonts w:hint="eastAsia" w:asciiTheme="minorEastAsia" w:hAnsiTheme="minorEastAsia"/>
                <w:color w:val="auto"/>
                <w:szCs w:val="21"/>
                <w:highlight w:val="none"/>
              </w:rPr>
            </w:pPr>
          </w:p>
        </w:tc>
        <w:tc>
          <w:tcPr>
            <w:tcW w:w="709" w:type="dxa"/>
            <w:vMerge w:val="continue"/>
            <w:vAlign w:val="center"/>
          </w:tcPr>
          <w:p w14:paraId="1A3A83CE">
            <w:pPr>
              <w:rPr>
                <w:rFonts w:hint="eastAsia" w:cs="仿宋_GB2312" w:asciiTheme="minorEastAsia" w:hAnsiTheme="minorEastAsia"/>
                <w:color w:val="auto"/>
                <w:szCs w:val="21"/>
                <w:highlight w:val="none"/>
              </w:rPr>
            </w:pPr>
          </w:p>
        </w:tc>
        <w:tc>
          <w:tcPr>
            <w:tcW w:w="2835" w:type="dxa"/>
            <w:vAlign w:val="center"/>
          </w:tcPr>
          <w:p w14:paraId="07899800">
            <w:pPr>
              <w:rPr>
                <w:rFonts w:hint="eastAsia" w:asciiTheme="minorEastAsia" w:hAnsiTheme="minorEastAsia"/>
                <w:color w:val="auto"/>
                <w:szCs w:val="21"/>
                <w:highlight w:val="none"/>
              </w:rPr>
            </w:pPr>
            <w:r>
              <w:rPr>
                <w:rFonts w:hint="eastAsia" w:asciiTheme="minorEastAsia" w:hAnsiTheme="minorEastAsia"/>
                <w:color w:val="auto"/>
                <w:szCs w:val="21"/>
                <w:highlight w:val="none"/>
              </w:rPr>
              <w:t>7.本项目的特定资格要求</w:t>
            </w:r>
          </w:p>
        </w:tc>
        <w:tc>
          <w:tcPr>
            <w:tcW w:w="5267" w:type="dxa"/>
            <w:vAlign w:val="center"/>
          </w:tcPr>
          <w:p w14:paraId="7855D697">
            <w:pPr>
              <w:rPr>
                <w:rFonts w:hint="eastAsia" w:asciiTheme="minorEastAsia" w:hAnsiTheme="minorEastAsia"/>
                <w:color w:val="auto"/>
                <w:szCs w:val="21"/>
                <w:highlight w:val="none"/>
              </w:rPr>
            </w:pPr>
            <w:r>
              <w:rPr>
                <w:rFonts w:hint="eastAsia" w:asciiTheme="minorEastAsia" w:hAnsiTheme="minorEastAsia"/>
                <w:color w:val="auto"/>
                <w:szCs w:val="21"/>
                <w:highlight w:val="none"/>
              </w:rPr>
              <w:t>按“第一篇三、供应商资格要求（三）本项目的特定资格要求”的要求提交（如果有）。</w:t>
            </w:r>
          </w:p>
        </w:tc>
      </w:tr>
    </w:tbl>
    <w:p w14:paraId="3AC53E47">
      <w:pPr>
        <w:snapToGrid w:val="0"/>
        <w:spacing w:line="400" w:lineRule="exact"/>
        <w:ind w:firstLine="480" w:firstLineChars="200"/>
        <w:rPr>
          <w:rFonts w:hint="eastAsia" w:cs="宋体" w:asciiTheme="minorEastAsia" w:hAnsiTheme="minorEastAsia"/>
          <w:color w:val="auto"/>
          <w:kern w:val="0"/>
          <w:sz w:val="24"/>
          <w:szCs w:val="24"/>
          <w:highlight w:val="none"/>
        </w:rPr>
      </w:pPr>
      <w:r>
        <w:rPr>
          <w:rFonts w:hint="eastAsia" w:cs="宋体" w:asciiTheme="minorEastAsia" w:hAnsiTheme="minorEastAsia"/>
          <w:color w:val="auto"/>
          <w:kern w:val="0"/>
          <w:sz w:val="24"/>
          <w:szCs w:val="24"/>
          <w:highlight w:val="none"/>
        </w:rPr>
        <w:t>注：</w:t>
      </w:r>
    </w:p>
    <w:p w14:paraId="364A61DD">
      <w:pPr>
        <w:snapToGrid w:val="0"/>
        <w:spacing w:line="400" w:lineRule="exact"/>
        <w:ind w:firstLine="480" w:firstLineChars="200"/>
        <w:rPr>
          <w:rFonts w:hint="eastAsia" w:asciiTheme="minorEastAsia" w:hAnsiTheme="minorEastAsia"/>
          <w:color w:val="auto"/>
          <w:sz w:val="24"/>
          <w:szCs w:val="24"/>
          <w:highlight w:val="none"/>
        </w:rPr>
      </w:pPr>
      <w:r>
        <w:rPr>
          <w:rFonts w:cs="宋体" w:asciiTheme="minorEastAsia" w:hAnsiTheme="minorEastAsia"/>
          <w:color w:val="auto"/>
          <w:kern w:val="0"/>
          <w:sz w:val="24"/>
          <w:szCs w:val="24"/>
          <w:highlight w:val="none"/>
        </w:rPr>
        <w:fldChar w:fldCharType="begin"/>
      </w:r>
      <w:r>
        <w:rPr>
          <w:rFonts w:cs="宋体" w:asciiTheme="minorEastAsia" w:hAnsiTheme="minorEastAsia"/>
          <w:color w:val="auto"/>
          <w:kern w:val="0"/>
          <w:sz w:val="24"/>
          <w:szCs w:val="24"/>
          <w:highlight w:val="none"/>
        </w:rPr>
        <w:instrText xml:space="preserve"> </w:instrText>
      </w:r>
      <w:r>
        <w:rPr>
          <w:rFonts w:hint="eastAsia" w:cs="宋体" w:asciiTheme="minorEastAsia" w:hAnsiTheme="minorEastAsia"/>
          <w:color w:val="auto"/>
          <w:kern w:val="0"/>
          <w:sz w:val="24"/>
          <w:szCs w:val="24"/>
          <w:highlight w:val="none"/>
        </w:rPr>
        <w:instrText xml:space="preserve">eq \o\ac(○,</w:instrText>
      </w:r>
      <w:r>
        <w:rPr>
          <w:rFonts w:hint="eastAsia" w:cs="宋体" w:asciiTheme="minorEastAsia" w:hAnsiTheme="minorEastAsia"/>
          <w:color w:val="auto"/>
          <w:kern w:val="0"/>
          <w:position w:val="3"/>
          <w:sz w:val="16"/>
          <w:szCs w:val="24"/>
          <w:highlight w:val="none"/>
        </w:rPr>
        <w:instrText xml:space="preserve">1</w:instrText>
      </w:r>
      <w:r>
        <w:rPr>
          <w:rFonts w:hint="eastAsia" w:cs="宋体" w:asciiTheme="minorEastAsia" w:hAnsiTheme="minorEastAsia"/>
          <w:color w:val="auto"/>
          <w:kern w:val="0"/>
          <w:sz w:val="24"/>
          <w:szCs w:val="24"/>
          <w:highlight w:val="none"/>
        </w:rPr>
        <w:instrText xml:space="preserve">)</w:instrText>
      </w:r>
      <w:r>
        <w:rPr>
          <w:rFonts w:cs="宋体" w:asciiTheme="minorEastAsia" w:hAnsiTheme="minorEastAsia"/>
          <w:color w:val="auto"/>
          <w:kern w:val="0"/>
          <w:sz w:val="24"/>
          <w:szCs w:val="24"/>
          <w:highlight w:val="none"/>
        </w:rPr>
        <w:fldChar w:fldCharType="end"/>
      </w:r>
      <w:r>
        <w:rPr>
          <w:rFonts w:hint="eastAsia" w:cs="宋体" w:asciiTheme="minorEastAsia" w:hAnsiTheme="minorEastAsia"/>
          <w:color w:val="auto"/>
          <w:kern w:val="0"/>
          <w:sz w:val="24"/>
          <w:szCs w:val="24"/>
          <w:highlight w:val="none"/>
        </w:rPr>
        <w:t>根据《</w:t>
      </w:r>
      <w:r>
        <w:rPr>
          <w:rFonts w:cs="宋体" w:asciiTheme="minorEastAsia" w:hAnsiTheme="minorEastAsia"/>
          <w:color w:val="auto"/>
          <w:kern w:val="0"/>
          <w:sz w:val="24"/>
          <w:szCs w:val="24"/>
          <w:highlight w:val="none"/>
        </w:rPr>
        <w:t>中华人民共和国政府采购法实施条例</w:t>
      </w:r>
      <w:r>
        <w:rPr>
          <w:rFonts w:hint="eastAsia" w:cs="宋体" w:asciiTheme="minorEastAsia" w:hAnsiTheme="minorEastAsia"/>
          <w:color w:val="auto"/>
          <w:kern w:val="0"/>
          <w:sz w:val="24"/>
          <w:szCs w:val="24"/>
          <w:highlight w:val="none"/>
        </w:rPr>
        <w:t>》第十九条“参加政府采购活动前三年内，在经营活动中没有重大违法记录”中“重大违法记录”</w:t>
      </w:r>
      <w:r>
        <w:rPr>
          <w:rFonts w:cs="宋体" w:asciiTheme="minorEastAsia" w:hAnsiTheme="minorEastAsia"/>
          <w:color w:val="auto"/>
          <w:kern w:val="0"/>
          <w:sz w:val="24"/>
          <w:szCs w:val="24"/>
          <w:highlight w:val="none"/>
        </w:rPr>
        <w:t>，是指供应商因违法经营受到刑事处罚或者责令停产停业、吊销许可证或者执照、较大数额罚款等行政处罚。</w:t>
      </w:r>
      <w:r>
        <w:rPr>
          <w:rFonts w:hint="eastAsia" w:cs="宋体" w:asciiTheme="minorEastAsia" w:hAnsiTheme="minorEastAsia"/>
          <w:color w:val="auto"/>
          <w:kern w:val="0"/>
          <w:sz w:val="24"/>
          <w:szCs w:val="24"/>
          <w:highlight w:val="none"/>
        </w:rPr>
        <w:t>行政处罚中“较大数额”的认定标准，按照“</w:t>
      </w:r>
      <w:r>
        <w:rPr>
          <w:rFonts w:cs="宋体" w:asciiTheme="minorEastAsia" w:hAnsiTheme="minorEastAsia"/>
          <w:color w:val="auto"/>
          <w:kern w:val="0"/>
          <w:sz w:val="24"/>
          <w:szCs w:val="24"/>
          <w:highlight w:val="none"/>
        </w:rPr>
        <w:t>财政部关于《中华人民共和国政府采购法实施条例》第十九条第一款“较大数额罚款”具体适用问题的意见</w:t>
      </w:r>
      <w:r>
        <w:rPr>
          <w:rFonts w:hint="eastAsia" w:cs="宋体" w:asciiTheme="minorEastAsia" w:hAnsiTheme="minorEastAsia"/>
          <w:color w:val="auto"/>
          <w:kern w:val="0"/>
          <w:sz w:val="24"/>
          <w:szCs w:val="24"/>
          <w:highlight w:val="none"/>
        </w:rPr>
        <w:t>（财库〔2022〕3 号）”执行。供应商可于响应文件递交截止时间前通过 “信用中国”网站(www.creditchina.gov.cn)、"中国政府采购网"(www.ccgp.gov.cn)等渠道查询信用记录。</w:t>
      </w:r>
    </w:p>
    <w:p w14:paraId="2245E300">
      <w:pPr>
        <w:snapToGrid w:val="0"/>
        <w:spacing w:line="400" w:lineRule="exact"/>
        <w:ind w:firstLine="480" w:firstLineChars="200"/>
        <w:rPr>
          <w:rFonts w:hint="eastAsia" w:asciiTheme="minorEastAsia" w:hAnsiTheme="minorEastAsia"/>
          <w:color w:val="auto"/>
          <w:kern w:val="0"/>
          <w:sz w:val="24"/>
          <w:szCs w:val="24"/>
          <w:highlight w:val="none"/>
        </w:rPr>
      </w:pPr>
      <w:r>
        <w:rPr>
          <w:rFonts w:hint="eastAsia" w:asciiTheme="minorEastAsia" w:hAnsiTheme="minorEastAsia"/>
          <w:color w:val="auto"/>
          <w:sz w:val="24"/>
          <w:szCs w:val="24"/>
          <w:highlight w:val="none"/>
        </w:rPr>
        <w:t>2.实质性响应审查。询价小组应当对响应文件进行评审，并根据询价通知书规定的采购程序、评定成交的标准等事项与实质性响应询价通知书要求的供应商进行评审。未实质性响应询价通知书的响应文件按无效处理，询价小组应当告知有关供应商。实质性响应审查内容如下：</w:t>
      </w:r>
    </w:p>
    <w:tbl>
      <w:tblPr>
        <w:tblStyle w:val="21"/>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694"/>
        <w:gridCol w:w="6259"/>
      </w:tblGrid>
      <w:tr w14:paraId="26BB3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vAlign w:val="center"/>
          </w:tcPr>
          <w:p w14:paraId="44BF923B">
            <w:pPr>
              <w:jc w:val="center"/>
              <w:rPr>
                <w:rFonts w:hint="eastAsia"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序号</w:t>
            </w:r>
          </w:p>
        </w:tc>
        <w:tc>
          <w:tcPr>
            <w:tcW w:w="2694" w:type="dxa"/>
            <w:vAlign w:val="center"/>
          </w:tcPr>
          <w:p w14:paraId="126B4CC6">
            <w:pPr>
              <w:jc w:val="center"/>
              <w:rPr>
                <w:rFonts w:hint="eastAsia"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审查因素</w:t>
            </w:r>
          </w:p>
        </w:tc>
        <w:tc>
          <w:tcPr>
            <w:tcW w:w="6259" w:type="dxa"/>
            <w:vAlign w:val="center"/>
          </w:tcPr>
          <w:p w14:paraId="2A5549F6">
            <w:pPr>
              <w:jc w:val="center"/>
              <w:rPr>
                <w:rFonts w:hint="eastAsia" w:cs="宋体" w:asciiTheme="minorEastAsia" w:hAnsiTheme="minorEastAsia"/>
                <w:b/>
                <w:color w:val="auto"/>
                <w:kern w:val="0"/>
                <w:szCs w:val="21"/>
                <w:highlight w:val="none"/>
              </w:rPr>
            </w:pPr>
            <w:r>
              <w:rPr>
                <w:rFonts w:hint="eastAsia" w:cs="宋体" w:asciiTheme="minorEastAsia" w:hAnsiTheme="minorEastAsia"/>
                <w:b/>
                <w:color w:val="auto"/>
                <w:kern w:val="0"/>
                <w:szCs w:val="21"/>
                <w:highlight w:val="none"/>
              </w:rPr>
              <w:t>审查标准</w:t>
            </w:r>
          </w:p>
        </w:tc>
      </w:tr>
      <w:tr w14:paraId="29C36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75" w:type="dxa"/>
            <w:vMerge w:val="restart"/>
            <w:vAlign w:val="center"/>
          </w:tcPr>
          <w:p w14:paraId="72A3798A">
            <w:pPr>
              <w:jc w:val="center"/>
              <w:rPr>
                <w:rFonts w:hint="eastAsia"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1</w:t>
            </w:r>
          </w:p>
        </w:tc>
        <w:tc>
          <w:tcPr>
            <w:tcW w:w="2694" w:type="dxa"/>
            <w:vAlign w:val="center"/>
          </w:tcPr>
          <w:p w14:paraId="36158638">
            <w:pPr>
              <w:rPr>
                <w:rFonts w:hint="eastAsia" w:cs="宋体" w:asciiTheme="minorEastAsia" w:hAnsiTheme="minorEastAsia"/>
                <w:color w:val="auto"/>
                <w:kern w:val="0"/>
                <w:szCs w:val="21"/>
                <w:highlight w:val="none"/>
              </w:rPr>
            </w:pPr>
            <w:r>
              <w:rPr>
                <w:rFonts w:hint="eastAsia" w:asciiTheme="minorEastAsia" w:hAnsiTheme="minorEastAsia"/>
                <w:color w:val="auto"/>
                <w:szCs w:val="21"/>
                <w:highlight w:val="none"/>
              </w:rPr>
              <w:t>响应文件签署或盖章</w:t>
            </w:r>
          </w:p>
        </w:tc>
        <w:tc>
          <w:tcPr>
            <w:tcW w:w="6259" w:type="dxa"/>
            <w:vAlign w:val="center"/>
          </w:tcPr>
          <w:p w14:paraId="4AA42B3C">
            <w:pPr>
              <w:rPr>
                <w:rFonts w:hint="eastAsia" w:cs="宋体" w:asciiTheme="minorEastAsia" w:hAnsiTheme="minorEastAsia"/>
                <w:color w:val="auto"/>
                <w:kern w:val="0"/>
                <w:szCs w:val="21"/>
                <w:highlight w:val="none"/>
              </w:rPr>
            </w:pPr>
            <w:r>
              <w:rPr>
                <w:rFonts w:hint="eastAsia" w:asciiTheme="minorEastAsia" w:hAnsiTheme="minorEastAsia"/>
                <w:color w:val="auto"/>
                <w:szCs w:val="21"/>
                <w:highlight w:val="none"/>
              </w:rPr>
              <w:t>按“第七篇响应文件格式要求”要求签署或盖章</w:t>
            </w:r>
          </w:p>
        </w:tc>
      </w:tr>
      <w:tr w14:paraId="13DE7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75" w:type="dxa"/>
            <w:vMerge w:val="continue"/>
            <w:vAlign w:val="center"/>
          </w:tcPr>
          <w:p w14:paraId="0023D3BD">
            <w:pPr>
              <w:jc w:val="center"/>
              <w:rPr>
                <w:rFonts w:hint="eastAsia" w:cs="宋体" w:asciiTheme="minorEastAsia" w:hAnsiTheme="minorEastAsia"/>
                <w:color w:val="auto"/>
                <w:kern w:val="0"/>
                <w:szCs w:val="21"/>
                <w:highlight w:val="none"/>
              </w:rPr>
            </w:pPr>
          </w:p>
        </w:tc>
        <w:tc>
          <w:tcPr>
            <w:tcW w:w="2694" w:type="dxa"/>
            <w:vAlign w:val="center"/>
          </w:tcPr>
          <w:p w14:paraId="1B01C407">
            <w:pPr>
              <w:rPr>
                <w:rFonts w:hint="eastAsia" w:asciiTheme="minorEastAsia" w:hAnsiTheme="minorEastAsia"/>
                <w:color w:val="auto"/>
                <w:szCs w:val="21"/>
                <w:highlight w:val="none"/>
              </w:rPr>
            </w:pPr>
            <w:r>
              <w:rPr>
                <w:rFonts w:hint="eastAsia" w:asciiTheme="minorEastAsia" w:hAnsiTheme="minorEastAsia"/>
                <w:color w:val="auto"/>
                <w:szCs w:val="21"/>
                <w:highlight w:val="none"/>
              </w:rPr>
              <w:t>法定代表人身份证明及授权委托书</w:t>
            </w:r>
          </w:p>
        </w:tc>
        <w:tc>
          <w:tcPr>
            <w:tcW w:w="6259" w:type="dxa"/>
            <w:vAlign w:val="center"/>
          </w:tcPr>
          <w:p w14:paraId="555FCDFB">
            <w:pPr>
              <w:rPr>
                <w:rFonts w:hint="eastAsia" w:asciiTheme="minorEastAsia" w:hAnsiTheme="minorEastAsia"/>
                <w:color w:val="auto"/>
                <w:szCs w:val="21"/>
                <w:highlight w:val="none"/>
              </w:rPr>
            </w:pPr>
            <w:r>
              <w:rPr>
                <w:rFonts w:hint="eastAsia" w:asciiTheme="minorEastAsia" w:hAnsiTheme="minorEastAsia"/>
                <w:color w:val="auto"/>
                <w:szCs w:val="21"/>
                <w:highlight w:val="none"/>
              </w:rPr>
              <w:t>法定代表人身份证明及授权委托书有效，符合询价通知书规定的格式，签署或盖章齐全。</w:t>
            </w:r>
          </w:p>
        </w:tc>
      </w:tr>
      <w:tr w14:paraId="06A20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vAlign w:val="center"/>
          </w:tcPr>
          <w:p w14:paraId="6675E1DF">
            <w:pPr>
              <w:jc w:val="center"/>
              <w:rPr>
                <w:rFonts w:hint="eastAsia" w:cs="宋体" w:asciiTheme="minorEastAsia" w:hAnsiTheme="minorEastAsia"/>
                <w:color w:val="auto"/>
                <w:kern w:val="0"/>
                <w:szCs w:val="21"/>
                <w:highlight w:val="none"/>
              </w:rPr>
            </w:pPr>
          </w:p>
        </w:tc>
        <w:tc>
          <w:tcPr>
            <w:tcW w:w="2694" w:type="dxa"/>
            <w:vAlign w:val="center"/>
          </w:tcPr>
          <w:p w14:paraId="3822276E">
            <w:pPr>
              <w:rPr>
                <w:rFonts w:hint="eastAsia" w:cs="仿宋_GB2312" w:asciiTheme="minorEastAsia" w:hAnsiTheme="minorEastAsia"/>
                <w:color w:val="auto"/>
                <w:szCs w:val="21"/>
                <w:highlight w:val="none"/>
                <w:lang w:val="zh-CN"/>
              </w:rPr>
            </w:pPr>
            <w:r>
              <w:rPr>
                <w:rFonts w:hint="eastAsia" w:cs="仿宋_GB2312" w:asciiTheme="minorEastAsia" w:hAnsiTheme="minorEastAsia"/>
                <w:color w:val="auto"/>
                <w:szCs w:val="21"/>
                <w:highlight w:val="none"/>
              </w:rPr>
              <w:t>响应</w:t>
            </w:r>
            <w:r>
              <w:rPr>
                <w:rFonts w:hint="eastAsia" w:cs="仿宋_GB2312" w:asciiTheme="minorEastAsia" w:hAnsiTheme="minorEastAsia"/>
                <w:color w:val="auto"/>
                <w:szCs w:val="21"/>
                <w:highlight w:val="none"/>
                <w:lang w:val="zh-CN"/>
              </w:rPr>
              <w:t>方案</w:t>
            </w:r>
          </w:p>
        </w:tc>
        <w:tc>
          <w:tcPr>
            <w:tcW w:w="6259" w:type="dxa"/>
            <w:vAlign w:val="center"/>
          </w:tcPr>
          <w:p w14:paraId="39501483">
            <w:pPr>
              <w:rPr>
                <w:rFonts w:hint="eastAsia" w:cs="宋体" w:asciiTheme="minorEastAsia" w:hAnsiTheme="minorEastAsia"/>
                <w:color w:val="auto"/>
                <w:kern w:val="0"/>
                <w:szCs w:val="21"/>
                <w:highlight w:val="none"/>
              </w:rPr>
            </w:pPr>
            <w:r>
              <w:rPr>
                <w:rFonts w:hint="eastAsia" w:cs="仿宋_GB2312" w:asciiTheme="minorEastAsia" w:hAnsiTheme="minorEastAsia"/>
                <w:color w:val="auto"/>
                <w:szCs w:val="21"/>
                <w:highlight w:val="none"/>
                <w:lang w:val="zh-CN"/>
              </w:rPr>
              <w:t>只能有一个</w:t>
            </w:r>
            <w:r>
              <w:rPr>
                <w:rFonts w:hint="eastAsia" w:cs="仿宋_GB2312" w:asciiTheme="minorEastAsia" w:hAnsiTheme="minorEastAsia"/>
                <w:color w:val="auto"/>
                <w:szCs w:val="21"/>
                <w:highlight w:val="none"/>
              </w:rPr>
              <w:t>响应</w:t>
            </w:r>
            <w:r>
              <w:rPr>
                <w:rFonts w:hint="eastAsia" w:cs="仿宋_GB2312" w:asciiTheme="minorEastAsia" w:hAnsiTheme="minorEastAsia"/>
                <w:color w:val="auto"/>
                <w:szCs w:val="21"/>
                <w:highlight w:val="none"/>
                <w:lang w:val="zh-CN"/>
              </w:rPr>
              <w:t>方案。</w:t>
            </w:r>
          </w:p>
        </w:tc>
      </w:tr>
      <w:tr w14:paraId="27D36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675" w:type="dxa"/>
            <w:vMerge w:val="continue"/>
            <w:vAlign w:val="center"/>
          </w:tcPr>
          <w:p w14:paraId="099984C2">
            <w:pPr>
              <w:jc w:val="center"/>
              <w:rPr>
                <w:rFonts w:hint="eastAsia" w:cs="宋体" w:asciiTheme="minorEastAsia" w:hAnsiTheme="minorEastAsia"/>
                <w:color w:val="auto"/>
                <w:kern w:val="0"/>
                <w:szCs w:val="21"/>
                <w:highlight w:val="none"/>
              </w:rPr>
            </w:pPr>
          </w:p>
        </w:tc>
        <w:tc>
          <w:tcPr>
            <w:tcW w:w="2694" w:type="dxa"/>
            <w:vAlign w:val="center"/>
          </w:tcPr>
          <w:p w14:paraId="20D2CC05">
            <w:pPr>
              <w:rPr>
                <w:rFonts w:hint="eastAsia" w:cs="仿宋_GB2312" w:asciiTheme="minorEastAsia" w:hAnsiTheme="minorEastAsia"/>
                <w:color w:val="auto"/>
                <w:szCs w:val="21"/>
                <w:highlight w:val="none"/>
                <w:lang w:val="zh-CN"/>
              </w:rPr>
            </w:pPr>
            <w:r>
              <w:rPr>
                <w:rFonts w:hint="eastAsia" w:asciiTheme="minorEastAsia" w:hAnsiTheme="minorEastAsia"/>
                <w:color w:val="auto"/>
                <w:szCs w:val="21"/>
                <w:highlight w:val="none"/>
              </w:rPr>
              <w:t>报价唯一</w:t>
            </w:r>
          </w:p>
        </w:tc>
        <w:tc>
          <w:tcPr>
            <w:tcW w:w="6259" w:type="dxa"/>
            <w:vAlign w:val="center"/>
          </w:tcPr>
          <w:p w14:paraId="676F78C8">
            <w:pPr>
              <w:rPr>
                <w:rFonts w:hint="eastAsia" w:cs="宋体" w:asciiTheme="minorEastAsia" w:hAnsiTheme="minorEastAsia"/>
                <w:color w:val="auto"/>
                <w:kern w:val="0"/>
                <w:szCs w:val="21"/>
                <w:highlight w:val="none"/>
              </w:rPr>
            </w:pPr>
            <w:r>
              <w:rPr>
                <w:rFonts w:hint="eastAsia" w:asciiTheme="minorEastAsia" w:hAnsiTheme="minorEastAsia"/>
                <w:color w:val="auto"/>
                <w:szCs w:val="21"/>
                <w:highlight w:val="none"/>
              </w:rPr>
              <w:t>只能有一个有效报价，不得提交选择性报价。</w:t>
            </w:r>
          </w:p>
        </w:tc>
      </w:tr>
      <w:tr w14:paraId="028EC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trPr>
        <w:tc>
          <w:tcPr>
            <w:tcW w:w="675" w:type="dxa"/>
            <w:vAlign w:val="center"/>
          </w:tcPr>
          <w:p w14:paraId="4F5E71F3">
            <w:pPr>
              <w:jc w:val="center"/>
              <w:rPr>
                <w:rFonts w:hint="eastAsia"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2</w:t>
            </w:r>
          </w:p>
        </w:tc>
        <w:tc>
          <w:tcPr>
            <w:tcW w:w="2694" w:type="dxa"/>
            <w:vAlign w:val="center"/>
          </w:tcPr>
          <w:p w14:paraId="648A5EAC">
            <w:pPr>
              <w:rPr>
                <w:rFonts w:hint="eastAsia" w:cs="宋体" w:asciiTheme="minorEastAsia" w:hAnsiTheme="minorEastAsia"/>
                <w:color w:val="auto"/>
                <w:kern w:val="0"/>
                <w:szCs w:val="21"/>
                <w:highlight w:val="none"/>
              </w:rPr>
            </w:pPr>
            <w:r>
              <w:rPr>
                <w:rFonts w:hint="eastAsia" w:cs="仿宋_GB2312" w:asciiTheme="minorEastAsia" w:hAnsiTheme="minorEastAsia"/>
                <w:color w:val="auto"/>
                <w:szCs w:val="21"/>
                <w:highlight w:val="none"/>
              </w:rPr>
              <w:t>响应文件</w:t>
            </w:r>
            <w:r>
              <w:rPr>
                <w:rFonts w:hint="eastAsia" w:cs="仿宋_GB2312" w:asciiTheme="minorEastAsia" w:hAnsiTheme="minorEastAsia"/>
                <w:color w:val="auto"/>
                <w:szCs w:val="21"/>
                <w:highlight w:val="none"/>
                <w:lang w:val="zh-CN"/>
              </w:rPr>
              <w:t>份数</w:t>
            </w:r>
          </w:p>
        </w:tc>
        <w:tc>
          <w:tcPr>
            <w:tcW w:w="6259" w:type="dxa"/>
            <w:vAlign w:val="center"/>
          </w:tcPr>
          <w:p w14:paraId="78ED0B28">
            <w:pPr>
              <w:rPr>
                <w:rFonts w:hint="eastAsia" w:cs="宋体" w:asciiTheme="minorEastAsia" w:hAnsiTheme="minorEastAsia"/>
                <w:color w:val="auto"/>
                <w:kern w:val="0"/>
                <w:szCs w:val="21"/>
                <w:highlight w:val="none"/>
              </w:rPr>
            </w:pPr>
            <w:r>
              <w:rPr>
                <w:rFonts w:hint="eastAsia" w:cs="仿宋_GB2312" w:asciiTheme="minorEastAsia" w:hAnsiTheme="minorEastAsia"/>
                <w:color w:val="auto"/>
                <w:szCs w:val="21"/>
                <w:highlight w:val="none"/>
              </w:rPr>
              <w:t>响应文件</w:t>
            </w:r>
            <w:r>
              <w:rPr>
                <w:rFonts w:hint="eastAsia" w:cs="仿宋_GB2312" w:asciiTheme="minorEastAsia" w:hAnsiTheme="minorEastAsia"/>
                <w:color w:val="auto"/>
                <w:szCs w:val="21"/>
                <w:highlight w:val="none"/>
                <w:lang w:val="zh-CN"/>
              </w:rPr>
              <w:t>正、副本数量符合</w:t>
            </w:r>
            <w:r>
              <w:rPr>
                <w:rFonts w:hint="eastAsia" w:cs="仿宋_GB2312" w:asciiTheme="minorEastAsia" w:hAnsiTheme="minorEastAsia"/>
                <w:color w:val="auto"/>
                <w:szCs w:val="21"/>
                <w:highlight w:val="none"/>
              </w:rPr>
              <w:t>询价通知书</w:t>
            </w:r>
            <w:r>
              <w:rPr>
                <w:rFonts w:hint="eastAsia" w:cs="仿宋_GB2312" w:asciiTheme="minorEastAsia" w:hAnsiTheme="minorEastAsia"/>
                <w:color w:val="auto"/>
                <w:szCs w:val="21"/>
                <w:highlight w:val="none"/>
                <w:lang w:val="zh-CN"/>
              </w:rPr>
              <w:t>要求。</w:t>
            </w:r>
          </w:p>
        </w:tc>
      </w:tr>
      <w:tr w14:paraId="0B1E9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75" w:type="dxa"/>
            <w:vMerge w:val="restart"/>
            <w:vAlign w:val="center"/>
          </w:tcPr>
          <w:p w14:paraId="241E49BA">
            <w:pPr>
              <w:jc w:val="center"/>
              <w:rPr>
                <w:rFonts w:hint="eastAsia"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3</w:t>
            </w:r>
          </w:p>
        </w:tc>
        <w:tc>
          <w:tcPr>
            <w:tcW w:w="2694" w:type="dxa"/>
            <w:vAlign w:val="center"/>
          </w:tcPr>
          <w:p w14:paraId="1FC4153C">
            <w:pPr>
              <w:rPr>
                <w:rFonts w:hint="eastAsia"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响应文件内容</w:t>
            </w:r>
          </w:p>
        </w:tc>
        <w:tc>
          <w:tcPr>
            <w:tcW w:w="6259" w:type="dxa"/>
            <w:vAlign w:val="center"/>
          </w:tcPr>
          <w:p w14:paraId="39AC2378">
            <w:pPr>
              <w:pStyle w:val="11"/>
              <w:rPr>
                <w:rFonts w:hint="eastAsia"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对询价通知书第二篇、第三篇规定的询价内容进行实质性响应。</w:t>
            </w:r>
          </w:p>
        </w:tc>
      </w:tr>
      <w:tr w14:paraId="281CA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75" w:type="dxa"/>
            <w:vMerge w:val="continue"/>
            <w:vAlign w:val="center"/>
          </w:tcPr>
          <w:p w14:paraId="47530923">
            <w:pPr>
              <w:jc w:val="center"/>
              <w:rPr>
                <w:rFonts w:hint="eastAsia" w:cs="宋体" w:asciiTheme="minorEastAsia" w:hAnsiTheme="minorEastAsia"/>
                <w:color w:val="auto"/>
                <w:kern w:val="0"/>
                <w:szCs w:val="21"/>
                <w:highlight w:val="none"/>
              </w:rPr>
            </w:pPr>
          </w:p>
        </w:tc>
        <w:tc>
          <w:tcPr>
            <w:tcW w:w="2694" w:type="dxa"/>
            <w:vAlign w:val="center"/>
          </w:tcPr>
          <w:p w14:paraId="68370528">
            <w:pPr>
              <w:rPr>
                <w:rFonts w:hint="eastAsia"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询价有效期</w:t>
            </w:r>
          </w:p>
        </w:tc>
        <w:tc>
          <w:tcPr>
            <w:tcW w:w="6259" w:type="dxa"/>
            <w:vAlign w:val="center"/>
          </w:tcPr>
          <w:p w14:paraId="7021B8A2">
            <w:pPr>
              <w:rPr>
                <w:rFonts w:hint="eastAsia" w:cs="宋体" w:asciiTheme="minorEastAsia" w:hAnsiTheme="minorEastAsia"/>
                <w:color w:val="auto"/>
                <w:kern w:val="0"/>
                <w:szCs w:val="21"/>
                <w:highlight w:val="none"/>
              </w:rPr>
            </w:pPr>
            <w:r>
              <w:rPr>
                <w:rFonts w:hint="eastAsia" w:cs="宋体" w:asciiTheme="minorEastAsia" w:hAnsiTheme="minorEastAsia"/>
                <w:color w:val="auto"/>
                <w:kern w:val="0"/>
                <w:szCs w:val="21"/>
                <w:highlight w:val="none"/>
              </w:rPr>
              <w:t>响应文件及有关承诺文件有效期为提交响应文件截止时间起90天。</w:t>
            </w:r>
          </w:p>
        </w:tc>
      </w:tr>
    </w:tbl>
    <w:p w14:paraId="1F002BE9">
      <w:pPr>
        <w:pStyle w:val="12"/>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三）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48FB6424">
      <w:pPr>
        <w:pStyle w:val="12"/>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询价小组要求供应商澄清、说明或者更正响应文件应当以书面形式作出。供应商的澄清、说明或者更正应当由法定代表人（或其授权代表）或自然人（供应商为自然人）签署或者加盖公章。由授权代表签署的，应当附法定代表人授权书。供应商为自然人的，应当由本人签署并附身份证明。</w:t>
      </w:r>
    </w:p>
    <w:p w14:paraId="41F17356">
      <w:pPr>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（四）评审的依据为询价通知书和响应文件（含有效的补充文件）。询价小组判断响应文件对询价通知书的响应，仅基于响应文件本身而不靠外部证据。</w:t>
      </w:r>
    </w:p>
    <w:p w14:paraId="4CE36CB2">
      <w:pPr>
        <w:pStyle w:val="4"/>
        <w:spacing w:after="0" w:line="400" w:lineRule="exact"/>
        <w:ind w:firstLine="480" w:firstLineChars="200"/>
        <w:rPr>
          <w:rFonts w:hint="eastAsia" w:asciiTheme="minorEastAsia" w:hAnsiTheme="minorEastAsia"/>
          <w:color w:val="auto"/>
          <w:sz w:val="24"/>
          <w:highlight w:val="none"/>
        </w:rPr>
      </w:pPr>
      <w:bookmarkStart w:id="187" w:name="_Toc11713"/>
      <w:bookmarkStart w:id="188" w:name="_Toc64732013"/>
      <w:bookmarkStart w:id="189" w:name="_Toc5149"/>
      <w:bookmarkStart w:id="190" w:name="_Toc65660351"/>
      <w:bookmarkStart w:id="191" w:name="_Toc30639"/>
      <w:bookmarkStart w:id="192" w:name="_Toc22681"/>
      <w:r>
        <w:rPr>
          <w:rFonts w:hint="eastAsia" w:asciiTheme="minorEastAsia" w:hAnsiTheme="minorEastAsia"/>
          <w:color w:val="auto"/>
          <w:sz w:val="24"/>
          <w:highlight w:val="none"/>
        </w:rPr>
        <w:t>二、评定成交的标准</w:t>
      </w:r>
      <w:bookmarkEnd w:id="187"/>
      <w:bookmarkEnd w:id="188"/>
      <w:bookmarkEnd w:id="189"/>
      <w:bookmarkEnd w:id="190"/>
      <w:bookmarkEnd w:id="191"/>
      <w:bookmarkEnd w:id="192"/>
    </w:p>
    <w:p w14:paraId="625B1DB8">
      <w:pPr>
        <w:pStyle w:val="12"/>
        <w:spacing w:line="400" w:lineRule="exact"/>
        <w:ind w:firstLine="480" w:firstLineChars="200"/>
        <w:rPr>
          <w:rFonts w:hint="eastAsia" w:asciiTheme="minorEastAsia" w:hAnsiTheme="minorEastAsia"/>
          <w:color w:val="auto"/>
          <w:sz w:val="24"/>
          <w:szCs w:val="24"/>
          <w:highlight w:val="none"/>
        </w:rPr>
      </w:pPr>
      <w:bookmarkStart w:id="193" w:name="_Toc29113"/>
      <w:bookmarkStart w:id="194" w:name="_Toc65660352"/>
      <w:bookmarkStart w:id="195" w:name="_Toc12644"/>
      <w:bookmarkStart w:id="196" w:name="_Toc19473"/>
      <w:r>
        <w:rPr>
          <w:rFonts w:hint="eastAsia" w:asciiTheme="minorEastAsia" w:hAnsiTheme="minorEastAsia"/>
          <w:color w:val="auto"/>
          <w:sz w:val="24"/>
          <w:szCs w:val="24"/>
          <w:highlight w:val="none"/>
        </w:rPr>
        <w:t>（一）询价小组将依照本询价通知书相关规定对技术（质量）和服务均能满足实质性响应要求的供应商所提交的报价，按照由低到高的顺序提出3名以上成交候选人，并编写评审报告。</w:t>
      </w:r>
    </w:p>
    <w:p w14:paraId="7B6A829B">
      <w:pPr>
        <w:pStyle w:val="12"/>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（二）若供应商的报价价格相同，按技术（质量）的优劣顺序排列；以上都相同的，按服务条款的优劣顺序排列。</w:t>
      </w:r>
    </w:p>
    <w:p w14:paraId="0ADEFC91">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（三）成交价格=成交供应商的报价。</w:t>
      </w:r>
    </w:p>
    <w:p w14:paraId="3F2CC045">
      <w:pPr>
        <w:pStyle w:val="4"/>
        <w:spacing w:after="0" w:line="400" w:lineRule="exact"/>
        <w:ind w:firstLine="480" w:firstLineChars="200"/>
        <w:rPr>
          <w:rFonts w:hint="eastAsia" w:asciiTheme="minorEastAsia" w:hAnsiTheme="minorEastAsia"/>
          <w:color w:val="auto"/>
          <w:sz w:val="24"/>
          <w:highlight w:val="none"/>
        </w:rPr>
      </w:pPr>
      <w:bookmarkStart w:id="197" w:name="_Toc31252"/>
      <w:r>
        <w:rPr>
          <w:rFonts w:hint="eastAsia" w:asciiTheme="minorEastAsia" w:hAnsiTheme="minorEastAsia"/>
          <w:color w:val="auto"/>
          <w:sz w:val="24"/>
          <w:highlight w:val="none"/>
        </w:rPr>
        <w:t>三、无效</w:t>
      </w:r>
      <w:bookmarkEnd w:id="193"/>
      <w:bookmarkEnd w:id="194"/>
      <w:bookmarkEnd w:id="195"/>
      <w:r>
        <w:rPr>
          <w:rFonts w:hint="eastAsia" w:asciiTheme="minorEastAsia" w:hAnsiTheme="minorEastAsia"/>
          <w:color w:val="auto"/>
          <w:sz w:val="24"/>
          <w:highlight w:val="none"/>
        </w:rPr>
        <w:t>报价</w:t>
      </w:r>
      <w:bookmarkEnd w:id="196"/>
      <w:bookmarkEnd w:id="197"/>
    </w:p>
    <w:p w14:paraId="35694648">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供应商发生以下条款情况之一者，视为无效报价：</w:t>
      </w:r>
    </w:p>
    <w:p w14:paraId="528702FE">
      <w:pPr>
        <w:pStyle w:val="12"/>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（一）供应商不符合规定的资格条件的；</w:t>
      </w:r>
    </w:p>
    <w:p w14:paraId="5EE504B1">
      <w:pPr>
        <w:pStyle w:val="12"/>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（二）供应商未通过实质性响应审查的；</w:t>
      </w:r>
    </w:p>
    <w:p w14:paraId="34849697">
      <w:pPr>
        <w:pStyle w:val="12"/>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（三）供应商未在保证金到账截止时间前足额交纳所参与包保证金的；</w:t>
      </w:r>
    </w:p>
    <w:p w14:paraId="1A74AEB4">
      <w:pPr>
        <w:pStyle w:val="12"/>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（四）供应商所提交的响应文件未按“第七篇响应文件格式要求”要求签署或盖章的；</w:t>
      </w:r>
    </w:p>
    <w:p w14:paraId="4CE9F3FC">
      <w:pPr>
        <w:pStyle w:val="12"/>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（五）供应商的报价超过采购预算或最高限价的；</w:t>
      </w:r>
    </w:p>
    <w:p w14:paraId="25522C91">
      <w:pPr>
        <w:pStyle w:val="12"/>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（六）供应商不接受询价小组修正后的价格的；</w:t>
      </w:r>
    </w:p>
    <w:p w14:paraId="5227612C">
      <w:pPr>
        <w:pStyle w:val="12"/>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（七）单位负责人为同一人或者存在直接控股、管理关系的不同供应商，</w:t>
      </w:r>
      <w:r>
        <w:rPr>
          <w:rFonts w:asciiTheme="minorEastAsia" w:hAnsiTheme="minorEastAsia"/>
          <w:color w:val="auto"/>
          <w:sz w:val="24"/>
          <w:szCs w:val="24"/>
          <w:highlight w:val="none"/>
        </w:rPr>
        <w:t>参加同一合同项</w:t>
      </w:r>
      <w:r>
        <w:rPr>
          <w:rFonts w:hint="eastAsia" w:asciiTheme="minorEastAsia" w:hAnsiTheme="minorEastAsia"/>
          <w:color w:val="auto"/>
          <w:sz w:val="24"/>
          <w:szCs w:val="24"/>
          <w:highlight w:val="none"/>
        </w:rPr>
        <w:t>（包）报价的；</w:t>
      </w:r>
    </w:p>
    <w:p w14:paraId="6A024356">
      <w:pPr>
        <w:pStyle w:val="12"/>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（八）为采购项目提供整体设计、规范编制或者项目管理、监理、检测等服务的供应商再参加该采购项目的其他采购活动的；</w:t>
      </w:r>
    </w:p>
    <w:p w14:paraId="247D64C9">
      <w:pPr>
        <w:pStyle w:val="12"/>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（九）同一</w:t>
      </w:r>
      <w:r>
        <w:rPr>
          <w:rFonts w:asciiTheme="minorEastAsia" w:hAnsiTheme="minorEastAsia"/>
          <w:color w:val="auto"/>
          <w:sz w:val="24"/>
          <w:szCs w:val="24"/>
          <w:highlight w:val="none"/>
        </w:rPr>
        <w:t>合同项</w:t>
      </w:r>
      <w:r>
        <w:rPr>
          <w:rFonts w:hint="eastAsia" w:asciiTheme="minorEastAsia" w:hAnsiTheme="minorEastAsia"/>
          <w:color w:val="auto"/>
          <w:sz w:val="24"/>
          <w:szCs w:val="24"/>
          <w:highlight w:val="none"/>
        </w:rPr>
        <w:t>（包）</w:t>
      </w:r>
      <w:r>
        <w:rPr>
          <w:rFonts w:asciiTheme="minorEastAsia" w:hAnsiTheme="minorEastAsia"/>
          <w:color w:val="auto"/>
          <w:sz w:val="24"/>
          <w:szCs w:val="24"/>
          <w:highlight w:val="none"/>
        </w:rPr>
        <w:t>下</w:t>
      </w:r>
      <w:r>
        <w:rPr>
          <w:rFonts w:hint="eastAsia" w:asciiTheme="minorEastAsia" w:hAnsiTheme="minorEastAsia"/>
          <w:color w:val="auto"/>
          <w:sz w:val="24"/>
          <w:szCs w:val="24"/>
          <w:highlight w:val="none"/>
        </w:rPr>
        <w:t>的货物，制造商参与报价，再委托代理商参与报价的；</w:t>
      </w:r>
    </w:p>
    <w:p w14:paraId="6080CACF">
      <w:pPr>
        <w:pStyle w:val="12"/>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（十）供应商响应文件内容有与国家现行法律法规相违背的内容，或附有采购人无法接受条件的；</w:t>
      </w:r>
    </w:p>
    <w:p w14:paraId="33ABAA19">
      <w:pPr>
        <w:pStyle w:val="12"/>
        <w:spacing w:line="400" w:lineRule="exact"/>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（十一）法律、法规和询价通知书规定的其他无效情形。</w:t>
      </w:r>
    </w:p>
    <w:p w14:paraId="3F722F01">
      <w:pPr>
        <w:pStyle w:val="4"/>
        <w:spacing w:after="0" w:line="400" w:lineRule="exact"/>
        <w:ind w:firstLine="480" w:firstLineChars="200"/>
        <w:rPr>
          <w:rFonts w:hint="eastAsia" w:asciiTheme="minorEastAsia" w:hAnsiTheme="minorEastAsia"/>
          <w:color w:val="auto"/>
          <w:sz w:val="24"/>
          <w:highlight w:val="none"/>
        </w:rPr>
      </w:pPr>
      <w:bookmarkStart w:id="198" w:name="_Toc29298"/>
      <w:bookmarkStart w:id="199" w:name="_Toc28422"/>
      <w:bookmarkStart w:id="200" w:name="_Toc22716"/>
      <w:bookmarkStart w:id="201" w:name="_Toc6706"/>
      <w:bookmarkStart w:id="202" w:name="_Toc65660353"/>
      <w:r>
        <w:rPr>
          <w:rFonts w:hint="eastAsia" w:asciiTheme="minorEastAsia" w:hAnsiTheme="minorEastAsia"/>
          <w:color w:val="auto"/>
          <w:sz w:val="24"/>
          <w:highlight w:val="none"/>
        </w:rPr>
        <w:t>四、采购终止</w:t>
      </w:r>
      <w:bookmarkEnd w:id="198"/>
      <w:bookmarkEnd w:id="199"/>
      <w:bookmarkEnd w:id="200"/>
      <w:bookmarkEnd w:id="201"/>
      <w:bookmarkEnd w:id="202"/>
    </w:p>
    <w:p w14:paraId="7472FF88">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出现下列情形之一的，采购人或者采购代理机构应当终止询价采购活动，发布项目终止公告并说明原因，重新开展采购活动：</w:t>
      </w:r>
    </w:p>
    <w:p w14:paraId="1973840E">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（一）因情况变化，不再符合规定的询价采购方式适用情形的；</w:t>
      </w:r>
    </w:p>
    <w:p w14:paraId="09174271">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（二）出现影响采购公正的违法、违规行为的；</w:t>
      </w:r>
    </w:p>
    <w:p w14:paraId="760DFA63">
      <w:pPr>
        <w:snapToGrid w:val="0"/>
        <w:spacing w:line="400" w:lineRule="exact"/>
        <w:ind w:firstLine="480" w:firstLineChars="200"/>
        <w:rPr>
          <w:rFonts w:asciiTheme="minorEastAsia" w:hAnsiTheme="minorEastAsia"/>
          <w:color w:val="auto"/>
          <w:sz w:val="24"/>
          <w:szCs w:val="24"/>
          <w:highlight w:val="none"/>
        </w:rPr>
      </w:pPr>
      <w:r>
        <w:rPr>
          <w:rFonts w:hint="eastAsia" w:asciiTheme="minorEastAsia" w:hAnsiTheme="minorEastAsia"/>
          <w:color w:val="auto"/>
          <w:sz w:val="24"/>
          <w:szCs w:val="24"/>
          <w:highlight w:val="none"/>
        </w:rPr>
        <w:t>（三）在采购过程中符合竞争要求的供应商或者报价未超过采购预算的供应商不足3家的。</w:t>
      </w:r>
      <w:bookmarkStart w:id="203" w:name="_Toc8916"/>
      <w:bookmarkStart w:id="204" w:name="_Toc20055"/>
      <w:bookmarkStart w:id="205" w:name="_Toc10768"/>
      <w:bookmarkStart w:id="206" w:name="_Toc65660354"/>
    </w:p>
    <w:p w14:paraId="484F7E0C">
      <w:pPr>
        <w:pStyle w:val="2"/>
        <w:ind w:left="1260"/>
        <w:rPr>
          <w:color w:val="auto"/>
          <w:highlight w:val="none"/>
        </w:rPr>
      </w:pPr>
    </w:p>
    <w:p w14:paraId="3B76E455">
      <w:pPr>
        <w:rPr>
          <w:color w:val="auto"/>
          <w:highlight w:val="none"/>
        </w:rPr>
      </w:pPr>
    </w:p>
    <w:p w14:paraId="1BD56CC1">
      <w:pPr>
        <w:pStyle w:val="2"/>
        <w:ind w:left="1260"/>
        <w:rPr>
          <w:rFonts w:hint="eastAsia"/>
          <w:color w:val="auto"/>
          <w:highlight w:val="none"/>
        </w:rPr>
      </w:pPr>
    </w:p>
    <w:p w14:paraId="6EFAC956">
      <w:pPr>
        <w:pStyle w:val="2"/>
        <w:ind w:left="1260"/>
        <w:rPr>
          <w:rFonts w:hint="eastAsia" w:asciiTheme="minorEastAsia" w:hAnsiTheme="minorEastAsia"/>
          <w:color w:val="auto"/>
          <w:highlight w:val="none"/>
        </w:rPr>
      </w:pPr>
    </w:p>
    <w:p w14:paraId="75DF209B">
      <w:pPr>
        <w:rPr>
          <w:rFonts w:hint="eastAsia" w:asciiTheme="minorEastAsia" w:hAnsiTheme="minorEastAsia"/>
          <w:color w:val="auto"/>
          <w:highlight w:val="none"/>
        </w:rPr>
      </w:pPr>
    </w:p>
    <w:p w14:paraId="36700D36">
      <w:pPr>
        <w:pStyle w:val="2"/>
        <w:ind w:left="1260"/>
        <w:rPr>
          <w:rFonts w:hint="eastAsia" w:asciiTheme="minorEastAsia" w:hAnsiTheme="minorEastAsia"/>
          <w:color w:val="auto"/>
          <w:highlight w:val="none"/>
        </w:rPr>
      </w:pPr>
    </w:p>
    <w:p w14:paraId="0AD7E220">
      <w:pPr>
        <w:rPr>
          <w:rFonts w:hint="eastAsia" w:asciiTheme="minorEastAsia" w:hAnsiTheme="minorEastAsia"/>
          <w:color w:val="auto"/>
          <w:highlight w:val="none"/>
        </w:rPr>
      </w:pPr>
    </w:p>
    <w:p w14:paraId="4969CEBD">
      <w:pPr>
        <w:pStyle w:val="4"/>
        <w:spacing w:after="0"/>
        <w:ind w:firstLine="2880" w:firstLineChars="800"/>
        <w:rPr>
          <w:rFonts w:hint="eastAsia" w:asciiTheme="minorEastAsia" w:hAnsiTheme="minorEastAsia"/>
          <w:color w:val="auto"/>
          <w:sz w:val="36"/>
          <w:szCs w:val="30"/>
          <w:highlight w:val="none"/>
        </w:rPr>
      </w:pPr>
      <w:bookmarkStart w:id="207" w:name="_Toc16986"/>
      <w:r>
        <w:rPr>
          <w:rFonts w:hint="eastAsia" w:asciiTheme="minorEastAsia" w:hAnsiTheme="minorEastAsia"/>
          <w:color w:val="auto"/>
          <w:sz w:val="36"/>
          <w:szCs w:val="30"/>
          <w:highlight w:val="none"/>
        </w:rPr>
        <w:t>第五篇  供应商须知</w:t>
      </w:r>
      <w:bookmarkEnd w:id="203"/>
      <w:bookmarkEnd w:id="204"/>
      <w:bookmarkEnd w:id="205"/>
      <w:bookmarkEnd w:id="206"/>
      <w:bookmarkEnd w:id="207"/>
    </w:p>
    <w:p w14:paraId="06401D5D">
      <w:pPr>
        <w:pStyle w:val="4"/>
        <w:spacing w:after="0" w:line="400" w:lineRule="exact"/>
        <w:ind w:firstLine="480" w:firstLineChars="200"/>
        <w:rPr>
          <w:rFonts w:hint="eastAsia" w:asciiTheme="minorEastAsia" w:hAnsiTheme="minorEastAsia"/>
          <w:color w:val="auto"/>
          <w:sz w:val="24"/>
          <w:highlight w:val="none"/>
        </w:rPr>
      </w:pPr>
      <w:bookmarkStart w:id="208" w:name="_Toc2864"/>
      <w:bookmarkStart w:id="209" w:name="_Toc65660355"/>
      <w:bookmarkStart w:id="210" w:name="_Toc11728"/>
      <w:bookmarkStart w:id="211" w:name="_Toc16524"/>
      <w:bookmarkStart w:id="212" w:name="_Toc5290"/>
      <w:r>
        <w:rPr>
          <w:rFonts w:hint="eastAsia" w:asciiTheme="minorEastAsia" w:hAnsiTheme="minorEastAsia"/>
          <w:color w:val="auto"/>
          <w:sz w:val="24"/>
          <w:highlight w:val="none"/>
        </w:rPr>
        <w:t>一、询价费用</w:t>
      </w:r>
      <w:bookmarkEnd w:id="208"/>
      <w:bookmarkEnd w:id="209"/>
      <w:bookmarkEnd w:id="210"/>
      <w:bookmarkEnd w:id="211"/>
      <w:bookmarkEnd w:id="212"/>
    </w:p>
    <w:p w14:paraId="354D3ED4">
      <w:pPr>
        <w:pStyle w:val="29"/>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参与报价的供应商应承担其编制响应文件与递交响应文件所涉及的一切费用，不论询价结果如何，采购人和采购代理机构在任何情况下无义务也无责任承担这些费用。</w:t>
      </w:r>
    </w:p>
    <w:p w14:paraId="558C83C6">
      <w:pPr>
        <w:pStyle w:val="4"/>
        <w:spacing w:after="0" w:line="400" w:lineRule="exact"/>
        <w:ind w:firstLine="480" w:firstLineChars="200"/>
        <w:rPr>
          <w:rFonts w:hint="eastAsia" w:asciiTheme="minorEastAsia" w:hAnsiTheme="minorEastAsia"/>
          <w:color w:val="auto"/>
          <w:sz w:val="24"/>
          <w:highlight w:val="none"/>
        </w:rPr>
      </w:pPr>
      <w:bookmarkStart w:id="213" w:name="_Toc31739"/>
      <w:bookmarkStart w:id="214" w:name="_Toc1874"/>
      <w:bookmarkStart w:id="215" w:name="_Toc65660356"/>
      <w:bookmarkStart w:id="216" w:name="_Toc31070"/>
      <w:bookmarkStart w:id="217" w:name="_Toc5915"/>
      <w:r>
        <w:rPr>
          <w:rFonts w:hint="eastAsia" w:asciiTheme="minorEastAsia" w:hAnsiTheme="minorEastAsia"/>
          <w:color w:val="auto"/>
          <w:sz w:val="24"/>
          <w:highlight w:val="none"/>
        </w:rPr>
        <w:t>二、询价通知书</w:t>
      </w:r>
      <w:bookmarkEnd w:id="213"/>
      <w:bookmarkEnd w:id="214"/>
      <w:bookmarkEnd w:id="215"/>
      <w:bookmarkEnd w:id="216"/>
      <w:bookmarkEnd w:id="217"/>
      <w:r>
        <w:rPr>
          <w:rFonts w:asciiTheme="minorEastAsia" w:hAnsiTheme="minorEastAsia"/>
          <w:color w:val="auto"/>
          <w:sz w:val="24"/>
          <w:highlight w:val="none"/>
        </w:rPr>
        <w:tab/>
      </w:r>
    </w:p>
    <w:p w14:paraId="1DDB3A72">
      <w:pPr>
        <w:snapToGrid w:val="0"/>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（一）询价通知书由询价采购邀请书、询价项目技术（质量）需求、询价项目服务需求、采购程序、评定成交的标准、无效报价及采购终止、供应商须知、合同草案条款、响应文件格式要求七部分组成。</w:t>
      </w:r>
    </w:p>
    <w:p w14:paraId="286865FD">
      <w:pPr>
        <w:snapToGrid w:val="0"/>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（二）采购人（或采购代理机构）所作的一切有效的书面通知、修改及补充，都是询价通知书不可分割的部分。</w:t>
      </w:r>
    </w:p>
    <w:p w14:paraId="2BB72774">
      <w:pPr>
        <w:pStyle w:val="4"/>
        <w:spacing w:after="0" w:line="400" w:lineRule="exact"/>
        <w:ind w:firstLine="480" w:firstLineChars="200"/>
        <w:rPr>
          <w:rFonts w:hint="eastAsia" w:asciiTheme="minorEastAsia" w:hAnsiTheme="minorEastAsia"/>
          <w:color w:val="auto"/>
          <w:sz w:val="24"/>
          <w:highlight w:val="none"/>
        </w:rPr>
      </w:pPr>
      <w:bookmarkStart w:id="218" w:name="_Toc65660357"/>
      <w:bookmarkStart w:id="219" w:name="_Toc1922"/>
      <w:bookmarkStart w:id="220" w:name="_Toc4107"/>
      <w:bookmarkStart w:id="221" w:name="_Toc9532"/>
      <w:bookmarkStart w:id="222" w:name="_Toc3061"/>
      <w:r>
        <w:rPr>
          <w:rFonts w:hint="eastAsia" w:asciiTheme="minorEastAsia" w:hAnsiTheme="minorEastAsia"/>
          <w:color w:val="auto"/>
          <w:sz w:val="24"/>
          <w:highlight w:val="none"/>
        </w:rPr>
        <w:t>三、报价要求</w:t>
      </w:r>
      <w:bookmarkEnd w:id="218"/>
      <w:bookmarkEnd w:id="219"/>
      <w:bookmarkEnd w:id="220"/>
      <w:bookmarkEnd w:id="221"/>
      <w:bookmarkEnd w:id="222"/>
    </w:p>
    <w:p w14:paraId="4228F033">
      <w:pPr>
        <w:snapToGrid w:val="0"/>
        <w:spacing w:line="400" w:lineRule="exact"/>
        <w:ind w:firstLine="360" w:firstLineChars="150"/>
        <w:outlineLvl w:val="2"/>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（一）响应文件</w:t>
      </w:r>
    </w:p>
    <w:p w14:paraId="13808DCB">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供应商应当按照询价通知书的要求编制响应文件，并对询价通知书提出的要求和条件作出实质性响应，响应文件原则上采用软面订本。</w:t>
      </w:r>
    </w:p>
    <w:p w14:paraId="3F6106C2">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1.响应文件组成</w:t>
      </w:r>
    </w:p>
    <w:p w14:paraId="6BE06F09">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响应文件由“第七篇响应文件格式要求”规定的部分和供应商所作的一切有效补充、修改和承诺等文件组成，供应商应按照“第七篇响应文件格式”规定进行编写和装订，也可在基本格式基础上对表格进行扩展，未规定格式的由供应商自定格式。</w:t>
      </w:r>
    </w:p>
    <w:p w14:paraId="4E976013">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2.联合体</w:t>
      </w:r>
    </w:p>
    <w:p w14:paraId="6A63EC8C">
      <w:pPr>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2.1两个以上供应商可以组成一个联合体，以一个供应商的身份参与报价。</w:t>
      </w:r>
    </w:p>
    <w:p w14:paraId="7F97855F">
      <w:pPr>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2.2以联合体形式参加报价的，联合体各方均应</w:t>
      </w:r>
      <w:r>
        <w:rPr>
          <w:rFonts w:hint="eastAsia" w:cs="宋体" w:asciiTheme="minorEastAsia" w:hAnsiTheme="minorEastAsia"/>
          <w:color w:val="auto"/>
          <w:kern w:val="0"/>
          <w:sz w:val="24"/>
          <w:szCs w:val="24"/>
          <w:highlight w:val="none"/>
        </w:rPr>
        <w:t>满足供应商资格要求（详见“第一篇”）</w:t>
      </w:r>
      <w:r>
        <w:rPr>
          <w:rFonts w:hint="eastAsia" w:asciiTheme="minorEastAsia" w:hAnsiTheme="minorEastAsia"/>
          <w:color w:val="auto"/>
          <w:sz w:val="24"/>
          <w:highlight w:val="none"/>
        </w:rPr>
        <w:t>。联合体中有同类资质的供应商按照联合体分工承担相同工作的，应当按照资质等级较低的供应商确定资质等级。</w:t>
      </w:r>
    </w:p>
    <w:p w14:paraId="60A186EE">
      <w:pPr>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2.3联合体各方之间应当签订共同联合协议，共同联合协议中应确定主办方（主体），代表联合体进行报价和澄清。共同联合协议应明确约定联合体各方承担的工作和相应的责任，并将共同联合协议连同响应文件一并提交采购代理机构。</w:t>
      </w:r>
    </w:p>
    <w:p w14:paraId="62BFDE80">
      <w:pPr>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2.4以联合体形式参加政府采购活动的，联合体各方不得再单独参加或者与其他供应商另外组成联合体参加同一合同项下的政府采购活动。</w:t>
      </w:r>
    </w:p>
    <w:p w14:paraId="08465A20">
      <w:pPr>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2.5联合体业绩计算，按照共同联合协议分工认定。</w:t>
      </w:r>
    </w:p>
    <w:p w14:paraId="4089AB22">
      <w:pPr>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2.6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22445593">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highlight w:val="none"/>
        </w:rPr>
        <w:t>2.7以联合体报价的，共同联合协议中应确定主办方（主体），代表联合体进行报价和澄清。法定代表人授权委托书由联合体主办方（主体）出具。联合体各方均应满足供应商资格要求（详见“第一篇”）。</w:t>
      </w:r>
    </w:p>
    <w:p w14:paraId="5ACF6BC6">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3.报价有效期：响应文件及有关承诺文件有效期为提交响应文件截止时间起90天。</w:t>
      </w:r>
    </w:p>
    <w:p w14:paraId="73FA9792">
      <w:pPr>
        <w:snapToGrid w:val="0"/>
        <w:spacing w:line="400" w:lineRule="exact"/>
        <w:ind w:firstLine="360" w:firstLineChars="150"/>
        <w:outlineLvl w:val="2"/>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（二）保证金：</w:t>
      </w:r>
    </w:p>
    <w:p w14:paraId="63C25891">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无</w:t>
      </w:r>
    </w:p>
    <w:p w14:paraId="5756E931">
      <w:pPr>
        <w:snapToGrid w:val="0"/>
        <w:spacing w:line="400" w:lineRule="exact"/>
        <w:ind w:firstLine="360" w:firstLineChars="150"/>
        <w:outlineLvl w:val="2"/>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（三）修正错误</w:t>
      </w:r>
    </w:p>
    <w:p w14:paraId="1D15FA7F">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若供应商所递交的响应文件或报价中的价格出现大写金额和小写金额不一致的错误，以大写金额修正为准。</w:t>
      </w:r>
    </w:p>
    <w:p w14:paraId="7364E8D0">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询价小组或采购人按上述修正错误的原则及方法修正供应商的报价，供应商同意并签署确认后，修正后的报价对供应商具有约束作用。如果供应商不接受修正后的价格，将视为无效报价。</w:t>
      </w:r>
    </w:p>
    <w:p w14:paraId="789BF2A4">
      <w:pPr>
        <w:snapToGrid w:val="0"/>
        <w:spacing w:line="400" w:lineRule="exact"/>
        <w:ind w:firstLine="360" w:firstLineChars="150"/>
        <w:outlineLvl w:val="2"/>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（四）提交响应文件的份数和签署（网下询价适用）</w:t>
      </w:r>
    </w:p>
    <w:p w14:paraId="00C73449">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1.响应文件按分包独立装袋。每分包响应文件一式二份，其中正本一份，副本一份；副本可为正本的复印件，应与正本一致，如出现不一致情况以正本为准。</w:t>
      </w:r>
    </w:p>
    <w:p w14:paraId="5356C9ED">
      <w:pPr>
        <w:snapToGrid w:val="0"/>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szCs w:val="24"/>
          <w:highlight w:val="none"/>
        </w:rPr>
        <w:t>2.</w:t>
      </w:r>
      <w:r>
        <w:rPr>
          <w:rFonts w:hint="eastAsia" w:asciiTheme="minorEastAsia" w:hAnsiTheme="minorEastAsia"/>
          <w:color w:val="auto"/>
          <w:sz w:val="24"/>
          <w:highlight w:val="none"/>
        </w:rPr>
        <w:t>在响应文件正本中，询价通知书第七篇响应文件格式中规定签署、盖章的地方必须按其规定签署、盖章。</w:t>
      </w:r>
    </w:p>
    <w:p w14:paraId="74D8E505">
      <w:pPr>
        <w:snapToGrid w:val="0"/>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3.若供应商对响应文件的错处作必要修改，则应在修改处加盖供应商公章或由法定代表人（或其授权代表）或自然人</w:t>
      </w:r>
      <w:r>
        <w:rPr>
          <w:rFonts w:hint="eastAsia" w:asciiTheme="minorEastAsia" w:hAnsiTheme="minorEastAsia"/>
          <w:color w:val="auto"/>
          <w:sz w:val="24"/>
          <w:szCs w:val="24"/>
          <w:highlight w:val="none"/>
        </w:rPr>
        <w:t>（供应商为自然人）签署</w:t>
      </w:r>
      <w:r>
        <w:rPr>
          <w:rFonts w:hint="eastAsia" w:asciiTheme="minorEastAsia" w:hAnsiTheme="minorEastAsia"/>
          <w:color w:val="auto"/>
          <w:sz w:val="24"/>
          <w:highlight w:val="none"/>
        </w:rPr>
        <w:t>确认。</w:t>
      </w:r>
    </w:p>
    <w:p w14:paraId="008F964A">
      <w:pPr>
        <w:snapToGrid w:val="0"/>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4.电报、电话、传真形式的响应文件概不接受。</w:t>
      </w:r>
    </w:p>
    <w:p w14:paraId="3EB3C5D6">
      <w:pPr>
        <w:snapToGrid w:val="0"/>
        <w:spacing w:line="400" w:lineRule="exact"/>
        <w:ind w:firstLine="360" w:firstLineChars="150"/>
        <w:outlineLvl w:val="2"/>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（五）响应文件的递交</w:t>
      </w:r>
    </w:p>
    <w:p w14:paraId="41E083A3">
      <w:pPr>
        <w:pStyle w:val="10"/>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szCs w:val="24"/>
          <w:highlight w:val="none"/>
        </w:rPr>
        <w:t>响应文件的正本、副本均应密封送达报价地点，应在封套上注明询价项目名称、供应商名称，分包号。若正本、副本分别进行密封的，还应在封套上注明“正本”、“副本”、字样。</w:t>
      </w:r>
    </w:p>
    <w:p w14:paraId="3B70CB29">
      <w:pPr>
        <w:snapToGrid w:val="0"/>
        <w:spacing w:line="400" w:lineRule="exact"/>
        <w:ind w:firstLine="360" w:firstLineChars="150"/>
        <w:outlineLvl w:val="2"/>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（六）响应文件语言：简体中文</w:t>
      </w:r>
    </w:p>
    <w:p w14:paraId="205A5182">
      <w:pPr>
        <w:pStyle w:val="4"/>
        <w:spacing w:after="0" w:line="400" w:lineRule="exact"/>
        <w:ind w:firstLine="480" w:firstLineChars="200"/>
        <w:rPr>
          <w:rFonts w:hint="eastAsia" w:asciiTheme="minorEastAsia" w:hAnsiTheme="minorEastAsia"/>
          <w:color w:val="auto"/>
          <w:sz w:val="24"/>
          <w:highlight w:val="none"/>
        </w:rPr>
      </w:pPr>
      <w:bookmarkStart w:id="223" w:name="_Toc6242"/>
      <w:bookmarkStart w:id="224" w:name="_Toc15186"/>
      <w:bookmarkStart w:id="225" w:name="_Toc65660358"/>
      <w:bookmarkStart w:id="226" w:name="_Toc10172"/>
      <w:bookmarkStart w:id="227" w:name="_Toc14702"/>
      <w:r>
        <w:rPr>
          <w:rFonts w:hint="eastAsia" w:asciiTheme="minorEastAsia" w:hAnsiTheme="minorEastAsia"/>
          <w:color w:val="auto"/>
          <w:sz w:val="24"/>
          <w:highlight w:val="none"/>
        </w:rPr>
        <w:t>四、成交供应商的确定和变更</w:t>
      </w:r>
      <w:bookmarkEnd w:id="223"/>
      <w:bookmarkEnd w:id="224"/>
      <w:bookmarkEnd w:id="225"/>
      <w:bookmarkEnd w:id="226"/>
      <w:bookmarkEnd w:id="227"/>
    </w:p>
    <w:p w14:paraId="63775F00">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一）采购代理机构应当在评审结束后2个工作日内将评审报告送采购人确认。采购人应当在收到评审报告后5个工作日内，从评审报告提出的成交候选人中，根据质量和服务均能满足采购文件实质性响应要求且报价最低的原则确定成交供应商，也可以书面授权询价小组直接确定成交供应商。采购人逾期未确定成交供应商且不提出异议的，视为确定评审报告提出的报价最低的供应商为成交供应商。</w:t>
      </w:r>
    </w:p>
    <w:p w14:paraId="77AB408B">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（二）成交供应商的变更</w:t>
      </w:r>
    </w:p>
    <w:p w14:paraId="18E72DF5">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1.成交供应商拒绝签订政府采购合同的，采购人可以按照评审报告推荐的成交候选人顺序，确定排名下一位的候选人为成交供应商，也可以重新开展政府采购活动。拒绝签订政府采购合同的成交供应商不得参加对该项目重新开展的采购活动。</w:t>
      </w:r>
    </w:p>
    <w:p w14:paraId="1C4E9CBB">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2.成交供应商无充分理由放弃成交的，采购人将向同级财政部门报告，财政部门将根据相关法律法规的规定进行处理。</w:t>
      </w:r>
    </w:p>
    <w:p w14:paraId="27930366">
      <w:pPr>
        <w:pStyle w:val="4"/>
        <w:spacing w:after="0" w:line="400" w:lineRule="exact"/>
        <w:ind w:firstLine="480" w:firstLineChars="200"/>
        <w:rPr>
          <w:rFonts w:hint="eastAsia" w:asciiTheme="minorEastAsia" w:hAnsiTheme="minorEastAsia"/>
          <w:color w:val="auto"/>
          <w:sz w:val="24"/>
          <w:highlight w:val="none"/>
        </w:rPr>
      </w:pPr>
      <w:bookmarkStart w:id="228" w:name="_Toc10504"/>
      <w:bookmarkStart w:id="229" w:name="_Toc6551"/>
      <w:bookmarkStart w:id="230" w:name="_Toc1092"/>
      <w:bookmarkStart w:id="231" w:name="_Toc65660359"/>
      <w:r>
        <w:rPr>
          <w:rFonts w:hint="eastAsia" w:asciiTheme="minorEastAsia" w:hAnsiTheme="minorEastAsia"/>
          <w:color w:val="auto"/>
          <w:sz w:val="24"/>
          <w:highlight w:val="none"/>
        </w:rPr>
        <w:t>五、成交通知</w:t>
      </w:r>
      <w:bookmarkEnd w:id="228"/>
      <w:bookmarkEnd w:id="229"/>
      <w:bookmarkEnd w:id="230"/>
      <w:bookmarkEnd w:id="231"/>
    </w:p>
    <w:p w14:paraId="0D8B2F07">
      <w:pPr>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（一）成交供应商确定后，采购代理机构将在垫江县人民政府网上发布成交结果公告。</w:t>
      </w:r>
    </w:p>
    <w:p w14:paraId="33947B41">
      <w:pPr>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（二）结果公告发出同时，采购人或采购代理机构将以书面形式发出《成交通知书》。《成交通知书》一经发出即发生法律效力。</w:t>
      </w:r>
    </w:p>
    <w:p w14:paraId="0AF6C185">
      <w:pPr>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（三）《成交通知书》将作为签订合同的依据。</w:t>
      </w:r>
    </w:p>
    <w:p w14:paraId="5D75DA26">
      <w:pPr>
        <w:pStyle w:val="4"/>
        <w:spacing w:after="0" w:line="400" w:lineRule="exact"/>
        <w:ind w:firstLine="480" w:firstLineChars="200"/>
        <w:rPr>
          <w:rFonts w:hint="eastAsia" w:asciiTheme="minorEastAsia" w:hAnsiTheme="minorEastAsia"/>
          <w:color w:val="auto"/>
          <w:sz w:val="24"/>
          <w:highlight w:val="none"/>
        </w:rPr>
      </w:pPr>
      <w:bookmarkStart w:id="232" w:name="_Toc3365"/>
      <w:bookmarkStart w:id="233" w:name="_Toc1010"/>
      <w:bookmarkStart w:id="234" w:name="_Toc30909"/>
      <w:bookmarkStart w:id="235" w:name="_Toc65660360"/>
      <w:bookmarkStart w:id="236" w:name="_Toc31082"/>
      <w:r>
        <w:rPr>
          <w:rFonts w:hint="eastAsia" w:asciiTheme="minorEastAsia" w:hAnsiTheme="minorEastAsia"/>
          <w:color w:val="auto"/>
          <w:sz w:val="24"/>
          <w:highlight w:val="none"/>
        </w:rPr>
        <w:t>六、关于质疑和投诉</w:t>
      </w:r>
      <w:bookmarkEnd w:id="232"/>
      <w:bookmarkEnd w:id="233"/>
      <w:bookmarkEnd w:id="234"/>
      <w:bookmarkEnd w:id="235"/>
      <w:bookmarkEnd w:id="236"/>
    </w:p>
    <w:p w14:paraId="4FFC2FA3">
      <w:pPr>
        <w:spacing w:line="400" w:lineRule="exact"/>
        <w:ind w:firstLine="360" w:firstLineChars="150"/>
        <w:outlineLvl w:val="2"/>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 xml:space="preserve"> （一）质疑</w:t>
      </w:r>
    </w:p>
    <w:p w14:paraId="31D6793E">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供应商认为采购文件、采购过程和成交结果使自己的权益收到伤害的，可向采购人或采购代理机构以书面形式提出质疑。</w:t>
      </w:r>
    </w:p>
    <w:p w14:paraId="415EFC80">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 xml:space="preserve">提出质疑的应当是参与所质疑项目采购活动的供应商。 </w:t>
      </w:r>
    </w:p>
    <w:p w14:paraId="3BD3D877">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1.质疑时限、内容</w:t>
      </w:r>
    </w:p>
    <w:p w14:paraId="59982675">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1.1供应商认为采购文件、采购过程、成交结果使自己的权益受到损害的，可以在知道或者应知其权益受到损害之日起7个工作日内，以书面形式向采购人、采购代理机构提出质疑。</w:t>
      </w:r>
    </w:p>
    <w:p w14:paraId="0F53EBE3">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1.2供应商提出质疑应当提交质疑函和必要的证明材料，质疑函应当包括下列内容：</w:t>
      </w:r>
    </w:p>
    <w:p w14:paraId="7B2CA281">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1.2.1供应商的姓名或者名称、地址、邮编、联系人及联系电话；</w:t>
      </w:r>
    </w:p>
    <w:p w14:paraId="098487A8">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1.2.2</w:t>
      </w:r>
      <w:r>
        <w:rPr>
          <w:rFonts w:hint="eastAsia" w:asciiTheme="minorEastAsia" w:hAnsiTheme="minorEastAsia"/>
          <w:color w:val="auto"/>
          <w:sz w:val="24"/>
          <w:szCs w:val="24"/>
          <w:highlight w:val="none"/>
        </w:rPr>
        <w:t>质疑项目的项目名称、项目号以及采购执行编号</w:t>
      </w:r>
      <w:r>
        <w:rPr>
          <w:rFonts w:hint="eastAsia" w:cs="仿宋" w:asciiTheme="minorEastAsia" w:hAnsiTheme="minorEastAsia"/>
          <w:color w:val="auto"/>
          <w:sz w:val="24"/>
          <w:highlight w:val="none"/>
        </w:rPr>
        <w:t>；</w:t>
      </w:r>
    </w:p>
    <w:p w14:paraId="6DE8F1FE">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1.2.3具体、明确的质疑事项和与质疑事项相关的请求；</w:t>
      </w:r>
    </w:p>
    <w:p w14:paraId="157A3BC1">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1.2.4事实依据；</w:t>
      </w:r>
    </w:p>
    <w:p w14:paraId="0B919326">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1.2.5必要的法律依据；</w:t>
      </w:r>
    </w:p>
    <w:p w14:paraId="76928BFD">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1.2.6提出质疑的日期；</w:t>
      </w:r>
    </w:p>
    <w:p w14:paraId="4C709B7C">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1.2.7营业执照（或事业单位法人证书，或个体工商户营业执照或有效的自然人身份证明）复印件；</w:t>
      </w:r>
    </w:p>
    <w:p w14:paraId="36B52770">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1.2.8法定代表人授权委托书原件、法定代表人身份证复印件和其授权代表的身份证复印件（供应商为自然人的提供自然人身份证复印件）；</w:t>
      </w:r>
    </w:p>
    <w:p w14:paraId="7D37F0CD">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1.3供应商为自然人的，质疑函应当由本人签字；供应商为法人或者其他组织的，质疑函应当由法定代表人、主要负责人，或者其授权代表签字或者盖章，并加盖公章。</w:t>
      </w:r>
    </w:p>
    <w:p w14:paraId="50C65243">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2.质疑答复</w:t>
      </w:r>
    </w:p>
    <w:p w14:paraId="1CDFA5FB">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采购人、采购代理机构应当在收到供应商的书面质疑后七个工作日内作出答复，并以书面形式通知质疑供应商和其他有关供应商。</w:t>
      </w:r>
    </w:p>
    <w:p w14:paraId="0C8549ED">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3.其他</w:t>
      </w:r>
    </w:p>
    <w:p w14:paraId="72D7DF74">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3.1供应商应按照《政府采购质疑和投诉办法》（财政部令第94号）及相关法律法规要求，在法定质疑期内一次性提出针对同一采购程序环节的质疑。</w:t>
      </w:r>
    </w:p>
    <w:p w14:paraId="12CD3AAA">
      <w:pPr>
        <w:spacing w:line="400" w:lineRule="exact"/>
        <w:ind w:right="12" w:firstLine="480"/>
        <w:rPr>
          <w:rFonts w:hint="eastAsia" w:cs="仿宋" w:asciiTheme="minorEastAsia" w:hAnsiTheme="minorEastAsia"/>
          <w:color w:val="auto"/>
          <w:sz w:val="24"/>
          <w:highlight w:val="none"/>
        </w:rPr>
      </w:pPr>
      <w:r>
        <w:rPr>
          <w:rFonts w:hint="eastAsia" w:cs="仿宋" w:asciiTheme="minorEastAsia" w:hAnsiTheme="minorEastAsia"/>
          <w:color w:val="auto"/>
          <w:sz w:val="24"/>
          <w:highlight w:val="none"/>
        </w:rPr>
        <w:t>3.2质疑函范本可在财政部门户网站和中国政府采购网下载。</w:t>
      </w:r>
    </w:p>
    <w:p w14:paraId="72EC8962">
      <w:pPr>
        <w:pStyle w:val="4"/>
        <w:spacing w:after="0" w:line="400" w:lineRule="exact"/>
        <w:ind w:firstLine="480" w:firstLineChars="200"/>
        <w:rPr>
          <w:rFonts w:hint="eastAsia" w:asciiTheme="minorEastAsia" w:hAnsiTheme="minorEastAsia"/>
          <w:color w:val="auto"/>
          <w:sz w:val="24"/>
          <w:highlight w:val="none"/>
        </w:rPr>
      </w:pPr>
      <w:bookmarkStart w:id="237" w:name="_Toc65660361"/>
      <w:bookmarkStart w:id="238" w:name="_Toc23778"/>
      <w:bookmarkStart w:id="239" w:name="_Toc15193"/>
      <w:bookmarkStart w:id="240" w:name="_Toc3127"/>
      <w:bookmarkStart w:id="241" w:name="_Toc16648"/>
      <w:r>
        <w:rPr>
          <w:rFonts w:hint="eastAsia" w:asciiTheme="minorEastAsia" w:hAnsiTheme="minorEastAsia"/>
          <w:color w:val="auto"/>
          <w:sz w:val="24"/>
          <w:highlight w:val="none"/>
        </w:rPr>
        <w:t>七、签订合同</w:t>
      </w:r>
      <w:bookmarkEnd w:id="237"/>
      <w:bookmarkEnd w:id="238"/>
      <w:bookmarkEnd w:id="239"/>
      <w:bookmarkEnd w:id="240"/>
      <w:bookmarkEnd w:id="241"/>
    </w:p>
    <w:p w14:paraId="5DEE59D1">
      <w:pPr>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（一）</w:t>
      </w:r>
      <w:r>
        <w:rPr>
          <w:rFonts w:hint="eastAsia" w:asciiTheme="minorEastAsia" w:hAnsiTheme="minorEastAsia"/>
          <w:color w:val="auto"/>
          <w:sz w:val="24"/>
          <w:highlight w:val="none"/>
        </w:rPr>
        <w:t>采购人原则上应在成交通知书发出之日起二十日内和成交供应商签订政府采购合同，无正当理由不得拒绝或拖延合同签订</w:t>
      </w:r>
      <w:r>
        <w:rPr>
          <w:rFonts w:hint="eastAsia" w:asciiTheme="minorEastAsia" w:hAnsiTheme="minorEastAsia"/>
          <w:color w:val="auto"/>
          <w:sz w:val="24"/>
          <w:szCs w:val="24"/>
          <w:highlight w:val="none"/>
        </w:rPr>
        <w:t>。所签订的合同不得对询价通知书和供应商的响应文件作实质性修改。其他未尽事宜由采购人和成交供应商在采购合同中详细约定。</w:t>
      </w:r>
    </w:p>
    <w:p w14:paraId="14C9E75E">
      <w:pPr>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（二）询价通知书、供应商的响应文件及澄清文件等，均为签订政府采购合同的依据。</w:t>
      </w:r>
    </w:p>
    <w:p w14:paraId="36DDB93D">
      <w:pPr>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（三）合同生效条款由供需双方约定，法律、行政法规规定应当办理批准、登记等手续后生效的合同，依照其规定。</w:t>
      </w:r>
    </w:p>
    <w:p w14:paraId="17AB9573">
      <w:pPr>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（四）合同原则上应按照《重庆市政府采购合同》签订，相关单位要求适用合同通用格式版本的，应按其要求另行签订其他合同。</w:t>
      </w:r>
    </w:p>
    <w:p w14:paraId="422E6169">
      <w:pPr>
        <w:spacing w:line="400" w:lineRule="exact"/>
        <w:ind w:firstLine="360" w:firstLineChars="15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（五）采购人要求成交供应商提供履约保证金的，应当在询价通知书中予以约定。成交供应商履约完毕后，采购人根据采购文件规定无息退还其履约保证金。</w:t>
      </w:r>
    </w:p>
    <w:p w14:paraId="605065A4">
      <w:pPr>
        <w:pStyle w:val="4"/>
        <w:spacing w:after="0" w:line="400" w:lineRule="exact"/>
        <w:ind w:firstLine="480" w:firstLineChars="200"/>
        <w:rPr>
          <w:rFonts w:hint="eastAsia" w:asciiTheme="minorEastAsia" w:hAnsiTheme="minorEastAsia"/>
          <w:color w:val="auto"/>
          <w:sz w:val="24"/>
          <w:highlight w:val="none"/>
        </w:rPr>
      </w:pPr>
      <w:bookmarkStart w:id="242" w:name="_Toc14938"/>
      <w:bookmarkStart w:id="243" w:name="_Toc77"/>
      <w:r>
        <w:rPr>
          <w:rFonts w:hint="eastAsia" w:asciiTheme="minorEastAsia" w:hAnsiTheme="minorEastAsia"/>
          <w:color w:val="auto"/>
          <w:sz w:val="24"/>
          <w:highlight w:val="none"/>
        </w:rPr>
        <w:t>八、项目验收</w:t>
      </w:r>
      <w:bookmarkEnd w:id="242"/>
      <w:bookmarkEnd w:id="243"/>
    </w:p>
    <w:p w14:paraId="45F3F8B3">
      <w:pPr>
        <w:spacing w:line="4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合同执行完毕，采购人或采购代理机构原则上应在7个工作日内组织履约情况验收，不得无故拖延或附加额外条件。</w:t>
      </w:r>
    </w:p>
    <w:p w14:paraId="1AF36C12">
      <w:pPr>
        <w:pStyle w:val="4"/>
        <w:spacing w:after="0" w:line="400" w:lineRule="exact"/>
        <w:ind w:firstLine="480" w:firstLineChars="200"/>
        <w:rPr>
          <w:rFonts w:hint="eastAsia" w:asciiTheme="minorEastAsia" w:hAnsiTheme="minorEastAsia"/>
          <w:color w:val="auto"/>
          <w:sz w:val="24"/>
          <w:highlight w:val="none"/>
        </w:rPr>
      </w:pPr>
      <w:bookmarkStart w:id="244" w:name="_Toc9730"/>
      <w:bookmarkStart w:id="245" w:name="_Toc65660363"/>
      <w:bookmarkStart w:id="246" w:name="_Toc4867"/>
      <w:bookmarkStart w:id="247" w:name="_Toc15521"/>
      <w:bookmarkStart w:id="248" w:name="_Toc29676"/>
      <w:r>
        <w:rPr>
          <w:rFonts w:hint="eastAsia" w:asciiTheme="minorEastAsia" w:hAnsiTheme="minorEastAsia"/>
          <w:color w:val="auto"/>
          <w:sz w:val="24"/>
          <w:highlight w:val="none"/>
        </w:rPr>
        <w:t>九、</w:t>
      </w:r>
      <w:bookmarkEnd w:id="244"/>
      <w:bookmarkEnd w:id="245"/>
      <w:bookmarkEnd w:id="246"/>
      <w:bookmarkEnd w:id="247"/>
      <w:r>
        <w:rPr>
          <w:rFonts w:hint="eastAsia" w:asciiTheme="minorEastAsia" w:hAnsiTheme="minorEastAsia"/>
          <w:color w:val="auto"/>
          <w:sz w:val="24"/>
          <w:highlight w:val="none"/>
        </w:rPr>
        <w:t>采购代理服务费</w:t>
      </w:r>
      <w:bookmarkEnd w:id="248"/>
    </w:p>
    <w:p w14:paraId="09F4947F">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本项目采购代理服务费5000.00元，由成交供应商承担并在领取成交通知书时一次性向采购代理机构支付。各供应商在报价时须考虑此费用，项目实施过程中不得以任何理由要求采购人补偿此费用。</w:t>
      </w:r>
    </w:p>
    <w:bookmarkEnd w:id="122"/>
    <w:p w14:paraId="1892FCE3">
      <w:pPr>
        <w:pStyle w:val="4"/>
        <w:pageBreakBefore/>
        <w:spacing w:after="0"/>
        <w:jc w:val="center"/>
        <w:rPr>
          <w:rFonts w:hint="eastAsia" w:asciiTheme="minorEastAsia" w:hAnsiTheme="minorEastAsia"/>
          <w:color w:val="auto"/>
          <w:sz w:val="36"/>
          <w:szCs w:val="30"/>
          <w:highlight w:val="none"/>
        </w:rPr>
      </w:pPr>
      <w:bookmarkStart w:id="249" w:name="_Toc12789059"/>
      <w:bookmarkStart w:id="250" w:name="_Toc11641055"/>
      <w:bookmarkStart w:id="251" w:name="_Toc28162"/>
      <w:bookmarkStart w:id="252" w:name="_Toc10599"/>
      <w:bookmarkStart w:id="253" w:name="_Toc14861"/>
      <w:bookmarkStart w:id="254" w:name="_Toc65660365"/>
      <w:bookmarkStart w:id="255" w:name="_Toc26918"/>
      <w:r>
        <w:rPr>
          <w:rFonts w:hint="eastAsia" w:asciiTheme="minorEastAsia" w:hAnsiTheme="minorEastAsia"/>
          <w:color w:val="auto"/>
          <w:sz w:val="36"/>
          <w:szCs w:val="30"/>
          <w:highlight w:val="none"/>
        </w:rPr>
        <w:t xml:space="preserve">第六篇  </w:t>
      </w:r>
      <w:bookmarkEnd w:id="249"/>
      <w:bookmarkEnd w:id="250"/>
      <w:r>
        <w:rPr>
          <w:rFonts w:hint="eastAsia" w:asciiTheme="minorEastAsia" w:hAnsiTheme="minorEastAsia"/>
          <w:color w:val="auto"/>
          <w:sz w:val="36"/>
          <w:szCs w:val="30"/>
          <w:highlight w:val="none"/>
        </w:rPr>
        <w:t>合同草案条款</w:t>
      </w:r>
      <w:bookmarkEnd w:id="251"/>
      <w:bookmarkEnd w:id="252"/>
      <w:bookmarkEnd w:id="253"/>
      <w:bookmarkEnd w:id="254"/>
      <w:r>
        <w:rPr>
          <w:rFonts w:hint="eastAsia" w:asciiTheme="minorEastAsia" w:hAnsiTheme="minorEastAsia"/>
          <w:color w:val="auto"/>
          <w:sz w:val="36"/>
          <w:szCs w:val="30"/>
          <w:highlight w:val="none"/>
        </w:rPr>
        <w:t>（如果有)</w:t>
      </w:r>
      <w:bookmarkEnd w:id="255"/>
    </w:p>
    <w:p w14:paraId="25C53F6C">
      <w:pPr>
        <w:spacing w:line="400" w:lineRule="exact"/>
        <w:ind w:right="12" w:firstLine="480"/>
        <w:rPr>
          <w:rFonts w:hint="eastAsia" w:cs="仿宋" w:asciiTheme="minorEastAsia" w:hAnsiTheme="minorEastAsia"/>
          <w:color w:val="auto"/>
          <w:sz w:val="24"/>
          <w:highlight w:val="none"/>
        </w:rPr>
      </w:pPr>
    </w:p>
    <w:p w14:paraId="75CACD47">
      <w:pPr>
        <w:spacing w:line="400" w:lineRule="exact"/>
        <w:ind w:right="12" w:firstLine="480"/>
        <w:rPr>
          <w:rFonts w:hint="eastAsia" w:cs="仿宋" w:asciiTheme="minorEastAsia" w:hAnsiTheme="minorEastAsia"/>
          <w:color w:val="auto"/>
          <w:sz w:val="24"/>
          <w:highlight w:val="none"/>
        </w:rPr>
      </w:pPr>
    </w:p>
    <w:p w14:paraId="3EC88FDD">
      <w:pPr>
        <w:pStyle w:val="19"/>
        <w:rPr>
          <w:rFonts w:hint="eastAsia" w:cs="仿宋" w:asciiTheme="minorEastAsia" w:hAnsiTheme="minorEastAsia" w:eastAsiaTheme="minorEastAsia"/>
          <w:color w:val="auto"/>
          <w:highlight w:val="none"/>
        </w:rPr>
      </w:pPr>
    </w:p>
    <w:p w14:paraId="6DB29C87">
      <w:pPr>
        <w:rPr>
          <w:rFonts w:hint="eastAsia" w:cs="仿宋" w:asciiTheme="minorEastAsia" w:hAnsiTheme="minorEastAsia"/>
          <w:color w:val="auto"/>
          <w:sz w:val="24"/>
          <w:highlight w:val="none"/>
        </w:rPr>
      </w:pPr>
    </w:p>
    <w:p w14:paraId="195048D0">
      <w:pPr>
        <w:pStyle w:val="19"/>
        <w:rPr>
          <w:rFonts w:hint="eastAsia" w:cs="仿宋" w:asciiTheme="minorEastAsia" w:hAnsiTheme="minorEastAsia" w:eastAsiaTheme="minorEastAsia"/>
          <w:color w:val="auto"/>
          <w:highlight w:val="none"/>
        </w:rPr>
      </w:pPr>
    </w:p>
    <w:p w14:paraId="1B1441AF">
      <w:pPr>
        <w:rPr>
          <w:rFonts w:hint="eastAsia" w:cs="仿宋" w:asciiTheme="minorEastAsia" w:hAnsiTheme="minorEastAsia"/>
          <w:color w:val="auto"/>
          <w:sz w:val="24"/>
          <w:highlight w:val="none"/>
        </w:rPr>
      </w:pPr>
    </w:p>
    <w:p w14:paraId="05AE2334">
      <w:pPr>
        <w:pStyle w:val="19"/>
        <w:rPr>
          <w:rFonts w:hint="eastAsia" w:cs="仿宋" w:asciiTheme="minorEastAsia" w:hAnsiTheme="minorEastAsia" w:eastAsiaTheme="minorEastAsia"/>
          <w:color w:val="auto"/>
          <w:highlight w:val="none"/>
        </w:rPr>
      </w:pPr>
    </w:p>
    <w:p w14:paraId="0E27156E">
      <w:pPr>
        <w:rPr>
          <w:rFonts w:hint="eastAsia" w:cs="仿宋" w:asciiTheme="minorEastAsia" w:hAnsiTheme="minorEastAsia"/>
          <w:color w:val="auto"/>
          <w:sz w:val="24"/>
          <w:highlight w:val="none"/>
        </w:rPr>
      </w:pPr>
    </w:p>
    <w:p w14:paraId="69DAC66C">
      <w:pPr>
        <w:pStyle w:val="19"/>
        <w:rPr>
          <w:rFonts w:hint="eastAsia" w:cs="仿宋" w:asciiTheme="minorEastAsia" w:hAnsiTheme="minorEastAsia" w:eastAsiaTheme="minorEastAsia"/>
          <w:color w:val="auto"/>
          <w:highlight w:val="none"/>
        </w:rPr>
      </w:pPr>
    </w:p>
    <w:p w14:paraId="41C84EAA">
      <w:pPr>
        <w:rPr>
          <w:rFonts w:hint="eastAsia" w:cs="仿宋" w:asciiTheme="minorEastAsia" w:hAnsiTheme="minorEastAsia"/>
          <w:color w:val="auto"/>
          <w:sz w:val="24"/>
          <w:highlight w:val="none"/>
        </w:rPr>
      </w:pPr>
    </w:p>
    <w:p w14:paraId="032D79CA">
      <w:pPr>
        <w:pStyle w:val="19"/>
        <w:rPr>
          <w:rFonts w:hint="eastAsia" w:cs="仿宋" w:asciiTheme="minorEastAsia" w:hAnsiTheme="minorEastAsia" w:eastAsiaTheme="minorEastAsia"/>
          <w:color w:val="auto"/>
          <w:highlight w:val="none"/>
        </w:rPr>
      </w:pPr>
    </w:p>
    <w:p w14:paraId="4E90BFBC">
      <w:pPr>
        <w:rPr>
          <w:rFonts w:hint="eastAsia" w:cs="仿宋" w:asciiTheme="minorEastAsia" w:hAnsiTheme="minorEastAsia"/>
          <w:color w:val="auto"/>
          <w:sz w:val="24"/>
          <w:highlight w:val="none"/>
        </w:rPr>
      </w:pPr>
    </w:p>
    <w:p w14:paraId="6C9B5551">
      <w:pPr>
        <w:pStyle w:val="19"/>
        <w:rPr>
          <w:rFonts w:hint="eastAsia" w:cs="仿宋" w:asciiTheme="minorEastAsia" w:hAnsiTheme="minorEastAsia" w:eastAsiaTheme="minorEastAsia"/>
          <w:color w:val="auto"/>
          <w:highlight w:val="none"/>
        </w:rPr>
      </w:pPr>
    </w:p>
    <w:p w14:paraId="18C44D59">
      <w:pPr>
        <w:rPr>
          <w:rFonts w:hint="eastAsia" w:cs="仿宋" w:asciiTheme="minorEastAsia" w:hAnsiTheme="minorEastAsia"/>
          <w:color w:val="auto"/>
          <w:sz w:val="24"/>
          <w:highlight w:val="none"/>
        </w:rPr>
      </w:pPr>
    </w:p>
    <w:p w14:paraId="28C6511C">
      <w:pPr>
        <w:pStyle w:val="2"/>
        <w:ind w:left="1260"/>
        <w:rPr>
          <w:rFonts w:hint="eastAsia" w:cs="仿宋" w:asciiTheme="minorEastAsia" w:hAnsiTheme="minorEastAsia"/>
          <w:color w:val="auto"/>
          <w:sz w:val="24"/>
          <w:highlight w:val="none"/>
        </w:rPr>
      </w:pPr>
    </w:p>
    <w:p w14:paraId="47717495">
      <w:pPr>
        <w:rPr>
          <w:rFonts w:hint="eastAsia" w:cs="仿宋" w:asciiTheme="minorEastAsia" w:hAnsiTheme="minorEastAsia"/>
          <w:color w:val="auto"/>
          <w:sz w:val="24"/>
          <w:highlight w:val="none"/>
        </w:rPr>
      </w:pPr>
    </w:p>
    <w:p w14:paraId="2AFEE176">
      <w:pPr>
        <w:pStyle w:val="2"/>
        <w:ind w:left="1260"/>
        <w:rPr>
          <w:rFonts w:hint="eastAsia" w:cs="仿宋" w:asciiTheme="minorEastAsia" w:hAnsiTheme="minorEastAsia"/>
          <w:color w:val="auto"/>
          <w:sz w:val="24"/>
          <w:highlight w:val="none"/>
        </w:rPr>
      </w:pPr>
    </w:p>
    <w:p w14:paraId="44E04883">
      <w:pPr>
        <w:rPr>
          <w:rFonts w:hint="eastAsia" w:cs="仿宋" w:asciiTheme="minorEastAsia" w:hAnsiTheme="minorEastAsia"/>
          <w:color w:val="auto"/>
          <w:sz w:val="24"/>
          <w:highlight w:val="none"/>
        </w:rPr>
      </w:pPr>
    </w:p>
    <w:p w14:paraId="0CE6F563">
      <w:pPr>
        <w:pStyle w:val="2"/>
        <w:ind w:left="1260"/>
        <w:rPr>
          <w:rFonts w:hint="eastAsia" w:cs="仿宋" w:asciiTheme="minorEastAsia" w:hAnsiTheme="minorEastAsia"/>
          <w:color w:val="auto"/>
          <w:sz w:val="24"/>
          <w:highlight w:val="none"/>
        </w:rPr>
      </w:pPr>
    </w:p>
    <w:p w14:paraId="3B7AB920">
      <w:pPr>
        <w:rPr>
          <w:rFonts w:hint="eastAsia" w:cs="仿宋" w:asciiTheme="minorEastAsia" w:hAnsiTheme="minorEastAsia"/>
          <w:color w:val="auto"/>
          <w:sz w:val="24"/>
          <w:highlight w:val="none"/>
        </w:rPr>
      </w:pPr>
    </w:p>
    <w:p w14:paraId="704C7DC0">
      <w:pPr>
        <w:pStyle w:val="2"/>
        <w:ind w:left="1260"/>
        <w:rPr>
          <w:rFonts w:hint="eastAsia" w:cs="仿宋" w:asciiTheme="minorEastAsia" w:hAnsiTheme="minorEastAsia"/>
          <w:color w:val="auto"/>
          <w:sz w:val="24"/>
          <w:highlight w:val="none"/>
        </w:rPr>
      </w:pPr>
    </w:p>
    <w:p w14:paraId="3A132720">
      <w:pPr>
        <w:rPr>
          <w:color w:val="auto"/>
          <w:highlight w:val="none"/>
        </w:rPr>
      </w:pPr>
    </w:p>
    <w:p w14:paraId="61564B65">
      <w:pPr>
        <w:pStyle w:val="2"/>
        <w:ind w:left="1260"/>
        <w:rPr>
          <w:color w:val="auto"/>
          <w:highlight w:val="none"/>
        </w:rPr>
      </w:pPr>
    </w:p>
    <w:p w14:paraId="17FEAACF">
      <w:pPr>
        <w:rPr>
          <w:color w:val="auto"/>
          <w:highlight w:val="none"/>
        </w:rPr>
      </w:pPr>
    </w:p>
    <w:p w14:paraId="528D9CCB">
      <w:pPr>
        <w:pStyle w:val="2"/>
        <w:ind w:left="1260"/>
        <w:rPr>
          <w:color w:val="auto"/>
          <w:highlight w:val="none"/>
        </w:rPr>
      </w:pPr>
    </w:p>
    <w:p w14:paraId="50113C16">
      <w:pPr>
        <w:rPr>
          <w:color w:val="auto"/>
          <w:highlight w:val="none"/>
        </w:rPr>
      </w:pPr>
    </w:p>
    <w:p w14:paraId="657E365F">
      <w:pPr>
        <w:pStyle w:val="4"/>
        <w:spacing w:after="0"/>
        <w:jc w:val="center"/>
        <w:rPr>
          <w:rFonts w:hint="eastAsia" w:asciiTheme="minorEastAsia" w:hAnsiTheme="minorEastAsia"/>
          <w:color w:val="auto"/>
          <w:sz w:val="36"/>
          <w:szCs w:val="30"/>
          <w:highlight w:val="none"/>
        </w:rPr>
      </w:pPr>
      <w:bookmarkStart w:id="256" w:name="_Hlt41879464"/>
      <w:bookmarkEnd w:id="256"/>
      <w:bookmarkStart w:id="257" w:name="_Toc18521"/>
      <w:bookmarkStart w:id="258" w:name="_Toc6968"/>
      <w:bookmarkStart w:id="259" w:name="_Toc9538"/>
      <w:bookmarkStart w:id="260" w:name="_Toc12789072"/>
      <w:bookmarkStart w:id="261" w:name="_Toc4761"/>
      <w:bookmarkStart w:id="262" w:name="_Toc65660378"/>
      <w:r>
        <w:rPr>
          <w:rFonts w:hint="eastAsia" w:asciiTheme="minorEastAsia" w:hAnsiTheme="minorEastAsia"/>
          <w:color w:val="auto"/>
          <w:sz w:val="36"/>
          <w:szCs w:val="30"/>
          <w:highlight w:val="none"/>
        </w:rPr>
        <w:t>第七篇  响应文件格式要求</w:t>
      </w:r>
      <w:bookmarkEnd w:id="257"/>
      <w:bookmarkEnd w:id="258"/>
      <w:bookmarkEnd w:id="259"/>
      <w:bookmarkEnd w:id="260"/>
      <w:bookmarkEnd w:id="261"/>
      <w:bookmarkEnd w:id="262"/>
    </w:p>
    <w:p w14:paraId="40DCE375">
      <w:pPr>
        <w:spacing w:line="400" w:lineRule="exact"/>
        <w:ind w:firstLine="482" w:firstLineChars="200"/>
        <w:rPr>
          <w:rFonts w:hint="eastAsia" w:asciiTheme="minorEastAsia" w:hAnsiTheme="minorEastAsia"/>
          <w:b/>
          <w:color w:val="auto"/>
          <w:sz w:val="24"/>
          <w:szCs w:val="24"/>
          <w:highlight w:val="none"/>
        </w:rPr>
      </w:pPr>
      <w:r>
        <w:rPr>
          <w:rFonts w:hint="eastAsia" w:asciiTheme="minorEastAsia" w:hAnsiTheme="minorEastAsia"/>
          <w:b/>
          <w:color w:val="auto"/>
          <w:sz w:val="24"/>
          <w:szCs w:val="24"/>
          <w:highlight w:val="none"/>
        </w:rPr>
        <w:t>一、经济部分</w:t>
      </w:r>
    </w:p>
    <w:p w14:paraId="440E84C9">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（一）报价函</w:t>
      </w:r>
    </w:p>
    <w:p w14:paraId="576D005A">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（二）分项报价明细表</w:t>
      </w:r>
    </w:p>
    <w:p w14:paraId="2178A46C">
      <w:pPr>
        <w:spacing w:line="400" w:lineRule="exact"/>
        <w:ind w:firstLine="482" w:firstLineChars="200"/>
        <w:rPr>
          <w:rFonts w:hint="eastAsia" w:asciiTheme="minorEastAsia" w:hAnsiTheme="minorEastAsia"/>
          <w:b/>
          <w:color w:val="auto"/>
          <w:sz w:val="24"/>
          <w:szCs w:val="24"/>
          <w:highlight w:val="none"/>
        </w:rPr>
      </w:pPr>
      <w:r>
        <w:rPr>
          <w:rFonts w:hint="eastAsia" w:asciiTheme="minorEastAsia" w:hAnsiTheme="minorEastAsia"/>
          <w:b/>
          <w:color w:val="auto"/>
          <w:sz w:val="24"/>
          <w:szCs w:val="24"/>
          <w:highlight w:val="none"/>
        </w:rPr>
        <w:t>二、技术（质量）部分</w:t>
      </w:r>
    </w:p>
    <w:p w14:paraId="49D0BF25">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（一）技术（质量）响应承诺</w:t>
      </w:r>
    </w:p>
    <w:p w14:paraId="19904BA5">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（二）其他资料（格式自定）</w:t>
      </w:r>
    </w:p>
    <w:p w14:paraId="1175323F">
      <w:pPr>
        <w:spacing w:line="400" w:lineRule="exact"/>
        <w:ind w:firstLine="482" w:firstLineChars="200"/>
        <w:rPr>
          <w:rFonts w:hint="eastAsia" w:asciiTheme="minorEastAsia" w:hAnsiTheme="minorEastAsia"/>
          <w:b/>
          <w:color w:val="auto"/>
          <w:sz w:val="24"/>
          <w:szCs w:val="24"/>
          <w:highlight w:val="none"/>
        </w:rPr>
      </w:pPr>
      <w:r>
        <w:rPr>
          <w:rFonts w:hint="eastAsia" w:asciiTheme="minorEastAsia" w:hAnsiTheme="minorEastAsia"/>
          <w:b/>
          <w:color w:val="auto"/>
          <w:sz w:val="24"/>
          <w:szCs w:val="24"/>
          <w:highlight w:val="none"/>
        </w:rPr>
        <w:t>三、服务部分</w:t>
      </w:r>
    </w:p>
    <w:p w14:paraId="18986FEB">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（一）服务响应承诺</w:t>
      </w:r>
    </w:p>
    <w:p w14:paraId="0EFE5144">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（二）其它优惠服务承诺（格式自定）</w:t>
      </w:r>
    </w:p>
    <w:p w14:paraId="7EA3BF05">
      <w:pPr>
        <w:spacing w:line="400" w:lineRule="exact"/>
        <w:ind w:firstLine="482" w:firstLineChars="200"/>
        <w:rPr>
          <w:rFonts w:hint="eastAsia" w:asciiTheme="minorEastAsia" w:hAnsiTheme="minorEastAsia"/>
          <w:b/>
          <w:color w:val="auto"/>
          <w:sz w:val="24"/>
          <w:szCs w:val="24"/>
          <w:highlight w:val="none"/>
        </w:rPr>
      </w:pPr>
      <w:r>
        <w:rPr>
          <w:rFonts w:hint="eastAsia" w:asciiTheme="minorEastAsia" w:hAnsiTheme="minorEastAsia"/>
          <w:b/>
          <w:color w:val="auto"/>
          <w:sz w:val="24"/>
          <w:szCs w:val="24"/>
          <w:highlight w:val="none"/>
        </w:rPr>
        <w:t>四、资格条件及其他</w:t>
      </w:r>
    </w:p>
    <w:p w14:paraId="01AAB3D9">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（一）法人营业执照（副本）或事业单位法人证书（副本）或个体工商户营业执照或有效的自然人身份证明或社会团体法人登记证书</w:t>
      </w:r>
    </w:p>
    <w:p w14:paraId="0D255F74">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（二）法定代表人身份证明书（格式）</w:t>
      </w:r>
    </w:p>
    <w:p w14:paraId="7EA59C57">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（三）法定代表人授权委托书（格式）</w:t>
      </w:r>
    </w:p>
    <w:p w14:paraId="7360ACC1">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（四）基本资格条件承诺函（格式）</w:t>
      </w:r>
    </w:p>
    <w:p w14:paraId="72DA6A5B">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（五）特定资格条件证书或证明文件</w:t>
      </w:r>
    </w:p>
    <w:p w14:paraId="56A5DA21">
      <w:pPr>
        <w:spacing w:line="400" w:lineRule="exact"/>
        <w:ind w:firstLine="482" w:firstLineChars="200"/>
        <w:rPr>
          <w:rFonts w:hint="eastAsia" w:asciiTheme="minorEastAsia" w:hAnsiTheme="minorEastAsia"/>
          <w:b/>
          <w:color w:val="auto"/>
          <w:sz w:val="24"/>
          <w:szCs w:val="24"/>
          <w:highlight w:val="none"/>
        </w:rPr>
      </w:pPr>
      <w:r>
        <w:rPr>
          <w:rFonts w:hint="eastAsia" w:asciiTheme="minorEastAsia" w:hAnsiTheme="minorEastAsia"/>
          <w:b/>
          <w:color w:val="auto"/>
          <w:sz w:val="24"/>
          <w:szCs w:val="24"/>
          <w:highlight w:val="none"/>
        </w:rPr>
        <w:t>五、其他资料</w:t>
      </w:r>
    </w:p>
    <w:p w14:paraId="3D927E94">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投标企业对公账户开户银行许可证或基本存款账户信息复印件加盖鲜章。</w:t>
      </w:r>
    </w:p>
    <w:p w14:paraId="541E6A78">
      <w:pPr>
        <w:snapToGrid w:val="0"/>
        <w:spacing w:line="360" w:lineRule="auto"/>
        <w:rPr>
          <w:rFonts w:hint="eastAsia" w:asciiTheme="minorEastAsia" w:hAnsiTheme="minorEastAsia"/>
          <w:color w:val="auto"/>
          <w:sz w:val="24"/>
          <w:szCs w:val="24"/>
          <w:highlight w:val="none"/>
          <w:bdr w:val="single" w:color="auto" w:sz="4" w:space="0"/>
        </w:rPr>
        <w:sectPr>
          <w:footerReference r:id="rId10" w:type="default"/>
          <w:pgSz w:w="11907" w:h="16840"/>
          <w:pgMar w:top="1134" w:right="1191" w:bottom="1134" w:left="1304" w:header="851" w:footer="992" w:gutter="0"/>
          <w:pgNumType w:fmt="numberInDash"/>
          <w:cols w:space="720" w:num="1"/>
          <w:docGrid w:linePitch="380" w:charSpace="-5735"/>
        </w:sectPr>
      </w:pPr>
    </w:p>
    <w:p w14:paraId="634BDBB8">
      <w:pPr>
        <w:pStyle w:val="4"/>
        <w:pageBreakBefore/>
        <w:spacing w:line="500" w:lineRule="exact"/>
        <w:ind w:firstLine="422" w:firstLineChars="200"/>
        <w:rPr>
          <w:rFonts w:hint="eastAsia" w:asciiTheme="minorEastAsia" w:hAnsiTheme="minorEastAsia"/>
          <w:b/>
          <w:color w:val="auto"/>
          <w:szCs w:val="28"/>
          <w:highlight w:val="none"/>
        </w:rPr>
      </w:pPr>
      <w:bookmarkStart w:id="263" w:name="_Toc429584884"/>
      <w:bookmarkStart w:id="264" w:name="_Toc80799903"/>
      <w:bookmarkStart w:id="265" w:name="_Toc28169"/>
      <w:bookmarkStart w:id="266" w:name="_Toc196642867"/>
      <w:bookmarkStart w:id="267" w:name="_Toc313888361"/>
      <w:bookmarkStart w:id="268" w:name="_Toc65660380"/>
      <w:bookmarkStart w:id="269" w:name="_Toc313008357"/>
      <w:bookmarkStart w:id="270" w:name="_Toc26085"/>
      <w:bookmarkStart w:id="271" w:name="_Toc22655"/>
      <w:bookmarkStart w:id="272" w:name="_Toc14073"/>
      <w:bookmarkStart w:id="273" w:name="_Toc342913420"/>
      <w:r>
        <w:rPr>
          <w:rFonts w:hint="eastAsia" w:asciiTheme="minorEastAsia" w:hAnsiTheme="minorEastAsia"/>
          <w:b/>
          <w:color w:val="auto"/>
          <w:szCs w:val="28"/>
          <w:highlight w:val="none"/>
        </w:rPr>
        <w:t>一、经济</w:t>
      </w:r>
      <w:bookmarkEnd w:id="263"/>
      <w:bookmarkEnd w:id="264"/>
      <w:r>
        <w:rPr>
          <w:rFonts w:hint="eastAsia" w:asciiTheme="minorEastAsia" w:hAnsiTheme="minorEastAsia"/>
          <w:b/>
          <w:color w:val="auto"/>
          <w:szCs w:val="28"/>
          <w:highlight w:val="none"/>
        </w:rPr>
        <w:t>部分</w:t>
      </w:r>
      <w:bookmarkEnd w:id="265"/>
      <w:bookmarkEnd w:id="266"/>
    </w:p>
    <w:p w14:paraId="75C27634">
      <w:pPr>
        <w:tabs>
          <w:tab w:val="left" w:pos="6300"/>
        </w:tabs>
        <w:snapToGrid w:val="0"/>
        <w:spacing w:line="276" w:lineRule="auto"/>
        <w:ind w:firstLine="422" w:firstLineChars="200"/>
        <w:jc w:val="center"/>
        <w:rPr>
          <w:rFonts w:hint="eastAsia" w:asciiTheme="minorEastAsia" w:hAnsiTheme="minorEastAsia"/>
          <w:b/>
          <w:color w:val="auto"/>
          <w:szCs w:val="28"/>
          <w:highlight w:val="none"/>
        </w:rPr>
      </w:pPr>
      <w:r>
        <w:rPr>
          <w:rFonts w:hint="eastAsia" w:asciiTheme="minorEastAsia" w:hAnsiTheme="minorEastAsia"/>
          <w:b/>
          <w:color w:val="auto"/>
          <w:szCs w:val="28"/>
          <w:highlight w:val="none"/>
        </w:rPr>
        <w:t>报价函</w:t>
      </w:r>
    </w:p>
    <w:p w14:paraId="16196609">
      <w:pPr>
        <w:tabs>
          <w:tab w:val="left" w:pos="6300"/>
        </w:tabs>
        <w:snapToGrid w:val="0"/>
        <w:spacing w:line="276" w:lineRule="auto"/>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u w:val="single"/>
        </w:rPr>
        <w:t>（采购代理机构名称）</w:t>
      </w:r>
      <w:r>
        <w:rPr>
          <w:rFonts w:hint="eastAsia" w:asciiTheme="minorEastAsia" w:hAnsiTheme="minorEastAsia"/>
          <w:color w:val="auto"/>
          <w:sz w:val="24"/>
          <w:szCs w:val="24"/>
          <w:highlight w:val="none"/>
        </w:rPr>
        <w:t>：</w:t>
      </w:r>
    </w:p>
    <w:p w14:paraId="5732E2F2">
      <w:pPr>
        <w:tabs>
          <w:tab w:val="left" w:pos="6300"/>
        </w:tabs>
        <w:snapToGrid w:val="0"/>
        <w:spacing w:line="276" w:lineRule="auto"/>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我方收到____________________________（询价项目名称）的询价通知书，经详细研究，决定参加该询价项目的报价。</w:t>
      </w:r>
    </w:p>
    <w:p w14:paraId="164A43BB">
      <w:pPr>
        <w:tabs>
          <w:tab w:val="left" w:pos="6300"/>
        </w:tabs>
        <w:snapToGrid w:val="0"/>
        <w:spacing w:line="276" w:lineRule="auto"/>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1.</w:t>
      </w:r>
      <w:r>
        <w:rPr>
          <w:rFonts w:hint="eastAsia"/>
          <w:color w:val="auto"/>
          <w:sz w:val="24"/>
          <w:szCs w:val="24"/>
          <w:highlight w:val="none"/>
        </w:rPr>
        <w:t xml:space="preserve"> 愿意按照询价通知书中的一切要求，提供本项目的交货及技术服务，项目总报价为人民币</w:t>
      </w:r>
      <w:r>
        <w:rPr>
          <w:rFonts w:hint="eastAsia"/>
          <w:color w:val="auto"/>
          <w:sz w:val="24"/>
          <w:szCs w:val="24"/>
          <w:highlight w:val="none"/>
          <w:u w:val="single"/>
        </w:rPr>
        <w:t xml:space="preserve">         </w:t>
      </w:r>
      <w:r>
        <w:rPr>
          <w:rFonts w:hint="eastAsia"/>
          <w:color w:val="auto"/>
          <w:sz w:val="24"/>
          <w:szCs w:val="24"/>
          <w:highlight w:val="none"/>
        </w:rPr>
        <w:t>元（大写：</w:t>
      </w:r>
      <w:r>
        <w:rPr>
          <w:rFonts w:hint="eastAsia"/>
          <w:color w:val="auto"/>
          <w:sz w:val="24"/>
          <w:szCs w:val="24"/>
          <w:highlight w:val="none"/>
          <w:u w:val="single"/>
        </w:rPr>
        <w:t xml:space="preserve">               </w:t>
      </w:r>
      <w:r>
        <w:rPr>
          <w:rFonts w:hint="eastAsia"/>
          <w:color w:val="auto"/>
          <w:sz w:val="24"/>
          <w:szCs w:val="24"/>
          <w:highlight w:val="none"/>
        </w:rPr>
        <w:t>）。</w:t>
      </w:r>
    </w:p>
    <w:p w14:paraId="313B0027">
      <w:pPr>
        <w:tabs>
          <w:tab w:val="left" w:pos="6300"/>
        </w:tabs>
        <w:snapToGrid w:val="0"/>
        <w:spacing w:line="276" w:lineRule="auto"/>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2.我方现提交的响应文件为：响应文件正本</w:t>
      </w:r>
      <w:r>
        <w:rPr>
          <w:rFonts w:hint="eastAsia" w:asciiTheme="minorEastAsia" w:hAnsiTheme="minorEastAsia"/>
          <w:color w:val="auto"/>
          <w:sz w:val="24"/>
          <w:szCs w:val="24"/>
          <w:highlight w:val="none"/>
          <w:u w:val="single"/>
        </w:rPr>
        <w:t xml:space="preserve">   </w:t>
      </w:r>
      <w:r>
        <w:rPr>
          <w:rFonts w:hint="eastAsia" w:asciiTheme="minorEastAsia" w:hAnsiTheme="minorEastAsia"/>
          <w:color w:val="auto"/>
          <w:sz w:val="24"/>
          <w:szCs w:val="24"/>
          <w:highlight w:val="none"/>
        </w:rPr>
        <w:t>份，副本</w:t>
      </w:r>
      <w:r>
        <w:rPr>
          <w:rFonts w:hint="eastAsia" w:asciiTheme="minorEastAsia" w:hAnsiTheme="minorEastAsia"/>
          <w:color w:val="auto"/>
          <w:sz w:val="24"/>
          <w:szCs w:val="24"/>
          <w:highlight w:val="none"/>
          <w:u w:val="single"/>
        </w:rPr>
        <w:t xml:space="preserve">   </w:t>
      </w:r>
      <w:r>
        <w:rPr>
          <w:rFonts w:hint="eastAsia" w:asciiTheme="minorEastAsia" w:hAnsiTheme="minorEastAsia"/>
          <w:color w:val="auto"/>
          <w:sz w:val="24"/>
          <w:szCs w:val="24"/>
          <w:highlight w:val="none"/>
        </w:rPr>
        <w:t>份。</w:t>
      </w:r>
    </w:p>
    <w:p w14:paraId="5104C6CD">
      <w:pPr>
        <w:tabs>
          <w:tab w:val="left" w:pos="6300"/>
        </w:tabs>
        <w:snapToGrid w:val="0"/>
        <w:spacing w:line="276" w:lineRule="auto"/>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3.我方承诺：本次报价的有效期为提交响应文件截止时间起90天。</w:t>
      </w:r>
    </w:p>
    <w:p w14:paraId="52E82AB2">
      <w:pPr>
        <w:tabs>
          <w:tab w:val="left" w:pos="6300"/>
        </w:tabs>
        <w:snapToGrid w:val="0"/>
        <w:spacing w:line="276" w:lineRule="auto"/>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4.我方完全理解和接受贵方询价通知书的一切规定和要求及评审办法。</w:t>
      </w:r>
    </w:p>
    <w:p w14:paraId="109A6883">
      <w:pPr>
        <w:tabs>
          <w:tab w:val="left" w:pos="6300"/>
        </w:tabs>
        <w:snapToGrid w:val="0"/>
        <w:spacing w:line="276" w:lineRule="auto"/>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5.在整个询价过程中，我方若有违规行为，接受按照《中华人民共和国政府采购法》和《询价通知书》之规定给予惩罚。</w:t>
      </w:r>
    </w:p>
    <w:p w14:paraId="4797D844">
      <w:pPr>
        <w:tabs>
          <w:tab w:val="left" w:pos="6300"/>
        </w:tabs>
        <w:snapToGrid w:val="0"/>
        <w:spacing w:line="276" w:lineRule="auto"/>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6.我方若成为成交供应商，将按照最终报价结果签订合同，并且严格履行合同义务。本承诺函将成为合同不可分割的一部分，与合同具有同等的法律效力。</w:t>
      </w:r>
    </w:p>
    <w:p w14:paraId="38F1B793">
      <w:pPr>
        <w:tabs>
          <w:tab w:val="left" w:pos="6300"/>
        </w:tabs>
        <w:snapToGrid w:val="0"/>
        <w:spacing w:line="276" w:lineRule="auto"/>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7.我方同意按询价通知书规定，交纳询价通知书要求的保证金。如果我方成为成交供应商，保证在接到成交通知书后，向采购代理机构和交易中心缴纳询价通知书规定的采购代理服务费和交易服务费。</w:t>
      </w:r>
    </w:p>
    <w:p w14:paraId="03C93C41">
      <w:pPr>
        <w:tabs>
          <w:tab w:val="left" w:pos="6300"/>
        </w:tabs>
        <w:snapToGrid w:val="0"/>
        <w:spacing w:line="276" w:lineRule="auto"/>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8.</w:t>
      </w:r>
      <w:r>
        <w:rPr>
          <w:rFonts w:hint="eastAsia" w:asciiTheme="minorEastAsia" w:hAnsiTheme="minorEastAsia"/>
          <w:color w:val="auto"/>
          <w:sz w:val="24"/>
          <w:szCs w:val="28"/>
          <w:highlight w:val="none"/>
        </w:rPr>
        <w:t>我方未</w:t>
      </w:r>
      <w:r>
        <w:rPr>
          <w:rFonts w:asciiTheme="minorEastAsia" w:hAnsiTheme="minorEastAsia"/>
          <w:color w:val="auto"/>
          <w:sz w:val="24"/>
          <w:szCs w:val="24"/>
          <w:highlight w:val="none"/>
        </w:rPr>
        <w:t>为采购项目提供整体设计、规范编制或者项目管理、监理、检测等服务。</w:t>
      </w:r>
    </w:p>
    <w:p w14:paraId="35089EE8">
      <w:pPr>
        <w:tabs>
          <w:tab w:val="left" w:pos="6300"/>
        </w:tabs>
        <w:snapToGrid w:val="0"/>
        <w:spacing w:line="276" w:lineRule="auto"/>
        <w:ind w:firstLine="570"/>
        <w:rPr>
          <w:rFonts w:hint="eastAsia" w:asciiTheme="minorEastAsia" w:hAnsiTheme="minorEastAsia"/>
          <w:color w:val="auto"/>
          <w:sz w:val="24"/>
          <w:szCs w:val="24"/>
          <w:highlight w:val="none"/>
        </w:rPr>
      </w:pPr>
      <w:bookmarkStart w:id="274" w:name="OLE_LINK2"/>
      <w:r>
        <w:rPr>
          <w:rFonts w:hint="eastAsia" w:asciiTheme="minorEastAsia" w:hAnsiTheme="minorEastAsia"/>
          <w:color w:val="auto"/>
          <w:sz w:val="24"/>
          <w:szCs w:val="24"/>
          <w:highlight w:val="none"/>
        </w:rPr>
        <w:t>供应商（公章）或自然人签署：</w:t>
      </w:r>
    </w:p>
    <w:p w14:paraId="5C61FA52">
      <w:pPr>
        <w:tabs>
          <w:tab w:val="left" w:pos="6300"/>
        </w:tabs>
        <w:snapToGrid w:val="0"/>
        <w:spacing w:line="276" w:lineRule="auto"/>
        <w:ind w:firstLine="57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 xml:space="preserve">地址：  </w:t>
      </w:r>
    </w:p>
    <w:p w14:paraId="5886DB2D">
      <w:pPr>
        <w:tabs>
          <w:tab w:val="left" w:pos="6300"/>
        </w:tabs>
        <w:snapToGrid w:val="0"/>
        <w:spacing w:line="276" w:lineRule="auto"/>
        <w:ind w:firstLine="57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电话：                           传真：</w:t>
      </w:r>
    </w:p>
    <w:p w14:paraId="05609C01">
      <w:pPr>
        <w:tabs>
          <w:tab w:val="left" w:pos="6300"/>
        </w:tabs>
        <w:snapToGrid w:val="0"/>
        <w:spacing w:line="276" w:lineRule="auto"/>
        <w:ind w:firstLine="57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网址：                           邮编：</w:t>
      </w:r>
    </w:p>
    <w:p w14:paraId="10A9B4BB">
      <w:pPr>
        <w:tabs>
          <w:tab w:val="left" w:pos="6300"/>
        </w:tabs>
        <w:snapToGrid w:val="0"/>
        <w:spacing w:line="276" w:lineRule="auto"/>
        <w:ind w:firstLine="57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联系人：</w:t>
      </w:r>
    </w:p>
    <w:p w14:paraId="6B3FF097">
      <w:pPr>
        <w:snapToGrid w:val="0"/>
        <w:spacing w:line="276" w:lineRule="auto"/>
        <w:ind w:firstLine="480" w:firstLineChars="200"/>
        <w:rPr>
          <w:rFonts w:hint="eastAsia" w:asciiTheme="minorEastAsia" w:hAnsiTheme="minorEastAsia"/>
          <w:color w:val="auto"/>
          <w:sz w:val="24"/>
          <w:szCs w:val="24"/>
          <w:highlight w:val="none"/>
        </w:rPr>
        <w:sectPr>
          <w:pgSz w:w="11907" w:h="16840"/>
          <w:pgMar w:top="1134" w:right="1191" w:bottom="1134" w:left="1304" w:header="851" w:footer="992" w:gutter="0"/>
          <w:pgNumType w:fmt="numberInDash"/>
          <w:cols w:space="720" w:num="1"/>
          <w:docGrid w:linePitch="380" w:charSpace="-5735"/>
        </w:sectPr>
      </w:pPr>
      <w:r>
        <w:rPr>
          <w:rFonts w:hint="eastAsia" w:asciiTheme="minorEastAsia" w:hAnsiTheme="minorEastAsia"/>
          <w:color w:val="auto"/>
          <w:sz w:val="24"/>
          <w:szCs w:val="24"/>
          <w:highlight w:val="none"/>
        </w:rPr>
        <w:t xml:space="preserve">                                      年   月   日</w:t>
      </w:r>
    </w:p>
    <w:bookmarkEnd w:id="274"/>
    <w:p w14:paraId="5A4DF2E9">
      <w:pPr>
        <w:pageBreakBefore/>
        <w:snapToGrid w:val="0"/>
        <w:spacing w:line="500" w:lineRule="exact"/>
        <w:jc w:val="center"/>
        <w:rPr>
          <w:rFonts w:hint="eastAsia" w:asciiTheme="minorEastAsia" w:hAnsiTheme="minorEastAsia"/>
          <w:color w:val="auto"/>
          <w:szCs w:val="36"/>
          <w:highlight w:val="none"/>
        </w:rPr>
      </w:pPr>
      <w:r>
        <w:rPr>
          <w:rFonts w:hint="eastAsia" w:asciiTheme="minorEastAsia" w:hAnsiTheme="minorEastAsia"/>
          <w:color w:val="auto"/>
          <w:sz w:val="24"/>
          <w:szCs w:val="24"/>
          <w:highlight w:val="none"/>
        </w:rPr>
        <w:t>（二）分项报价明细表</w:t>
      </w:r>
    </w:p>
    <w:p w14:paraId="3FB31DB2">
      <w:pPr>
        <w:snapToGrid w:val="0"/>
        <w:spacing w:line="400" w:lineRule="exact"/>
        <w:ind w:firstLine="482" w:firstLineChars="200"/>
        <w:jc w:val="center"/>
        <w:rPr>
          <w:rFonts w:hint="eastAsia" w:asciiTheme="minorEastAsia" w:hAnsiTheme="minorEastAsia"/>
          <w:b/>
          <w:bCs/>
          <w:color w:val="auto"/>
          <w:sz w:val="24"/>
          <w:szCs w:val="28"/>
          <w:highlight w:val="none"/>
        </w:rPr>
      </w:pPr>
    </w:p>
    <w:p w14:paraId="7FC0529C">
      <w:pPr>
        <w:snapToGrid w:val="0"/>
        <w:spacing w:line="400" w:lineRule="exact"/>
        <w:ind w:firstLine="480" w:firstLineChars="200"/>
        <w:rPr>
          <w:rFonts w:hint="eastAsia" w:asciiTheme="minorEastAsia" w:hAnsiTheme="minorEastAsia"/>
          <w:color w:val="auto"/>
          <w:sz w:val="24"/>
          <w:szCs w:val="28"/>
          <w:highlight w:val="none"/>
        </w:rPr>
      </w:pPr>
      <w:r>
        <w:rPr>
          <w:rFonts w:hint="eastAsia" w:asciiTheme="minorEastAsia" w:hAnsiTheme="minorEastAsia"/>
          <w:color w:val="auto"/>
          <w:sz w:val="24"/>
          <w:szCs w:val="24"/>
          <w:highlight w:val="none"/>
        </w:rPr>
        <w:t>名称：</w:t>
      </w:r>
      <w:r>
        <w:rPr>
          <w:rFonts w:hint="eastAsia" w:asciiTheme="minorEastAsia" w:hAnsiTheme="minorEastAsia"/>
          <w:color w:val="auto"/>
          <w:sz w:val="24"/>
          <w:szCs w:val="28"/>
          <w:highlight w:val="none"/>
        </w:rPr>
        <w:t>重庆东鸿城市运营管理有限责任公司废弃食用油脂收运车辆采购</w:t>
      </w:r>
    </w:p>
    <w:tbl>
      <w:tblPr>
        <w:tblStyle w:val="21"/>
        <w:tblW w:w="9397" w:type="dxa"/>
        <w:tblInd w:w="0" w:type="dxa"/>
        <w:tblLayout w:type="autofit"/>
        <w:tblCellMar>
          <w:top w:w="0" w:type="dxa"/>
          <w:left w:w="108" w:type="dxa"/>
          <w:bottom w:w="0" w:type="dxa"/>
          <w:right w:w="108" w:type="dxa"/>
        </w:tblCellMar>
      </w:tblPr>
      <w:tblGrid>
        <w:gridCol w:w="2122"/>
        <w:gridCol w:w="2268"/>
        <w:gridCol w:w="1134"/>
        <w:gridCol w:w="1229"/>
        <w:gridCol w:w="1322"/>
        <w:gridCol w:w="1322"/>
      </w:tblGrid>
      <w:tr w14:paraId="7272EAA1">
        <w:tblPrEx>
          <w:tblCellMar>
            <w:top w:w="0" w:type="dxa"/>
            <w:left w:w="108" w:type="dxa"/>
            <w:bottom w:w="0" w:type="dxa"/>
            <w:right w:w="108" w:type="dxa"/>
          </w:tblCellMar>
        </w:tblPrEx>
        <w:trPr>
          <w:trHeight w:val="916" w:hRule="atLeast"/>
        </w:trPr>
        <w:tc>
          <w:tcPr>
            <w:tcW w:w="2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470379">
            <w:pPr>
              <w:widowControl/>
              <w:spacing w:after="0" w:line="24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物品名称</w:t>
            </w:r>
          </w:p>
        </w:tc>
        <w:tc>
          <w:tcPr>
            <w:tcW w:w="2268" w:type="dxa"/>
            <w:tcBorders>
              <w:top w:val="single" w:color="auto" w:sz="4" w:space="0"/>
              <w:left w:val="nil"/>
              <w:bottom w:val="single" w:color="auto" w:sz="4" w:space="0"/>
              <w:right w:val="single" w:color="auto" w:sz="4" w:space="0"/>
            </w:tcBorders>
            <w:shd w:val="clear" w:color="auto" w:fill="auto"/>
            <w:noWrap/>
            <w:vAlign w:val="center"/>
          </w:tcPr>
          <w:p w14:paraId="6E7D9F37">
            <w:pPr>
              <w:widowControl/>
              <w:spacing w:after="0" w:line="24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型号</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12A46294">
            <w:pPr>
              <w:widowControl/>
              <w:spacing w:after="0" w:line="24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数量</w:t>
            </w:r>
          </w:p>
        </w:tc>
        <w:tc>
          <w:tcPr>
            <w:tcW w:w="1229" w:type="dxa"/>
            <w:tcBorders>
              <w:top w:val="single" w:color="auto" w:sz="4" w:space="0"/>
              <w:left w:val="nil"/>
              <w:bottom w:val="single" w:color="auto" w:sz="4" w:space="0"/>
              <w:right w:val="single" w:color="auto" w:sz="4" w:space="0"/>
            </w:tcBorders>
            <w:shd w:val="clear" w:color="auto" w:fill="auto"/>
            <w:noWrap/>
            <w:vAlign w:val="center"/>
          </w:tcPr>
          <w:p w14:paraId="75605408">
            <w:pPr>
              <w:widowControl/>
              <w:spacing w:after="0" w:line="24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w:t>
            </w:r>
          </w:p>
        </w:tc>
        <w:tc>
          <w:tcPr>
            <w:tcW w:w="1322" w:type="dxa"/>
            <w:tcBorders>
              <w:top w:val="single" w:color="auto" w:sz="4" w:space="0"/>
              <w:left w:val="nil"/>
              <w:bottom w:val="single" w:color="auto" w:sz="4" w:space="0"/>
              <w:right w:val="single" w:color="auto" w:sz="4" w:space="0"/>
            </w:tcBorders>
            <w:vAlign w:val="center"/>
          </w:tcPr>
          <w:p w14:paraId="7B712E9B">
            <w:pPr>
              <w:widowControl/>
              <w:spacing w:after="0" w:line="24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品牌或制造商</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14:paraId="1C95A8F6">
            <w:pPr>
              <w:widowControl/>
              <w:spacing w:after="0" w:line="24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报价（元）</w:t>
            </w:r>
          </w:p>
        </w:tc>
      </w:tr>
      <w:tr w14:paraId="2F078BC8">
        <w:tblPrEx>
          <w:tblCellMar>
            <w:top w:w="0" w:type="dxa"/>
            <w:left w:w="108" w:type="dxa"/>
            <w:bottom w:w="0" w:type="dxa"/>
            <w:right w:w="108" w:type="dxa"/>
          </w:tblCellMar>
        </w:tblPrEx>
        <w:trPr>
          <w:trHeight w:val="705" w:hRule="atLeast"/>
        </w:trPr>
        <w:tc>
          <w:tcPr>
            <w:tcW w:w="2122" w:type="dxa"/>
            <w:tcBorders>
              <w:top w:val="nil"/>
              <w:left w:val="single" w:color="auto" w:sz="4" w:space="0"/>
              <w:bottom w:val="single" w:color="auto" w:sz="4" w:space="0"/>
              <w:right w:val="single" w:color="auto" w:sz="4" w:space="0"/>
            </w:tcBorders>
            <w:shd w:val="clear" w:color="auto" w:fill="auto"/>
            <w:vAlign w:val="center"/>
          </w:tcPr>
          <w:p w14:paraId="3F54EABD">
            <w:pPr>
              <w:widowControl/>
              <w:spacing w:after="0" w:line="24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废弃食用油脂收运车辆</w:t>
            </w:r>
          </w:p>
        </w:tc>
        <w:tc>
          <w:tcPr>
            <w:tcW w:w="2268" w:type="dxa"/>
            <w:tcBorders>
              <w:top w:val="nil"/>
              <w:left w:val="nil"/>
              <w:bottom w:val="single" w:color="auto" w:sz="4" w:space="0"/>
              <w:right w:val="single" w:color="auto" w:sz="4" w:space="0"/>
            </w:tcBorders>
            <w:shd w:val="clear" w:color="auto" w:fill="auto"/>
            <w:vAlign w:val="center"/>
          </w:tcPr>
          <w:p w14:paraId="4C030184">
            <w:pPr>
              <w:widowControl/>
              <w:spacing w:after="0" w:line="240" w:lineRule="auto"/>
              <w:jc w:val="center"/>
              <w:rPr>
                <w:rFonts w:hint="eastAsia" w:ascii="宋体" w:hAnsi="宋体" w:eastAsia="宋体" w:cs="宋体"/>
                <w:color w:val="auto"/>
                <w:kern w:val="0"/>
                <w:szCs w:val="21"/>
                <w:highlight w:val="none"/>
              </w:rPr>
            </w:pPr>
          </w:p>
        </w:tc>
        <w:tc>
          <w:tcPr>
            <w:tcW w:w="1134" w:type="dxa"/>
            <w:tcBorders>
              <w:top w:val="nil"/>
              <w:left w:val="nil"/>
              <w:bottom w:val="single" w:color="auto" w:sz="4" w:space="0"/>
              <w:right w:val="single" w:color="auto" w:sz="4" w:space="0"/>
            </w:tcBorders>
            <w:shd w:val="clear" w:color="auto" w:fill="auto"/>
            <w:vAlign w:val="center"/>
          </w:tcPr>
          <w:p w14:paraId="388327B3">
            <w:pPr>
              <w:widowControl/>
              <w:spacing w:after="0" w:line="24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p>
        </w:tc>
        <w:tc>
          <w:tcPr>
            <w:tcW w:w="1229" w:type="dxa"/>
            <w:tcBorders>
              <w:top w:val="nil"/>
              <w:left w:val="nil"/>
              <w:bottom w:val="single" w:color="auto" w:sz="4" w:space="0"/>
              <w:right w:val="single" w:color="auto" w:sz="4" w:space="0"/>
            </w:tcBorders>
            <w:shd w:val="clear" w:color="auto" w:fill="auto"/>
            <w:vAlign w:val="center"/>
          </w:tcPr>
          <w:p w14:paraId="3A6AE7D8">
            <w:pPr>
              <w:widowControl/>
              <w:spacing w:after="0" w:line="240" w:lineRule="auto"/>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台</w:t>
            </w:r>
          </w:p>
        </w:tc>
        <w:tc>
          <w:tcPr>
            <w:tcW w:w="1322" w:type="dxa"/>
            <w:tcBorders>
              <w:top w:val="single" w:color="auto" w:sz="4" w:space="0"/>
              <w:left w:val="nil"/>
              <w:bottom w:val="single" w:color="auto" w:sz="4" w:space="0"/>
              <w:right w:val="single" w:color="auto" w:sz="4" w:space="0"/>
            </w:tcBorders>
            <w:vAlign w:val="center"/>
          </w:tcPr>
          <w:p w14:paraId="38A482DF">
            <w:pPr>
              <w:widowControl/>
              <w:spacing w:after="0" w:line="240" w:lineRule="auto"/>
              <w:jc w:val="center"/>
              <w:rPr>
                <w:rFonts w:hint="eastAsia" w:ascii="宋体" w:hAnsi="宋体" w:eastAsia="宋体" w:cs="宋体"/>
                <w:color w:val="auto"/>
                <w:kern w:val="0"/>
                <w:szCs w:val="21"/>
                <w:highlight w:val="none"/>
              </w:rPr>
            </w:pP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14:paraId="5EF6162D">
            <w:pPr>
              <w:widowControl/>
              <w:spacing w:after="0" w:line="240" w:lineRule="auto"/>
              <w:jc w:val="center"/>
              <w:rPr>
                <w:rFonts w:hint="eastAsia" w:ascii="宋体" w:hAnsi="宋体" w:eastAsia="宋体" w:cs="宋体"/>
                <w:color w:val="auto"/>
                <w:kern w:val="0"/>
                <w:szCs w:val="21"/>
                <w:highlight w:val="none"/>
              </w:rPr>
            </w:pPr>
          </w:p>
        </w:tc>
      </w:tr>
    </w:tbl>
    <w:p w14:paraId="72C9AF69">
      <w:pPr>
        <w:snapToGrid w:val="0"/>
        <w:spacing w:line="400" w:lineRule="exact"/>
        <w:ind w:firstLine="480" w:firstLineChars="200"/>
        <w:rPr>
          <w:rFonts w:hint="eastAsia" w:asciiTheme="minorEastAsia" w:hAnsiTheme="minorEastAsia"/>
          <w:color w:val="auto"/>
          <w:sz w:val="24"/>
          <w:szCs w:val="28"/>
          <w:highlight w:val="none"/>
        </w:rPr>
      </w:pPr>
      <w:r>
        <w:rPr>
          <w:rFonts w:hint="eastAsia" w:asciiTheme="minorEastAsia" w:hAnsiTheme="minorEastAsia"/>
          <w:color w:val="auto"/>
          <w:sz w:val="24"/>
          <w:szCs w:val="28"/>
          <w:highlight w:val="none"/>
        </w:rPr>
        <w:t xml:space="preserve">                                       </w:t>
      </w:r>
    </w:p>
    <w:p w14:paraId="340E5D09">
      <w:pPr>
        <w:tabs>
          <w:tab w:val="left" w:pos="6300"/>
        </w:tabs>
        <w:snapToGrid w:val="0"/>
        <w:spacing w:line="276" w:lineRule="auto"/>
        <w:ind w:firstLine="3360" w:firstLineChars="14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供应商（公章）或自然人签署：</w:t>
      </w:r>
    </w:p>
    <w:p w14:paraId="75C69B22">
      <w:pPr>
        <w:snapToGrid w:val="0"/>
        <w:spacing w:line="276" w:lineRule="auto"/>
        <w:ind w:firstLine="480" w:firstLineChars="200"/>
        <w:rPr>
          <w:rFonts w:hint="eastAsia" w:asciiTheme="minorEastAsia" w:hAnsiTheme="minorEastAsia"/>
          <w:color w:val="auto"/>
          <w:sz w:val="24"/>
          <w:szCs w:val="24"/>
          <w:highlight w:val="none"/>
        </w:rPr>
        <w:sectPr>
          <w:pgSz w:w="11907" w:h="16840"/>
          <w:pgMar w:top="1134" w:right="1191" w:bottom="1134" w:left="1304" w:header="851" w:footer="992" w:gutter="0"/>
          <w:pgNumType w:fmt="numberInDash"/>
          <w:cols w:space="720" w:num="1"/>
          <w:docGrid w:linePitch="380" w:charSpace="-5735"/>
        </w:sectPr>
      </w:pPr>
      <w:r>
        <w:rPr>
          <w:rFonts w:hint="eastAsia" w:asciiTheme="minorEastAsia" w:hAnsiTheme="minorEastAsia"/>
          <w:color w:val="auto"/>
          <w:sz w:val="24"/>
          <w:szCs w:val="24"/>
          <w:highlight w:val="none"/>
        </w:rPr>
        <w:t xml:space="preserve">                               年   月   日</w:t>
      </w:r>
    </w:p>
    <w:p w14:paraId="19688793">
      <w:pPr>
        <w:pStyle w:val="4"/>
        <w:spacing w:after="0" w:line="400" w:lineRule="exact"/>
        <w:rPr>
          <w:rFonts w:hint="eastAsia" w:asciiTheme="minorEastAsia" w:hAnsiTheme="minorEastAsia"/>
          <w:color w:val="auto"/>
          <w:sz w:val="24"/>
          <w:highlight w:val="none"/>
        </w:rPr>
      </w:pPr>
      <w:bookmarkStart w:id="275" w:name="_Toc15059"/>
      <w:bookmarkStart w:id="276" w:name="_Toc196642868"/>
      <w:r>
        <w:rPr>
          <w:rFonts w:hint="eastAsia" w:asciiTheme="minorEastAsia" w:hAnsiTheme="minorEastAsia"/>
          <w:color w:val="auto"/>
          <w:sz w:val="24"/>
          <w:highlight w:val="none"/>
        </w:rPr>
        <w:t>二、技术（质量）部分</w:t>
      </w:r>
      <w:bookmarkEnd w:id="267"/>
      <w:bookmarkEnd w:id="268"/>
      <w:bookmarkEnd w:id="269"/>
      <w:bookmarkEnd w:id="270"/>
      <w:bookmarkEnd w:id="271"/>
      <w:bookmarkEnd w:id="272"/>
      <w:bookmarkEnd w:id="273"/>
      <w:bookmarkEnd w:id="275"/>
      <w:bookmarkEnd w:id="276"/>
    </w:p>
    <w:p w14:paraId="071CA61F">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（一）技术（质量）响应承诺</w:t>
      </w:r>
    </w:p>
    <w:p w14:paraId="15C4829E">
      <w:pPr>
        <w:tabs>
          <w:tab w:val="left" w:pos="6300"/>
        </w:tabs>
        <w:snapToGrid w:val="0"/>
        <w:spacing w:line="500" w:lineRule="exact"/>
        <w:ind w:firstLine="480" w:firstLineChars="200"/>
        <w:rPr>
          <w:rFonts w:hint="eastAsia"/>
          <w:color w:val="auto"/>
          <w:sz w:val="24"/>
          <w:szCs w:val="24"/>
          <w:highlight w:val="none"/>
        </w:rPr>
      </w:pPr>
      <w:r>
        <w:rPr>
          <w:rFonts w:hint="eastAsia"/>
          <w:color w:val="auto"/>
          <w:sz w:val="24"/>
          <w:szCs w:val="24"/>
          <w:highlight w:val="none"/>
        </w:rPr>
        <w:t>致</w:t>
      </w:r>
      <w:r>
        <w:rPr>
          <w:rFonts w:hint="eastAsia"/>
          <w:color w:val="auto"/>
          <w:sz w:val="24"/>
          <w:szCs w:val="24"/>
          <w:highlight w:val="none"/>
          <w:u w:val="single"/>
        </w:rPr>
        <w:t xml:space="preserve">                   </w:t>
      </w:r>
      <w:r>
        <w:rPr>
          <w:rFonts w:hint="eastAsia"/>
          <w:color w:val="auto"/>
          <w:sz w:val="24"/>
          <w:szCs w:val="24"/>
          <w:highlight w:val="none"/>
        </w:rPr>
        <w:t>（采购人名称）：</w:t>
      </w:r>
    </w:p>
    <w:p w14:paraId="1F94D1B2">
      <w:pPr>
        <w:tabs>
          <w:tab w:val="left" w:pos="6300"/>
        </w:tabs>
        <w:snapToGrid w:val="0"/>
        <w:spacing w:line="500" w:lineRule="exact"/>
        <w:ind w:firstLine="480" w:firstLineChars="200"/>
        <w:rPr>
          <w:rFonts w:hint="eastAsia"/>
          <w:color w:val="auto"/>
          <w:sz w:val="24"/>
          <w:szCs w:val="24"/>
          <w:highlight w:val="none"/>
        </w:rPr>
      </w:pPr>
      <w:r>
        <w:rPr>
          <w:rFonts w:hint="eastAsia"/>
          <w:color w:val="auto"/>
          <w:sz w:val="24"/>
          <w:szCs w:val="24"/>
          <w:highlight w:val="none"/>
        </w:rPr>
        <w:t xml:space="preserve">    </w:t>
      </w:r>
      <w:r>
        <w:rPr>
          <w:rFonts w:hint="eastAsia"/>
          <w:color w:val="auto"/>
          <w:sz w:val="24"/>
          <w:szCs w:val="24"/>
          <w:highlight w:val="none"/>
          <w:u w:val="single"/>
        </w:rPr>
        <w:t xml:space="preserve">              </w:t>
      </w:r>
      <w:r>
        <w:rPr>
          <w:rFonts w:hint="eastAsia"/>
          <w:color w:val="auto"/>
          <w:sz w:val="24"/>
          <w:szCs w:val="24"/>
          <w:highlight w:val="none"/>
        </w:rPr>
        <w:t>（供应商名称）郑重承诺：</w:t>
      </w:r>
    </w:p>
    <w:p w14:paraId="5F0997BF">
      <w:pPr>
        <w:tabs>
          <w:tab w:val="left" w:pos="6300"/>
        </w:tabs>
        <w:snapToGrid w:val="0"/>
        <w:spacing w:line="500" w:lineRule="exact"/>
        <w:ind w:firstLine="480" w:firstLineChars="200"/>
        <w:rPr>
          <w:rFonts w:hint="eastAsia"/>
          <w:color w:val="auto"/>
          <w:sz w:val="24"/>
          <w:szCs w:val="24"/>
          <w:highlight w:val="none"/>
        </w:rPr>
      </w:pPr>
      <w:r>
        <w:rPr>
          <w:rFonts w:hint="eastAsia"/>
          <w:color w:val="auto"/>
          <w:sz w:val="24"/>
          <w:szCs w:val="24"/>
          <w:highlight w:val="none"/>
        </w:rPr>
        <w:t>1、我公司若成交，将严格按照询价通知书第二篇项目技术（质量）需求“1．废弃食用油脂收运车辆参数及性能要求”相关要求提供合格货物。</w:t>
      </w:r>
    </w:p>
    <w:p w14:paraId="053760E1">
      <w:pPr>
        <w:tabs>
          <w:tab w:val="left" w:pos="6300"/>
        </w:tabs>
        <w:snapToGrid w:val="0"/>
        <w:spacing w:line="500" w:lineRule="exact"/>
        <w:ind w:firstLine="480" w:firstLineChars="200"/>
        <w:rPr>
          <w:rFonts w:hint="eastAsia"/>
          <w:color w:val="auto"/>
          <w:sz w:val="24"/>
          <w:szCs w:val="24"/>
          <w:highlight w:val="none"/>
        </w:rPr>
      </w:pPr>
      <w:r>
        <w:rPr>
          <w:rFonts w:hint="eastAsia"/>
          <w:color w:val="auto"/>
          <w:sz w:val="24"/>
          <w:szCs w:val="24"/>
          <w:highlight w:val="none"/>
        </w:rPr>
        <w:t>2．供方提供的货物（含加装设备）及所有配件必须是全新的货物。</w:t>
      </w:r>
    </w:p>
    <w:p w14:paraId="7DE38A8F">
      <w:pPr>
        <w:tabs>
          <w:tab w:val="left" w:pos="6300"/>
        </w:tabs>
        <w:snapToGrid w:val="0"/>
        <w:spacing w:line="500" w:lineRule="exact"/>
        <w:ind w:firstLine="480" w:firstLineChars="200"/>
        <w:rPr>
          <w:rFonts w:hint="eastAsia"/>
          <w:color w:val="auto"/>
          <w:sz w:val="24"/>
          <w:szCs w:val="24"/>
          <w:highlight w:val="none"/>
        </w:rPr>
      </w:pPr>
      <w:r>
        <w:rPr>
          <w:rFonts w:hint="eastAsia"/>
          <w:color w:val="auto"/>
          <w:sz w:val="24"/>
          <w:szCs w:val="24"/>
          <w:highlight w:val="none"/>
        </w:rPr>
        <w:t>3．废弃食用油脂收运车辆标识要求按随本询价通知书发出附件为准。</w:t>
      </w:r>
    </w:p>
    <w:p w14:paraId="59DB2BE6">
      <w:pPr>
        <w:tabs>
          <w:tab w:val="left" w:pos="6300"/>
        </w:tabs>
        <w:snapToGrid w:val="0"/>
        <w:spacing w:line="500" w:lineRule="exact"/>
        <w:ind w:firstLine="480" w:firstLineChars="200"/>
        <w:rPr>
          <w:rFonts w:hint="eastAsia"/>
          <w:color w:val="auto"/>
          <w:sz w:val="24"/>
          <w:szCs w:val="24"/>
          <w:highlight w:val="none"/>
        </w:rPr>
      </w:pPr>
      <w:r>
        <w:rPr>
          <w:rFonts w:hint="eastAsia"/>
          <w:color w:val="auto"/>
          <w:sz w:val="24"/>
          <w:szCs w:val="24"/>
          <w:highlight w:val="none"/>
        </w:rPr>
        <w:t>我方对以上承诺负全部法律责任。</w:t>
      </w:r>
    </w:p>
    <w:p w14:paraId="3DDFFC0E">
      <w:pPr>
        <w:tabs>
          <w:tab w:val="left" w:pos="6300"/>
        </w:tabs>
        <w:snapToGrid w:val="0"/>
        <w:spacing w:line="500" w:lineRule="exact"/>
        <w:ind w:firstLine="480" w:firstLineChars="200"/>
        <w:rPr>
          <w:rFonts w:hint="eastAsia"/>
          <w:color w:val="auto"/>
          <w:sz w:val="24"/>
          <w:szCs w:val="24"/>
          <w:highlight w:val="none"/>
        </w:rPr>
      </w:pPr>
      <w:r>
        <w:rPr>
          <w:rFonts w:hint="eastAsia"/>
          <w:color w:val="auto"/>
          <w:sz w:val="24"/>
          <w:szCs w:val="24"/>
          <w:highlight w:val="none"/>
        </w:rPr>
        <w:t>特此承诺。</w:t>
      </w:r>
    </w:p>
    <w:p w14:paraId="6A744073">
      <w:pPr>
        <w:tabs>
          <w:tab w:val="left" w:pos="6300"/>
        </w:tabs>
        <w:snapToGrid w:val="0"/>
        <w:spacing w:line="500" w:lineRule="exact"/>
        <w:ind w:firstLine="480" w:firstLineChars="200"/>
        <w:rPr>
          <w:rFonts w:hint="eastAsia"/>
          <w:color w:val="auto"/>
          <w:sz w:val="24"/>
          <w:szCs w:val="24"/>
          <w:highlight w:val="none"/>
        </w:rPr>
      </w:pPr>
    </w:p>
    <w:p w14:paraId="626E1B59">
      <w:pPr>
        <w:tabs>
          <w:tab w:val="left" w:pos="6300"/>
        </w:tabs>
        <w:snapToGrid w:val="0"/>
        <w:spacing w:line="500" w:lineRule="exact"/>
        <w:ind w:firstLine="480" w:firstLineChars="200"/>
        <w:jc w:val="right"/>
        <w:rPr>
          <w:rFonts w:hint="eastAsia"/>
          <w:color w:val="auto"/>
          <w:sz w:val="24"/>
          <w:szCs w:val="24"/>
          <w:highlight w:val="none"/>
        </w:rPr>
      </w:pPr>
      <w:r>
        <w:rPr>
          <w:rFonts w:hint="eastAsia"/>
          <w:color w:val="auto"/>
          <w:sz w:val="24"/>
          <w:szCs w:val="24"/>
          <w:highlight w:val="none"/>
        </w:rPr>
        <w:t>（供应商公章）</w:t>
      </w:r>
    </w:p>
    <w:p w14:paraId="6BDA9A24">
      <w:pPr>
        <w:jc w:val="right"/>
        <w:rPr>
          <w:rFonts w:hint="eastAsia"/>
          <w:color w:val="auto"/>
          <w:sz w:val="24"/>
          <w:szCs w:val="24"/>
          <w:highlight w:val="none"/>
        </w:rPr>
      </w:pPr>
      <w:r>
        <w:rPr>
          <w:rFonts w:hint="eastAsia"/>
          <w:color w:val="auto"/>
          <w:sz w:val="24"/>
          <w:szCs w:val="24"/>
          <w:highlight w:val="none"/>
        </w:rPr>
        <w:t>年   月   日</w:t>
      </w:r>
    </w:p>
    <w:p w14:paraId="71E7AE50">
      <w:pPr>
        <w:spacing w:line="400" w:lineRule="exact"/>
        <w:ind w:firstLine="480" w:firstLineChars="200"/>
        <w:rPr>
          <w:rFonts w:hint="eastAsia" w:asciiTheme="minorEastAsia" w:hAnsiTheme="minorEastAsia"/>
          <w:color w:val="auto"/>
          <w:sz w:val="24"/>
          <w:highlight w:val="none"/>
        </w:rPr>
      </w:pPr>
    </w:p>
    <w:p w14:paraId="3CCA2C53">
      <w:pPr>
        <w:tabs>
          <w:tab w:val="left" w:pos="6300"/>
        </w:tabs>
        <w:snapToGrid w:val="0"/>
        <w:spacing w:line="5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br w:type="page"/>
      </w:r>
      <w:r>
        <w:rPr>
          <w:rFonts w:hint="eastAsia" w:asciiTheme="minorEastAsia" w:hAnsiTheme="minorEastAsia"/>
          <w:color w:val="auto"/>
          <w:sz w:val="24"/>
          <w:szCs w:val="24"/>
          <w:highlight w:val="none"/>
        </w:rPr>
        <w:t>（二）其他资料（格式自定）</w:t>
      </w:r>
    </w:p>
    <w:p w14:paraId="2AF31B93">
      <w:pPr>
        <w:tabs>
          <w:tab w:val="left" w:pos="6300"/>
        </w:tabs>
        <w:snapToGrid w:val="0"/>
        <w:spacing w:line="500" w:lineRule="exact"/>
        <w:ind w:firstLine="480" w:firstLineChars="200"/>
        <w:rPr>
          <w:rFonts w:hint="eastAsia" w:asciiTheme="minorEastAsia" w:hAnsiTheme="minorEastAsia"/>
          <w:color w:val="auto"/>
          <w:sz w:val="24"/>
          <w:szCs w:val="24"/>
          <w:highlight w:val="none"/>
        </w:rPr>
      </w:pPr>
    </w:p>
    <w:p w14:paraId="04A97FCA">
      <w:pPr>
        <w:pStyle w:val="4"/>
        <w:spacing w:after="0" w:line="400" w:lineRule="exact"/>
        <w:ind w:firstLine="420" w:firstLineChars="200"/>
        <w:rPr>
          <w:rFonts w:hint="eastAsia" w:asciiTheme="minorEastAsia" w:hAnsiTheme="minorEastAsia"/>
          <w:color w:val="auto"/>
          <w:sz w:val="24"/>
          <w:highlight w:val="none"/>
        </w:rPr>
      </w:pPr>
      <w:r>
        <w:rPr>
          <w:rFonts w:asciiTheme="minorEastAsia" w:hAnsiTheme="minorEastAsia"/>
          <w:color w:val="auto"/>
          <w:highlight w:val="none"/>
        </w:rPr>
        <w:br w:type="page"/>
      </w:r>
      <w:bookmarkStart w:id="277" w:name="_Toc32339"/>
      <w:bookmarkStart w:id="278" w:name="_Toc196642869"/>
      <w:bookmarkStart w:id="279" w:name="_Toc17362"/>
      <w:bookmarkStart w:id="280" w:name="_Toc65660381"/>
      <w:bookmarkStart w:id="281" w:name="_Toc32158"/>
      <w:bookmarkStart w:id="282" w:name="_Toc27717"/>
      <w:bookmarkStart w:id="283" w:name="_Toc313008358"/>
      <w:bookmarkStart w:id="284" w:name="_Toc313888362"/>
      <w:bookmarkStart w:id="285" w:name="_Toc342913421"/>
      <w:r>
        <w:rPr>
          <w:rFonts w:hint="eastAsia" w:asciiTheme="minorEastAsia" w:hAnsiTheme="minorEastAsia"/>
          <w:color w:val="auto"/>
          <w:sz w:val="24"/>
          <w:highlight w:val="none"/>
        </w:rPr>
        <w:t>三、服务部分</w:t>
      </w:r>
      <w:bookmarkEnd w:id="277"/>
      <w:bookmarkEnd w:id="278"/>
      <w:bookmarkEnd w:id="279"/>
      <w:bookmarkEnd w:id="280"/>
      <w:bookmarkEnd w:id="281"/>
      <w:bookmarkEnd w:id="282"/>
    </w:p>
    <w:p w14:paraId="103A0061">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（一）服务响应承诺</w:t>
      </w:r>
    </w:p>
    <w:p w14:paraId="4FEA65DA">
      <w:pPr>
        <w:tabs>
          <w:tab w:val="left" w:pos="6300"/>
        </w:tabs>
        <w:snapToGrid w:val="0"/>
        <w:spacing w:line="500" w:lineRule="exact"/>
        <w:ind w:firstLine="480" w:firstLineChars="200"/>
        <w:rPr>
          <w:rFonts w:hint="eastAsia"/>
          <w:color w:val="auto"/>
          <w:sz w:val="24"/>
          <w:szCs w:val="24"/>
          <w:highlight w:val="none"/>
        </w:rPr>
      </w:pPr>
      <w:r>
        <w:rPr>
          <w:rFonts w:hint="eastAsia"/>
          <w:color w:val="auto"/>
          <w:sz w:val="24"/>
          <w:szCs w:val="24"/>
          <w:highlight w:val="none"/>
        </w:rPr>
        <w:t>致</w:t>
      </w:r>
      <w:r>
        <w:rPr>
          <w:rFonts w:hint="eastAsia"/>
          <w:color w:val="auto"/>
          <w:sz w:val="24"/>
          <w:szCs w:val="24"/>
          <w:highlight w:val="none"/>
          <w:u w:val="single"/>
        </w:rPr>
        <w:t xml:space="preserve">                   </w:t>
      </w:r>
      <w:r>
        <w:rPr>
          <w:rFonts w:hint="eastAsia"/>
          <w:color w:val="auto"/>
          <w:sz w:val="24"/>
          <w:szCs w:val="24"/>
          <w:highlight w:val="none"/>
        </w:rPr>
        <w:t>（采购人名称）：</w:t>
      </w:r>
    </w:p>
    <w:p w14:paraId="165025F0">
      <w:pPr>
        <w:snapToGrid w:val="0"/>
        <w:spacing w:line="360" w:lineRule="auto"/>
        <w:ind w:firstLine="465"/>
        <w:rPr>
          <w:rFonts w:hint="eastAsia"/>
          <w:color w:val="auto"/>
          <w:sz w:val="24"/>
          <w:szCs w:val="24"/>
          <w:highlight w:val="none"/>
        </w:rPr>
      </w:pPr>
      <w:r>
        <w:rPr>
          <w:rFonts w:hint="eastAsia"/>
          <w:color w:val="auto"/>
          <w:sz w:val="24"/>
          <w:szCs w:val="24"/>
          <w:highlight w:val="none"/>
          <w:u w:val="single"/>
        </w:rPr>
        <w:t xml:space="preserve">              </w:t>
      </w:r>
      <w:r>
        <w:rPr>
          <w:rFonts w:hint="eastAsia"/>
          <w:color w:val="auto"/>
          <w:sz w:val="24"/>
          <w:szCs w:val="24"/>
          <w:highlight w:val="none"/>
        </w:rPr>
        <w:t>（供应商名称）郑重承诺完全响应询价通知书第三篇约定的如下内容：</w:t>
      </w:r>
    </w:p>
    <w:p w14:paraId="74CBAA1C">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一、交货期、交货地点及验收方式</w:t>
      </w:r>
    </w:p>
    <w:p w14:paraId="10EE9DF9">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（一）交货期</w:t>
      </w:r>
    </w:p>
    <w:p w14:paraId="30B75236">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应在采购合同签订后30日历天内交货并调试合格。</w:t>
      </w:r>
    </w:p>
    <w:p w14:paraId="60E6AE1A">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（二）交货地点</w:t>
      </w:r>
    </w:p>
    <w:p w14:paraId="502EACE1">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交货地点：采购人指定地点。</w:t>
      </w:r>
    </w:p>
    <w:p w14:paraId="1046B9EC">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（三）验收方式</w:t>
      </w:r>
    </w:p>
    <w:p w14:paraId="775F8DDD">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1.货物到达现场后，投标人应经采购人或其指定验收单位清点品名、规格、数量；检查外观，作出验收记录，双方签字确认。</w:t>
      </w:r>
    </w:p>
    <w:p w14:paraId="3F60B9EA">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2.成交供应商应保证货物到达采购人所在地完好无损，如有缺漏、损坏，由投标人负责调换、补齐或赔偿。</w:t>
      </w:r>
    </w:p>
    <w:p w14:paraId="76CFF75E">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3.成交供应商应提供完备的技术资料和合格证等，并派遣专业技术人员进行现场安装调试。验收合格条件如下：</w:t>
      </w:r>
    </w:p>
    <w:p w14:paraId="496F9619">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3.1设备配置参数与采购合同一致，性能指标达到规定的标准。</w:t>
      </w:r>
    </w:p>
    <w:p w14:paraId="3D64684B">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3.2货物技术资料、合格证等资料齐全。</w:t>
      </w:r>
    </w:p>
    <w:p w14:paraId="20129FDC">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3.3在规定时间内完成交货并验收，并经采购人确认。</w:t>
      </w:r>
    </w:p>
    <w:p w14:paraId="1DC559E0">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4.产品在安装调试并试运行符合要求后，才作为最终验收。</w:t>
      </w:r>
    </w:p>
    <w:p w14:paraId="79A6B286">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5.成交供应商提供的货物未达到招标文件第二篇规定的参数及性能要求的，采购人有权拒收货物且不支付任何款项并终止合同，货物由成交供应商自行运回并承担费用；对采购人造成损失的，由成交供应商承担一切责任，并赔偿所造成的损失。</w:t>
      </w:r>
    </w:p>
    <w:p w14:paraId="753B19BB">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6.采购人需要制造商对成交供应商交付的产品（包括质量、配置参数等）进行确认的，制造商应予以配合，并出具书面意见。</w:t>
      </w:r>
    </w:p>
    <w:p w14:paraId="52A5AB1D">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8.产品包装材料归采购人所有。</w:t>
      </w:r>
    </w:p>
    <w:p w14:paraId="61D1E872">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二、报价要求</w:t>
      </w:r>
    </w:p>
    <w:p w14:paraId="089AC30E">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1、本次报价须为人民币报价，包含：成交供应商将成交产品送达采购人指定地点并安装完成的所有费用，包括：货物费、运输费（含装卸费）、人工费、保险费、安装费、调试费、各种应纳的税费、培训费、采购代理服务费、一切可预见和不可预见的、合同明示或暗示的应由投标人承担的一切责任、义务和风险等货到采购人指定地点的所有费用。</w:t>
      </w:r>
    </w:p>
    <w:p w14:paraId="59FE624E">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2、供应商必须按照分项报价明细表认真填写各项明细，报价不得超过最高限价和采购预算。</w:t>
      </w:r>
    </w:p>
    <w:p w14:paraId="7EF5F4E8">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三、质量保证及售后服务</w:t>
      </w:r>
    </w:p>
    <w:p w14:paraId="7DA0C949">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（一）产品质量保证期：自验收合格之日起，其投标产品质量保证期达到1年。</w:t>
      </w:r>
    </w:p>
    <w:p w14:paraId="5E090B60">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（二）售后服务内容</w:t>
      </w:r>
    </w:p>
    <w:p w14:paraId="01DAB575">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1.投标人在质量保证期内应当为采购人提供以下技术支持和服务：</w:t>
      </w:r>
    </w:p>
    <w:p w14:paraId="7A3151E5">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1.1电话咨询</w:t>
      </w:r>
    </w:p>
    <w:p w14:paraId="6922AA68">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投标人应当为采购人提供技术援助电话，解答采购人在使用中遇到的问题，及时为采购人提出解决问题的建议。</w:t>
      </w:r>
    </w:p>
    <w:p w14:paraId="34938254">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1.2现场响应</w:t>
      </w:r>
    </w:p>
    <w:p w14:paraId="106FB827">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采购人遇到使用及技术问题，电话咨询不能解决的，投标人应在2小时内到达现场（远郊区12小时内到达现场）进行处理，确保产品正常工作；无法在12小时内解决的，应在12小时内提供备用产品，使采购人能够正常使用。</w:t>
      </w:r>
    </w:p>
    <w:p w14:paraId="4927467A">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1.3技术升级</w:t>
      </w:r>
    </w:p>
    <w:p w14:paraId="1EC2FC7E">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在质保期内，如果投标人的产品技术升级，投标人应及时通知采购人，如采购人有相应要求，投标人应对采购人购买的产品进行升级服务。</w:t>
      </w:r>
    </w:p>
    <w:p w14:paraId="51CB5124">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2.质保期外服务要求</w:t>
      </w:r>
    </w:p>
    <w:p w14:paraId="696F9B37">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2.1质量保证期过后，投标人应同样提供免费电话咨询服务，并应承诺提供产品上门维护服务。</w:t>
      </w:r>
    </w:p>
    <w:p w14:paraId="325AB530">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2.2质量保证期过后，采购人需要继续由原投标人提供售后服务的，该投标人应以优惠价格提供售后服务。</w:t>
      </w:r>
    </w:p>
    <w:p w14:paraId="556D0D60">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（三）备品备件及易损件</w:t>
      </w:r>
    </w:p>
    <w:p w14:paraId="4A63D70E">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投标人售后服务中，维修使用的备品备件及易损件应为原厂配件，未经采购人同意不得使用非原厂配件，常用的、容易损坏的备品备件及易损件的价格清单须在投标文件中列出。</w:t>
      </w:r>
    </w:p>
    <w:p w14:paraId="2801A6B7">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四、付款方式</w:t>
      </w:r>
    </w:p>
    <w:p w14:paraId="78123DF7">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一）履约保证金:合同签订时中标人向采购人缴纳合同金额10%的履约保证金（以支票、汇票、本票或者金融机构、担保机构出具的保函等非现金形式提交）；货物验收合格后一次性无息退还（若采用保函的货物验收合格后自动失效）。</w:t>
      </w:r>
    </w:p>
    <w:p w14:paraId="0719E0B9">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（二）采购人组织验收后支付至结算金额的80%。</w:t>
      </w:r>
    </w:p>
    <w:p w14:paraId="3511C8FA">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（三）验收合格三个月内无产品质量问题并确认成交供应商已交纳全部违约金（如有）后支付至结算金额的100%。</w:t>
      </w:r>
    </w:p>
    <w:p w14:paraId="4F55465D">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五、知识产权</w:t>
      </w:r>
    </w:p>
    <w:p w14:paraId="7AB727CE">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采购人在中华人民共和国境内使用投标人提供的货物及服务时免受第三方提出的侵犯其专利权或其它知识产权的起诉。如果第三方提出侵权指控，中标人应承担由此而引起的一切法律责任和费用。</w:t>
      </w:r>
    </w:p>
    <w:p w14:paraId="49209035">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六、培训</w:t>
      </w:r>
    </w:p>
    <w:p w14:paraId="015200D1">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投标人对其提供产品的使用和操作应尽培训义务，培训时间不低于2个日历天。投标人应提供对采购人的基本免费培训，使采购人使用人员能够正常操作。</w:t>
      </w:r>
    </w:p>
    <w:p w14:paraId="73E93E09">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七、附件、图纸及包装要求</w:t>
      </w:r>
    </w:p>
    <w:p w14:paraId="524292B6">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所有设备按照制造商规定的产品包装和随机标准附件为准。</w:t>
      </w:r>
    </w:p>
    <w:p w14:paraId="07001991">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八、其他商务要求内容</w:t>
      </w:r>
    </w:p>
    <w:p w14:paraId="38D4C13C">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1、本项目车辆上户，办理手续及流程由成交供应商负责并承担费用（车辆保险费用由采购人承担）。</w:t>
      </w:r>
    </w:p>
    <w:p w14:paraId="63322BC4">
      <w:pPr>
        <w:snapToGrid w:val="0"/>
        <w:spacing w:line="240" w:lineRule="auto"/>
        <w:ind w:firstLine="480" w:firstLineChars="200"/>
        <w:rPr>
          <w:rFonts w:hint="eastAsia" w:asciiTheme="minorEastAsia" w:hAnsiTheme="minorEastAsia"/>
          <w:bCs/>
          <w:color w:val="auto"/>
          <w:sz w:val="24"/>
          <w:szCs w:val="24"/>
          <w:highlight w:val="none"/>
        </w:rPr>
      </w:pPr>
      <w:r>
        <w:rPr>
          <w:rFonts w:hint="eastAsia" w:asciiTheme="minorEastAsia" w:hAnsiTheme="minorEastAsia"/>
          <w:bCs/>
          <w:color w:val="auto"/>
          <w:sz w:val="24"/>
          <w:szCs w:val="24"/>
          <w:highlight w:val="none"/>
        </w:rPr>
        <w:t>2、若未在规定的交货期内交货并调试合格，每延期一天按500元/天处以违约金，违约金在货款最后一次付款前交纳，否则由成交供应商自行承担由此导致的款项支付延后。</w:t>
      </w:r>
    </w:p>
    <w:p w14:paraId="280701D1">
      <w:pPr>
        <w:snapToGrid w:val="0"/>
        <w:spacing w:line="240" w:lineRule="auto"/>
        <w:ind w:firstLine="480" w:firstLineChars="200"/>
        <w:rPr>
          <w:rFonts w:hint="eastAsia" w:cs="仿宋" w:asciiTheme="minorEastAsia" w:hAnsiTheme="minorEastAsia"/>
          <w:bCs/>
          <w:color w:val="auto"/>
          <w:sz w:val="24"/>
          <w:szCs w:val="24"/>
          <w:highlight w:val="none"/>
        </w:rPr>
      </w:pPr>
      <w:r>
        <w:rPr>
          <w:rFonts w:hint="eastAsia" w:asciiTheme="minorEastAsia" w:hAnsiTheme="minorEastAsia"/>
          <w:bCs/>
          <w:color w:val="auto"/>
          <w:sz w:val="24"/>
          <w:szCs w:val="24"/>
          <w:highlight w:val="none"/>
        </w:rPr>
        <w:t>3、其他未尽事宜由供需双方在采购合同中详细约定。</w:t>
      </w:r>
    </w:p>
    <w:p w14:paraId="73404A01">
      <w:pPr>
        <w:tabs>
          <w:tab w:val="left" w:pos="6300"/>
        </w:tabs>
        <w:snapToGrid w:val="0"/>
        <w:spacing w:line="240" w:lineRule="auto"/>
        <w:ind w:firstLine="480" w:firstLineChars="200"/>
        <w:rPr>
          <w:rFonts w:hint="eastAsia"/>
          <w:color w:val="auto"/>
          <w:sz w:val="24"/>
          <w:szCs w:val="24"/>
          <w:highlight w:val="none"/>
        </w:rPr>
      </w:pPr>
      <w:r>
        <w:rPr>
          <w:rFonts w:hint="eastAsia"/>
          <w:color w:val="auto"/>
          <w:sz w:val="24"/>
          <w:szCs w:val="24"/>
          <w:highlight w:val="none"/>
        </w:rPr>
        <w:t>我方对以上承诺负全部法律责任。</w:t>
      </w:r>
    </w:p>
    <w:p w14:paraId="0811A689">
      <w:pPr>
        <w:tabs>
          <w:tab w:val="left" w:pos="6300"/>
        </w:tabs>
        <w:snapToGrid w:val="0"/>
        <w:spacing w:line="240" w:lineRule="auto"/>
        <w:ind w:firstLine="480" w:firstLineChars="200"/>
        <w:rPr>
          <w:rFonts w:hint="eastAsia"/>
          <w:color w:val="auto"/>
          <w:sz w:val="24"/>
          <w:szCs w:val="24"/>
          <w:highlight w:val="none"/>
        </w:rPr>
      </w:pPr>
      <w:r>
        <w:rPr>
          <w:rFonts w:hint="eastAsia"/>
          <w:color w:val="auto"/>
          <w:sz w:val="24"/>
          <w:szCs w:val="24"/>
          <w:highlight w:val="none"/>
        </w:rPr>
        <w:t>特此承诺。</w:t>
      </w:r>
    </w:p>
    <w:p w14:paraId="105FF32D">
      <w:pPr>
        <w:tabs>
          <w:tab w:val="left" w:pos="6300"/>
        </w:tabs>
        <w:snapToGrid w:val="0"/>
        <w:spacing w:line="240" w:lineRule="auto"/>
        <w:ind w:firstLine="480" w:firstLineChars="200"/>
        <w:jc w:val="right"/>
        <w:rPr>
          <w:rFonts w:hint="eastAsia"/>
          <w:color w:val="auto"/>
          <w:sz w:val="24"/>
          <w:szCs w:val="24"/>
          <w:highlight w:val="none"/>
        </w:rPr>
      </w:pPr>
      <w:r>
        <w:rPr>
          <w:rFonts w:hint="eastAsia"/>
          <w:color w:val="auto"/>
          <w:sz w:val="24"/>
          <w:szCs w:val="24"/>
          <w:highlight w:val="none"/>
        </w:rPr>
        <w:t>（供应商公章）</w:t>
      </w:r>
    </w:p>
    <w:p w14:paraId="5402248D">
      <w:pPr>
        <w:tabs>
          <w:tab w:val="left" w:pos="6300"/>
        </w:tabs>
        <w:snapToGrid w:val="0"/>
        <w:spacing w:line="240" w:lineRule="auto"/>
        <w:ind w:firstLine="480" w:firstLineChars="200"/>
        <w:jc w:val="right"/>
        <w:rPr>
          <w:rFonts w:hint="eastAsia" w:asciiTheme="minorEastAsia" w:hAnsiTheme="minorEastAsia"/>
          <w:color w:val="auto"/>
          <w:sz w:val="24"/>
          <w:szCs w:val="24"/>
          <w:highlight w:val="none"/>
        </w:rPr>
      </w:pPr>
      <w:r>
        <w:rPr>
          <w:rFonts w:hint="eastAsia"/>
          <w:color w:val="auto"/>
          <w:sz w:val="24"/>
          <w:szCs w:val="24"/>
          <w:highlight w:val="none"/>
        </w:rPr>
        <w:t>年   月   日</w:t>
      </w:r>
    </w:p>
    <w:p w14:paraId="3F9BC850">
      <w:pPr>
        <w:tabs>
          <w:tab w:val="left" w:pos="6300"/>
        </w:tabs>
        <w:snapToGrid w:val="0"/>
        <w:spacing w:line="400" w:lineRule="exact"/>
        <w:ind w:firstLine="480" w:firstLineChars="200"/>
        <w:rPr>
          <w:rFonts w:hint="eastAsia" w:asciiTheme="minorEastAsia" w:hAnsiTheme="minorEastAsia"/>
          <w:color w:val="auto"/>
          <w:sz w:val="24"/>
          <w:highlight w:val="none"/>
        </w:rPr>
      </w:pPr>
    </w:p>
    <w:p w14:paraId="3E9190E3">
      <w:pPr>
        <w:tabs>
          <w:tab w:val="left" w:pos="6300"/>
        </w:tabs>
        <w:snapToGrid w:val="0"/>
        <w:spacing w:line="480" w:lineRule="exact"/>
        <w:ind w:firstLine="480" w:firstLineChars="200"/>
        <w:rPr>
          <w:rFonts w:asciiTheme="minorEastAsia" w:hAnsiTheme="minorEastAsia"/>
          <w:color w:val="auto"/>
          <w:sz w:val="24"/>
          <w:highlight w:val="none"/>
        </w:rPr>
      </w:pPr>
    </w:p>
    <w:p w14:paraId="392D4A0F">
      <w:pPr>
        <w:tabs>
          <w:tab w:val="left" w:pos="6300"/>
        </w:tabs>
        <w:snapToGrid w:val="0"/>
        <w:spacing w:line="480" w:lineRule="exact"/>
        <w:ind w:firstLine="480" w:firstLineChars="200"/>
        <w:rPr>
          <w:rFonts w:asciiTheme="minorEastAsia" w:hAnsiTheme="minorEastAsia"/>
          <w:color w:val="auto"/>
          <w:sz w:val="24"/>
          <w:highlight w:val="none"/>
        </w:rPr>
      </w:pPr>
    </w:p>
    <w:p w14:paraId="530D92C8">
      <w:pPr>
        <w:tabs>
          <w:tab w:val="left" w:pos="6300"/>
        </w:tabs>
        <w:snapToGrid w:val="0"/>
        <w:spacing w:line="480" w:lineRule="exact"/>
        <w:ind w:firstLine="480" w:firstLineChars="200"/>
        <w:rPr>
          <w:rFonts w:asciiTheme="minorEastAsia" w:hAnsiTheme="minorEastAsia"/>
          <w:color w:val="auto"/>
          <w:sz w:val="24"/>
          <w:highlight w:val="none"/>
        </w:rPr>
      </w:pPr>
    </w:p>
    <w:p w14:paraId="516C3BB9">
      <w:pPr>
        <w:tabs>
          <w:tab w:val="left" w:pos="6300"/>
        </w:tabs>
        <w:snapToGrid w:val="0"/>
        <w:spacing w:line="480" w:lineRule="exact"/>
        <w:ind w:firstLine="480" w:firstLineChars="200"/>
        <w:rPr>
          <w:rFonts w:asciiTheme="minorEastAsia" w:hAnsiTheme="minorEastAsia"/>
          <w:color w:val="auto"/>
          <w:sz w:val="24"/>
          <w:highlight w:val="none"/>
        </w:rPr>
      </w:pPr>
    </w:p>
    <w:p w14:paraId="6119C013">
      <w:pPr>
        <w:tabs>
          <w:tab w:val="left" w:pos="6300"/>
        </w:tabs>
        <w:snapToGrid w:val="0"/>
        <w:spacing w:line="480" w:lineRule="exact"/>
        <w:ind w:firstLine="480" w:firstLineChars="200"/>
        <w:rPr>
          <w:rFonts w:asciiTheme="minorEastAsia" w:hAnsiTheme="minorEastAsia"/>
          <w:color w:val="auto"/>
          <w:sz w:val="24"/>
          <w:highlight w:val="none"/>
        </w:rPr>
      </w:pPr>
    </w:p>
    <w:p w14:paraId="5EF013AD">
      <w:pPr>
        <w:tabs>
          <w:tab w:val="left" w:pos="6300"/>
        </w:tabs>
        <w:snapToGrid w:val="0"/>
        <w:spacing w:line="480" w:lineRule="exact"/>
        <w:ind w:firstLine="480" w:firstLineChars="200"/>
        <w:rPr>
          <w:rFonts w:asciiTheme="minorEastAsia" w:hAnsiTheme="minorEastAsia"/>
          <w:color w:val="auto"/>
          <w:sz w:val="24"/>
          <w:highlight w:val="none"/>
        </w:rPr>
      </w:pPr>
    </w:p>
    <w:p w14:paraId="585D18B2">
      <w:pPr>
        <w:tabs>
          <w:tab w:val="left" w:pos="6300"/>
        </w:tabs>
        <w:snapToGrid w:val="0"/>
        <w:spacing w:line="480" w:lineRule="exact"/>
        <w:ind w:firstLine="480" w:firstLineChars="200"/>
        <w:rPr>
          <w:rFonts w:hint="eastAsia" w:asciiTheme="minorEastAsia" w:hAnsiTheme="minorEastAsia"/>
          <w:color w:val="auto"/>
          <w:sz w:val="24"/>
          <w:szCs w:val="24"/>
          <w:highlight w:val="none"/>
        </w:rPr>
      </w:pPr>
    </w:p>
    <w:p w14:paraId="2EFC37F0">
      <w:pPr>
        <w:keepNext w:val="0"/>
        <w:keepLines w:val="0"/>
        <w:pageBreakBefore/>
        <w:widowControl w:val="0"/>
        <w:tabs>
          <w:tab w:val="left" w:pos="6300"/>
        </w:tabs>
        <w:kinsoku/>
        <w:wordWrap/>
        <w:overflowPunct/>
        <w:topLinePunct w:val="0"/>
        <w:autoSpaceDE/>
        <w:autoSpaceDN/>
        <w:bidi w:val="0"/>
        <w:adjustRightInd/>
        <w:snapToGrid w:val="0"/>
        <w:spacing w:line="480" w:lineRule="exact"/>
        <w:textAlignment w:val="auto"/>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（二）其它优惠服务承诺（格式自定）</w:t>
      </w:r>
    </w:p>
    <w:p w14:paraId="1ECA66C5">
      <w:pPr>
        <w:tabs>
          <w:tab w:val="left" w:pos="6300"/>
        </w:tabs>
        <w:snapToGrid w:val="0"/>
        <w:spacing w:line="480" w:lineRule="exact"/>
        <w:ind w:firstLine="480" w:firstLineChars="200"/>
        <w:rPr>
          <w:rFonts w:hint="eastAsia" w:asciiTheme="minorEastAsia" w:hAnsiTheme="minorEastAsia"/>
          <w:color w:val="auto"/>
          <w:sz w:val="24"/>
          <w:szCs w:val="24"/>
          <w:highlight w:val="none"/>
        </w:rPr>
      </w:pPr>
    </w:p>
    <w:p w14:paraId="76DE0BE0">
      <w:pPr>
        <w:pStyle w:val="4"/>
        <w:spacing w:after="0" w:line="400" w:lineRule="exact"/>
        <w:ind w:firstLine="480" w:firstLineChars="200"/>
        <w:rPr>
          <w:rFonts w:hint="eastAsia" w:asciiTheme="minorEastAsia" w:hAnsiTheme="minorEastAsia"/>
          <w:color w:val="auto"/>
          <w:sz w:val="24"/>
          <w:highlight w:val="none"/>
        </w:rPr>
      </w:pPr>
      <w:r>
        <w:rPr>
          <w:rFonts w:asciiTheme="minorEastAsia" w:hAnsiTheme="minorEastAsia"/>
          <w:color w:val="auto"/>
          <w:sz w:val="24"/>
          <w:szCs w:val="24"/>
          <w:highlight w:val="none"/>
        </w:rPr>
        <w:br w:type="page"/>
      </w:r>
      <w:bookmarkStart w:id="286" w:name="_Toc65660382"/>
      <w:bookmarkStart w:id="287" w:name="_Toc2082"/>
      <w:bookmarkStart w:id="288" w:name="_Toc29869"/>
      <w:bookmarkStart w:id="289" w:name="_Toc21793"/>
      <w:bookmarkStart w:id="290" w:name="_Toc20162"/>
      <w:bookmarkStart w:id="291" w:name="_Toc196642870"/>
      <w:r>
        <w:rPr>
          <w:rFonts w:hint="eastAsia" w:asciiTheme="minorEastAsia" w:hAnsiTheme="minorEastAsia"/>
          <w:color w:val="auto"/>
          <w:sz w:val="24"/>
          <w:highlight w:val="none"/>
        </w:rPr>
        <w:t>四、</w:t>
      </w:r>
      <w:bookmarkEnd w:id="283"/>
      <w:bookmarkEnd w:id="284"/>
      <w:bookmarkEnd w:id="285"/>
      <w:r>
        <w:rPr>
          <w:rFonts w:hint="eastAsia" w:asciiTheme="minorEastAsia" w:hAnsiTheme="minorEastAsia"/>
          <w:color w:val="auto"/>
          <w:sz w:val="24"/>
          <w:highlight w:val="none"/>
        </w:rPr>
        <w:t>资格条件及其他</w:t>
      </w:r>
      <w:bookmarkEnd w:id="286"/>
      <w:bookmarkEnd w:id="287"/>
      <w:bookmarkEnd w:id="288"/>
      <w:bookmarkEnd w:id="289"/>
      <w:bookmarkEnd w:id="290"/>
      <w:bookmarkEnd w:id="291"/>
      <w:bookmarkStart w:id="292" w:name="_Toc313888363"/>
      <w:bookmarkStart w:id="293" w:name="_Toc313008359"/>
      <w:bookmarkStart w:id="294" w:name="_Toc342913422"/>
    </w:p>
    <w:p w14:paraId="3B20284F">
      <w:pPr>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（一）法人营业执照（副本）或事业单位法人证书（副本）或个体工商户营业执照或有效的自然人身份证明或社会团体法人登记证书复印件</w:t>
      </w:r>
    </w:p>
    <w:p w14:paraId="5152A2AF">
      <w:pPr>
        <w:tabs>
          <w:tab w:val="left" w:pos="6300"/>
        </w:tabs>
        <w:snapToGrid w:val="0"/>
        <w:spacing w:line="500" w:lineRule="exact"/>
        <w:ind w:firstLine="570"/>
        <w:rPr>
          <w:rFonts w:hint="eastAsia" w:asciiTheme="minorEastAsia" w:hAnsiTheme="minorEastAsia"/>
          <w:color w:val="auto"/>
          <w:sz w:val="24"/>
          <w:szCs w:val="24"/>
          <w:highlight w:val="none"/>
        </w:rPr>
      </w:pPr>
    </w:p>
    <w:p w14:paraId="666867EA">
      <w:pPr>
        <w:tabs>
          <w:tab w:val="left" w:pos="6300"/>
        </w:tabs>
        <w:snapToGrid w:val="0"/>
        <w:spacing w:line="500" w:lineRule="exact"/>
        <w:ind w:firstLine="570"/>
        <w:rPr>
          <w:rFonts w:hint="eastAsia" w:asciiTheme="minorEastAsia" w:hAnsiTheme="minorEastAsia"/>
          <w:color w:val="auto"/>
          <w:highlight w:val="none"/>
        </w:rPr>
      </w:pPr>
    </w:p>
    <w:p w14:paraId="6784F934">
      <w:pPr>
        <w:tabs>
          <w:tab w:val="left" w:pos="6300"/>
        </w:tabs>
        <w:snapToGrid w:val="0"/>
        <w:spacing w:line="500" w:lineRule="exact"/>
        <w:ind w:firstLine="570"/>
        <w:rPr>
          <w:rFonts w:hint="eastAsia" w:asciiTheme="minorEastAsia" w:hAnsiTheme="minorEastAsia"/>
          <w:color w:val="auto"/>
          <w:highlight w:val="none"/>
        </w:rPr>
      </w:pPr>
    </w:p>
    <w:p w14:paraId="6BF95C39">
      <w:pPr>
        <w:tabs>
          <w:tab w:val="left" w:pos="6300"/>
        </w:tabs>
        <w:snapToGrid w:val="0"/>
        <w:spacing w:line="500" w:lineRule="exact"/>
        <w:ind w:firstLine="570"/>
        <w:rPr>
          <w:rFonts w:hint="eastAsia" w:asciiTheme="minorEastAsia" w:hAnsiTheme="minorEastAsia"/>
          <w:color w:val="auto"/>
          <w:highlight w:val="none"/>
        </w:rPr>
      </w:pPr>
    </w:p>
    <w:p w14:paraId="155005E9">
      <w:pPr>
        <w:tabs>
          <w:tab w:val="left" w:pos="6300"/>
        </w:tabs>
        <w:snapToGrid w:val="0"/>
        <w:spacing w:line="500" w:lineRule="exact"/>
        <w:ind w:firstLine="570"/>
        <w:rPr>
          <w:rFonts w:hint="eastAsia" w:asciiTheme="minorEastAsia" w:hAnsiTheme="minorEastAsia"/>
          <w:color w:val="auto"/>
          <w:highlight w:val="none"/>
        </w:rPr>
      </w:pPr>
    </w:p>
    <w:p w14:paraId="6500148B">
      <w:pPr>
        <w:widowControl/>
        <w:spacing w:line="400" w:lineRule="exact"/>
        <w:ind w:firstLine="420" w:firstLineChars="200"/>
        <w:jc w:val="left"/>
        <w:rPr>
          <w:rFonts w:hint="eastAsia" w:asciiTheme="minorEastAsia" w:hAnsiTheme="minorEastAsia"/>
          <w:color w:val="auto"/>
          <w:sz w:val="24"/>
          <w:szCs w:val="24"/>
          <w:highlight w:val="none"/>
        </w:rPr>
      </w:pPr>
      <w:r>
        <w:rPr>
          <w:rFonts w:asciiTheme="minorEastAsia" w:hAnsiTheme="minorEastAsia"/>
          <w:color w:val="auto"/>
          <w:highlight w:val="none"/>
        </w:rPr>
        <w:br w:type="page"/>
      </w:r>
      <w:r>
        <w:rPr>
          <w:rFonts w:hint="eastAsia" w:asciiTheme="minorEastAsia" w:hAnsiTheme="minorEastAsia"/>
          <w:color w:val="auto"/>
          <w:sz w:val="24"/>
          <w:szCs w:val="24"/>
          <w:highlight w:val="none"/>
        </w:rPr>
        <w:t>（二）法定代表人身份证明书（格式）</w:t>
      </w:r>
    </w:p>
    <w:p w14:paraId="7DC71B41">
      <w:pPr>
        <w:tabs>
          <w:tab w:val="left" w:pos="6300"/>
        </w:tabs>
        <w:snapToGrid w:val="0"/>
        <w:spacing w:line="500" w:lineRule="exact"/>
        <w:ind w:firstLine="570"/>
        <w:rPr>
          <w:rFonts w:hint="eastAsia" w:asciiTheme="minorEastAsia" w:hAnsiTheme="minorEastAsia"/>
          <w:color w:val="auto"/>
          <w:sz w:val="24"/>
          <w:highlight w:val="none"/>
        </w:rPr>
      </w:pPr>
    </w:p>
    <w:p w14:paraId="58BDBF44">
      <w:pPr>
        <w:tabs>
          <w:tab w:val="left" w:pos="6300"/>
        </w:tabs>
        <w:snapToGrid w:val="0"/>
        <w:spacing w:line="500" w:lineRule="exact"/>
        <w:ind w:firstLine="570"/>
        <w:rPr>
          <w:rFonts w:hint="eastAsia" w:asciiTheme="minorEastAsia" w:hAnsiTheme="minorEastAsia"/>
          <w:color w:val="auto"/>
          <w:sz w:val="24"/>
          <w:highlight w:val="none"/>
        </w:rPr>
      </w:pPr>
      <w:r>
        <w:rPr>
          <w:rFonts w:hint="eastAsia" w:asciiTheme="minorEastAsia" w:hAnsiTheme="minorEastAsia"/>
          <w:color w:val="auto"/>
          <w:sz w:val="24"/>
          <w:highlight w:val="none"/>
        </w:rPr>
        <w:t>询价项目名称：</w:t>
      </w:r>
      <w:r>
        <w:rPr>
          <w:rFonts w:hint="eastAsia" w:asciiTheme="minorEastAsia" w:hAnsiTheme="minorEastAsia"/>
          <w:color w:val="auto"/>
          <w:sz w:val="24"/>
          <w:highlight w:val="none"/>
          <w:u w:val="single"/>
        </w:rPr>
        <w:t xml:space="preserve">                                                </w:t>
      </w:r>
    </w:p>
    <w:p w14:paraId="6B3230B9">
      <w:pPr>
        <w:tabs>
          <w:tab w:val="left" w:pos="6300"/>
        </w:tabs>
        <w:snapToGrid w:val="0"/>
        <w:spacing w:line="500" w:lineRule="exact"/>
        <w:ind w:firstLine="570"/>
        <w:rPr>
          <w:rFonts w:hint="eastAsia" w:asciiTheme="minorEastAsia" w:hAnsiTheme="minorEastAsia"/>
          <w:color w:val="auto"/>
          <w:sz w:val="24"/>
          <w:highlight w:val="none"/>
        </w:rPr>
      </w:pPr>
    </w:p>
    <w:p w14:paraId="3E0D205C">
      <w:pPr>
        <w:tabs>
          <w:tab w:val="left" w:pos="6300"/>
        </w:tabs>
        <w:snapToGrid w:val="0"/>
        <w:spacing w:line="500" w:lineRule="exact"/>
        <w:rPr>
          <w:rFonts w:hint="eastAsia" w:asciiTheme="minorEastAsia" w:hAnsiTheme="minorEastAsia"/>
          <w:color w:val="auto"/>
          <w:sz w:val="24"/>
          <w:highlight w:val="none"/>
        </w:rPr>
      </w:pPr>
      <w:r>
        <w:rPr>
          <w:rFonts w:hint="eastAsia" w:asciiTheme="minorEastAsia" w:hAnsiTheme="minorEastAsia"/>
          <w:color w:val="auto"/>
          <w:sz w:val="24"/>
          <w:highlight w:val="none"/>
        </w:rPr>
        <w:t>致：</w:t>
      </w:r>
      <w:r>
        <w:rPr>
          <w:rFonts w:hint="eastAsia" w:asciiTheme="minorEastAsia" w:hAnsiTheme="minorEastAsia"/>
          <w:color w:val="auto"/>
          <w:sz w:val="24"/>
          <w:highlight w:val="none"/>
          <w:u w:val="single"/>
        </w:rPr>
        <w:t xml:space="preserve">                     </w:t>
      </w:r>
      <w:r>
        <w:rPr>
          <w:rFonts w:hint="eastAsia" w:asciiTheme="minorEastAsia" w:hAnsiTheme="minorEastAsia"/>
          <w:color w:val="auto"/>
          <w:sz w:val="24"/>
          <w:highlight w:val="none"/>
        </w:rPr>
        <w:t>（采购代理机构名称）：</w:t>
      </w:r>
    </w:p>
    <w:p w14:paraId="3542F981">
      <w:pPr>
        <w:tabs>
          <w:tab w:val="left" w:pos="6300"/>
        </w:tabs>
        <w:snapToGrid w:val="0"/>
        <w:spacing w:line="500" w:lineRule="exact"/>
        <w:ind w:firstLine="570"/>
        <w:rPr>
          <w:rFonts w:hint="eastAsia" w:asciiTheme="minorEastAsia" w:hAnsiTheme="minorEastAsia"/>
          <w:color w:val="auto"/>
          <w:sz w:val="24"/>
          <w:highlight w:val="none"/>
        </w:rPr>
      </w:pPr>
      <w:r>
        <w:rPr>
          <w:rFonts w:hint="eastAsia" w:asciiTheme="minorEastAsia" w:hAnsiTheme="minorEastAsia"/>
          <w:color w:val="auto"/>
          <w:sz w:val="24"/>
          <w:highlight w:val="none"/>
          <w:u w:val="single"/>
        </w:rPr>
        <w:t xml:space="preserve">        </w:t>
      </w:r>
      <w:r>
        <w:rPr>
          <w:rFonts w:hint="eastAsia" w:asciiTheme="minorEastAsia" w:hAnsiTheme="minorEastAsia"/>
          <w:color w:val="auto"/>
          <w:sz w:val="24"/>
          <w:highlight w:val="none"/>
        </w:rPr>
        <w:t>（法定代表人姓名）在</w:t>
      </w:r>
      <w:r>
        <w:rPr>
          <w:rFonts w:hint="eastAsia" w:asciiTheme="minorEastAsia" w:hAnsiTheme="minorEastAsia"/>
          <w:color w:val="auto"/>
          <w:sz w:val="24"/>
          <w:highlight w:val="none"/>
          <w:u w:val="single"/>
        </w:rPr>
        <w:t xml:space="preserve">                       </w:t>
      </w:r>
      <w:r>
        <w:rPr>
          <w:rFonts w:hint="eastAsia" w:asciiTheme="minorEastAsia" w:hAnsiTheme="minorEastAsia"/>
          <w:color w:val="auto"/>
          <w:sz w:val="24"/>
          <w:highlight w:val="none"/>
        </w:rPr>
        <w:t>（供应商名称）任</w:t>
      </w:r>
      <w:r>
        <w:rPr>
          <w:rFonts w:hint="eastAsia" w:asciiTheme="minorEastAsia" w:hAnsiTheme="minorEastAsia"/>
          <w:color w:val="auto"/>
          <w:sz w:val="24"/>
          <w:highlight w:val="none"/>
          <w:u w:val="single"/>
        </w:rPr>
        <w:t xml:space="preserve">    </w:t>
      </w:r>
      <w:r>
        <w:rPr>
          <w:rFonts w:hint="eastAsia" w:asciiTheme="minorEastAsia" w:hAnsiTheme="minorEastAsia"/>
          <w:color w:val="auto"/>
          <w:sz w:val="24"/>
          <w:highlight w:val="none"/>
        </w:rPr>
        <w:t>（职务名称）职务，是（供应商名称）</w:t>
      </w:r>
      <w:r>
        <w:rPr>
          <w:rFonts w:hint="eastAsia" w:asciiTheme="minorEastAsia" w:hAnsiTheme="minorEastAsia"/>
          <w:color w:val="auto"/>
          <w:sz w:val="24"/>
          <w:highlight w:val="none"/>
          <w:u w:val="single"/>
        </w:rPr>
        <w:t xml:space="preserve">              </w:t>
      </w:r>
      <w:r>
        <w:rPr>
          <w:rFonts w:hint="eastAsia" w:asciiTheme="minorEastAsia" w:hAnsiTheme="minorEastAsia"/>
          <w:color w:val="auto"/>
          <w:sz w:val="24"/>
          <w:highlight w:val="none"/>
        </w:rPr>
        <w:t>的法定代表人。</w:t>
      </w:r>
    </w:p>
    <w:p w14:paraId="3CC7AD4D">
      <w:pPr>
        <w:tabs>
          <w:tab w:val="left" w:pos="6300"/>
        </w:tabs>
        <w:snapToGrid w:val="0"/>
        <w:spacing w:line="500" w:lineRule="exact"/>
        <w:ind w:firstLine="570"/>
        <w:rPr>
          <w:rFonts w:hint="eastAsia" w:asciiTheme="minorEastAsia" w:hAnsiTheme="minorEastAsia"/>
          <w:color w:val="auto"/>
          <w:sz w:val="24"/>
          <w:highlight w:val="none"/>
        </w:rPr>
      </w:pPr>
    </w:p>
    <w:p w14:paraId="148E805A">
      <w:pPr>
        <w:tabs>
          <w:tab w:val="left" w:pos="6300"/>
        </w:tabs>
        <w:snapToGrid w:val="0"/>
        <w:spacing w:line="500" w:lineRule="exact"/>
        <w:ind w:firstLine="570"/>
        <w:rPr>
          <w:rFonts w:hint="eastAsia" w:asciiTheme="minorEastAsia" w:hAnsiTheme="minorEastAsia"/>
          <w:color w:val="auto"/>
          <w:sz w:val="24"/>
          <w:highlight w:val="none"/>
        </w:rPr>
      </w:pPr>
      <w:r>
        <w:rPr>
          <w:rFonts w:hint="eastAsia" w:asciiTheme="minorEastAsia" w:hAnsiTheme="minorEastAsia"/>
          <w:color w:val="auto"/>
          <w:sz w:val="24"/>
          <w:highlight w:val="none"/>
        </w:rPr>
        <w:t>特此证明。</w:t>
      </w:r>
    </w:p>
    <w:p w14:paraId="66A0DFD6">
      <w:pPr>
        <w:tabs>
          <w:tab w:val="left" w:pos="6300"/>
        </w:tabs>
        <w:snapToGrid w:val="0"/>
        <w:spacing w:line="500" w:lineRule="exact"/>
        <w:ind w:firstLine="570"/>
        <w:rPr>
          <w:rFonts w:hint="eastAsia" w:asciiTheme="minorEastAsia" w:hAnsiTheme="minorEastAsia"/>
          <w:color w:val="auto"/>
          <w:sz w:val="24"/>
          <w:highlight w:val="none"/>
        </w:rPr>
      </w:pPr>
    </w:p>
    <w:p w14:paraId="7A70B82B">
      <w:pPr>
        <w:tabs>
          <w:tab w:val="left" w:pos="6300"/>
        </w:tabs>
        <w:snapToGrid w:val="0"/>
        <w:spacing w:line="500" w:lineRule="exact"/>
        <w:ind w:firstLine="570"/>
        <w:rPr>
          <w:rFonts w:hint="eastAsia" w:asciiTheme="minorEastAsia" w:hAnsiTheme="minorEastAsia"/>
          <w:color w:val="auto"/>
          <w:sz w:val="24"/>
          <w:highlight w:val="none"/>
        </w:rPr>
      </w:pPr>
    </w:p>
    <w:p w14:paraId="41F531F1">
      <w:pPr>
        <w:tabs>
          <w:tab w:val="left" w:pos="6300"/>
        </w:tabs>
        <w:snapToGrid w:val="0"/>
        <w:spacing w:line="500" w:lineRule="exact"/>
        <w:ind w:firstLine="570"/>
        <w:rPr>
          <w:rFonts w:hint="eastAsia" w:asciiTheme="minorEastAsia" w:hAnsiTheme="minorEastAsia"/>
          <w:color w:val="auto"/>
          <w:sz w:val="24"/>
          <w:highlight w:val="none"/>
        </w:rPr>
      </w:pPr>
    </w:p>
    <w:p w14:paraId="11629747">
      <w:pPr>
        <w:tabs>
          <w:tab w:val="left" w:pos="6300"/>
        </w:tabs>
        <w:snapToGrid w:val="0"/>
        <w:spacing w:line="500" w:lineRule="exact"/>
        <w:ind w:firstLine="570"/>
        <w:rPr>
          <w:rFonts w:hint="eastAsia" w:asciiTheme="minorEastAsia" w:hAnsiTheme="minorEastAsia"/>
          <w:color w:val="auto"/>
          <w:sz w:val="24"/>
          <w:highlight w:val="none"/>
        </w:rPr>
      </w:pPr>
      <w:r>
        <w:rPr>
          <w:rFonts w:hint="eastAsia" w:asciiTheme="minorEastAsia" w:hAnsiTheme="minorEastAsia"/>
          <w:color w:val="auto"/>
          <w:sz w:val="24"/>
          <w:highlight w:val="none"/>
        </w:rPr>
        <w:t xml:space="preserve">                                             （供应商公章）</w:t>
      </w:r>
    </w:p>
    <w:p w14:paraId="3C3CAFDB">
      <w:pPr>
        <w:tabs>
          <w:tab w:val="left" w:pos="6300"/>
        </w:tabs>
        <w:snapToGrid w:val="0"/>
        <w:spacing w:line="500" w:lineRule="exact"/>
        <w:ind w:firstLine="570"/>
        <w:rPr>
          <w:rFonts w:hint="eastAsia" w:asciiTheme="minorEastAsia" w:hAnsiTheme="minorEastAsia"/>
          <w:color w:val="auto"/>
          <w:sz w:val="24"/>
          <w:highlight w:val="none"/>
        </w:rPr>
      </w:pPr>
    </w:p>
    <w:p w14:paraId="3DC28A55">
      <w:pPr>
        <w:tabs>
          <w:tab w:val="left" w:pos="6300"/>
        </w:tabs>
        <w:snapToGrid w:val="0"/>
        <w:spacing w:line="500" w:lineRule="exact"/>
        <w:ind w:firstLine="570"/>
        <w:rPr>
          <w:rFonts w:hint="eastAsia" w:asciiTheme="minorEastAsia" w:hAnsiTheme="minorEastAsia"/>
          <w:color w:val="auto"/>
          <w:sz w:val="24"/>
          <w:highlight w:val="none"/>
        </w:rPr>
      </w:pPr>
      <w:r>
        <w:rPr>
          <w:rFonts w:hint="eastAsia" w:asciiTheme="minorEastAsia" w:hAnsiTheme="minorEastAsia"/>
          <w:color w:val="auto"/>
          <w:sz w:val="24"/>
          <w:highlight w:val="none"/>
        </w:rPr>
        <w:t xml:space="preserve">                                             年   月   日</w:t>
      </w:r>
    </w:p>
    <w:p w14:paraId="13F9917E">
      <w:pPr>
        <w:tabs>
          <w:tab w:val="left" w:pos="6300"/>
        </w:tabs>
        <w:snapToGrid w:val="0"/>
        <w:spacing w:line="500" w:lineRule="exact"/>
        <w:ind w:firstLine="570"/>
        <w:rPr>
          <w:rFonts w:hint="eastAsia" w:asciiTheme="minorEastAsia" w:hAnsiTheme="minorEastAsia"/>
          <w:color w:val="auto"/>
          <w:sz w:val="24"/>
          <w:highlight w:val="none"/>
        </w:rPr>
      </w:pPr>
    </w:p>
    <w:p w14:paraId="13AF9BCD">
      <w:pPr>
        <w:tabs>
          <w:tab w:val="left" w:pos="6300"/>
        </w:tabs>
        <w:snapToGrid w:val="0"/>
        <w:spacing w:line="500" w:lineRule="exact"/>
        <w:ind w:firstLine="570"/>
        <w:rPr>
          <w:rFonts w:hint="eastAsia" w:asciiTheme="minorEastAsia" w:hAnsiTheme="minorEastAsia"/>
          <w:color w:val="auto"/>
          <w:sz w:val="24"/>
          <w:highlight w:val="none"/>
        </w:rPr>
      </w:pPr>
    </w:p>
    <w:p w14:paraId="505DCA5B">
      <w:pPr>
        <w:tabs>
          <w:tab w:val="left" w:pos="6300"/>
        </w:tabs>
        <w:snapToGrid w:val="0"/>
        <w:spacing w:line="500" w:lineRule="exact"/>
        <w:ind w:firstLine="570"/>
        <w:rPr>
          <w:rFonts w:hint="eastAsia" w:asciiTheme="minorEastAsia" w:hAnsiTheme="minorEastAsia"/>
          <w:color w:val="auto"/>
          <w:sz w:val="24"/>
          <w:highlight w:val="none"/>
        </w:rPr>
      </w:pPr>
      <w:r>
        <w:rPr>
          <w:rFonts w:hint="eastAsia" w:asciiTheme="minorEastAsia" w:hAnsiTheme="minorEastAsia"/>
          <w:color w:val="auto"/>
          <w:sz w:val="24"/>
          <w:highlight w:val="none"/>
        </w:rPr>
        <w:t>法定代表人电话：XXXXXXX      电子邮箱：XXXXXX@XXXXX（若授权他人办理并签署响应文件的可不填写）</w:t>
      </w:r>
    </w:p>
    <w:p w14:paraId="047146F7">
      <w:pPr>
        <w:tabs>
          <w:tab w:val="left" w:pos="6300"/>
        </w:tabs>
        <w:snapToGrid w:val="0"/>
        <w:spacing w:line="500" w:lineRule="exact"/>
        <w:ind w:firstLine="570"/>
        <w:rPr>
          <w:rFonts w:hint="eastAsia" w:asciiTheme="minorEastAsia" w:hAnsiTheme="minorEastAsia"/>
          <w:color w:val="auto"/>
          <w:sz w:val="24"/>
          <w:highlight w:val="none"/>
        </w:rPr>
      </w:pPr>
      <w:r>
        <w:rPr>
          <w:rFonts w:hint="eastAsia" w:asciiTheme="minorEastAsia" w:hAnsiTheme="minorEastAsia"/>
          <w:color w:val="auto"/>
          <w:sz w:val="24"/>
          <w:highlight w:val="none"/>
        </w:rPr>
        <w:t>（附：法定代表人身份证正反面复印件）</w:t>
      </w:r>
    </w:p>
    <w:p w14:paraId="335F0EF4">
      <w:pPr>
        <w:tabs>
          <w:tab w:val="left" w:pos="6300"/>
        </w:tabs>
        <w:snapToGrid w:val="0"/>
        <w:spacing w:line="500" w:lineRule="exact"/>
        <w:ind w:firstLine="570"/>
        <w:rPr>
          <w:rFonts w:hint="eastAsia" w:asciiTheme="minorEastAsia" w:hAnsiTheme="minorEastAsia"/>
          <w:color w:val="auto"/>
          <w:sz w:val="24"/>
          <w:highlight w:val="none"/>
        </w:rPr>
      </w:pPr>
    </w:p>
    <w:p w14:paraId="0B6D7D5B">
      <w:pPr>
        <w:tabs>
          <w:tab w:val="left" w:pos="6300"/>
        </w:tabs>
        <w:snapToGrid w:val="0"/>
        <w:spacing w:line="500" w:lineRule="exact"/>
        <w:ind w:firstLine="570"/>
        <w:rPr>
          <w:rFonts w:hint="eastAsia" w:asciiTheme="minorEastAsia" w:hAnsiTheme="minorEastAsia"/>
          <w:color w:val="auto"/>
          <w:sz w:val="24"/>
          <w:highlight w:val="none"/>
        </w:rPr>
      </w:pPr>
    </w:p>
    <w:p w14:paraId="5EDE9BED">
      <w:pPr>
        <w:widowControl/>
        <w:spacing w:line="400" w:lineRule="exact"/>
        <w:jc w:val="left"/>
        <w:rPr>
          <w:rFonts w:hint="eastAsia" w:asciiTheme="minorEastAsia" w:hAnsiTheme="minorEastAsia"/>
          <w:color w:val="auto"/>
          <w:sz w:val="24"/>
          <w:szCs w:val="24"/>
          <w:highlight w:val="none"/>
        </w:rPr>
      </w:pPr>
    </w:p>
    <w:p w14:paraId="089309B3">
      <w:pPr>
        <w:widowControl/>
        <w:spacing w:line="400" w:lineRule="exact"/>
        <w:jc w:val="left"/>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（三）法定代表人授权委托书（格式）</w:t>
      </w:r>
    </w:p>
    <w:p w14:paraId="1EAFC988">
      <w:pPr>
        <w:tabs>
          <w:tab w:val="left" w:pos="6300"/>
        </w:tabs>
        <w:snapToGrid w:val="0"/>
        <w:spacing w:line="500" w:lineRule="exact"/>
        <w:ind w:firstLine="570"/>
        <w:rPr>
          <w:rFonts w:hint="eastAsia" w:asciiTheme="minorEastAsia" w:hAnsiTheme="minorEastAsia"/>
          <w:color w:val="auto"/>
          <w:sz w:val="24"/>
          <w:highlight w:val="none"/>
        </w:rPr>
      </w:pPr>
      <w:r>
        <w:rPr>
          <w:rFonts w:hint="eastAsia" w:asciiTheme="minorEastAsia" w:hAnsiTheme="minorEastAsia"/>
          <w:color w:val="auto"/>
          <w:sz w:val="24"/>
          <w:highlight w:val="none"/>
        </w:rPr>
        <w:t xml:space="preserve">    </w:t>
      </w:r>
    </w:p>
    <w:p w14:paraId="1A594B41">
      <w:pPr>
        <w:tabs>
          <w:tab w:val="left" w:pos="6300"/>
        </w:tabs>
        <w:snapToGrid w:val="0"/>
        <w:spacing w:line="5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szCs w:val="28"/>
          <w:highlight w:val="none"/>
        </w:rPr>
        <w:t>询价项目名称</w:t>
      </w:r>
      <w:r>
        <w:rPr>
          <w:rFonts w:hint="eastAsia" w:asciiTheme="minorEastAsia" w:hAnsiTheme="minorEastAsia"/>
          <w:color w:val="auto"/>
          <w:sz w:val="24"/>
          <w:highlight w:val="none"/>
        </w:rPr>
        <w:t>：</w:t>
      </w:r>
      <w:r>
        <w:rPr>
          <w:rFonts w:hint="eastAsia" w:asciiTheme="minorEastAsia" w:hAnsiTheme="minorEastAsia"/>
          <w:color w:val="auto"/>
          <w:sz w:val="24"/>
          <w:highlight w:val="none"/>
          <w:u w:val="single"/>
        </w:rPr>
        <w:t xml:space="preserve">                                                </w:t>
      </w:r>
    </w:p>
    <w:p w14:paraId="42CC0A85">
      <w:pPr>
        <w:tabs>
          <w:tab w:val="left" w:pos="6300"/>
        </w:tabs>
        <w:snapToGrid w:val="0"/>
        <w:spacing w:line="500" w:lineRule="exact"/>
        <w:ind w:firstLine="570"/>
        <w:rPr>
          <w:rFonts w:hint="eastAsia" w:asciiTheme="minorEastAsia" w:hAnsiTheme="minorEastAsia"/>
          <w:color w:val="auto"/>
          <w:sz w:val="24"/>
          <w:highlight w:val="none"/>
        </w:rPr>
      </w:pPr>
    </w:p>
    <w:p w14:paraId="4636B482">
      <w:pPr>
        <w:tabs>
          <w:tab w:val="left" w:pos="6300"/>
        </w:tabs>
        <w:snapToGrid w:val="0"/>
        <w:spacing w:line="500" w:lineRule="exact"/>
        <w:rPr>
          <w:rFonts w:hint="eastAsia" w:asciiTheme="minorEastAsia" w:hAnsiTheme="minorEastAsia"/>
          <w:color w:val="auto"/>
          <w:sz w:val="24"/>
          <w:highlight w:val="none"/>
        </w:rPr>
      </w:pPr>
      <w:r>
        <w:rPr>
          <w:rFonts w:hint="eastAsia" w:asciiTheme="minorEastAsia" w:hAnsiTheme="minorEastAsia"/>
          <w:color w:val="auto"/>
          <w:sz w:val="24"/>
          <w:highlight w:val="none"/>
        </w:rPr>
        <w:t>致：</w:t>
      </w:r>
      <w:r>
        <w:rPr>
          <w:rFonts w:hint="eastAsia" w:asciiTheme="minorEastAsia" w:hAnsiTheme="minorEastAsia"/>
          <w:color w:val="auto"/>
          <w:sz w:val="24"/>
          <w:highlight w:val="none"/>
          <w:u w:val="single"/>
        </w:rPr>
        <w:t xml:space="preserve">                     </w:t>
      </w:r>
      <w:r>
        <w:rPr>
          <w:rFonts w:hint="eastAsia" w:asciiTheme="minorEastAsia" w:hAnsiTheme="minorEastAsia"/>
          <w:color w:val="auto"/>
          <w:sz w:val="24"/>
          <w:highlight w:val="none"/>
        </w:rPr>
        <w:t>（采购代理机构名称）：</w:t>
      </w:r>
    </w:p>
    <w:p w14:paraId="3A7CBDD9">
      <w:pPr>
        <w:tabs>
          <w:tab w:val="left" w:pos="6300"/>
        </w:tabs>
        <w:snapToGrid w:val="0"/>
        <w:spacing w:line="5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u w:val="single"/>
        </w:rPr>
        <w:t xml:space="preserve">            </w:t>
      </w:r>
      <w:r>
        <w:rPr>
          <w:rFonts w:hint="eastAsia" w:asciiTheme="minorEastAsia" w:hAnsiTheme="minorEastAsia"/>
          <w:color w:val="auto"/>
          <w:sz w:val="24"/>
          <w:highlight w:val="none"/>
        </w:rPr>
        <w:t>（供应商法定代表人名称）是</w:t>
      </w:r>
      <w:r>
        <w:rPr>
          <w:rFonts w:hint="eastAsia" w:asciiTheme="minorEastAsia" w:hAnsiTheme="minorEastAsia"/>
          <w:color w:val="auto"/>
          <w:sz w:val="24"/>
          <w:highlight w:val="none"/>
          <w:u w:val="single"/>
        </w:rPr>
        <w:t xml:space="preserve">                    </w:t>
      </w:r>
      <w:r>
        <w:rPr>
          <w:rFonts w:hint="eastAsia" w:asciiTheme="minorEastAsia" w:hAnsiTheme="minorEastAsia"/>
          <w:color w:val="auto"/>
          <w:sz w:val="24"/>
          <w:highlight w:val="none"/>
        </w:rPr>
        <w:t>（供应商名称）的法定代表人，特授权</w:t>
      </w:r>
      <w:r>
        <w:rPr>
          <w:rFonts w:hint="eastAsia" w:asciiTheme="minorEastAsia" w:hAnsiTheme="minorEastAsia"/>
          <w:color w:val="auto"/>
          <w:sz w:val="24"/>
          <w:highlight w:val="none"/>
          <w:u w:val="single"/>
        </w:rPr>
        <w:t xml:space="preserve">          </w:t>
      </w:r>
      <w:r>
        <w:rPr>
          <w:rFonts w:hint="eastAsia" w:asciiTheme="minorEastAsia" w:hAnsiTheme="minorEastAsia"/>
          <w:color w:val="auto"/>
          <w:sz w:val="24"/>
          <w:highlight w:val="none"/>
        </w:rPr>
        <w:t>（被授权人姓名及身份证代码）代表我单位全权办理上述项目的报价、签约等具体工作，并签署全部有关文件、协议及合同。</w:t>
      </w:r>
    </w:p>
    <w:p w14:paraId="1475BAB6">
      <w:pPr>
        <w:tabs>
          <w:tab w:val="left" w:pos="6300"/>
        </w:tabs>
        <w:snapToGrid w:val="0"/>
        <w:spacing w:line="5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我单位对被授权人的</w:t>
      </w:r>
      <w:r>
        <w:rPr>
          <w:rFonts w:hint="eastAsia" w:asciiTheme="minorEastAsia" w:hAnsiTheme="minorEastAsia"/>
          <w:color w:val="auto"/>
          <w:sz w:val="24"/>
          <w:szCs w:val="28"/>
          <w:highlight w:val="none"/>
        </w:rPr>
        <w:t>签署</w:t>
      </w:r>
      <w:r>
        <w:rPr>
          <w:rFonts w:hint="eastAsia" w:asciiTheme="minorEastAsia" w:hAnsiTheme="minorEastAsia"/>
          <w:color w:val="auto"/>
          <w:sz w:val="24"/>
          <w:highlight w:val="none"/>
        </w:rPr>
        <w:t>负全部责任。</w:t>
      </w:r>
    </w:p>
    <w:p w14:paraId="72A047E5">
      <w:pPr>
        <w:tabs>
          <w:tab w:val="left" w:pos="6300"/>
        </w:tabs>
        <w:snapToGrid w:val="0"/>
        <w:spacing w:line="5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在撤销授权的书面通知以前，本授权书一直有效。被授权人在授权书有效期内签署的所有文件不因授权的撤销而失效。</w:t>
      </w:r>
    </w:p>
    <w:p w14:paraId="6D6CA25A">
      <w:pPr>
        <w:tabs>
          <w:tab w:val="left" w:pos="6300"/>
        </w:tabs>
        <w:snapToGrid w:val="0"/>
        <w:spacing w:line="500" w:lineRule="exact"/>
        <w:ind w:firstLine="570"/>
        <w:rPr>
          <w:rFonts w:hint="eastAsia" w:asciiTheme="minorEastAsia" w:hAnsiTheme="minorEastAsia"/>
          <w:color w:val="auto"/>
          <w:sz w:val="24"/>
          <w:highlight w:val="none"/>
        </w:rPr>
      </w:pPr>
      <w:r>
        <w:rPr>
          <w:rFonts w:hint="eastAsia" w:asciiTheme="minorEastAsia" w:hAnsiTheme="minorEastAsia"/>
          <w:color w:val="auto"/>
          <w:sz w:val="24"/>
          <w:highlight w:val="none"/>
        </w:rPr>
        <w:t>被授权人：                                 供应商法定代表人：</w:t>
      </w:r>
    </w:p>
    <w:p w14:paraId="1BD3E18C">
      <w:pPr>
        <w:tabs>
          <w:tab w:val="left" w:pos="6300"/>
        </w:tabs>
        <w:snapToGrid w:val="0"/>
        <w:spacing w:line="500" w:lineRule="exact"/>
        <w:ind w:firstLine="570"/>
        <w:rPr>
          <w:rFonts w:hint="eastAsia" w:asciiTheme="minorEastAsia" w:hAnsiTheme="minorEastAsia"/>
          <w:color w:val="auto"/>
          <w:sz w:val="24"/>
          <w:szCs w:val="28"/>
          <w:highlight w:val="none"/>
        </w:rPr>
      </w:pPr>
      <w:r>
        <w:rPr>
          <w:rFonts w:hint="eastAsia" w:asciiTheme="minorEastAsia" w:hAnsiTheme="minorEastAsia"/>
          <w:color w:val="auto"/>
          <w:sz w:val="24"/>
          <w:szCs w:val="28"/>
          <w:highlight w:val="none"/>
        </w:rPr>
        <w:t>（签署或盖章）                                （签署或盖章）</w:t>
      </w:r>
    </w:p>
    <w:p w14:paraId="25D5F4D0">
      <w:pPr>
        <w:tabs>
          <w:tab w:val="left" w:pos="6300"/>
        </w:tabs>
        <w:snapToGrid w:val="0"/>
        <w:spacing w:line="500" w:lineRule="exact"/>
        <w:rPr>
          <w:rFonts w:hint="eastAsia" w:asciiTheme="minorEastAsia" w:hAnsiTheme="minorEastAsia"/>
          <w:color w:val="auto"/>
          <w:sz w:val="24"/>
          <w:highlight w:val="none"/>
        </w:rPr>
      </w:pPr>
    </w:p>
    <w:p w14:paraId="05A43F55">
      <w:pPr>
        <w:tabs>
          <w:tab w:val="left" w:pos="6300"/>
        </w:tabs>
        <w:snapToGrid w:val="0"/>
        <w:spacing w:line="500" w:lineRule="exact"/>
        <w:ind w:firstLine="570"/>
        <w:rPr>
          <w:rFonts w:hint="eastAsia" w:asciiTheme="minorEastAsia" w:hAnsiTheme="minorEastAsia"/>
          <w:color w:val="auto"/>
          <w:sz w:val="24"/>
          <w:highlight w:val="none"/>
        </w:rPr>
      </w:pPr>
      <w:r>
        <w:rPr>
          <w:rFonts w:hint="eastAsia" w:asciiTheme="minorEastAsia" w:hAnsiTheme="minorEastAsia"/>
          <w:color w:val="auto"/>
          <w:sz w:val="24"/>
          <w:highlight w:val="none"/>
        </w:rPr>
        <w:t xml:space="preserve">（附：被授权人身份证正反面复印件）                                 </w:t>
      </w:r>
    </w:p>
    <w:p w14:paraId="1A958C88">
      <w:pPr>
        <w:tabs>
          <w:tab w:val="left" w:pos="6300"/>
        </w:tabs>
        <w:snapToGrid w:val="0"/>
        <w:spacing w:line="500" w:lineRule="exact"/>
        <w:ind w:right="480" w:firstLine="570"/>
        <w:jc w:val="center"/>
        <w:rPr>
          <w:rFonts w:hint="eastAsia" w:asciiTheme="minorEastAsia" w:hAnsiTheme="minorEastAsia"/>
          <w:color w:val="auto"/>
          <w:sz w:val="24"/>
          <w:highlight w:val="none"/>
        </w:rPr>
      </w:pPr>
      <w:r>
        <w:rPr>
          <w:rFonts w:hint="eastAsia" w:asciiTheme="minorEastAsia" w:hAnsiTheme="minorEastAsia"/>
          <w:color w:val="auto"/>
          <w:sz w:val="24"/>
          <w:highlight w:val="none"/>
        </w:rPr>
        <w:t xml:space="preserve">                                         （供应商公章）</w:t>
      </w:r>
    </w:p>
    <w:p w14:paraId="05308DE2">
      <w:pPr>
        <w:tabs>
          <w:tab w:val="left" w:pos="6300"/>
        </w:tabs>
        <w:snapToGrid w:val="0"/>
        <w:spacing w:line="500" w:lineRule="exact"/>
        <w:ind w:right="480" w:firstLine="570"/>
        <w:jc w:val="right"/>
        <w:rPr>
          <w:rFonts w:hint="eastAsia" w:asciiTheme="minorEastAsia" w:hAnsiTheme="minorEastAsia"/>
          <w:color w:val="auto"/>
          <w:sz w:val="24"/>
          <w:highlight w:val="none"/>
        </w:rPr>
      </w:pPr>
      <w:r>
        <w:rPr>
          <w:rFonts w:hint="eastAsia" w:asciiTheme="minorEastAsia" w:hAnsiTheme="minorEastAsia"/>
          <w:color w:val="auto"/>
          <w:sz w:val="24"/>
          <w:highlight w:val="none"/>
        </w:rPr>
        <w:t>年   月   日</w:t>
      </w:r>
    </w:p>
    <w:p w14:paraId="7EC88A8F">
      <w:pPr>
        <w:tabs>
          <w:tab w:val="left" w:pos="6300"/>
        </w:tabs>
        <w:snapToGrid w:val="0"/>
        <w:spacing w:line="500" w:lineRule="exact"/>
        <w:ind w:right="480" w:firstLine="570"/>
        <w:jc w:val="left"/>
        <w:rPr>
          <w:rFonts w:hint="eastAsia" w:asciiTheme="minorEastAsia" w:hAnsiTheme="minorEastAsia"/>
          <w:color w:val="auto"/>
          <w:sz w:val="24"/>
          <w:highlight w:val="none"/>
        </w:rPr>
      </w:pPr>
      <w:r>
        <w:rPr>
          <w:rFonts w:hint="eastAsia" w:asciiTheme="minorEastAsia" w:hAnsiTheme="minorEastAsia"/>
          <w:color w:val="auto"/>
          <w:sz w:val="24"/>
          <w:highlight w:val="none"/>
        </w:rPr>
        <w:t>被授权人电话：XXXXXXX     电子邮箱：XXXXXX@XXXXX（若法定代表人办理并签署响应文件的可不填写）</w:t>
      </w:r>
    </w:p>
    <w:p w14:paraId="471E45D3">
      <w:pPr>
        <w:tabs>
          <w:tab w:val="left" w:pos="6300"/>
        </w:tabs>
        <w:snapToGrid w:val="0"/>
        <w:spacing w:line="500" w:lineRule="exact"/>
        <w:ind w:right="480" w:firstLine="570"/>
        <w:jc w:val="left"/>
        <w:rPr>
          <w:rFonts w:hint="eastAsia" w:asciiTheme="minorEastAsia" w:hAnsiTheme="minorEastAsia"/>
          <w:color w:val="auto"/>
          <w:sz w:val="24"/>
          <w:highlight w:val="none"/>
        </w:rPr>
      </w:pPr>
      <w:r>
        <w:rPr>
          <w:rFonts w:hint="eastAsia" w:asciiTheme="minorEastAsia" w:hAnsiTheme="minorEastAsia"/>
          <w:color w:val="auto"/>
          <w:sz w:val="24"/>
          <w:highlight w:val="none"/>
        </w:rPr>
        <w:t>注：</w:t>
      </w:r>
    </w:p>
    <w:p w14:paraId="5DA9E398">
      <w:pPr>
        <w:tabs>
          <w:tab w:val="left" w:pos="6300"/>
        </w:tabs>
        <w:snapToGrid w:val="0"/>
        <w:spacing w:line="500" w:lineRule="exact"/>
        <w:ind w:right="480" w:firstLine="570"/>
        <w:jc w:val="left"/>
        <w:rPr>
          <w:rFonts w:hint="eastAsia" w:asciiTheme="minorEastAsia" w:hAnsiTheme="minorEastAsia"/>
          <w:color w:val="auto"/>
          <w:sz w:val="24"/>
          <w:highlight w:val="none"/>
        </w:rPr>
      </w:pPr>
      <w:r>
        <w:rPr>
          <w:rFonts w:hint="eastAsia" w:asciiTheme="minorEastAsia" w:hAnsiTheme="minorEastAsia"/>
          <w:color w:val="auto"/>
          <w:sz w:val="24"/>
          <w:highlight w:val="none"/>
        </w:rPr>
        <w:t>1.若为法定代表人办理并签署响应文件的，不提供此文件。</w:t>
      </w:r>
    </w:p>
    <w:p w14:paraId="5A95E91C">
      <w:pPr>
        <w:tabs>
          <w:tab w:val="left" w:pos="6300"/>
        </w:tabs>
        <w:snapToGrid w:val="0"/>
        <w:spacing w:line="400" w:lineRule="exact"/>
        <w:ind w:firstLine="573"/>
        <w:rPr>
          <w:rFonts w:hint="eastAsia" w:asciiTheme="minorEastAsia" w:hAnsiTheme="minorEastAsia"/>
          <w:color w:val="auto"/>
          <w:sz w:val="24"/>
          <w:highlight w:val="none"/>
        </w:rPr>
      </w:pPr>
      <w:r>
        <w:rPr>
          <w:rFonts w:hint="eastAsia" w:asciiTheme="minorEastAsia" w:hAnsiTheme="minorEastAsia"/>
          <w:color w:val="auto"/>
          <w:sz w:val="24"/>
          <w:highlight w:val="none"/>
        </w:rPr>
        <w:t>2.若为联合体参与的，法定代表人授权委托书由联合体主办方</w:t>
      </w:r>
      <w:r>
        <w:rPr>
          <w:rFonts w:hint="eastAsia" w:cs="宋体" w:asciiTheme="minorEastAsia" w:hAnsiTheme="minorEastAsia"/>
          <w:color w:val="auto"/>
          <w:kern w:val="0"/>
          <w:sz w:val="24"/>
          <w:szCs w:val="24"/>
          <w:highlight w:val="none"/>
        </w:rPr>
        <w:t>（主体）</w:t>
      </w:r>
      <w:r>
        <w:rPr>
          <w:rFonts w:hint="eastAsia" w:asciiTheme="minorEastAsia" w:hAnsiTheme="minorEastAsia"/>
          <w:color w:val="auto"/>
          <w:sz w:val="24"/>
          <w:highlight w:val="none"/>
        </w:rPr>
        <w:t>出具。</w:t>
      </w:r>
    </w:p>
    <w:p w14:paraId="3E9919F7">
      <w:pPr>
        <w:widowControl/>
        <w:spacing w:line="400" w:lineRule="exact"/>
        <w:ind w:firstLine="420" w:firstLineChars="200"/>
        <w:jc w:val="left"/>
        <w:rPr>
          <w:rFonts w:hint="eastAsia" w:asciiTheme="minorEastAsia" w:hAnsiTheme="minorEastAsia"/>
          <w:color w:val="auto"/>
          <w:sz w:val="24"/>
          <w:szCs w:val="24"/>
          <w:highlight w:val="none"/>
        </w:rPr>
      </w:pPr>
      <w:r>
        <w:rPr>
          <w:rFonts w:asciiTheme="minorEastAsia" w:hAnsiTheme="minorEastAsia"/>
          <w:color w:val="auto"/>
          <w:highlight w:val="none"/>
        </w:rPr>
        <w:br w:type="column"/>
      </w:r>
      <w:r>
        <w:rPr>
          <w:rFonts w:hint="eastAsia" w:asciiTheme="minorEastAsia" w:hAnsiTheme="minorEastAsia"/>
          <w:color w:val="auto"/>
          <w:sz w:val="24"/>
          <w:szCs w:val="24"/>
          <w:highlight w:val="none"/>
        </w:rPr>
        <w:t>（四）基本资格条件承诺函（格式）</w:t>
      </w:r>
    </w:p>
    <w:p w14:paraId="26BC0452">
      <w:pPr>
        <w:tabs>
          <w:tab w:val="left" w:pos="6300"/>
        </w:tabs>
        <w:snapToGrid w:val="0"/>
        <w:spacing w:line="500" w:lineRule="exact"/>
        <w:ind w:firstLine="643" w:firstLineChars="200"/>
        <w:jc w:val="center"/>
        <w:rPr>
          <w:rFonts w:hint="eastAsia" w:cs="方正仿宋_GBK" w:asciiTheme="minorEastAsia" w:hAnsiTheme="minorEastAsia"/>
          <w:b/>
          <w:bCs/>
          <w:color w:val="auto"/>
          <w:sz w:val="32"/>
          <w:szCs w:val="32"/>
          <w:highlight w:val="none"/>
        </w:rPr>
      </w:pPr>
      <w:r>
        <w:rPr>
          <w:rFonts w:hint="eastAsia" w:cs="方正仿宋_GBK" w:asciiTheme="minorEastAsia" w:hAnsiTheme="minorEastAsia"/>
          <w:b/>
          <w:bCs/>
          <w:color w:val="auto"/>
          <w:sz w:val="32"/>
          <w:szCs w:val="32"/>
          <w:highlight w:val="none"/>
        </w:rPr>
        <w:t>基本资格条件承诺函</w:t>
      </w:r>
    </w:p>
    <w:p w14:paraId="0407C50E">
      <w:pPr>
        <w:tabs>
          <w:tab w:val="left" w:pos="6300"/>
        </w:tabs>
        <w:snapToGrid w:val="0"/>
        <w:spacing w:line="530" w:lineRule="exact"/>
        <w:rPr>
          <w:rFonts w:hint="eastAsia" w:asciiTheme="minorEastAsia" w:hAnsiTheme="minorEastAsia"/>
          <w:color w:val="auto"/>
          <w:sz w:val="24"/>
          <w:highlight w:val="none"/>
        </w:rPr>
      </w:pPr>
    </w:p>
    <w:p w14:paraId="05CBB02A">
      <w:pPr>
        <w:tabs>
          <w:tab w:val="left" w:pos="6300"/>
        </w:tabs>
        <w:snapToGrid w:val="0"/>
        <w:spacing w:line="5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致</w:t>
      </w:r>
      <w:r>
        <w:rPr>
          <w:rFonts w:hint="eastAsia" w:asciiTheme="minorEastAsia" w:hAnsiTheme="minorEastAsia"/>
          <w:color w:val="auto"/>
          <w:sz w:val="24"/>
          <w:highlight w:val="none"/>
          <w:u w:val="single"/>
        </w:rPr>
        <w:t xml:space="preserve">                   </w:t>
      </w:r>
      <w:r>
        <w:rPr>
          <w:rFonts w:hint="eastAsia" w:asciiTheme="minorEastAsia" w:hAnsiTheme="minorEastAsia"/>
          <w:color w:val="auto"/>
          <w:sz w:val="24"/>
          <w:highlight w:val="none"/>
        </w:rPr>
        <w:t>（采购代理机构名称）：</w:t>
      </w:r>
    </w:p>
    <w:p w14:paraId="06E86958">
      <w:pPr>
        <w:tabs>
          <w:tab w:val="left" w:pos="6300"/>
        </w:tabs>
        <w:snapToGrid w:val="0"/>
        <w:spacing w:line="5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 xml:space="preserve">    </w:t>
      </w:r>
      <w:r>
        <w:rPr>
          <w:rFonts w:hint="eastAsia" w:asciiTheme="minorEastAsia" w:hAnsiTheme="minorEastAsia"/>
          <w:color w:val="auto"/>
          <w:sz w:val="24"/>
          <w:highlight w:val="none"/>
          <w:u w:val="single"/>
        </w:rPr>
        <w:t xml:space="preserve">              </w:t>
      </w:r>
      <w:r>
        <w:rPr>
          <w:rFonts w:hint="eastAsia" w:asciiTheme="minorEastAsia" w:hAnsiTheme="minorEastAsia"/>
          <w:color w:val="auto"/>
          <w:sz w:val="24"/>
          <w:highlight w:val="none"/>
        </w:rPr>
        <w:t>（供应商名称）郑重承诺：</w:t>
      </w:r>
    </w:p>
    <w:p w14:paraId="31402A4E">
      <w:pPr>
        <w:tabs>
          <w:tab w:val="left" w:pos="6300"/>
        </w:tabs>
        <w:snapToGrid w:val="0"/>
        <w:spacing w:line="5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1.我方具有良好的商业信誉和健全的财务会计制度，具有履行合同所必需的设备和专业技术能力，具</w:t>
      </w:r>
      <w:r>
        <w:rPr>
          <w:rFonts w:hint="eastAsia" w:asciiTheme="minorEastAsia" w:hAnsiTheme="minorEastAsia"/>
          <w:color w:val="auto"/>
          <w:sz w:val="24"/>
          <w:highlight w:val="none"/>
          <w:lang w:val="zh-CN"/>
        </w:rPr>
        <w:t>有依法缴纳税收和社会保障金的良好记录</w:t>
      </w:r>
      <w:r>
        <w:rPr>
          <w:rFonts w:hint="eastAsia" w:asciiTheme="minorEastAsia" w:hAnsiTheme="minorEastAsia"/>
          <w:color w:val="auto"/>
          <w:sz w:val="24"/>
          <w:highlight w:val="none"/>
        </w:rPr>
        <w:t>，参加本项目采购活动前三年内无重大违法活动记录。</w:t>
      </w:r>
    </w:p>
    <w:p w14:paraId="0B60EB29">
      <w:pPr>
        <w:tabs>
          <w:tab w:val="left" w:pos="6300"/>
        </w:tabs>
        <w:snapToGrid w:val="0"/>
        <w:spacing w:line="5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2.我方未列入在信用中国网站（www.creditchina.gov.cn）“失信被执行人”、“重大税收违法案件当事人名单”中，也未列入中国政府采购网（www.ccgp.gov.cn）“政府采购严重违法失信行为记录名单”中。</w:t>
      </w:r>
    </w:p>
    <w:p w14:paraId="72119CA1">
      <w:pPr>
        <w:tabs>
          <w:tab w:val="left" w:pos="6300"/>
        </w:tabs>
        <w:snapToGrid w:val="0"/>
        <w:spacing w:line="5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3.我方在采购项目评审（评标）环节结束后，随时接受采购人、采购代理机构的检查验证，配合提供相关证明材料，证明符合《中华人民共和国政府采购法》规定的供应商基本资格条件。</w:t>
      </w:r>
    </w:p>
    <w:p w14:paraId="0767913E">
      <w:pPr>
        <w:tabs>
          <w:tab w:val="left" w:pos="6300"/>
        </w:tabs>
        <w:snapToGrid w:val="0"/>
        <w:spacing w:line="5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我方对以上承诺负全部法律责任。</w:t>
      </w:r>
    </w:p>
    <w:p w14:paraId="58FA6A31">
      <w:pPr>
        <w:tabs>
          <w:tab w:val="left" w:pos="6300"/>
        </w:tabs>
        <w:snapToGrid w:val="0"/>
        <w:spacing w:line="500" w:lineRule="exact"/>
        <w:ind w:firstLine="480" w:firstLineChars="200"/>
        <w:rPr>
          <w:rFonts w:hint="eastAsia" w:asciiTheme="minorEastAsia" w:hAnsiTheme="minorEastAsia"/>
          <w:color w:val="auto"/>
          <w:sz w:val="24"/>
          <w:highlight w:val="none"/>
        </w:rPr>
      </w:pPr>
      <w:r>
        <w:rPr>
          <w:rFonts w:hint="eastAsia" w:asciiTheme="minorEastAsia" w:hAnsiTheme="minorEastAsia"/>
          <w:color w:val="auto"/>
          <w:sz w:val="24"/>
          <w:highlight w:val="none"/>
        </w:rPr>
        <w:t>特此承诺。</w:t>
      </w:r>
    </w:p>
    <w:p w14:paraId="46AEE2E7">
      <w:pPr>
        <w:tabs>
          <w:tab w:val="left" w:pos="6300"/>
        </w:tabs>
        <w:snapToGrid w:val="0"/>
        <w:spacing w:line="500" w:lineRule="exact"/>
        <w:ind w:firstLine="480" w:firstLineChars="200"/>
        <w:rPr>
          <w:rFonts w:hint="eastAsia" w:asciiTheme="minorEastAsia" w:hAnsiTheme="minorEastAsia"/>
          <w:color w:val="auto"/>
          <w:sz w:val="24"/>
          <w:highlight w:val="none"/>
        </w:rPr>
      </w:pPr>
    </w:p>
    <w:p w14:paraId="7FC8B1C1">
      <w:pPr>
        <w:tabs>
          <w:tab w:val="left" w:pos="6300"/>
        </w:tabs>
        <w:snapToGrid w:val="0"/>
        <w:spacing w:line="500" w:lineRule="exact"/>
        <w:ind w:firstLine="480" w:firstLineChars="200"/>
        <w:jc w:val="right"/>
        <w:rPr>
          <w:rFonts w:hint="eastAsia" w:asciiTheme="minorEastAsia" w:hAnsiTheme="minorEastAsia"/>
          <w:color w:val="auto"/>
          <w:sz w:val="24"/>
          <w:highlight w:val="none"/>
        </w:rPr>
      </w:pPr>
      <w:r>
        <w:rPr>
          <w:rFonts w:hint="eastAsia" w:asciiTheme="minorEastAsia" w:hAnsiTheme="minorEastAsia"/>
          <w:color w:val="auto"/>
          <w:sz w:val="24"/>
          <w:highlight w:val="none"/>
        </w:rPr>
        <w:t>（供应商公章）</w:t>
      </w:r>
    </w:p>
    <w:p w14:paraId="1BE95A12">
      <w:pPr>
        <w:widowControl/>
        <w:spacing w:line="400" w:lineRule="exact"/>
        <w:ind w:firstLine="6480" w:firstLineChars="2700"/>
        <w:jc w:val="left"/>
        <w:rPr>
          <w:rFonts w:hint="eastAsia" w:asciiTheme="minorEastAsia" w:hAnsiTheme="minorEastAsia"/>
          <w:color w:val="auto"/>
          <w:sz w:val="24"/>
          <w:szCs w:val="24"/>
          <w:highlight w:val="none"/>
        </w:rPr>
      </w:pPr>
      <w:r>
        <w:rPr>
          <w:rFonts w:hint="eastAsia" w:asciiTheme="minorEastAsia" w:hAnsiTheme="minorEastAsia"/>
          <w:color w:val="auto"/>
          <w:sz w:val="24"/>
          <w:highlight w:val="none"/>
        </w:rPr>
        <w:t>年   月   日</w:t>
      </w:r>
    </w:p>
    <w:p w14:paraId="7B946672">
      <w:pPr>
        <w:widowControl/>
        <w:spacing w:line="400" w:lineRule="exact"/>
        <w:ind w:firstLine="420" w:firstLineChars="200"/>
        <w:jc w:val="left"/>
        <w:rPr>
          <w:rFonts w:hint="eastAsia" w:asciiTheme="minorEastAsia" w:hAnsiTheme="minorEastAsia"/>
          <w:color w:val="auto"/>
          <w:sz w:val="24"/>
          <w:szCs w:val="24"/>
          <w:highlight w:val="none"/>
        </w:rPr>
      </w:pPr>
      <w:r>
        <w:rPr>
          <w:rFonts w:asciiTheme="minorEastAsia" w:hAnsiTheme="minorEastAsia"/>
          <w:color w:val="auto"/>
          <w:highlight w:val="none"/>
        </w:rPr>
        <w:br w:type="page"/>
      </w:r>
      <w:r>
        <w:rPr>
          <w:rFonts w:hint="eastAsia" w:asciiTheme="minorEastAsia" w:hAnsiTheme="minorEastAsia"/>
          <w:color w:val="auto"/>
          <w:sz w:val="24"/>
          <w:szCs w:val="24"/>
          <w:highlight w:val="none"/>
        </w:rPr>
        <w:t>（五）特定资格条件证书或证明文件</w:t>
      </w:r>
    </w:p>
    <w:p w14:paraId="1F5B21CC">
      <w:pPr>
        <w:widowControl/>
        <w:spacing w:line="400" w:lineRule="exact"/>
        <w:ind w:firstLine="480" w:firstLineChars="200"/>
        <w:jc w:val="left"/>
        <w:rPr>
          <w:rFonts w:hint="eastAsia" w:asciiTheme="minorEastAsia" w:hAnsiTheme="minorEastAsia"/>
          <w:color w:val="auto"/>
          <w:sz w:val="24"/>
          <w:szCs w:val="24"/>
          <w:highlight w:val="none"/>
        </w:rPr>
      </w:pPr>
    </w:p>
    <w:p w14:paraId="42007D92">
      <w:pPr>
        <w:pStyle w:val="4"/>
        <w:spacing w:after="0" w:line="400" w:lineRule="exact"/>
        <w:ind w:firstLine="480" w:firstLineChars="200"/>
        <w:rPr>
          <w:rFonts w:hint="eastAsia" w:asciiTheme="minorEastAsia" w:hAnsiTheme="minorEastAsia"/>
          <w:color w:val="auto"/>
          <w:sz w:val="24"/>
          <w:highlight w:val="none"/>
        </w:rPr>
      </w:pPr>
      <w:r>
        <w:rPr>
          <w:rFonts w:asciiTheme="minorEastAsia" w:hAnsiTheme="minorEastAsia"/>
          <w:color w:val="auto"/>
          <w:sz w:val="24"/>
          <w:szCs w:val="24"/>
          <w:highlight w:val="none"/>
        </w:rPr>
        <w:br w:type="page"/>
      </w:r>
      <w:bookmarkStart w:id="295" w:name="_Toc17010"/>
      <w:bookmarkStart w:id="296" w:name="_Toc196642871"/>
      <w:bookmarkStart w:id="297" w:name="_Toc2080"/>
      <w:bookmarkStart w:id="298" w:name="_Toc65660383"/>
      <w:bookmarkStart w:id="299" w:name="_Toc28871"/>
      <w:bookmarkStart w:id="300" w:name="_Toc15815"/>
      <w:r>
        <w:rPr>
          <w:rFonts w:hint="eastAsia" w:asciiTheme="minorEastAsia" w:hAnsiTheme="minorEastAsia"/>
          <w:color w:val="auto"/>
          <w:sz w:val="24"/>
          <w:highlight w:val="none"/>
        </w:rPr>
        <w:t>五、</w:t>
      </w:r>
      <w:bookmarkEnd w:id="292"/>
      <w:bookmarkEnd w:id="293"/>
      <w:bookmarkEnd w:id="294"/>
      <w:r>
        <w:rPr>
          <w:rFonts w:hint="eastAsia" w:asciiTheme="minorEastAsia" w:hAnsiTheme="minorEastAsia"/>
          <w:color w:val="auto"/>
          <w:sz w:val="24"/>
          <w:highlight w:val="none"/>
        </w:rPr>
        <w:t>其他资料</w:t>
      </w:r>
      <w:bookmarkEnd w:id="295"/>
      <w:bookmarkEnd w:id="296"/>
      <w:bookmarkEnd w:id="297"/>
      <w:bookmarkEnd w:id="298"/>
      <w:bookmarkEnd w:id="299"/>
      <w:bookmarkEnd w:id="300"/>
    </w:p>
    <w:p w14:paraId="55B7CA1A">
      <w:pPr>
        <w:snapToGrid w:val="0"/>
        <w:spacing w:line="400" w:lineRule="exact"/>
        <w:ind w:firstLine="480" w:firstLineChars="200"/>
        <w:rPr>
          <w:rFonts w:hint="eastAsia" w:asciiTheme="minorEastAsia" w:hAnsiTheme="minorEastAsia"/>
          <w:color w:val="auto"/>
          <w:sz w:val="24"/>
          <w:szCs w:val="24"/>
          <w:highlight w:val="none"/>
        </w:rPr>
      </w:pPr>
      <w:r>
        <w:rPr>
          <w:rFonts w:hint="eastAsia" w:asciiTheme="minorEastAsia" w:hAnsiTheme="minorEastAsia"/>
          <w:color w:val="auto"/>
          <w:sz w:val="24"/>
          <w:szCs w:val="24"/>
          <w:highlight w:val="none"/>
        </w:rPr>
        <w:t>投标企业对公账户开户银行许可证或基本存款账户信息复印件加盖鲜章；</w:t>
      </w:r>
    </w:p>
    <w:p w14:paraId="7A2CC2F9">
      <w:pPr>
        <w:pStyle w:val="20"/>
        <w:ind w:firstLine="480"/>
        <w:rPr>
          <w:rFonts w:hint="eastAsia" w:asciiTheme="minorEastAsia" w:hAnsiTheme="minorEastAsia"/>
          <w:color w:val="auto"/>
          <w:sz w:val="24"/>
          <w:szCs w:val="24"/>
          <w:highlight w:val="none"/>
        </w:rPr>
      </w:pPr>
    </w:p>
    <w:p w14:paraId="3703C7AC">
      <w:pPr>
        <w:pStyle w:val="20"/>
        <w:ind w:firstLine="480"/>
        <w:rPr>
          <w:rFonts w:hint="eastAsia" w:asciiTheme="minorEastAsia" w:hAnsiTheme="minorEastAsia"/>
          <w:color w:val="auto"/>
          <w:sz w:val="24"/>
          <w:szCs w:val="24"/>
          <w:highlight w:val="none"/>
        </w:rPr>
      </w:pPr>
    </w:p>
    <w:p w14:paraId="6E2FECC2">
      <w:pPr>
        <w:pStyle w:val="20"/>
        <w:ind w:firstLine="480"/>
        <w:rPr>
          <w:rFonts w:hint="eastAsia" w:asciiTheme="minorEastAsia" w:hAnsiTheme="minorEastAsia"/>
          <w:color w:val="auto"/>
          <w:sz w:val="24"/>
          <w:szCs w:val="24"/>
          <w:highlight w:val="none"/>
        </w:rPr>
      </w:pPr>
    </w:p>
    <w:p w14:paraId="7C54C00E">
      <w:pPr>
        <w:pStyle w:val="20"/>
        <w:ind w:firstLine="480"/>
        <w:rPr>
          <w:rFonts w:hint="eastAsia" w:asciiTheme="minorEastAsia" w:hAnsiTheme="minorEastAsia"/>
          <w:color w:val="auto"/>
          <w:sz w:val="24"/>
          <w:szCs w:val="24"/>
          <w:highlight w:val="none"/>
        </w:rPr>
      </w:pPr>
    </w:p>
    <w:p w14:paraId="2B6CC4D5">
      <w:pPr>
        <w:pStyle w:val="20"/>
        <w:ind w:firstLine="480"/>
        <w:rPr>
          <w:rFonts w:hint="eastAsia" w:asciiTheme="minorEastAsia" w:hAnsiTheme="minorEastAsia"/>
          <w:color w:val="auto"/>
          <w:sz w:val="24"/>
          <w:szCs w:val="24"/>
          <w:highlight w:val="none"/>
        </w:rPr>
      </w:pPr>
    </w:p>
    <w:p w14:paraId="271CB841">
      <w:pPr>
        <w:pStyle w:val="20"/>
        <w:ind w:firstLine="480"/>
        <w:rPr>
          <w:rFonts w:hint="eastAsia" w:asciiTheme="minorEastAsia" w:hAnsiTheme="minorEastAsia"/>
          <w:color w:val="auto"/>
          <w:sz w:val="24"/>
          <w:szCs w:val="24"/>
          <w:highlight w:val="none"/>
        </w:rPr>
      </w:pPr>
    </w:p>
    <w:p w14:paraId="3C7B2416">
      <w:pPr>
        <w:spacing w:line="360" w:lineRule="auto"/>
        <w:ind w:firstLine="420" w:firstLineChars="200"/>
        <w:jc w:val="center"/>
        <w:rPr>
          <w:rFonts w:hint="eastAsia" w:asciiTheme="minorEastAsia" w:hAnsiTheme="minorEastAsia"/>
          <w:color w:val="auto"/>
          <w:highlight w:val="none"/>
        </w:rPr>
      </w:pPr>
      <w:r>
        <w:rPr>
          <w:rFonts w:hint="eastAsia" w:asciiTheme="minorEastAsia" w:hAnsiTheme="minorEastAsia"/>
          <w:color w:val="auto"/>
          <w:highlight w:val="none"/>
        </w:rPr>
        <w:t>（结束）</w:t>
      </w:r>
    </w:p>
    <w:sectPr>
      <w:headerReference r:id="rId11" w:type="default"/>
      <w:footerReference r:id="rId12"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3000509000000000000"/>
    <w:charset w:val="86"/>
    <w:family w:val="roman"/>
    <w:pitch w:val="default"/>
    <w:sig w:usb0="00000000" w:usb1="00000000" w:usb2="00000000" w:usb3="00000000" w:csb0="00040000"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8EBE0">
    <w:pPr>
      <w:pStyle w:val="14"/>
      <w:framePr w:wrap="around" w:vAnchor="text" w:hAnchor="margin" w:xAlign="center" w:y="1"/>
      <w:jc w:val="center"/>
      <w:rPr>
        <w:rStyle w:val="24"/>
        <w:rFonts w:ascii="宋体"/>
        <w:sz w:val="21"/>
        <w:szCs w:val="21"/>
      </w:rPr>
    </w:pPr>
    <w:r>
      <w:rPr>
        <w:rFonts w:ascii="宋体"/>
        <w:sz w:val="21"/>
        <w:szCs w:val="21"/>
      </w:rPr>
      <w:fldChar w:fldCharType="begin"/>
    </w:r>
    <w:r>
      <w:rPr>
        <w:rStyle w:val="24"/>
        <w:rFonts w:ascii="宋体"/>
        <w:sz w:val="21"/>
        <w:szCs w:val="21"/>
      </w:rPr>
      <w:instrText xml:space="preserve">PAGE  </w:instrText>
    </w:r>
    <w:r>
      <w:rPr>
        <w:rFonts w:ascii="宋体"/>
        <w:sz w:val="21"/>
        <w:szCs w:val="21"/>
      </w:rPr>
      <w:fldChar w:fldCharType="separate"/>
    </w:r>
    <w:r>
      <w:rPr>
        <w:rStyle w:val="24"/>
        <w:rFonts w:ascii="宋体"/>
        <w:sz w:val="21"/>
        <w:szCs w:val="21"/>
      </w:rPr>
      <w:t>- 7 -</w:t>
    </w:r>
    <w:r>
      <w:rPr>
        <w:rFonts w:ascii="宋体"/>
        <w:sz w:val="21"/>
        <w:szCs w:val="21"/>
      </w:rPr>
      <w:fldChar w:fldCharType="end"/>
    </w:r>
  </w:p>
  <w:p w14:paraId="10F08E60">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C2A790">
    <w:pPr>
      <w:pStyle w:val="14"/>
      <w:framePr w:wrap="around" w:vAnchor="text" w:hAnchor="margin" w:xAlign="center" w:y="1"/>
      <w:rPr>
        <w:rStyle w:val="24"/>
      </w:rPr>
    </w:pPr>
    <w:r>
      <w:fldChar w:fldCharType="begin"/>
    </w:r>
    <w:r>
      <w:rPr>
        <w:rStyle w:val="24"/>
      </w:rPr>
      <w:instrText xml:space="preserve">PAGE  </w:instrText>
    </w:r>
    <w:r>
      <w:fldChar w:fldCharType="end"/>
    </w:r>
  </w:p>
  <w:p w14:paraId="1D7578A1">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13887A">
    <w:pPr>
      <w:pStyle w:val="14"/>
      <w:framePr w:wrap="around" w:vAnchor="text" w:hAnchor="margin" w:xAlign="center" w:y="1"/>
      <w:rPr>
        <w:rStyle w:val="24"/>
      </w:rPr>
    </w:pPr>
  </w:p>
  <w:p w14:paraId="655C7625">
    <w:pPr>
      <w:pStyle w:val="14"/>
      <w:jc w:val="center"/>
      <w:rPr>
        <w:rFonts w:hint="eastAsia" w:ascii="宋体" w:hAnsi="宋体"/>
        <w:sz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6A2D1">
    <w:pPr>
      <w:pStyle w:val="14"/>
      <w:jc w:val="center"/>
      <w:rPr>
        <w:rFonts w:hint="eastAsia" w:ascii="宋体" w:hAnsi="宋体"/>
        <w:sz w:val="21"/>
        <w:szCs w:val="21"/>
      </w:rPr>
    </w:pPr>
    <w:r>
      <w:rPr>
        <w:rFonts w:ascii="宋体" w:hAnsi="宋体"/>
        <w:sz w:val="21"/>
        <w:szCs w:val="21"/>
      </w:rPr>
      <w:fldChar w:fldCharType="begin"/>
    </w:r>
    <w:r>
      <w:rPr>
        <w:rStyle w:val="24"/>
        <w:rFonts w:ascii="宋体" w:hAnsi="宋体"/>
        <w:sz w:val="21"/>
        <w:szCs w:val="21"/>
      </w:rPr>
      <w:instrText xml:space="preserve"> PAGE </w:instrText>
    </w:r>
    <w:r>
      <w:rPr>
        <w:rFonts w:ascii="宋体" w:hAnsi="宋体"/>
        <w:sz w:val="21"/>
        <w:szCs w:val="21"/>
      </w:rPr>
      <w:fldChar w:fldCharType="separate"/>
    </w:r>
    <w:r>
      <w:rPr>
        <w:rStyle w:val="24"/>
        <w:rFonts w:ascii="宋体" w:hAnsi="宋体"/>
        <w:sz w:val="21"/>
        <w:szCs w:val="21"/>
      </w:rPr>
      <w:t>- 31 -</w:t>
    </w:r>
    <w:r>
      <w:rPr>
        <w:rFonts w:ascii="宋体" w:hAnsi="宋体"/>
        <w:sz w:val="21"/>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500354">
    <w:pPr>
      <w:pStyle w:val="14"/>
      <w:jc w:val="center"/>
      <w:rPr>
        <w:sz w:val="24"/>
      </w:rPr>
    </w:pPr>
    <w:r>
      <w:rPr>
        <w:sz w:val="24"/>
      </w:rPr>
      <w:fldChar w:fldCharType="begin"/>
    </w:r>
    <w:r>
      <w:rPr>
        <w:rStyle w:val="24"/>
        <w:sz w:val="24"/>
      </w:rPr>
      <w:instrText xml:space="preserve"> PAGE </w:instrText>
    </w:r>
    <w:r>
      <w:rPr>
        <w:sz w:val="24"/>
      </w:rPr>
      <w:fldChar w:fldCharType="separate"/>
    </w:r>
    <w:r>
      <w:rPr>
        <w:rStyle w:val="24"/>
        <w:sz w:val="24"/>
      </w:rPr>
      <w:t>46</w:t>
    </w:r>
    <w:r>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0147E">
    <w:pPr>
      <w:pStyle w:val="15"/>
      <w:pBdr>
        <w:bottom w:val="single" w:color="auto" w:sz="6" w:space="0"/>
      </w:pBdr>
      <w:ind w:firstLine="7560" w:firstLineChars="3600"/>
      <w:jc w:val="both"/>
      <w:rPr>
        <w:rFonts w:ascii="方正仿宋_GBK" w:eastAsia="方正仿宋_GBK"/>
        <w:sz w:val="21"/>
        <w:szCs w:val="21"/>
      </w:rPr>
    </w:pPr>
    <w:r>
      <w:rPr>
        <w:rFonts w:hint="eastAsia" w:ascii="方正仿宋_GBK" w:eastAsia="方正仿宋_GBK"/>
        <w:sz w:val="21"/>
        <w:szCs w:val="21"/>
      </w:rPr>
      <w:t>询价通知书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91CA9">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D8357">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264E92"/>
    <w:multiLevelType w:val="singleLevel"/>
    <w:tmpl w:val="FA264E92"/>
    <w:lvl w:ilvl="0" w:tentative="0">
      <w:start w:val="2"/>
      <w:numFmt w:val="chineseCounting"/>
      <w:suff w:val="space"/>
      <w:lvlText w:val="第%1篇"/>
      <w:lvlJc w:val="left"/>
      <w:rPr>
        <w:rFonts w:hint="eastAsia"/>
      </w:rPr>
    </w:lvl>
  </w:abstractNum>
  <w:abstractNum w:abstractNumId="1">
    <w:nsid w:val="46C5B32A"/>
    <w:multiLevelType w:val="singleLevel"/>
    <w:tmpl w:val="46C5B32A"/>
    <w:lvl w:ilvl="0" w:tentative="0">
      <w:start w:val="1"/>
      <w:numFmt w:val="decimal"/>
      <w:suff w:val="nothing"/>
      <w:lvlText w:val="%1．"/>
      <w:lvlJc w:val="left"/>
      <w:pPr>
        <w:ind w:left="-118"/>
      </w:pPr>
    </w:lvl>
  </w:abstractNum>
  <w:abstractNum w:abstractNumId="2">
    <w:nsid w:val="68745E4B"/>
    <w:multiLevelType w:val="singleLevel"/>
    <w:tmpl w:val="68745E4B"/>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VkZjEyZGI2NmViMGNmNDM1MzgwZmNmYjc5ZDU0YjAifQ=="/>
  </w:docVars>
  <w:rsids>
    <w:rsidRoot w:val="009B2924"/>
    <w:rsid w:val="00011504"/>
    <w:rsid w:val="00015D8B"/>
    <w:rsid w:val="0005481A"/>
    <w:rsid w:val="000B4204"/>
    <w:rsid w:val="000B73AB"/>
    <w:rsid w:val="000E1102"/>
    <w:rsid w:val="000F5645"/>
    <w:rsid w:val="00104599"/>
    <w:rsid w:val="001335D0"/>
    <w:rsid w:val="00140F69"/>
    <w:rsid w:val="001B2183"/>
    <w:rsid w:val="001B29F7"/>
    <w:rsid w:val="001D678F"/>
    <w:rsid w:val="0020156A"/>
    <w:rsid w:val="0022349D"/>
    <w:rsid w:val="00282E75"/>
    <w:rsid w:val="002910CC"/>
    <w:rsid w:val="00291D30"/>
    <w:rsid w:val="0030063A"/>
    <w:rsid w:val="00324956"/>
    <w:rsid w:val="00382179"/>
    <w:rsid w:val="003933FD"/>
    <w:rsid w:val="003B4B00"/>
    <w:rsid w:val="003E4058"/>
    <w:rsid w:val="00422F1D"/>
    <w:rsid w:val="00431DED"/>
    <w:rsid w:val="00432645"/>
    <w:rsid w:val="0043279A"/>
    <w:rsid w:val="00440E6D"/>
    <w:rsid w:val="004542D6"/>
    <w:rsid w:val="0045752F"/>
    <w:rsid w:val="00465BED"/>
    <w:rsid w:val="0046797F"/>
    <w:rsid w:val="00470B56"/>
    <w:rsid w:val="00483AEE"/>
    <w:rsid w:val="004C59B7"/>
    <w:rsid w:val="004D2212"/>
    <w:rsid w:val="004D712C"/>
    <w:rsid w:val="00510115"/>
    <w:rsid w:val="0058154D"/>
    <w:rsid w:val="005C6976"/>
    <w:rsid w:val="005E7E9D"/>
    <w:rsid w:val="005F650E"/>
    <w:rsid w:val="006206F9"/>
    <w:rsid w:val="0065412B"/>
    <w:rsid w:val="006616C1"/>
    <w:rsid w:val="00666BE6"/>
    <w:rsid w:val="00686583"/>
    <w:rsid w:val="00686C9B"/>
    <w:rsid w:val="006B1B9E"/>
    <w:rsid w:val="006C4898"/>
    <w:rsid w:val="006D0CE9"/>
    <w:rsid w:val="006D131E"/>
    <w:rsid w:val="006E2B36"/>
    <w:rsid w:val="00700F42"/>
    <w:rsid w:val="00706972"/>
    <w:rsid w:val="00742533"/>
    <w:rsid w:val="007557AC"/>
    <w:rsid w:val="00756774"/>
    <w:rsid w:val="007720FE"/>
    <w:rsid w:val="00791088"/>
    <w:rsid w:val="007A5C61"/>
    <w:rsid w:val="007C4781"/>
    <w:rsid w:val="007C6FB7"/>
    <w:rsid w:val="007F38EF"/>
    <w:rsid w:val="007F5A42"/>
    <w:rsid w:val="00830E0E"/>
    <w:rsid w:val="0083681F"/>
    <w:rsid w:val="00855D0E"/>
    <w:rsid w:val="008E3B32"/>
    <w:rsid w:val="008F72CD"/>
    <w:rsid w:val="00915E40"/>
    <w:rsid w:val="009372D6"/>
    <w:rsid w:val="00961E60"/>
    <w:rsid w:val="009648EC"/>
    <w:rsid w:val="00977B14"/>
    <w:rsid w:val="00985E49"/>
    <w:rsid w:val="009B2924"/>
    <w:rsid w:val="009E5E63"/>
    <w:rsid w:val="00A035C3"/>
    <w:rsid w:val="00A4528B"/>
    <w:rsid w:val="00A7230D"/>
    <w:rsid w:val="00A7680C"/>
    <w:rsid w:val="00A87A05"/>
    <w:rsid w:val="00AD7681"/>
    <w:rsid w:val="00AE4B7A"/>
    <w:rsid w:val="00B030AC"/>
    <w:rsid w:val="00B06ABD"/>
    <w:rsid w:val="00B2646A"/>
    <w:rsid w:val="00BD19D3"/>
    <w:rsid w:val="00BE6357"/>
    <w:rsid w:val="00BF1B4D"/>
    <w:rsid w:val="00C11035"/>
    <w:rsid w:val="00C160DA"/>
    <w:rsid w:val="00C33C14"/>
    <w:rsid w:val="00C66AD4"/>
    <w:rsid w:val="00C80D62"/>
    <w:rsid w:val="00C86119"/>
    <w:rsid w:val="00C95807"/>
    <w:rsid w:val="00CB77CF"/>
    <w:rsid w:val="00CD2338"/>
    <w:rsid w:val="00CE2D18"/>
    <w:rsid w:val="00D51E29"/>
    <w:rsid w:val="00D75A29"/>
    <w:rsid w:val="00DB32F8"/>
    <w:rsid w:val="00DD28A9"/>
    <w:rsid w:val="00DD59AC"/>
    <w:rsid w:val="00E31D12"/>
    <w:rsid w:val="00E65C6D"/>
    <w:rsid w:val="00E76BC6"/>
    <w:rsid w:val="00E8722A"/>
    <w:rsid w:val="00EE4DB2"/>
    <w:rsid w:val="00F57E36"/>
    <w:rsid w:val="00F82766"/>
    <w:rsid w:val="00FC0BFA"/>
    <w:rsid w:val="00FC71CD"/>
    <w:rsid w:val="012A2CF1"/>
    <w:rsid w:val="012C6CCF"/>
    <w:rsid w:val="013C690E"/>
    <w:rsid w:val="01610122"/>
    <w:rsid w:val="016E2F6B"/>
    <w:rsid w:val="01B446F6"/>
    <w:rsid w:val="02225B04"/>
    <w:rsid w:val="023870D5"/>
    <w:rsid w:val="023B0973"/>
    <w:rsid w:val="02441F1E"/>
    <w:rsid w:val="026003DA"/>
    <w:rsid w:val="028916DF"/>
    <w:rsid w:val="02926524"/>
    <w:rsid w:val="02A322A0"/>
    <w:rsid w:val="02A84B32"/>
    <w:rsid w:val="02C1531D"/>
    <w:rsid w:val="02CE3403"/>
    <w:rsid w:val="02DA1F3A"/>
    <w:rsid w:val="032D315A"/>
    <w:rsid w:val="036F2FCB"/>
    <w:rsid w:val="037F1D1A"/>
    <w:rsid w:val="038344E8"/>
    <w:rsid w:val="03A039EC"/>
    <w:rsid w:val="03A04F32"/>
    <w:rsid w:val="03B629A7"/>
    <w:rsid w:val="03B8082E"/>
    <w:rsid w:val="03D90444"/>
    <w:rsid w:val="03E2379C"/>
    <w:rsid w:val="03E5503B"/>
    <w:rsid w:val="040C25C7"/>
    <w:rsid w:val="043A35D9"/>
    <w:rsid w:val="043C517B"/>
    <w:rsid w:val="0482288A"/>
    <w:rsid w:val="04B30C95"/>
    <w:rsid w:val="04E23328"/>
    <w:rsid w:val="04EA0D61"/>
    <w:rsid w:val="04F574FF"/>
    <w:rsid w:val="05314127"/>
    <w:rsid w:val="05393890"/>
    <w:rsid w:val="05422004"/>
    <w:rsid w:val="05485881"/>
    <w:rsid w:val="054933A7"/>
    <w:rsid w:val="05753079"/>
    <w:rsid w:val="05833E2B"/>
    <w:rsid w:val="05C80770"/>
    <w:rsid w:val="05DD246D"/>
    <w:rsid w:val="05E530D0"/>
    <w:rsid w:val="060A0D89"/>
    <w:rsid w:val="064926A5"/>
    <w:rsid w:val="06963963"/>
    <w:rsid w:val="06B14BB9"/>
    <w:rsid w:val="06C453DB"/>
    <w:rsid w:val="06DE5E9C"/>
    <w:rsid w:val="06EC66E0"/>
    <w:rsid w:val="06F7130D"/>
    <w:rsid w:val="06FC6923"/>
    <w:rsid w:val="07035F04"/>
    <w:rsid w:val="0708380B"/>
    <w:rsid w:val="071747CF"/>
    <w:rsid w:val="071C0D73"/>
    <w:rsid w:val="07226F87"/>
    <w:rsid w:val="075C12C6"/>
    <w:rsid w:val="076C048D"/>
    <w:rsid w:val="077A1F3E"/>
    <w:rsid w:val="07A80859"/>
    <w:rsid w:val="07E31891"/>
    <w:rsid w:val="08163A15"/>
    <w:rsid w:val="08241862"/>
    <w:rsid w:val="08422A5C"/>
    <w:rsid w:val="084367D4"/>
    <w:rsid w:val="086230FE"/>
    <w:rsid w:val="086A3D60"/>
    <w:rsid w:val="08817E0D"/>
    <w:rsid w:val="08A74FB5"/>
    <w:rsid w:val="08AE00F1"/>
    <w:rsid w:val="08CE609D"/>
    <w:rsid w:val="08E9737B"/>
    <w:rsid w:val="08F57ACE"/>
    <w:rsid w:val="08F85EFA"/>
    <w:rsid w:val="091D7025"/>
    <w:rsid w:val="092108C3"/>
    <w:rsid w:val="09502F56"/>
    <w:rsid w:val="09842C00"/>
    <w:rsid w:val="099B2BCA"/>
    <w:rsid w:val="09CF397F"/>
    <w:rsid w:val="09D742C8"/>
    <w:rsid w:val="09E518F1"/>
    <w:rsid w:val="09ED2E9B"/>
    <w:rsid w:val="0A05210C"/>
    <w:rsid w:val="0A067AB9"/>
    <w:rsid w:val="0A0A1357"/>
    <w:rsid w:val="0A391C3C"/>
    <w:rsid w:val="0A3C34DB"/>
    <w:rsid w:val="0A690DF5"/>
    <w:rsid w:val="0A6F565E"/>
    <w:rsid w:val="0A7D75E3"/>
    <w:rsid w:val="0A8168BF"/>
    <w:rsid w:val="0A845DAB"/>
    <w:rsid w:val="0A856C30"/>
    <w:rsid w:val="0A9357F1"/>
    <w:rsid w:val="0A995741"/>
    <w:rsid w:val="0A9F5EAA"/>
    <w:rsid w:val="0AAC0660"/>
    <w:rsid w:val="0AB45767"/>
    <w:rsid w:val="0ACA0AE6"/>
    <w:rsid w:val="0ADD60A7"/>
    <w:rsid w:val="0AEA2F37"/>
    <w:rsid w:val="0AFB5144"/>
    <w:rsid w:val="0AFD710E"/>
    <w:rsid w:val="0B04224A"/>
    <w:rsid w:val="0B0C10FF"/>
    <w:rsid w:val="0B12292A"/>
    <w:rsid w:val="0B137D21"/>
    <w:rsid w:val="0B153625"/>
    <w:rsid w:val="0B8158A0"/>
    <w:rsid w:val="0B922DC9"/>
    <w:rsid w:val="0BDA2FAB"/>
    <w:rsid w:val="0BE04893"/>
    <w:rsid w:val="0C41127C"/>
    <w:rsid w:val="0C420132"/>
    <w:rsid w:val="0C4F74F5"/>
    <w:rsid w:val="0C743400"/>
    <w:rsid w:val="0C7D0506"/>
    <w:rsid w:val="0C8573BB"/>
    <w:rsid w:val="0CA05FA3"/>
    <w:rsid w:val="0CB101B0"/>
    <w:rsid w:val="0CE976A5"/>
    <w:rsid w:val="0CF472D9"/>
    <w:rsid w:val="0CF85DDF"/>
    <w:rsid w:val="0D034560"/>
    <w:rsid w:val="0D0B5B12"/>
    <w:rsid w:val="0D10137A"/>
    <w:rsid w:val="0D200E92"/>
    <w:rsid w:val="0D444B80"/>
    <w:rsid w:val="0D621EF5"/>
    <w:rsid w:val="0D6671EC"/>
    <w:rsid w:val="0D957212"/>
    <w:rsid w:val="0DED6FC6"/>
    <w:rsid w:val="0DFA7935"/>
    <w:rsid w:val="0DFD2082"/>
    <w:rsid w:val="0E1A30EE"/>
    <w:rsid w:val="0E3015A8"/>
    <w:rsid w:val="0E455054"/>
    <w:rsid w:val="0EB64553"/>
    <w:rsid w:val="0EF10D38"/>
    <w:rsid w:val="0EF95630"/>
    <w:rsid w:val="0F264E85"/>
    <w:rsid w:val="0F2C1D70"/>
    <w:rsid w:val="0F5F3EF3"/>
    <w:rsid w:val="0F696B20"/>
    <w:rsid w:val="0F73799F"/>
    <w:rsid w:val="0FBF2BE4"/>
    <w:rsid w:val="0FC41FA8"/>
    <w:rsid w:val="0FFC7994"/>
    <w:rsid w:val="10174821"/>
    <w:rsid w:val="101A606C"/>
    <w:rsid w:val="102D3FF1"/>
    <w:rsid w:val="103E7FAD"/>
    <w:rsid w:val="1057106E"/>
    <w:rsid w:val="10853E2D"/>
    <w:rsid w:val="10945E1E"/>
    <w:rsid w:val="10DE709A"/>
    <w:rsid w:val="110C1E59"/>
    <w:rsid w:val="111F725E"/>
    <w:rsid w:val="1145536B"/>
    <w:rsid w:val="115F0EF8"/>
    <w:rsid w:val="116B45C5"/>
    <w:rsid w:val="11851C0B"/>
    <w:rsid w:val="11CF5602"/>
    <w:rsid w:val="11D5049D"/>
    <w:rsid w:val="12647A72"/>
    <w:rsid w:val="12696F1F"/>
    <w:rsid w:val="129B7938"/>
    <w:rsid w:val="12A06CFD"/>
    <w:rsid w:val="12AB56A1"/>
    <w:rsid w:val="12C16D2C"/>
    <w:rsid w:val="131C20FB"/>
    <w:rsid w:val="135875D7"/>
    <w:rsid w:val="13824654"/>
    <w:rsid w:val="13F6294C"/>
    <w:rsid w:val="14022767"/>
    <w:rsid w:val="14027543"/>
    <w:rsid w:val="14586BFD"/>
    <w:rsid w:val="145C4EA5"/>
    <w:rsid w:val="147D5717"/>
    <w:rsid w:val="149A59CD"/>
    <w:rsid w:val="14E57A0A"/>
    <w:rsid w:val="150712B5"/>
    <w:rsid w:val="15192D96"/>
    <w:rsid w:val="15D942D4"/>
    <w:rsid w:val="161A6DC6"/>
    <w:rsid w:val="16290DB7"/>
    <w:rsid w:val="167514DA"/>
    <w:rsid w:val="16781D3E"/>
    <w:rsid w:val="16797F90"/>
    <w:rsid w:val="167E36CC"/>
    <w:rsid w:val="16C17241"/>
    <w:rsid w:val="16D927DD"/>
    <w:rsid w:val="16F23AD3"/>
    <w:rsid w:val="170E71F1"/>
    <w:rsid w:val="1723614E"/>
    <w:rsid w:val="172A3039"/>
    <w:rsid w:val="17403B42"/>
    <w:rsid w:val="1759391E"/>
    <w:rsid w:val="178F4DDC"/>
    <w:rsid w:val="17A325BC"/>
    <w:rsid w:val="17C468EA"/>
    <w:rsid w:val="17CB248B"/>
    <w:rsid w:val="17EC02EE"/>
    <w:rsid w:val="17FB2C27"/>
    <w:rsid w:val="18095344"/>
    <w:rsid w:val="181141F9"/>
    <w:rsid w:val="185A22E8"/>
    <w:rsid w:val="1876405C"/>
    <w:rsid w:val="18A40BC9"/>
    <w:rsid w:val="18A64941"/>
    <w:rsid w:val="18AB4D78"/>
    <w:rsid w:val="18C82B09"/>
    <w:rsid w:val="18D97CA7"/>
    <w:rsid w:val="18F2402A"/>
    <w:rsid w:val="19341F4D"/>
    <w:rsid w:val="195B397D"/>
    <w:rsid w:val="19C46458"/>
    <w:rsid w:val="1A061A5E"/>
    <w:rsid w:val="1A451FCE"/>
    <w:rsid w:val="1A864A2A"/>
    <w:rsid w:val="1AD50D58"/>
    <w:rsid w:val="1AED3033"/>
    <w:rsid w:val="1AF000F5"/>
    <w:rsid w:val="1B1130D7"/>
    <w:rsid w:val="1B183D2A"/>
    <w:rsid w:val="1B3003F3"/>
    <w:rsid w:val="1BB710BE"/>
    <w:rsid w:val="1BE4455F"/>
    <w:rsid w:val="1C163B8C"/>
    <w:rsid w:val="1C1C4F1A"/>
    <w:rsid w:val="1C5446B4"/>
    <w:rsid w:val="1C5C45BA"/>
    <w:rsid w:val="1C6A3ED7"/>
    <w:rsid w:val="1CB6536F"/>
    <w:rsid w:val="1CD852E5"/>
    <w:rsid w:val="1CDF0421"/>
    <w:rsid w:val="1CF57C45"/>
    <w:rsid w:val="1D4B1F5B"/>
    <w:rsid w:val="1D5726AE"/>
    <w:rsid w:val="1DC15D79"/>
    <w:rsid w:val="1E3D5D47"/>
    <w:rsid w:val="1E432C32"/>
    <w:rsid w:val="1E4C7CB2"/>
    <w:rsid w:val="1EA2204E"/>
    <w:rsid w:val="1EDA7A2A"/>
    <w:rsid w:val="1EE109CA"/>
    <w:rsid w:val="1EF5699B"/>
    <w:rsid w:val="1F26058A"/>
    <w:rsid w:val="1F38650F"/>
    <w:rsid w:val="1F4F514D"/>
    <w:rsid w:val="1FF53C05"/>
    <w:rsid w:val="1FFC29B3"/>
    <w:rsid w:val="200C65DB"/>
    <w:rsid w:val="201642F0"/>
    <w:rsid w:val="204F58BE"/>
    <w:rsid w:val="207215AC"/>
    <w:rsid w:val="20A83220"/>
    <w:rsid w:val="20B63B8F"/>
    <w:rsid w:val="20C95670"/>
    <w:rsid w:val="210E5779"/>
    <w:rsid w:val="21531861"/>
    <w:rsid w:val="21667363"/>
    <w:rsid w:val="21707F18"/>
    <w:rsid w:val="217C0935"/>
    <w:rsid w:val="219519F6"/>
    <w:rsid w:val="220C2220"/>
    <w:rsid w:val="221A1EFC"/>
    <w:rsid w:val="225B08E6"/>
    <w:rsid w:val="225F141B"/>
    <w:rsid w:val="22804455"/>
    <w:rsid w:val="22A7378F"/>
    <w:rsid w:val="22AC349C"/>
    <w:rsid w:val="22B61C24"/>
    <w:rsid w:val="22BE5354"/>
    <w:rsid w:val="233D2346"/>
    <w:rsid w:val="235C1DCF"/>
    <w:rsid w:val="23A44003"/>
    <w:rsid w:val="23E70540"/>
    <w:rsid w:val="23F32A04"/>
    <w:rsid w:val="24FE78B3"/>
    <w:rsid w:val="25207829"/>
    <w:rsid w:val="25290D20"/>
    <w:rsid w:val="252F085B"/>
    <w:rsid w:val="25897AC4"/>
    <w:rsid w:val="259C77F7"/>
    <w:rsid w:val="25A954BC"/>
    <w:rsid w:val="25BC39F6"/>
    <w:rsid w:val="25C603D0"/>
    <w:rsid w:val="25E22D30"/>
    <w:rsid w:val="26536FAC"/>
    <w:rsid w:val="26B11081"/>
    <w:rsid w:val="26FD2518"/>
    <w:rsid w:val="27315D1D"/>
    <w:rsid w:val="273D0B66"/>
    <w:rsid w:val="27637EA1"/>
    <w:rsid w:val="27846795"/>
    <w:rsid w:val="27856069"/>
    <w:rsid w:val="278A3680"/>
    <w:rsid w:val="27A97FAA"/>
    <w:rsid w:val="281541A6"/>
    <w:rsid w:val="281C4C20"/>
    <w:rsid w:val="285C6DCA"/>
    <w:rsid w:val="28893937"/>
    <w:rsid w:val="28C57065"/>
    <w:rsid w:val="28DB1740"/>
    <w:rsid w:val="290E1818"/>
    <w:rsid w:val="29187F31"/>
    <w:rsid w:val="29253660"/>
    <w:rsid w:val="29312005"/>
    <w:rsid w:val="294840A4"/>
    <w:rsid w:val="296B4951"/>
    <w:rsid w:val="297B5976"/>
    <w:rsid w:val="297D349C"/>
    <w:rsid w:val="29826D04"/>
    <w:rsid w:val="299E3412"/>
    <w:rsid w:val="29A24CB1"/>
    <w:rsid w:val="29A6741C"/>
    <w:rsid w:val="29AF561F"/>
    <w:rsid w:val="29B957A9"/>
    <w:rsid w:val="29FB2613"/>
    <w:rsid w:val="2A0239A1"/>
    <w:rsid w:val="2A375D41"/>
    <w:rsid w:val="2A385615"/>
    <w:rsid w:val="2A5A558B"/>
    <w:rsid w:val="2AA131BA"/>
    <w:rsid w:val="2AC02A72"/>
    <w:rsid w:val="2B065713"/>
    <w:rsid w:val="2B0B4AD7"/>
    <w:rsid w:val="2B24262E"/>
    <w:rsid w:val="2B475F86"/>
    <w:rsid w:val="2B597F39"/>
    <w:rsid w:val="2B5E10AB"/>
    <w:rsid w:val="2B966A97"/>
    <w:rsid w:val="2BC90C1A"/>
    <w:rsid w:val="2BC929C8"/>
    <w:rsid w:val="2BDA4BD6"/>
    <w:rsid w:val="2BF612E4"/>
    <w:rsid w:val="2C155C0E"/>
    <w:rsid w:val="2C1B0D4A"/>
    <w:rsid w:val="2C3F2C8B"/>
    <w:rsid w:val="2C5A7AC4"/>
    <w:rsid w:val="2CBF3DCB"/>
    <w:rsid w:val="2CCB2770"/>
    <w:rsid w:val="2CE848EE"/>
    <w:rsid w:val="2D152E17"/>
    <w:rsid w:val="2D1934DC"/>
    <w:rsid w:val="2D19589E"/>
    <w:rsid w:val="2D6F42EE"/>
    <w:rsid w:val="2D7E5A35"/>
    <w:rsid w:val="2DB66F7C"/>
    <w:rsid w:val="2E053A60"/>
    <w:rsid w:val="2E13617D"/>
    <w:rsid w:val="2E1B14D5"/>
    <w:rsid w:val="2E382087"/>
    <w:rsid w:val="2E5F5866"/>
    <w:rsid w:val="2ED31DB0"/>
    <w:rsid w:val="2F056FD0"/>
    <w:rsid w:val="2F0E4B96"/>
    <w:rsid w:val="2F1C5505"/>
    <w:rsid w:val="2F483808"/>
    <w:rsid w:val="2F542EF1"/>
    <w:rsid w:val="2FBD04DD"/>
    <w:rsid w:val="2FE34275"/>
    <w:rsid w:val="2FE778C1"/>
    <w:rsid w:val="2FFF3289"/>
    <w:rsid w:val="3038636F"/>
    <w:rsid w:val="30564D6B"/>
    <w:rsid w:val="306A53E8"/>
    <w:rsid w:val="30A734F4"/>
    <w:rsid w:val="30A752A2"/>
    <w:rsid w:val="30A9101A"/>
    <w:rsid w:val="30D616E4"/>
    <w:rsid w:val="30F37044"/>
    <w:rsid w:val="31215055"/>
    <w:rsid w:val="312468F3"/>
    <w:rsid w:val="315512C4"/>
    <w:rsid w:val="31572824"/>
    <w:rsid w:val="31626121"/>
    <w:rsid w:val="31837ABD"/>
    <w:rsid w:val="318A49A8"/>
    <w:rsid w:val="31945827"/>
    <w:rsid w:val="31CC4FC0"/>
    <w:rsid w:val="31D200FD"/>
    <w:rsid w:val="31E00383"/>
    <w:rsid w:val="31E3230A"/>
    <w:rsid w:val="31EC540E"/>
    <w:rsid w:val="31EF0CAF"/>
    <w:rsid w:val="31FE7144"/>
    <w:rsid w:val="320F30FF"/>
    <w:rsid w:val="3231615E"/>
    <w:rsid w:val="323E32C5"/>
    <w:rsid w:val="32526E70"/>
    <w:rsid w:val="32562ADC"/>
    <w:rsid w:val="325F5D63"/>
    <w:rsid w:val="32624BA7"/>
    <w:rsid w:val="328A4231"/>
    <w:rsid w:val="32AF70A0"/>
    <w:rsid w:val="32B50F16"/>
    <w:rsid w:val="32B83797"/>
    <w:rsid w:val="32C739DA"/>
    <w:rsid w:val="32EB6C82"/>
    <w:rsid w:val="3342007F"/>
    <w:rsid w:val="336D4581"/>
    <w:rsid w:val="33AD0E22"/>
    <w:rsid w:val="33C00B55"/>
    <w:rsid w:val="33F7209D"/>
    <w:rsid w:val="33FB7DDF"/>
    <w:rsid w:val="340824FC"/>
    <w:rsid w:val="340F388A"/>
    <w:rsid w:val="343706EB"/>
    <w:rsid w:val="343D21A6"/>
    <w:rsid w:val="343E2B0F"/>
    <w:rsid w:val="346E6803"/>
    <w:rsid w:val="34711E4F"/>
    <w:rsid w:val="34831B82"/>
    <w:rsid w:val="348C1CCF"/>
    <w:rsid w:val="350902DA"/>
    <w:rsid w:val="351925B0"/>
    <w:rsid w:val="35696FCA"/>
    <w:rsid w:val="357A11D7"/>
    <w:rsid w:val="358160C2"/>
    <w:rsid w:val="35935DF5"/>
    <w:rsid w:val="35C16E06"/>
    <w:rsid w:val="35E825E5"/>
    <w:rsid w:val="35E93C67"/>
    <w:rsid w:val="36277B49"/>
    <w:rsid w:val="36451F6D"/>
    <w:rsid w:val="36484E32"/>
    <w:rsid w:val="36603F29"/>
    <w:rsid w:val="36625EF3"/>
    <w:rsid w:val="368C4D1E"/>
    <w:rsid w:val="36A24542"/>
    <w:rsid w:val="36C50230"/>
    <w:rsid w:val="37021484"/>
    <w:rsid w:val="37052D23"/>
    <w:rsid w:val="370B3B23"/>
    <w:rsid w:val="37182A56"/>
    <w:rsid w:val="37531CE0"/>
    <w:rsid w:val="375F0685"/>
    <w:rsid w:val="376B0DD8"/>
    <w:rsid w:val="37C14E9C"/>
    <w:rsid w:val="37CA42ED"/>
    <w:rsid w:val="37ED3EE3"/>
    <w:rsid w:val="3801798E"/>
    <w:rsid w:val="38082ACA"/>
    <w:rsid w:val="38327B47"/>
    <w:rsid w:val="38454CBB"/>
    <w:rsid w:val="38832151"/>
    <w:rsid w:val="38952A77"/>
    <w:rsid w:val="38A071A7"/>
    <w:rsid w:val="38B62526"/>
    <w:rsid w:val="38BE7936"/>
    <w:rsid w:val="38CA4224"/>
    <w:rsid w:val="38D429AD"/>
    <w:rsid w:val="3905525C"/>
    <w:rsid w:val="392576AC"/>
    <w:rsid w:val="392822D8"/>
    <w:rsid w:val="3929719C"/>
    <w:rsid w:val="39322A9F"/>
    <w:rsid w:val="39353716"/>
    <w:rsid w:val="39700927"/>
    <w:rsid w:val="397321C6"/>
    <w:rsid w:val="398919E9"/>
    <w:rsid w:val="398E0DAD"/>
    <w:rsid w:val="39930ABA"/>
    <w:rsid w:val="39A9208B"/>
    <w:rsid w:val="39AE3C21"/>
    <w:rsid w:val="39BF18AF"/>
    <w:rsid w:val="39C742BF"/>
    <w:rsid w:val="39C92140"/>
    <w:rsid w:val="39E6508D"/>
    <w:rsid w:val="39F90DFC"/>
    <w:rsid w:val="39FF17F6"/>
    <w:rsid w:val="3A3000B7"/>
    <w:rsid w:val="3A347BA7"/>
    <w:rsid w:val="3A647D60"/>
    <w:rsid w:val="3A9C74FA"/>
    <w:rsid w:val="3AB536D0"/>
    <w:rsid w:val="3AEB40DA"/>
    <w:rsid w:val="3AFD61EB"/>
    <w:rsid w:val="3B9528C7"/>
    <w:rsid w:val="3BA27253"/>
    <w:rsid w:val="3BC60D48"/>
    <w:rsid w:val="3BDA652C"/>
    <w:rsid w:val="3BF70E8C"/>
    <w:rsid w:val="3C340332"/>
    <w:rsid w:val="3C640C78"/>
    <w:rsid w:val="3C6F3118"/>
    <w:rsid w:val="3CA408E8"/>
    <w:rsid w:val="3CB72D11"/>
    <w:rsid w:val="3CB74ABF"/>
    <w:rsid w:val="3CFD4BC8"/>
    <w:rsid w:val="3D1D2B74"/>
    <w:rsid w:val="3D1E68EC"/>
    <w:rsid w:val="3D3B124C"/>
    <w:rsid w:val="3D44685E"/>
    <w:rsid w:val="3D7C0522"/>
    <w:rsid w:val="3D891FB8"/>
    <w:rsid w:val="3D98044D"/>
    <w:rsid w:val="3DDC47DD"/>
    <w:rsid w:val="3DF77869"/>
    <w:rsid w:val="3E09759C"/>
    <w:rsid w:val="3E0C4997"/>
    <w:rsid w:val="3E1E76F1"/>
    <w:rsid w:val="3E29379B"/>
    <w:rsid w:val="3E502CC5"/>
    <w:rsid w:val="3E846C23"/>
    <w:rsid w:val="3EBA2645"/>
    <w:rsid w:val="3EC534C3"/>
    <w:rsid w:val="3ED01E68"/>
    <w:rsid w:val="3EE23115"/>
    <w:rsid w:val="3EF20030"/>
    <w:rsid w:val="3EF9316D"/>
    <w:rsid w:val="3EFE0783"/>
    <w:rsid w:val="3F51213F"/>
    <w:rsid w:val="3F593C0C"/>
    <w:rsid w:val="3F676329"/>
    <w:rsid w:val="3F7B0026"/>
    <w:rsid w:val="3F892743"/>
    <w:rsid w:val="3FC279E4"/>
    <w:rsid w:val="3FDB0AC5"/>
    <w:rsid w:val="3FF37BBC"/>
    <w:rsid w:val="40061FE5"/>
    <w:rsid w:val="40300E10"/>
    <w:rsid w:val="40477F08"/>
    <w:rsid w:val="408A49C4"/>
    <w:rsid w:val="40B530C4"/>
    <w:rsid w:val="40E04FC5"/>
    <w:rsid w:val="40FE2CBD"/>
    <w:rsid w:val="4191768D"/>
    <w:rsid w:val="41950E19"/>
    <w:rsid w:val="41B24A2D"/>
    <w:rsid w:val="41D67795"/>
    <w:rsid w:val="41EA4FEF"/>
    <w:rsid w:val="41EB464F"/>
    <w:rsid w:val="41F20B34"/>
    <w:rsid w:val="423876C9"/>
    <w:rsid w:val="426052B1"/>
    <w:rsid w:val="426B113B"/>
    <w:rsid w:val="426B25D4"/>
    <w:rsid w:val="426D1FB4"/>
    <w:rsid w:val="42DE2DA6"/>
    <w:rsid w:val="42FA74B4"/>
    <w:rsid w:val="43151261"/>
    <w:rsid w:val="433375CA"/>
    <w:rsid w:val="433F2B10"/>
    <w:rsid w:val="43851473"/>
    <w:rsid w:val="43E53CC0"/>
    <w:rsid w:val="43E91A02"/>
    <w:rsid w:val="43EA39CC"/>
    <w:rsid w:val="43EE7018"/>
    <w:rsid w:val="442962A2"/>
    <w:rsid w:val="44511355"/>
    <w:rsid w:val="44A1408B"/>
    <w:rsid w:val="44B06ACD"/>
    <w:rsid w:val="44B33DBE"/>
    <w:rsid w:val="451C5E07"/>
    <w:rsid w:val="45275CE0"/>
    <w:rsid w:val="453B44DF"/>
    <w:rsid w:val="4561381A"/>
    <w:rsid w:val="457E7663"/>
    <w:rsid w:val="45943BEF"/>
    <w:rsid w:val="45AA3413"/>
    <w:rsid w:val="45B24076"/>
    <w:rsid w:val="45C500E2"/>
    <w:rsid w:val="45CC5137"/>
    <w:rsid w:val="45CF070A"/>
    <w:rsid w:val="45CF1E40"/>
    <w:rsid w:val="46004DE1"/>
    <w:rsid w:val="46236D21"/>
    <w:rsid w:val="463A3DF9"/>
    <w:rsid w:val="4665733A"/>
    <w:rsid w:val="467416DE"/>
    <w:rsid w:val="46DA7D28"/>
    <w:rsid w:val="46F50C07"/>
    <w:rsid w:val="46FC474A"/>
    <w:rsid w:val="471B226F"/>
    <w:rsid w:val="473236C0"/>
    <w:rsid w:val="47431429"/>
    <w:rsid w:val="47483D29"/>
    <w:rsid w:val="47795932"/>
    <w:rsid w:val="478C7274"/>
    <w:rsid w:val="47B16CDB"/>
    <w:rsid w:val="47DB480D"/>
    <w:rsid w:val="48036E0A"/>
    <w:rsid w:val="480C5CBF"/>
    <w:rsid w:val="48286976"/>
    <w:rsid w:val="48343468"/>
    <w:rsid w:val="486E0837"/>
    <w:rsid w:val="4871646A"/>
    <w:rsid w:val="487F2935"/>
    <w:rsid w:val="48822FF5"/>
    <w:rsid w:val="489973AA"/>
    <w:rsid w:val="48D72771"/>
    <w:rsid w:val="48EC7FE3"/>
    <w:rsid w:val="48F21359"/>
    <w:rsid w:val="491C63D6"/>
    <w:rsid w:val="49320819"/>
    <w:rsid w:val="49437E06"/>
    <w:rsid w:val="49494CF1"/>
    <w:rsid w:val="496672F0"/>
    <w:rsid w:val="4967185E"/>
    <w:rsid w:val="49BA174B"/>
    <w:rsid w:val="49CD147E"/>
    <w:rsid w:val="49E54A1A"/>
    <w:rsid w:val="49F20EE5"/>
    <w:rsid w:val="4A031344"/>
    <w:rsid w:val="4A084BAC"/>
    <w:rsid w:val="4A314103"/>
    <w:rsid w:val="4A54461F"/>
    <w:rsid w:val="4A9326C8"/>
    <w:rsid w:val="4AB8212E"/>
    <w:rsid w:val="4ABD14F2"/>
    <w:rsid w:val="4ABD7744"/>
    <w:rsid w:val="4BBE19C6"/>
    <w:rsid w:val="4C3457E4"/>
    <w:rsid w:val="4C453E95"/>
    <w:rsid w:val="4C482292"/>
    <w:rsid w:val="4C4A325A"/>
    <w:rsid w:val="4C561BFF"/>
    <w:rsid w:val="4CAF5D07"/>
    <w:rsid w:val="4CC36B68"/>
    <w:rsid w:val="4CD531A2"/>
    <w:rsid w:val="4D19612B"/>
    <w:rsid w:val="4D20220D"/>
    <w:rsid w:val="4D2770F7"/>
    <w:rsid w:val="4D355CB8"/>
    <w:rsid w:val="4D404FE1"/>
    <w:rsid w:val="4D92310A"/>
    <w:rsid w:val="4D987FF5"/>
    <w:rsid w:val="4D9C5D37"/>
    <w:rsid w:val="4DD454D1"/>
    <w:rsid w:val="4DDF0E6A"/>
    <w:rsid w:val="4DF416CF"/>
    <w:rsid w:val="4E281379"/>
    <w:rsid w:val="4E775E5C"/>
    <w:rsid w:val="4EAC3D58"/>
    <w:rsid w:val="4EB33338"/>
    <w:rsid w:val="4EBC1B2C"/>
    <w:rsid w:val="4EC37599"/>
    <w:rsid w:val="4ED60DD5"/>
    <w:rsid w:val="4F1418FD"/>
    <w:rsid w:val="4F276E48"/>
    <w:rsid w:val="4F47498D"/>
    <w:rsid w:val="4F5B752C"/>
    <w:rsid w:val="4F905428"/>
    <w:rsid w:val="4F960564"/>
    <w:rsid w:val="4FE86D55"/>
    <w:rsid w:val="4FEB4542"/>
    <w:rsid w:val="4FF0236A"/>
    <w:rsid w:val="5015592D"/>
    <w:rsid w:val="502A587C"/>
    <w:rsid w:val="502E69EF"/>
    <w:rsid w:val="503B5167"/>
    <w:rsid w:val="507F6B27"/>
    <w:rsid w:val="50AF0082"/>
    <w:rsid w:val="50B43398"/>
    <w:rsid w:val="50BF0A14"/>
    <w:rsid w:val="50D457E8"/>
    <w:rsid w:val="51254295"/>
    <w:rsid w:val="5139564B"/>
    <w:rsid w:val="51450494"/>
    <w:rsid w:val="51493AE0"/>
    <w:rsid w:val="519705BD"/>
    <w:rsid w:val="51C27D36"/>
    <w:rsid w:val="51F468A8"/>
    <w:rsid w:val="520F62BB"/>
    <w:rsid w:val="523D116B"/>
    <w:rsid w:val="523E01F5"/>
    <w:rsid w:val="525E3535"/>
    <w:rsid w:val="526030BB"/>
    <w:rsid w:val="52827872"/>
    <w:rsid w:val="52A623E6"/>
    <w:rsid w:val="52B008E6"/>
    <w:rsid w:val="52FB52AE"/>
    <w:rsid w:val="53CE29C2"/>
    <w:rsid w:val="53D8739D"/>
    <w:rsid w:val="53DA3115"/>
    <w:rsid w:val="53DD09E5"/>
    <w:rsid w:val="53F1045F"/>
    <w:rsid w:val="53F954C6"/>
    <w:rsid w:val="546458CD"/>
    <w:rsid w:val="548A25BF"/>
    <w:rsid w:val="54994D7E"/>
    <w:rsid w:val="549A14D7"/>
    <w:rsid w:val="54BF230B"/>
    <w:rsid w:val="54D1276A"/>
    <w:rsid w:val="54D67D81"/>
    <w:rsid w:val="551B4BD7"/>
    <w:rsid w:val="55436A98"/>
    <w:rsid w:val="554D618D"/>
    <w:rsid w:val="555F76C3"/>
    <w:rsid w:val="55654BF2"/>
    <w:rsid w:val="557355CF"/>
    <w:rsid w:val="55935C72"/>
    <w:rsid w:val="55A41C2D"/>
    <w:rsid w:val="55CC2F32"/>
    <w:rsid w:val="55D371FF"/>
    <w:rsid w:val="55E53FF3"/>
    <w:rsid w:val="55EA01B6"/>
    <w:rsid w:val="55EB160A"/>
    <w:rsid w:val="560E23AE"/>
    <w:rsid w:val="56350AD7"/>
    <w:rsid w:val="56372AA1"/>
    <w:rsid w:val="56A95021"/>
    <w:rsid w:val="56AB0D99"/>
    <w:rsid w:val="56D55E16"/>
    <w:rsid w:val="56FC7131"/>
    <w:rsid w:val="574216FD"/>
    <w:rsid w:val="575925A3"/>
    <w:rsid w:val="57676637"/>
    <w:rsid w:val="577C4060"/>
    <w:rsid w:val="578E4942"/>
    <w:rsid w:val="57925AB5"/>
    <w:rsid w:val="57BD5228"/>
    <w:rsid w:val="57D305A7"/>
    <w:rsid w:val="57FA1FD8"/>
    <w:rsid w:val="58000923"/>
    <w:rsid w:val="580A0AED"/>
    <w:rsid w:val="58130B7B"/>
    <w:rsid w:val="583F3E8F"/>
    <w:rsid w:val="58533496"/>
    <w:rsid w:val="58535244"/>
    <w:rsid w:val="587358E6"/>
    <w:rsid w:val="58796EF8"/>
    <w:rsid w:val="58937D37"/>
    <w:rsid w:val="58990C3A"/>
    <w:rsid w:val="58EC5BDB"/>
    <w:rsid w:val="58F96192"/>
    <w:rsid w:val="58FA6008"/>
    <w:rsid w:val="58FC5F1C"/>
    <w:rsid w:val="58FF717A"/>
    <w:rsid w:val="59232E69"/>
    <w:rsid w:val="59246BE1"/>
    <w:rsid w:val="593F75D9"/>
    <w:rsid w:val="596516D3"/>
    <w:rsid w:val="59BD0686"/>
    <w:rsid w:val="59E44CEE"/>
    <w:rsid w:val="5A3D61AC"/>
    <w:rsid w:val="5A3E3CD2"/>
    <w:rsid w:val="5A405C9C"/>
    <w:rsid w:val="5A525C7E"/>
    <w:rsid w:val="5A577137"/>
    <w:rsid w:val="5A625C12"/>
    <w:rsid w:val="5A865020"/>
    <w:rsid w:val="5A93401E"/>
    <w:rsid w:val="5A9A3049"/>
    <w:rsid w:val="5AB346C0"/>
    <w:rsid w:val="5ABA3F0F"/>
    <w:rsid w:val="5ABE2B3D"/>
    <w:rsid w:val="5AF50835"/>
    <w:rsid w:val="5B3A26EB"/>
    <w:rsid w:val="5B503CBD"/>
    <w:rsid w:val="5B6836FC"/>
    <w:rsid w:val="5B6D486F"/>
    <w:rsid w:val="5B721E85"/>
    <w:rsid w:val="5B8816A9"/>
    <w:rsid w:val="5B8E76D9"/>
    <w:rsid w:val="5B9718EC"/>
    <w:rsid w:val="5B9C5154"/>
    <w:rsid w:val="5C014FB9"/>
    <w:rsid w:val="5C1178F0"/>
    <w:rsid w:val="5C1A0927"/>
    <w:rsid w:val="5C207B33"/>
    <w:rsid w:val="5C7659A5"/>
    <w:rsid w:val="5CAB38A1"/>
    <w:rsid w:val="5CB74E5B"/>
    <w:rsid w:val="5CBC3D00"/>
    <w:rsid w:val="5CC826A5"/>
    <w:rsid w:val="5D1C479E"/>
    <w:rsid w:val="5DBF1BFB"/>
    <w:rsid w:val="5DD00333"/>
    <w:rsid w:val="5DF50B4C"/>
    <w:rsid w:val="5E0F1C0D"/>
    <w:rsid w:val="5E826883"/>
    <w:rsid w:val="5E8343A9"/>
    <w:rsid w:val="5E897C12"/>
    <w:rsid w:val="5E9D546B"/>
    <w:rsid w:val="5ECE3D77"/>
    <w:rsid w:val="5EDE112F"/>
    <w:rsid w:val="5F0C518E"/>
    <w:rsid w:val="5F30008D"/>
    <w:rsid w:val="5F427DC1"/>
    <w:rsid w:val="5F530EF2"/>
    <w:rsid w:val="5FD838E2"/>
    <w:rsid w:val="5FE01AB3"/>
    <w:rsid w:val="60234096"/>
    <w:rsid w:val="603C0CB4"/>
    <w:rsid w:val="60563970"/>
    <w:rsid w:val="60767200"/>
    <w:rsid w:val="609D1752"/>
    <w:rsid w:val="60A30D33"/>
    <w:rsid w:val="60BD3BA3"/>
    <w:rsid w:val="60BE1AFF"/>
    <w:rsid w:val="60DA0BF8"/>
    <w:rsid w:val="60DF4DDA"/>
    <w:rsid w:val="60EA0710"/>
    <w:rsid w:val="61204131"/>
    <w:rsid w:val="612A47CD"/>
    <w:rsid w:val="612B3202"/>
    <w:rsid w:val="61343A90"/>
    <w:rsid w:val="61A51FCC"/>
    <w:rsid w:val="61EB473F"/>
    <w:rsid w:val="61F950AE"/>
    <w:rsid w:val="62365F45"/>
    <w:rsid w:val="623E1313"/>
    <w:rsid w:val="62570CF6"/>
    <w:rsid w:val="625C73EB"/>
    <w:rsid w:val="62970423"/>
    <w:rsid w:val="62D921B3"/>
    <w:rsid w:val="630141D6"/>
    <w:rsid w:val="632C5010"/>
    <w:rsid w:val="63400ABB"/>
    <w:rsid w:val="6384309D"/>
    <w:rsid w:val="63876148"/>
    <w:rsid w:val="63A0638F"/>
    <w:rsid w:val="63A31776"/>
    <w:rsid w:val="63B55005"/>
    <w:rsid w:val="63CB772D"/>
    <w:rsid w:val="63E63410"/>
    <w:rsid w:val="6404264E"/>
    <w:rsid w:val="642A5B55"/>
    <w:rsid w:val="645A5BAC"/>
    <w:rsid w:val="6472739A"/>
    <w:rsid w:val="6502427A"/>
    <w:rsid w:val="651A5A67"/>
    <w:rsid w:val="65335407"/>
    <w:rsid w:val="654E7F43"/>
    <w:rsid w:val="65C47781"/>
    <w:rsid w:val="65D200F0"/>
    <w:rsid w:val="65D737B6"/>
    <w:rsid w:val="66263F98"/>
    <w:rsid w:val="6628108A"/>
    <w:rsid w:val="663A5C95"/>
    <w:rsid w:val="666B5E4F"/>
    <w:rsid w:val="66D02156"/>
    <w:rsid w:val="66D41C46"/>
    <w:rsid w:val="66DB4D83"/>
    <w:rsid w:val="671B3F06"/>
    <w:rsid w:val="671E57B1"/>
    <w:rsid w:val="6796514D"/>
    <w:rsid w:val="67B0620F"/>
    <w:rsid w:val="67C93A06"/>
    <w:rsid w:val="67E759A9"/>
    <w:rsid w:val="67ED7463"/>
    <w:rsid w:val="67FC6E3C"/>
    <w:rsid w:val="68077DF9"/>
    <w:rsid w:val="681C1AF7"/>
    <w:rsid w:val="68273FF7"/>
    <w:rsid w:val="6844104D"/>
    <w:rsid w:val="68517738"/>
    <w:rsid w:val="68631724"/>
    <w:rsid w:val="686A0AB4"/>
    <w:rsid w:val="68882CE8"/>
    <w:rsid w:val="6899527E"/>
    <w:rsid w:val="689E69AF"/>
    <w:rsid w:val="68C06926"/>
    <w:rsid w:val="68DE78AF"/>
    <w:rsid w:val="6931512E"/>
    <w:rsid w:val="69617F7B"/>
    <w:rsid w:val="69653029"/>
    <w:rsid w:val="696848C8"/>
    <w:rsid w:val="69765236"/>
    <w:rsid w:val="69B33D95"/>
    <w:rsid w:val="69D72179"/>
    <w:rsid w:val="69D81A4D"/>
    <w:rsid w:val="6A1D6A55"/>
    <w:rsid w:val="6A484E25"/>
    <w:rsid w:val="6A4946F9"/>
    <w:rsid w:val="6A9516EC"/>
    <w:rsid w:val="6A9A4F55"/>
    <w:rsid w:val="6AB52A37"/>
    <w:rsid w:val="6AC344AB"/>
    <w:rsid w:val="6AE10DD5"/>
    <w:rsid w:val="6AE26C5E"/>
    <w:rsid w:val="6B286A04"/>
    <w:rsid w:val="6B2B0947"/>
    <w:rsid w:val="6B841E8D"/>
    <w:rsid w:val="6BA047ED"/>
    <w:rsid w:val="6C150D37"/>
    <w:rsid w:val="6C403CB0"/>
    <w:rsid w:val="6C515AE7"/>
    <w:rsid w:val="6C6E6699"/>
    <w:rsid w:val="6CBC7404"/>
    <w:rsid w:val="6D2D3E5E"/>
    <w:rsid w:val="6D5B4E6F"/>
    <w:rsid w:val="6D6966CE"/>
    <w:rsid w:val="6D887D47"/>
    <w:rsid w:val="6D8F3E9A"/>
    <w:rsid w:val="6D927096"/>
    <w:rsid w:val="6D97577B"/>
    <w:rsid w:val="6D991EC2"/>
    <w:rsid w:val="6DAC7479"/>
    <w:rsid w:val="6DB35745"/>
    <w:rsid w:val="6DFB21AE"/>
    <w:rsid w:val="6E445903"/>
    <w:rsid w:val="6E5024FA"/>
    <w:rsid w:val="6E70212E"/>
    <w:rsid w:val="6E8F6BA7"/>
    <w:rsid w:val="6EBD1212"/>
    <w:rsid w:val="6EE61DAE"/>
    <w:rsid w:val="6EF74724"/>
    <w:rsid w:val="6F327E52"/>
    <w:rsid w:val="6F45589F"/>
    <w:rsid w:val="6F5E29F5"/>
    <w:rsid w:val="6F7C2E7B"/>
    <w:rsid w:val="6FB37F46"/>
    <w:rsid w:val="6FC244BD"/>
    <w:rsid w:val="6FDD7DBD"/>
    <w:rsid w:val="6FE70C3C"/>
    <w:rsid w:val="70390D6C"/>
    <w:rsid w:val="706D59C3"/>
    <w:rsid w:val="70746C75"/>
    <w:rsid w:val="70E45BB9"/>
    <w:rsid w:val="712F289B"/>
    <w:rsid w:val="716A7A1B"/>
    <w:rsid w:val="71D53A39"/>
    <w:rsid w:val="71D7083C"/>
    <w:rsid w:val="71FF67DD"/>
    <w:rsid w:val="7238752D"/>
    <w:rsid w:val="72477770"/>
    <w:rsid w:val="72671421"/>
    <w:rsid w:val="726A7902"/>
    <w:rsid w:val="7278765C"/>
    <w:rsid w:val="72AE3C93"/>
    <w:rsid w:val="72D37256"/>
    <w:rsid w:val="72DA4A88"/>
    <w:rsid w:val="73423FB5"/>
    <w:rsid w:val="73700F48"/>
    <w:rsid w:val="73813156"/>
    <w:rsid w:val="738D38A8"/>
    <w:rsid w:val="73AE635E"/>
    <w:rsid w:val="73C80D84"/>
    <w:rsid w:val="73D17C39"/>
    <w:rsid w:val="73DC038C"/>
    <w:rsid w:val="73ED0138"/>
    <w:rsid w:val="73FA2AB3"/>
    <w:rsid w:val="740022CC"/>
    <w:rsid w:val="743B3304"/>
    <w:rsid w:val="74485A21"/>
    <w:rsid w:val="7451744A"/>
    <w:rsid w:val="745B7503"/>
    <w:rsid w:val="749E5641"/>
    <w:rsid w:val="74C03F77"/>
    <w:rsid w:val="74C23A26"/>
    <w:rsid w:val="74D15A17"/>
    <w:rsid w:val="74DD616A"/>
    <w:rsid w:val="74FC0CE6"/>
    <w:rsid w:val="75315FF6"/>
    <w:rsid w:val="755328D0"/>
    <w:rsid w:val="75640639"/>
    <w:rsid w:val="759016AD"/>
    <w:rsid w:val="7598230E"/>
    <w:rsid w:val="75D02172"/>
    <w:rsid w:val="76426BCC"/>
    <w:rsid w:val="766034F6"/>
    <w:rsid w:val="76984A3E"/>
    <w:rsid w:val="76A96C4B"/>
    <w:rsid w:val="76AB6DEC"/>
    <w:rsid w:val="76AC673B"/>
    <w:rsid w:val="76B6211F"/>
    <w:rsid w:val="76D10E1C"/>
    <w:rsid w:val="76F767F1"/>
    <w:rsid w:val="77040325"/>
    <w:rsid w:val="770420D4"/>
    <w:rsid w:val="770B595E"/>
    <w:rsid w:val="77204A34"/>
    <w:rsid w:val="77381D7D"/>
    <w:rsid w:val="77514BED"/>
    <w:rsid w:val="776006C9"/>
    <w:rsid w:val="77822FF8"/>
    <w:rsid w:val="77CE4490"/>
    <w:rsid w:val="77D01FB6"/>
    <w:rsid w:val="77D05B96"/>
    <w:rsid w:val="77EF68E0"/>
    <w:rsid w:val="78165C1C"/>
    <w:rsid w:val="78271FB1"/>
    <w:rsid w:val="782A7918"/>
    <w:rsid w:val="7856695F"/>
    <w:rsid w:val="788A03B6"/>
    <w:rsid w:val="788D497F"/>
    <w:rsid w:val="788F00C3"/>
    <w:rsid w:val="78DF4BA6"/>
    <w:rsid w:val="78E73A5B"/>
    <w:rsid w:val="790E7239"/>
    <w:rsid w:val="793842B6"/>
    <w:rsid w:val="793D0405"/>
    <w:rsid w:val="7940316B"/>
    <w:rsid w:val="79457F9D"/>
    <w:rsid w:val="794744F9"/>
    <w:rsid w:val="795F5CE7"/>
    <w:rsid w:val="797F0DAB"/>
    <w:rsid w:val="798A41B9"/>
    <w:rsid w:val="79921895"/>
    <w:rsid w:val="799A287B"/>
    <w:rsid w:val="799E4D98"/>
    <w:rsid w:val="79AB4A88"/>
    <w:rsid w:val="79B7342D"/>
    <w:rsid w:val="79DA536E"/>
    <w:rsid w:val="7A0E1B21"/>
    <w:rsid w:val="7A230AC3"/>
    <w:rsid w:val="7A301431"/>
    <w:rsid w:val="7A85177D"/>
    <w:rsid w:val="7AA03EC1"/>
    <w:rsid w:val="7ABE07EB"/>
    <w:rsid w:val="7ABF6FEF"/>
    <w:rsid w:val="7AD63D87"/>
    <w:rsid w:val="7B095F0A"/>
    <w:rsid w:val="7B252618"/>
    <w:rsid w:val="7B38234C"/>
    <w:rsid w:val="7B656EB9"/>
    <w:rsid w:val="7B8B4B71"/>
    <w:rsid w:val="7B8C6B3B"/>
    <w:rsid w:val="7B963516"/>
    <w:rsid w:val="7B9A4DB4"/>
    <w:rsid w:val="7BEC1388"/>
    <w:rsid w:val="7C0B180E"/>
    <w:rsid w:val="7C3074C7"/>
    <w:rsid w:val="7C321491"/>
    <w:rsid w:val="7C7A6994"/>
    <w:rsid w:val="7C815F74"/>
    <w:rsid w:val="7CB41EA6"/>
    <w:rsid w:val="7CBC0D5A"/>
    <w:rsid w:val="7CC134AA"/>
    <w:rsid w:val="7D006E99"/>
    <w:rsid w:val="7D034BDB"/>
    <w:rsid w:val="7D3D633F"/>
    <w:rsid w:val="7D7634EC"/>
    <w:rsid w:val="7DE87B77"/>
    <w:rsid w:val="7DFC0350"/>
    <w:rsid w:val="7DFC3B04"/>
    <w:rsid w:val="7E357016"/>
    <w:rsid w:val="7E8E49B7"/>
    <w:rsid w:val="7E9D436B"/>
    <w:rsid w:val="7EB4618D"/>
    <w:rsid w:val="7EB937A4"/>
    <w:rsid w:val="7ECF2FC7"/>
    <w:rsid w:val="7EED5B43"/>
    <w:rsid w:val="7F3B065C"/>
    <w:rsid w:val="7F3B240A"/>
    <w:rsid w:val="7FA53D28"/>
    <w:rsid w:val="7FBD72C3"/>
    <w:rsid w:val="7FC91559"/>
    <w:rsid w:val="7FCC0F03"/>
    <w:rsid w:val="7FD5285F"/>
    <w:rsid w:val="7FE67F7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iPriority="99"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20" w:line="278" w:lineRule="auto"/>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tabs>
        <w:tab w:val="left" w:pos="3360"/>
      </w:tabs>
      <w:snapToGrid w:val="0"/>
      <w:spacing w:beforeLines="100" w:afterLines="50" w:line="800" w:lineRule="atLeast"/>
      <w:jc w:val="center"/>
      <w:outlineLvl w:val="0"/>
    </w:pPr>
    <w:rPr>
      <w:rFonts w:eastAsia="黑体"/>
      <w:sz w:val="44"/>
    </w:rPr>
  </w:style>
  <w:style w:type="paragraph" w:styleId="4">
    <w:name w:val="heading 2"/>
    <w:basedOn w:val="1"/>
    <w:next w:val="1"/>
    <w:qFormat/>
    <w:uiPriority w:val="0"/>
    <w:pPr>
      <w:keepNext/>
      <w:keepLines/>
      <w:adjustRightInd w:val="0"/>
      <w:snapToGrid w:val="0"/>
      <w:spacing w:line="360" w:lineRule="auto"/>
      <w:outlineLvl w:val="1"/>
    </w:pPr>
    <w:rPr>
      <w:rFonts w:ascii="宋体" w:hAnsi="宋体"/>
    </w:rPr>
  </w:style>
  <w:style w:type="paragraph" w:styleId="5">
    <w:name w:val="heading 3"/>
    <w:basedOn w:val="1"/>
    <w:next w:val="1"/>
    <w:qFormat/>
    <w:uiPriority w:val="0"/>
    <w:pPr>
      <w:keepNext/>
      <w:keepLines/>
      <w:spacing w:before="260" w:after="260" w:line="413" w:lineRule="auto"/>
      <w:jc w:val="center"/>
      <w:outlineLvl w:val="2"/>
    </w:pPr>
    <w:rPr>
      <w:b/>
      <w:sz w:val="44"/>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index 4"/>
    <w:basedOn w:val="1"/>
    <w:next w:val="1"/>
    <w:unhideWhenUsed/>
    <w:qFormat/>
    <w:uiPriority w:val="99"/>
    <w:pPr>
      <w:ind w:left="600" w:leftChars="600"/>
    </w:pPr>
  </w:style>
  <w:style w:type="paragraph" w:styleId="6">
    <w:name w:val="Normal Indent"/>
    <w:basedOn w:val="1"/>
    <w:next w:val="1"/>
    <w:qFormat/>
    <w:uiPriority w:val="0"/>
    <w:pPr>
      <w:adjustRightInd w:val="0"/>
      <w:snapToGrid w:val="0"/>
      <w:spacing w:line="360" w:lineRule="auto"/>
      <w:ind w:firstLine="420"/>
    </w:pPr>
    <w:rPr>
      <w:sz w:val="24"/>
    </w:rPr>
  </w:style>
  <w:style w:type="paragraph" w:styleId="7">
    <w:name w:val="annotation text"/>
    <w:basedOn w:val="1"/>
    <w:link w:val="38"/>
    <w:qFormat/>
    <w:uiPriority w:val="0"/>
    <w:pPr>
      <w:widowControl/>
      <w:tabs>
        <w:tab w:val="left" w:pos="1134"/>
      </w:tabs>
      <w:adjustRightInd w:val="0"/>
      <w:snapToGrid w:val="0"/>
      <w:spacing w:after="0" w:line="280" w:lineRule="atLeast"/>
      <w:jc w:val="left"/>
    </w:pPr>
    <w:rPr>
      <w:rFonts w:ascii="Times New Roman" w:hAnsi="Times New Roman" w:eastAsia="PMingLiU" w:cs="Times New Roman"/>
      <w:kern w:val="0"/>
      <w:sz w:val="24"/>
      <w:szCs w:val="20"/>
      <w:lang w:eastAsia="zh-TW"/>
    </w:rPr>
  </w:style>
  <w:style w:type="paragraph" w:styleId="8">
    <w:name w:val="Body Text"/>
    <w:basedOn w:val="1"/>
    <w:next w:val="1"/>
    <w:qFormat/>
    <w:uiPriority w:val="0"/>
    <w:rPr>
      <w:rFonts w:ascii="仿宋_GB2312" w:eastAsia="仿宋_GB2312"/>
      <w:sz w:val="32"/>
    </w:rPr>
  </w:style>
  <w:style w:type="paragraph" w:styleId="9">
    <w:name w:val="Body Text Indent"/>
    <w:basedOn w:val="1"/>
    <w:next w:val="8"/>
    <w:qFormat/>
    <w:uiPriority w:val="0"/>
    <w:pPr>
      <w:spacing w:line="700" w:lineRule="exact"/>
      <w:ind w:left="960"/>
    </w:pPr>
    <w:rPr>
      <w:sz w:val="44"/>
    </w:rPr>
  </w:style>
  <w:style w:type="paragraph" w:styleId="10">
    <w:name w:val="Plain Text"/>
    <w:basedOn w:val="1"/>
    <w:qFormat/>
    <w:uiPriority w:val="0"/>
    <w:pPr>
      <w:adjustRightInd w:val="0"/>
      <w:snapToGrid w:val="0"/>
      <w:spacing w:line="360" w:lineRule="auto"/>
    </w:pPr>
    <w:rPr>
      <w:rFonts w:ascii="宋体" w:hAnsi="Courier New"/>
    </w:rPr>
  </w:style>
  <w:style w:type="paragraph" w:styleId="11">
    <w:name w:val="Date"/>
    <w:basedOn w:val="1"/>
    <w:next w:val="1"/>
    <w:qFormat/>
    <w:uiPriority w:val="0"/>
  </w:style>
  <w:style w:type="paragraph" w:styleId="12">
    <w:name w:val="Body Text Indent 2"/>
    <w:basedOn w:val="1"/>
    <w:qFormat/>
    <w:uiPriority w:val="0"/>
    <w:pPr>
      <w:snapToGrid w:val="0"/>
      <w:spacing w:line="560" w:lineRule="atLeast"/>
      <w:ind w:firstLine="540"/>
    </w:pPr>
  </w:style>
  <w:style w:type="paragraph" w:styleId="13">
    <w:name w:val="Balloon Text"/>
    <w:basedOn w:val="1"/>
    <w:link w:val="32"/>
    <w:semiHidden/>
    <w:unhideWhenUsed/>
    <w:qFormat/>
    <w:uiPriority w:val="99"/>
    <w:pPr>
      <w:spacing w:after="0"/>
    </w:pPr>
    <w:rPr>
      <w:sz w:val="18"/>
      <w:szCs w:val="18"/>
    </w:rPr>
  </w:style>
  <w:style w:type="paragraph" w:styleId="14">
    <w:name w:val="footer"/>
    <w:basedOn w:val="1"/>
    <w:link w:val="28"/>
    <w:semiHidden/>
    <w:unhideWhenUsed/>
    <w:qFormat/>
    <w:uiPriority w:val="99"/>
    <w:pPr>
      <w:tabs>
        <w:tab w:val="center" w:pos="4153"/>
        <w:tab w:val="right" w:pos="8306"/>
      </w:tabs>
      <w:snapToGrid w:val="0"/>
      <w:jc w:val="left"/>
    </w:pPr>
    <w:rPr>
      <w:sz w:val="18"/>
      <w:szCs w:val="18"/>
    </w:rPr>
  </w:style>
  <w:style w:type="paragraph" w:styleId="15">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tabs>
        <w:tab w:val="left" w:pos="1260"/>
        <w:tab w:val="left" w:pos="1685"/>
        <w:tab w:val="right" w:leader="dot" w:pos="8400"/>
      </w:tabs>
      <w:spacing w:line="320" w:lineRule="exact"/>
      <w:ind w:firstLine="280" w:firstLineChars="100"/>
    </w:pPr>
    <w:rPr>
      <w:rFonts w:ascii="Times New Roman" w:hAnsi="Times New Roman" w:eastAsia="宋体"/>
      <w:b/>
    </w:rPr>
  </w:style>
  <w:style w:type="paragraph" w:styleId="17">
    <w:name w:val="toc 2"/>
    <w:basedOn w:val="1"/>
    <w:next w:val="1"/>
    <w:qFormat/>
    <w:uiPriority w:val="39"/>
    <w:pPr>
      <w:tabs>
        <w:tab w:val="right" w:leader="dot" w:pos="8400"/>
      </w:tabs>
      <w:spacing w:line="440" w:lineRule="exact"/>
      <w:ind w:left="280" w:leftChars="100" w:right="-91" w:rightChars="-91"/>
    </w:pPr>
  </w:style>
  <w:style w:type="paragraph" w:styleId="18">
    <w:name w:val="Normal (Web)"/>
    <w:basedOn w:val="1"/>
    <w:qFormat/>
    <w:uiPriority w:val="0"/>
    <w:pPr>
      <w:spacing w:before="100" w:beforeAutospacing="1" w:after="100" w:afterAutospacing="1"/>
      <w:jc w:val="left"/>
    </w:pPr>
    <w:rPr>
      <w:rFonts w:cs="Times New Roman"/>
      <w:kern w:val="0"/>
      <w:sz w:val="24"/>
    </w:rPr>
  </w:style>
  <w:style w:type="paragraph" w:styleId="19">
    <w:name w:val="Body Text First Indent"/>
    <w:basedOn w:val="8"/>
    <w:next w:val="1"/>
    <w:qFormat/>
    <w:uiPriority w:val="0"/>
    <w:pPr>
      <w:spacing w:line="360" w:lineRule="auto"/>
      <w:ind w:firstLine="420"/>
    </w:pPr>
    <w:rPr>
      <w:rFonts w:ascii="宋体" w:hAnsi="宋体"/>
      <w:sz w:val="24"/>
    </w:rPr>
  </w:style>
  <w:style w:type="paragraph" w:styleId="20">
    <w:name w:val="Body Text First Indent 2"/>
    <w:basedOn w:val="9"/>
    <w:qFormat/>
    <w:uiPriority w:val="0"/>
    <w:pPr>
      <w:ind w:firstLine="420" w:firstLineChars="200"/>
    </w:p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qFormat/>
    <w:uiPriority w:val="0"/>
  </w:style>
  <w:style w:type="character" w:styleId="25">
    <w:name w:val="Emphasis"/>
    <w:basedOn w:val="23"/>
    <w:qFormat/>
    <w:uiPriority w:val="20"/>
    <w:rPr>
      <w:i/>
    </w:rPr>
  </w:style>
  <w:style w:type="character" w:styleId="26">
    <w:name w:val="Hyperlink"/>
    <w:qFormat/>
    <w:uiPriority w:val="99"/>
    <w:rPr>
      <w:color w:val="0000FF"/>
      <w:u w:val="single"/>
    </w:rPr>
  </w:style>
  <w:style w:type="character" w:customStyle="1" w:styleId="27">
    <w:name w:val="页眉 字符"/>
    <w:basedOn w:val="23"/>
    <w:link w:val="15"/>
    <w:qFormat/>
    <w:uiPriority w:val="99"/>
    <w:rPr>
      <w:kern w:val="2"/>
      <w:sz w:val="18"/>
      <w:szCs w:val="18"/>
    </w:rPr>
  </w:style>
  <w:style w:type="character" w:customStyle="1" w:styleId="28">
    <w:name w:val="页脚 字符"/>
    <w:basedOn w:val="23"/>
    <w:link w:val="14"/>
    <w:semiHidden/>
    <w:qFormat/>
    <w:uiPriority w:val="99"/>
    <w:rPr>
      <w:kern w:val="2"/>
      <w:sz w:val="18"/>
      <w:szCs w:val="18"/>
    </w:rPr>
  </w:style>
  <w:style w:type="paragraph" w:customStyle="1" w:styleId="29">
    <w:name w:val="1"/>
    <w:basedOn w:val="1"/>
    <w:next w:val="10"/>
    <w:qFormat/>
    <w:uiPriority w:val="0"/>
    <w:rPr>
      <w:rFonts w:ascii="宋体" w:hAnsi="Courier New"/>
    </w:rPr>
  </w:style>
  <w:style w:type="character" w:customStyle="1" w:styleId="30">
    <w:name w:val="font61"/>
    <w:basedOn w:val="23"/>
    <w:qFormat/>
    <w:uiPriority w:val="0"/>
    <w:rPr>
      <w:rFonts w:hint="eastAsia" w:ascii="宋体" w:hAnsi="宋体" w:eastAsia="宋体" w:cs="宋体"/>
      <w:b/>
      <w:bCs/>
      <w:color w:val="000000"/>
      <w:sz w:val="20"/>
      <w:szCs w:val="20"/>
      <w:u w:val="none"/>
    </w:rPr>
  </w:style>
  <w:style w:type="character" w:customStyle="1" w:styleId="31">
    <w:name w:val="font51"/>
    <w:basedOn w:val="23"/>
    <w:qFormat/>
    <w:uiPriority w:val="0"/>
    <w:rPr>
      <w:rFonts w:ascii="Calibri" w:hAnsi="Calibri" w:cs="Calibri"/>
      <w:b/>
      <w:bCs/>
      <w:color w:val="000000"/>
      <w:sz w:val="20"/>
      <w:szCs w:val="20"/>
      <w:u w:val="none"/>
    </w:rPr>
  </w:style>
  <w:style w:type="character" w:customStyle="1" w:styleId="32">
    <w:name w:val="批注框文本 字符"/>
    <w:basedOn w:val="23"/>
    <w:link w:val="13"/>
    <w:semiHidden/>
    <w:qFormat/>
    <w:uiPriority w:val="99"/>
    <w:rPr>
      <w:rFonts w:asciiTheme="minorHAnsi" w:hAnsiTheme="minorHAnsi" w:eastAsiaTheme="minorEastAsia" w:cstheme="minorBidi"/>
      <w:kern w:val="2"/>
      <w:sz w:val="18"/>
      <w:szCs w:val="18"/>
    </w:rPr>
  </w:style>
  <w:style w:type="character" w:customStyle="1" w:styleId="33">
    <w:name w:val="font21"/>
    <w:basedOn w:val="23"/>
    <w:qFormat/>
    <w:uiPriority w:val="0"/>
    <w:rPr>
      <w:rFonts w:hint="eastAsia" w:ascii="宋体" w:hAnsi="宋体" w:eastAsia="宋体" w:cs="宋体"/>
      <w:color w:val="000000"/>
      <w:sz w:val="24"/>
      <w:szCs w:val="24"/>
      <w:u w:val="none"/>
    </w:rPr>
  </w:style>
  <w:style w:type="character" w:customStyle="1" w:styleId="34">
    <w:name w:val="NormalCharacter"/>
    <w:qFormat/>
    <w:uiPriority w:val="0"/>
    <w:rPr>
      <w:rFonts w:ascii="Tahoma" w:hAnsi="Tahoma"/>
      <w:sz w:val="24"/>
      <w:szCs w:val="20"/>
    </w:rPr>
  </w:style>
  <w:style w:type="character" w:customStyle="1" w:styleId="35">
    <w:name w:val="font91"/>
    <w:basedOn w:val="23"/>
    <w:qFormat/>
    <w:uiPriority w:val="0"/>
    <w:rPr>
      <w:rFonts w:hint="default" w:ascii="Calibri" w:hAnsi="Calibri" w:cs="Calibri"/>
      <w:color w:val="000000"/>
      <w:sz w:val="22"/>
      <w:szCs w:val="22"/>
      <w:u w:val="none"/>
    </w:rPr>
  </w:style>
  <w:style w:type="character" w:customStyle="1" w:styleId="36">
    <w:name w:val="font101"/>
    <w:basedOn w:val="23"/>
    <w:qFormat/>
    <w:uiPriority w:val="0"/>
    <w:rPr>
      <w:rFonts w:hint="eastAsia" w:ascii="宋体" w:hAnsi="宋体" w:eastAsia="宋体" w:cs="宋体"/>
      <w:color w:val="000000"/>
      <w:sz w:val="22"/>
      <w:szCs w:val="22"/>
      <w:u w:val="none"/>
    </w:rPr>
  </w:style>
  <w:style w:type="character" w:customStyle="1" w:styleId="37">
    <w:name w:val="font71"/>
    <w:basedOn w:val="23"/>
    <w:qFormat/>
    <w:uiPriority w:val="0"/>
    <w:rPr>
      <w:rFonts w:hint="default" w:ascii="Calibri" w:hAnsi="Calibri" w:cs="Calibri"/>
      <w:color w:val="000000"/>
      <w:sz w:val="28"/>
      <w:szCs w:val="28"/>
      <w:u w:val="none"/>
    </w:rPr>
  </w:style>
  <w:style w:type="character" w:customStyle="1" w:styleId="38">
    <w:name w:val="批注文字 字符"/>
    <w:basedOn w:val="23"/>
    <w:link w:val="7"/>
    <w:qFormat/>
    <w:uiPriority w:val="0"/>
    <w:rPr>
      <w:rFonts w:eastAsia="PMingLiU"/>
      <w:sz w:val="24"/>
      <w:lang w:eastAsia="zh-TW"/>
    </w:rPr>
  </w:style>
  <w:style w:type="paragraph" w:customStyle="1" w:styleId="39">
    <w:name w:val="公文--正文"/>
    <w:qFormat/>
    <w:uiPriority w:val="0"/>
    <w:pPr>
      <w:spacing w:line="579" w:lineRule="exact"/>
      <w:ind w:firstLine="640" w:firstLineChars="200"/>
    </w:pPr>
    <w:rPr>
      <w:rFonts w:hint="eastAsia" w:ascii="方正仿宋_GBK" w:hAnsi="方正仿宋_GBK" w:eastAsia="方正仿宋_GBK" w:cs="Times New Roman"/>
      <w:sz w:val="32"/>
      <w:szCs w:val="32"/>
      <w:lang w:val="en-US" w:eastAsia="zh-CN" w:bidi="ar-SA"/>
    </w:rPr>
  </w:style>
  <w:style w:type="paragraph" w:styleId="4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3.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34</Pages>
  <Words>723</Words>
  <Characters>748</Characters>
  <Lines>37</Lines>
  <Paragraphs>33</Paragraphs>
  <TotalTime>32</TotalTime>
  <ScaleCrop>false</ScaleCrop>
  <LinksUpToDate>false</LinksUpToDate>
  <CharactersWithSpaces>879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2025-04-27T02:39:00Z</dcterms:created>
  <dc:creator>asd</dc:creator>
  <cp:lastModifiedBy>涛声依旧</cp:lastModifiedBy>
  <cp:lastPrinted>2024-11-06T01:21:00Z</cp:lastPrinted>
  <dcterms:modified xsi:type="dcterms:W3CDTF">2025-06-23T01:54:15Z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F22768802BC44AE09ADA95E81220C831_13</vt:lpwstr>
  </property>
  <property fmtid="{D5CDD505-2E9C-101B-9397-08002B2CF9AE}" pid="4" name="KSOTemplateDocerSaveRecord">
    <vt:lpwstr>eyJoZGlkIjoiZmZhYTAwMDI2NTg5ZDc1ZGQ5MWE2NzFjZDA5MzgyNmYiLCJ1c2VySWQiOiI0MTY1NDYwMjUifQ==</vt:lpwstr>
  </property>
</Properties>
</file>