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2"/>
        <w:jc w:val="center"/>
        <w:rPr>
          <w:rFonts w:hint="eastAsia" w:ascii="方正小标宋_GBK" w:hAnsi="方正小标宋_GBK" w:eastAsia="方正小标宋_GBK" w:cs="方正小标宋_GBK"/>
          <w:b w:val="0"/>
          <w:bCs w:val="0"/>
          <w:sz w:val="36"/>
          <w:szCs w:val="36"/>
          <w:lang w:val="en-US" w:eastAsia="zh-CN"/>
        </w:rPr>
      </w:pPr>
    </w:p>
    <w:p w14:paraId="72B0160C">
      <w:pPr>
        <w:pStyle w:val="2"/>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垫江县城桂阳片区公共空间改造利用项目（一期）工程长安馨苑节点球场</w:t>
      </w:r>
      <w:bookmarkStart w:id="0" w:name="_GoBack"/>
      <w:bookmarkEnd w:id="0"/>
      <w:r>
        <w:rPr>
          <w:rFonts w:hint="eastAsia" w:ascii="方正小标宋_GBK" w:hAnsi="方正小标宋_GBK" w:eastAsia="方正小标宋_GBK" w:cs="方正小标宋_GBK"/>
          <w:b w:val="0"/>
          <w:bCs w:val="0"/>
          <w:sz w:val="36"/>
          <w:szCs w:val="36"/>
          <w:lang w:val="en-US" w:eastAsia="zh-CN"/>
        </w:rPr>
        <w:t>雨棚专业分包合同</w:t>
      </w:r>
    </w:p>
    <w:p w14:paraId="2E699126">
      <w:pPr>
        <w:pStyle w:val="2"/>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2"/>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垫江县城桂阳片区公共空间改造利用项目（一期）工程长安馨苑节点</w:t>
      </w:r>
      <w:r>
        <w:rPr>
          <w:rFonts w:hint="eastAsia" w:ascii="方正仿宋_GBK" w:hAnsi="方正仿宋_GBK" w:eastAsia="方正仿宋_GBK" w:cs="方正仿宋_GBK"/>
          <w:b/>
          <w:bCs/>
          <w:sz w:val="36"/>
          <w:lang w:eastAsia="zh-CN"/>
        </w:rPr>
        <w:t>球场雨棚专业分包</w:t>
      </w:r>
      <w:r>
        <w:rPr>
          <w:rFonts w:hint="eastAsia" w:ascii="方正仿宋_GBK" w:hAnsi="方正仿宋_GBK" w:eastAsia="方正仿宋_GBK" w:cs="方正仿宋_GBK"/>
          <w:b/>
          <w:bCs/>
          <w:sz w:val="36"/>
        </w:rPr>
        <w:t>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垫江县城桂阳片区公共空间改造利用项目（一期）工程长安馨苑节点球场雨棚专业分包 。</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 。</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详见施工图、清单、《垫江县城桂阳片区公共空间改造利用项目（一期）工程长安馨苑节点球场雨棚专业分包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完成施工图及工程量清单内的全部工作内容 。</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2.本合同以招标人招标时发布的项目预算书中各项全费用综合单价金额为基数并按中标固定费率</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%签订。</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人工费、材料费（含上下车及运输费用）、设备费、施工机具使用费、企业管理费、利润、一般风险费、措施项目费（含临时设施费）、施工技术措施项目费、施工组织措施项目费、甲供材料转运费及上下车费、安全文明施工费等、保险费（含意外伤害保险及第三者责任险等）、多次转运费、吊装费、多次进出场费（若涉及）、施工配合费（若需与其他班组配合）、其他项目费、验收费、规费、税金（增值税专用发票税率为9%）、项目资料费、招标文件及合同约定的相关费用、政策性文件规定的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4D0B6F6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1）固定费率包干，工程量按实际完成的合格工程量结算【工程量按《建设工程工程量清单计价规范》（GB50500-2013）、《重庆市建设工程工程量计算规则》（CQJLGZ-2013）等规定的计算规则及招标时招标人发布的项目预算书规定的工程量计算规则计量】，结算总价=Σ（分部分项结算全费用综合单价×实际合格工程量）+变更（签证）部分价款-Σ各种违约金。</w:t>
      </w:r>
    </w:p>
    <w:p w14:paraId="5B74F040">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分部分项的结算全费用综合单价的确定：结算时以招标人发布的项目预算书中的各项全费用综合单价金额为基数按照投标人填报的固定费率计算出的价格作为对应分部分项的结算全费用综合单价（即：某分部分项结算全费用综合单价=招标人发布的项目预算书中对应该分部分项的全费用综合单价×中标固定费率）。</w:t>
      </w:r>
    </w:p>
    <w:p w14:paraId="0AD530B6">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2）若施工过程中发生工程变更和新增工作内容：招标时招标人发布的项目预算书中有相同或相似清单的以发布的预算书中相同或相似清单的价格按（1）确定结算全费用综合单价；招标时招标人发布的项目预算书中没有相同或相似清单的，变更工程内容按《建设工程工程量清单计价规范》（GB50500-2013）、《重庆市建设工程工程量清单计价规则》（CQJJGZ-2013）、《重庆市建设工程费用定额》（CQFYDE-2018）、《重庆市建设工程安全文明施工费计取及使用管理规定》(渝建管〔2024〕38号)、《重庆市住房和城乡建设委员会关于调整建设施工现场形象品质提升安全文明施工费计取的通知》（渝建管〔2020〕97号）、《重庆市住房和城乡建设委员会关于适用增值税新税率调整建设工程计价依据的通知》（渝建〔2019〕143号）《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等相关配套定额及文件编制预算（措施费不计取），下浮率以成交价与最高限价的下浮率同比例下浮，若计算后的下浮比例小于15%的，按总价下浮15%后的价格进行结算。其中：人材机按成交当月重庆信息价执行，信息价中没有的材料价双方认质认价共同确定；</w:t>
      </w:r>
    </w:p>
    <w:p w14:paraId="5678527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（3） 乙方必须实事求是编制结算，严禁高估冒算。如结算审减率超过5%（审减金额与送审金额之比）的，甲方对乙方实施处违约金，违约金金额为审减率5%以外的审减额的30%，甲方在支付工程款时直接扣除。</w:t>
      </w:r>
    </w:p>
    <w:p w14:paraId="0221B87A">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default"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（4）甲方有权根据建设项目实际情况和需求增加或取消部分清单内的建设工作内容，如取消实施内容，甲方不对乙方承担任何赔偿责任，甲方将按照已实施完工验收合格的部分进行工程量结算。</w:t>
      </w:r>
    </w:p>
    <w:p w14:paraId="49027D99">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1C839A1">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农民工工资支付：乙方应于每月25日前向甲方提交当月工程量产值报表及相关支付资料，甲方在乙方提交完整资料后的次月进行支付。支付前，乙方应提交相应的农民工工资发放表、身份证复印件、农民工银行卡、上月工资发放公示照片、上月民工签字确认已经领用的工资表、收条、增值税专用发票等有关支付资料递交至甲方指定人员处由甲方代为支付农民工工资。资料不齐或经审核与实际情况不符时，甲方有权拒绝支付进度款且不承担因此导致的任何责任。过程中的工程量仅作为进度款的支付依据，最终完成的工程量以双方实际办理结算为准。</w:t>
      </w:r>
    </w:p>
    <w:p w14:paraId="5CAAC3B9">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（2）每月支付已完合格工程量价款的80%，但需扣除已支付的农民工工资。</w:t>
      </w:r>
    </w:p>
    <w:p w14:paraId="07DE1C1A">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（3）工程完工后支付至已完合格工程量价款的80%，但不超过合同金额的80%。</w:t>
      </w:r>
    </w:p>
    <w:p w14:paraId="765E90D4">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（4）完工验收合格并结算后支付至结算金额的97%。</w:t>
      </w:r>
    </w:p>
    <w:p w14:paraId="7AED94A4">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（5）剩余结算价款的3%作为质保金，自竣工验收合格之日起两年后无质量问题一次性无息支付。</w:t>
      </w:r>
    </w:p>
    <w:p w14:paraId="0589FA2F">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（6）每次支付款项时，乙方需提供付款金额等额的增值税专用发票（税率为9%）。</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1.2履约担保的形式二选一待定：现金或现金（50%）+履约保函（50%）的组合，履约保函包括银行保函、保证保险和担保保函。红名单优惠：红名单中的中标人履约担保金额为应缴纳金额的 80%。</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3768BD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2.低价风险担保：</w:t>
      </w:r>
    </w:p>
    <w:p w14:paraId="659105D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2.1金额：¥      元（大写人民币     ）。</w:t>
      </w:r>
    </w:p>
    <w:p w14:paraId="1A60C4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2.2低价风险担保的形式及具体要求二选一待定：</w:t>
      </w:r>
    </w:p>
    <w:p w14:paraId="338F377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现金或现金（50%）+低价风险担保保函（50%）的组合；采用现金（50%）+低价风险担保保函（50%）组合形式的，保函必须为不可撤销、不可转让且见索即付的独立保函，保函格式详见第四章合同条款及格式附件，中标人出具保函时，不得修改“低价风险担保保函”名称，也不得对低价风险担保保函示范文本中付款条件等实质性内容进行修改，否则视为不符合招标文件规定。</w:t>
      </w:r>
    </w:p>
    <w:p w14:paraId="203A1F3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具体要求：低价风险担保保函的开立人应当是具有相应资格的银行（工农中建四大行）或垫江县国有融资担保公司，其信用资质、履约能力、担保能力、赔付流程、安全保密等应符合开具保函业务条件。低价风险担保保函应合法合规，符合招投标行政监督部门、行业主管部门和金融监管部门的相关规定，满足招标文件约定要求。低价风险担保保函为纸质保函的，纸质保函应注明核验地址和核验方式。中标人对所提交的低价风险担保保函的真实性、合法性、有效性负责。</w:t>
      </w:r>
    </w:p>
    <w:p w14:paraId="7FAD673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2.3低价风险担保送达招标人的时间：从甲方中标通知书送达乙方之日起5个工作日内。</w:t>
      </w:r>
    </w:p>
    <w:p w14:paraId="2EB9ADB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2.4低价风险担保的期限：自低价风险担保生效之日起至完工验收合格之日止。</w:t>
      </w:r>
    </w:p>
    <w:p w14:paraId="0F16FDD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2.5低价风险担保的退还时间：①采用现金形式的：完成合同工程量50%后退还低价风险担保总额的50%，剩余低价风险担保在完工验收合格后一次性退还。退还均不计息。</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②采用现金（50%）+低价风险担保保函（50%）组合形式的：完成合同工程量50%后退还低价风险担保现金部分的50%，完工验收合格后退还低价风险担保剩余现金部分和低价风险担保保函。退还均不计息。</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30 </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《垫江县城桂阳片区公共空间改造利用项目（一期）工程长安馨苑节点球场雨棚专业分包竞争性比选公告》；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乙方对《垫江县城桂阳片区公共空间改造利用项目（一期）工程长安馨苑节点球场雨棚专业分包竞争性比选公告》的响应文件。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3"/>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7BE1CE59">
      <w:pPr>
        <w:pStyle w:val="7"/>
        <w:rPr>
          <w:rFonts w:hint="eastAsia"/>
          <w:lang w:val="en-US" w:eastAsia="zh-CN"/>
        </w:rPr>
      </w:pPr>
    </w:p>
    <w:p w14:paraId="601BDB39">
      <w:pPr>
        <w:pStyle w:val="3"/>
        <w:rPr>
          <w:rFonts w:hint="eastAsia"/>
          <w:lang w:val="en-US" w:eastAsia="zh-CN"/>
        </w:rPr>
      </w:pPr>
      <w:r>
        <w:rPr>
          <w:rFonts w:hint="eastAsia" w:ascii="方正仿宋_GBK" w:hAnsi="方正仿宋_GBK" w:eastAsia="方正仿宋_GBK" w:cs="方正仿宋_GBK"/>
          <w:b/>
          <w:bCs/>
          <w:sz w:val="28"/>
          <w:szCs w:val="28"/>
          <w:lang w:val="en-US" w:eastAsia="zh-CN"/>
        </w:rPr>
        <w:t>附件1：工程量清单（若有）</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eastAsia="zh-CN"/>
        </w:rPr>
        <w:t>垫江县城桂阳片区公共空间改造利用项目（一期）工程长安馨苑节点球场雨棚专业分包</w:t>
      </w:r>
    </w:p>
    <w:p w14:paraId="37FABE9F">
      <w:pPr>
        <w:pStyle w:val="2"/>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2726C0F"/>
    <w:rsid w:val="04C747B3"/>
    <w:rsid w:val="04F72443"/>
    <w:rsid w:val="069B7C33"/>
    <w:rsid w:val="06EB1DC7"/>
    <w:rsid w:val="07B64184"/>
    <w:rsid w:val="081C66FB"/>
    <w:rsid w:val="081F5E95"/>
    <w:rsid w:val="095D4C2A"/>
    <w:rsid w:val="09765430"/>
    <w:rsid w:val="0B7A6C79"/>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5680878"/>
    <w:rsid w:val="25BA07B8"/>
    <w:rsid w:val="27561240"/>
    <w:rsid w:val="29782945"/>
    <w:rsid w:val="2EDF4484"/>
    <w:rsid w:val="30CF389F"/>
    <w:rsid w:val="327036FA"/>
    <w:rsid w:val="353A6E2B"/>
    <w:rsid w:val="372A7A2F"/>
    <w:rsid w:val="37775AB1"/>
    <w:rsid w:val="39127992"/>
    <w:rsid w:val="3B605DEA"/>
    <w:rsid w:val="3EA801DE"/>
    <w:rsid w:val="408F37BF"/>
    <w:rsid w:val="418211F7"/>
    <w:rsid w:val="41A24E54"/>
    <w:rsid w:val="41EB12BF"/>
    <w:rsid w:val="44055708"/>
    <w:rsid w:val="44511355"/>
    <w:rsid w:val="45C5024D"/>
    <w:rsid w:val="471E5F4B"/>
    <w:rsid w:val="4893519B"/>
    <w:rsid w:val="4AF1795C"/>
    <w:rsid w:val="4E25143E"/>
    <w:rsid w:val="4EAF1A9A"/>
    <w:rsid w:val="4F2B4F44"/>
    <w:rsid w:val="50D30A0F"/>
    <w:rsid w:val="50D73D7E"/>
    <w:rsid w:val="54A93D4B"/>
    <w:rsid w:val="56111506"/>
    <w:rsid w:val="577A1642"/>
    <w:rsid w:val="587A4EC7"/>
    <w:rsid w:val="5AB63BD0"/>
    <w:rsid w:val="5ABD70FE"/>
    <w:rsid w:val="5B5C6BD3"/>
    <w:rsid w:val="5D0814E0"/>
    <w:rsid w:val="5F7E2339"/>
    <w:rsid w:val="604843E8"/>
    <w:rsid w:val="62E56991"/>
    <w:rsid w:val="6380051D"/>
    <w:rsid w:val="66EA7C12"/>
    <w:rsid w:val="67EB35AF"/>
    <w:rsid w:val="68B26892"/>
    <w:rsid w:val="69AD2BFB"/>
    <w:rsid w:val="6E4C532A"/>
    <w:rsid w:val="6FF0313F"/>
    <w:rsid w:val="72761FC3"/>
    <w:rsid w:val="740357A1"/>
    <w:rsid w:val="74794E80"/>
    <w:rsid w:val="747B7369"/>
    <w:rsid w:val="74D84FF7"/>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99"/>
    <w:pPr>
      <w:spacing w:before="16"/>
      <w:jc w:val="left"/>
    </w:pPr>
    <w:rPr>
      <w:rFonts w:ascii="仿宋_GB2312" w:hAnsi="宋体" w:eastAsia="仿宋_GB2312" w:cs="仿宋_GB2312"/>
      <w:b/>
      <w:bCs/>
      <w:sz w:val="24"/>
      <w:szCs w:val="24"/>
    </w:rPr>
  </w:style>
  <w:style w:type="paragraph" w:styleId="4">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character" w:styleId="10">
    <w:name w:val="page number"/>
    <w:basedOn w:val="9"/>
    <w:qFormat/>
    <w:uiPriority w:val="0"/>
  </w:style>
  <w:style w:type="paragraph" w:customStyle="1" w:styleId="11">
    <w:name w:val="默认"/>
    <w:qFormat/>
    <w:uiPriority w:val="0"/>
    <w:rPr>
      <w:rFonts w:ascii="Helvetica" w:hAnsi="Helvetica" w:eastAsia="Helvetica" w:cs="Helvetica"/>
      <w:color w:val="000000"/>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14</Pages>
  <Words>9489</Words>
  <Characters>9881</Characters>
  <Lines>191</Lines>
  <Paragraphs>108</Paragraphs>
  <TotalTime>0</TotalTime>
  <ScaleCrop>false</ScaleCrop>
  <LinksUpToDate>false</LinksUpToDate>
  <CharactersWithSpaces>10300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2025-07-07T07:54:00Z</cp:lastPrinted>
  <dcterms:modified xsi:type="dcterms:W3CDTF">2025-07-07T07:57:22Z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C0AF42C2997B4E0E8AA684B2D927747C</vt:lpwstr>
  </property>
  <property fmtid="{D5CDD505-2E9C-101B-9397-08002B2CF9AE}" pid="3" name="KSOProductBuildVer">
    <vt:lpwstr>2052-12.1.0.21915</vt:lpwstr>
  </property>
  <property fmtid="{D5CDD505-2E9C-101B-9397-08002B2CF9AE}" pid="4" name="KSOTemplateDocerSaveRecord">
    <vt:lpwstr>eyJoZGlkIjoiNTVkZTIyYTQ0ZDUzMGU3MjA1N2FmYmNkYmM4YThkZDQiLCJ1c2VySWQiOiIyNjQwMDM1OTQifQ==</vt:lpwstr>
  </property>
</Properties>
</file>