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2"/>
        <w:jc w:val="center"/>
        <w:rPr>
          <w:rFonts w:hint="eastAsia" w:ascii="方正小标宋_GBK" w:hAnsi="方正小标宋_GBK" w:eastAsia="方正小标宋_GBK" w:cs="方正小标宋_GBK"/>
          <w:b w:val="0"/>
          <w:bCs w:val="0"/>
          <w:sz w:val="36"/>
          <w:szCs w:val="36"/>
          <w:lang w:val="en-US" w:eastAsia="zh-CN"/>
        </w:rPr>
      </w:pPr>
    </w:p>
    <w:p w14:paraId="72B0160C">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垫江县迎春河保合寺传统风貌更新EPC项目廊架工程专业分包合同</w:t>
      </w:r>
    </w:p>
    <w:p w14:paraId="2E699126">
      <w:pPr>
        <w:pStyle w:val="2"/>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2"/>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lang w:eastAsia="zh-CN"/>
        </w:rPr>
        <w:t>垫江县迎春河保合寺传统风貌更新EPC项目廊架工程专业分包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垫江县迎春河保合寺传统风貌更新EPC项目廊架工程专业分包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详见施工图、清单、《垫江县迎春河保合寺传统风貌更新EPC项目廊架工程专业分包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6CCF74C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包括基础开挖、基础及柱模板制作施工（基础及混泥土柱用钢筋、混泥土等材料由甲供）、基础预埋、顶棚玻璃等清单内的全部工作内容；</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具体详见施工图及工程量清单。。</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含上下车及运输费用）、设备费、施工机具使用费、企业管理费、利润、一般风险费、措施项目费（含临时设施费）、施工技术措施项目费、施工组织措施项目费、甲供材料转运费及上下车费、安全文明施工费等、保险费（含意外伤害保险及第三者责任险等）、多次转运费、吊装费、多次进出场费（若涉及）、施工配合费（若需与其他班组配合）、其他项目费、验收费、规费、税金（增值税专用发票税率为9%）、项目资料费、招标文件及合同约定的相关费用、政策性文件规定的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4D0B6F6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1）固定费率包干，工程量按实际完成的合格工程量结算【工程量按《建设工程工程量清单计价规范》（GB50500-2013）、《重庆市建设工程工程量计算规则》（CQJLGZ-2013）等规定的计算规则及招标时招标人发布的项目预算书规定的工程量计算规则计量】，结算总价=Σ（分部分项结算全费用综合单价×实际合格工程量）+变更（签证）部分价款-Σ各种违约金。</w:t>
      </w:r>
    </w:p>
    <w:p w14:paraId="5B74F040">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分部分项的结算全费用综合单价的确定：结算时以招标人发布的项目预算书中的各项全费用综合单价金额为基数按照投标人填报的固定费率计算出的价格作为对应分部分项的结算全费用综合单价（即：某分部分项结算全费用综合单价=招标人发布的项目预算书中对应该分部分项的全费用综合单价×中标固定费率）。</w:t>
      </w:r>
    </w:p>
    <w:p w14:paraId="0AD530B6">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2）若施工过程中发生工程变更和新增工作内容：招标时招标人发布的项目预算书中有相同或相似清单的以发布的预算书中相同或相似清单的价格按（1）确定结算全费用综合单价；招标时招标人发布的项目预算书中没有相同或相似清单的，变更工程内容按《建设工程工程量清单计价规范》（GB50500-2013）、《重庆市建设工程工程量清单计价规则》（CQJJGZ-2013）、《重庆市建设工程费用定额》（CQFYDE-2018）、《重庆市建设工程安全文明施工费计取及使用管理规定》(渝建管〔2024〕38号)、《重庆市住房和城乡建设委员会关于调整建设施工现场形象品质提升安全文明施工费计取的通知》（渝建管〔2020〕97号）、《重庆市住房和城乡建设委员会关于适用增值税新税率调整建设工程计价依据的通知》（渝建〔2019〕143号）《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相关配套定额及文件编制预算（措施费不计取），下浮率以成交价与最高限价的下浮率同比例下浮，若计算后的下浮比例小于15%的，按总价下浮15%后的价格进行结算。其中：人材机按成交当月重庆信息价执行，信息价中没有的材料价双方认质认价共同确定；</w:t>
      </w:r>
    </w:p>
    <w:p w14:paraId="5678527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（3） 乙方必须实事求是编制结算，严禁高估冒算。如结算审减率超过5%（审减金额与送审金额之比）的，甲方对乙方实施处违约金，违约金金额为审减率5%以外的审减额的30%，甲方在支付工程款时直接扣除。</w:t>
      </w:r>
    </w:p>
    <w:p w14:paraId="0221B8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（4）甲方有权根据建设项目实际情况和需求增加或取消部分清单内的建设工作内容，如取消实施内容，甲方不对乙方承担任何赔偿责任，甲方将按照已实施完工验收合格的部分进行工程量结算。</w:t>
      </w:r>
    </w:p>
    <w:p w14:paraId="49027D99">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1C839A1">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农民工工资支付：乙方应于每月25日前向甲方提交当月工程量产值报表及相关支付资料，甲方在乙方提交完整资料后的次月进行支付。支付前，乙方应提交相应的农民工工资发放表、身份证复印件、农民工银行卡、上月工资发放公示照片、上月民工签字确认已经领用的工资表、收条、增值税专用发票等有关支付资料递交至甲方指定人员处由甲方代为支付农民工工资。资料不齐或经审核与实际情况不符时，甲方有权拒绝支付进度款且不承担因此导致的任何责任。过程中的工程量仅作为进度款的支付依据，最终完成的工程量以双方实际办理结算为准，农民工工资支付标准为已完工程工程量产值的25%。</w:t>
      </w:r>
      <w:bookmarkStart w:id="0" w:name="_GoBack"/>
      <w:bookmarkEnd w:id="0"/>
    </w:p>
    <w:p w14:paraId="5CAAC3B9">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（2）每月支付已完合格工程量价款的80%，但需扣除已支付的农民工工资。</w:t>
      </w:r>
    </w:p>
    <w:p w14:paraId="07DE1C1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（3）工程完工后支付至已完合格工程量价款的80%，但不超过合同金额的80%。</w:t>
      </w:r>
    </w:p>
    <w:p w14:paraId="765E90D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（4）完工验收合格并结算后支付至结算金额的97%。</w:t>
      </w:r>
    </w:p>
    <w:p w14:paraId="7AED94A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（5）剩余结算价款的3%作为质保金，自竣工验收合格之日起两年后无质量问题一次性无息支付。</w:t>
      </w:r>
    </w:p>
    <w:p w14:paraId="0589FA2F">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（6）每次支付款项时，乙方需提供付款金额等额的增值税专用发票（税率为9%）。</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1.2履约担保的形式二选一待定：现金或现金（50%）+履约保函（50%）的组合，履约保函包括银行保函、保证保险和担保保函。红名单优惠：红名单中的中标人履约担保金额为应缴纳金额的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2.2低价风险担保的形式及具体要求二选一待定：</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30 </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《垫江县迎春河保合寺传统风貌更新EPC项目廊架工程专业分包竞争性比选公告》；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乙方对《垫江县迎春河保合寺传统风貌更新EPC项目廊架工程专业分包竞争性比选公告》的响应文件。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3"/>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7"/>
        <w:rPr>
          <w:rFonts w:hint="eastAsia"/>
          <w:lang w:val="en-US" w:eastAsia="zh-CN"/>
        </w:rPr>
      </w:pPr>
    </w:p>
    <w:p w14:paraId="601BDB39">
      <w:pPr>
        <w:pStyle w:val="3"/>
        <w:rPr>
          <w:rFonts w:hint="eastAsia"/>
          <w:lang w:val="en-US" w:eastAsia="zh-CN"/>
        </w:rPr>
      </w:pPr>
      <w:r>
        <w:rPr>
          <w:rFonts w:hint="eastAsia" w:ascii="方正仿宋_GBK" w:hAnsi="方正仿宋_GBK" w:eastAsia="方正仿宋_GBK" w:cs="方正仿宋_GBK"/>
          <w:b/>
          <w:bCs/>
          <w:sz w:val="28"/>
          <w:szCs w:val="28"/>
          <w:lang w:val="en-US" w:eastAsia="zh-CN"/>
        </w:rPr>
        <w:t>附件1：工程量清单（若有）</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eastAsia="zh-CN"/>
        </w:rPr>
        <w:t>垫江县迎春河保合寺传统风貌更新EPC项目廊架工程专业分包</w:t>
      </w:r>
    </w:p>
    <w:p w14:paraId="37FABE9F">
      <w:pPr>
        <w:pStyle w:val="2"/>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2726C0F"/>
    <w:rsid w:val="04C747B3"/>
    <w:rsid w:val="04F72443"/>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7452826"/>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2A7A2F"/>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E4C532A"/>
    <w:rsid w:val="6FB004E8"/>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默认"/>
    <w:qFormat/>
    <w:uiPriority w:val="0"/>
    <w:rPr>
      <w:rFonts w:ascii="Helvetica" w:hAnsi="Helvetica" w:eastAsia="Helvetica" w:cs="Helvetica"/>
      <w:color w:val="000000"/>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14</Pages>
  <Words>9461</Words>
  <Characters>9867</Characters>
  <Lines>191</Lines>
  <Paragraphs>108</Paragraphs>
  <TotalTime>0</TotalTime>
  <ScaleCrop>false</ScaleCrop>
  <LinksUpToDate>false</LinksUpToDate>
  <CharactersWithSpaces>10285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2025-07-14T07:50:43Z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2052-12.1.0.21915</vt:lpwstr>
  </property>
  <property fmtid="{D5CDD505-2E9C-101B-9397-08002B2CF9AE}" pid="4" name="KSOTemplateDocerSaveRecord">
    <vt:lpwstr>eyJoZGlkIjoiNTVkZTIyYTQ0ZDUzMGU3MjA1N2FmYmNkYmM4YThkZDQiLCJ1c2VySWQiOiIyNjQwMDM1OTQifQ==</vt:lpwstr>
  </property>
</Properties>
</file>