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44"/>
          <w:szCs w:val="44"/>
          <w:highlight w:val="none"/>
        </w:rPr>
      </w:pPr>
      <w:bookmarkStart w:id="0" w:name="_Toc287620665"/>
    </w:p>
    <w:p>
      <w:pPr>
        <w:spacing w:line="360" w:lineRule="auto"/>
        <w:jc w:val="center"/>
        <w:rPr>
          <w:rFonts w:hint="eastAsia" w:ascii="宋体" w:hAnsi="宋体" w:eastAsia="宋体"/>
          <w:color w:val="auto"/>
          <w:kern w:val="0"/>
          <w:sz w:val="72"/>
          <w:szCs w:val="72"/>
          <w:highlight w:val="none"/>
          <w:lang w:eastAsia="zh-CN"/>
        </w:rPr>
      </w:pPr>
      <w:r>
        <w:rPr>
          <w:rFonts w:hint="eastAsia" w:ascii="宋体" w:hAnsi="宋体" w:cs="宋体"/>
          <w:color w:val="auto"/>
          <w:sz w:val="44"/>
          <w:szCs w:val="44"/>
          <w:highlight w:val="none"/>
          <w:lang w:eastAsia="zh-CN"/>
        </w:rPr>
        <w:t>宝鼎山建(构)筑物排危整治工程</w:t>
      </w: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pStyle w:val="2"/>
        <w:rPr>
          <w:rFonts w:ascii="宋体" w:hAnsi="宋体"/>
          <w:color w:val="auto"/>
          <w:kern w:val="0"/>
          <w:sz w:val="20"/>
          <w:szCs w:val="20"/>
          <w:highlight w:val="none"/>
        </w:rPr>
      </w:pPr>
    </w:p>
    <w:p>
      <w:pPr>
        <w:rPr>
          <w:color w:val="auto"/>
          <w:highlight w:val="none"/>
        </w:rPr>
      </w:pPr>
    </w:p>
    <w:p>
      <w:pPr>
        <w:rPr>
          <w:color w:val="auto"/>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 xml:space="preserve">竞 争 性 比 选 </w:t>
      </w:r>
      <w:r>
        <w:rPr>
          <w:rFonts w:ascii="宋体" w:hAnsi="宋体"/>
          <w:color w:val="auto"/>
          <w:kern w:val="0"/>
          <w:sz w:val="72"/>
          <w:szCs w:val="72"/>
          <w:highlight w:val="none"/>
        </w:rPr>
        <w:t>文</w:t>
      </w:r>
      <w:r>
        <w:rPr>
          <w:rFonts w:hint="eastAsia" w:ascii="宋体" w:hAnsi="宋体"/>
          <w:color w:val="auto"/>
          <w:kern w:val="0"/>
          <w:sz w:val="72"/>
          <w:szCs w:val="72"/>
          <w:highlight w:val="none"/>
          <w:lang w:val="en-US" w:eastAsia="zh-CN"/>
        </w:rPr>
        <w:t xml:space="preserve"> </w:t>
      </w:r>
      <w:r>
        <w:rPr>
          <w:rFonts w:ascii="宋体" w:hAnsi="宋体"/>
          <w:color w:val="auto"/>
          <w:kern w:val="0"/>
          <w:sz w:val="72"/>
          <w:szCs w:val="72"/>
          <w:highlight w:val="none"/>
        </w:rPr>
        <w:t>件</w:t>
      </w:r>
    </w:p>
    <w:p>
      <w:pPr>
        <w:autoSpaceDE w:val="0"/>
        <w:autoSpaceDN w:val="0"/>
        <w:adjustRightInd w:val="0"/>
        <w:snapToGrid w:val="0"/>
        <w:spacing w:line="360" w:lineRule="auto"/>
        <w:jc w:val="left"/>
        <w:rPr>
          <w:rFonts w:ascii="宋体" w:hAnsi="宋体"/>
          <w:color w:val="auto"/>
          <w:kern w:val="0"/>
          <w:sz w:val="10"/>
          <w:szCs w:val="1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rPr>
          <w:rFonts w:ascii="宋体" w:hAnsi="宋体"/>
          <w:color w:val="auto"/>
          <w:kern w:val="0"/>
          <w:sz w:val="20"/>
          <w:szCs w:val="20"/>
          <w:highlight w:val="none"/>
        </w:rPr>
      </w:pPr>
    </w:p>
    <w:p>
      <w:pPr>
        <w:autoSpaceDE w:val="0"/>
        <w:autoSpaceDN w:val="0"/>
        <w:adjustRightInd w:val="0"/>
        <w:snapToGrid w:val="0"/>
        <w:spacing w:line="360" w:lineRule="auto"/>
        <w:rPr>
          <w:rFonts w:ascii="宋体" w:hAnsi="宋体"/>
          <w:color w:val="auto"/>
          <w:kern w:val="0"/>
          <w:sz w:val="20"/>
          <w:szCs w:val="20"/>
          <w:highlight w:val="none"/>
        </w:rPr>
      </w:pPr>
    </w:p>
    <w:p>
      <w:pPr>
        <w:autoSpaceDE w:val="0"/>
        <w:autoSpaceDN w:val="0"/>
        <w:adjustRightInd w:val="0"/>
        <w:snapToGrid w:val="0"/>
        <w:spacing w:line="360" w:lineRule="auto"/>
        <w:rPr>
          <w:rFonts w:ascii="宋体" w:hAnsi="宋体"/>
          <w:color w:val="auto"/>
          <w:kern w:val="0"/>
          <w:sz w:val="20"/>
          <w:szCs w:val="20"/>
          <w:highlight w:val="none"/>
        </w:rPr>
      </w:pPr>
    </w:p>
    <w:p>
      <w:pPr>
        <w:tabs>
          <w:tab w:val="left" w:pos="6219"/>
        </w:tabs>
        <w:autoSpaceDE w:val="0"/>
        <w:autoSpaceDN w:val="0"/>
        <w:adjustRightInd w:val="0"/>
        <w:snapToGrid w:val="0"/>
        <w:spacing w:line="360" w:lineRule="auto"/>
        <w:jc w:val="center"/>
        <w:rPr>
          <w:rFonts w:ascii="宋体" w:hAnsi="宋体"/>
          <w:bCs/>
          <w:color w:val="auto"/>
          <w:w w:val="99"/>
          <w:kern w:val="0"/>
          <w:sz w:val="28"/>
          <w:szCs w:val="28"/>
          <w:highlight w:val="none"/>
        </w:rPr>
      </w:pPr>
      <w:r>
        <w:rPr>
          <w:rFonts w:ascii="宋体" w:hAnsi="宋体"/>
          <w:bCs/>
          <w:color w:val="auto"/>
          <w:w w:val="99"/>
          <w:kern w:val="0"/>
          <w:sz w:val="28"/>
          <w:szCs w:val="28"/>
          <w:highlight w:val="none"/>
        </w:rPr>
        <w:t>招</w:t>
      </w:r>
      <w:r>
        <w:rPr>
          <w:rFonts w:hint="eastAsia" w:ascii="宋体" w:hAnsi="宋体"/>
          <w:bCs/>
          <w:color w:val="auto"/>
          <w:w w:val="99"/>
          <w:kern w:val="0"/>
          <w:sz w:val="28"/>
          <w:szCs w:val="28"/>
          <w:highlight w:val="none"/>
        </w:rPr>
        <w:t xml:space="preserve">   </w:t>
      </w:r>
      <w:r>
        <w:rPr>
          <w:rFonts w:ascii="宋体" w:hAnsi="宋体"/>
          <w:bCs/>
          <w:color w:val="auto"/>
          <w:w w:val="99"/>
          <w:kern w:val="0"/>
          <w:sz w:val="28"/>
          <w:szCs w:val="28"/>
          <w:highlight w:val="none"/>
        </w:rPr>
        <w:t>标</w:t>
      </w:r>
      <w:r>
        <w:rPr>
          <w:rFonts w:hint="eastAsia" w:ascii="宋体" w:hAnsi="宋体"/>
          <w:bCs/>
          <w:color w:val="auto"/>
          <w:w w:val="99"/>
          <w:kern w:val="0"/>
          <w:sz w:val="28"/>
          <w:szCs w:val="28"/>
          <w:highlight w:val="none"/>
        </w:rPr>
        <w:t xml:space="preserve">   </w:t>
      </w:r>
      <w:r>
        <w:rPr>
          <w:rFonts w:ascii="宋体" w:hAnsi="宋体"/>
          <w:bCs/>
          <w:color w:val="auto"/>
          <w:w w:val="99"/>
          <w:kern w:val="0"/>
          <w:sz w:val="28"/>
          <w:szCs w:val="28"/>
          <w:highlight w:val="none"/>
        </w:rPr>
        <w:t>人：</w:t>
      </w:r>
      <w:r>
        <w:rPr>
          <w:rFonts w:hint="eastAsia" w:ascii="宋体" w:hAnsi="宋体"/>
          <w:bCs/>
          <w:color w:val="auto"/>
          <w:kern w:val="0"/>
          <w:sz w:val="28"/>
          <w:szCs w:val="28"/>
          <w:highlight w:val="none"/>
          <w:u w:val="single"/>
          <w:lang w:eastAsia="zh-CN"/>
        </w:rPr>
        <w:t>重庆明月山建设开发有限公司</w:t>
      </w:r>
      <w:r>
        <w:rPr>
          <w:rFonts w:ascii="宋体" w:hAnsi="宋体"/>
          <w:bCs/>
          <w:color w:val="auto"/>
          <w:kern w:val="0"/>
          <w:sz w:val="28"/>
          <w:szCs w:val="28"/>
          <w:highlight w:val="none"/>
          <w:u w:val="single"/>
        </w:rPr>
        <w:t xml:space="preserve">  </w:t>
      </w:r>
      <w:r>
        <w:rPr>
          <w:rFonts w:ascii="宋体" w:hAnsi="宋体"/>
          <w:bCs/>
          <w:color w:val="auto"/>
          <w:w w:val="99"/>
          <w:kern w:val="0"/>
          <w:sz w:val="28"/>
          <w:szCs w:val="28"/>
          <w:highlight w:val="none"/>
        </w:rPr>
        <w:t>（盖单位法人章）</w:t>
      </w:r>
    </w:p>
    <w:p>
      <w:pPr>
        <w:tabs>
          <w:tab w:val="left" w:pos="6252"/>
        </w:tabs>
        <w:autoSpaceDE w:val="0"/>
        <w:autoSpaceDN w:val="0"/>
        <w:adjustRightInd w:val="0"/>
        <w:snapToGrid w:val="0"/>
        <w:spacing w:line="360" w:lineRule="auto"/>
        <w:jc w:val="center"/>
        <w:rPr>
          <w:rFonts w:ascii="宋体" w:hAnsi="宋体"/>
          <w:bCs/>
          <w:color w:val="auto"/>
          <w:w w:val="99"/>
          <w:kern w:val="0"/>
          <w:sz w:val="28"/>
          <w:szCs w:val="28"/>
          <w:highlight w:val="none"/>
        </w:rPr>
      </w:pPr>
      <w:r>
        <w:rPr>
          <w:rFonts w:ascii="宋体" w:hAnsi="宋体"/>
          <w:bCs/>
          <w:color w:val="auto"/>
          <w:spacing w:val="8"/>
          <w:kern w:val="0"/>
          <w:sz w:val="28"/>
          <w:szCs w:val="28"/>
          <w:highlight w:val="none"/>
        </w:rPr>
        <w:t>招标代理机构：</w:t>
      </w:r>
      <w:r>
        <w:rPr>
          <w:rFonts w:hint="eastAsia" w:ascii="宋体" w:hAnsi="宋体"/>
          <w:bCs/>
          <w:color w:val="auto"/>
          <w:kern w:val="0"/>
          <w:sz w:val="28"/>
          <w:szCs w:val="28"/>
          <w:highlight w:val="none"/>
          <w:u w:val="single"/>
          <w:lang w:eastAsia="zh-CN"/>
        </w:rPr>
        <w:t>重庆立生实业有限公司</w:t>
      </w:r>
      <w:r>
        <w:rPr>
          <w:rFonts w:ascii="宋体" w:hAnsi="宋体"/>
          <w:bCs/>
          <w:color w:val="auto"/>
          <w:kern w:val="0"/>
          <w:sz w:val="28"/>
          <w:szCs w:val="28"/>
          <w:highlight w:val="none"/>
          <w:u w:val="single"/>
        </w:rPr>
        <w:t xml:space="preserve">  </w:t>
      </w:r>
      <w:r>
        <w:rPr>
          <w:rFonts w:ascii="宋体" w:hAnsi="宋体"/>
          <w:bCs/>
          <w:color w:val="auto"/>
          <w:w w:val="99"/>
          <w:kern w:val="0"/>
          <w:sz w:val="28"/>
          <w:szCs w:val="28"/>
          <w:highlight w:val="none"/>
        </w:rPr>
        <w:t>（盖单位法人章）</w:t>
      </w:r>
    </w:p>
    <w:p>
      <w:pPr>
        <w:autoSpaceDE w:val="0"/>
        <w:autoSpaceDN w:val="0"/>
        <w:adjustRightInd w:val="0"/>
        <w:snapToGrid w:val="0"/>
        <w:spacing w:line="360" w:lineRule="auto"/>
        <w:jc w:val="center"/>
        <w:rPr>
          <w:rFonts w:ascii="宋体" w:hAnsi="宋体"/>
          <w:bCs/>
          <w:color w:val="auto"/>
          <w:kern w:val="0"/>
          <w:sz w:val="20"/>
          <w:szCs w:val="20"/>
          <w:highlight w:val="none"/>
        </w:rPr>
      </w:pPr>
    </w:p>
    <w:p>
      <w:pPr>
        <w:autoSpaceDE w:val="0"/>
        <w:autoSpaceDN w:val="0"/>
        <w:adjustRightInd w:val="0"/>
        <w:snapToGrid w:val="0"/>
        <w:spacing w:line="360" w:lineRule="auto"/>
        <w:rPr>
          <w:rFonts w:ascii="宋体" w:hAnsi="宋体"/>
          <w:bCs/>
          <w:color w:val="auto"/>
          <w:kern w:val="0"/>
          <w:sz w:val="28"/>
          <w:szCs w:val="28"/>
          <w:highlight w:val="none"/>
        </w:rPr>
      </w:pPr>
    </w:p>
    <w:p>
      <w:pPr>
        <w:autoSpaceDE w:val="0"/>
        <w:autoSpaceDN w:val="0"/>
        <w:adjustRightInd w:val="0"/>
        <w:snapToGrid w:val="0"/>
        <w:spacing w:line="360" w:lineRule="auto"/>
        <w:rPr>
          <w:rFonts w:ascii="宋体" w:hAnsi="宋体"/>
          <w:bCs/>
          <w:color w:val="auto"/>
          <w:kern w:val="0"/>
          <w:sz w:val="20"/>
          <w:szCs w:val="20"/>
          <w:highlight w:val="none"/>
        </w:rPr>
      </w:pPr>
    </w:p>
    <w:p>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1" w:name="_Toc536621766"/>
      <w:bookmarkStart w:id="2" w:name="_Toc509218549"/>
      <w:bookmarkStart w:id="3" w:name="_Toc536797277"/>
      <w:bookmarkStart w:id="4" w:name="_Toc536796736"/>
      <w:bookmarkStart w:id="5" w:name="_Toc13210649"/>
      <w:r>
        <w:rPr>
          <w:rFonts w:hint="eastAsia" w:ascii="宋体" w:hAnsi="宋体"/>
          <w:bCs/>
          <w:color w:val="auto"/>
          <w:spacing w:val="8"/>
          <w:kern w:val="0"/>
          <w:sz w:val="28"/>
          <w:szCs w:val="28"/>
          <w:highlight w:val="none"/>
          <w:u w:val="single"/>
          <w:lang w:val="en-US" w:eastAsia="zh-CN"/>
        </w:rPr>
        <w:t xml:space="preserve"> </w:t>
      </w:r>
      <w:r>
        <w:rPr>
          <w:rFonts w:hint="eastAsia" w:ascii="宋体" w:hAnsi="宋体"/>
          <w:bCs/>
          <w:color w:val="auto"/>
          <w:spacing w:val="8"/>
          <w:kern w:val="0"/>
          <w:sz w:val="28"/>
          <w:szCs w:val="28"/>
          <w:highlight w:val="none"/>
          <w:u w:val="single"/>
        </w:rPr>
        <w:t>202</w:t>
      </w:r>
      <w:r>
        <w:rPr>
          <w:rFonts w:hint="eastAsia" w:ascii="宋体" w:hAnsi="宋体"/>
          <w:bCs/>
          <w:color w:val="auto"/>
          <w:spacing w:val="8"/>
          <w:kern w:val="0"/>
          <w:sz w:val="28"/>
          <w:szCs w:val="28"/>
          <w:highlight w:val="none"/>
          <w:u w:val="single"/>
          <w:lang w:val="en-US" w:eastAsia="zh-CN"/>
        </w:rPr>
        <w:t xml:space="preserve">5 </w:t>
      </w:r>
      <w:r>
        <w:rPr>
          <w:rFonts w:ascii="宋体" w:hAnsi="宋体"/>
          <w:bCs/>
          <w:color w:val="auto"/>
          <w:spacing w:val="8"/>
          <w:kern w:val="0"/>
          <w:sz w:val="28"/>
          <w:szCs w:val="28"/>
          <w:highlight w:val="none"/>
        </w:rPr>
        <w:t>年</w:t>
      </w:r>
      <w:r>
        <w:rPr>
          <w:rFonts w:hint="eastAsia" w:ascii="宋体" w:hAnsi="宋体"/>
          <w:bCs/>
          <w:color w:val="auto"/>
          <w:spacing w:val="8"/>
          <w:kern w:val="0"/>
          <w:sz w:val="28"/>
          <w:szCs w:val="28"/>
          <w:highlight w:val="none"/>
          <w:u w:val="single"/>
        </w:rPr>
        <w:t xml:space="preserve"> </w:t>
      </w:r>
      <w:r>
        <w:rPr>
          <w:rFonts w:hint="eastAsia" w:ascii="宋体" w:hAnsi="宋体"/>
          <w:bCs/>
          <w:color w:val="auto"/>
          <w:spacing w:val="8"/>
          <w:kern w:val="0"/>
          <w:sz w:val="28"/>
          <w:szCs w:val="28"/>
          <w:highlight w:val="none"/>
          <w:u w:val="single"/>
          <w:lang w:val="en-US" w:eastAsia="zh-CN"/>
        </w:rPr>
        <w:t>07</w:t>
      </w:r>
      <w:r>
        <w:rPr>
          <w:rFonts w:hint="eastAsia" w:ascii="宋体" w:hAnsi="宋体"/>
          <w:bCs/>
          <w:color w:val="auto"/>
          <w:spacing w:val="8"/>
          <w:kern w:val="0"/>
          <w:sz w:val="28"/>
          <w:szCs w:val="28"/>
          <w:highlight w:val="none"/>
          <w:u w:val="single"/>
        </w:rPr>
        <w:t xml:space="preserve"> </w:t>
      </w:r>
      <w:r>
        <w:rPr>
          <w:rFonts w:ascii="宋体" w:hAnsi="宋体"/>
          <w:bCs/>
          <w:color w:val="auto"/>
          <w:spacing w:val="8"/>
          <w:kern w:val="0"/>
          <w:sz w:val="28"/>
          <w:szCs w:val="28"/>
          <w:highlight w:val="none"/>
        </w:rPr>
        <w:t>月</w:t>
      </w:r>
      <w:bookmarkEnd w:id="1"/>
      <w:bookmarkEnd w:id="2"/>
      <w:bookmarkEnd w:id="3"/>
      <w:bookmarkEnd w:id="4"/>
      <w:bookmarkEnd w:id="5"/>
    </w:p>
    <w:p>
      <w:pPr>
        <w:pStyle w:val="3"/>
        <w:spacing w:line="360" w:lineRule="auto"/>
        <w:rPr>
          <w:rFonts w:ascii="宋体" w:hAnsi="宋体"/>
          <w:color w:val="auto"/>
          <w:w w:val="99"/>
          <w:kern w:val="0"/>
          <w:sz w:val="24"/>
          <w:highlight w:val="none"/>
        </w:rPr>
        <w:sectPr>
          <w:headerReference r:id="rId4" w:type="default"/>
          <w:pgSz w:w="11907" w:h="16840"/>
          <w:pgMar w:top="1304" w:right="1134" w:bottom="1304" w:left="1304" w:header="851" w:footer="992" w:gutter="0"/>
          <w:pgNumType w:fmt="numberInDash" w:start="1"/>
          <w:cols w:space="720" w:num="1"/>
          <w:docGrid w:linePitch="312" w:charSpace="0"/>
        </w:sectPr>
      </w:pPr>
    </w:p>
    <w:p>
      <w:pPr>
        <w:pStyle w:val="68"/>
        <w:jc w:val="center"/>
        <w:rPr>
          <w:rFonts w:ascii="宋体" w:hAnsi="宋体"/>
          <w:color w:val="auto"/>
          <w:sz w:val="44"/>
          <w:szCs w:val="44"/>
          <w:highlight w:val="none"/>
        </w:rPr>
      </w:pPr>
      <w:bookmarkStart w:id="6" w:name="_Toc23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p>
    <w:p>
      <w:pPr>
        <w:pStyle w:val="31"/>
        <w:tabs>
          <w:tab w:val="right" w:leader="dot" w:pos="9469"/>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rFonts w:ascii="宋体" w:hAnsi="宋体"/>
          <w:color w:val="auto"/>
          <w:highlight w:val="none"/>
        </w:rPr>
        <w:fldChar w:fldCharType="begin"/>
      </w:r>
      <w:r>
        <w:rPr>
          <w:rFonts w:ascii="宋体" w:hAnsi="宋体"/>
          <w:color w:val="auto"/>
          <w:highlight w:val="none"/>
        </w:rPr>
        <w:instrText xml:space="preserve"> HYPERLINK \l _Toc12392 </w:instrText>
      </w:r>
      <w:r>
        <w:rPr>
          <w:rFonts w:ascii="宋体" w:hAnsi="宋体"/>
          <w:color w:val="auto"/>
          <w:highlight w:val="none"/>
        </w:rPr>
        <w:fldChar w:fldCharType="separate"/>
      </w:r>
      <w:r>
        <w:rPr>
          <w:rFonts w:hint="eastAsia" w:ascii="宋体" w:hAns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_Toc12392 \h </w:instrText>
      </w:r>
      <w:r>
        <w:rPr>
          <w:color w:val="auto"/>
          <w:highlight w:val="none"/>
        </w:rPr>
        <w:fldChar w:fldCharType="separate"/>
      </w:r>
      <w:r>
        <w:rPr>
          <w:color w:val="auto"/>
          <w:highlight w:val="none"/>
        </w:rPr>
        <w:t>2</w:t>
      </w:r>
      <w:r>
        <w:rPr>
          <w:color w:val="auto"/>
          <w:highlight w:val="none"/>
        </w:rPr>
        <w:fldChar w:fldCharType="end"/>
      </w:r>
      <w:r>
        <w:rPr>
          <w:rFonts w:ascii="宋体" w:hAnsi="宋体"/>
          <w:color w:val="auto"/>
          <w:highlight w:val="none"/>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_Toc5187 </w:instrText>
      </w:r>
      <w:r>
        <w:rPr>
          <w:rFonts w:ascii="宋体" w:hAnsi="宋体"/>
          <w:bCs/>
          <w:color w:val="auto"/>
          <w:szCs w:val="20"/>
          <w:highlight w:val="none"/>
          <w:lang w:val="zh-CN"/>
        </w:rPr>
        <w:fldChar w:fldCharType="separate"/>
      </w:r>
      <w:r>
        <w:rPr>
          <w:rFonts w:ascii="宋体" w:hAnsi="宋体"/>
          <w:snapToGrid w:val="0"/>
          <w:color w:val="auto"/>
          <w:kern w:val="0"/>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_Toc5187 \h </w:instrText>
      </w:r>
      <w:r>
        <w:rPr>
          <w:color w:val="auto"/>
          <w:highlight w:val="none"/>
        </w:rPr>
        <w:fldChar w:fldCharType="separate"/>
      </w:r>
      <w:r>
        <w:rPr>
          <w:color w:val="auto"/>
          <w:highlight w:val="none"/>
        </w:rPr>
        <w:t>3</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_Toc916 </w:instrText>
      </w:r>
      <w:r>
        <w:rPr>
          <w:rFonts w:ascii="宋体" w:hAnsi="宋体"/>
          <w:bCs/>
          <w:color w:val="auto"/>
          <w:szCs w:val="20"/>
          <w:highlight w:val="none"/>
          <w:lang w:val="zh-CN"/>
        </w:rPr>
        <w:fldChar w:fldCharType="separate"/>
      </w:r>
      <w:r>
        <w:rPr>
          <w:rFonts w:ascii="宋体" w:hAnsi="宋体"/>
          <w:snapToGrid w:val="0"/>
          <w:color w:val="auto"/>
          <w:kern w:val="0"/>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_Toc23923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hint="eastAsia" w:ascii="宋体" w:hAnsi="宋体"/>
          <w:snapToGrid w:val="0"/>
          <w:color w:val="auto"/>
          <w:kern w:val="0"/>
          <w:highlight w:val="none"/>
        </w:rPr>
        <w:t>经评审的最低投标价法</w:t>
      </w:r>
      <w:r>
        <w:rPr>
          <w:rFonts w:ascii="宋体" w:hAnsi="宋体"/>
          <w:snapToGrid w:val="0"/>
          <w:color w:val="auto"/>
          <w:kern w:val="0"/>
          <w:highlight w:val="none"/>
        </w:rPr>
        <w:t>）</w:t>
      </w:r>
      <w:r>
        <w:rPr>
          <w:color w:val="auto"/>
          <w:highlight w:val="none"/>
        </w:rPr>
        <w:tab/>
      </w:r>
      <w:r>
        <w:rPr>
          <w:color w:val="auto"/>
          <w:highlight w:val="none"/>
        </w:rPr>
        <w:fldChar w:fldCharType="begin"/>
      </w:r>
      <w:r>
        <w:rPr>
          <w:color w:val="auto"/>
          <w:highlight w:val="none"/>
        </w:rPr>
        <w:instrText xml:space="preserve"> PAGEREF _Toc23923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_Toc14185 </w:instrText>
      </w:r>
      <w:r>
        <w:rPr>
          <w:rFonts w:ascii="宋体" w:hAnsi="宋体"/>
          <w:bCs/>
          <w:color w:val="auto"/>
          <w:szCs w:val="20"/>
          <w:highlight w:val="none"/>
          <w:lang w:val="zh-CN"/>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_Toc14185 \h </w:instrText>
      </w:r>
      <w:r>
        <w:rPr>
          <w:color w:val="auto"/>
          <w:highlight w:val="none"/>
        </w:rPr>
        <w:fldChar w:fldCharType="separate"/>
      </w:r>
      <w:r>
        <w:rPr>
          <w:color w:val="auto"/>
          <w:highlight w:val="none"/>
        </w:rPr>
        <w:t>40</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_Toc3325 </w:instrText>
      </w:r>
      <w:r>
        <w:rPr>
          <w:rFonts w:ascii="宋体" w:hAnsi="宋体"/>
          <w:bCs/>
          <w:color w:val="auto"/>
          <w:szCs w:val="20"/>
          <w:highlight w:val="none"/>
          <w:lang w:val="zh-CN"/>
        </w:rPr>
        <w:fldChar w:fldCharType="separate"/>
      </w:r>
      <w:r>
        <w:rPr>
          <w:rFonts w:hint="eastAsia" w:ascii="宋体" w:hAnsi="宋体"/>
          <w:color w:val="auto"/>
          <w:highlight w:val="none"/>
          <w:lang w:val="en-US" w:eastAsia="zh-CN"/>
        </w:rPr>
        <w:t xml:space="preserve">第五章 </w:t>
      </w:r>
      <w:r>
        <w:rPr>
          <w:rFonts w:hint="eastAsia" w:ascii="宋体" w:hAnsi="宋体"/>
          <w:color w:val="auto"/>
          <w:highlight w:val="none"/>
        </w:rPr>
        <w:t>工程量清</w:t>
      </w:r>
      <w:r>
        <w:rPr>
          <w:rFonts w:hint="eastAsia" w:ascii="宋体" w:hAnsi="宋体"/>
          <w:color w:val="auto"/>
          <w:highlight w:val="none"/>
          <w:lang w:val="en-US" w:eastAsia="zh-CN"/>
        </w:rPr>
        <w:t>单</w:t>
      </w:r>
      <w:r>
        <w:rPr>
          <w:color w:val="auto"/>
          <w:highlight w:val="none"/>
        </w:rPr>
        <w:tab/>
      </w:r>
      <w:r>
        <w:rPr>
          <w:color w:val="auto"/>
          <w:highlight w:val="none"/>
        </w:rPr>
        <w:fldChar w:fldCharType="begin"/>
      </w:r>
      <w:r>
        <w:rPr>
          <w:color w:val="auto"/>
          <w:highlight w:val="none"/>
        </w:rPr>
        <w:instrText xml:space="preserve"> PAGEREF _Toc3325 \h </w:instrText>
      </w:r>
      <w:r>
        <w:rPr>
          <w:color w:val="auto"/>
          <w:highlight w:val="none"/>
        </w:rPr>
        <w:fldChar w:fldCharType="separate"/>
      </w:r>
      <w:r>
        <w:rPr>
          <w:color w:val="auto"/>
          <w:highlight w:val="none"/>
        </w:rPr>
        <w:t>163</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_Toc2716 </w:instrText>
      </w:r>
      <w:r>
        <w:rPr>
          <w:rFonts w:ascii="宋体" w:hAnsi="宋体"/>
          <w:bCs/>
          <w:color w:val="auto"/>
          <w:szCs w:val="20"/>
          <w:highlight w:val="none"/>
          <w:lang w:val="zh-CN"/>
        </w:rPr>
        <w:fldChar w:fldCharType="separate"/>
      </w:r>
      <w:r>
        <w:rPr>
          <w:rFonts w:ascii="宋体" w:hAnsi="宋体"/>
          <w:color w:val="auto"/>
          <w:szCs w:val="52"/>
          <w:highlight w:val="none"/>
        </w:rPr>
        <w:t>第 二 卷</w:t>
      </w:r>
      <w:r>
        <w:rPr>
          <w:color w:val="auto"/>
          <w:highlight w:val="none"/>
        </w:rPr>
        <w:tab/>
      </w:r>
      <w:r>
        <w:rPr>
          <w:color w:val="auto"/>
          <w:highlight w:val="none"/>
        </w:rPr>
        <w:fldChar w:fldCharType="begin"/>
      </w:r>
      <w:r>
        <w:rPr>
          <w:color w:val="auto"/>
          <w:highlight w:val="none"/>
        </w:rPr>
        <w:instrText xml:space="preserve"> PAGEREF _Toc2716 \h </w:instrText>
      </w:r>
      <w:r>
        <w:rPr>
          <w:color w:val="auto"/>
          <w:highlight w:val="none"/>
        </w:rPr>
        <w:fldChar w:fldCharType="separate"/>
      </w:r>
      <w:r>
        <w:rPr>
          <w:color w:val="auto"/>
          <w:highlight w:val="none"/>
        </w:rPr>
        <w:t>164</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_Toc20887 </w:instrText>
      </w:r>
      <w:r>
        <w:rPr>
          <w:rFonts w:ascii="宋体" w:hAnsi="宋体"/>
          <w:bCs/>
          <w:color w:val="auto"/>
          <w:szCs w:val="20"/>
          <w:highlight w:val="none"/>
          <w:lang w:val="zh-CN"/>
        </w:rPr>
        <w:fldChar w:fldCharType="separate"/>
      </w:r>
      <w:r>
        <w:rPr>
          <w:rFonts w:hint="eastAsia" w:ascii="宋体" w:hAnsi="宋体"/>
          <w:color w:val="auto"/>
          <w:highlight w:val="none"/>
        </w:rPr>
        <w:t>第六章  图纸</w:t>
      </w:r>
      <w:r>
        <w:rPr>
          <w:color w:val="auto"/>
          <w:highlight w:val="none"/>
        </w:rPr>
        <w:tab/>
      </w:r>
      <w:r>
        <w:rPr>
          <w:color w:val="auto"/>
          <w:highlight w:val="none"/>
        </w:rPr>
        <w:fldChar w:fldCharType="begin"/>
      </w:r>
      <w:r>
        <w:rPr>
          <w:color w:val="auto"/>
          <w:highlight w:val="none"/>
        </w:rPr>
        <w:instrText xml:space="preserve"> PAGEREF _Toc20887 \h </w:instrText>
      </w:r>
      <w:r>
        <w:rPr>
          <w:color w:val="auto"/>
          <w:highlight w:val="none"/>
        </w:rPr>
        <w:fldChar w:fldCharType="separate"/>
      </w:r>
      <w:r>
        <w:rPr>
          <w:color w:val="auto"/>
          <w:highlight w:val="none"/>
        </w:rPr>
        <w:t>165</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_Toc2767 </w:instrText>
      </w:r>
      <w:r>
        <w:rPr>
          <w:rFonts w:ascii="宋体" w:hAnsi="宋体"/>
          <w:bCs/>
          <w:color w:val="auto"/>
          <w:szCs w:val="20"/>
          <w:highlight w:val="none"/>
          <w:lang w:val="zh-CN"/>
        </w:rPr>
        <w:fldChar w:fldCharType="separate"/>
      </w:r>
      <w:r>
        <w:rPr>
          <w:rFonts w:hint="eastAsia" w:ascii="宋体" w:hAnsi="宋体"/>
          <w:color w:val="auto"/>
          <w:szCs w:val="52"/>
          <w:highlight w:val="none"/>
        </w:rPr>
        <w:t>第 三 卷</w:t>
      </w:r>
      <w:r>
        <w:rPr>
          <w:color w:val="auto"/>
          <w:highlight w:val="none"/>
        </w:rPr>
        <w:tab/>
      </w:r>
      <w:r>
        <w:rPr>
          <w:color w:val="auto"/>
          <w:highlight w:val="none"/>
        </w:rPr>
        <w:fldChar w:fldCharType="begin"/>
      </w:r>
      <w:r>
        <w:rPr>
          <w:color w:val="auto"/>
          <w:highlight w:val="none"/>
        </w:rPr>
        <w:instrText xml:space="preserve"> PAGEREF _Toc2767 \h </w:instrText>
      </w:r>
      <w:r>
        <w:rPr>
          <w:color w:val="auto"/>
          <w:highlight w:val="none"/>
        </w:rPr>
        <w:fldChar w:fldCharType="separate"/>
      </w:r>
      <w:r>
        <w:rPr>
          <w:color w:val="auto"/>
          <w:highlight w:val="none"/>
        </w:rPr>
        <w:t>166</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_Toc2973 </w:instrText>
      </w:r>
      <w:r>
        <w:rPr>
          <w:rFonts w:ascii="宋体" w:hAnsi="宋体"/>
          <w:bCs/>
          <w:color w:val="auto"/>
          <w:szCs w:val="20"/>
          <w:highlight w:val="none"/>
          <w:lang w:val="zh-CN"/>
        </w:rPr>
        <w:fldChar w:fldCharType="separate"/>
      </w:r>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_Toc2973 \h </w:instrText>
      </w:r>
      <w:r>
        <w:rPr>
          <w:color w:val="auto"/>
          <w:highlight w:val="none"/>
        </w:rPr>
        <w:fldChar w:fldCharType="separate"/>
      </w:r>
      <w:r>
        <w:rPr>
          <w:color w:val="auto"/>
          <w:highlight w:val="none"/>
        </w:rPr>
        <w:t>167</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_Toc16131 </w:instrText>
      </w:r>
      <w:r>
        <w:rPr>
          <w:rFonts w:ascii="宋体" w:hAnsi="宋体"/>
          <w:bCs/>
          <w:color w:val="auto"/>
          <w:szCs w:val="20"/>
          <w:highlight w:val="none"/>
          <w:lang w:val="zh-CN"/>
        </w:rPr>
        <w:fldChar w:fldCharType="separate"/>
      </w:r>
      <w:r>
        <w:rPr>
          <w:rFonts w:ascii="宋体" w:hAnsi="宋体"/>
          <w:color w:val="auto"/>
          <w:szCs w:val="52"/>
          <w:highlight w:val="none"/>
        </w:rPr>
        <w:t>第 四 卷</w:t>
      </w:r>
      <w:r>
        <w:rPr>
          <w:color w:val="auto"/>
          <w:highlight w:val="none"/>
        </w:rPr>
        <w:tab/>
      </w:r>
      <w:r>
        <w:rPr>
          <w:color w:val="auto"/>
          <w:highlight w:val="none"/>
        </w:rPr>
        <w:fldChar w:fldCharType="begin"/>
      </w:r>
      <w:r>
        <w:rPr>
          <w:color w:val="auto"/>
          <w:highlight w:val="none"/>
        </w:rPr>
        <w:instrText xml:space="preserve"> PAGEREF _Toc16131 \h </w:instrText>
      </w:r>
      <w:r>
        <w:rPr>
          <w:color w:val="auto"/>
          <w:highlight w:val="none"/>
        </w:rPr>
        <w:fldChar w:fldCharType="separate"/>
      </w:r>
      <w:r>
        <w:rPr>
          <w:color w:val="auto"/>
          <w:highlight w:val="none"/>
        </w:rPr>
        <w:t>168</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_Toc4558 </w:instrText>
      </w:r>
      <w:r>
        <w:rPr>
          <w:rFonts w:ascii="宋体" w:hAnsi="宋体"/>
          <w:bCs/>
          <w:color w:val="auto"/>
          <w:szCs w:val="20"/>
          <w:highlight w:val="none"/>
          <w:lang w:val="zh-CN"/>
        </w:rPr>
        <w:fldChar w:fldCharType="separate"/>
      </w:r>
      <w:r>
        <w:rPr>
          <w:rFonts w:hint="eastAsia" w:ascii="宋体" w:hAnsi="宋体"/>
          <w:color w:val="auto"/>
          <w:highlight w:val="none"/>
        </w:rPr>
        <w:t>第八章  投标文件格式</w:t>
      </w:r>
      <w:r>
        <w:rPr>
          <w:color w:val="auto"/>
          <w:highlight w:val="none"/>
        </w:rPr>
        <w:tab/>
      </w:r>
      <w:r>
        <w:rPr>
          <w:color w:val="auto"/>
          <w:highlight w:val="none"/>
        </w:rPr>
        <w:fldChar w:fldCharType="begin"/>
      </w:r>
      <w:r>
        <w:rPr>
          <w:color w:val="auto"/>
          <w:highlight w:val="none"/>
        </w:rPr>
        <w:instrText xml:space="preserve"> PAGEREF _Toc4558 \h </w:instrText>
      </w:r>
      <w:r>
        <w:rPr>
          <w:color w:val="auto"/>
          <w:highlight w:val="none"/>
        </w:rPr>
        <w:fldChar w:fldCharType="separate"/>
      </w:r>
      <w:r>
        <w:rPr>
          <w:color w:val="auto"/>
          <w:highlight w:val="none"/>
        </w:rPr>
        <w:t>169</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_Toc18743 </w:instrText>
      </w:r>
      <w:r>
        <w:rPr>
          <w:rFonts w:ascii="宋体" w:hAnsi="宋体"/>
          <w:bCs/>
          <w:color w:val="auto"/>
          <w:szCs w:val="20"/>
          <w:highlight w:val="none"/>
          <w:lang w:val="zh-CN"/>
        </w:rPr>
        <w:fldChar w:fldCharType="separate"/>
      </w:r>
      <w:r>
        <w:rPr>
          <w:rFonts w:hint="eastAsia" w:ascii="宋体" w:hAnsi="宋体"/>
          <w:bCs w:val="0"/>
          <w:color w:val="auto"/>
          <w:szCs w:val="44"/>
          <w:highlight w:val="none"/>
        </w:rPr>
        <w:t>一、投标函部分</w:t>
      </w:r>
      <w:r>
        <w:rPr>
          <w:color w:val="auto"/>
          <w:highlight w:val="none"/>
        </w:rPr>
        <w:tab/>
      </w:r>
      <w:r>
        <w:rPr>
          <w:color w:val="auto"/>
          <w:highlight w:val="none"/>
        </w:rPr>
        <w:fldChar w:fldCharType="begin"/>
      </w:r>
      <w:r>
        <w:rPr>
          <w:color w:val="auto"/>
          <w:highlight w:val="none"/>
        </w:rPr>
        <w:instrText xml:space="preserve"> PAGEREF _Toc18743 \h </w:instrText>
      </w:r>
      <w:r>
        <w:rPr>
          <w:color w:val="auto"/>
          <w:highlight w:val="none"/>
        </w:rPr>
        <w:fldChar w:fldCharType="separate"/>
      </w:r>
      <w:r>
        <w:rPr>
          <w:color w:val="auto"/>
          <w:highlight w:val="none"/>
        </w:rPr>
        <w:t>171</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_Toc24522 </w:instrText>
      </w:r>
      <w:r>
        <w:rPr>
          <w:rFonts w:ascii="宋体" w:hAnsi="宋体"/>
          <w:bCs/>
          <w:color w:val="auto"/>
          <w:szCs w:val="20"/>
          <w:highlight w:val="none"/>
          <w:lang w:val="zh-CN"/>
        </w:rPr>
        <w:fldChar w:fldCharType="separate"/>
      </w:r>
      <w:r>
        <w:rPr>
          <w:rFonts w:hint="eastAsia" w:ascii="宋体" w:hAnsi="宋体"/>
          <w:bCs w:val="0"/>
          <w:color w:val="auto"/>
          <w:szCs w:val="44"/>
          <w:highlight w:val="none"/>
        </w:rPr>
        <w:t>二、经济部分</w:t>
      </w:r>
      <w:r>
        <w:rPr>
          <w:color w:val="auto"/>
          <w:highlight w:val="none"/>
        </w:rPr>
        <w:tab/>
      </w:r>
      <w:r>
        <w:rPr>
          <w:color w:val="auto"/>
          <w:highlight w:val="none"/>
        </w:rPr>
        <w:fldChar w:fldCharType="begin"/>
      </w:r>
      <w:r>
        <w:rPr>
          <w:color w:val="auto"/>
          <w:highlight w:val="none"/>
        </w:rPr>
        <w:instrText xml:space="preserve"> PAGEREF _Toc24522 \h </w:instrText>
      </w:r>
      <w:r>
        <w:rPr>
          <w:color w:val="auto"/>
          <w:highlight w:val="none"/>
        </w:rPr>
        <w:fldChar w:fldCharType="separate"/>
      </w:r>
      <w:r>
        <w:rPr>
          <w:color w:val="auto"/>
          <w:highlight w:val="none"/>
        </w:rPr>
        <w:t>179</w:t>
      </w:r>
      <w:r>
        <w:rPr>
          <w:color w:val="auto"/>
          <w:highlight w:val="none"/>
        </w:rPr>
        <w:fldChar w:fldCharType="end"/>
      </w:r>
      <w:r>
        <w:rPr>
          <w:rFonts w:ascii="宋体" w:hAnsi="宋体"/>
          <w:bCs/>
          <w:color w:val="auto"/>
          <w:szCs w:val="20"/>
          <w:highlight w:val="none"/>
          <w:lang w:val="zh-CN"/>
        </w:rPr>
        <w:fldChar w:fldCharType="end"/>
      </w:r>
    </w:p>
    <w:p>
      <w:pPr>
        <w:pStyle w:val="31"/>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_Toc2060 </w:instrText>
      </w:r>
      <w:r>
        <w:rPr>
          <w:rFonts w:ascii="宋体" w:hAnsi="宋体"/>
          <w:bCs/>
          <w:color w:val="auto"/>
          <w:szCs w:val="20"/>
          <w:highlight w:val="none"/>
          <w:lang w:val="zh-CN"/>
        </w:rPr>
        <w:fldChar w:fldCharType="separate"/>
      </w:r>
      <w:r>
        <w:rPr>
          <w:rFonts w:hint="eastAsia" w:ascii="宋体" w:hAnsi="宋体" w:cs="Times New Roman"/>
          <w:bCs w:val="0"/>
          <w:color w:val="auto"/>
          <w:szCs w:val="44"/>
          <w:highlight w:val="none"/>
          <w:lang w:val="en-US" w:eastAsia="zh-CN"/>
        </w:rPr>
        <w:t>三</w:t>
      </w:r>
      <w:r>
        <w:rPr>
          <w:rFonts w:hint="eastAsia" w:ascii="宋体" w:hAnsi="宋体" w:cs="Times New Roman"/>
          <w:bCs w:val="0"/>
          <w:color w:val="auto"/>
          <w:szCs w:val="44"/>
          <w:highlight w:val="none"/>
        </w:rPr>
        <w:t>、</w:t>
      </w:r>
      <w:r>
        <w:rPr>
          <w:rFonts w:hint="eastAsia" w:ascii="宋体" w:hAnsi="宋体"/>
          <w:bCs w:val="0"/>
          <w:color w:val="auto"/>
          <w:szCs w:val="44"/>
          <w:highlight w:val="none"/>
        </w:rPr>
        <w:t>资格审查资料</w:t>
      </w:r>
      <w:r>
        <w:rPr>
          <w:color w:val="auto"/>
          <w:highlight w:val="none"/>
        </w:rPr>
        <w:tab/>
      </w:r>
      <w:r>
        <w:rPr>
          <w:color w:val="auto"/>
          <w:highlight w:val="none"/>
        </w:rPr>
        <w:fldChar w:fldCharType="begin"/>
      </w:r>
      <w:r>
        <w:rPr>
          <w:color w:val="auto"/>
          <w:highlight w:val="none"/>
        </w:rPr>
        <w:instrText xml:space="preserve"> PAGEREF _Toc2060 \h </w:instrText>
      </w:r>
      <w:r>
        <w:rPr>
          <w:color w:val="auto"/>
          <w:highlight w:val="none"/>
        </w:rPr>
        <w:fldChar w:fldCharType="separate"/>
      </w:r>
      <w:r>
        <w:rPr>
          <w:color w:val="auto"/>
          <w:highlight w:val="none"/>
        </w:rPr>
        <w:t>183</w:t>
      </w:r>
      <w:r>
        <w:rPr>
          <w:color w:val="auto"/>
          <w:highlight w:val="none"/>
        </w:rPr>
        <w:fldChar w:fldCharType="end"/>
      </w:r>
      <w:r>
        <w:rPr>
          <w:rFonts w:ascii="宋体" w:hAnsi="宋体"/>
          <w:bCs/>
          <w:color w:val="auto"/>
          <w:szCs w:val="20"/>
          <w:highlight w:val="none"/>
          <w:lang w:val="zh-CN"/>
        </w:rPr>
        <w:fldChar w:fldCharType="end"/>
      </w:r>
    </w:p>
    <w:p>
      <w:pPr>
        <w:pStyle w:val="22"/>
        <w:tabs>
          <w:tab w:val="right" w:leader="dot" w:pos="9469"/>
        </w:tabs>
        <w:rPr>
          <w:color w:val="auto"/>
          <w:highlight w:val="none"/>
        </w:rPr>
      </w:pPr>
    </w:p>
    <w:p>
      <w:pPr>
        <w:rPr>
          <w:rFonts w:ascii="宋体" w:hAnsi="宋体"/>
          <w:color w:val="auto"/>
          <w:highlight w:val="none"/>
        </w:rPr>
      </w:pPr>
      <w:r>
        <w:rPr>
          <w:rFonts w:ascii="宋体" w:hAnsi="宋体"/>
          <w:bCs/>
          <w:color w:val="auto"/>
          <w:szCs w:val="20"/>
          <w:highlight w:val="none"/>
          <w:lang w:val="zh-CN"/>
        </w:rPr>
        <w:fldChar w:fldCharType="end"/>
      </w:r>
    </w:p>
    <w:bookmarkEnd w:id="0"/>
    <w:p>
      <w:pPr>
        <w:spacing w:line="20" w:lineRule="exact"/>
        <w:rPr>
          <w:rFonts w:ascii="宋体" w:hAnsi="宋体"/>
          <w:color w:val="auto"/>
          <w:highlight w:val="none"/>
        </w:rPr>
      </w:pPr>
      <w:bookmarkStart w:id="7" w:name="_Toc430530414"/>
    </w:p>
    <w:p>
      <w:pPr>
        <w:spacing w:line="20" w:lineRule="exact"/>
        <w:jc w:val="left"/>
        <w:rPr>
          <w:rFonts w:ascii="宋体" w:hAnsi="宋体"/>
          <w:color w:val="auto"/>
          <w:highlight w:val="none"/>
        </w:rPr>
        <w:sectPr>
          <w:footerReference r:id="rId5" w:type="default"/>
          <w:pgSz w:w="11907" w:h="16840"/>
          <w:pgMar w:top="1304" w:right="1134" w:bottom="1304" w:left="1304" w:header="851" w:footer="992" w:gutter="0"/>
          <w:pgNumType w:fmt="numberInDash" w:start="1"/>
          <w:cols w:space="720" w:num="1"/>
          <w:docGrid w:linePitch="312" w:charSpace="0"/>
        </w:sectPr>
      </w:pPr>
    </w:p>
    <w:bookmarkEnd w:id="7"/>
    <w:p>
      <w:pPr>
        <w:spacing w:line="360" w:lineRule="auto"/>
        <w:rPr>
          <w:rFonts w:ascii="宋体" w:hAnsi="宋体"/>
          <w:color w:val="auto"/>
          <w:highlight w:val="none"/>
        </w:rPr>
      </w:pPr>
    </w:p>
    <w:p>
      <w:pPr>
        <w:pStyle w:val="3"/>
        <w:spacing w:before="0" w:after="0" w:line="480" w:lineRule="auto"/>
        <w:jc w:val="center"/>
        <w:rPr>
          <w:rFonts w:ascii="宋体" w:hAnsi="宋体"/>
          <w:color w:val="auto"/>
          <w:sz w:val="52"/>
          <w:szCs w:val="52"/>
          <w:highlight w:val="none"/>
        </w:rPr>
      </w:pPr>
      <w:bookmarkStart w:id="8" w:name="_Toc12392"/>
      <w:bookmarkStart w:id="9" w:name="_Toc509218690"/>
      <w:r>
        <w:rPr>
          <w:rFonts w:hint="eastAsia" w:ascii="宋体" w:hAnsi="宋体"/>
          <w:color w:val="auto"/>
          <w:sz w:val="52"/>
          <w:szCs w:val="52"/>
          <w:highlight w:val="none"/>
        </w:rPr>
        <w:t>第 一 卷</w:t>
      </w:r>
      <w:bookmarkEnd w:id="8"/>
      <w:bookmarkEnd w:id="9"/>
    </w:p>
    <w:p>
      <w:pPr>
        <w:spacing w:line="200" w:lineRule="exact"/>
        <w:rPr>
          <w:rFonts w:ascii="宋体" w:hAnsi="宋体"/>
          <w:color w:val="auto"/>
          <w:highlight w:val="none"/>
        </w:rPr>
      </w:pPr>
      <w:r>
        <w:rPr>
          <w:rFonts w:ascii="宋体" w:hAnsi="宋体"/>
          <w:color w:val="auto"/>
          <w:highlight w:val="none"/>
        </w:rPr>
        <w:br w:type="page"/>
      </w:r>
    </w:p>
    <w:p>
      <w:pPr>
        <w:pStyle w:val="3"/>
        <w:spacing w:line="360" w:lineRule="auto"/>
        <w:jc w:val="center"/>
        <w:rPr>
          <w:rFonts w:ascii="宋体" w:hAnsi="宋体"/>
          <w:snapToGrid w:val="0"/>
          <w:color w:val="auto"/>
          <w:kern w:val="0"/>
          <w:highlight w:val="none"/>
        </w:rPr>
      </w:pPr>
      <w:bookmarkStart w:id="10" w:name="_Toc277082535"/>
      <w:bookmarkStart w:id="11" w:name="_Toc287607727"/>
      <w:bookmarkStart w:id="12" w:name="_Toc224103298"/>
      <w:bookmarkStart w:id="13" w:name="_Toc5187"/>
      <w:bookmarkStart w:id="14" w:name="_Toc287620666"/>
      <w:bookmarkStart w:id="15" w:name="_Toc430530415"/>
      <w:bookmarkStart w:id="16" w:name="_Toc509218691"/>
      <w:r>
        <w:rPr>
          <w:rFonts w:ascii="宋体" w:hAnsi="宋体"/>
          <w:snapToGrid w:val="0"/>
          <w:color w:val="auto"/>
          <w:kern w:val="0"/>
          <w:highlight w:val="none"/>
        </w:rPr>
        <w:t>第一章  招标公告</w:t>
      </w:r>
      <w:bookmarkEnd w:id="10"/>
      <w:bookmarkEnd w:id="11"/>
      <w:bookmarkEnd w:id="12"/>
      <w:bookmarkEnd w:id="13"/>
      <w:bookmarkEnd w:id="14"/>
      <w:bookmarkEnd w:id="15"/>
      <w:bookmarkEnd w:id="16"/>
    </w:p>
    <w:p>
      <w:pPr>
        <w:autoSpaceDE w:val="0"/>
        <w:autoSpaceDN w:val="0"/>
        <w:adjustRightInd w:val="0"/>
        <w:snapToGrid w:val="0"/>
        <w:spacing w:line="360" w:lineRule="auto"/>
        <w:jc w:val="center"/>
        <w:rPr>
          <w:rFonts w:ascii="宋体" w:hAnsi="宋体"/>
          <w:snapToGrid w:val="0"/>
          <w:color w:val="auto"/>
          <w:kern w:val="0"/>
          <w:sz w:val="28"/>
          <w:szCs w:val="28"/>
          <w:highlight w:val="none"/>
        </w:rPr>
      </w:pPr>
      <w:r>
        <w:rPr>
          <w:rFonts w:hint="eastAsia" w:ascii="宋体" w:hAnsi="宋体"/>
          <w:snapToGrid w:val="0"/>
          <w:color w:val="auto"/>
          <w:w w:val="99"/>
          <w:kern w:val="0"/>
          <w:sz w:val="28"/>
          <w:szCs w:val="28"/>
          <w:highlight w:val="none"/>
          <w:u w:val="single"/>
          <w:lang w:eastAsia="zh-CN"/>
        </w:rPr>
        <w:t>宝鼎山建(构)筑物排危整治工程</w:t>
      </w:r>
      <w:r>
        <w:rPr>
          <w:rFonts w:ascii="宋体" w:hAnsi="宋体"/>
          <w:snapToGrid w:val="0"/>
          <w:color w:val="auto"/>
          <w:w w:val="99"/>
          <w:kern w:val="0"/>
          <w:sz w:val="28"/>
          <w:szCs w:val="28"/>
          <w:highlight w:val="none"/>
        </w:rPr>
        <w:t>招标公告</w:t>
      </w:r>
    </w:p>
    <w:p>
      <w:pPr>
        <w:pStyle w:val="4"/>
        <w:spacing w:before="100" w:after="100" w:line="460" w:lineRule="exact"/>
        <w:rPr>
          <w:rFonts w:ascii="宋体" w:hAnsi="宋体"/>
          <w:snapToGrid w:val="0"/>
          <w:color w:val="auto"/>
          <w:sz w:val="28"/>
          <w:szCs w:val="28"/>
          <w:highlight w:val="none"/>
        </w:rPr>
      </w:pPr>
      <w:bookmarkStart w:id="17" w:name="_Toc277082536"/>
      <w:bookmarkStart w:id="18" w:name="_Toc224103299"/>
      <w:bookmarkStart w:id="19" w:name="_Toc287620667"/>
      <w:bookmarkStart w:id="20" w:name="_Toc24268"/>
      <w:bookmarkStart w:id="21" w:name="_Toc200359238"/>
      <w:bookmarkStart w:id="22" w:name="_Toc287607728"/>
      <w:bookmarkStart w:id="23" w:name="_Toc509218692"/>
      <w:bookmarkStart w:id="24" w:name="_Toc430530416"/>
      <w:bookmarkStart w:id="25" w:name="_Toc200359427"/>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7"/>
      <w:bookmarkEnd w:id="18"/>
      <w:bookmarkEnd w:id="19"/>
      <w:bookmarkEnd w:id="20"/>
      <w:bookmarkEnd w:id="21"/>
      <w:bookmarkEnd w:id="22"/>
      <w:bookmarkEnd w:id="23"/>
      <w:bookmarkEnd w:id="24"/>
      <w:bookmarkEnd w:id="25"/>
    </w:p>
    <w:p>
      <w:pPr>
        <w:widowControl/>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本比选项目</w:t>
      </w:r>
      <w:r>
        <w:rPr>
          <w:rFonts w:hint="eastAsia" w:ascii="宋体" w:hAnsi="宋体" w:cs="宋体"/>
          <w:color w:val="auto"/>
          <w:szCs w:val="21"/>
          <w:highlight w:val="none"/>
          <w:u w:val="single"/>
          <w:lang w:eastAsia="zh-CN"/>
        </w:rPr>
        <w:t>宝鼎山建(构)筑物排危整治工程，</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lang w:eastAsia="zh-CN"/>
        </w:rPr>
        <w:t>业主自筹</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100% </w:t>
      </w:r>
      <w:r>
        <w:rPr>
          <w:rFonts w:ascii="宋体" w:hAnsi="宋体"/>
          <w:snapToGrid w:val="0"/>
          <w:color w:val="auto"/>
          <w:kern w:val="0"/>
          <w:szCs w:val="21"/>
          <w:highlight w:val="none"/>
        </w:rPr>
        <w:t>，招标人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lang w:eastAsia="zh-CN"/>
        </w:rPr>
        <w:t>重庆明月山建设开发有限公司</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ascii="宋体" w:hAnsi="宋体"/>
          <w:snapToGrid w:val="0"/>
          <w:color w:val="auto"/>
          <w:kern w:val="0"/>
          <w:position w:val="-2"/>
          <w:szCs w:val="21"/>
          <w:highlight w:val="none"/>
        </w:rPr>
        <w:t>进行</w:t>
      </w:r>
      <w:r>
        <w:rPr>
          <w:rFonts w:hint="eastAsia" w:ascii="宋体" w:hAnsi="宋体"/>
          <w:snapToGrid w:val="0"/>
          <w:color w:val="auto"/>
          <w:kern w:val="0"/>
          <w:position w:val="-2"/>
          <w:szCs w:val="21"/>
          <w:highlight w:val="none"/>
          <w:lang w:val="en-US" w:eastAsia="zh-CN"/>
        </w:rPr>
        <w:t>竞争性比选</w:t>
      </w:r>
      <w:r>
        <w:rPr>
          <w:rFonts w:ascii="宋体" w:hAnsi="宋体"/>
          <w:snapToGrid w:val="0"/>
          <w:color w:val="auto"/>
          <w:kern w:val="0"/>
          <w:position w:val="-2"/>
          <w:szCs w:val="21"/>
          <w:highlight w:val="none"/>
        </w:rPr>
        <w:t>。</w:t>
      </w:r>
    </w:p>
    <w:p>
      <w:pPr>
        <w:pStyle w:val="4"/>
        <w:spacing w:before="100" w:after="100" w:line="460" w:lineRule="exact"/>
        <w:rPr>
          <w:rFonts w:ascii="宋体" w:hAnsi="宋体"/>
          <w:snapToGrid w:val="0"/>
          <w:color w:val="auto"/>
          <w:sz w:val="28"/>
          <w:szCs w:val="28"/>
          <w:highlight w:val="none"/>
        </w:rPr>
      </w:pPr>
      <w:bookmarkStart w:id="26" w:name="_Toc287607729"/>
      <w:bookmarkStart w:id="27" w:name="_Toc277082537"/>
      <w:bookmarkStart w:id="28" w:name="_Toc430530417"/>
      <w:bookmarkStart w:id="29" w:name="_Toc200359239"/>
      <w:bookmarkStart w:id="30" w:name="_Toc509218693"/>
      <w:bookmarkStart w:id="31" w:name="_Toc21273"/>
      <w:bookmarkStart w:id="32" w:name="_Toc224103300"/>
      <w:bookmarkStart w:id="33" w:name="_Toc287620668"/>
      <w:bookmarkStart w:id="34" w:name="_Toc200359428"/>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6"/>
      <w:bookmarkEnd w:id="27"/>
      <w:bookmarkEnd w:id="28"/>
      <w:bookmarkEnd w:id="29"/>
      <w:bookmarkEnd w:id="30"/>
      <w:bookmarkEnd w:id="31"/>
      <w:bookmarkEnd w:id="32"/>
      <w:bookmarkEnd w:id="33"/>
      <w:bookmarkEnd w:id="34"/>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垫江县</w:t>
      </w:r>
      <w:r>
        <w:rPr>
          <w:rFonts w:hint="eastAsia" w:ascii="宋体" w:hAnsi="宋体"/>
          <w:snapToGrid w:val="0"/>
          <w:color w:val="auto"/>
          <w:kern w:val="0"/>
          <w:szCs w:val="21"/>
          <w:highlight w:val="none"/>
          <w:u w:val="single"/>
        </w:rPr>
        <w:t xml:space="preserve"> </w:t>
      </w:r>
    </w:p>
    <w:p>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u w:val="single"/>
          <w:lang w:val="en-US" w:eastAsia="zh-CN"/>
        </w:rPr>
        <w:t>宝鼎山建(构)筑物排危整治工程</w:t>
      </w:r>
      <w:r>
        <w:rPr>
          <w:rFonts w:hint="eastAsia" w:ascii="宋体" w:hAnsi="宋体" w:cs="宋体"/>
          <w:color w:val="auto"/>
          <w:szCs w:val="21"/>
          <w:highlight w:val="none"/>
          <w:u w:val="single"/>
          <w:lang w:val="en-US" w:eastAsia="zh-CN"/>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auto"/>
          <w:kern w:val="0"/>
          <w:szCs w:val="21"/>
          <w:highlight w:val="none"/>
          <w:u w:val="single"/>
          <w:lang w:val="en-US" w:eastAsia="zh-CN"/>
        </w:rPr>
        <w:t xml:space="preserve"> 816662.67</w:t>
      </w:r>
      <w:r>
        <w:rPr>
          <w:rFonts w:hint="eastAsia" w:ascii="宋体" w:hAnsi="宋体"/>
          <w:snapToGrid w:val="0"/>
          <w:color w:val="auto"/>
          <w:kern w:val="0"/>
          <w:szCs w:val="21"/>
          <w:highlight w:val="none"/>
          <w:u w:val="single"/>
        </w:rPr>
        <w:t xml:space="preserve">元  </w:t>
      </w:r>
    </w:p>
    <w:p>
      <w:pPr>
        <w:widowControl/>
        <w:adjustRightInd w:val="0"/>
        <w:spacing w:after="196"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2.4 招标范围：</w:t>
      </w:r>
      <w:r>
        <w:rPr>
          <w:rFonts w:hint="eastAsia" w:ascii="宋体" w:hAnsi="宋体" w:cs="宋体"/>
          <w:color w:val="auto"/>
          <w:kern w:val="0"/>
          <w:szCs w:val="21"/>
          <w:highlight w:val="none"/>
          <w:u w:val="single"/>
          <w:shd w:val="clear" w:color="auto" w:fill="FFFFFF"/>
          <w:lang w:bidi="ar"/>
        </w:rPr>
        <w:t>包括招标人所提供的施工设计图所示范围内的所有内容，具体以招标人提供的图纸、工程量清单、答疑资料、澄清资料、其他补遗资料等相关内容为准</w:t>
      </w:r>
      <w:r>
        <w:rPr>
          <w:rFonts w:hint="eastAsia" w:ascii="宋体" w:hAnsi="宋体" w:cs="宋体"/>
          <w:color w:val="auto"/>
          <w:kern w:val="0"/>
          <w:szCs w:val="21"/>
          <w:highlight w:val="none"/>
          <w:shd w:val="clear" w:color="auto" w:fill="FFFFFF"/>
          <w:lang w:bidi="ar"/>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rPr>
        <w:t>45日历天</w:t>
      </w:r>
      <w:r>
        <w:rPr>
          <w:rFonts w:hint="eastAsia" w:ascii="宋体" w:hAnsi="宋体"/>
          <w:snapToGrid w:val="0"/>
          <w:color w:val="auto"/>
          <w:kern w:val="0"/>
          <w:szCs w:val="21"/>
          <w:highlight w:val="none"/>
          <w:u w:val="single"/>
          <w:lang w:eastAsia="zh-CN"/>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rPr>
        <w:t xml:space="preserve"> 24个月</w:t>
      </w:r>
    </w:p>
    <w:p>
      <w:pPr>
        <w:pStyle w:val="4"/>
        <w:spacing w:before="100" w:after="100" w:line="460" w:lineRule="exact"/>
        <w:rPr>
          <w:rFonts w:ascii="宋体" w:hAnsi="宋体"/>
          <w:snapToGrid w:val="0"/>
          <w:color w:val="auto"/>
          <w:sz w:val="28"/>
          <w:szCs w:val="28"/>
          <w:highlight w:val="none"/>
        </w:rPr>
      </w:pPr>
      <w:bookmarkStart w:id="35" w:name="_Toc509218694"/>
      <w:bookmarkStart w:id="36" w:name="_Toc287607730"/>
      <w:bookmarkStart w:id="37" w:name="_Toc6121"/>
      <w:bookmarkStart w:id="38" w:name="_Toc430530418"/>
      <w:bookmarkStart w:id="39" w:name="_Toc287620669"/>
      <w:bookmarkStart w:id="40" w:name="_Toc224103301"/>
      <w:bookmarkStart w:id="41" w:name="_Toc200359429"/>
      <w:bookmarkStart w:id="42" w:name="_Toc200359240"/>
      <w:bookmarkStart w:id="43" w:name="_Toc277082538"/>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投标人资格要求</w:t>
      </w:r>
      <w:bookmarkEnd w:id="35"/>
      <w:bookmarkEnd w:id="36"/>
      <w:bookmarkEnd w:id="37"/>
      <w:bookmarkEnd w:id="38"/>
      <w:bookmarkEnd w:id="39"/>
      <w:bookmarkEnd w:id="40"/>
      <w:bookmarkEnd w:id="41"/>
      <w:bookmarkEnd w:id="42"/>
      <w:bookmarkEnd w:id="43"/>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本次招标要求投标人须具备</w:t>
      </w:r>
      <w:r>
        <w:rPr>
          <w:rFonts w:hint="eastAsia" w:ascii="宋体" w:hAnsi="宋体"/>
          <w:snapToGrid w:val="0"/>
          <w:color w:val="auto"/>
          <w:kern w:val="0"/>
          <w:szCs w:val="21"/>
          <w:highlight w:val="none"/>
        </w:rPr>
        <w:t>以下条件：</w:t>
      </w:r>
    </w:p>
    <w:p>
      <w:pPr>
        <w:autoSpaceDE w:val="0"/>
        <w:autoSpaceDN w:val="0"/>
        <w:adjustRightInd w:val="0"/>
        <w:snapToGri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本次招标要求投标人具备的资质条件：具备建设行政主管部门颁发的有效的</w:t>
      </w:r>
      <w:r>
        <w:rPr>
          <w:rFonts w:hint="eastAsia" w:ascii="宋体" w:hAnsi="宋体"/>
          <w:snapToGrid w:val="0"/>
          <w:color w:val="auto"/>
          <w:kern w:val="0"/>
          <w:szCs w:val="21"/>
          <w:highlight w:val="none"/>
          <w:lang w:eastAsia="zh-CN"/>
        </w:rPr>
        <w:t>建筑工程施工总承包三级及以上资质</w:t>
      </w:r>
      <w:r>
        <w:rPr>
          <w:rFonts w:hint="eastAsia" w:ascii="宋体" w:hAnsi="宋体"/>
          <w:snapToGrid w:val="0"/>
          <w:color w:val="auto"/>
          <w:kern w:val="0"/>
          <w:szCs w:val="21"/>
          <w:highlight w:val="none"/>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☑3.1.2 本次招标要求投标人具备的业绩条件：</w:t>
      </w:r>
      <w:r>
        <w:rPr>
          <w:rFonts w:hint="eastAsia" w:ascii="宋体" w:hAnsi="宋体"/>
          <w:snapToGrid w:val="0"/>
          <w:color w:val="auto"/>
          <w:kern w:val="0"/>
          <w:szCs w:val="21"/>
          <w:highlight w:val="none"/>
          <w:u w:val="single"/>
        </w:rPr>
        <w:t xml:space="preserve">无 </w:t>
      </w:r>
      <w:r>
        <w:rPr>
          <w:rFonts w:hint="eastAsia" w:ascii="宋体" w:hAnsi="宋体"/>
          <w:snapToGrid w:val="0"/>
          <w:color w:val="auto"/>
          <w:kern w:val="0"/>
          <w:szCs w:val="21"/>
          <w:highlight w:val="none"/>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3.1.3 投标人还应在人员、设备、资金等方面具有相应的施工能力，详见</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第二章投标人须知前附表第1.4.1项内容。</w:t>
      </w:r>
    </w:p>
    <w:p>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本次招标</w:t>
      </w:r>
      <w:r>
        <w:rPr>
          <w:rFonts w:hint="eastAsia" w:ascii="宋体" w:hAnsi="宋体"/>
          <w:snapToGrid w:val="0"/>
          <w:color w:val="auto"/>
          <w:kern w:val="0"/>
          <w:szCs w:val="21"/>
          <w:highlight w:val="none"/>
        </w:rPr>
        <w:t>□接受 ☑不接受</w:t>
      </w:r>
      <w:r>
        <w:rPr>
          <w:rFonts w:ascii="宋体" w:hAnsi="宋体"/>
          <w:snapToGrid w:val="0"/>
          <w:color w:val="auto"/>
          <w:kern w:val="0"/>
          <w:szCs w:val="21"/>
          <w:highlight w:val="none"/>
        </w:rPr>
        <w:t>联合体投标。</w:t>
      </w:r>
    </w:p>
    <w:p>
      <w:pPr>
        <w:pStyle w:val="4"/>
        <w:spacing w:before="100" w:after="100" w:line="460" w:lineRule="exact"/>
        <w:rPr>
          <w:rFonts w:ascii="宋体" w:hAnsi="宋体"/>
          <w:snapToGrid w:val="0"/>
          <w:color w:val="auto"/>
          <w:sz w:val="28"/>
          <w:szCs w:val="28"/>
          <w:highlight w:val="none"/>
        </w:rPr>
      </w:pPr>
      <w:bookmarkStart w:id="44" w:name="_Toc200359430"/>
      <w:bookmarkStart w:id="45" w:name="_Toc287607731"/>
      <w:bookmarkStart w:id="46" w:name="_Toc19462"/>
      <w:bookmarkStart w:id="47" w:name="_Toc200359241"/>
      <w:bookmarkStart w:id="48" w:name="_Toc224103302"/>
      <w:bookmarkStart w:id="49" w:name="_Toc430530419"/>
      <w:bookmarkStart w:id="50" w:name="_Toc287620670"/>
      <w:bookmarkStart w:id="51" w:name="_Toc277082539"/>
      <w:bookmarkStart w:id="52" w:name="_Toc509218695"/>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val="en-US" w:eastAsia="zh-CN"/>
        </w:rPr>
        <w:t>竞争性比选</w:t>
      </w:r>
      <w:r>
        <w:rPr>
          <w:rFonts w:ascii="宋体" w:hAnsi="宋体"/>
          <w:snapToGrid w:val="0"/>
          <w:color w:val="auto"/>
          <w:sz w:val="28"/>
          <w:szCs w:val="28"/>
          <w:highlight w:val="none"/>
        </w:rPr>
        <w:t>文件的获取</w:t>
      </w:r>
      <w:bookmarkEnd w:id="44"/>
      <w:bookmarkEnd w:id="45"/>
      <w:bookmarkEnd w:id="46"/>
      <w:bookmarkEnd w:id="47"/>
      <w:bookmarkEnd w:id="48"/>
      <w:bookmarkEnd w:id="49"/>
      <w:bookmarkEnd w:id="50"/>
      <w:bookmarkEnd w:id="51"/>
      <w:bookmarkEnd w:id="52"/>
    </w:p>
    <w:p>
      <w:pPr>
        <w:tabs>
          <w:tab w:val="left" w:pos="2420"/>
          <w:tab w:val="left" w:pos="5445"/>
        </w:tabs>
        <w:autoSpaceDE w:val="0"/>
        <w:autoSpaceDN w:val="0"/>
        <w:adjustRightInd w:val="0"/>
        <w:snapToGrid w:val="0"/>
        <w:spacing w:line="450" w:lineRule="exact"/>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凡有意参加投标者，请于</w:t>
      </w:r>
      <w:r>
        <w:rPr>
          <w:rFonts w:hint="eastAsia" w:ascii="宋体" w:hAnsi="宋体"/>
          <w:snapToGrid w:val="0"/>
          <w:color w:val="auto"/>
          <w:kern w:val="0"/>
          <w:szCs w:val="21"/>
          <w:highlight w:val="none"/>
          <w:u w:val="single"/>
          <w:lang w:val="en-US" w:eastAsia="zh-CN"/>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7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28</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日（北京时间，下同）起在</w:t>
      </w:r>
      <w:r>
        <w:rPr>
          <w:rFonts w:hint="eastAsia" w:ascii="宋体" w:hAnsi="宋体"/>
          <w:snapToGrid w:val="0"/>
          <w:color w:val="auto"/>
          <w:kern w:val="0"/>
          <w:szCs w:val="21"/>
          <w:highlight w:val="none"/>
          <w:u w:val="single"/>
          <w:lang w:eastAsia="zh-CN"/>
        </w:rPr>
        <w:t>垫江县人民政府网</w:t>
      </w:r>
      <w:r>
        <w:rPr>
          <w:rFonts w:ascii="宋体" w:hAnsi="宋体"/>
          <w:snapToGrid w:val="0"/>
          <w:color w:val="auto"/>
          <w:kern w:val="0"/>
          <w:szCs w:val="21"/>
          <w:highlight w:val="none"/>
        </w:rPr>
        <w:t>下载</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、工程量清单、图纸澄清、修改、补充通知、最高限价通知等全部内容。不管下载与否都视为潜在投标人全部知晓有关招投标过程和全部内容。</w:t>
      </w:r>
    </w:p>
    <w:p>
      <w:pPr>
        <w:pStyle w:val="4"/>
        <w:spacing w:before="100" w:after="100" w:line="460" w:lineRule="exact"/>
        <w:rPr>
          <w:rFonts w:ascii="宋体" w:hAnsi="宋体"/>
          <w:snapToGrid w:val="0"/>
          <w:color w:val="auto"/>
          <w:sz w:val="28"/>
          <w:szCs w:val="28"/>
          <w:highlight w:val="none"/>
        </w:rPr>
      </w:pPr>
      <w:bookmarkStart w:id="53" w:name="_Toc287607732"/>
      <w:bookmarkStart w:id="54" w:name="_Toc224103303"/>
      <w:bookmarkStart w:id="55" w:name="_Toc277082540"/>
      <w:bookmarkStart w:id="56" w:name="_Toc430530420"/>
      <w:bookmarkStart w:id="57" w:name="_Toc287620671"/>
      <w:bookmarkStart w:id="58" w:name="_Toc200359242"/>
      <w:bookmarkStart w:id="59" w:name="_Toc200359431"/>
      <w:bookmarkStart w:id="60" w:name="_Toc12533"/>
      <w:bookmarkStart w:id="61" w:name="_Toc509218696"/>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投标文件的递交</w:t>
      </w:r>
      <w:bookmarkEnd w:id="53"/>
      <w:bookmarkEnd w:id="54"/>
      <w:bookmarkEnd w:id="55"/>
      <w:bookmarkEnd w:id="56"/>
      <w:bookmarkEnd w:id="57"/>
      <w:bookmarkEnd w:id="58"/>
      <w:bookmarkEnd w:id="59"/>
      <w:bookmarkEnd w:id="60"/>
      <w:bookmarkEnd w:id="61"/>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5.1  投标文件递交的截止时间（投标截止时间，下同）为</w:t>
      </w:r>
      <w:r>
        <w:rPr>
          <w:rFonts w:hint="eastAsia" w:ascii="宋体" w:hAnsi="宋体"/>
          <w:snapToGrid w:val="0"/>
          <w:color w:val="auto"/>
          <w:kern w:val="0"/>
          <w:szCs w:val="21"/>
          <w:highlight w:val="none"/>
          <w:u w:val="single"/>
          <w:lang w:val="en-US" w:eastAsia="zh-CN"/>
        </w:rPr>
        <w:t xml:space="preserve"> 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8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4</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 xml:space="preserve"> 垫江县县级机关3号综合楼</w:t>
      </w:r>
      <w:r>
        <w:rPr>
          <w:rFonts w:hint="eastAsia" w:ascii="宋体" w:hAnsi="宋体"/>
          <w:snapToGrid w:val="0"/>
          <w:color w:val="auto"/>
          <w:kern w:val="0"/>
          <w:szCs w:val="21"/>
          <w:highlight w:val="none"/>
          <w:u w:val="single"/>
          <w:lang w:eastAsia="zh-CN"/>
        </w:rPr>
        <w:t>重庆明月山建设开发有限公司</w:t>
      </w:r>
      <w:r>
        <w:rPr>
          <w:rFonts w:hint="eastAsia" w:ascii="宋体" w:hAnsi="宋体"/>
          <w:snapToGrid w:val="0"/>
          <w:color w:val="auto"/>
          <w:kern w:val="0"/>
          <w:szCs w:val="21"/>
          <w:highlight w:val="none"/>
          <w:u w:val="single"/>
          <w:lang w:val="en-US" w:eastAsia="zh-CN"/>
        </w:rPr>
        <w:t>601#</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pPr>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5.2  逾期送达的或者未送达指定地点的投标文件，招标人不予受理。</w:t>
      </w:r>
    </w:p>
    <w:p>
      <w:pPr>
        <w:pStyle w:val="4"/>
        <w:spacing w:before="100" w:after="100" w:line="460" w:lineRule="exact"/>
        <w:rPr>
          <w:rFonts w:ascii="宋体" w:hAnsi="宋体"/>
          <w:snapToGrid w:val="0"/>
          <w:color w:val="auto"/>
          <w:sz w:val="28"/>
          <w:szCs w:val="28"/>
          <w:highlight w:val="none"/>
        </w:rPr>
      </w:pPr>
      <w:bookmarkStart w:id="62" w:name="_Toc430530421"/>
      <w:bookmarkStart w:id="63" w:name="_Toc9091"/>
      <w:bookmarkStart w:id="64" w:name="_Toc277082541"/>
      <w:bookmarkStart w:id="65" w:name="_Toc509218697"/>
      <w:bookmarkStart w:id="66" w:name="_Toc200359432"/>
      <w:bookmarkStart w:id="67" w:name="_Toc224103304"/>
      <w:bookmarkStart w:id="68" w:name="_Toc287620672"/>
      <w:bookmarkStart w:id="69" w:name="_Toc287607733"/>
      <w:bookmarkStart w:id="70" w:name="_Toc200359243"/>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62"/>
      <w:bookmarkEnd w:id="63"/>
      <w:bookmarkEnd w:id="64"/>
      <w:bookmarkEnd w:id="65"/>
      <w:bookmarkEnd w:id="66"/>
      <w:bookmarkEnd w:id="67"/>
      <w:bookmarkEnd w:id="68"/>
      <w:bookmarkEnd w:id="69"/>
      <w:bookmarkEnd w:id="70"/>
    </w:p>
    <w:p>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本次招标公告在</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垫江县人民政府网</w:t>
      </w:r>
      <w:r>
        <w:rPr>
          <w:rFonts w:ascii="宋体" w:hAnsi="宋体"/>
          <w:snapToGrid w:val="0"/>
          <w:color w:val="auto"/>
          <w:kern w:val="0"/>
          <w:szCs w:val="21"/>
          <w:highlight w:val="none"/>
        </w:rPr>
        <w:t>上发布。</w:t>
      </w:r>
    </w:p>
    <w:p>
      <w:pPr>
        <w:pStyle w:val="4"/>
        <w:spacing w:before="100" w:after="100" w:line="460" w:lineRule="exact"/>
        <w:rPr>
          <w:rFonts w:ascii="宋体" w:hAnsi="宋体"/>
          <w:snapToGrid w:val="0"/>
          <w:color w:val="auto"/>
          <w:sz w:val="28"/>
          <w:szCs w:val="28"/>
          <w:highlight w:val="none"/>
        </w:rPr>
      </w:pPr>
      <w:bookmarkStart w:id="71" w:name="_Toc277082542"/>
      <w:bookmarkStart w:id="72" w:name="_Toc509218698"/>
      <w:bookmarkStart w:id="73" w:name="_Toc14396"/>
      <w:bookmarkStart w:id="74" w:name="_Toc287620673"/>
      <w:bookmarkStart w:id="75" w:name="_Toc287607734"/>
      <w:bookmarkStart w:id="76" w:name="_Toc224103305"/>
      <w:bookmarkStart w:id="77" w:name="_Toc430530422"/>
      <w:r>
        <w:rPr>
          <w:rFonts w:ascii="宋体" w:hAnsi="宋体"/>
          <w:snapToGrid w:val="0"/>
          <w:color w:val="auto"/>
          <w:sz w:val="28"/>
          <w:szCs w:val="28"/>
          <w:highlight w:val="none"/>
        </w:rPr>
        <w:t xml:space="preserve">7.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联系方式</w:t>
      </w:r>
      <w:bookmarkEnd w:id="71"/>
      <w:bookmarkEnd w:id="72"/>
      <w:bookmarkEnd w:id="73"/>
      <w:bookmarkEnd w:id="74"/>
      <w:bookmarkEnd w:id="75"/>
      <w:bookmarkEnd w:id="76"/>
      <w:bookmarkEnd w:id="77"/>
    </w:p>
    <w:p>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招 标 人：</w:t>
      </w:r>
      <w:r>
        <w:rPr>
          <w:rFonts w:hint="eastAsia" w:ascii="宋体" w:hAnsi="宋体"/>
          <w:snapToGrid w:val="0"/>
          <w:color w:val="auto"/>
          <w:kern w:val="0"/>
          <w:szCs w:val="21"/>
          <w:highlight w:val="none"/>
          <w:u w:val="single"/>
          <w:lang w:eastAsia="zh-CN"/>
        </w:rPr>
        <w:t>重庆明月山建设开发有限公司</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招标代理机构：</w:t>
      </w:r>
      <w:r>
        <w:rPr>
          <w:rFonts w:ascii="宋体" w:hAnsi="宋体"/>
          <w:snapToGrid w:val="0"/>
          <w:color w:val="auto"/>
          <w:kern w:val="0"/>
          <w:szCs w:val="21"/>
          <w:highlight w:val="none"/>
          <w:u w:val="single"/>
        </w:rPr>
        <w:t xml:space="preserve"> </w:t>
      </w:r>
      <w:r>
        <w:rPr>
          <w:rFonts w:hint="eastAsia" w:ascii="宋体" w:hAnsi="宋体" w:cs="宋体"/>
          <w:color w:val="auto"/>
          <w:szCs w:val="21"/>
          <w:highlight w:val="none"/>
          <w:u w:val="single"/>
          <w:shd w:val="clear" w:color="auto" w:fill="FFFFFF"/>
          <w:lang w:eastAsia="zh-CN"/>
        </w:rPr>
        <w:t>重庆立生实业有限公司</w:t>
      </w:r>
      <w:r>
        <w:rPr>
          <w:rFonts w:ascii="宋体" w:hAnsi="宋体"/>
          <w:snapToGrid w:val="0"/>
          <w:color w:val="auto"/>
          <w:kern w:val="0"/>
          <w:szCs w:val="21"/>
          <w:highlight w:val="none"/>
          <w:u w:val="single"/>
        </w:rPr>
        <w:t xml:space="preserve">    </w:t>
      </w:r>
    </w:p>
    <w:p>
      <w:pPr>
        <w:tabs>
          <w:tab w:val="left" w:pos="5140"/>
          <w:tab w:val="left" w:pos="8420"/>
        </w:tabs>
        <w:autoSpaceDE w:val="0"/>
        <w:autoSpaceDN w:val="0"/>
        <w:adjustRightInd w:val="0"/>
        <w:snapToGrid w:val="0"/>
        <w:spacing w:line="450" w:lineRule="exact"/>
        <w:ind w:left="6300" w:leftChars="200" w:hanging="5880" w:hangingChars="2800"/>
        <w:jc w:val="left"/>
        <w:rPr>
          <w:rFonts w:hint="eastAsia" w:ascii="宋体" w:hAnsi="宋体" w:eastAsia="宋体" w:cs="宋体"/>
          <w:color w:val="auto"/>
          <w:szCs w:val="21"/>
          <w:highlight w:val="none"/>
          <w:u w:val="single"/>
          <w:shd w:val="clear" w:color="auto" w:fill="FFFFFF"/>
          <w:lang w:eastAsia="zh-CN"/>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址：</w:t>
      </w:r>
      <w:r>
        <w:rPr>
          <w:rFonts w:hint="eastAsia" w:ascii="宋体" w:hAnsi="宋体"/>
          <w:snapToGrid w:val="0"/>
          <w:color w:val="auto"/>
          <w:kern w:val="0"/>
          <w:szCs w:val="21"/>
          <w:highlight w:val="none"/>
          <w:u w:val="single"/>
        </w:rPr>
        <w:t>垫江县县级机关3号综合楼</w:t>
      </w:r>
      <w:r>
        <w:rPr>
          <w:rFonts w:hint="eastAsia" w:ascii="宋体" w:hAnsi="宋体" w:cs="宋体"/>
          <w:color w:val="auto"/>
          <w:szCs w:val="21"/>
          <w:highlight w:val="none"/>
          <w:u w:val="single"/>
          <w:shd w:val="clear" w:color="auto" w:fill="FFFFFF"/>
        </w:rPr>
        <w:t xml:space="preserve"> </w:t>
      </w:r>
      <w:r>
        <w:rPr>
          <w:rFonts w:hint="eastAsia" w:ascii="宋体" w:hAnsi="宋体" w:cs="宋体"/>
          <w:color w:val="auto"/>
          <w:szCs w:val="21"/>
          <w:highlight w:val="none"/>
          <w:u w:val="single"/>
          <w:shd w:val="clear" w:color="auto" w:fill="FFFFFF"/>
          <w:lang w:val="en-US" w:eastAsia="zh-CN"/>
        </w:rPr>
        <w:t xml:space="preserve">       </w:t>
      </w:r>
      <w:r>
        <w:rPr>
          <w:rFonts w:hint="eastAsia" w:ascii="宋体" w:hAnsi="宋体" w:cs="宋体"/>
          <w:color w:val="auto"/>
          <w:szCs w:val="21"/>
          <w:highlight w:val="none"/>
          <w:shd w:val="clear" w:color="auto" w:fill="FFFFFF"/>
        </w:rPr>
        <w:t>地   址</w:t>
      </w:r>
      <w:r>
        <w:rPr>
          <w:rFonts w:hint="eastAsia" w:ascii="宋体" w:hAnsi="宋体" w:cs="宋体"/>
          <w:color w:val="auto"/>
          <w:szCs w:val="21"/>
          <w:highlight w:val="none"/>
          <w:u w:val="single"/>
          <w:shd w:val="clear" w:color="auto" w:fill="FFFFFF"/>
        </w:rPr>
        <w:t>：</w:t>
      </w:r>
      <w:r>
        <w:rPr>
          <w:rFonts w:hint="eastAsia" w:ascii="宋体" w:hAnsi="宋体"/>
          <w:snapToGrid w:val="0"/>
          <w:color w:val="auto"/>
          <w:kern w:val="0"/>
          <w:position w:val="-3"/>
          <w:szCs w:val="21"/>
          <w:highlight w:val="none"/>
          <w:u w:val="single"/>
          <w:lang w:eastAsia="zh-CN"/>
        </w:rPr>
        <w:t>重庆市垫江县财富大厦14楼</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联 系 人：</w:t>
      </w:r>
      <w:r>
        <w:rPr>
          <w:rFonts w:hint="eastAsia" w:ascii="宋体" w:hAnsi="宋体"/>
          <w:snapToGrid w:val="0"/>
          <w:color w:val="auto"/>
          <w:kern w:val="0"/>
          <w:szCs w:val="21"/>
          <w:highlight w:val="none"/>
          <w:u w:val="single"/>
          <w:lang w:val="en-US" w:eastAsia="zh-CN"/>
        </w:rPr>
        <w:t>廖</w:t>
      </w:r>
      <w:r>
        <w:rPr>
          <w:rFonts w:hint="eastAsia" w:ascii="宋体" w:hAnsi="宋体"/>
          <w:snapToGrid w:val="0"/>
          <w:color w:val="auto"/>
          <w:kern w:val="0"/>
          <w:szCs w:val="21"/>
          <w:highlight w:val="none"/>
          <w:u w:val="single"/>
        </w:rPr>
        <w:t xml:space="preserve">老师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联 系 人：</w:t>
      </w:r>
      <w:r>
        <w:rPr>
          <w:rFonts w:hint="eastAsia" w:ascii="宋体" w:hAnsi="宋体"/>
          <w:snapToGrid w:val="0"/>
          <w:color w:val="auto"/>
          <w:kern w:val="0"/>
          <w:szCs w:val="21"/>
          <w:highlight w:val="none"/>
          <w:u w:val="single"/>
          <w:lang w:val="en-US" w:eastAsia="zh-CN"/>
        </w:rPr>
        <w:t>朱</w:t>
      </w:r>
      <w:r>
        <w:rPr>
          <w:rFonts w:hint="eastAsia" w:ascii="宋体" w:hAnsi="宋体"/>
          <w:snapToGrid w:val="0"/>
          <w:color w:val="auto"/>
          <w:kern w:val="0"/>
          <w:szCs w:val="21"/>
          <w:highlight w:val="none"/>
          <w:u w:val="single"/>
          <w:lang w:eastAsia="zh-CN"/>
        </w:rPr>
        <w:t>老师</w:t>
      </w:r>
      <w:r>
        <w:rPr>
          <w:rFonts w:ascii="宋体" w:hAnsi="宋体"/>
          <w:snapToGrid w:val="0"/>
          <w:color w:val="auto"/>
          <w:kern w:val="0"/>
          <w:szCs w:val="21"/>
          <w:highlight w:val="none"/>
          <w:u w:val="single"/>
        </w:rPr>
        <w:t xml:space="preserve">                       </w:t>
      </w:r>
    </w:p>
    <w:p>
      <w:pPr>
        <w:tabs>
          <w:tab w:val="left" w:pos="5140"/>
          <w:tab w:val="left" w:pos="8420"/>
        </w:tabs>
        <w:autoSpaceDE w:val="0"/>
        <w:autoSpaceDN w:val="0"/>
        <w:adjustRightInd w:val="0"/>
        <w:snapToGrid w:val="0"/>
        <w:spacing w:line="400" w:lineRule="exact"/>
        <w:ind w:firstLine="420" w:firstLineChars="20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电    话：</w:t>
      </w:r>
      <w:r>
        <w:rPr>
          <w:rFonts w:hint="eastAsia" w:ascii="宋体" w:hAnsi="宋体"/>
          <w:snapToGrid w:val="0"/>
          <w:color w:val="auto"/>
          <w:kern w:val="0"/>
          <w:szCs w:val="21"/>
          <w:highlight w:val="none"/>
          <w:u w:val="single"/>
          <w:lang w:val="en-US" w:eastAsia="zh-CN"/>
        </w:rPr>
        <w:t>023-81869659/</w:t>
      </w:r>
      <w:r>
        <w:rPr>
          <w:rFonts w:hint="eastAsia" w:ascii="宋体" w:hAnsi="宋体"/>
          <w:snapToGrid w:val="0"/>
          <w:color w:val="auto"/>
          <w:kern w:val="0"/>
          <w:szCs w:val="21"/>
          <w:highlight w:val="none"/>
          <w:u w:val="single"/>
        </w:rPr>
        <w:t>13896600775</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电    话：</w:t>
      </w:r>
      <w:r>
        <w:rPr>
          <w:rFonts w:hint="eastAsia" w:ascii="宋体" w:hAnsi="宋体" w:cs="宋体"/>
          <w:color w:val="auto"/>
          <w:szCs w:val="21"/>
          <w:highlight w:val="none"/>
          <w:u w:val="single"/>
          <w:shd w:val="clear" w:color="auto" w:fill="FFFFFF"/>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15215147947</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5</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7 </w:t>
      </w:r>
      <w:r>
        <w:rPr>
          <w:rFonts w:ascii="宋体" w:hAnsi="宋体"/>
          <w:snapToGrid w:val="0"/>
          <w:color w:val="auto"/>
          <w:kern w:val="0"/>
          <w:szCs w:val="21"/>
          <w:highlight w:val="none"/>
        </w:rPr>
        <w:t>月</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28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pStyle w:val="3"/>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bookmarkStart w:id="78" w:name="_Toc430530423"/>
      <w:bookmarkStart w:id="79" w:name="_Toc224103306"/>
      <w:bookmarkStart w:id="80" w:name="_Toc287607735"/>
      <w:bookmarkStart w:id="81" w:name="_Toc287620674"/>
    </w:p>
    <w:bookmarkEnd w:id="78"/>
    <w:bookmarkEnd w:id="79"/>
    <w:bookmarkEnd w:id="80"/>
    <w:bookmarkEnd w:id="81"/>
    <w:p>
      <w:pPr>
        <w:pStyle w:val="3"/>
        <w:spacing w:line="360" w:lineRule="auto"/>
        <w:jc w:val="center"/>
        <w:rPr>
          <w:rFonts w:ascii="宋体" w:hAnsi="宋体"/>
          <w:bCs w:val="0"/>
          <w:snapToGrid w:val="0"/>
          <w:color w:val="auto"/>
          <w:kern w:val="0"/>
          <w:highlight w:val="none"/>
        </w:rPr>
      </w:pPr>
      <w:bookmarkStart w:id="82" w:name="_Toc224103315"/>
      <w:bookmarkStart w:id="83" w:name="_Toc287607744"/>
      <w:bookmarkStart w:id="84" w:name="_Toc916"/>
      <w:bookmarkStart w:id="85" w:name="_Toc430530432"/>
      <w:bookmarkStart w:id="86" w:name="_Toc287620683"/>
      <w:r>
        <w:rPr>
          <w:rFonts w:ascii="宋体" w:hAnsi="宋体"/>
          <w:snapToGrid w:val="0"/>
          <w:color w:val="auto"/>
          <w:kern w:val="0"/>
          <w:highlight w:val="none"/>
        </w:rPr>
        <w:t>第二章  投标人须知</w:t>
      </w:r>
      <w:bookmarkEnd w:id="82"/>
      <w:bookmarkEnd w:id="83"/>
      <w:bookmarkEnd w:id="84"/>
      <w:bookmarkEnd w:id="85"/>
      <w:bookmarkEnd w:id="86"/>
      <w:bookmarkStart w:id="87" w:name="_Toc287607745"/>
      <w:bookmarkStart w:id="88" w:name="_Toc287620684"/>
      <w:bookmarkStart w:id="89" w:name="_Toc277082551"/>
      <w:bookmarkStart w:id="90" w:name="_Toc224103316"/>
      <w:bookmarkStart w:id="91" w:name="_Toc430530433"/>
    </w:p>
    <w:p>
      <w:pPr>
        <w:pStyle w:val="4"/>
        <w:spacing w:before="100" w:after="100" w:line="360" w:lineRule="auto"/>
        <w:rPr>
          <w:rFonts w:ascii="宋体" w:hAnsi="宋体"/>
          <w:color w:val="auto"/>
          <w:highlight w:val="none"/>
        </w:rPr>
      </w:pPr>
      <w:bookmarkStart w:id="92" w:name="_Toc509218708"/>
      <w:bookmarkStart w:id="93" w:name="_Toc22770"/>
      <w:r>
        <w:rPr>
          <w:rFonts w:hint="eastAsia" w:ascii="宋体" w:hAnsi="宋体"/>
          <w:color w:val="auto"/>
          <w:highlight w:val="none"/>
        </w:rPr>
        <w:t>投标人须知前附表</w:t>
      </w:r>
      <w:bookmarkEnd w:id="87"/>
      <w:bookmarkEnd w:id="88"/>
      <w:bookmarkEnd w:id="89"/>
      <w:bookmarkEnd w:id="90"/>
      <w:bookmarkEnd w:id="91"/>
      <w:bookmarkEnd w:id="92"/>
      <w:bookmarkEnd w:id="93"/>
    </w:p>
    <w:p>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正文内容不允许修改。若投标人须知前附表与正文不一致的地方，以投标人须知前附表为准。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招标人</w:t>
            </w:r>
          </w:p>
        </w:tc>
        <w:tc>
          <w:tcPr>
            <w:tcW w:w="6490" w:type="dxa"/>
            <w:vAlign w:val="center"/>
          </w:tcPr>
          <w:p>
            <w:pPr>
              <w:snapToGrid w:val="0"/>
              <w:spacing w:line="400" w:lineRule="exact"/>
              <w:rPr>
                <w:rFonts w:ascii="宋体" w:hAnsi="宋体"/>
                <w:color w:val="auto"/>
                <w:kern w:val="0"/>
                <w:szCs w:val="21"/>
                <w:highlight w:val="none"/>
              </w:rPr>
            </w:pPr>
            <w:r>
              <w:rPr>
                <w:rFonts w:ascii="宋体" w:hAnsi="宋体"/>
                <w:color w:val="auto"/>
                <w:kern w:val="0"/>
                <w:szCs w:val="21"/>
                <w:highlight w:val="none"/>
              </w:rPr>
              <w:t>名称：</w:t>
            </w:r>
            <w:r>
              <w:rPr>
                <w:rFonts w:hint="eastAsia" w:ascii="宋体" w:hAnsi="宋体"/>
                <w:color w:val="auto"/>
                <w:kern w:val="0"/>
                <w:szCs w:val="21"/>
                <w:highlight w:val="none"/>
                <w:lang w:eastAsia="zh-CN"/>
              </w:rPr>
              <w:t>重庆明月山建设开发有限公司</w:t>
            </w:r>
            <w:r>
              <w:rPr>
                <w:rFonts w:hint="eastAsia" w:ascii="宋体" w:hAnsi="宋体"/>
                <w:color w:val="auto"/>
                <w:kern w:val="0"/>
                <w:szCs w:val="21"/>
                <w:highlight w:val="none"/>
              </w:rPr>
              <w:t xml:space="preserve"> </w:t>
            </w:r>
          </w:p>
          <w:p>
            <w:pPr>
              <w:snapToGrid w:val="0"/>
              <w:spacing w:line="400" w:lineRule="exact"/>
              <w:rPr>
                <w:rFonts w:hint="eastAsia" w:ascii="宋体" w:hAnsi="宋体" w:eastAsia="宋体"/>
                <w:color w:val="auto"/>
                <w:kern w:val="0"/>
                <w:szCs w:val="21"/>
                <w:highlight w:val="none"/>
                <w:u w:val="none"/>
                <w:lang w:eastAsia="zh-CN"/>
              </w:rPr>
            </w:pPr>
            <w:r>
              <w:rPr>
                <w:rFonts w:ascii="宋体" w:hAnsi="宋体"/>
                <w:color w:val="auto"/>
                <w:kern w:val="0"/>
                <w:szCs w:val="21"/>
                <w:highlight w:val="none"/>
              </w:rPr>
              <w:t>地址：</w:t>
            </w:r>
            <w:r>
              <w:rPr>
                <w:rFonts w:hint="eastAsia" w:ascii="宋体" w:hAnsi="宋体"/>
                <w:snapToGrid w:val="0"/>
                <w:color w:val="auto"/>
                <w:kern w:val="0"/>
                <w:szCs w:val="21"/>
                <w:highlight w:val="none"/>
                <w:u w:val="none"/>
              </w:rPr>
              <w:t>垫江县县级机关3号综合楼</w:t>
            </w:r>
          </w:p>
          <w:p>
            <w:pPr>
              <w:snapToGrid w:val="0"/>
              <w:spacing w:line="400" w:lineRule="exact"/>
              <w:rPr>
                <w:rFonts w:ascii="宋体" w:hAnsi="宋体"/>
                <w:color w:val="auto"/>
                <w:kern w:val="0"/>
                <w:szCs w:val="21"/>
                <w:highlight w:val="none"/>
              </w:rPr>
            </w:pPr>
            <w:r>
              <w:rPr>
                <w:rFonts w:ascii="宋体" w:hAnsi="宋体"/>
                <w:color w:val="auto"/>
                <w:kern w:val="0"/>
                <w:szCs w:val="21"/>
                <w:highlight w:val="none"/>
              </w:rPr>
              <w:t>联系人：</w:t>
            </w:r>
            <w:r>
              <w:rPr>
                <w:rFonts w:hint="eastAsia" w:ascii="宋体" w:hAnsi="宋体"/>
                <w:color w:val="auto"/>
                <w:kern w:val="0"/>
                <w:szCs w:val="21"/>
                <w:highlight w:val="none"/>
                <w:lang w:val="en-US" w:eastAsia="zh-CN"/>
              </w:rPr>
              <w:t>廖</w:t>
            </w:r>
            <w:r>
              <w:rPr>
                <w:rFonts w:hint="eastAsia" w:ascii="宋体" w:hAnsi="宋体"/>
                <w:color w:val="auto"/>
                <w:kern w:val="0"/>
                <w:szCs w:val="21"/>
                <w:highlight w:val="none"/>
              </w:rPr>
              <w:t>老师</w:t>
            </w:r>
          </w:p>
          <w:p>
            <w:pPr>
              <w:snapToGrid w:val="0"/>
              <w:spacing w:line="400" w:lineRule="exact"/>
              <w:rPr>
                <w:rFonts w:hint="eastAsia" w:ascii="宋体" w:hAnsi="宋体" w:eastAsia="宋体"/>
                <w:color w:val="auto"/>
                <w:kern w:val="0"/>
                <w:szCs w:val="21"/>
                <w:highlight w:val="none"/>
                <w:lang w:eastAsia="zh-CN"/>
              </w:rPr>
            </w:pPr>
            <w:r>
              <w:rPr>
                <w:rFonts w:ascii="宋体" w:hAnsi="宋体"/>
                <w:color w:val="auto"/>
                <w:kern w:val="0"/>
                <w:szCs w:val="21"/>
                <w:highlight w:val="none"/>
              </w:rPr>
              <w:t>电话：</w:t>
            </w:r>
            <w:r>
              <w:rPr>
                <w:rFonts w:hint="eastAsia" w:ascii="宋体" w:hAnsi="宋体"/>
                <w:color w:val="auto"/>
                <w:kern w:val="0"/>
                <w:szCs w:val="21"/>
                <w:highlight w:val="none"/>
                <w:lang w:val="en-US" w:eastAsia="zh-CN"/>
              </w:rPr>
              <w:t>023-81869659/</w:t>
            </w:r>
            <w:r>
              <w:rPr>
                <w:rFonts w:hint="eastAsia" w:ascii="宋体" w:hAnsi="宋体"/>
                <w:color w:val="auto"/>
                <w:kern w:val="0"/>
                <w:szCs w:val="21"/>
                <w:highlight w:val="none"/>
              </w:rPr>
              <w:t>13896600775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招标代理机构</w:t>
            </w:r>
          </w:p>
        </w:tc>
        <w:tc>
          <w:tcPr>
            <w:tcW w:w="6490" w:type="dxa"/>
            <w:vAlign w:val="center"/>
          </w:tcPr>
          <w:p>
            <w:pPr>
              <w:snapToGrid w:val="0"/>
              <w:spacing w:line="400" w:lineRule="exact"/>
              <w:rPr>
                <w:rFonts w:hint="eastAsia" w:ascii="宋体" w:hAnsi="宋体" w:eastAsia="宋体"/>
                <w:color w:val="auto"/>
                <w:kern w:val="0"/>
                <w:szCs w:val="21"/>
                <w:highlight w:val="none"/>
                <w:lang w:eastAsia="zh-CN"/>
              </w:rPr>
            </w:pPr>
            <w:r>
              <w:rPr>
                <w:rFonts w:ascii="宋体" w:hAnsi="宋体"/>
                <w:color w:val="auto"/>
                <w:kern w:val="0"/>
                <w:szCs w:val="21"/>
                <w:highlight w:val="none"/>
              </w:rPr>
              <w:t>名称：</w:t>
            </w:r>
            <w:r>
              <w:rPr>
                <w:rFonts w:hint="eastAsia" w:ascii="宋体" w:hAnsi="宋体" w:cs="宋体"/>
                <w:color w:val="auto"/>
                <w:szCs w:val="21"/>
                <w:highlight w:val="none"/>
                <w:shd w:val="clear" w:color="auto" w:fill="FFFFFF"/>
                <w:lang w:eastAsia="zh-CN"/>
              </w:rPr>
              <w:t>重庆立生实业有限公司</w:t>
            </w:r>
          </w:p>
          <w:p>
            <w:pPr>
              <w:snapToGrid w:val="0"/>
              <w:spacing w:line="400" w:lineRule="exact"/>
              <w:rPr>
                <w:rFonts w:hint="eastAsia" w:ascii="宋体" w:hAnsi="宋体" w:eastAsia="宋体"/>
                <w:color w:val="auto"/>
                <w:kern w:val="0"/>
                <w:szCs w:val="21"/>
                <w:highlight w:val="none"/>
                <w:lang w:eastAsia="zh-CN"/>
              </w:rPr>
            </w:pPr>
            <w:r>
              <w:rPr>
                <w:rFonts w:ascii="宋体" w:hAnsi="宋体"/>
                <w:color w:val="auto"/>
                <w:kern w:val="0"/>
                <w:szCs w:val="21"/>
                <w:highlight w:val="none"/>
              </w:rPr>
              <w:t>地址：</w:t>
            </w:r>
            <w:r>
              <w:rPr>
                <w:rFonts w:hint="eastAsia" w:ascii="宋体" w:hAnsi="宋体"/>
                <w:color w:val="auto"/>
                <w:kern w:val="0"/>
                <w:szCs w:val="21"/>
                <w:highlight w:val="none"/>
                <w:lang w:eastAsia="zh-CN"/>
              </w:rPr>
              <w:t>重庆市垫江县财富大厦14楼</w:t>
            </w:r>
          </w:p>
          <w:p>
            <w:pPr>
              <w:snapToGrid w:val="0"/>
              <w:spacing w:line="400" w:lineRule="exact"/>
              <w:rPr>
                <w:rFonts w:hint="eastAsia" w:ascii="宋体" w:hAnsi="宋体" w:eastAsia="宋体"/>
                <w:color w:val="auto"/>
                <w:kern w:val="0"/>
                <w:szCs w:val="21"/>
                <w:highlight w:val="none"/>
                <w:lang w:eastAsia="zh-CN"/>
              </w:rPr>
            </w:pPr>
            <w:r>
              <w:rPr>
                <w:rFonts w:ascii="宋体" w:hAnsi="宋体"/>
                <w:color w:val="auto"/>
                <w:kern w:val="0"/>
                <w:szCs w:val="21"/>
                <w:highlight w:val="none"/>
              </w:rPr>
              <w:t>联系人：</w:t>
            </w:r>
            <w:r>
              <w:rPr>
                <w:rFonts w:hint="eastAsia" w:ascii="宋体" w:hAnsi="宋体"/>
                <w:snapToGrid w:val="0"/>
                <w:color w:val="auto"/>
                <w:kern w:val="0"/>
                <w:szCs w:val="21"/>
                <w:highlight w:val="none"/>
                <w:lang w:val="en-US" w:eastAsia="zh-CN"/>
              </w:rPr>
              <w:t>朱</w:t>
            </w:r>
            <w:r>
              <w:rPr>
                <w:rFonts w:hint="eastAsia" w:ascii="宋体" w:hAnsi="宋体"/>
                <w:snapToGrid w:val="0"/>
                <w:color w:val="auto"/>
                <w:kern w:val="0"/>
                <w:szCs w:val="21"/>
                <w:highlight w:val="none"/>
                <w:lang w:eastAsia="zh-CN"/>
              </w:rPr>
              <w:t>老师</w:t>
            </w:r>
          </w:p>
          <w:p>
            <w:pPr>
              <w:snapToGrid w:val="0"/>
              <w:spacing w:line="400" w:lineRule="exact"/>
              <w:rPr>
                <w:rFonts w:ascii="宋体" w:hAnsi="宋体"/>
                <w:color w:val="auto"/>
                <w:kern w:val="0"/>
                <w:szCs w:val="21"/>
                <w:highlight w:val="none"/>
              </w:rPr>
            </w:pPr>
            <w:r>
              <w:rPr>
                <w:rFonts w:ascii="宋体" w:hAnsi="宋体"/>
                <w:color w:val="auto"/>
                <w:kern w:val="0"/>
                <w:szCs w:val="21"/>
                <w:highlight w:val="none"/>
              </w:rPr>
              <w:t>电话：</w:t>
            </w:r>
            <w:r>
              <w:rPr>
                <w:rFonts w:hint="eastAsia" w:ascii="宋体" w:hAnsi="宋体"/>
                <w:snapToGrid w:val="0"/>
                <w:color w:val="auto"/>
                <w:kern w:val="0"/>
                <w:szCs w:val="21"/>
                <w:highlight w:val="none"/>
                <w:lang w:eastAsia="zh-CN"/>
              </w:rPr>
              <w:t>15215147947</w:t>
            </w:r>
            <w:r>
              <w:rPr>
                <w:rFonts w:hint="eastAsia" w:ascii="宋体" w:hAnsi="宋体"/>
                <w:snapToGrid w:val="0"/>
                <w:color w:val="auto"/>
                <w:kern w:val="0"/>
                <w:szCs w:val="21"/>
                <w:highlight w:val="none"/>
              </w:rPr>
              <w:t xml:space="preserve"> </w:t>
            </w:r>
            <w:r>
              <w:rPr>
                <w:rFonts w:hint="eastAsia" w:ascii="宋体" w:hAnsi="宋体" w:cs="宋体"/>
                <w:color w:val="auto"/>
                <w:szCs w:val="21"/>
                <w:highlight w:val="none"/>
                <w:shd w:val="clear" w:color="auto" w:fill="FFFFFF"/>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pPr>
              <w:snapToGrid w:val="0"/>
              <w:spacing w:line="400" w:lineRule="exact"/>
              <w:jc w:val="left"/>
              <w:rPr>
                <w:rFonts w:hint="eastAsia" w:ascii="宋体" w:hAnsi="宋体" w:eastAsia="宋体"/>
                <w:color w:val="auto"/>
                <w:szCs w:val="21"/>
                <w:highlight w:val="none"/>
                <w:lang w:eastAsia="zh-CN"/>
              </w:rPr>
            </w:pPr>
            <w:r>
              <w:rPr>
                <w:rFonts w:hint="eastAsia" w:ascii="宋体" w:hAnsi="宋体" w:cs="宋体"/>
                <w:color w:val="auto"/>
                <w:szCs w:val="21"/>
                <w:highlight w:val="none"/>
                <w:u w:val="single"/>
                <w:lang w:eastAsia="zh-CN"/>
              </w:rPr>
              <w:t>宝鼎山建(构)筑物排危整治工程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490" w:type="dxa"/>
            <w:vAlign w:val="center"/>
          </w:tcPr>
          <w:p>
            <w:pPr>
              <w:snapToGrid w:val="0"/>
              <w:spacing w:line="400" w:lineRule="exact"/>
              <w:jc w:val="left"/>
              <w:rPr>
                <w:rFonts w:hint="eastAsia" w:ascii="宋体" w:hAnsi="宋体" w:eastAsia="宋体"/>
                <w:color w:val="auto"/>
                <w:szCs w:val="21"/>
                <w:highlight w:val="none"/>
                <w:lang w:eastAsia="zh-CN"/>
              </w:rPr>
            </w:pP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垫江县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490" w:type="dxa"/>
            <w:vAlign w:val="center"/>
          </w:tcPr>
          <w:p>
            <w:pPr>
              <w:snapToGrid w:val="0"/>
              <w:spacing w:line="400" w:lineRule="exact"/>
              <w:ind w:firstLine="420" w:firstLineChars="200"/>
              <w:jc w:val="left"/>
              <w:rPr>
                <w:rFonts w:hint="default" w:ascii="宋体" w:hAnsi="宋体" w:eastAsia="宋体"/>
                <w:color w:val="auto"/>
                <w:szCs w:val="21"/>
                <w:highlight w:val="none"/>
                <w:u w:val="single"/>
                <w:lang w:val="en-US" w:eastAsia="zh-CN"/>
              </w:rPr>
            </w:pPr>
            <w:r>
              <w:rPr>
                <w:rFonts w:hint="eastAsia" w:ascii="宋体" w:hAnsi="宋体"/>
                <w:snapToGrid w:val="0"/>
                <w:color w:val="auto"/>
                <w:kern w:val="0"/>
                <w:szCs w:val="21"/>
                <w:highlight w:val="none"/>
                <w:u w:val="single"/>
                <w:lang w:val="en-US" w:eastAsia="zh-CN"/>
              </w:rPr>
              <w:t>宝鼎山建(构)筑物排危整治工程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490" w:type="dxa"/>
            <w:vAlign w:val="center"/>
          </w:tcPr>
          <w:p>
            <w:pPr>
              <w:snapToGrid w:val="0"/>
              <w:spacing w:line="400" w:lineRule="exact"/>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lang w:eastAsia="zh-CN"/>
              </w:rPr>
              <w:t>业主自筹</w:t>
            </w:r>
            <w:r>
              <w:rPr>
                <w:rFonts w:hint="eastAsia" w:ascii="宋体" w:hAnsi="宋体"/>
                <w:color w:val="auto"/>
                <w:szCs w:val="21"/>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pPr>
              <w:snapToGrid w:val="0"/>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pPr>
              <w:snapToGrid w:val="0"/>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招标范围</w:t>
            </w:r>
          </w:p>
        </w:tc>
        <w:tc>
          <w:tcPr>
            <w:tcW w:w="6490" w:type="dxa"/>
            <w:vAlign w:val="center"/>
          </w:tcPr>
          <w:p>
            <w:pPr>
              <w:snapToGrid w:val="0"/>
              <w:spacing w:line="400" w:lineRule="exact"/>
              <w:ind w:firstLine="420" w:firstLineChars="200"/>
              <w:rPr>
                <w:rFonts w:ascii="宋体" w:hAnsi="宋体"/>
                <w:i/>
                <w:color w:val="auto"/>
                <w:szCs w:val="21"/>
                <w:highlight w:val="none"/>
              </w:rPr>
            </w:pPr>
            <w:r>
              <w:rPr>
                <w:rFonts w:hint="eastAsia" w:ascii="宋体" w:hAnsi="宋体" w:cs="宋体"/>
                <w:color w:val="auto"/>
                <w:kern w:val="0"/>
                <w:szCs w:val="21"/>
                <w:highlight w:val="none"/>
                <w:u w:val="single"/>
                <w:shd w:val="clear" w:color="auto" w:fill="FFFFFF"/>
                <w:lang w:bidi="ar"/>
              </w:rPr>
              <w:t>包括招标人所提供的施工设计图所示范围内的所有内容，具体以招标人提供的图纸、工程量清单、答疑资料、澄清资料、其他补遗资料等相关内容为准</w:t>
            </w:r>
            <w:r>
              <w:rPr>
                <w:rFonts w:hint="eastAsia" w:ascii="宋体" w:hAnsi="宋体" w:cs="宋体"/>
                <w:color w:val="auto"/>
                <w:kern w:val="0"/>
                <w:szCs w:val="21"/>
                <w:highlight w:val="none"/>
                <w:shd w:val="clear" w:color="auto" w:fill="FFFFFF"/>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缺陷责任期</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color w:val="auto"/>
                <w:kern w:val="0"/>
                <w:szCs w:val="21"/>
                <w:highlight w:val="none"/>
              </w:rPr>
              <w:t>工期：</w:t>
            </w:r>
            <w:r>
              <w:rPr>
                <w:rFonts w:hint="eastAsia" w:ascii="宋体" w:hAnsi="宋体"/>
                <w:snapToGrid w:val="0"/>
                <w:color w:val="auto"/>
                <w:kern w:val="0"/>
                <w:szCs w:val="21"/>
                <w:highlight w:val="none"/>
                <w:u w:val="single"/>
                <w:lang w:val="en-US" w:eastAsia="zh-CN"/>
              </w:rPr>
              <w:t>45</w:t>
            </w:r>
            <w:r>
              <w:rPr>
                <w:rFonts w:hint="eastAsia" w:ascii="宋体" w:hAnsi="宋体"/>
                <w:snapToGrid w:val="0"/>
                <w:color w:val="auto"/>
                <w:kern w:val="0"/>
                <w:szCs w:val="21"/>
                <w:highlight w:val="none"/>
                <w:u w:val="single"/>
              </w:rPr>
              <w:t>日历天</w:t>
            </w:r>
            <w:r>
              <w:rPr>
                <w:rFonts w:hint="eastAsia" w:ascii="宋体" w:hAnsi="宋体"/>
                <w:snapToGrid w:val="0"/>
                <w:color w:val="auto"/>
                <w:kern w:val="0"/>
                <w:szCs w:val="21"/>
                <w:highlight w:val="none"/>
                <w:u w:val="single"/>
                <w:lang w:eastAsia="zh-CN"/>
              </w:rPr>
              <w:t>。</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缺陷责任期：</w:t>
            </w:r>
            <w:r>
              <w:rPr>
                <w:rFonts w:hint="eastAsia" w:ascii="宋体" w:hAnsi="宋体"/>
                <w:snapToGrid w:val="0"/>
                <w:color w:val="auto"/>
                <w:kern w:val="0"/>
                <w:szCs w:val="21"/>
                <w:highlight w:val="none"/>
                <w:u w:val="single"/>
              </w:rPr>
              <w:t xml:space="preserve"> 24个月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满足相关质量要求规范及图纸要求，工程质量达到合格。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1335" w:type="dxa"/>
            <w:vAlign w:val="center"/>
          </w:tcPr>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both"/>
              <w:rPr>
                <w:rFonts w:ascii="宋体" w:hAnsi="宋体"/>
                <w:color w:val="auto"/>
                <w:kern w:val="0"/>
                <w:szCs w:val="21"/>
                <w:highlight w:val="none"/>
              </w:rPr>
            </w:pPr>
          </w:p>
        </w:tc>
        <w:tc>
          <w:tcPr>
            <w:tcW w:w="1644" w:type="dxa"/>
            <w:vAlign w:val="center"/>
          </w:tcPr>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投标人资质条件、能力和信誉</w:t>
            </w: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投标人资质条件、能力和信誉</w:t>
            </w: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rPr>
                <w:rFonts w:ascii="宋体" w:hAnsi="宋体"/>
                <w:color w:val="auto"/>
                <w:kern w:val="0"/>
                <w:szCs w:val="21"/>
                <w:highlight w:val="none"/>
              </w:rPr>
            </w:pPr>
          </w:p>
        </w:tc>
        <w:tc>
          <w:tcPr>
            <w:tcW w:w="6490" w:type="dxa"/>
            <w:vAlign w:val="center"/>
          </w:tcPr>
          <w:p>
            <w:pPr>
              <w:autoSpaceDE w:val="0"/>
              <w:autoSpaceDN w:val="0"/>
              <w:adjustRightInd w:val="0"/>
              <w:snapToGrid w:val="0"/>
              <w:spacing w:line="400" w:lineRule="exact"/>
              <w:ind w:firstLine="420" w:firstLineChars="200"/>
              <w:rPr>
                <w:rFonts w:ascii="宋体" w:hAnsi="宋体"/>
                <w:color w:val="auto"/>
                <w:szCs w:val="21"/>
                <w:highlight w:val="none"/>
              </w:rPr>
            </w:pPr>
            <w:bookmarkStart w:id="94" w:name="OLE_LINK1"/>
            <w:r>
              <w:rPr>
                <w:rFonts w:ascii="宋体" w:hAnsi="宋体"/>
                <w:color w:val="auto"/>
                <w:szCs w:val="21"/>
                <w:highlight w:val="none"/>
              </w:rPr>
              <w:t>本工程施工招标实行资格后审，投标人应</w:t>
            </w:r>
            <w:bookmarkStart w:id="95" w:name="一是"/>
            <w:bookmarkEnd w:id="95"/>
            <w:r>
              <w:rPr>
                <w:rFonts w:ascii="宋体" w:hAnsi="宋体"/>
                <w:color w:val="auto"/>
                <w:szCs w:val="21"/>
                <w:highlight w:val="none"/>
              </w:rPr>
              <w:t>具备以下资格条件：</w:t>
            </w:r>
          </w:p>
          <w:bookmarkEnd w:id="94"/>
          <w:p>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1.资质条件、营业执照及安全生产条件</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（1）具备建设行政主管部门颁发的有效的</w:t>
            </w:r>
            <w:r>
              <w:rPr>
                <w:rFonts w:hint="eastAsia" w:ascii="宋体" w:hAnsi="宋体"/>
                <w:color w:val="auto"/>
                <w:szCs w:val="21"/>
                <w:highlight w:val="none"/>
                <w:lang w:eastAsia="zh-CN"/>
              </w:rPr>
              <w:t>建筑工程施工总承包三级及以上资质</w:t>
            </w:r>
            <w:r>
              <w:rPr>
                <w:rFonts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须</w:t>
            </w:r>
            <w:r>
              <w:rPr>
                <w:rFonts w:hint="eastAsia" w:ascii="宋体" w:hAnsi="宋体"/>
                <w:color w:val="auto"/>
                <w:szCs w:val="21"/>
                <w:highlight w:val="none"/>
              </w:rPr>
              <w:t>在</w:t>
            </w:r>
            <w:r>
              <w:rPr>
                <w:rFonts w:hint="eastAsia" w:ascii="宋体" w:hAnsi="宋体"/>
                <w:color w:val="auto"/>
                <w:szCs w:val="21"/>
                <w:highlight w:val="none"/>
                <w:lang w:eastAsia="zh-CN"/>
              </w:rPr>
              <w:t>投标文件中</w:t>
            </w:r>
            <w:r>
              <w:rPr>
                <w:rFonts w:ascii="宋体" w:hAnsi="宋体"/>
                <w:color w:val="auto"/>
                <w:szCs w:val="21"/>
                <w:highlight w:val="none"/>
              </w:rPr>
              <w:t>提供</w:t>
            </w:r>
            <w:r>
              <w:rPr>
                <w:rFonts w:hint="eastAsia" w:ascii="宋体" w:hAnsi="宋体"/>
                <w:color w:val="auto"/>
                <w:szCs w:val="21"/>
                <w:highlight w:val="none"/>
              </w:rPr>
              <w:t>有效的资质证书</w:t>
            </w:r>
            <w:r>
              <w:rPr>
                <w:rFonts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（2）具备有效的营业执照。</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须</w:t>
            </w:r>
            <w:r>
              <w:rPr>
                <w:rFonts w:hint="eastAsia" w:ascii="宋体" w:hAnsi="宋体"/>
                <w:color w:val="auto"/>
                <w:szCs w:val="21"/>
                <w:highlight w:val="none"/>
              </w:rPr>
              <w:t>在</w:t>
            </w:r>
            <w:r>
              <w:rPr>
                <w:rFonts w:hint="eastAsia" w:ascii="宋体" w:hAnsi="宋体"/>
                <w:color w:val="auto"/>
                <w:szCs w:val="21"/>
                <w:highlight w:val="none"/>
                <w:lang w:eastAsia="zh-CN"/>
              </w:rPr>
              <w:t>投标文件中</w:t>
            </w:r>
            <w:r>
              <w:rPr>
                <w:rFonts w:ascii="宋体" w:hAnsi="宋体"/>
                <w:color w:val="auto"/>
                <w:szCs w:val="21"/>
                <w:highlight w:val="none"/>
              </w:rPr>
              <w:t>提供有效的营业执照。</w:t>
            </w:r>
            <w:r>
              <w:rPr>
                <w:rFonts w:hint="eastAsia" w:ascii="宋体" w:hAnsi="宋体"/>
                <w:color w:val="auto"/>
                <w:szCs w:val="21"/>
                <w:highlight w:val="none"/>
              </w:rPr>
              <w:t>注：不得将投标人营业执照记载的经营范围作为评审因素。</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（3）具备建设行政主管部门颁发的有效的安全生产许可证，企业</w:t>
            </w:r>
            <w:r>
              <w:rPr>
                <w:rFonts w:hint="eastAsia" w:ascii="宋体" w:hAnsi="宋体"/>
                <w:color w:val="auto"/>
                <w:szCs w:val="21"/>
                <w:highlight w:val="none"/>
              </w:rPr>
              <w:t>主要</w:t>
            </w:r>
            <w:r>
              <w:rPr>
                <w:rFonts w:ascii="宋体" w:hAnsi="宋体"/>
                <w:color w:val="auto"/>
                <w:szCs w:val="21"/>
                <w:highlight w:val="none"/>
              </w:rPr>
              <w:t>负责人、拟担任该项目项目经理具备相应的由建设行政主管部门颁发的有效的安全生产考核合格证书</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投标人须在</w:t>
            </w:r>
            <w:r>
              <w:rPr>
                <w:rFonts w:hint="eastAsia" w:ascii="宋体" w:hAnsi="宋体"/>
                <w:color w:val="auto"/>
                <w:szCs w:val="21"/>
                <w:highlight w:val="none"/>
                <w:lang w:eastAsia="zh-CN"/>
              </w:rPr>
              <w:t>投标文件中</w:t>
            </w:r>
            <w:r>
              <w:rPr>
                <w:rFonts w:hint="eastAsia" w:ascii="宋体" w:hAnsi="宋体"/>
                <w:color w:val="auto"/>
                <w:szCs w:val="21"/>
                <w:highlight w:val="none"/>
              </w:rPr>
              <w:t>提供有效的安全生产许可证</w:t>
            </w:r>
            <w:r>
              <w:rPr>
                <w:rFonts w:ascii="宋体" w:hAnsi="宋体"/>
                <w:color w:val="auto"/>
                <w:szCs w:val="21"/>
                <w:highlight w:val="none"/>
              </w:rPr>
              <w:t>及安全生产考核合格证书。</w:t>
            </w:r>
          </w:p>
          <w:p>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eastAsia="zh-CN"/>
              </w:rPr>
              <w:t>☑</w:t>
            </w:r>
            <w:r>
              <w:rPr>
                <w:rFonts w:ascii="宋体" w:hAnsi="宋体"/>
                <w:b/>
                <w:color w:val="auto"/>
                <w:szCs w:val="21"/>
                <w:highlight w:val="none"/>
              </w:rPr>
              <w:t>2.财务要求</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u w:val="single"/>
                <w:lang w:val="en-US" w:eastAsia="zh-CN"/>
              </w:rPr>
              <w:t>无</w:t>
            </w:r>
            <w:r>
              <w:rPr>
                <w:rFonts w:ascii="宋体" w:hAnsi="宋体"/>
                <w:color w:val="auto"/>
                <w:kern w:val="0"/>
                <w:szCs w:val="21"/>
                <w:highlight w:val="none"/>
              </w:rPr>
              <w:t xml:space="preserve"> </w:t>
            </w:r>
          </w:p>
          <w:p>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3.业绩要求</w:t>
            </w:r>
          </w:p>
          <w:p>
            <w:pPr>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无</w:t>
            </w:r>
          </w:p>
          <w:p>
            <w:pPr>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4.投标截止日投标资格情况</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投标人自行承诺（格式见第八章投标文件格式）不得存在下列情形之一：</w:t>
            </w:r>
          </w:p>
          <w:p>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Theme="minorEastAsia" w:hAnsiTheme="minorEastAsia" w:eastAsiaTheme="minorEastAsia" w:cstheme="minorEastAsia"/>
                <w:color w:val="auto"/>
                <w:szCs w:val="21"/>
                <w:highlight w:val="none"/>
              </w:rPr>
              <w:t>市级有关行业</w:t>
            </w:r>
            <w:r>
              <w:rPr>
                <w:rFonts w:hint="eastAsia" w:ascii="宋体" w:hAnsi="宋体"/>
                <w:color w:val="auto"/>
                <w:szCs w:val="21"/>
                <w:highlight w:val="none"/>
              </w:rPr>
              <w:t>主管部门暂停在渝承揽新业务且在暂停期内。</w:t>
            </w:r>
          </w:p>
          <w:p>
            <w:pPr>
              <w:spacing w:line="400" w:lineRule="exact"/>
              <w:ind w:firstLine="420" w:firstLineChars="200"/>
              <w:rPr>
                <w:color w:val="auto"/>
                <w:highlight w:val="none"/>
              </w:rPr>
            </w:pPr>
            <w:r>
              <w:rPr>
                <w:rFonts w:hint="eastAsia"/>
                <w:color w:val="auto"/>
                <w:highlight w:val="none"/>
              </w:rPr>
              <w:t>投标人须在</w:t>
            </w:r>
            <w:r>
              <w:rPr>
                <w:rFonts w:hint="eastAsia"/>
                <w:color w:val="auto"/>
                <w:highlight w:val="none"/>
                <w:lang w:eastAsia="zh-CN"/>
              </w:rPr>
              <w:t>投标文件中</w:t>
            </w:r>
            <w:r>
              <w:rPr>
                <w:rFonts w:hint="eastAsia"/>
                <w:color w:val="auto"/>
                <w:highlight w:val="none"/>
              </w:rPr>
              <w:t>提供承诺。</w:t>
            </w:r>
          </w:p>
          <w:p>
            <w:pPr>
              <w:spacing w:line="400" w:lineRule="exact"/>
              <w:ind w:firstLine="420" w:firstLineChars="200"/>
              <w:rPr>
                <w:color w:val="auto"/>
                <w:highlight w:val="none"/>
              </w:rPr>
            </w:pPr>
            <w:r>
              <w:rPr>
                <w:rFonts w:hint="eastAsia"/>
                <w:color w:val="auto"/>
                <w:highlight w:val="none"/>
              </w:rPr>
              <w:t>上述第（2）、（3）款信用状况在开标环节进行查询，查询结果交由评标委员会评审，若投标人针对上述第（2）、（3）款的承诺内容与查询结果不符，由评标委员会作否决投标处理。</w:t>
            </w:r>
          </w:p>
          <w:p>
            <w:pPr>
              <w:spacing w:line="400" w:lineRule="exact"/>
              <w:ind w:firstLine="420" w:firstLineChars="200"/>
              <w:rPr>
                <w:rFonts w:ascii="宋体" w:hAnsi="宋体"/>
                <w:b/>
                <w:color w:val="auto"/>
                <w:szCs w:val="21"/>
                <w:highlight w:val="none"/>
              </w:rPr>
            </w:pPr>
            <w:r>
              <w:rPr>
                <w:rFonts w:hint="eastAsia"/>
                <w:color w:val="auto"/>
                <w:highlight w:val="none"/>
              </w:rPr>
              <w:t>注：投标人是否因有不良行为记分、进入重点关注名单或黑名单而被限制投标的，以开标环节信用状况查询结果为准。</w:t>
            </w:r>
          </w:p>
          <w:p>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bidi="ar"/>
              </w:rPr>
              <w:t>5、项目经理资格</w:t>
            </w:r>
          </w:p>
          <w:p>
            <w:pPr>
              <w:spacing w:line="400" w:lineRule="exact"/>
              <w:ind w:firstLine="420" w:firstLineChars="200"/>
              <w:rPr>
                <w:rFonts w:ascii="宋体" w:hAnsi="宋体"/>
                <w:bCs/>
                <w:snapToGrid w:val="0"/>
                <w:color w:val="auto"/>
                <w:highlight w:val="none"/>
              </w:rPr>
            </w:pPr>
            <w:r>
              <w:rPr>
                <w:rFonts w:hint="eastAsia" w:ascii="宋体" w:hAnsi="宋体" w:cs="宋体"/>
                <w:color w:val="auto"/>
                <w:szCs w:val="21"/>
                <w:highlight w:val="none"/>
              </w:rPr>
              <w:t>5.1</w:t>
            </w:r>
            <w:r>
              <w:rPr>
                <w:rFonts w:hint="eastAsia" w:ascii="宋体" w:hAnsi="宋体"/>
                <w:bCs/>
                <w:snapToGrid w:val="0"/>
                <w:color w:val="auto"/>
                <w:highlight w:val="none"/>
              </w:rPr>
              <w:t>项目经理：1 人。</w:t>
            </w:r>
          </w:p>
          <w:p>
            <w:pPr>
              <w:snapToGrid w:val="0"/>
              <w:spacing w:line="400" w:lineRule="exact"/>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rPr>
              <w:t>5.1.1</w:t>
            </w:r>
            <w:r>
              <w:rPr>
                <w:rFonts w:hint="eastAsia" w:ascii="宋体" w:hAnsi="宋体"/>
                <w:color w:val="auto"/>
                <w:szCs w:val="21"/>
                <w:highlight w:val="none"/>
              </w:rPr>
              <w:t>投标人拟派的</w:t>
            </w:r>
            <w:r>
              <w:rPr>
                <w:rFonts w:ascii="宋体" w:hAnsi="宋体"/>
                <w:color w:val="auto"/>
                <w:szCs w:val="21"/>
                <w:highlight w:val="none"/>
              </w:rPr>
              <w:t>项目经理必须已在</w:t>
            </w:r>
            <w:r>
              <w:rPr>
                <w:rFonts w:hint="eastAsia" w:ascii="宋体" w:hAnsi="宋体"/>
                <w:color w:val="auto"/>
                <w:szCs w:val="21"/>
                <w:highlight w:val="none"/>
              </w:rPr>
              <w:t>投标人本</w:t>
            </w:r>
            <w:r>
              <w:rPr>
                <w:rFonts w:ascii="宋体" w:hAnsi="宋体"/>
                <w:color w:val="auto"/>
                <w:szCs w:val="21"/>
                <w:highlight w:val="none"/>
              </w:rPr>
              <w:t>单位注册并应具有</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建筑</w:t>
            </w:r>
            <w:r>
              <w:rPr>
                <w:rFonts w:hint="eastAsia" w:ascii="宋体" w:hAnsi="宋体"/>
                <w:color w:val="auto"/>
                <w:szCs w:val="21"/>
                <w:highlight w:val="none"/>
                <w:u w:val="single"/>
              </w:rPr>
              <w:t>工程</w:t>
            </w:r>
            <w:r>
              <w:rPr>
                <w:rFonts w:hint="eastAsia" w:ascii="宋体" w:hAnsi="宋体"/>
                <w:color w:val="auto"/>
                <w:szCs w:val="21"/>
                <w:highlight w:val="none"/>
              </w:rPr>
              <w:t>专业</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贰</w:t>
            </w:r>
            <w:r>
              <w:rPr>
                <w:rFonts w:hint="eastAsia" w:ascii="宋体" w:hAnsi="宋体"/>
                <w:color w:val="auto"/>
                <w:szCs w:val="21"/>
                <w:highlight w:val="none"/>
                <w:u w:val="single"/>
              </w:rPr>
              <w:t xml:space="preserve"> </w:t>
            </w:r>
            <w:r>
              <w:rPr>
                <w:rFonts w:ascii="宋体" w:hAnsi="宋体"/>
                <w:color w:val="auto"/>
                <w:szCs w:val="21"/>
                <w:highlight w:val="none"/>
                <w:u w:val="single"/>
              </w:rPr>
              <w:t>级及以上</w:t>
            </w:r>
            <w:r>
              <w:rPr>
                <w:rFonts w:ascii="宋体" w:hAnsi="宋体"/>
                <w:color w:val="auto"/>
                <w:szCs w:val="21"/>
                <w:highlight w:val="none"/>
              </w:rPr>
              <w:t>注册建造师执业资格</w:t>
            </w:r>
            <w:r>
              <w:rPr>
                <w:rFonts w:hint="eastAsia" w:ascii="宋体" w:hAnsi="宋体" w:cs="宋体"/>
                <w:color w:val="auto"/>
                <w:szCs w:val="21"/>
                <w:highlight w:val="none"/>
              </w:rPr>
              <w:t>。</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5.1.2项目经理承诺要求：投标人须承诺拟派项目经理按注册建造师的相关规定到岗履职和未被禁止参与投标。</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造成损失的，投标人依法承担违约赔偿责任。拟派项目经理中标后不得随意更换。</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5.1.2.2未被禁止参与投标承诺要求：承诺拟派项目经理未被重庆市</w:t>
            </w:r>
            <w:r>
              <w:rPr>
                <w:rFonts w:hint="eastAsia" w:ascii="宋体" w:hAnsi="宋体"/>
                <w:color w:val="auto"/>
                <w:szCs w:val="21"/>
                <w:highlight w:val="none"/>
                <w:lang w:val="en-US" w:eastAsia="zh-CN"/>
              </w:rPr>
              <w:t>市级有关行业</w:t>
            </w:r>
            <w:r>
              <w:rPr>
                <w:rFonts w:hint="eastAsia" w:ascii="宋体" w:hAnsi="宋体"/>
                <w:color w:val="auto"/>
                <w:szCs w:val="21"/>
                <w:highlight w:val="none"/>
              </w:rPr>
              <w:t>主管部门暂停在渝承揽新业务。若被暂停在渝承揽新业务但仍参加投标，将被否决投标；已取得中标候选人资格或中标资格的，</w:t>
            </w:r>
            <w:r>
              <w:rPr>
                <w:rFonts w:hint="eastAsia" w:ascii="宋体" w:hAnsi="宋体"/>
                <w:color w:val="auto"/>
                <w:szCs w:val="21"/>
                <w:highlight w:val="none"/>
                <w:lang w:eastAsia="zh-CN"/>
              </w:rPr>
              <w:t>比选人</w:t>
            </w:r>
            <w:r>
              <w:rPr>
                <w:rFonts w:hint="eastAsia" w:ascii="宋体" w:hAnsi="宋体"/>
                <w:color w:val="auto"/>
                <w:szCs w:val="21"/>
                <w:highlight w:val="none"/>
              </w:rPr>
              <w:t>有权取消其中标候选人资格或中标资格；给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造成损失的，投标人依法承担违约赔偿责任。</w:t>
            </w:r>
          </w:p>
          <w:p>
            <w:pPr>
              <w:snapToGrid w:val="0"/>
              <w:spacing w:line="400" w:lineRule="exact"/>
              <w:ind w:firstLine="420" w:firstLineChars="200"/>
              <w:rPr>
                <w:rFonts w:ascii="宋体" w:hAnsi="宋体"/>
                <w:color w:val="auto"/>
                <w:highlight w:val="none"/>
              </w:rPr>
            </w:pPr>
            <w:r>
              <w:rPr>
                <w:rFonts w:hint="eastAsia" w:ascii="宋体" w:hAnsi="宋体"/>
                <w:color w:val="auto"/>
                <w:szCs w:val="21"/>
                <w:highlight w:val="none"/>
              </w:rPr>
              <w:t>5.1.2.3</w:t>
            </w:r>
            <w:r>
              <w:rPr>
                <w:rFonts w:ascii="宋体" w:hAnsi="宋体"/>
                <w:color w:val="auto"/>
                <w:highlight w:val="none"/>
              </w:rPr>
              <w:t>项目经理的其它承诺要求：为保证</w:t>
            </w:r>
            <w:r>
              <w:rPr>
                <w:rFonts w:hint="eastAsia" w:ascii="宋体" w:hAnsi="宋体"/>
                <w:color w:val="auto"/>
                <w:highlight w:val="none"/>
                <w:lang w:val="en-US" w:eastAsia="zh-CN"/>
              </w:rPr>
              <w:t>投标人</w:t>
            </w:r>
            <w:r>
              <w:rPr>
                <w:rFonts w:ascii="宋体" w:hAnsi="宋体"/>
                <w:color w:val="auto"/>
                <w:highlight w:val="none"/>
              </w:rPr>
              <w:t>拟派的项目经理到本项目到岗履职，</w:t>
            </w:r>
            <w:r>
              <w:rPr>
                <w:rFonts w:hint="eastAsia" w:ascii="宋体" w:hAnsi="宋体"/>
                <w:color w:val="auto"/>
                <w:highlight w:val="none"/>
                <w:lang w:val="en-US" w:eastAsia="zh-CN"/>
              </w:rPr>
              <w:t>投标人</w:t>
            </w:r>
            <w:r>
              <w:rPr>
                <w:rFonts w:ascii="宋体" w:hAnsi="宋体"/>
                <w:color w:val="auto"/>
                <w:highlight w:val="none"/>
              </w:rPr>
              <w:t>还需承诺：</w:t>
            </w:r>
          </w:p>
          <w:p>
            <w:pPr>
              <w:snapToGrid w:val="0"/>
              <w:spacing w:line="400" w:lineRule="exact"/>
              <w:ind w:firstLine="420" w:firstLineChars="200"/>
              <w:rPr>
                <w:rFonts w:hint="default" w:ascii="宋体" w:hAnsi="宋体"/>
                <w:color w:val="auto"/>
                <w:highlight w:val="none"/>
              </w:rPr>
            </w:pPr>
            <w:r>
              <w:rPr>
                <w:rFonts w:ascii="宋体" w:hAnsi="宋体"/>
                <w:color w:val="auto"/>
                <w:highlight w:val="none"/>
              </w:rPr>
              <w:t>若</w:t>
            </w:r>
            <w:r>
              <w:rPr>
                <w:rFonts w:hint="eastAsia" w:ascii="宋体" w:hAnsi="宋体"/>
                <w:color w:val="auto"/>
                <w:highlight w:val="none"/>
                <w:lang w:val="en-US" w:eastAsia="zh-CN"/>
              </w:rPr>
              <w:t>投标人</w:t>
            </w:r>
            <w:r>
              <w:rPr>
                <w:rFonts w:ascii="宋体" w:hAnsi="宋体"/>
                <w:color w:val="auto"/>
                <w:highlight w:val="none"/>
              </w:rPr>
              <w:t>拟派本项目的项目经理有在其他项目任职的情形的（或有在其他项目中标或拟中标的情形的），应在收到中标通知书后</w:t>
            </w:r>
            <w:r>
              <w:rPr>
                <w:rFonts w:ascii="宋体" w:hAnsi="宋体"/>
                <w:color w:val="auto"/>
                <w:highlight w:val="none"/>
                <w:u w:val="single"/>
              </w:rPr>
              <w:t xml:space="preserve"> 14 </w:t>
            </w:r>
            <w:r>
              <w:rPr>
                <w:rFonts w:ascii="宋体" w:hAnsi="宋体"/>
                <w:color w:val="auto"/>
                <w:highlight w:val="none"/>
              </w:rPr>
              <w:t>日内，办理完成放弃在其他项目任职的手续（或办理完成放弃在其他项目中标</w:t>
            </w:r>
            <w:r>
              <w:rPr>
                <w:rFonts w:hint="eastAsia" w:ascii="宋体" w:hAnsi="宋体"/>
                <w:color w:val="auto"/>
                <w:highlight w:val="none"/>
              </w:rPr>
              <w:t>或拟中标</w:t>
            </w:r>
            <w:r>
              <w:rPr>
                <w:rFonts w:ascii="宋体" w:hAnsi="宋体"/>
                <w:color w:val="auto"/>
                <w:highlight w:val="none"/>
              </w:rPr>
              <w:t>的手续），</w:t>
            </w:r>
            <w:r>
              <w:rPr>
                <w:rFonts w:hint="eastAsia" w:ascii="宋体" w:hAnsi="宋体"/>
                <w:color w:val="auto"/>
                <w:highlight w:val="none"/>
                <w:lang w:eastAsia="zh-CN"/>
              </w:rPr>
              <w:t>比选人</w:t>
            </w:r>
            <w:r>
              <w:rPr>
                <w:rFonts w:ascii="宋体" w:hAnsi="宋体"/>
                <w:color w:val="auto"/>
                <w:highlight w:val="none"/>
              </w:rPr>
              <w:t>在合同签订前有权对</w:t>
            </w:r>
            <w:r>
              <w:rPr>
                <w:rFonts w:hint="eastAsia" w:ascii="宋体" w:hAnsi="宋体"/>
                <w:color w:val="auto"/>
                <w:highlight w:val="none"/>
                <w:lang w:val="en-US" w:eastAsia="zh-CN"/>
              </w:rPr>
              <w:t>投标人</w:t>
            </w:r>
            <w:r>
              <w:rPr>
                <w:rFonts w:ascii="宋体" w:hAnsi="宋体"/>
                <w:color w:val="auto"/>
                <w:highlight w:val="none"/>
              </w:rPr>
              <w:t>拟派项目经理在其他项目的任职情形（或在其他项目的中标或拟中标情形）进行核查，若与</w:t>
            </w:r>
            <w:r>
              <w:rPr>
                <w:rFonts w:hint="eastAsia" w:ascii="宋体" w:hAnsi="宋体"/>
                <w:color w:val="auto"/>
                <w:highlight w:val="none"/>
                <w:lang w:val="en-US" w:eastAsia="zh-CN"/>
              </w:rPr>
              <w:t>投标人</w:t>
            </w:r>
            <w:r>
              <w:rPr>
                <w:rFonts w:ascii="宋体" w:hAnsi="宋体"/>
                <w:color w:val="auto"/>
                <w:highlight w:val="none"/>
              </w:rPr>
              <w:t>承诺内容不符或</w:t>
            </w:r>
            <w:r>
              <w:rPr>
                <w:rFonts w:hint="eastAsia" w:ascii="宋体" w:hAnsi="宋体"/>
                <w:color w:val="auto"/>
                <w:highlight w:val="none"/>
                <w:lang w:val="en-US" w:eastAsia="zh-CN"/>
              </w:rPr>
              <w:t>投标人</w:t>
            </w:r>
            <w:r>
              <w:rPr>
                <w:rFonts w:ascii="宋体" w:hAnsi="宋体"/>
                <w:color w:val="auto"/>
                <w:highlight w:val="none"/>
              </w:rPr>
              <w:t>未在上述时间内按照招标文件规定递交放弃在其他项目任职、中标或拟中标的相关资料，视为</w:t>
            </w:r>
            <w:r>
              <w:rPr>
                <w:rFonts w:hint="eastAsia" w:ascii="宋体" w:hAnsi="宋体"/>
                <w:color w:val="auto"/>
                <w:highlight w:val="none"/>
                <w:lang w:val="en-US" w:eastAsia="zh-CN"/>
              </w:rPr>
              <w:t>投标人</w:t>
            </w:r>
            <w:r>
              <w:rPr>
                <w:rFonts w:ascii="宋体" w:hAnsi="宋体"/>
                <w:color w:val="auto"/>
                <w:highlight w:val="none"/>
              </w:rPr>
              <w:t>放弃中标资格，</w:t>
            </w:r>
            <w:r>
              <w:rPr>
                <w:rFonts w:hint="eastAsia" w:ascii="宋体" w:hAnsi="宋体"/>
                <w:color w:val="auto"/>
                <w:highlight w:val="none"/>
                <w:lang w:eastAsia="zh-CN"/>
              </w:rPr>
              <w:t>比选人</w:t>
            </w:r>
            <w:r>
              <w:rPr>
                <w:rFonts w:ascii="宋体" w:hAnsi="宋体"/>
                <w:color w:val="auto"/>
                <w:highlight w:val="none"/>
              </w:rPr>
              <w:t>不退还其投标保证金。在合同签订时，</w:t>
            </w:r>
            <w:r>
              <w:rPr>
                <w:rFonts w:hint="eastAsia" w:ascii="宋体" w:hAnsi="宋体"/>
                <w:color w:val="auto"/>
                <w:highlight w:val="none"/>
                <w:lang w:val="en-US" w:eastAsia="zh-CN"/>
              </w:rPr>
              <w:t>投标人</w:t>
            </w:r>
            <w:r>
              <w:rPr>
                <w:rFonts w:ascii="宋体" w:hAnsi="宋体"/>
                <w:color w:val="auto"/>
                <w:highlight w:val="none"/>
              </w:rPr>
              <w:t>需确保拟派项目经理符合《建筑施工企业项目经理资质管理办法》规定的项目经理任职条件，否则视为</w:t>
            </w:r>
            <w:r>
              <w:rPr>
                <w:rFonts w:hint="eastAsia" w:ascii="宋体" w:hAnsi="宋体"/>
                <w:color w:val="auto"/>
                <w:highlight w:val="none"/>
                <w:lang w:val="en-US" w:eastAsia="zh-CN"/>
              </w:rPr>
              <w:t>投标人</w:t>
            </w:r>
            <w:r>
              <w:rPr>
                <w:rFonts w:ascii="宋体" w:hAnsi="宋体"/>
                <w:color w:val="auto"/>
                <w:highlight w:val="none"/>
              </w:rPr>
              <w:t>放弃中标资格，</w:t>
            </w:r>
            <w:r>
              <w:rPr>
                <w:rFonts w:hint="eastAsia" w:ascii="宋体" w:hAnsi="宋体"/>
                <w:color w:val="auto"/>
                <w:highlight w:val="none"/>
                <w:lang w:eastAsia="zh-CN"/>
              </w:rPr>
              <w:t>比选人</w:t>
            </w:r>
            <w:r>
              <w:rPr>
                <w:rFonts w:ascii="宋体" w:hAnsi="宋体"/>
                <w:color w:val="auto"/>
                <w:highlight w:val="none"/>
              </w:rPr>
              <w:t>不退还其投标保证金</w:t>
            </w:r>
            <w:r>
              <w:rPr>
                <w:rFonts w:hint="default" w:ascii="宋体" w:hAnsi="宋体"/>
                <w:color w:val="auto"/>
                <w:highlight w:val="none"/>
              </w:rPr>
              <w:t>。</w:t>
            </w:r>
          </w:p>
          <w:p>
            <w:pPr>
              <w:snapToGrid w:val="0"/>
              <w:spacing w:line="400" w:lineRule="exact"/>
              <w:ind w:firstLine="420" w:firstLineChars="200"/>
              <w:rPr>
                <w:rFonts w:hint="default" w:ascii="宋体" w:hAnsi="宋体"/>
                <w:color w:val="auto"/>
                <w:highlight w:val="none"/>
              </w:rPr>
            </w:pPr>
            <w:r>
              <w:rPr>
                <w:rFonts w:hint="default" w:ascii="宋体" w:hAnsi="宋体"/>
                <w:color w:val="auto"/>
                <w:highlight w:val="none"/>
              </w:rPr>
              <w:t>放弃在其他项目任职的需提供</w:t>
            </w:r>
            <w:r>
              <w:rPr>
                <w:rFonts w:hint="eastAsia" w:ascii="宋体" w:hAnsi="宋体"/>
                <w:color w:val="auto"/>
                <w:highlight w:val="none"/>
                <w:lang w:eastAsia="zh-CN"/>
              </w:rPr>
              <w:t>：</w:t>
            </w:r>
            <w:r>
              <w:rPr>
                <w:rFonts w:hint="default" w:ascii="宋体" w:hAnsi="宋体"/>
                <w:color w:val="auto"/>
                <w:highlight w:val="none"/>
              </w:rPr>
              <w:t>①</w:t>
            </w:r>
            <w:r>
              <w:rPr>
                <w:rFonts w:hint="eastAsia" w:ascii="宋体" w:hAnsi="宋体"/>
                <w:color w:val="auto"/>
                <w:highlight w:val="none"/>
                <w:lang w:val="en-US" w:eastAsia="zh-CN"/>
              </w:rPr>
              <w:t>经</w:t>
            </w:r>
            <w:r>
              <w:rPr>
                <w:rFonts w:hint="default" w:ascii="宋体" w:hAnsi="宋体"/>
                <w:color w:val="auto"/>
                <w:highlight w:val="none"/>
              </w:rPr>
              <w:t>业主或建设单位同意任职变更的文件；②负责项目监管的行业行政主管部门出具同意任职变更的证明材料。</w:t>
            </w:r>
          </w:p>
          <w:p>
            <w:pPr>
              <w:snapToGrid w:val="0"/>
              <w:spacing w:line="400" w:lineRule="exact"/>
              <w:ind w:firstLine="420" w:firstLineChars="200"/>
              <w:rPr>
                <w:rFonts w:hint="eastAsia" w:ascii="宋体" w:hAnsi="宋体"/>
                <w:color w:val="auto"/>
                <w:szCs w:val="21"/>
                <w:highlight w:val="none"/>
              </w:rPr>
            </w:pPr>
            <w:r>
              <w:rPr>
                <w:rFonts w:hint="default" w:ascii="宋体" w:hAnsi="宋体"/>
                <w:color w:val="auto"/>
                <w:highlight w:val="none"/>
              </w:rPr>
              <w:t>放弃在其他项目中标或拟中标的需提供</w:t>
            </w:r>
            <w:r>
              <w:rPr>
                <w:rFonts w:hint="eastAsia" w:ascii="宋体" w:hAnsi="宋体"/>
                <w:color w:val="auto"/>
                <w:highlight w:val="none"/>
                <w:lang w:eastAsia="zh-CN"/>
              </w:rPr>
              <w:t>：</w:t>
            </w:r>
            <w:r>
              <w:rPr>
                <w:rFonts w:hint="default" w:ascii="宋体" w:hAnsi="宋体"/>
                <w:color w:val="auto"/>
                <w:highlight w:val="none"/>
              </w:rPr>
              <w:t>①经中标或拟中标的其他项目建设单位同意的放弃中标函</w:t>
            </w:r>
            <w:r>
              <w:rPr>
                <w:rFonts w:hint="eastAsia" w:ascii="宋体" w:hAnsi="宋体"/>
                <w:color w:val="auto"/>
                <w:szCs w:val="21"/>
                <w:highlight w:val="none"/>
              </w:rPr>
              <w:t>。</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5.1.2.4未提供上述承诺或承诺内容不符合要求的，由评标委员会作否决投标处理</w:t>
            </w:r>
            <w:r>
              <w:rPr>
                <w:rFonts w:hint="default" w:ascii="宋体" w:hAnsi="宋体" w:eastAsia="宋体"/>
                <w:color w:val="auto"/>
                <w:sz w:val="21"/>
                <w:highlight w:val="none"/>
              </w:rPr>
              <w:t>。</w:t>
            </w:r>
          </w:p>
          <w:p>
            <w:pPr>
              <w:snapToGrid w:val="0"/>
              <w:spacing w:line="400" w:lineRule="exact"/>
              <w:ind w:firstLine="420" w:firstLineChars="200"/>
              <w:rPr>
                <w:rFonts w:hint="eastAsia" w:eastAsia="宋体"/>
                <w:color w:val="auto"/>
                <w:highlight w:val="none"/>
                <w:lang w:eastAsia="zh-CN"/>
              </w:rPr>
            </w:pPr>
            <w:r>
              <w:rPr>
                <w:rFonts w:hint="eastAsia"/>
                <w:color w:val="auto"/>
                <w:highlight w:val="none"/>
              </w:rPr>
              <w:t>投标人</w:t>
            </w:r>
            <w:r>
              <w:rPr>
                <w:rFonts w:hint="eastAsia"/>
                <w:color w:val="auto"/>
                <w:highlight w:val="none"/>
                <w:lang w:eastAsia="zh-CN"/>
              </w:rPr>
              <w:t>必</w:t>
            </w:r>
            <w:r>
              <w:rPr>
                <w:rFonts w:hint="eastAsia"/>
                <w:color w:val="auto"/>
                <w:highlight w:val="none"/>
              </w:rPr>
              <w:t>须在投标文件资格审查部分提供有效的拟派项目经理身份证、建造师注册证、投标人为其交纳的养老保险证明材料，拟派项目经理到岗履职和未被禁止参与投标的承诺（承诺格式见第</w:t>
            </w:r>
            <w:r>
              <w:rPr>
                <w:rFonts w:hint="eastAsia"/>
                <w:color w:val="auto"/>
                <w:highlight w:val="none"/>
                <w:lang w:eastAsia="zh-CN"/>
              </w:rPr>
              <w:t>八</w:t>
            </w:r>
            <w:r>
              <w:rPr>
                <w:rFonts w:hint="eastAsia"/>
                <w:color w:val="auto"/>
                <w:highlight w:val="none"/>
              </w:rPr>
              <w:t>章投标文件格式）</w:t>
            </w:r>
            <w:r>
              <w:rPr>
                <w:rFonts w:hint="eastAsia"/>
                <w:color w:val="auto"/>
                <w:highlight w:val="none"/>
                <w:lang w:eastAsia="zh-CN"/>
              </w:rPr>
              <w:t>。</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注：</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重庆市以外的省级住房城乡建设主管部门对二级建造师电子注册证书使用有明确规定的，从其规定。未规定使用电子注册证书的，可提供纸质证书扫描件。</w:t>
            </w:r>
          </w:p>
          <w:p>
            <w:pPr>
              <w:autoSpaceDE w:val="0"/>
              <w:autoSpaceDN w:val="0"/>
              <w:adjustRightInd w:val="0"/>
              <w:snapToGrid w:val="0"/>
              <w:spacing w:line="400" w:lineRule="exact"/>
              <w:ind w:firstLine="420" w:firstLineChars="200"/>
              <w:rPr>
                <w:rFonts w:hint="eastAsia"/>
                <w:color w:val="auto"/>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建造师电子注册证书本人手写签名与签名图像笔迹是否一致不作为否决投标的情形。</w:t>
            </w:r>
          </w:p>
          <w:p>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6.其他要求</w:t>
            </w:r>
          </w:p>
          <w:p>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应具有</w:t>
            </w:r>
            <w:r>
              <w:rPr>
                <w:rFonts w:hint="eastAsia" w:ascii="宋体" w:hAnsi="宋体"/>
                <w:color w:val="auto"/>
                <w:szCs w:val="21"/>
                <w:highlight w:val="none"/>
                <w:u w:val="single"/>
              </w:rPr>
              <w:t>工程类中级及以</w:t>
            </w:r>
            <w:r>
              <w:rPr>
                <w:rFonts w:ascii="宋体" w:hAnsi="宋体"/>
                <w:color w:val="auto"/>
                <w:szCs w:val="21"/>
                <w:highlight w:val="none"/>
                <w:u w:val="single"/>
              </w:rPr>
              <w:t>上</w:t>
            </w:r>
            <w:r>
              <w:rPr>
                <w:rFonts w:ascii="宋体" w:hAnsi="宋体"/>
                <w:color w:val="auto"/>
                <w:szCs w:val="21"/>
                <w:highlight w:val="none"/>
              </w:rPr>
              <w:t>职称；</w:t>
            </w:r>
          </w:p>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投标人须在投标文件资格审查部分提供拟派技术负责人身份证、职称证及投标人本单位为其缴纳的养老保险证明材料。</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投标人须在投标文件资格审查部分提供承诺（承诺格式见第八章投标文件格式）。</w:t>
            </w:r>
          </w:p>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）委托代理人</w:t>
            </w:r>
            <w:r>
              <w:rPr>
                <w:rFonts w:hint="eastAsia" w:ascii="宋体" w:hAnsi="宋体"/>
                <w:color w:val="auto"/>
                <w:kern w:val="0"/>
                <w:szCs w:val="21"/>
                <w:highlight w:val="none"/>
              </w:rPr>
              <w:t>：</w:t>
            </w:r>
          </w:p>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委托代理人必须为投标人本单位</w:t>
            </w:r>
            <w:r>
              <w:rPr>
                <w:rFonts w:hint="eastAsia" w:ascii="宋体" w:hAnsi="宋体"/>
                <w:color w:val="auto"/>
                <w:kern w:val="0"/>
                <w:szCs w:val="21"/>
                <w:highlight w:val="none"/>
              </w:rPr>
              <w:t>人员</w:t>
            </w:r>
            <w:r>
              <w:rPr>
                <w:rFonts w:ascii="宋体" w:hAnsi="宋体"/>
                <w:color w:val="auto"/>
                <w:kern w:val="0"/>
                <w:szCs w:val="21"/>
                <w:highlight w:val="none"/>
              </w:rPr>
              <w:t>。</w:t>
            </w:r>
          </w:p>
          <w:p>
            <w:pPr>
              <w:spacing w:line="400" w:lineRule="exact"/>
              <w:ind w:firstLine="420" w:firstLineChars="200"/>
              <w:rPr>
                <w:rFonts w:ascii="宋体" w:hAnsi="宋体" w:cs="宋体"/>
                <w:color w:val="auto"/>
                <w:szCs w:val="21"/>
                <w:highlight w:val="none"/>
              </w:rPr>
            </w:pPr>
            <w:r>
              <w:rPr>
                <w:rFonts w:hint="eastAsia" w:ascii="宋体" w:hAnsi="宋体"/>
                <w:color w:val="auto"/>
                <w:kern w:val="0"/>
                <w:szCs w:val="21"/>
                <w:highlight w:val="none"/>
              </w:rPr>
              <w:t>投标人</w:t>
            </w:r>
            <w:r>
              <w:rPr>
                <w:rFonts w:ascii="宋体" w:hAnsi="宋体"/>
                <w:color w:val="auto"/>
                <w:kern w:val="0"/>
                <w:szCs w:val="21"/>
                <w:highlight w:val="none"/>
              </w:rPr>
              <w:t>须</w:t>
            </w:r>
            <w:r>
              <w:rPr>
                <w:rFonts w:hint="eastAsia" w:ascii="宋体" w:hAnsi="宋体"/>
                <w:color w:val="auto"/>
                <w:kern w:val="0"/>
                <w:szCs w:val="21"/>
                <w:highlight w:val="none"/>
              </w:rPr>
              <w:t>在投标文件资格审查部分</w:t>
            </w:r>
            <w:r>
              <w:rPr>
                <w:rFonts w:ascii="宋体" w:hAnsi="宋体"/>
                <w:color w:val="auto"/>
                <w:kern w:val="0"/>
                <w:szCs w:val="21"/>
                <w:highlight w:val="none"/>
              </w:rPr>
              <w:t>提供</w:t>
            </w:r>
            <w:r>
              <w:rPr>
                <w:rFonts w:hint="eastAsia" w:ascii="宋体" w:hAnsi="宋体"/>
                <w:color w:val="auto"/>
                <w:kern w:val="0"/>
                <w:szCs w:val="21"/>
                <w:highlight w:val="none"/>
              </w:rPr>
              <w:t>投标人为该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缴纳的养老保险证明。否则，将由评标委员会作否决投标处理。</w:t>
            </w:r>
          </w:p>
          <w:p>
            <w:pPr>
              <w:autoSpaceDE w:val="0"/>
              <w:autoSpaceDN w:val="0"/>
              <w:adjustRightInd w:val="0"/>
              <w:snapToGrid w:val="0"/>
              <w:spacing w:line="400" w:lineRule="exact"/>
              <w:ind w:firstLine="417" w:firstLineChars="198"/>
              <w:rPr>
                <w:rFonts w:hint="eastAsia" w:ascii="宋体" w:hAnsi="宋体" w:cs="宋体"/>
                <w:b/>
                <w:color w:val="auto"/>
                <w:szCs w:val="21"/>
                <w:highlight w:val="none"/>
              </w:rPr>
            </w:pPr>
            <w:r>
              <w:rPr>
                <w:rFonts w:hint="eastAsia" w:ascii="宋体" w:hAnsi="宋体" w:cs="宋体"/>
                <w:b/>
                <w:color w:val="auto"/>
                <w:szCs w:val="21"/>
                <w:highlight w:val="none"/>
              </w:rPr>
              <w:t>特别说明：</w:t>
            </w:r>
          </w:p>
          <w:p>
            <w:pPr>
              <w:autoSpaceDE w:val="0"/>
              <w:autoSpaceDN w:val="0"/>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上述要求</w:t>
            </w:r>
            <w:r>
              <w:rPr>
                <w:rFonts w:hint="eastAsia" w:ascii="宋体" w:hAnsi="宋体" w:cs="宋体"/>
                <w:color w:val="auto"/>
                <w:szCs w:val="21"/>
                <w:highlight w:val="none"/>
              </w:rPr>
              <w:t>须提交的相关证明材料均为扫描件</w:t>
            </w:r>
            <w:r>
              <w:rPr>
                <w:rFonts w:hint="eastAsia" w:ascii="宋体" w:hAnsi="宋体" w:cs="宋体"/>
                <w:color w:val="auto"/>
                <w:szCs w:val="21"/>
                <w:highlight w:val="none"/>
                <w:lang w:eastAsia="zh-CN"/>
              </w:rPr>
              <w:t>（原件或复印件的扫描件均可），</w:t>
            </w:r>
            <w:r>
              <w:rPr>
                <w:rFonts w:hint="eastAsia" w:ascii="宋体" w:hAnsi="宋体" w:cs="宋体"/>
                <w:color w:val="auto"/>
                <w:szCs w:val="21"/>
                <w:highlight w:val="none"/>
              </w:rPr>
              <w:t>扫描件须清晰可辨，</w:t>
            </w:r>
            <w:r>
              <w:rPr>
                <w:rFonts w:hint="eastAsia" w:ascii="宋体" w:hAnsi="宋体" w:cs="宋体"/>
                <w:color w:val="auto"/>
                <w:kern w:val="0"/>
                <w:szCs w:val="21"/>
                <w:highlight w:val="none"/>
              </w:rPr>
              <w:t>有一条不满足</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则投标文件由评标委员会</w:t>
            </w:r>
            <w:r>
              <w:rPr>
                <w:rFonts w:hint="eastAsia" w:ascii="宋体" w:hAnsi="宋体" w:cs="宋体"/>
                <w:color w:val="auto"/>
                <w:szCs w:val="21"/>
                <w:highlight w:val="none"/>
              </w:rPr>
              <w:t>作否决投标处理</w:t>
            </w:r>
            <w:r>
              <w:rPr>
                <w:rFonts w:hint="eastAsia" w:ascii="宋体" w:hAnsi="宋体" w:cs="宋体"/>
                <w:color w:val="auto"/>
                <w:kern w:val="0"/>
                <w:szCs w:val="21"/>
                <w:highlight w:val="none"/>
              </w:rPr>
              <w:t>。</w:t>
            </w:r>
          </w:p>
          <w:p>
            <w:pPr>
              <w:autoSpaceDE w:val="0"/>
              <w:autoSpaceDN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（2）投标人须自行承诺其提供的上述相关证明材料真实有效，不存在弄虚作假情形（格式见第</w:t>
            </w:r>
            <w:r>
              <w:rPr>
                <w:rFonts w:hint="eastAsia" w:ascii="宋体" w:hAnsi="宋体" w:cs="宋体"/>
                <w:color w:val="auto"/>
                <w:szCs w:val="21"/>
                <w:highlight w:val="none"/>
                <w:lang w:eastAsia="zh-CN"/>
              </w:rPr>
              <w:t>八</w:t>
            </w:r>
            <w:r>
              <w:rPr>
                <w:rFonts w:hint="eastAsia" w:ascii="宋体" w:hAnsi="宋体" w:cs="宋体"/>
                <w:color w:val="auto"/>
                <w:szCs w:val="21"/>
                <w:highlight w:val="none"/>
              </w:rPr>
              <w:t>章投标文件格式）。</w:t>
            </w:r>
            <w:r>
              <w:rPr>
                <w:rFonts w:hint="eastAsia" w:ascii="宋体" w:hAnsi="宋体" w:cs="宋体"/>
                <w:color w:val="auto"/>
                <w:szCs w:val="21"/>
                <w:highlight w:val="none"/>
                <w:u w:val="single"/>
                <w:lang w:eastAsia="zh-CN"/>
              </w:rPr>
              <w:t>比选人</w:t>
            </w:r>
            <w:r>
              <w:rPr>
                <w:rFonts w:hint="eastAsia" w:ascii="宋体" w:hAnsi="宋体" w:cs="宋体"/>
                <w:color w:val="auto"/>
                <w:szCs w:val="21"/>
                <w:highlight w:val="none"/>
                <w:u w:val="single"/>
              </w:rPr>
              <w:t>在合同签订前均有权对投标人提供的资料进行核实，若发现弄虚作假，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取消其中标资格，并按相关法律法规报招标投标监督部门，其投标保证金不予退还，投标人承担因此造成的相关责任并赔偿相应损失</w:t>
            </w:r>
            <w:r>
              <w:rPr>
                <w:rFonts w:hint="eastAsia" w:ascii="宋体" w:hAnsi="宋体" w:cs="宋体"/>
                <w:color w:val="auto"/>
                <w:szCs w:val="21"/>
                <w:highlight w:val="none"/>
              </w:rPr>
              <w:t>。</w:t>
            </w:r>
          </w:p>
          <w:p>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（3）本招标文件中所要求的人员养老保险证明要求如下：</w:t>
            </w:r>
          </w:p>
          <w:p>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①</w:t>
            </w:r>
            <w:r>
              <w:rPr>
                <w:rFonts w:hint="eastAsia" w:ascii="宋体" w:hAnsi="宋体" w:cs="宋体"/>
                <w:bCs/>
                <w:color w:val="auto"/>
                <w:kern w:val="0"/>
                <w:szCs w:val="21"/>
                <w:highlight w:val="none"/>
                <w:lang w:val="en-US" w:eastAsia="zh-CN"/>
              </w:rPr>
              <w:t>企业</w:t>
            </w:r>
            <w:r>
              <w:rPr>
                <w:rFonts w:hint="eastAsia" w:ascii="宋体" w:hAnsi="宋体" w:cs="宋体"/>
                <w:bCs/>
                <w:color w:val="auto"/>
                <w:kern w:val="0"/>
                <w:szCs w:val="21"/>
                <w:highlight w:val="none"/>
              </w:rPr>
              <w:t>提供养老保险证明，事业单位提供养老保险证明或行政主管部门在编证明。</w:t>
            </w:r>
          </w:p>
          <w:p>
            <w:pPr>
              <w:spacing w:line="400" w:lineRule="exact"/>
              <w:ind w:firstLine="420" w:firstLineChars="200"/>
              <w:rPr>
                <w:rFonts w:ascii="宋体" w:hAnsi="宋体"/>
                <w:bCs/>
                <w:snapToGrid w:val="0"/>
                <w:color w:val="auto"/>
                <w:kern w:val="0"/>
                <w:szCs w:val="21"/>
                <w:highlight w:val="none"/>
              </w:rPr>
            </w:pPr>
            <w:r>
              <w:rPr>
                <w:rFonts w:hint="eastAsia" w:ascii="宋体" w:hAnsi="宋体" w:cs="宋体"/>
                <w:bCs/>
                <w:color w:val="auto"/>
                <w:kern w:val="0"/>
                <w:szCs w:val="21"/>
                <w:highlight w:val="none"/>
              </w:rPr>
              <w:t>②</w:t>
            </w:r>
            <w:r>
              <w:rPr>
                <w:rFonts w:hint="eastAsia" w:ascii="宋体" w:hAnsi="宋体" w:cs="宋体"/>
                <w:bCs/>
                <w:snapToGrid w:val="0"/>
                <w:color w:val="auto"/>
                <w:kern w:val="0"/>
                <w:szCs w:val="21"/>
                <w:highlight w:val="none"/>
              </w:rPr>
              <w:t>项目经理、</w:t>
            </w:r>
            <w:r>
              <w:rPr>
                <w:rFonts w:ascii="宋体" w:hAnsi="宋体"/>
                <w:bCs/>
                <w:snapToGrid w:val="0"/>
                <w:color w:val="auto"/>
                <w:kern w:val="0"/>
                <w:szCs w:val="21"/>
                <w:highlight w:val="none"/>
              </w:rPr>
              <w:t>项目技术负责人</w:t>
            </w:r>
            <w:r>
              <w:rPr>
                <w:rFonts w:hint="eastAsia" w:ascii="宋体" w:hAnsi="宋体" w:cs="宋体"/>
                <w:bCs/>
                <w:snapToGrid w:val="0"/>
                <w:color w:val="auto"/>
                <w:kern w:val="0"/>
                <w:szCs w:val="21"/>
                <w:highlight w:val="none"/>
              </w:rPr>
              <w:t>和委托代理人的</w:t>
            </w:r>
            <w:r>
              <w:rPr>
                <w:rFonts w:hint="eastAsia" w:ascii="宋体" w:hAnsi="宋体" w:cs="宋体"/>
                <w:bCs/>
                <w:snapToGrid w:val="0"/>
                <w:color w:val="auto"/>
                <w:kern w:val="0"/>
                <w:szCs w:val="21"/>
                <w:highlight w:val="none"/>
                <w:lang w:val="en-US" w:eastAsia="zh-CN"/>
              </w:rPr>
              <w:t>连续</w:t>
            </w:r>
            <w:r>
              <w:rPr>
                <w:rFonts w:hint="eastAsia" w:ascii="宋体" w:hAnsi="宋体" w:cs="宋体"/>
                <w:bCs/>
                <w:snapToGrid w:val="0"/>
                <w:color w:val="auto"/>
                <w:kern w:val="0"/>
                <w:szCs w:val="21"/>
                <w:highlight w:val="none"/>
              </w:rPr>
              <w:t>养老保险证明期限</w:t>
            </w:r>
            <w:r>
              <w:rPr>
                <w:rFonts w:hint="eastAsia" w:ascii="宋体" w:hAnsi="宋体" w:cs="宋体"/>
                <w:bCs/>
                <w:snapToGrid w:val="0"/>
                <w:color w:val="auto"/>
                <w:kern w:val="0"/>
                <w:szCs w:val="21"/>
                <w:highlight w:val="none"/>
                <w:lang w:val="en-US" w:eastAsia="zh-CN"/>
              </w:rPr>
              <w:t>须包含</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2025</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1</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rPr>
              <w:t>月至</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2025</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6</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rPr>
              <w:t>月</w:t>
            </w:r>
            <w:r>
              <w:rPr>
                <w:rFonts w:hint="eastAsia" w:ascii="宋体" w:hAnsi="宋体" w:cs="宋体"/>
                <w:bCs/>
                <w:color w:val="auto"/>
                <w:szCs w:val="21"/>
                <w:highlight w:val="none"/>
              </w:rPr>
              <w:t>。提供的养老保险参保证明</w:t>
            </w:r>
            <w:r>
              <w:rPr>
                <w:rFonts w:hint="eastAsia" w:ascii="宋体" w:hAnsi="宋体"/>
                <w:bCs/>
                <w:color w:val="auto"/>
                <w:szCs w:val="21"/>
                <w:highlight w:val="none"/>
              </w:rPr>
              <w:t>须体现上述人员的姓名、身份证号（或社保号）、单位名称、本单位参保时间（或起始参保时间）</w:t>
            </w:r>
            <w:r>
              <w:rPr>
                <w:rFonts w:hint="eastAsia" w:ascii="宋体" w:hAnsi="宋体" w:cs="宋体"/>
                <w:bCs/>
                <w:color w:val="auto"/>
                <w:szCs w:val="21"/>
                <w:highlight w:val="none"/>
              </w:rPr>
              <w:t>，并带有社保部门公章或社保部门的有效电子印章。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pPr>
              <w:snapToGrid w:val="0"/>
              <w:spacing w:line="400" w:lineRule="exact"/>
              <w:ind w:firstLine="420" w:firstLineChars="200"/>
              <w:rPr>
                <w:color w:val="auto"/>
                <w:highlight w:val="none"/>
              </w:rPr>
            </w:pPr>
            <w:r>
              <w:rPr>
                <w:rFonts w:hint="eastAsia"/>
                <w:color w:val="auto"/>
                <w:highlight w:val="none"/>
              </w:rPr>
              <w:t>☑</w:t>
            </w:r>
            <w:r>
              <w:rPr>
                <w:color w:val="auto"/>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竞争性比选文件</w:t>
            </w:r>
            <w:r>
              <w:rPr>
                <w:rFonts w:ascii="宋体" w:hAnsi="宋体"/>
                <w:color w:val="auto"/>
                <w:kern w:val="0"/>
                <w:szCs w:val="21"/>
                <w:highlight w:val="none"/>
              </w:rPr>
              <w:t>的其他材料</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招标人发出的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Align w:val="center"/>
          </w:tcPr>
          <w:p>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2.2.1</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490" w:type="dxa"/>
            <w:vAlign w:val="center"/>
          </w:tcPr>
          <w:p>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详见招标公告规定的投标截止时间。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2.2.3</w:t>
            </w:r>
          </w:p>
        </w:tc>
        <w:tc>
          <w:tcPr>
            <w:tcW w:w="1644" w:type="dxa"/>
            <w:vAlign w:val="center"/>
          </w:tcPr>
          <w:p>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招标人对</w:t>
            </w:r>
            <w:r>
              <w:rPr>
                <w:rFonts w:hint="eastAsia" w:ascii="宋体" w:hAnsi="宋体"/>
                <w:color w:val="auto"/>
                <w:kern w:val="0"/>
                <w:szCs w:val="21"/>
                <w:highlight w:val="none"/>
                <w:lang w:eastAsia="zh-CN"/>
              </w:rPr>
              <w:t>竞争性比选文件</w:t>
            </w:r>
            <w:r>
              <w:rPr>
                <w:rFonts w:ascii="宋体" w:hAnsi="宋体"/>
                <w:color w:val="auto"/>
                <w:kern w:val="0"/>
                <w:szCs w:val="21"/>
                <w:highlight w:val="none"/>
              </w:rPr>
              <w:t>进行</w:t>
            </w:r>
            <w:r>
              <w:rPr>
                <w:rFonts w:hint="eastAsia" w:ascii="宋体" w:hAnsi="宋体"/>
                <w:color w:val="auto"/>
                <w:kern w:val="0"/>
                <w:szCs w:val="21"/>
                <w:highlight w:val="none"/>
              </w:rPr>
              <w:t>修改</w:t>
            </w:r>
            <w:r>
              <w:rPr>
                <w:rFonts w:ascii="宋体" w:hAnsi="宋体"/>
                <w:color w:val="auto"/>
                <w:kern w:val="0"/>
                <w:szCs w:val="21"/>
                <w:highlight w:val="none"/>
              </w:rPr>
              <w:t>的时间</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构成投标文件的其他材料</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p>
        </w:tc>
        <w:tc>
          <w:tcPr>
            <w:tcW w:w="6490" w:type="dxa"/>
            <w:vAlign w:val="center"/>
          </w:tcPr>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90" w:type="dxa"/>
                  <w:noWrap w:val="0"/>
                  <w:vAlign w:val="center"/>
                </w:tcPr>
                <w:p>
                  <w:pPr>
                    <w:pStyle w:val="2"/>
                    <w:tabs>
                      <w:tab w:val="left" w:pos="546"/>
                      <w:tab w:val="left" w:pos="711"/>
                    </w:tabs>
                    <w:snapToGrid w:val="0"/>
                    <w:spacing w:after="0" w:line="400" w:lineRule="exact"/>
                    <w:ind w:firstLine="420" w:firstLineChars="200"/>
                    <w:rPr>
                      <w:rFonts w:hint="eastAsia" w:ascii="宋体" w:hAnsi="宋体" w:cs="宋体"/>
                      <w:color w:val="auto"/>
                      <w:szCs w:val="21"/>
                      <w:highlight w:val="none"/>
                      <w:lang w:eastAsia="zh-CN"/>
                    </w:rPr>
                  </w:pPr>
                  <w:r>
                    <w:rPr>
                      <w:rFonts w:ascii="宋体" w:hAnsi="宋体"/>
                      <w:color w:val="auto"/>
                      <w:szCs w:val="21"/>
                      <w:highlight w:val="none"/>
                    </w:rPr>
                    <w:t>1.</w:t>
                  </w:r>
                  <w:r>
                    <w:rPr>
                      <w:rFonts w:hint="eastAsia" w:ascii="宋体" w:hAnsi="宋体" w:cs="宋体"/>
                      <w:color w:val="auto"/>
                      <w:szCs w:val="21"/>
                      <w:highlight w:val="none"/>
                    </w:rPr>
                    <w:t>使用国有资金投资的建设工程发承包，必须采用工程量清单计价。工程量清单应采用综合单价计价</w:t>
                  </w:r>
                </w:p>
                <w:p>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w:t>
                  </w:r>
                  <w:r>
                    <w:rPr>
                      <w:rFonts w:ascii="宋体" w:hAnsi="宋体" w:cs="宋体"/>
                      <w:color w:val="auto"/>
                      <w:szCs w:val="21"/>
                      <w:highlight w:val="none"/>
                    </w:rPr>
                    <w:footnoteReference w:id="0"/>
                  </w:r>
                  <w:r>
                    <w:rPr>
                      <w:rFonts w:hint="eastAsia" w:ascii="宋体" w:hAnsi="宋体" w:cs="宋体"/>
                      <w:color w:val="auto"/>
                      <w:szCs w:val="21"/>
                      <w:highlight w:val="none"/>
                    </w:rPr>
                    <w:t>为依据。</w:t>
                  </w:r>
                </w:p>
                <w:p>
                  <w:pPr>
                    <w:tabs>
                      <w:tab w:val="left" w:pos="546"/>
                      <w:tab w:val="left" w:pos="711"/>
                    </w:tabs>
                    <w:snapToGrid w:val="0"/>
                    <w:spacing w:line="400" w:lineRule="exact"/>
                    <w:ind w:left="6" w:leftChars="3" w:firstLine="420" w:firstLineChars="200"/>
                    <w:rPr>
                      <w:rFonts w:ascii="宋体" w:hAns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w:t>
                  </w:r>
                  <w:r>
                    <w:rPr>
                      <w:rFonts w:hint="eastAsia" w:ascii="宋体" w:hAnsi="宋体"/>
                      <w:color w:val="auto"/>
                      <w:szCs w:val="21"/>
                      <w:highlight w:val="none"/>
                    </w:rPr>
                    <w:t>否决投标处理。</w:t>
                  </w:r>
                </w:p>
                <w:p>
                  <w:pPr>
                    <w:tabs>
                      <w:tab w:val="left" w:pos="546"/>
                      <w:tab w:val="left" w:pos="711"/>
                    </w:tabs>
                    <w:snapToGrid w:val="0"/>
                    <w:spacing w:line="400" w:lineRule="exact"/>
                    <w:ind w:left="6" w:leftChars="3" w:firstLine="420" w:firstLineChars="200"/>
                    <w:rPr>
                      <w:rFonts w:ascii="宋体" w:hAnsi="宋体"/>
                      <w:color w:val="auto"/>
                      <w:szCs w:val="21"/>
                      <w:highlight w:val="none"/>
                    </w:rPr>
                  </w:pPr>
                  <w:r>
                    <w:rPr>
                      <w:rFonts w:hint="eastAsia" w:ascii="宋体" w:hAnsi="宋体"/>
                      <w:color w:val="auto"/>
                      <w:szCs w:val="21"/>
                      <w:highlight w:val="none"/>
                    </w:rPr>
                    <w:t>注：评标过程中，评标委员会可以运用评标系统辅助工具对投标人投标工程量清单进行清标。当清标结果显红时，评标委员会应深入了解显红的原因后，对照招标文件否决投标情况一览表的规定，对确实不满足招标文件相关要求的，方可作否决投标处理。</w:t>
                  </w:r>
                </w:p>
                <w:p>
                  <w:pPr>
                    <w:tabs>
                      <w:tab w:val="left" w:pos="546"/>
                      <w:tab w:val="left" w:pos="711"/>
                    </w:tabs>
                    <w:snapToGrid w:val="0"/>
                    <w:spacing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投标函中的总报价与已标价工程量清单总报价</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一致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工程量清单总报价与依据单价、工程数量、分部分项工程合价计算出的结果</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一致，由评标委员会作否决投标处理。</w:t>
                  </w:r>
                </w:p>
                <w:p>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u w:val="single"/>
                    </w:rPr>
                    <w:t>（1）在合同实施期间，单价和总价按专用合同条款第11条的规定可调整。</w:t>
                  </w:r>
                </w:p>
                <w:p>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（2）增值税计税方法由招标人依据国家税法规定选择：</w:t>
                  </w:r>
                </w:p>
                <w:p>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一般计税法</w:t>
                  </w:r>
                </w:p>
                <w:p>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如发现工程量清单中的数量与图纸中数量不一致，应于本须知第2.2.1项中规定的时间前书面通知招标人核查，除非招标人以修改的形式予以更正，否则，应以工程量清单中列出的数量为准。</w:t>
                  </w:r>
                </w:p>
                <w:p>
                  <w:pPr>
                    <w:tabs>
                      <w:tab w:val="left" w:pos="546"/>
                      <w:tab w:val="left" w:pos="711"/>
                    </w:tabs>
                    <w:snapToGrid w:val="0"/>
                    <w:spacing w:line="400" w:lineRule="exact"/>
                    <w:ind w:firstLine="420" w:firstLineChars="200"/>
                    <w:rPr>
                      <w:rFonts w:ascii="宋体" w:hAnsi="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招标人在工程量清单中所列出的暂列金额、暂估价等暂定金额，投标人不得修改</w:t>
                  </w:r>
                  <w:r>
                    <w:rPr>
                      <w:rFonts w:hint="eastAsia" w:ascii="宋体" w:hAnsi="宋体"/>
                      <w:color w:val="auto"/>
                      <w:szCs w:val="21"/>
                      <w:highlight w:val="none"/>
                    </w:rPr>
                    <w:t>，否则由评标委员会作否决投标处理。</w:t>
                  </w:r>
                </w:p>
                <w:p>
                  <w:pPr>
                    <w:tabs>
                      <w:tab w:val="left" w:pos="546"/>
                      <w:tab w:val="left" w:pos="711"/>
                    </w:tabs>
                    <w:snapToGrid w:val="0"/>
                    <w:spacing w:line="400" w:lineRule="exact"/>
                    <w:ind w:firstLine="420" w:firstLineChars="200"/>
                    <w:rPr>
                      <w:rFonts w:ascii="宋体" w:hAnsi="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本工程招标将设置投标总报价最高限价</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u w:val="single"/>
                      <w:lang w:val="en-US" w:eastAsia="zh-CN"/>
                    </w:rPr>
                    <w:t xml:space="preserve"> 816662.67元</w:t>
                  </w:r>
                  <w:r>
                    <w:rPr>
                      <w:rFonts w:hint="eastAsia" w:ascii="宋体" w:hAnsi="宋体" w:cs="宋体"/>
                      <w:color w:val="auto"/>
                      <w:szCs w:val="21"/>
                      <w:highlight w:val="none"/>
                    </w:rPr>
                    <w:t>，其中安全文明施工费</w:t>
                  </w:r>
                  <w:r>
                    <w:rPr>
                      <w:rFonts w:hint="eastAsia" w:ascii="宋体" w:hAnsi="宋体" w:cs="宋体"/>
                      <w:color w:val="auto"/>
                      <w:szCs w:val="21"/>
                      <w:highlight w:val="none"/>
                      <w:lang w:val="en-US" w:eastAsia="zh-CN"/>
                    </w:rPr>
                    <w:t>暂定金额为</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27525.65元</w:t>
                  </w:r>
                  <w:r>
                    <w:rPr>
                      <w:rFonts w:hint="eastAsia" w:ascii="宋体" w:hAnsi="宋体" w:cs="宋体"/>
                      <w:color w:val="auto"/>
                      <w:szCs w:val="21"/>
                      <w:highlight w:val="none"/>
                      <w:u w:val="none"/>
                      <w:lang w:val="en-US" w:eastAsia="zh-CN"/>
                    </w:rPr>
                    <w:t>，</w:t>
                  </w:r>
                  <w:r>
                    <w:rPr>
                      <w:rFonts w:hint="eastAsia" w:ascii="宋体" w:hAnsi="宋体" w:cs="宋体"/>
                      <w:color w:val="auto"/>
                      <w:szCs w:val="21"/>
                      <w:highlight w:val="none"/>
                    </w:rPr>
                    <w:t>投标人的投标总报价不得超过投标总报价最高限价，否则由评标委员会作</w:t>
                  </w:r>
                  <w:r>
                    <w:rPr>
                      <w:rFonts w:hint="eastAsia" w:ascii="宋体" w:hAnsi="宋体"/>
                      <w:color w:val="auto"/>
                      <w:szCs w:val="21"/>
                      <w:highlight w:val="none"/>
                    </w:rPr>
                    <w:t>否决投标处理。</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本工程招标将设置全部清单综合单价最高限价，全部清单综合单价最高限价</w:t>
                  </w:r>
                  <w:r>
                    <w:rPr>
                      <w:rFonts w:hint="eastAsia" w:ascii="宋体" w:hAnsi="宋体" w:cs="宋体"/>
                      <w:color w:val="auto"/>
                      <w:szCs w:val="21"/>
                      <w:highlight w:val="none"/>
                      <w:lang w:val="en-US" w:eastAsia="zh-CN"/>
                    </w:rPr>
                    <w:t>随招标文件一起发布</w:t>
                  </w:r>
                  <w:r>
                    <w:rPr>
                      <w:rFonts w:hint="eastAsia" w:ascii="宋体" w:hAnsi="宋体" w:cs="宋体"/>
                      <w:color w:val="auto"/>
                      <w:szCs w:val="21"/>
                      <w:highlight w:val="none"/>
                    </w:rPr>
                    <w:t>，投标人的每项清单综合单价报价不得超过每项清单综合单价最高限价，否则由评标委员会作否决投标处理。</w:t>
                  </w:r>
                </w:p>
                <w:p>
                  <w:pPr>
                    <w:pStyle w:val="2"/>
                    <w:spacing w:after="0" w:line="400" w:lineRule="exact"/>
                    <w:ind w:firstLine="420" w:firstLineChars="200"/>
                    <w:rPr>
                      <w:rFonts w:hint="eastAsia" w:ascii="宋体" w:hAnsi="宋体" w:eastAsia="宋体" w:cs="宋体"/>
                      <w:color w:val="auto"/>
                      <w:szCs w:val="21"/>
                      <w:highlight w:val="none"/>
                      <w:lang w:eastAsia="zh-CN"/>
                    </w:rPr>
                  </w:pPr>
                  <w:r>
                    <w:rPr>
                      <w:rFonts w:ascii="宋体" w:hAnsi="宋体" w:cs="宋体"/>
                      <w:color w:val="auto"/>
                      <w:szCs w:val="21"/>
                      <w:highlight w:val="none"/>
                    </w:rPr>
                    <w:t>9.安全文明施工费：</w:t>
                  </w:r>
                  <w:r>
                    <w:rPr>
                      <w:rFonts w:hint="eastAsia" w:ascii="宋体" w:hAnsi="宋体" w:cs="宋体"/>
                      <w:color w:val="auto"/>
                      <w:szCs w:val="21"/>
                      <w:highlight w:val="none"/>
                    </w:rPr>
                    <w:t>27525.65</w:t>
                  </w:r>
                  <w:r>
                    <w:rPr>
                      <w:rFonts w:hint="eastAsia" w:ascii="宋体" w:hAnsi="宋体" w:cs="宋体"/>
                      <w:color w:val="auto"/>
                      <w:szCs w:val="21"/>
                      <w:highlight w:val="none"/>
                      <w:lang w:eastAsia="zh-CN"/>
                    </w:rPr>
                    <w:t>元</w:t>
                  </w:r>
                </w:p>
                <w:p>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9.1</w:t>
                  </w:r>
                  <w:r>
                    <w:rPr>
                      <w:rFonts w:hint="eastAsia" w:ascii="宋体" w:hAnsi="宋体" w:cs="宋体"/>
                      <w:color w:val="auto"/>
                      <w:szCs w:val="21"/>
                      <w:highlight w:val="none"/>
                    </w:rPr>
                    <w:t>根据《重庆城乡建设委员会关于印发</w:t>
                  </w:r>
                  <w:r>
                    <w:rPr>
                      <w:rFonts w:ascii="宋体" w:hAnsi="宋体" w:cs="宋体"/>
                      <w:color w:val="auto"/>
                      <w:szCs w:val="21"/>
                      <w:highlight w:val="none"/>
                    </w:rPr>
                    <w:t>&lt;</w:t>
                  </w:r>
                  <w:r>
                    <w:rPr>
                      <w:rFonts w:hint="eastAsia" w:ascii="宋体" w:hAnsi="宋体" w:cs="宋体"/>
                      <w:color w:val="auto"/>
                      <w:szCs w:val="21"/>
                      <w:highlight w:val="none"/>
                    </w:rPr>
                    <w:t>重庆市建设工程安全文明施工费计取及使用管理规定</w:t>
                  </w:r>
                  <w:r>
                    <w:rPr>
                      <w:rFonts w:ascii="宋体" w:hAnsi="宋体" w:cs="宋体"/>
                      <w:color w:val="auto"/>
                      <w:szCs w:val="21"/>
                      <w:highlight w:val="none"/>
                    </w:rPr>
                    <w:t>&gt;</w:t>
                  </w:r>
                  <w:r>
                    <w:rPr>
                      <w:rFonts w:hint="eastAsia" w:ascii="宋体" w:hAnsi="宋体" w:cs="宋体"/>
                      <w:color w:val="auto"/>
                      <w:szCs w:val="21"/>
                      <w:highlight w:val="none"/>
                    </w:rPr>
                    <w:t>的通知》（渝建发〔2014〕25号）规定，安全文明施工费由安全施工费、文明施工费、环境保护费及临时设施费组成。</w:t>
                  </w:r>
                </w:p>
                <w:p>
                  <w:pPr>
                    <w:pStyle w:val="95"/>
                    <w:spacing w:line="400" w:lineRule="exact"/>
                    <w:ind w:firstLineChars="200"/>
                    <w:rPr>
                      <w:color w:val="auto"/>
                      <w:sz w:val="21"/>
                      <w:szCs w:val="21"/>
                      <w:highlight w:val="none"/>
                    </w:rPr>
                  </w:pPr>
                  <w:r>
                    <w:rPr>
                      <w:color w:val="auto"/>
                      <w:sz w:val="21"/>
                      <w:szCs w:val="21"/>
                      <w:highlight w:val="none"/>
                    </w:rPr>
                    <w:t>9.2本工程安全文明施工费由招标人根据《建设工程工程量清单计价规范》（GB50500-2013）、《重庆市建设工程工程量清单计价规则》（CQJJGZ-2013）、《</w:t>
                  </w:r>
                  <w:r>
                    <w:rPr>
                      <w:rFonts w:hint="eastAsia"/>
                      <w:color w:val="auto"/>
                      <w:sz w:val="21"/>
                      <w:szCs w:val="21"/>
                      <w:highlight w:val="none"/>
                    </w:rPr>
                    <w:t>重庆市城乡建设委员会</w:t>
                  </w:r>
                  <w:r>
                    <w:rPr>
                      <w:color w:val="auto"/>
                      <w:sz w:val="21"/>
                      <w:szCs w:val="21"/>
                      <w:highlight w:val="none"/>
                    </w:rPr>
                    <w:t>关于印发&lt;重庆市建设工程安全文明施工费计取及使用管理规定&gt;的通知》（渝建发</w:t>
                  </w:r>
                  <w:r>
                    <w:rPr>
                      <w:rFonts w:hint="eastAsia"/>
                      <w:color w:val="auto"/>
                      <w:sz w:val="21"/>
                      <w:szCs w:val="21"/>
                      <w:highlight w:val="none"/>
                    </w:rPr>
                    <w:t>〔</w:t>
                  </w:r>
                  <w:r>
                    <w:rPr>
                      <w:color w:val="auto"/>
                      <w:sz w:val="21"/>
                      <w:szCs w:val="21"/>
                      <w:highlight w:val="none"/>
                    </w:rPr>
                    <w:t>2014</w:t>
                  </w:r>
                  <w:r>
                    <w:rPr>
                      <w:rFonts w:hint="eastAsia"/>
                      <w:color w:val="auto"/>
                      <w:sz w:val="21"/>
                      <w:szCs w:val="21"/>
                      <w:highlight w:val="none"/>
                    </w:rPr>
                    <w:t>〕</w:t>
                  </w:r>
                  <w:r>
                    <w:rPr>
                      <w:color w:val="auto"/>
                      <w:sz w:val="21"/>
                      <w:szCs w:val="21"/>
                      <w:highlight w:val="none"/>
                    </w:rPr>
                    <w:t>25号）</w:t>
                  </w:r>
                  <w:r>
                    <w:rPr>
                      <w:rFonts w:hint="eastAsia"/>
                      <w:color w:val="auto"/>
                      <w:sz w:val="21"/>
                      <w:szCs w:val="21"/>
                      <w:highlight w:val="none"/>
                    </w:rPr>
                    <w:t>、《重庆市住房和城乡建设委员会关于调整建设施工现场形象品质提升安全文明施工费计取的通知》（渝建管〔2020〕97号）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的相关规定和费用标准单列计算，安全文明施工费为暂定金额，与最高限价一起公布。《投标函》中的安全文明施工费</w:t>
                  </w:r>
                  <w:r>
                    <w:rPr>
                      <w:rFonts w:hint="eastAsia"/>
                      <w:color w:val="auto"/>
                      <w:sz w:val="21"/>
                      <w:szCs w:val="21"/>
                      <w:highlight w:val="none"/>
                      <w:lang w:val="en-US" w:eastAsia="zh-CN"/>
                    </w:rPr>
                    <w:t>金额或工程量清单中安全文明施工费的汇总金额未</w:t>
                  </w:r>
                  <w:r>
                    <w:rPr>
                      <w:color w:val="auto"/>
                      <w:sz w:val="21"/>
                      <w:szCs w:val="21"/>
                      <w:highlight w:val="none"/>
                    </w:rPr>
                    <w:t>按照招标人给出的暂定金额填报</w:t>
                  </w:r>
                  <w:r>
                    <w:rPr>
                      <w:rFonts w:hint="eastAsia"/>
                      <w:color w:val="auto"/>
                      <w:sz w:val="21"/>
                      <w:szCs w:val="21"/>
                      <w:highlight w:val="none"/>
                      <w:lang w:val="en-US" w:eastAsia="zh-CN"/>
                    </w:rPr>
                    <w:t>的</w:t>
                  </w:r>
                  <w:r>
                    <w:rPr>
                      <w:color w:val="auto"/>
                      <w:sz w:val="21"/>
                      <w:szCs w:val="21"/>
                      <w:highlight w:val="none"/>
                    </w:rPr>
                    <w:t>，视为对招标文件不作实质性响应，其投标文件</w:t>
                  </w:r>
                  <w:r>
                    <w:rPr>
                      <w:rFonts w:hint="eastAsia"/>
                      <w:color w:val="auto"/>
                      <w:sz w:val="21"/>
                      <w:szCs w:val="21"/>
                      <w:highlight w:val="none"/>
                    </w:rPr>
                    <w:t>由评标委员会</w:t>
                  </w:r>
                  <w:r>
                    <w:rPr>
                      <w:color w:val="auto"/>
                      <w:sz w:val="21"/>
                      <w:szCs w:val="21"/>
                      <w:highlight w:val="none"/>
                    </w:rPr>
                    <w:t>作否决投标处理。</w:t>
                  </w:r>
                  <w:r>
                    <w:rPr>
                      <w:rFonts w:hint="eastAsia"/>
                      <w:color w:val="auto"/>
                      <w:sz w:val="21"/>
                      <w:szCs w:val="21"/>
                      <w:highlight w:val="none"/>
                    </w:rPr>
                    <w:t>注：采用全费用清单计价的项目，安全文明施工费仅针对《投标函》中的安全文明施工费进行评审。</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本工程所需材料（含设备）价格由投标人参照重庆市建设工</w:t>
                  </w:r>
                  <w:r>
                    <w:rPr>
                      <w:rFonts w:hint="eastAsia" w:ascii="宋体" w:hAnsi="宋体" w:cs="宋体"/>
                      <w:color w:val="auto"/>
                      <w:szCs w:val="21"/>
                      <w:highlight w:val="none"/>
                    </w:rPr>
                    <w:t>程造价管理总站发布的《重庆工程造价信息》或工程造价管理机构发布的工程造价信息（造价信息引用时限为招标公告发布日期前一期），并结合市场行情及自身实力进行自主报价。</w:t>
                  </w:r>
                </w:p>
                <w:p>
                  <w:pPr>
                    <w:pStyle w:val="2"/>
                    <w:tabs>
                      <w:tab w:val="left" w:pos="546"/>
                      <w:tab w:val="left" w:pos="711"/>
                    </w:tabs>
                    <w:snapToGrid w:val="0"/>
                    <w:spacing w:after="0"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详见专用合同</w:t>
                  </w:r>
                  <w:r>
                    <w:rPr>
                      <w:rFonts w:hint="eastAsia" w:ascii="宋体" w:hAnsi="宋体" w:cs="宋体"/>
                      <w:color w:val="auto"/>
                      <w:szCs w:val="21"/>
                      <w:highlight w:val="none"/>
                      <w:u w:val="single"/>
                    </w:rPr>
                    <w:t xml:space="preserve"> </w:t>
                  </w:r>
                </w:p>
                <w:p>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本项目所采用技术、工艺和产品等必须执行重庆市住房和城乡建设委员会关于发布《重庆市建设领域禁止、限制使用落后技术通告（2019年版）（渝建发〔2019〕25号）的规定。</w:t>
                  </w:r>
                </w:p>
                <w:p>
                  <w:pPr>
                    <w:pStyle w:val="2"/>
                    <w:tabs>
                      <w:tab w:val="left" w:pos="546"/>
                      <w:tab w:val="left" w:pos="711"/>
                    </w:tabs>
                    <w:snapToGrid w:val="0"/>
                    <w:spacing w:after="0" w:line="400" w:lineRule="exact"/>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本工程主体结构若需混凝土，则必须使用商品混凝土，不得自建搅拌站。</w:t>
                  </w:r>
                </w:p>
              </w:tc>
            </w:tr>
          </w:tbl>
          <w:p>
            <w:pPr>
              <w:snapToGrid w:val="0"/>
              <w:spacing w:line="400" w:lineRule="exact"/>
              <w:ind w:firstLine="420" w:firstLineChars="200"/>
              <w:rPr>
                <w:rFonts w:ascii="宋体" w:hAnsi="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ascii="宋体" w:hAnsi="宋体"/>
                <w:color w:val="auto"/>
                <w:szCs w:val="21"/>
                <w:highlight w:val="none"/>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pPr>
              <w:snapToGrid w:val="0"/>
              <w:spacing w:line="400" w:lineRule="exact"/>
              <w:ind w:firstLine="420" w:firstLineChars="200"/>
              <w:rPr>
                <w:color w:val="auto"/>
                <w:highlight w:val="none"/>
              </w:rPr>
            </w:pPr>
            <w:r>
              <w:rPr>
                <w:rFonts w:hint="eastAsia"/>
                <w:color w:val="auto"/>
                <w:highlight w:val="none"/>
              </w:rPr>
              <w:t>一、以转账支票或电汇形式交纳投标保证金</w:t>
            </w:r>
          </w:p>
          <w:p>
            <w:pPr>
              <w:snapToGrid w:val="0"/>
              <w:spacing w:line="400" w:lineRule="exact"/>
              <w:ind w:firstLine="420" w:firstLineChars="200"/>
              <w:rPr>
                <w:color w:val="auto"/>
                <w:highlight w:val="none"/>
              </w:rPr>
            </w:pPr>
            <w:r>
              <w:rPr>
                <w:rFonts w:hint="eastAsia"/>
                <w:color w:val="auto"/>
                <w:highlight w:val="none"/>
              </w:rPr>
              <w:t>1. 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hint="eastAsia" w:ascii="宋体" w:hAnsi="宋体"/>
                <w:color w:val="auto"/>
                <w:kern w:val="0"/>
                <w:szCs w:val="21"/>
                <w:highlight w:val="none"/>
              </w:rPr>
              <w:t>不满足上述要求的投标保证金</w:t>
            </w:r>
            <w:r>
              <w:rPr>
                <w:rFonts w:ascii="宋体" w:hAnsi="宋体"/>
                <w:color w:val="auto"/>
                <w:kern w:val="0"/>
                <w:szCs w:val="21"/>
                <w:highlight w:val="none"/>
              </w:rPr>
              <w:t>无效。</w:t>
            </w:r>
          </w:p>
          <w:p>
            <w:pPr>
              <w:snapToGrid w:val="0"/>
              <w:spacing w:line="400" w:lineRule="exact"/>
              <w:ind w:firstLine="420" w:firstLineChars="200"/>
              <w:rPr>
                <w:color w:val="auto"/>
                <w:highlight w:val="none"/>
              </w:rPr>
            </w:pPr>
            <w:r>
              <w:rPr>
                <w:rFonts w:hint="eastAsia"/>
                <w:color w:val="auto"/>
                <w:highlight w:val="none"/>
              </w:rPr>
              <w:t>投标人自行考虑汇入时间风险，如同城汇入、异地汇入、跨行汇入的时间要求。</w:t>
            </w:r>
          </w:p>
          <w:p>
            <w:pPr>
              <w:snapToGrid w:val="0"/>
              <w:spacing w:line="400" w:lineRule="exact"/>
              <w:ind w:firstLine="420" w:firstLineChars="200"/>
              <w:rPr>
                <w:rFonts w:ascii="宋体" w:hAnsi="宋体" w:cs="宋体"/>
                <w:i/>
                <w:iCs/>
                <w:color w:val="auto"/>
                <w:highlight w:val="none"/>
              </w:rPr>
            </w:pPr>
            <w:r>
              <w:rPr>
                <w:rFonts w:hint="eastAsia"/>
                <w:color w:val="auto"/>
                <w:highlight w:val="none"/>
              </w:rPr>
              <w:t>2. 以转账支票或电汇形式提交投标保证金的金额：</w:t>
            </w:r>
            <w:r>
              <w:rPr>
                <w:rFonts w:hint="eastAsia"/>
                <w:color w:val="auto"/>
                <w:highlight w:val="none"/>
                <w:u w:val="single"/>
                <w:lang w:val="en-US" w:eastAsia="zh-CN"/>
              </w:rPr>
              <w:t>1.6</w:t>
            </w:r>
            <w:r>
              <w:rPr>
                <w:rFonts w:hint="eastAsia"/>
                <w:color w:val="auto"/>
                <w:highlight w:val="none"/>
              </w:rPr>
              <w:t>万元整（人民币）。</w:t>
            </w:r>
          </w:p>
          <w:p>
            <w:pPr>
              <w:snapToGrid w:val="0"/>
              <w:spacing w:line="400" w:lineRule="exact"/>
              <w:ind w:firstLine="420" w:firstLineChars="200"/>
              <w:rPr>
                <w:color w:val="auto"/>
                <w:highlight w:val="none"/>
              </w:rPr>
            </w:pPr>
            <w:r>
              <w:rPr>
                <w:rFonts w:hint="eastAsia"/>
                <w:color w:val="auto"/>
                <w:highlight w:val="none"/>
              </w:rPr>
              <w:t>3. 投标保证金账户及账号：</w:t>
            </w:r>
          </w:p>
          <w:p>
            <w:pPr>
              <w:snapToGrid w:val="0"/>
              <w:spacing w:line="400" w:lineRule="exact"/>
              <w:ind w:firstLine="420" w:firstLineChars="200"/>
              <w:rPr>
                <w:rFonts w:hint="eastAsia"/>
                <w:color w:val="auto"/>
                <w:highlight w:val="none"/>
              </w:rPr>
            </w:pPr>
            <w:r>
              <w:rPr>
                <w:rFonts w:hint="eastAsia"/>
                <w:color w:val="auto"/>
                <w:highlight w:val="none"/>
              </w:rPr>
              <w:t>户  名：</w:t>
            </w:r>
            <w:r>
              <w:rPr>
                <w:rFonts w:hint="eastAsia"/>
                <w:color w:val="auto"/>
                <w:highlight w:val="none"/>
                <w:lang w:eastAsia="zh-CN"/>
              </w:rPr>
              <w:t>重庆明月山建设开发有限公司</w:t>
            </w:r>
            <w:r>
              <w:rPr>
                <w:rFonts w:hint="eastAsia"/>
                <w:color w:val="auto"/>
                <w:highlight w:val="none"/>
              </w:rPr>
              <w:t xml:space="preserve"> </w:t>
            </w:r>
          </w:p>
          <w:p>
            <w:pPr>
              <w:snapToGrid w:val="0"/>
              <w:spacing w:line="400" w:lineRule="exact"/>
              <w:ind w:firstLine="420" w:firstLineChars="200"/>
              <w:rPr>
                <w:rFonts w:hint="eastAsia" w:eastAsia="宋体"/>
                <w:color w:val="auto"/>
                <w:highlight w:val="none"/>
                <w:lang w:eastAsia="zh-CN"/>
              </w:rPr>
            </w:pPr>
            <w:r>
              <w:rPr>
                <w:rFonts w:hint="eastAsia"/>
                <w:color w:val="auto"/>
                <w:highlight w:val="none"/>
              </w:rPr>
              <w:t>账  号：</w:t>
            </w:r>
            <w:r>
              <w:rPr>
                <w:rFonts w:hint="eastAsia"/>
                <w:color w:val="auto"/>
                <w:highlight w:val="none"/>
                <w:lang w:val="en-US" w:eastAsia="zh-CN"/>
              </w:rPr>
              <w:t xml:space="preserve"> 重庆农村商业银行股份有限公司垫江支行桂财分理处</w:t>
            </w:r>
          </w:p>
          <w:p>
            <w:pPr>
              <w:snapToGrid w:val="0"/>
              <w:spacing w:line="400" w:lineRule="exact"/>
              <w:ind w:firstLine="420" w:firstLineChars="200"/>
              <w:rPr>
                <w:rFonts w:hint="eastAsia" w:eastAsia="宋体"/>
                <w:color w:val="auto"/>
                <w:highlight w:val="none"/>
                <w:lang w:eastAsia="zh-CN"/>
              </w:rPr>
            </w:pPr>
            <w:r>
              <w:rPr>
                <w:rFonts w:hint="eastAsia"/>
                <w:color w:val="auto"/>
                <w:highlight w:val="none"/>
              </w:rPr>
              <w:t>开户行：</w:t>
            </w:r>
            <w:r>
              <w:rPr>
                <w:rFonts w:hint="eastAsia"/>
                <w:color w:val="auto"/>
                <w:highlight w:val="none"/>
                <w:lang w:val="en-US" w:eastAsia="zh-CN"/>
              </w:rPr>
              <w:t xml:space="preserve"> 2512010120010002786</w:t>
            </w:r>
          </w:p>
          <w:p>
            <w:pPr>
              <w:snapToGrid w:val="0"/>
              <w:spacing w:line="400" w:lineRule="exact"/>
              <w:ind w:firstLine="420" w:firstLineChars="200"/>
              <w:rPr>
                <w:color w:val="auto"/>
                <w:highlight w:val="none"/>
              </w:rPr>
            </w:pPr>
            <w:r>
              <w:rPr>
                <w:rFonts w:hint="eastAsia"/>
                <w:color w:val="auto"/>
                <w:highlight w:val="none"/>
              </w:rPr>
              <w:t>投标人须在投标文件</w:t>
            </w:r>
            <w:r>
              <w:rPr>
                <w:rFonts w:hint="eastAsia" w:ascii="宋体" w:hAnsi="宋体"/>
                <w:color w:val="auto"/>
                <w:kern w:val="0"/>
                <w:szCs w:val="21"/>
                <w:highlight w:val="none"/>
              </w:rPr>
              <w:t>“其他资料”中</w:t>
            </w:r>
            <w:r>
              <w:rPr>
                <w:rFonts w:hint="eastAsia"/>
                <w:color w:val="auto"/>
                <w:highlight w:val="none"/>
              </w:rPr>
              <w:t>提供企业基本账户开户证明文件。</w:t>
            </w:r>
          </w:p>
          <w:p>
            <w:pPr>
              <w:snapToGrid w:val="0"/>
              <w:spacing w:line="400" w:lineRule="exact"/>
              <w:ind w:firstLine="420" w:firstLineChars="200"/>
              <w:rPr>
                <w:color w:val="auto"/>
                <w:highlight w:val="none"/>
                <w:u w:val="single"/>
              </w:rPr>
            </w:pPr>
            <w:r>
              <w:rPr>
                <w:rFonts w:hint="eastAsia"/>
                <w:color w:val="auto"/>
                <w:highlight w:val="none"/>
              </w:rPr>
              <w:t>4. 投标人必须在付款凭证备注栏中注明是“</w:t>
            </w:r>
            <w:r>
              <w:rPr>
                <w:rFonts w:hint="eastAsia"/>
                <w:color w:val="auto"/>
                <w:highlight w:val="none"/>
                <w:u w:val="single"/>
                <w:lang w:eastAsia="zh-CN"/>
              </w:rPr>
              <w:t>宝鼎山建(构)筑物排危整治工程</w:t>
            </w:r>
            <w:r>
              <w:rPr>
                <w:rFonts w:hint="eastAsia"/>
                <w:color w:val="auto"/>
                <w:highlight w:val="none"/>
              </w:rPr>
              <w:t>项目投标保证金”。项目名称可简写成：</w:t>
            </w:r>
            <w:r>
              <w:rPr>
                <w:rFonts w:hint="eastAsia"/>
                <w:color w:val="auto"/>
                <w:highlight w:val="none"/>
                <w:u w:val="single"/>
                <w:lang w:eastAsia="zh-CN"/>
              </w:rPr>
              <w:t>宝鼎山整治工程</w:t>
            </w:r>
            <w:r>
              <w:rPr>
                <w:rFonts w:hint="eastAsia"/>
                <w:color w:val="auto"/>
                <w:highlight w:val="none"/>
                <w:u w:val="single"/>
              </w:rPr>
              <w:t xml:space="preserve"> </w:t>
            </w:r>
            <w:r>
              <w:rPr>
                <w:rFonts w:hint="eastAsia"/>
                <w:color w:val="auto"/>
                <w:highlight w:val="none"/>
              </w:rPr>
              <w:t>。</w:t>
            </w:r>
          </w:p>
          <w:p>
            <w:pPr>
              <w:snapToGrid w:val="0"/>
              <w:spacing w:line="400" w:lineRule="exact"/>
              <w:ind w:firstLine="420" w:firstLineChars="200"/>
              <w:rPr>
                <w:color w:val="auto"/>
                <w:highlight w:val="none"/>
              </w:rPr>
            </w:pPr>
            <w:r>
              <w:rPr>
                <w:rFonts w:hint="eastAsia"/>
                <w:color w:val="auto"/>
                <w:highlight w:val="none"/>
              </w:rPr>
              <w:t>5. 投标保证金有效期与投标有效期一致。</w:t>
            </w:r>
          </w:p>
          <w:p>
            <w:pPr>
              <w:snapToGrid w:val="0"/>
              <w:spacing w:line="400" w:lineRule="exact"/>
              <w:ind w:firstLine="420" w:firstLineChars="200"/>
              <w:rPr>
                <w:color w:val="auto"/>
                <w:highlight w:val="none"/>
              </w:rPr>
            </w:pPr>
            <w:r>
              <w:rPr>
                <w:rFonts w:hint="eastAsia"/>
                <w:color w:val="auto"/>
                <w:highlight w:val="none"/>
              </w:rPr>
              <w:t>二、投标保证金的退还</w:t>
            </w:r>
          </w:p>
          <w:p>
            <w:pPr>
              <w:snapToGrid w:val="0"/>
              <w:spacing w:line="400" w:lineRule="exact"/>
              <w:ind w:firstLine="420" w:firstLineChars="200"/>
              <w:jc w:val="left"/>
              <w:rPr>
                <w:rFonts w:hint="eastAsia"/>
                <w:color w:val="auto"/>
                <w:highlight w:val="none"/>
              </w:rPr>
            </w:pPr>
            <w:r>
              <w:rPr>
                <w:rFonts w:hint="eastAsia"/>
                <w:color w:val="auto"/>
                <w:highlight w:val="none"/>
              </w:rPr>
              <w:t>所有参与比选</w:t>
            </w:r>
            <w:r>
              <w:rPr>
                <w:rFonts w:hint="eastAsia"/>
                <w:color w:val="auto"/>
                <w:highlight w:val="none"/>
                <w:lang w:val="en-US" w:eastAsia="zh-CN"/>
              </w:rPr>
              <w:t>投标人</w:t>
            </w:r>
            <w:r>
              <w:rPr>
                <w:rFonts w:hint="eastAsia"/>
                <w:color w:val="auto"/>
                <w:highlight w:val="none"/>
              </w:rPr>
              <w:t>的</w:t>
            </w:r>
            <w:r>
              <w:rPr>
                <w:rFonts w:hint="eastAsia"/>
                <w:color w:val="auto"/>
                <w:highlight w:val="none"/>
                <w:lang w:val="en-US" w:eastAsia="zh-CN"/>
              </w:rPr>
              <w:t>投标</w:t>
            </w:r>
            <w:r>
              <w:rPr>
                <w:rFonts w:hint="eastAsia"/>
                <w:color w:val="auto"/>
                <w:highlight w:val="none"/>
              </w:rPr>
              <w:t>保证金在</w:t>
            </w:r>
            <w:r>
              <w:rPr>
                <w:rFonts w:hint="eastAsia"/>
                <w:color w:val="auto"/>
                <w:highlight w:val="none"/>
                <w:lang w:val="en-US" w:eastAsia="zh-CN"/>
              </w:rPr>
              <w:t>中标人</w:t>
            </w:r>
            <w:r>
              <w:rPr>
                <w:rFonts w:hint="eastAsia"/>
                <w:color w:val="auto"/>
                <w:highlight w:val="none"/>
              </w:rPr>
              <w:t>签订合同后10个工作日内无息退还到</w:t>
            </w:r>
            <w:r>
              <w:rPr>
                <w:rFonts w:hint="eastAsia"/>
                <w:color w:val="auto"/>
                <w:highlight w:val="none"/>
                <w:lang w:val="en-US" w:eastAsia="zh-CN"/>
              </w:rPr>
              <w:t>投标人</w:t>
            </w:r>
            <w:r>
              <w:rPr>
                <w:rFonts w:hint="eastAsia"/>
                <w:color w:val="auto"/>
                <w:highlight w:val="none"/>
              </w:rPr>
              <w:t>交款账户（</w:t>
            </w:r>
            <w:r>
              <w:rPr>
                <w:rFonts w:hint="eastAsia"/>
                <w:color w:val="auto"/>
                <w:highlight w:val="none"/>
                <w:lang w:val="en-US" w:eastAsia="zh-CN"/>
              </w:rPr>
              <w:t>投标人</w:t>
            </w:r>
            <w:r>
              <w:rPr>
                <w:rFonts w:hint="eastAsia"/>
                <w:color w:val="auto"/>
                <w:highlight w:val="none"/>
              </w:rPr>
              <w:t>需提供收据）。</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三</w:t>
            </w:r>
            <w:r>
              <w:rPr>
                <w:rFonts w:ascii="宋体" w:hAnsi="宋体"/>
                <w:color w:val="auto"/>
                <w:kern w:val="0"/>
                <w:szCs w:val="21"/>
                <w:highlight w:val="none"/>
              </w:rPr>
              <w:t>、</w:t>
            </w:r>
            <w:r>
              <w:rPr>
                <w:rFonts w:hint="eastAsia" w:ascii="宋体" w:hAnsi="宋体"/>
                <w:color w:val="auto"/>
                <w:kern w:val="0"/>
                <w:szCs w:val="21"/>
                <w:highlight w:val="none"/>
              </w:rPr>
              <w:t>以纸质投标保函形式交纳投标保证金</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纸质投标保函</w:t>
            </w:r>
            <w:r>
              <w:rPr>
                <w:rFonts w:ascii="宋体" w:hAnsi="宋体"/>
                <w:color w:val="auto"/>
                <w:kern w:val="0"/>
                <w:szCs w:val="21"/>
                <w:highlight w:val="none"/>
              </w:rPr>
              <w:t>交纳形式及要求：</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（1）缴纳形式：</w:t>
            </w:r>
            <w:r>
              <w:rPr>
                <w:rFonts w:hint="eastAsia" w:ascii="宋体" w:hAnsi="宋体"/>
                <w:color w:val="auto"/>
                <w:kern w:val="0"/>
                <w:szCs w:val="21"/>
                <w:highlight w:val="none"/>
                <w:lang w:val="en-US" w:eastAsia="zh-CN"/>
              </w:rPr>
              <w:t>纸质投标保函</w:t>
            </w:r>
            <w:r>
              <w:rPr>
                <w:rFonts w:hint="eastAsia" w:ascii="宋体" w:hAnsi="宋体"/>
                <w:color w:val="auto"/>
                <w:kern w:val="0"/>
                <w:szCs w:val="21"/>
                <w:highlight w:val="none"/>
              </w:rPr>
              <w:t>包括银行保函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其示范文本详见第八章投标文件格式。投标人提交的纸质投标保函应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kern w:val="0"/>
                <w:szCs w:val="21"/>
                <w:highlight w:val="none"/>
                <w:lang w:eastAsia="zh-CN"/>
              </w:rPr>
              <w:t>。</w:t>
            </w:r>
          </w:p>
          <w:p>
            <w:pPr>
              <w:snapToGrid w:val="0"/>
              <w:spacing w:line="400" w:lineRule="exact"/>
              <w:ind w:firstLine="420" w:firstLineChars="200"/>
              <w:rPr>
                <w:rFonts w:hint="eastAsia" w:ascii="宋体" w:hAnsi="宋体"/>
                <w:color w:val="auto"/>
                <w:kern w:val="0"/>
                <w:szCs w:val="21"/>
                <w:highlight w:val="none"/>
                <w:lang w:val="en-US" w:eastAsia="zh-CN"/>
              </w:rPr>
            </w:pPr>
            <w:r>
              <w:rPr>
                <w:rFonts w:ascii="宋体" w:hAnsi="宋体"/>
                <w:color w:val="auto"/>
                <w:kern w:val="0"/>
                <w:szCs w:val="21"/>
                <w:highlight w:val="none"/>
              </w:rPr>
              <w:t>（</w:t>
            </w:r>
            <w:r>
              <w:rPr>
                <w:rFonts w:hint="default" w:ascii="宋体" w:hAnsi="宋体"/>
                <w:color w:val="auto"/>
                <w:kern w:val="0"/>
                <w:szCs w:val="21"/>
                <w:highlight w:val="none"/>
                <w:lang w:val="en-US"/>
              </w:rPr>
              <w:t>2</w:t>
            </w:r>
            <w:r>
              <w:rPr>
                <w:rFonts w:ascii="宋体" w:hAnsi="宋体"/>
                <w:color w:val="auto"/>
                <w:kern w:val="0"/>
                <w:szCs w:val="21"/>
                <w:highlight w:val="none"/>
              </w:rPr>
              <w:t>）具体要求：</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lang w:eastAsia="zh-CN"/>
              </w:rPr>
              <w:t>保函应合法合规，符合招投标行政监督部门、行业主管部门和金融监管部门的相关规定，满足招标文件约定要求。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投标人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投标人对所提交的纸质投标保函的真实性、合法性、有效性负责。</w:t>
            </w:r>
          </w:p>
          <w:p>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投标人</w:t>
            </w:r>
            <w:r>
              <w:rPr>
                <w:rFonts w:hint="eastAsia" w:ascii="宋体" w:hAnsi="宋体"/>
                <w:color w:val="auto"/>
                <w:kern w:val="0"/>
                <w:szCs w:val="21"/>
                <w:highlight w:val="none"/>
              </w:rPr>
              <w:t>须在投标文件资格审查部分“其他资料”中</w:t>
            </w:r>
            <w:r>
              <w:rPr>
                <w:rFonts w:ascii="宋体" w:hAnsi="宋体"/>
                <w:color w:val="auto"/>
                <w:kern w:val="0"/>
                <w:szCs w:val="21"/>
                <w:highlight w:val="none"/>
              </w:rPr>
              <w:t>提供</w:t>
            </w:r>
            <w:r>
              <w:rPr>
                <w:rFonts w:hint="eastAsia" w:ascii="宋体" w:hAnsi="宋体"/>
                <w:color w:val="auto"/>
                <w:kern w:val="0"/>
                <w:szCs w:val="21"/>
                <w:highlight w:val="none"/>
              </w:rPr>
              <w:t>纸质</w:t>
            </w:r>
            <w:r>
              <w:rPr>
                <w:rFonts w:ascii="宋体" w:hAnsi="宋体"/>
                <w:color w:val="auto"/>
                <w:kern w:val="0"/>
                <w:szCs w:val="21"/>
                <w:highlight w:val="none"/>
              </w:rPr>
              <w:t>投标保函</w:t>
            </w:r>
            <w:r>
              <w:rPr>
                <w:rFonts w:hint="eastAsia" w:ascii="宋体" w:hAnsi="宋体"/>
                <w:color w:val="auto"/>
                <w:kern w:val="0"/>
                <w:szCs w:val="21"/>
                <w:highlight w:val="none"/>
              </w:rPr>
              <w:t>扫描件，纸质</w:t>
            </w:r>
            <w:r>
              <w:rPr>
                <w:rFonts w:ascii="宋体" w:hAnsi="宋体"/>
                <w:color w:val="auto"/>
                <w:kern w:val="0"/>
                <w:szCs w:val="21"/>
                <w:highlight w:val="none"/>
              </w:rPr>
              <w:t>投标保函</w:t>
            </w:r>
            <w:r>
              <w:rPr>
                <w:rFonts w:hint="eastAsia" w:ascii="宋体" w:hAnsi="宋体"/>
                <w:color w:val="auto"/>
                <w:kern w:val="0"/>
                <w:szCs w:val="21"/>
                <w:highlight w:val="none"/>
              </w:rPr>
              <w:t>原件应当于投标截止时间前在开标现场递交招标人保管。</w:t>
            </w:r>
          </w:p>
          <w:p>
            <w:pPr>
              <w:snapToGrid w:val="0"/>
              <w:spacing w:line="400" w:lineRule="exact"/>
              <w:ind w:firstLine="420" w:firstLineChars="200"/>
              <w:rPr>
                <w:color w:val="auto"/>
                <w:highlight w:val="none"/>
              </w:rPr>
            </w:pPr>
            <w:r>
              <w:rPr>
                <w:rFonts w:hint="eastAsia"/>
                <w:color w:val="auto"/>
                <w:highlight w:val="none"/>
              </w:rPr>
              <w:t>若投标截止时间延期，则纸质投标保函递交的截止时间和投标截止时间保持一致。</w:t>
            </w:r>
          </w:p>
          <w:p>
            <w:pPr>
              <w:snapToGrid w:val="0"/>
              <w:spacing w:line="400" w:lineRule="exact"/>
              <w:ind w:firstLine="420" w:firstLineChars="200"/>
              <w:rPr>
                <w:color w:val="auto"/>
                <w:highlight w:val="none"/>
              </w:rPr>
            </w:pPr>
            <w:r>
              <w:rPr>
                <w:rFonts w:hint="eastAsia" w:ascii="宋体" w:hAnsi="宋体"/>
                <w:color w:val="auto"/>
                <w:kern w:val="0"/>
                <w:szCs w:val="21"/>
                <w:highlight w:val="none"/>
              </w:rPr>
              <w:t>不满足上述要求的纸质</w:t>
            </w:r>
            <w:r>
              <w:rPr>
                <w:rFonts w:ascii="宋体" w:hAnsi="宋体"/>
                <w:color w:val="auto"/>
                <w:kern w:val="0"/>
                <w:szCs w:val="21"/>
                <w:highlight w:val="none"/>
              </w:rPr>
              <w:t>投标保函无效。</w:t>
            </w:r>
          </w:p>
          <w:p>
            <w:pPr>
              <w:numPr>
                <w:ilvl w:val="0"/>
                <w:numId w:val="0"/>
              </w:numPr>
              <w:snapToGrid w:val="0"/>
              <w:spacing w:line="400" w:lineRule="exact"/>
              <w:ind w:firstLine="420" w:firstLineChars="200"/>
              <w:rPr>
                <w:rFonts w:hint="eastAsia" w:eastAsia="宋体"/>
                <w:color w:val="auto"/>
                <w:highlight w:val="none"/>
                <w:lang w:eastAsia="zh-CN"/>
              </w:rPr>
            </w:pPr>
            <w:r>
              <w:rPr>
                <w:rFonts w:hint="eastAsia" w:ascii="Times New Roman" w:hAnsi="Times New Roman" w:eastAsia="宋体" w:cs="Times New Roman"/>
                <w:color w:val="auto"/>
                <w:kern w:val="2"/>
                <w:sz w:val="21"/>
                <w:szCs w:val="24"/>
                <w:highlight w:val="none"/>
                <w:lang w:val="en-US" w:eastAsia="zh-CN" w:bidi="ar-SA"/>
              </w:rPr>
              <w:t>2.</w:t>
            </w:r>
            <w:r>
              <w:rPr>
                <w:rFonts w:hint="eastAsia"/>
                <w:color w:val="auto"/>
                <w:highlight w:val="none"/>
              </w:rPr>
              <w:t>以纸质投标保函形式担保的</w:t>
            </w:r>
            <w:r>
              <w:rPr>
                <w:color w:val="auto"/>
                <w:highlight w:val="none"/>
              </w:rPr>
              <w:t>投标保证金的金额</w:t>
            </w:r>
            <w:r>
              <w:rPr>
                <w:rFonts w:ascii="宋体" w:hAnsi="宋体"/>
                <w:color w:val="auto"/>
                <w:kern w:val="0"/>
                <w:szCs w:val="21"/>
                <w:highlight w:val="none"/>
              </w:rPr>
              <w:t>：</w:t>
            </w:r>
            <w:r>
              <w:rPr>
                <w:rFonts w:hint="eastAsia" w:ascii="宋体" w:hAnsi="宋体"/>
                <w:color w:val="auto"/>
                <w:kern w:val="0"/>
                <w:szCs w:val="21"/>
                <w:highlight w:val="none"/>
                <w:u w:val="single"/>
                <w:lang w:val="en-US" w:eastAsia="zh-CN"/>
              </w:rPr>
              <w:t xml:space="preserve"> 1.6 </w:t>
            </w:r>
            <w:r>
              <w:rPr>
                <w:rFonts w:ascii="宋体" w:hAnsi="宋体"/>
                <w:color w:val="auto"/>
                <w:kern w:val="0"/>
                <w:szCs w:val="21"/>
                <w:highlight w:val="none"/>
              </w:rPr>
              <w:t>万元整（人民币）</w:t>
            </w:r>
            <w:r>
              <w:rPr>
                <w:rFonts w:hint="eastAsia" w:ascii="宋体" w:hAnsi="宋体"/>
                <w:color w:val="auto"/>
                <w:kern w:val="0"/>
                <w:szCs w:val="21"/>
                <w:highlight w:val="none"/>
                <w:lang w:eastAsia="zh-CN"/>
              </w:rPr>
              <w:t>。</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3. </w:t>
            </w:r>
            <w:r>
              <w:rPr>
                <w:rFonts w:ascii="宋体" w:hAnsi="宋体"/>
                <w:color w:val="auto"/>
                <w:kern w:val="0"/>
                <w:szCs w:val="21"/>
                <w:highlight w:val="none"/>
              </w:rPr>
              <w:t>投标人须</w:t>
            </w:r>
            <w:r>
              <w:rPr>
                <w:rFonts w:hint="eastAsia"/>
                <w:color w:val="auto"/>
                <w:highlight w:val="none"/>
              </w:rPr>
              <w:t>在</w:t>
            </w:r>
            <w:r>
              <w:rPr>
                <w:rFonts w:hint="eastAsia" w:ascii="宋体" w:hAnsi="宋体"/>
                <w:color w:val="auto"/>
                <w:kern w:val="0"/>
                <w:szCs w:val="21"/>
                <w:highlight w:val="none"/>
              </w:rPr>
              <w:t>纸质投标保函</w:t>
            </w:r>
            <w:r>
              <w:rPr>
                <w:rFonts w:hint="eastAsia" w:ascii="宋体" w:hAnsi="宋体"/>
                <w:color w:val="auto"/>
                <w:kern w:val="0"/>
                <w:szCs w:val="21"/>
                <w:highlight w:val="none"/>
                <w:lang w:val="en-US" w:eastAsia="zh-CN"/>
              </w:rPr>
              <w:t>中注明</w:t>
            </w:r>
            <w:r>
              <w:rPr>
                <w:rFonts w:hint="eastAsia" w:ascii="宋体" w:hAnsi="宋体"/>
                <w:color w:val="auto"/>
                <w:kern w:val="0"/>
                <w:szCs w:val="21"/>
                <w:highlight w:val="none"/>
              </w:rPr>
              <w:t>在重庆市辖区范围内的核验</w:t>
            </w:r>
            <w:r>
              <w:rPr>
                <w:rFonts w:hint="eastAsia" w:ascii="宋体" w:hAnsi="宋体"/>
                <w:color w:val="auto"/>
                <w:kern w:val="0"/>
                <w:szCs w:val="21"/>
                <w:highlight w:val="none"/>
                <w:lang w:val="en-US" w:eastAsia="zh-CN"/>
              </w:rPr>
              <w:t>地址和核验方式，并</w:t>
            </w:r>
            <w:r>
              <w:rPr>
                <w:rFonts w:hint="eastAsia" w:ascii="宋体" w:hAnsi="宋体"/>
                <w:color w:val="auto"/>
                <w:kern w:val="0"/>
                <w:szCs w:val="21"/>
                <w:highlight w:val="none"/>
              </w:rPr>
              <w:t>确保其递交的纸质</w:t>
            </w:r>
            <w:r>
              <w:rPr>
                <w:rFonts w:ascii="宋体" w:hAnsi="宋体"/>
                <w:color w:val="auto"/>
                <w:kern w:val="0"/>
                <w:szCs w:val="21"/>
                <w:highlight w:val="none"/>
              </w:rPr>
              <w:t>投标保函能在</w:t>
            </w:r>
            <w:r>
              <w:rPr>
                <w:rFonts w:hint="eastAsia" w:ascii="宋体" w:hAnsi="宋体"/>
                <w:color w:val="auto"/>
                <w:kern w:val="0"/>
                <w:szCs w:val="21"/>
                <w:highlight w:val="none"/>
                <w:lang w:val="en-US" w:eastAsia="zh-CN"/>
              </w:rPr>
              <w:t>开立人在渝的总部或者分支机构进行</w:t>
            </w:r>
            <w:r>
              <w:rPr>
                <w:rFonts w:hint="eastAsia" w:ascii="宋体" w:hAnsi="宋体"/>
                <w:color w:val="auto"/>
                <w:kern w:val="0"/>
                <w:szCs w:val="21"/>
                <w:highlight w:val="none"/>
              </w:rPr>
              <w:t>核验。</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 投标人在开标现场递交的纸质投标保函原件应与投标文件中提供的纸质投标保函扫描件一致，否则由评标委员会作否决投标处理。</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 在发出中标通知书前，招标人应当对投标人（至少中标候选人或中标人）</w:t>
            </w:r>
            <w:r>
              <w:rPr>
                <w:rFonts w:hint="eastAsia" w:ascii="宋体" w:hAnsi="宋体"/>
                <w:color w:val="auto"/>
                <w:kern w:val="0"/>
                <w:szCs w:val="21"/>
                <w:highlight w:val="none"/>
                <w:lang w:val="en-US" w:eastAsia="zh-CN"/>
              </w:rPr>
              <w:t>递交</w:t>
            </w:r>
            <w:r>
              <w:rPr>
                <w:rFonts w:hint="eastAsia" w:ascii="宋体" w:hAnsi="宋体"/>
                <w:color w:val="auto"/>
                <w:kern w:val="0"/>
                <w:szCs w:val="21"/>
                <w:highlight w:val="none"/>
              </w:rPr>
              <w:t>的纸质投标保函</w:t>
            </w:r>
            <w:r>
              <w:rPr>
                <w:rFonts w:hint="eastAsia" w:ascii="宋体" w:hAnsi="宋体"/>
                <w:color w:val="auto"/>
                <w:kern w:val="0"/>
                <w:szCs w:val="21"/>
                <w:highlight w:val="none"/>
                <w:lang w:val="en-US" w:eastAsia="zh-CN"/>
              </w:rPr>
              <w:t>的真实性、合法性、有效性进行核验，对核验不合格或无法按纸质投标保函注明的核验地点、核验方式进行核验的，视为投标人未提交纸质投标保函</w:t>
            </w:r>
            <w:r>
              <w:rPr>
                <w:rFonts w:hint="eastAsia" w:ascii="宋体" w:hAnsi="宋体"/>
                <w:color w:val="auto"/>
                <w:kern w:val="0"/>
                <w:szCs w:val="21"/>
                <w:highlight w:val="none"/>
              </w:rPr>
              <w:t>，对</w:t>
            </w:r>
            <w:r>
              <w:rPr>
                <w:rFonts w:hint="eastAsia" w:ascii="宋体" w:hAnsi="宋体"/>
                <w:color w:val="auto"/>
                <w:szCs w:val="21"/>
                <w:highlight w:val="none"/>
              </w:rPr>
              <w:t>已取得中标候选人资格或中标资格的投标人，</w:t>
            </w:r>
            <w:r>
              <w:rPr>
                <w:rFonts w:hint="eastAsia" w:ascii="宋体" w:hAnsi="宋体" w:eastAsia="宋体" w:cs="宋体"/>
                <w:color w:val="auto"/>
                <w:szCs w:val="21"/>
                <w:highlight w:val="none"/>
                <w:lang w:val="en-US" w:eastAsia="zh-CN"/>
              </w:rPr>
              <w:t>按相关规定</w:t>
            </w:r>
            <w:r>
              <w:rPr>
                <w:rFonts w:hint="eastAsia" w:ascii="宋体" w:hAnsi="宋体"/>
                <w:color w:val="auto"/>
                <w:szCs w:val="21"/>
                <w:highlight w:val="none"/>
              </w:rPr>
              <w:t>取消中标候选人资格或中标资格</w:t>
            </w:r>
            <w:r>
              <w:rPr>
                <w:rFonts w:hint="eastAsia" w:ascii="宋体" w:hAnsi="宋体"/>
                <w:color w:val="auto"/>
                <w:kern w:val="0"/>
                <w:szCs w:val="21"/>
                <w:highlight w:val="none"/>
              </w:rPr>
              <w:t>，</w:t>
            </w:r>
            <w:r>
              <w:rPr>
                <w:rFonts w:hint="eastAsia" w:ascii="宋体" w:hAnsi="宋体"/>
                <w:color w:val="auto"/>
                <w:szCs w:val="21"/>
                <w:highlight w:val="none"/>
              </w:rPr>
              <w:t>给招标人造成损失的，投标人依法承担赔偿责任。</w:t>
            </w:r>
            <w:r>
              <w:rPr>
                <w:rFonts w:hint="eastAsia" w:ascii="宋体" w:hAnsi="宋体"/>
                <w:color w:val="auto"/>
                <w:kern w:val="0"/>
                <w:szCs w:val="21"/>
                <w:highlight w:val="none"/>
                <w:lang w:val="en-US" w:eastAsia="zh-CN"/>
              </w:rPr>
              <w:t>投标人提交的纸质投标</w:t>
            </w:r>
            <w:r>
              <w:rPr>
                <w:rFonts w:hint="eastAsia" w:ascii="宋体" w:hAnsi="宋体"/>
                <w:color w:val="auto"/>
                <w:szCs w:val="21"/>
                <w:highlight w:val="none"/>
              </w:rPr>
              <w:t>保函涉及弄虚作假或其他违法违规</w:t>
            </w:r>
            <w:r>
              <w:rPr>
                <w:rFonts w:hint="eastAsia" w:ascii="宋体" w:hAnsi="宋体"/>
                <w:color w:val="auto"/>
                <w:szCs w:val="21"/>
                <w:highlight w:val="none"/>
                <w:lang w:val="en-US" w:eastAsia="zh-CN"/>
              </w:rPr>
              <w:t>情形</w:t>
            </w:r>
            <w:r>
              <w:rPr>
                <w:rFonts w:hint="eastAsia" w:ascii="宋体" w:hAnsi="宋体"/>
                <w:color w:val="auto"/>
                <w:szCs w:val="21"/>
                <w:highlight w:val="none"/>
              </w:rPr>
              <w:t>的，移送相关部门处理</w:t>
            </w:r>
            <w:r>
              <w:rPr>
                <w:rFonts w:ascii="宋体" w:hAnsi="宋体"/>
                <w:color w:val="auto"/>
                <w:kern w:val="0"/>
                <w:szCs w:val="21"/>
                <w:highlight w:val="none"/>
              </w:rPr>
              <w:t>。</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四</w:t>
            </w:r>
            <w:r>
              <w:rPr>
                <w:rFonts w:ascii="宋体" w:hAnsi="宋体"/>
                <w:color w:val="auto"/>
                <w:kern w:val="0"/>
                <w:szCs w:val="21"/>
                <w:highlight w:val="none"/>
              </w:rPr>
              <w:t>、</w:t>
            </w:r>
            <w:r>
              <w:rPr>
                <w:rFonts w:hint="eastAsia" w:ascii="宋体" w:hAnsi="宋体"/>
                <w:color w:val="auto"/>
                <w:kern w:val="0"/>
                <w:szCs w:val="21"/>
                <w:highlight w:val="none"/>
              </w:rPr>
              <w:t>纸质</w:t>
            </w:r>
            <w:r>
              <w:rPr>
                <w:rFonts w:ascii="宋体" w:hAnsi="宋体"/>
                <w:color w:val="auto"/>
                <w:kern w:val="0"/>
                <w:szCs w:val="21"/>
                <w:highlight w:val="none"/>
              </w:rPr>
              <w:t>投标保函的</w:t>
            </w:r>
            <w:r>
              <w:rPr>
                <w:rFonts w:hint="eastAsia" w:ascii="宋体" w:hAnsi="宋体"/>
                <w:color w:val="auto"/>
                <w:kern w:val="0"/>
                <w:szCs w:val="21"/>
                <w:highlight w:val="none"/>
              </w:rPr>
              <w:t>退还、注销</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招标人应当在法定时间内确定中标人，向中标人发出中标通知书，同时向除中标候选人以外的其他投标人退还</w:t>
            </w:r>
            <w:r>
              <w:rPr>
                <w:rFonts w:hint="eastAsia" w:ascii="宋体" w:hAnsi="宋体"/>
                <w:color w:val="auto"/>
                <w:kern w:val="0"/>
                <w:szCs w:val="21"/>
                <w:highlight w:val="none"/>
              </w:rPr>
              <w:t>纸质</w:t>
            </w:r>
            <w:r>
              <w:rPr>
                <w:rFonts w:ascii="宋体" w:hAnsi="宋体"/>
                <w:color w:val="auto"/>
                <w:kern w:val="0"/>
                <w:szCs w:val="21"/>
                <w:highlight w:val="none"/>
              </w:rPr>
              <w:t>投标保函并书面通知相关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本项目准予提前注销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p>
            <w:pPr>
              <w:snapToGrid w:val="0"/>
              <w:spacing w:line="400" w:lineRule="exact"/>
              <w:ind w:firstLine="420" w:firstLineChars="200"/>
              <w:jc w:val="left"/>
              <w:rPr>
                <w:rFonts w:hint="default" w:eastAsia="宋体"/>
                <w:lang w:val="en-US" w:eastAsia="zh-CN"/>
              </w:rPr>
            </w:pPr>
            <w:r>
              <w:rPr>
                <w:rFonts w:ascii="宋体" w:hAnsi="宋体"/>
                <w:color w:val="auto"/>
                <w:kern w:val="0"/>
                <w:szCs w:val="21"/>
                <w:highlight w:val="none"/>
              </w:rPr>
              <w:t>招标人应在法定时间内和中标人</w:t>
            </w:r>
            <w:r>
              <w:rPr>
                <w:rFonts w:hint="eastAsia" w:ascii="宋体" w:hAnsi="宋体"/>
                <w:color w:val="auto"/>
                <w:kern w:val="0"/>
                <w:szCs w:val="21"/>
                <w:highlight w:val="none"/>
              </w:rPr>
              <w:t>签订</w:t>
            </w:r>
            <w:r>
              <w:rPr>
                <w:rFonts w:ascii="宋体" w:hAnsi="宋体"/>
                <w:color w:val="auto"/>
                <w:kern w:val="0"/>
                <w:szCs w:val="21"/>
                <w:highlight w:val="none"/>
              </w:rPr>
              <w:t>合同，并同时书面通知相关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向中标人和其他中标候选人注销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rPr>
              <w:t>投标文件格式要求</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编制投标文件时不得对第八章“投标文件格式”的相应要素作实质性修改，否则视为重大偏差，由评标委员会作否决投标处理。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pPr>
              <w:snapToGrid w:val="0"/>
              <w:spacing w:line="400" w:lineRule="exact"/>
              <w:rPr>
                <w:rFonts w:ascii="宋体" w:hAnsi="宋体"/>
                <w:color w:val="auto"/>
                <w:spacing w:val="-6"/>
                <w:kern w:val="0"/>
                <w:szCs w:val="21"/>
                <w:highlight w:val="none"/>
              </w:rPr>
            </w:pPr>
            <w:r>
              <w:rPr>
                <w:rFonts w:ascii="宋体" w:hAnsi="宋体"/>
                <w:color w:val="auto"/>
                <w:spacing w:val="-6"/>
                <w:kern w:val="0"/>
                <w:szCs w:val="21"/>
                <w:highlight w:val="none"/>
              </w:rPr>
              <w:t>投标文件的份数</w:t>
            </w:r>
          </w:p>
        </w:tc>
        <w:tc>
          <w:tcPr>
            <w:tcW w:w="6490" w:type="dxa"/>
            <w:vAlign w:val="center"/>
          </w:tcPr>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投标文件正本</w:t>
            </w:r>
            <w:r>
              <w:rPr>
                <w:rFonts w:hint="eastAsia" w:ascii="宋体" w:hAnsi="宋体"/>
                <w:color w:val="auto"/>
                <w:kern w:val="0"/>
                <w:szCs w:val="21"/>
                <w:highlight w:val="none"/>
              </w:rPr>
              <w:t>1份、副本2份，电子版形式（光盘）1份。当副本和正本不一致时，以正本为准。否则由评标委员会作否决投标处理。</w:t>
            </w:r>
          </w:p>
          <w:p>
            <w:pPr>
              <w:autoSpaceDE w:val="0"/>
              <w:autoSpaceDN w:val="0"/>
              <w:adjustRightInd w:val="0"/>
              <w:snapToGrid w:val="0"/>
              <w:spacing w:after="93" w:afterLines="30"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rPr>
              <w:t>电子版形式（光盘）应包含</w:t>
            </w:r>
            <w:r>
              <w:rPr>
                <w:rFonts w:hint="eastAsia" w:ascii="宋体" w:hAnsi="宋体"/>
                <w:color w:val="auto"/>
                <w:kern w:val="0"/>
                <w:szCs w:val="21"/>
                <w:highlight w:val="none"/>
                <w:lang w:val="en-US" w:eastAsia="zh-CN"/>
              </w:rPr>
              <w:t>完整投标文件的扫描件</w:t>
            </w:r>
            <w:r>
              <w:rPr>
                <w:rFonts w:hint="eastAsia"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编制</w:t>
            </w:r>
            <w:r>
              <w:rPr>
                <w:rFonts w:ascii="宋体" w:hAnsi="宋体"/>
                <w:color w:val="auto"/>
                <w:kern w:val="0"/>
                <w:szCs w:val="21"/>
                <w:highlight w:val="none"/>
              </w:rPr>
              <w:t>要求</w:t>
            </w:r>
          </w:p>
        </w:tc>
        <w:tc>
          <w:tcPr>
            <w:tcW w:w="6490" w:type="dxa"/>
            <w:vAlign w:val="center"/>
          </w:tcPr>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具体要求：</w:t>
            </w:r>
          </w:p>
          <w:p>
            <w:pPr>
              <w:adjustRightInd w:val="0"/>
              <w:snapToGrid w:val="0"/>
              <w:spacing w:line="400" w:lineRule="exact"/>
              <w:ind w:firstLine="420" w:firstLineChars="200"/>
              <w:rPr>
                <w:rStyle w:val="60"/>
                <w:color w:val="auto"/>
                <w:highlight w:val="none"/>
              </w:rPr>
            </w:pPr>
            <w:r>
              <w:rPr>
                <w:rFonts w:ascii="宋体" w:hAnsi="宋体"/>
                <w:color w:val="auto"/>
                <w:szCs w:val="21"/>
                <w:highlight w:val="none"/>
              </w:rPr>
              <w:t>应按照第八章规定格式装订成册，</w:t>
            </w:r>
            <w:r>
              <w:rPr>
                <w:rFonts w:hint="eastAsia" w:asciiTheme="minorEastAsia" w:hAnsiTheme="minorEastAsia" w:eastAsiaTheme="minorEastAsia" w:cstheme="minorEastAsia"/>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ascii="宋体" w:hAnsi="宋体"/>
                <w:color w:val="auto"/>
                <w:szCs w:val="21"/>
                <w:highlight w:val="none"/>
              </w:rPr>
              <w:t>，标注页码。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pPr>
              <w:snapToGrid w:val="0"/>
              <w:spacing w:line="400" w:lineRule="exact"/>
              <w:jc w:val="center"/>
              <w:rPr>
                <w:rFonts w:ascii="宋体" w:hAnsi="宋体"/>
                <w:color w:val="auto"/>
                <w:spacing w:val="-6"/>
                <w:kern w:val="0"/>
                <w:szCs w:val="21"/>
                <w:highlight w:val="none"/>
              </w:rPr>
            </w:pPr>
            <w:r>
              <w:rPr>
                <w:rFonts w:ascii="宋体" w:hAnsi="宋体"/>
                <w:color w:val="auto"/>
                <w:spacing w:val="-6"/>
                <w:kern w:val="0"/>
                <w:szCs w:val="21"/>
                <w:highlight w:val="none"/>
              </w:rPr>
              <w:t>投标文件的密封</w:t>
            </w:r>
          </w:p>
        </w:tc>
        <w:tc>
          <w:tcPr>
            <w:tcW w:w="6490" w:type="dxa"/>
            <w:vAlign w:val="center"/>
          </w:tcPr>
          <w:p>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投标文件袋使用“投标文件”大袋。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ascii="宋体" w:hAnsi="宋体"/>
                <w:color w:val="auto"/>
                <w:szCs w:val="21"/>
                <w:highlight w:val="none"/>
              </w:rPr>
              <w:t xml:space="preserve"> </w:t>
            </w:r>
            <w:r>
              <w:rPr>
                <w:rFonts w:ascii="宋体" w:hAnsi="宋体"/>
                <w:color w:val="auto"/>
                <w:kern w:val="0"/>
                <w:szCs w:val="21"/>
                <w:highlight w:val="none"/>
              </w:rPr>
              <w:t>“投标文件”袋封套上写明如下内容：</w:t>
            </w:r>
          </w:p>
          <w:p>
            <w:pPr>
              <w:snapToGrid w:val="0"/>
              <w:spacing w:line="400" w:lineRule="exact"/>
              <w:ind w:firstLine="420" w:firstLineChars="200"/>
              <w:rPr>
                <w:rFonts w:ascii="宋体" w:hAnsi="宋体"/>
                <w:color w:val="auto"/>
                <w:kern w:val="0"/>
                <w:szCs w:val="21"/>
                <w:highlight w:val="none"/>
                <w:u w:val="single"/>
              </w:rPr>
            </w:pPr>
            <w:r>
              <w:rPr>
                <w:rFonts w:ascii="宋体" w:hAnsi="宋体"/>
                <w:color w:val="auto"/>
                <w:kern w:val="0"/>
                <w:szCs w:val="21"/>
                <w:highlight w:val="none"/>
              </w:rPr>
              <w:t>招标人名称：</w:t>
            </w:r>
            <w:r>
              <w:rPr>
                <w:rFonts w:hint="eastAsia" w:ascii="宋体" w:hAnsi="宋体"/>
                <w:color w:val="auto"/>
                <w:kern w:val="0"/>
                <w:szCs w:val="21"/>
                <w:highlight w:val="none"/>
                <w:u w:val="single"/>
              </w:rPr>
              <w:t xml:space="preserve">            </w:t>
            </w:r>
          </w:p>
          <w:p>
            <w:pPr>
              <w:snapToGrid w:val="0"/>
              <w:spacing w:line="400" w:lineRule="exact"/>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投标人名称：</w:t>
            </w:r>
            <w:r>
              <w:rPr>
                <w:rFonts w:hint="eastAsia" w:ascii="宋体" w:hAnsi="宋体"/>
                <w:color w:val="auto"/>
                <w:kern w:val="0"/>
                <w:szCs w:val="21"/>
                <w:highlight w:val="none"/>
                <w:u w:val="single"/>
              </w:rPr>
              <w:t xml:space="preserve">            </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u w:val="single"/>
              </w:rPr>
              <w:t xml:space="preserve">                （项目名称）</w:t>
            </w:r>
            <w:r>
              <w:rPr>
                <w:rFonts w:ascii="宋体" w:hAnsi="宋体"/>
                <w:color w:val="auto"/>
                <w:kern w:val="0"/>
                <w:szCs w:val="21"/>
                <w:highlight w:val="none"/>
              </w:rPr>
              <w:t>投标文件</w:t>
            </w:r>
          </w:p>
          <w:p>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递交投标文件地点</w:t>
            </w:r>
          </w:p>
        </w:tc>
        <w:tc>
          <w:tcPr>
            <w:tcW w:w="6490"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bCs/>
                <w:color w:val="auto"/>
                <w:szCs w:val="21"/>
                <w:highlight w:val="none"/>
                <w:lang w:val="en-US"/>
              </w:rPr>
            </w:pPr>
            <w:r>
              <w:rPr>
                <w:rFonts w:hint="eastAsia" w:ascii="宋体" w:hAnsi="宋体"/>
                <w:snapToGrid w:val="0"/>
                <w:color w:val="auto"/>
                <w:kern w:val="0"/>
                <w:szCs w:val="21"/>
                <w:highlight w:val="none"/>
                <w:u w:val="single"/>
              </w:rPr>
              <w:t>垫江县县级机关3号综合楼</w:t>
            </w:r>
            <w:r>
              <w:rPr>
                <w:rFonts w:hint="eastAsia" w:ascii="宋体" w:hAnsi="宋体"/>
                <w:snapToGrid w:val="0"/>
                <w:color w:val="auto"/>
                <w:kern w:val="0"/>
                <w:szCs w:val="21"/>
                <w:highlight w:val="none"/>
                <w:u w:val="single"/>
                <w:lang w:eastAsia="zh-CN"/>
              </w:rPr>
              <w:t>重庆明月山建设开发有限公司</w:t>
            </w:r>
            <w:r>
              <w:rPr>
                <w:rFonts w:hint="eastAsia" w:ascii="宋体" w:hAnsi="宋体"/>
                <w:snapToGrid w:val="0"/>
                <w:color w:val="auto"/>
                <w:kern w:val="0"/>
                <w:szCs w:val="21"/>
                <w:highlight w:val="none"/>
                <w:u w:val="single"/>
                <w:lang w:val="en-US" w:eastAsia="zh-CN"/>
              </w:rPr>
              <w:t>601#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是否退还投标文件</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pPr>
              <w:snapToGrid w:val="0"/>
              <w:spacing w:line="400" w:lineRule="exact"/>
              <w:rPr>
                <w:rFonts w:ascii="宋体" w:hAnsi="宋体"/>
                <w:color w:val="auto"/>
                <w:kern w:val="0"/>
                <w:szCs w:val="21"/>
                <w:highlight w:val="none"/>
              </w:rPr>
            </w:pPr>
            <w:r>
              <w:rPr>
                <w:rFonts w:ascii="宋体" w:hAnsi="宋体"/>
                <w:color w:val="auto"/>
                <w:kern w:val="0"/>
                <w:szCs w:val="21"/>
                <w:highlight w:val="none"/>
              </w:rPr>
              <w:t>开标时间：同投标截止时间</w:t>
            </w:r>
          </w:p>
          <w:p>
            <w:pPr>
              <w:snapToGrid w:val="0"/>
              <w:spacing w:line="400" w:lineRule="exact"/>
              <w:rPr>
                <w:rFonts w:hint="default" w:ascii="宋体" w:hAnsi="宋体"/>
                <w:bCs/>
                <w:color w:val="auto"/>
                <w:szCs w:val="21"/>
                <w:highlight w:val="none"/>
                <w:lang w:val="en-US"/>
              </w:rPr>
            </w:pPr>
            <w:r>
              <w:rPr>
                <w:rFonts w:ascii="宋体" w:hAnsi="宋体"/>
                <w:color w:val="auto"/>
                <w:kern w:val="0"/>
                <w:szCs w:val="21"/>
                <w:highlight w:val="none"/>
              </w:rPr>
              <w:t>开标地点：</w:t>
            </w:r>
            <w:r>
              <w:rPr>
                <w:rFonts w:hint="eastAsia" w:ascii="宋体" w:hAnsi="宋体"/>
                <w:snapToGrid w:val="0"/>
                <w:color w:val="auto"/>
                <w:kern w:val="0"/>
                <w:szCs w:val="21"/>
                <w:highlight w:val="none"/>
                <w:u w:val="single"/>
              </w:rPr>
              <w:t>垫江县县级机关3号综合楼</w:t>
            </w:r>
            <w:r>
              <w:rPr>
                <w:rFonts w:hint="eastAsia" w:ascii="宋体" w:hAnsi="宋体"/>
                <w:snapToGrid w:val="0"/>
                <w:color w:val="auto"/>
                <w:kern w:val="0"/>
                <w:szCs w:val="21"/>
                <w:highlight w:val="none"/>
                <w:u w:val="single"/>
                <w:lang w:eastAsia="zh-CN"/>
              </w:rPr>
              <w:t>重庆明月山建设开发有限公司</w:t>
            </w:r>
            <w:r>
              <w:rPr>
                <w:rFonts w:hint="eastAsia" w:ascii="宋体" w:hAnsi="宋体"/>
                <w:snapToGrid w:val="0"/>
                <w:color w:val="auto"/>
                <w:kern w:val="0"/>
                <w:szCs w:val="21"/>
                <w:highlight w:val="none"/>
                <w:u w:val="single"/>
                <w:lang w:val="en-US" w:eastAsia="zh-CN"/>
              </w:rPr>
              <w:t>601#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5.2</w:t>
            </w:r>
          </w:p>
        </w:tc>
        <w:tc>
          <w:tcPr>
            <w:tcW w:w="1644" w:type="dxa"/>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开标程序</w:t>
            </w:r>
          </w:p>
        </w:tc>
        <w:tc>
          <w:tcPr>
            <w:tcW w:w="6490" w:type="dxa"/>
            <w:vAlign w:val="center"/>
          </w:tcPr>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核验参加开标会议的投标人的法定代表人或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公布在投标截止时间前递交投标文件的投标人名称</w:t>
            </w:r>
            <w:r>
              <w:rPr>
                <w:rFonts w:hint="eastAsia" w:ascii="宋体" w:hAnsi="宋体"/>
                <w:color w:val="auto"/>
                <w:szCs w:val="21"/>
                <w:highlight w:val="none"/>
              </w:rPr>
              <w:t>。</w:t>
            </w:r>
          </w:p>
          <w:p>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投标文件的密封检查：投标人可对自己的投标文件封装情况进行检查，以确认其投标文件密封完好。</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汇总投标保证金交纳情况</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6.1 展示以电子转账方式递交投标保证金的保证金交纳情况。</w:t>
            </w:r>
          </w:p>
          <w:p>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，采用经评审最低投标价法的还需计算最高限价的85%数值，以便评标委员会评审。</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逐单位随机开启投标文件。开启投标文件大袋；公布投标人名称、投标报价、质量要求、工期及其他内容并记录在案</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 投标人对开标有异议的，应当场提出，由招标人或代理机构当场答复，并记录到开标记录表中。异议处理完毕后，汇总开标情况，打印开标记录表。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ascii="宋体" w:hAnsi="宋体"/>
                <w:color w:val="auto"/>
                <w:szCs w:val="21"/>
                <w:highlight w:val="none"/>
              </w:rPr>
              <w:t>. 投标人代表、招标人代表、监标人、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ascii="宋体" w:hAnsi="宋体"/>
                <w:color w:val="auto"/>
                <w:szCs w:val="21"/>
                <w:highlight w:val="none"/>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pPr>
              <w:autoSpaceDE w:val="0"/>
              <w:autoSpaceDN w:val="0"/>
              <w:adjustRightInd w:val="0"/>
              <w:snapToGrid w:val="0"/>
              <w:spacing w:line="400" w:lineRule="exact"/>
              <w:ind w:firstLine="436" w:firstLineChars="200"/>
              <w:rPr>
                <w:rFonts w:ascii="宋体" w:hAnsi="宋体"/>
                <w:color w:val="auto"/>
                <w:kern w:val="0"/>
                <w:szCs w:val="21"/>
                <w:highlight w:val="none"/>
              </w:rPr>
            </w:pPr>
            <w:r>
              <w:rPr>
                <w:rFonts w:hint="eastAsia" w:ascii="宋体" w:hAnsi="宋体"/>
                <w:color w:val="auto"/>
                <w:spacing w:val="4"/>
                <w:kern w:val="0"/>
                <w:szCs w:val="21"/>
                <w:highlight w:val="none"/>
              </w:rPr>
              <w:t>由招标人按法律法规及相关规定依法组建评标委员会</w:t>
            </w:r>
            <w:r>
              <w:rPr>
                <w:rFonts w:hint="eastAsia"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是</w:t>
            </w:r>
          </w:p>
          <w:p>
            <w:pPr>
              <w:snapToGrid w:val="0"/>
              <w:spacing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否，推荐经评审合格的</w:t>
            </w:r>
            <w:r>
              <w:rPr>
                <w:rFonts w:hint="eastAsia" w:ascii="宋体" w:hAnsi="宋体"/>
                <w:color w:val="auto"/>
                <w:kern w:val="0"/>
                <w:szCs w:val="21"/>
                <w:highlight w:val="none"/>
              </w:rPr>
              <w:t>报价</w:t>
            </w:r>
            <w:r>
              <w:rPr>
                <w:rFonts w:ascii="宋体" w:hAnsi="宋体"/>
                <w:color w:val="auto"/>
                <w:kern w:val="0"/>
                <w:szCs w:val="21"/>
                <w:highlight w:val="none"/>
              </w:rPr>
              <w:t>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中标公示</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s="宋体"/>
                <w:color w:val="auto"/>
                <w:szCs w:val="21"/>
                <w:highlight w:val="none"/>
              </w:rPr>
              <w:t>招标人在收到评标报告后3日内将评标结果在</w:t>
            </w:r>
            <w:r>
              <w:rPr>
                <w:rFonts w:hint="eastAsia" w:ascii="宋体" w:hAnsi="宋体" w:cs="宋体"/>
                <w:color w:val="auto"/>
                <w:szCs w:val="21"/>
                <w:highlight w:val="none"/>
                <w:u w:val="single"/>
                <w:lang w:eastAsia="zh-CN"/>
              </w:rPr>
              <w:t>垫江县人民政府网</w:t>
            </w:r>
            <w:r>
              <w:rPr>
                <w:rFonts w:hint="eastAsia" w:ascii="宋体" w:hAnsi="宋体" w:cs="宋体"/>
                <w:color w:val="auto"/>
                <w:szCs w:val="21"/>
                <w:highlight w:val="none"/>
              </w:rPr>
              <w:t>上进行公示，公示期为3日。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pPr>
              <w:numPr>
                <w:ilvl w:val="0"/>
                <w:numId w:val="1"/>
              </w:num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pPr>
              <w:numPr>
                <w:ilvl w:val="0"/>
                <w:numId w:val="0"/>
              </w:num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pPr>
              <w:snapToGrid w:val="0"/>
              <w:spacing w:line="400" w:lineRule="exact"/>
              <w:ind w:firstLine="420" w:firstLineChars="200"/>
              <w:rPr>
                <w:rFonts w:hint="eastAsia" w:ascii="宋体" w:hAnsi="宋体"/>
                <w:color w:val="auto"/>
                <w:kern w:val="0"/>
                <w:szCs w:val="21"/>
                <w:highlight w:val="none"/>
                <w:lang w:val="en-US" w:eastAsia="zh-CN"/>
              </w:rPr>
            </w:pPr>
            <w:r>
              <w:rPr>
                <w:rFonts w:hint="eastAsia" w:ascii="宋体" w:hAnsi="宋体"/>
                <w:color w:val="auto"/>
                <w:kern w:val="0"/>
                <w:szCs w:val="21"/>
                <w:highlight w:val="none"/>
              </w:rPr>
              <w:t>（1）履约担保的形式：现金或</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保函或现金+</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保函的组合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保函包括银行保函、保证保险和担保保函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其示范文本详见第四章合同条款及格式附件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中标人提交的履约保函应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szCs w:val="21"/>
                <w:highlight w:val="none"/>
                <w:lang w:val="en-US" w:eastAsia="zh-CN"/>
              </w:rPr>
              <w:t>。</w:t>
            </w:r>
          </w:p>
          <w:p>
            <w:pPr>
              <w:snapToGrid w:val="0"/>
              <w:spacing w:line="400" w:lineRule="exact"/>
              <w:ind w:firstLine="420" w:firstLineChars="200"/>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（2）具体要求：履约保函</w:t>
            </w:r>
            <w:r>
              <w:rPr>
                <w:rFonts w:hint="eastAsia" w:ascii="宋体" w:hAnsi="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中标人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履约保函（包括纸质保函或电子保函）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履约保函为纸质保函的，纸质保函应注明在</w:t>
            </w:r>
            <w:r>
              <w:rPr>
                <w:rFonts w:hint="eastAsia" w:ascii="宋体" w:hAnsi="宋体"/>
                <w:color w:val="auto"/>
                <w:kern w:val="0"/>
                <w:szCs w:val="21"/>
                <w:highlight w:val="none"/>
              </w:rPr>
              <w:t>重庆市辖区范围内的核验地址和核验方式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中标人对所提交的履约保函的真实性、合法性、有效性负责。</w:t>
            </w:r>
          </w:p>
          <w:p>
            <w:pPr>
              <w:snapToGrid w:val="0"/>
              <w:spacing w:line="400" w:lineRule="exact"/>
              <w:ind w:firstLine="420" w:firstLineChars="200"/>
              <w:rPr>
                <w:rFonts w:hint="eastAsia" w:ascii="宋体" w:hAnsi="宋体"/>
                <w:color w:val="auto"/>
                <w:kern w:val="0"/>
                <w:szCs w:val="21"/>
                <w:highlight w:val="none"/>
                <w:lang w:eastAsia="zh-CN"/>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）履约担保的金额：</w:t>
            </w:r>
            <w:r>
              <w:rPr>
                <w:rFonts w:hint="eastAsia" w:ascii="宋体" w:hAnsi="宋体"/>
                <w:color w:val="auto"/>
                <w:kern w:val="0"/>
                <w:szCs w:val="21"/>
                <w:highlight w:val="none"/>
                <w:u w:val="single"/>
              </w:rPr>
              <w:t xml:space="preserve"> 中标合同金额的</w:t>
            </w:r>
            <w:r>
              <w:rPr>
                <w:rFonts w:hint="eastAsia" w:ascii="宋体" w:hAnsi="宋体"/>
                <w:color w:val="auto"/>
                <w:kern w:val="0"/>
                <w:szCs w:val="21"/>
                <w:highlight w:val="none"/>
                <w:u w:val="single"/>
                <w:lang w:val="en-US" w:eastAsia="zh-CN"/>
              </w:rPr>
              <w:t>10%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。①红名单优惠：红名单中的中标人履约担保金额为应缴纳金额的</w:t>
            </w:r>
            <w:r>
              <w:rPr>
                <w:rFonts w:hint="eastAsia"/>
                <w:color w:val="auto"/>
                <w:highlight w:val="none"/>
                <w:u w:val="single"/>
              </w:rPr>
              <w:t xml:space="preserve"> </w:t>
            </w:r>
            <w:r>
              <w:rPr>
                <w:rFonts w:hint="eastAsia"/>
                <w:color w:val="auto"/>
                <w:highlight w:val="none"/>
                <w:u w:val="single"/>
                <w:lang w:val="en-US" w:eastAsia="zh-CN"/>
              </w:rPr>
              <w:t>80%</w:t>
            </w:r>
            <w:r>
              <w:rPr>
                <w:rFonts w:hint="eastAsia"/>
                <w:color w:val="auto"/>
                <w:highlight w:val="none"/>
                <w:u w:val="single"/>
              </w:rPr>
              <w:t xml:space="preserve">  </w:t>
            </w:r>
            <w:r>
              <w:rPr>
                <w:rFonts w:hint="eastAsia" w:ascii="宋体" w:hAnsi="宋体"/>
                <w:color w:val="auto"/>
                <w:kern w:val="0"/>
                <w:szCs w:val="21"/>
                <w:highlight w:val="none"/>
                <w:lang w:eastAsia="zh-CN"/>
              </w:rPr>
              <w:t>。</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②红名单认定标准：</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非联合体中标的，须中标人所属红名单类别包含在招标范围内；中标人是否属于红名单，以</w:t>
            </w:r>
            <w:r>
              <w:rPr>
                <w:rFonts w:hint="eastAsia" w:ascii="宋体" w:hAnsi="宋体"/>
                <w:color w:val="auto"/>
                <w:kern w:val="0"/>
                <w:szCs w:val="21"/>
                <w:highlight w:val="none"/>
                <w:u w:val="single"/>
              </w:rPr>
              <w:t>开标环节信用状况查询结果为准</w:t>
            </w:r>
            <w:r>
              <w:rPr>
                <w:rFonts w:hint="eastAsia" w:ascii="宋体" w:hAnsi="宋体"/>
                <w:color w:val="auto"/>
                <w:kern w:val="0"/>
                <w:szCs w:val="21"/>
                <w:highlight w:val="none"/>
              </w:rPr>
              <w:t>为准。</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）履约担保的提交时间：见专用合同条款。</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）履约担保的期限：见专用合同条款。</w:t>
            </w:r>
          </w:p>
          <w:p>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1.按投标人须知第8.1（1）执行；</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2.按投标人须知第8.1（2）执行；</w:t>
            </w:r>
          </w:p>
          <w:p>
            <w:pPr>
              <w:snapToGrid w:val="0"/>
              <w:spacing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按投标人须知第8.1（3）执行；</w:t>
            </w:r>
          </w:p>
          <w:p>
            <w:pPr>
              <w:snapToGrid w:val="0"/>
              <w:spacing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按投标人须知第8.1（4）执行</w:t>
            </w:r>
            <w:r>
              <w:rPr>
                <w:rFonts w:hint="eastAsia" w:ascii="宋体" w:hAnsi="宋体"/>
                <w:color w:val="auto"/>
                <w:kern w:val="0"/>
                <w:szCs w:val="21"/>
                <w:highlight w:val="none"/>
              </w:rPr>
              <w:t>。</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pPr>
              <w:snapToGrid w:val="0"/>
              <w:spacing w:line="400" w:lineRule="exact"/>
              <w:jc w:val="center"/>
              <w:rPr>
                <w:color w:val="auto"/>
                <w:highlight w:val="none"/>
              </w:rPr>
            </w:pPr>
            <w:bookmarkStart w:id="96" w:name="_Toc13210670"/>
            <w:bookmarkStart w:id="97" w:name="_Toc536628250"/>
            <w:bookmarkStart w:id="98" w:name="_Toc430530434"/>
            <w:bookmarkStart w:id="99" w:name="_Toc509218709"/>
            <w:bookmarkStart w:id="100" w:name="_Toc16930431"/>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96"/>
            <w:bookmarkEnd w:id="97"/>
            <w:bookmarkEnd w:id="98"/>
            <w:bookmarkEnd w:id="99"/>
            <w:bookmarkEnd w:id="100"/>
          </w:p>
        </w:tc>
        <w:tc>
          <w:tcPr>
            <w:tcW w:w="6490" w:type="dxa"/>
            <w:vAlign w:val="center"/>
          </w:tcPr>
          <w:p>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10.</w:t>
            </w:r>
            <w:r>
              <w:rPr>
                <w:rFonts w:hint="eastAsia" w:ascii="宋体" w:hAnsi="宋体"/>
                <w:color w:val="auto"/>
                <w:kern w:val="0"/>
                <w:szCs w:val="21"/>
                <w:highlight w:val="none"/>
                <w:lang w:val="en-US" w:eastAsia="zh-CN"/>
              </w:rPr>
              <w:t>1</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490" w:type="dxa"/>
            <w:vAlign w:val="center"/>
          </w:tcPr>
          <w:p>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投标人或者其他利害关系人就本项目的</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（含澄清修改）、开标情况、</w:t>
            </w:r>
            <w:r>
              <w:rPr>
                <w:rFonts w:ascii="宋体" w:hAnsi="宋体"/>
                <w:color w:val="auto"/>
                <w:kern w:val="0"/>
                <w:szCs w:val="21"/>
                <w:highlight w:val="none"/>
              </w:rPr>
              <w:t>评标结果等事项提出投诉</w:t>
            </w:r>
            <w:r>
              <w:rPr>
                <w:rFonts w:hint="eastAsia" w:ascii="宋体" w:hAnsi="宋体"/>
                <w:color w:val="auto"/>
                <w:kern w:val="0"/>
                <w:szCs w:val="21"/>
                <w:highlight w:val="none"/>
              </w:rPr>
              <w:t>的</w:t>
            </w:r>
            <w:r>
              <w:rPr>
                <w:rFonts w:ascii="宋体" w:hAnsi="宋体"/>
                <w:color w:val="auto"/>
                <w:kern w:val="0"/>
                <w:szCs w:val="21"/>
                <w:highlight w:val="none"/>
              </w:rPr>
              <w:t>，应当先向招标人提出异议；招标人应当在规定时间内答复；对招标人的答复不满意，可向行政监督部门投诉。</w:t>
            </w:r>
          </w:p>
          <w:p>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（1）异议人或投诉人的名称、地址及有效联系方式；</w:t>
            </w:r>
          </w:p>
          <w:p>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（2）被异议人或被投诉人的名称、地址及有效联系方式；</w:t>
            </w:r>
          </w:p>
          <w:p>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（4）请求及主张；</w:t>
            </w:r>
          </w:p>
          <w:p>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w:t>
            </w:r>
            <w:r>
              <w:rPr>
                <w:rFonts w:ascii="宋体" w:hAnsi="宋体"/>
                <w:color w:val="auto"/>
                <w:kern w:val="0"/>
                <w:szCs w:val="21"/>
                <w:highlight w:val="none"/>
              </w:rPr>
              <w:t>公</w:t>
            </w:r>
            <w:r>
              <w:rPr>
                <w:rFonts w:hint="eastAsia" w:ascii="宋体" w:hAnsi="宋体"/>
                <w:color w:val="auto"/>
                <w:kern w:val="0"/>
                <w:szCs w:val="21"/>
                <w:highlight w:val="none"/>
              </w:rPr>
              <w:t>章；异议人或投诉人是其他组织或者自然人的，异议书或投诉书必须由其主要负责人签名或者异议人（或投诉人）本人签名，并附有效身份证明。如有关材料是外文，应当同时提供中文译本。</w:t>
            </w:r>
          </w:p>
          <w:p>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《关于印发&lt;重庆市招标投标活动投诉处理实施细则（修订）&gt;的通知》（渝公管发〔2021〕54号）</w:t>
            </w:r>
            <w:r>
              <w:rPr>
                <w:rFonts w:ascii="宋体" w:hAnsi="宋体"/>
                <w:color w:val="auto"/>
                <w:kern w:val="0"/>
                <w:szCs w:val="21"/>
                <w:highlight w:val="none"/>
              </w:rPr>
              <w:t>等法律法规文件处理投诉。</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 根据《重庆市工程建设领域招标投标信用管理暂行办法》的规定，投标人捏造事实、伪造材料，或者以非法手段获取证明材料进行质疑或者投诉的，将被列入黑名单管理；</w:t>
            </w:r>
            <w:r>
              <w:rPr>
                <w:rFonts w:ascii="宋体" w:hAnsi="宋体"/>
                <w:color w:val="auto"/>
                <w:kern w:val="0"/>
                <w:szCs w:val="21"/>
                <w:highlight w:val="none"/>
              </w:rPr>
              <w:t>给他人造成损失的，依法承担赔偿责任。</w:t>
            </w:r>
          </w:p>
          <w:p>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4. 异议受理单位：</w:t>
            </w:r>
            <w:r>
              <w:rPr>
                <w:rFonts w:hint="eastAsia" w:ascii="宋体" w:hAnsi="宋体"/>
                <w:color w:val="auto"/>
                <w:kern w:val="0"/>
                <w:szCs w:val="21"/>
                <w:highlight w:val="none"/>
                <w:lang w:eastAsia="zh-CN"/>
              </w:rPr>
              <w:t>重庆明月山建设开发有限公司</w:t>
            </w:r>
          </w:p>
          <w:p>
            <w:pPr>
              <w:snapToGrid w:val="0"/>
              <w:spacing w:line="400" w:lineRule="exact"/>
              <w:ind w:firstLine="420" w:firstLineChars="200"/>
              <w:rPr>
                <w:rFonts w:hint="eastAsia" w:ascii="宋体" w:hAnsi="宋体"/>
                <w:color w:val="auto"/>
                <w:kern w:val="0"/>
                <w:szCs w:val="21"/>
                <w:highlight w:val="none"/>
                <w:lang w:val="en-US"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023-81869659</w:t>
            </w:r>
          </w:p>
          <w:p>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投诉受理部门：</w:t>
            </w:r>
            <w:r>
              <w:rPr>
                <w:rFonts w:hint="eastAsia" w:ascii="宋体" w:hAnsi="宋体"/>
                <w:color w:val="auto"/>
                <w:kern w:val="0"/>
                <w:szCs w:val="21"/>
                <w:highlight w:val="none"/>
                <w:lang w:eastAsia="zh-CN"/>
              </w:rPr>
              <w:t>重庆明月山建设开发有限公司</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023-81869659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工程量清单</w:t>
            </w:r>
          </w:p>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编制说明</w:t>
            </w:r>
          </w:p>
        </w:tc>
        <w:tc>
          <w:tcPr>
            <w:tcW w:w="6490" w:type="dxa"/>
            <w:vAlign w:val="center"/>
          </w:tcPr>
          <w:p>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3</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建筑</w:t>
            </w:r>
            <w:r>
              <w:rPr>
                <w:rFonts w:ascii="宋体" w:hAnsi="宋体"/>
                <w:color w:val="auto"/>
                <w:kern w:val="0"/>
                <w:szCs w:val="21"/>
                <w:highlight w:val="none"/>
              </w:rPr>
              <w:t>领域实施农民工工资专用账户相关</w:t>
            </w:r>
            <w:r>
              <w:rPr>
                <w:rFonts w:hint="eastAsia" w:ascii="宋体" w:hAnsi="宋体"/>
                <w:color w:val="auto"/>
                <w:kern w:val="0"/>
                <w:szCs w:val="21"/>
                <w:highlight w:val="none"/>
              </w:rPr>
              <w:t>要求</w:t>
            </w:r>
          </w:p>
        </w:tc>
        <w:tc>
          <w:tcPr>
            <w:tcW w:w="6490" w:type="dxa"/>
            <w:vAlign w:val="center"/>
          </w:tcPr>
          <w:p>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本项目在</w:t>
            </w:r>
            <w:r>
              <w:rPr>
                <w:rFonts w:ascii="宋体" w:hAnsi="宋体"/>
                <w:color w:val="auto"/>
                <w:kern w:val="0"/>
                <w:szCs w:val="21"/>
                <w:highlight w:val="none"/>
              </w:rPr>
              <w:t>实施过程中</w:t>
            </w:r>
            <w:r>
              <w:rPr>
                <w:rFonts w:hint="eastAsia" w:ascii="宋体" w:hAnsi="宋体"/>
                <w:color w:val="auto"/>
                <w:kern w:val="0"/>
                <w:szCs w:val="21"/>
                <w:highlight w:val="none"/>
              </w:rPr>
              <w:t>，中标人</w:t>
            </w:r>
            <w:r>
              <w:rPr>
                <w:rFonts w:ascii="宋体" w:hAnsi="宋体"/>
                <w:color w:val="auto"/>
                <w:kern w:val="0"/>
                <w:szCs w:val="21"/>
                <w:highlight w:val="none"/>
              </w:rPr>
              <w:t>必须执行</w:t>
            </w:r>
            <w:r>
              <w:rPr>
                <w:rFonts w:hint="eastAsia" w:ascii="宋体" w:hAnsi="宋体"/>
                <w:color w:val="auto"/>
                <w:kern w:val="0"/>
                <w:szCs w:val="21"/>
                <w:highlight w:val="none"/>
                <w:u w:val="single"/>
              </w:rPr>
              <w:t>《保障农民工工资支付条例》（中华人民共和国国务院令第724号）、《重庆市人民政府办公厅关于全面治理拖欠农民工工资问题的实施意见》（渝府办发〔2016〕101号）、《重庆市</w:t>
            </w:r>
            <w:r>
              <w:rPr>
                <w:rFonts w:ascii="宋体" w:hAnsi="宋体"/>
                <w:color w:val="auto"/>
                <w:kern w:val="0"/>
                <w:szCs w:val="21"/>
                <w:highlight w:val="none"/>
                <w:u w:val="single"/>
              </w:rPr>
              <w:t>城乡建设</w:t>
            </w:r>
            <w:r>
              <w:rPr>
                <w:rFonts w:hint="eastAsia" w:ascii="宋体" w:hAnsi="宋体"/>
                <w:color w:val="auto"/>
                <w:kern w:val="0"/>
                <w:szCs w:val="21"/>
                <w:highlight w:val="none"/>
                <w:u w:val="single"/>
              </w:rPr>
              <w:t>委员会</w:t>
            </w:r>
            <w:r>
              <w:rPr>
                <w:rFonts w:ascii="宋体" w:hAnsi="宋体"/>
                <w:color w:val="auto"/>
                <w:kern w:val="0"/>
                <w:szCs w:val="21"/>
                <w:highlight w:val="none"/>
                <w:u w:val="single"/>
              </w:rPr>
              <w:t>、中国人民银行重庆营业管理部、中国银行业</w:t>
            </w:r>
            <w:r>
              <w:rPr>
                <w:rFonts w:hint="eastAsia" w:ascii="宋体" w:hAnsi="宋体"/>
                <w:color w:val="auto"/>
                <w:kern w:val="0"/>
                <w:szCs w:val="21"/>
                <w:highlight w:val="none"/>
                <w:u w:val="single"/>
              </w:rPr>
              <w:t>监督</w:t>
            </w:r>
            <w:r>
              <w:rPr>
                <w:rFonts w:ascii="宋体" w:hAnsi="宋体"/>
                <w:color w:val="auto"/>
                <w:kern w:val="0"/>
                <w:szCs w:val="21"/>
                <w:highlight w:val="none"/>
                <w:u w:val="single"/>
              </w:rPr>
              <w:t>管理委员会重庆监管局</w:t>
            </w:r>
            <w:r>
              <w:rPr>
                <w:rFonts w:hint="eastAsia" w:ascii="宋体" w:hAnsi="宋体"/>
                <w:color w:val="auto"/>
                <w:kern w:val="0"/>
                <w:szCs w:val="21"/>
                <w:highlight w:val="none"/>
                <w:u w:val="single"/>
              </w:rPr>
              <w:t>关于</w:t>
            </w:r>
            <w:r>
              <w:rPr>
                <w:rFonts w:ascii="宋体" w:hAnsi="宋体"/>
                <w:color w:val="auto"/>
                <w:kern w:val="0"/>
                <w:szCs w:val="21"/>
                <w:highlight w:val="none"/>
                <w:u w:val="single"/>
              </w:rPr>
              <w:t>建筑领域实施农民工工资专用账户管理及银行代发制度（</w:t>
            </w:r>
            <w:r>
              <w:rPr>
                <w:rFonts w:hint="eastAsia" w:ascii="宋体" w:hAnsi="宋体"/>
                <w:color w:val="auto"/>
                <w:kern w:val="0"/>
                <w:szCs w:val="21"/>
                <w:highlight w:val="none"/>
                <w:u w:val="single"/>
              </w:rPr>
              <w:t>试行</w:t>
            </w:r>
            <w:r>
              <w:rPr>
                <w:rFonts w:ascii="宋体" w:hAnsi="宋体"/>
                <w:color w:val="auto"/>
                <w:kern w:val="0"/>
                <w:szCs w:val="21"/>
                <w:highlight w:val="none"/>
                <w:u w:val="single"/>
              </w:rPr>
              <w:t>）</w:t>
            </w:r>
            <w:r>
              <w:rPr>
                <w:rFonts w:hint="eastAsia" w:ascii="宋体" w:hAnsi="宋体"/>
                <w:color w:val="auto"/>
                <w:kern w:val="0"/>
                <w:szCs w:val="21"/>
                <w:highlight w:val="none"/>
                <w:u w:val="single"/>
              </w:rPr>
              <w:t>的</w:t>
            </w:r>
            <w:r>
              <w:rPr>
                <w:rFonts w:ascii="宋体" w:hAnsi="宋体"/>
                <w:color w:val="auto"/>
                <w:kern w:val="0"/>
                <w:szCs w:val="21"/>
                <w:highlight w:val="none"/>
                <w:u w:val="single"/>
              </w:rPr>
              <w:t>通知</w:t>
            </w:r>
            <w:r>
              <w:rPr>
                <w:rFonts w:hint="eastAsia" w:ascii="宋体" w:hAnsi="宋体"/>
                <w:color w:val="auto"/>
                <w:kern w:val="0"/>
                <w:szCs w:val="21"/>
                <w:highlight w:val="none"/>
                <w:u w:val="single"/>
              </w:rPr>
              <w:t>》（渝</w:t>
            </w:r>
            <w:r>
              <w:rPr>
                <w:rFonts w:ascii="宋体" w:hAnsi="宋体"/>
                <w:color w:val="auto"/>
                <w:kern w:val="0"/>
                <w:szCs w:val="21"/>
                <w:highlight w:val="none"/>
                <w:u w:val="single"/>
              </w:rPr>
              <w:t>建发</w:t>
            </w:r>
            <w:r>
              <w:rPr>
                <w:rFonts w:hint="eastAsia" w:ascii="宋体" w:hAnsi="宋体"/>
                <w:color w:val="auto"/>
                <w:kern w:val="0"/>
                <w:szCs w:val="21"/>
                <w:highlight w:val="none"/>
                <w:u w:val="single"/>
              </w:rPr>
              <w:t>〔201</w:t>
            </w:r>
            <w:r>
              <w:rPr>
                <w:rFonts w:ascii="宋体" w:hAnsi="宋体"/>
                <w:color w:val="auto"/>
                <w:kern w:val="0"/>
                <w:szCs w:val="21"/>
                <w:highlight w:val="none"/>
                <w:u w:val="single"/>
              </w:rPr>
              <w:t>7</w:t>
            </w:r>
            <w:r>
              <w:rPr>
                <w:rFonts w:hint="eastAsia" w:ascii="宋体" w:hAnsi="宋体"/>
                <w:color w:val="auto"/>
                <w:kern w:val="0"/>
                <w:szCs w:val="21"/>
                <w:highlight w:val="none"/>
                <w:u w:val="single"/>
              </w:rPr>
              <w:t>〕13号）、《重庆市住房和城乡建设委员会关于优化调整建筑领域农民工工资专用账户管理及工资保证金制度的通知》（渝建发〔2020〕7号 ）、《重庆市住房和城乡建设委员会关于调整市政及机电安装工程农民工工资专用账户人工费拨付比例有关事宜的通知》（渝建管〔2021〕211号 ）及《重庆市建设工程造价管理总站关于建筑领域农民工工资专户管理网络系统正式运行有关事宜的通知》</w:t>
            </w:r>
            <w:r>
              <w:rPr>
                <w:rFonts w:hint="eastAsia" w:ascii="宋体" w:hAnsi="宋体"/>
                <w:color w:val="auto"/>
                <w:kern w:val="0"/>
                <w:szCs w:val="21"/>
                <w:highlight w:val="none"/>
              </w:rPr>
              <w:t>，实行农民工工资专用账户管理及银行代发制度，填报相应的网络管理系统。</w:t>
            </w:r>
          </w:p>
          <w:p>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低价风险担保</w:t>
            </w:r>
          </w:p>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（采用经评审的最低投标价法适用）</w:t>
            </w:r>
          </w:p>
        </w:tc>
        <w:tc>
          <w:tcPr>
            <w:tcW w:w="6490" w:type="dxa"/>
            <w:vAlign w:val="center"/>
          </w:tcPr>
          <w:p>
            <w:pPr>
              <w:autoSpaceDE w:val="0"/>
              <w:autoSpaceDN w:val="0"/>
              <w:adjustRightInd w:val="0"/>
              <w:snapToGrid w:val="0"/>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1、低价风险担保：中标价低于最高限价的85%时提供，如不按时足额提供，视为中标人放弃中标，招标人有权不退还其投标保证金，</w:t>
            </w:r>
            <w:r>
              <w:rPr>
                <w:rFonts w:hint="eastAsia" w:asciiTheme="minorEastAsia" w:hAnsiTheme="minorEastAsia" w:eastAsiaTheme="minorEastAsia" w:cstheme="minorEastAsia"/>
                <w:color w:val="auto"/>
                <w:szCs w:val="21"/>
                <w:highlight w:val="none"/>
              </w:rPr>
              <w:t>并报招标投标行政监督部门按照信用管理办法的规定处理，对中标人的不良行为直接记12分，纳入重点关注名单。</w:t>
            </w:r>
          </w:p>
          <w:p>
            <w:pPr>
              <w:autoSpaceDE w:val="0"/>
              <w:autoSpaceDN w:val="0"/>
              <w:adjustRightInd w:val="0"/>
              <w:snapToGrid w:val="0"/>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2、中标人提供低价风险担保的形式、金额及期限：</w:t>
            </w:r>
          </w:p>
          <w:p>
            <w:pPr>
              <w:autoSpaceDE w:val="0"/>
              <w:autoSpaceDN w:val="0"/>
              <w:adjustRightInd w:val="0"/>
              <w:snapToGrid w:val="0"/>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（1）低价风险担保的形式：现金或银行保函或现金+银行保函的组合；采用银行保函形式的，保函必须为不可撤销、不可转让且见索即付的独立保函。</w:t>
            </w:r>
          </w:p>
          <w:p>
            <w:pPr>
              <w:autoSpaceDE w:val="0"/>
              <w:autoSpaceDN w:val="0"/>
              <w:adjustRightInd w:val="0"/>
              <w:snapToGrid w:val="0"/>
              <w:spacing w:line="400" w:lineRule="exact"/>
              <w:ind w:firstLine="420" w:firstLineChars="200"/>
              <w:rPr>
                <w:rFonts w:asciiTheme="minorEastAsia" w:hAnsiTheme="minorEastAsia" w:eastAsiaTheme="minorEastAsia" w:cstheme="minorEastAsia"/>
                <w:i/>
                <w:iCs/>
                <w:color w:val="auto"/>
                <w:kern w:val="0"/>
                <w:szCs w:val="21"/>
                <w:highlight w:val="none"/>
              </w:rPr>
            </w:pPr>
            <w:r>
              <w:rPr>
                <w:rFonts w:hint="eastAsia" w:asciiTheme="minorEastAsia" w:hAnsiTheme="minorEastAsia" w:eastAsiaTheme="minorEastAsia" w:cstheme="minorEastAsia"/>
                <w:color w:val="auto"/>
                <w:kern w:val="0"/>
                <w:szCs w:val="21"/>
                <w:highlight w:val="none"/>
              </w:rPr>
              <w:t>（2）低价风险担保的金额：（最高限价×85%-中标价）×3</w:t>
            </w:r>
            <w:r>
              <w:rPr>
                <w:rStyle w:val="60"/>
                <w:rFonts w:hint="eastAsia" w:asciiTheme="minorEastAsia" w:hAnsiTheme="minorEastAsia" w:eastAsiaTheme="minorEastAsia" w:cstheme="minorEastAsia"/>
                <w:color w:val="auto"/>
                <w:highlight w:val="none"/>
              </w:rPr>
              <w:t>，且最高不超过最高限价的85%。</w:t>
            </w:r>
          </w:p>
          <w:p>
            <w:pPr>
              <w:autoSpaceDE w:val="0"/>
              <w:autoSpaceDN w:val="0"/>
              <w:adjustRightInd w:val="0"/>
              <w:snapToGrid w:val="0"/>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（3）低价风险担保送达招标人的时间：</w:t>
            </w:r>
            <w:r>
              <w:rPr>
                <w:rFonts w:hint="eastAsia" w:asciiTheme="minorEastAsia" w:hAnsiTheme="minorEastAsia" w:eastAsiaTheme="minorEastAsia" w:cstheme="minorEastAsia"/>
                <w:color w:val="auto"/>
                <w:szCs w:val="21"/>
                <w:highlight w:val="none"/>
              </w:rPr>
              <w:t>从招标人中标通知书送达拟中标人之日起</w:t>
            </w:r>
            <w:r>
              <w:rPr>
                <w:rFonts w:hint="eastAsia" w:asciiTheme="minorEastAsia" w:hAnsiTheme="minorEastAsia" w:eastAsiaTheme="minorEastAsia" w:cstheme="minorEastAsia"/>
                <w:color w:val="auto"/>
                <w:szCs w:val="21"/>
                <w:highlight w:val="none"/>
                <w:u w:val="single"/>
              </w:rPr>
              <w:t>1</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u w:val="single"/>
              </w:rPr>
              <w:t>个</w:t>
            </w:r>
            <w:r>
              <w:rPr>
                <w:rFonts w:hint="eastAsia" w:asciiTheme="minorEastAsia" w:hAnsiTheme="minorEastAsia" w:eastAsiaTheme="minorEastAsia" w:cstheme="minorEastAsia"/>
                <w:color w:val="auto"/>
                <w:szCs w:val="21"/>
                <w:highlight w:val="none"/>
              </w:rPr>
              <w:t>工作日内</w:t>
            </w:r>
            <w:r>
              <w:rPr>
                <w:rFonts w:hint="eastAsia" w:asciiTheme="minorEastAsia" w:hAnsiTheme="minorEastAsia" w:eastAsiaTheme="minorEastAsia" w:cstheme="minorEastAsia"/>
                <w:color w:val="auto"/>
                <w:kern w:val="0"/>
                <w:szCs w:val="21"/>
                <w:highlight w:val="none"/>
              </w:rPr>
              <w:t>；</w:t>
            </w:r>
          </w:p>
          <w:p>
            <w:pPr>
              <w:autoSpaceDE w:val="0"/>
              <w:autoSpaceDN w:val="0"/>
              <w:adjustRightInd w:val="0"/>
              <w:snapToGrid w:val="0"/>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（4）中标人因自身原因未按中标通知书规定的时限与招标人签订合同的，招标人有权扣除其低价风险担保并取消中标资格。</w:t>
            </w:r>
          </w:p>
          <w:p>
            <w:pPr>
              <w:autoSpaceDE w:val="0"/>
              <w:autoSpaceDN w:val="0"/>
              <w:adjustRightInd w:val="0"/>
              <w:snapToGrid w:val="0"/>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（5）低价风险担保的期限：</w:t>
            </w:r>
            <w:r>
              <w:rPr>
                <w:rFonts w:hint="eastAsia" w:asciiTheme="minorEastAsia" w:hAnsiTheme="minorEastAsia" w:eastAsiaTheme="minorEastAsia" w:cstheme="minorEastAsia"/>
                <w:color w:val="auto"/>
                <w:kern w:val="0"/>
                <w:szCs w:val="21"/>
                <w:highlight w:val="none"/>
                <w:u w:val="single"/>
              </w:rPr>
              <w:t>自低价风险担保生效之日起至竣工验收合格之日止</w:t>
            </w:r>
            <w:r>
              <w:rPr>
                <w:rFonts w:hint="eastAsia" w:asciiTheme="minorEastAsia" w:hAnsiTheme="minorEastAsia" w:eastAsiaTheme="minorEastAsia" w:cstheme="minorEastAsia"/>
                <w:color w:val="auto"/>
                <w:kern w:val="0"/>
                <w:szCs w:val="21"/>
                <w:highlight w:val="none"/>
              </w:rPr>
              <w:t>。</w:t>
            </w:r>
          </w:p>
          <w:p>
            <w:pPr>
              <w:widowControl/>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3、低价风险担保的退还时间：见专用合同条款。</w:t>
            </w:r>
          </w:p>
          <w:p>
            <w:pPr>
              <w:widowControl/>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4、采用经评审最低投标价法的项目，拟中标人或者中标人放弃中标项目，无正当理由不与招标人签订合同，在签订合同时向招标人提出附加条件或者更改合同实质性内容，或者拒不按照</w:t>
            </w:r>
            <w:r>
              <w:rPr>
                <w:rFonts w:hint="eastAsia" w:asciiTheme="minorEastAsia" w:hAnsiTheme="minorEastAsia" w:eastAsiaTheme="minorEastAsia" w:cstheme="minorEastAsia"/>
                <w:color w:val="auto"/>
                <w:szCs w:val="21"/>
                <w:highlight w:val="none"/>
                <w:lang w:eastAsia="zh-CN"/>
              </w:rPr>
              <w:t>竞争性比选文件</w:t>
            </w:r>
            <w:r>
              <w:rPr>
                <w:rFonts w:hint="eastAsia" w:asciiTheme="minorEastAsia" w:hAnsiTheme="minorEastAsia" w:eastAsiaTheme="minorEastAsia" w:cstheme="minorEastAsia"/>
                <w:color w:val="auto"/>
                <w:szCs w:val="21"/>
                <w:highlight w:val="none"/>
              </w:rPr>
              <w:t>规定提交低价风险担保或履约担保的，取消其中标资格，投标保证金不予退还，给招标人造成的损失超过投标保证金数额的，拟中标人或中标人应对超过部分予以赔偿。</w:t>
            </w:r>
          </w:p>
          <w:p>
            <w:pPr>
              <w:widowControl/>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备注：当中标人或拟中标人未按时提交低价风险担保，且属于可以延长低价风险担保提交期限的特殊情形时，经招标人同意，可适当延长低价风险担保的提交期限。</w:t>
            </w:r>
          </w:p>
          <w:p>
            <w:pPr>
              <w:pStyle w:val="2"/>
              <w:widowControl/>
              <w:spacing w:line="400" w:lineRule="exact"/>
              <w:ind w:firstLine="420" w:firstLineChars="200"/>
              <w:rPr>
                <w:rFonts w:ascii="宋体" w:hAnsi="宋体"/>
                <w:color w:val="auto"/>
                <w:kern w:val="0"/>
                <w:szCs w:val="21"/>
                <w:highlight w:val="none"/>
              </w:rPr>
            </w:pPr>
            <w:r>
              <w:rPr>
                <w:rFonts w:hint="eastAsia" w:asciiTheme="minorEastAsia" w:hAnsiTheme="minorEastAsia" w:eastAsiaTheme="minorEastAsia" w:cstheme="minorEastAsia"/>
                <w:color w:val="auto"/>
                <w:szCs w:val="21"/>
                <w:highlight w:val="none"/>
              </w:rPr>
              <w:t>5、投标总报价低于最高限价85%的，投标人应在编制投标文件时，在投标函部分中递交低价风险担保提交承诺书。承诺书格式详见第八章投标文件格式。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5</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及投标争议的解释</w:t>
            </w:r>
          </w:p>
        </w:tc>
        <w:tc>
          <w:tcPr>
            <w:tcW w:w="6490" w:type="dxa"/>
            <w:vAlign w:val="center"/>
          </w:tcPr>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的评标标准和方法，以及资格审查和否决投标条款理解有争议的，应当作出不利于招标人的解释，但违背国家利益、社会公共利益的除外。</w:t>
            </w:r>
          </w:p>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default" w:ascii="宋体" w:hAnsi="宋体" w:eastAsia="宋体"/>
                <w:color w:val="auto"/>
                <w:kern w:val="0"/>
                <w:szCs w:val="21"/>
                <w:highlight w:val="none"/>
                <w:lang w:val="en-US" w:eastAsia="zh-CN"/>
              </w:rPr>
            </w:pPr>
            <w:bookmarkStart w:id="101" w:name="_Toc277082552"/>
            <w:bookmarkStart w:id="102" w:name="_Toc287607746"/>
            <w:bookmarkStart w:id="103" w:name="_Toc430530435"/>
            <w:bookmarkStart w:id="104" w:name="_Toc287620685"/>
            <w:bookmarkStart w:id="105" w:name="_Toc200513126"/>
            <w:bookmarkStart w:id="106" w:name="_Toc224103317"/>
            <w:r>
              <w:rPr>
                <w:rFonts w:hint="eastAsia" w:ascii="宋体" w:hAnsi="宋体"/>
                <w:color w:val="auto"/>
                <w:kern w:val="0"/>
                <w:szCs w:val="21"/>
                <w:highlight w:val="none"/>
                <w:lang w:val="en-US" w:eastAsia="zh-CN"/>
              </w:rPr>
              <w:t>10.6</w:t>
            </w:r>
          </w:p>
        </w:tc>
        <w:tc>
          <w:tcPr>
            <w:tcW w:w="1644" w:type="dxa"/>
            <w:vAlign w:val="center"/>
          </w:tcPr>
          <w:p>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其他</w:t>
            </w:r>
          </w:p>
        </w:tc>
        <w:tc>
          <w:tcPr>
            <w:tcW w:w="6490" w:type="dxa"/>
            <w:vAlign w:val="center"/>
          </w:tcPr>
          <w:p>
            <w:pPr>
              <w:autoSpaceDE w:val="0"/>
              <w:autoSpaceDN w:val="0"/>
              <w:adjustRightInd w:val="0"/>
              <w:snapToGrid w:val="0"/>
              <w:spacing w:line="400" w:lineRule="exact"/>
              <w:ind w:firstLine="420" w:firstLineChars="200"/>
              <w:rPr>
                <w:rFonts w:hint="default" w:ascii="宋体" w:hAnsi="宋体" w:eastAsia="宋体"/>
                <w:color w:val="auto"/>
                <w:kern w:val="0"/>
                <w:szCs w:val="21"/>
                <w:highlight w:val="none"/>
                <w:lang w:val="en-US" w:eastAsia="zh-CN"/>
              </w:rPr>
            </w:pPr>
            <w:r>
              <w:rPr>
                <w:rFonts w:hint="default" w:ascii="宋体" w:hAnsi="宋体" w:eastAsia="宋体"/>
                <w:color w:val="auto"/>
                <w:kern w:val="0"/>
                <w:szCs w:val="21"/>
                <w:highlight w:val="none"/>
                <w:lang w:val="en-US" w:eastAsia="zh-CN"/>
              </w:rPr>
              <w:t>(1)招标代理服务费：</w:t>
            </w:r>
            <w:r>
              <w:rPr>
                <w:rFonts w:hint="eastAsia" w:ascii="宋体" w:hAnsi="宋体"/>
                <w:color w:val="auto"/>
                <w:kern w:val="0"/>
                <w:szCs w:val="21"/>
                <w:highlight w:val="none"/>
                <w:lang w:val="en-US" w:eastAsia="zh-CN"/>
              </w:rPr>
              <w:t>6000</w:t>
            </w:r>
            <w:r>
              <w:rPr>
                <w:rFonts w:hint="default" w:ascii="宋体" w:hAnsi="宋体" w:eastAsia="宋体"/>
                <w:color w:val="auto"/>
                <w:kern w:val="0"/>
                <w:szCs w:val="21"/>
                <w:highlight w:val="none"/>
                <w:lang w:val="en-US" w:eastAsia="zh-CN"/>
              </w:rPr>
              <w:t>元包干，由中标人承担，各投标人在报价时应将此费用考虑进项目成本，但不单列；中标后不得以任何理由要求招标人分担或承担此部分费用。招标代理服务费缴纳方式与支付：中标人在领取中标通知书前以一次性将招标代理服务费交纳至招标代理机构。</w:t>
            </w:r>
          </w:p>
          <w:p>
            <w:pPr>
              <w:autoSpaceDE w:val="0"/>
              <w:autoSpaceDN w:val="0"/>
              <w:adjustRightInd w:val="0"/>
              <w:snapToGrid w:val="0"/>
              <w:spacing w:line="400" w:lineRule="exact"/>
              <w:ind w:firstLine="420" w:firstLineChars="200"/>
              <w:rPr>
                <w:rFonts w:hint="default" w:ascii="宋体" w:hAnsi="宋体" w:eastAsia="宋体"/>
                <w:color w:val="auto"/>
                <w:kern w:val="0"/>
                <w:szCs w:val="21"/>
                <w:highlight w:val="none"/>
                <w:lang w:val="en-US" w:eastAsia="zh-CN"/>
              </w:rPr>
            </w:pPr>
            <w:r>
              <w:rPr>
                <w:rFonts w:hint="default" w:ascii="宋体" w:hAnsi="宋体" w:eastAsia="宋体"/>
                <w:color w:val="auto"/>
                <w:kern w:val="0"/>
                <w:szCs w:val="21"/>
                <w:highlight w:val="none"/>
                <w:lang w:val="en-US" w:eastAsia="zh-CN"/>
              </w:rPr>
              <w:t>（</w:t>
            </w:r>
            <w:r>
              <w:rPr>
                <w:rFonts w:hint="eastAsia" w:ascii="宋体" w:hAnsi="宋体"/>
                <w:color w:val="auto"/>
                <w:kern w:val="0"/>
                <w:szCs w:val="21"/>
                <w:highlight w:val="none"/>
                <w:lang w:val="en-US" w:eastAsia="zh-CN"/>
              </w:rPr>
              <w:t>2</w:t>
            </w:r>
            <w:r>
              <w:rPr>
                <w:rFonts w:hint="default" w:ascii="宋体" w:hAnsi="宋体" w:eastAsia="宋体"/>
                <w:color w:val="auto"/>
                <w:kern w:val="0"/>
                <w:szCs w:val="21"/>
                <w:highlight w:val="none"/>
                <w:lang w:val="en-US" w:eastAsia="zh-CN"/>
              </w:rPr>
              <w:t>）验收方式：</w:t>
            </w:r>
          </w:p>
          <w:p>
            <w:pPr>
              <w:autoSpaceDE w:val="0"/>
              <w:autoSpaceDN w:val="0"/>
              <w:adjustRightInd w:val="0"/>
              <w:snapToGrid w:val="0"/>
              <w:spacing w:line="400" w:lineRule="exact"/>
              <w:ind w:firstLine="420" w:firstLineChars="200"/>
              <w:rPr>
                <w:rFonts w:hint="default" w:ascii="宋体" w:hAnsi="宋体" w:eastAsia="宋体"/>
                <w:color w:val="auto"/>
                <w:kern w:val="0"/>
                <w:szCs w:val="21"/>
                <w:highlight w:val="none"/>
                <w:lang w:val="en-US" w:eastAsia="zh-CN"/>
              </w:rPr>
            </w:pPr>
            <w:r>
              <w:rPr>
                <w:rFonts w:hint="default" w:ascii="宋体" w:hAnsi="宋体" w:eastAsia="宋体"/>
                <w:color w:val="auto"/>
                <w:kern w:val="0"/>
                <w:szCs w:val="21"/>
                <w:highlight w:val="none"/>
                <w:lang w:val="en-US" w:eastAsia="zh-CN"/>
              </w:rPr>
              <w:t>①投标人按国家现行施工及验收规范、评定标准、设计变更洽商单等组织施工，经招标人检验，达到交工验收条件为准；</w:t>
            </w:r>
          </w:p>
          <w:p>
            <w:pPr>
              <w:autoSpaceDE w:val="0"/>
              <w:autoSpaceDN w:val="0"/>
              <w:adjustRightInd w:val="0"/>
              <w:snapToGrid w:val="0"/>
              <w:spacing w:line="400" w:lineRule="exact"/>
              <w:ind w:firstLine="420" w:firstLineChars="200"/>
              <w:rPr>
                <w:rFonts w:hint="default" w:ascii="宋体" w:hAnsi="宋体" w:eastAsia="宋体"/>
                <w:color w:val="auto"/>
                <w:kern w:val="0"/>
                <w:szCs w:val="21"/>
                <w:highlight w:val="none"/>
                <w:lang w:val="en-US" w:eastAsia="zh-CN"/>
              </w:rPr>
            </w:pPr>
            <w:r>
              <w:rPr>
                <w:rFonts w:hint="default" w:ascii="宋体" w:hAnsi="宋体" w:eastAsia="宋体"/>
                <w:color w:val="auto"/>
                <w:kern w:val="0"/>
                <w:szCs w:val="21"/>
                <w:highlight w:val="none"/>
                <w:lang w:val="en-US" w:eastAsia="zh-CN"/>
              </w:rPr>
              <w:t>②投标人必须严格按照施工图纸、交底记录和招标人要求组织施工。未经招标人有关人员的书面通知，不得自行变更施工工序、质量标准、设计要求或自行进行材料代换。</w:t>
            </w:r>
          </w:p>
        </w:tc>
      </w:tr>
    </w:tbl>
    <w:p>
      <w:pPr>
        <w:pStyle w:val="4"/>
        <w:spacing w:before="0" w:after="0" w:line="20" w:lineRule="exact"/>
        <w:rPr>
          <w:rFonts w:ascii="宋体" w:hAnsi="宋体"/>
          <w:b w:val="0"/>
          <w:snapToGrid w:val="0"/>
          <w:color w:val="auto"/>
          <w:highlight w:val="none"/>
        </w:rPr>
      </w:pPr>
    </w:p>
    <w:p>
      <w:pPr>
        <w:pStyle w:val="4"/>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bookmarkEnd w:id="101"/>
    <w:bookmarkEnd w:id="102"/>
    <w:bookmarkEnd w:id="103"/>
    <w:bookmarkEnd w:id="104"/>
    <w:bookmarkEnd w:id="105"/>
    <w:bookmarkEnd w:id="106"/>
    <w:p>
      <w:pPr>
        <w:pStyle w:val="4"/>
        <w:spacing w:before="0" w:after="0" w:line="360" w:lineRule="auto"/>
        <w:rPr>
          <w:rFonts w:ascii="宋体" w:hAnsi="宋体"/>
          <w:b w:val="0"/>
          <w:snapToGrid w:val="0"/>
          <w:color w:val="auto"/>
          <w:highlight w:val="none"/>
        </w:rPr>
      </w:pPr>
      <w:bookmarkStart w:id="107" w:name="_Toc31566"/>
      <w:bookmarkStart w:id="108" w:name="_Toc30429"/>
      <w:bookmarkStart w:id="109" w:name="_Toc509218710"/>
      <w:r>
        <w:rPr>
          <w:rFonts w:ascii="宋体" w:hAnsi="宋体"/>
          <w:b w:val="0"/>
          <w:snapToGrid w:val="0"/>
          <w:color w:val="auto"/>
          <w:highlight w:val="none"/>
        </w:rPr>
        <w:t>1.  总则</w:t>
      </w:r>
      <w:bookmarkEnd w:id="107"/>
      <w:bookmarkEnd w:id="108"/>
      <w:bookmarkEnd w:id="109"/>
    </w:p>
    <w:p>
      <w:pPr>
        <w:pStyle w:val="5"/>
        <w:snapToGrid w:val="0"/>
        <w:spacing w:before="0" w:after="0" w:line="360" w:lineRule="auto"/>
        <w:rPr>
          <w:rFonts w:ascii="宋体" w:hAnsi="宋体"/>
          <w:b w:val="0"/>
          <w:snapToGrid w:val="0"/>
          <w:color w:val="auto"/>
          <w:sz w:val="24"/>
          <w:szCs w:val="24"/>
          <w:highlight w:val="none"/>
        </w:rPr>
      </w:pPr>
      <w:bookmarkStart w:id="110" w:name="_Toc177"/>
      <w:bookmarkStart w:id="111" w:name="_Toc277082553"/>
      <w:bookmarkStart w:id="112" w:name="_Toc430530436"/>
      <w:bookmarkStart w:id="113" w:name="_Toc200513127"/>
      <w:bookmarkStart w:id="114" w:name="_Toc287607747"/>
      <w:bookmarkStart w:id="115" w:name="_Toc509218711"/>
      <w:bookmarkStart w:id="116" w:name="_Toc224103318"/>
      <w:bookmarkStart w:id="117" w:name="_Toc13944"/>
      <w:bookmarkStart w:id="118" w:name="_Toc287620686"/>
      <w:r>
        <w:rPr>
          <w:rFonts w:ascii="宋体" w:hAnsi="宋体"/>
          <w:b w:val="0"/>
          <w:snapToGrid w:val="0"/>
          <w:color w:val="auto"/>
          <w:sz w:val="24"/>
          <w:szCs w:val="24"/>
          <w:highlight w:val="none"/>
        </w:rPr>
        <w:t>1.1  项目概况</w:t>
      </w:r>
      <w:bookmarkEnd w:id="110"/>
      <w:bookmarkEnd w:id="111"/>
      <w:bookmarkEnd w:id="112"/>
      <w:bookmarkEnd w:id="113"/>
      <w:bookmarkEnd w:id="114"/>
      <w:bookmarkEnd w:id="115"/>
      <w:bookmarkEnd w:id="116"/>
      <w:bookmarkEnd w:id="117"/>
      <w:bookmarkEnd w:id="118"/>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w:t>
      </w:r>
      <w:r>
        <w:rPr>
          <w:rFonts w:hint="eastAsia" w:ascii="宋体" w:hAnsi="宋体"/>
          <w:snapToGrid w:val="0"/>
          <w:color w:val="auto"/>
          <w:kern w:val="0"/>
          <w:szCs w:val="21"/>
          <w:highlight w:val="none"/>
          <w:lang w:eastAsia="zh-CN"/>
        </w:rPr>
        <w:t>本比选项目</w:t>
      </w:r>
      <w:r>
        <w:rPr>
          <w:rFonts w:ascii="宋体" w:hAnsi="宋体"/>
          <w:snapToGrid w:val="0"/>
          <w:color w:val="auto"/>
          <w:kern w:val="0"/>
          <w:szCs w:val="21"/>
          <w:highlight w:val="none"/>
        </w:rPr>
        <w:t>已具备招标条件，现对本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施工进行招标。</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1.1.2  </w:t>
      </w:r>
      <w:r>
        <w:rPr>
          <w:rFonts w:hint="eastAsia" w:ascii="宋体" w:hAnsi="宋体"/>
          <w:snapToGrid w:val="0"/>
          <w:color w:val="auto"/>
          <w:kern w:val="0"/>
          <w:szCs w:val="21"/>
          <w:highlight w:val="none"/>
          <w:lang w:eastAsia="zh-CN"/>
        </w:rPr>
        <w:t>本比选项目</w:t>
      </w:r>
      <w:r>
        <w:rPr>
          <w:rFonts w:ascii="宋体" w:hAnsi="宋体"/>
          <w:snapToGrid w:val="0"/>
          <w:color w:val="auto"/>
          <w:kern w:val="0"/>
          <w:szCs w:val="21"/>
          <w:highlight w:val="none"/>
        </w:rPr>
        <w:t>招标人：见投标人须知前附表。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1.1.3  </w:t>
      </w:r>
      <w:r>
        <w:rPr>
          <w:rFonts w:hint="eastAsia" w:ascii="宋体" w:hAnsi="宋体"/>
          <w:snapToGrid w:val="0"/>
          <w:color w:val="auto"/>
          <w:kern w:val="0"/>
          <w:szCs w:val="21"/>
          <w:highlight w:val="none"/>
          <w:lang w:eastAsia="zh-CN"/>
        </w:rPr>
        <w:t>本比选项目</w:t>
      </w:r>
      <w:r>
        <w:rPr>
          <w:rFonts w:ascii="宋体" w:hAnsi="宋体"/>
          <w:snapToGrid w:val="0"/>
          <w:color w:val="auto"/>
          <w:kern w:val="0"/>
          <w:szCs w:val="21"/>
          <w:highlight w:val="none"/>
        </w:rPr>
        <w:t>招标代理机构：见投标人须知前附表。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本比选项目</w:t>
      </w:r>
      <w:r>
        <w:rPr>
          <w:rFonts w:ascii="宋体" w:hAnsi="宋体"/>
          <w:snapToGrid w:val="0"/>
          <w:color w:val="auto"/>
          <w:kern w:val="0"/>
          <w:szCs w:val="21"/>
          <w:highlight w:val="none"/>
        </w:rPr>
        <w:t>名称：见投标人须知前附表。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1.1.5  </w:t>
      </w:r>
      <w:r>
        <w:rPr>
          <w:rFonts w:hint="eastAsia" w:ascii="宋体" w:hAnsi="宋体"/>
          <w:snapToGrid w:val="0"/>
          <w:color w:val="auto"/>
          <w:kern w:val="0"/>
          <w:szCs w:val="21"/>
          <w:highlight w:val="none"/>
          <w:lang w:eastAsia="zh-CN"/>
        </w:rPr>
        <w:t>本比选项目</w:t>
      </w:r>
      <w:r>
        <w:rPr>
          <w:rFonts w:ascii="宋体" w:hAnsi="宋体"/>
          <w:snapToGrid w:val="0"/>
          <w:color w:val="auto"/>
          <w:kern w:val="0"/>
          <w:szCs w:val="21"/>
          <w:highlight w:val="none"/>
        </w:rPr>
        <w:t>建设地点：见投标人须知前附表。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1.1.6  </w:t>
      </w:r>
      <w:r>
        <w:rPr>
          <w:rFonts w:hint="eastAsia" w:ascii="宋体" w:hAnsi="宋体"/>
          <w:snapToGrid w:val="0"/>
          <w:color w:val="auto"/>
          <w:kern w:val="0"/>
          <w:szCs w:val="21"/>
          <w:highlight w:val="none"/>
          <w:lang w:eastAsia="zh-CN"/>
        </w:rPr>
        <w:t>本比选项目</w:t>
      </w:r>
      <w:r>
        <w:rPr>
          <w:rFonts w:ascii="宋体" w:hAnsi="宋体"/>
          <w:snapToGrid w:val="0"/>
          <w:color w:val="auto"/>
          <w:kern w:val="0"/>
          <w:szCs w:val="21"/>
          <w:highlight w:val="none"/>
        </w:rPr>
        <w:t>建设规模：见投标人须知前附表。</w:t>
      </w:r>
    </w:p>
    <w:p>
      <w:pPr>
        <w:pStyle w:val="5"/>
        <w:snapToGrid w:val="0"/>
        <w:spacing w:before="0" w:after="0" w:line="360" w:lineRule="auto"/>
        <w:rPr>
          <w:rFonts w:ascii="宋体" w:hAnsi="宋体"/>
          <w:b w:val="0"/>
          <w:snapToGrid w:val="0"/>
          <w:color w:val="auto"/>
          <w:sz w:val="24"/>
          <w:szCs w:val="24"/>
          <w:highlight w:val="none"/>
        </w:rPr>
      </w:pPr>
      <w:bookmarkStart w:id="119" w:name="_Toc277082554"/>
      <w:bookmarkStart w:id="120" w:name="_Toc224103319"/>
      <w:bookmarkStart w:id="121" w:name="_Toc4414"/>
      <w:bookmarkStart w:id="122" w:name="_Toc28853"/>
      <w:bookmarkStart w:id="123" w:name="_Toc287620687"/>
      <w:bookmarkStart w:id="124" w:name="_Toc430530437"/>
      <w:bookmarkStart w:id="125" w:name="_Toc509218712"/>
      <w:bookmarkStart w:id="126" w:name="_Toc287607748"/>
      <w:bookmarkStart w:id="127" w:name="_Toc200513128"/>
      <w:r>
        <w:rPr>
          <w:rFonts w:ascii="宋体" w:hAnsi="宋体"/>
          <w:b w:val="0"/>
          <w:snapToGrid w:val="0"/>
          <w:color w:val="auto"/>
          <w:sz w:val="24"/>
          <w:szCs w:val="24"/>
          <w:highlight w:val="none"/>
        </w:rPr>
        <w:t>1.2  资金来源和落实情况</w:t>
      </w:r>
      <w:bookmarkEnd w:id="119"/>
      <w:bookmarkEnd w:id="120"/>
      <w:bookmarkEnd w:id="121"/>
      <w:bookmarkEnd w:id="122"/>
      <w:bookmarkEnd w:id="123"/>
      <w:bookmarkEnd w:id="124"/>
      <w:bookmarkEnd w:id="125"/>
      <w:bookmarkEnd w:id="126"/>
      <w:bookmarkEnd w:id="127"/>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1.2.1  </w:t>
      </w:r>
      <w:r>
        <w:rPr>
          <w:rFonts w:hint="eastAsia" w:ascii="宋体" w:hAnsi="宋体"/>
          <w:snapToGrid w:val="0"/>
          <w:color w:val="auto"/>
          <w:kern w:val="0"/>
          <w:szCs w:val="21"/>
          <w:highlight w:val="none"/>
          <w:lang w:eastAsia="zh-CN"/>
        </w:rPr>
        <w:t>本比选项目</w:t>
      </w:r>
      <w:r>
        <w:rPr>
          <w:rFonts w:ascii="宋体" w:hAnsi="宋体"/>
          <w:snapToGrid w:val="0"/>
          <w:color w:val="auto"/>
          <w:kern w:val="0"/>
          <w:szCs w:val="21"/>
          <w:highlight w:val="none"/>
        </w:rPr>
        <w:t>的资金来源：见投标人须知前附表。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1.2.2  </w:t>
      </w:r>
      <w:r>
        <w:rPr>
          <w:rFonts w:hint="eastAsia" w:ascii="宋体" w:hAnsi="宋体"/>
          <w:snapToGrid w:val="0"/>
          <w:color w:val="auto"/>
          <w:kern w:val="0"/>
          <w:szCs w:val="21"/>
          <w:highlight w:val="none"/>
          <w:lang w:eastAsia="zh-CN"/>
        </w:rPr>
        <w:t>本比选项目</w:t>
      </w:r>
      <w:r>
        <w:rPr>
          <w:rFonts w:ascii="宋体" w:hAnsi="宋体"/>
          <w:snapToGrid w:val="0"/>
          <w:color w:val="auto"/>
          <w:kern w:val="0"/>
          <w:szCs w:val="21"/>
          <w:highlight w:val="none"/>
        </w:rPr>
        <w:t>的出资比例：见投标人须知前附表。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1.2.3  </w:t>
      </w:r>
      <w:r>
        <w:rPr>
          <w:rFonts w:hint="eastAsia" w:ascii="宋体" w:hAnsi="宋体"/>
          <w:snapToGrid w:val="0"/>
          <w:color w:val="auto"/>
          <w:kern w:val="0"/>
          <w:szCs w:val="21"/>
          <w:highlight w:val="none"/>
          <w:lang w:eastAsia="zh-CN"/>
        </w:rPr>
        <w:t>本比选项目</w:t>
      </w:r>
      <w:r>
        <w:rPr>
          <w:rFonts w:ascii="宋体" w:hAnsi="宋体"/>
          <w:snapToGrid w:val="0"/>
          <w:color w:val="auto"/>
          <w:kern w:val="0"/>
          <w:szCs w:val="21"/>
          <w:highlight w:val="none"/>
        </w:rPr>
        <w:t>的资金落实情况：见投标人须知前附表。</w:t>
      </w:r>
    </w:p>
    <w:p>
      <w:pPr>
        <w:pStyle w:val="5"/>
        <w:snapToGrid w:val="0"/>
        <w:spacing w:before="0" w:after="0" w:line="360" w:lineRule="auto"/>
        <w:rPr>
          <w:rFonts w:ascii="宋体" w:hAnsi="宋体"/>
          <w:b w:val="0"/>
          <w:snapToGrid w:val="0"/>
          <w:color w:val="auto"/>
          <w:sz w:val="24"/>
          <w:szCs w:val="24"/>
          <w:highlight w:val="none"/>
        </w:rPr>
      </w:pPr>
      <w:bookmarkStart w:id="128" w:name="_Toc430530438"/>
      <w:bookmarkStart w:id="129" w:name="_Toc287607749"/>
      <w:bookmarkStart w:id="130" w:name="_Toc224103320"/>
      <w:bookmarkStart w:id="131" w:name="_Toc287620688"/>
      <w:bookmarkStart w:id="132" w:name="_Toc7182"/>
      <w:bookmarkStart w:id="133" w:name="_Toc277082555"/>
      <w:bookmarkStart w:id="134" w:name="_Toc509218713"/>
      <w:bookmarkStart w:id="135" w:name="_Toc200513129"/>
      <w:bookmarkStart w:id="136" w:name="_Toc17176"/>
      <w:r>
        <w:rPr>
          <w:rFonts w:ascii="宋体" w:hAnsi="宋体"/>
          <w:b w:val="0"/>
          <w:snapToGrid w:val="0"/>
          <w:color w:val="auto"/>
          <w:sz w:val="24"/>
          <w:szCs w:val="24"/>
          <w:highlight w:val="none"/>
        </w:rPr>
        <w:t>1.3  招标范围、计划工期和质量要求</w:t>
      </w:r>
      <w:bookmarkEnd w:id="128"/>
      <w:bookmarkEnd w:id="129"/>
      <w:bookmarkEnd w:id="130"/>
      <w:bookmarkEnd w:id="131"/>
      <w:bookmarkEnd w:id="132"/>
      <w:bookmarkEnd w:id="133"/>
      <w:bookmarkEnd w:id="134"/>
      <w:bookmarkEnd w:id="135"/>
      <w:bookmarkEnd w:id="136"/>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1.3.1  招标范围：见投标人须知前附表。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1.3.2  计划工期：见投标人须知前附表。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1.3.3  质量要求：见投标人须知前附表。</w:t>
      </w:r>
    </w:p>
    <w:p>
      <w:pPr>
        <w:pStyle w:val="5"/>
        <w:snapToGrid w:val="0"/>
        <w:spacing w:before="0" w:after="0" w:line="360" w:lineRule="auto"/>
        <w:rPr>
          <w:rFonts w:ascii="宋体" w:hAnsi="宋体"/>
          <w:b w:val="0"/>
          <w:snapToGrid w:val="0"/>
          <w:color w:val="auto"/>
          <w:sz w:val="24"/>
          <w:szCs w:val="24"/>
          <w:highlight w:val="none"/>
        </w:rPr>
      </w:pPr>
      <w:bookmarkStart w:id="137" w:name="_Toc224103322"/>
      <w:bookmarkStart w:id="138" w:name="_Toc430530440"/>
      <w:bookmarkStart w:id="139" w:name="_Toc29700"/>
      <w:bookmarkStart w:id="140" w:name="_Toc277082557"/>
      <w:bookmarkStart w:id="141" w:name="_Toc287620690"/>
      <w:bookmarkStart w:id="142" w:name="_Toc509218715"/>
      <w:bookmarkStart w:id="143" w:name="_Toc200513131"/>
      <w:bookmarkStart w:id="144" w:name="_Toc287607751"/>
      <w:bookmarkStart w:id="145" w:name="_Toc31288"/>
      <w:r>
        <w:rPr>
          <w:rFonts w:ascii="宋体" w:hAnsi="宋体"/>
          <w:b w:val="0"/>
          <w:snapToGrid w:val="0"/>
          <w:color w:val="auto"/>
          <w:sz w:val="24"/>
          <w:szCs w:val="24"/>
          <w:highlight w:val="none"/>
        </w:rPr>
        <w:t>1.4 投标人资格要求</w:t>
      </w:r>
      <w:bookmarkEnd w:id="137"/>
      <w:bookmarkEnd w:id="138"/>
      <w:bookmarkEnd w:id="139"/>
      <w:bookmarkEnd w:id="140"/>
      <w:bookmarkEnd w:id="141"/>
      <w:bookmarkEnd w:id="142"/>
      <w:bookmarkEnd w:id="143"/>
      <w:bookmarkEnd w:id="144"/>
      <w:bookmarkEnd w:id="145"/>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1.4.1 投标人应具备承担本标段施工的资质条件、能力和信誉。</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资质条件、营业执照及安全生产条件</w:t>
      </w:r>
      <w:r>
        <w:rPr>
          <w:rFonts w:ascii="宋体" w:hAnsi="宋体"/>
          <w:snapToGrid w:val="0"/>
          <w:color w:val="auto"/>
          <w:kern w:val="0"/>
          <w:szCs w:val="21"/>
          <w:highlight w:val="none"/>
        </w:rPr>
        <w:t>：见投标人须知前附表；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（2）财务要求：见投标人须知前附表；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（3）业绩要求：见投标人须知前附表；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（5）项目经理资格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（6）其他要求：见投标人须知前附表。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1.4.2  投标人须知前附表规定接受联合体投标的，除应符合本章第1.4.1项和投标人须知前附表的要求外，还应遵守以下规定：</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提供的格式签订联合体协议书，明确联合体牵头人和各方权利义务；</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（2）联合体各方均应当具备承担招标项目的相应能力；联合体协议约定同一专业分工由两个及以上单位共同承担的，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（3）联合体各方不得再以自己名义单独或参加其他联合体在同一标段中投标。</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1.4.3  投标人不得存在下列情形之一：</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（1）与招标人存在利害关系可能影响招标公正性的法人、其他组织或者个人；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（5）为本标段提供招标代理服务的；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（6）与本标段的监理人或代建人或招标代理机构同为一个法定代表人的；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（7）与本标段的监理人或代建人或招标代理机构</w:t>
      </w:r>
      <w:r>
        <w:rPr>
          <w:rFonts w:hint="eastAsia" w:ascii="宋体" w:hAnsi="宋体"/>
          <w:snapToGrid w:val="0"/>
          <w:color w:val="auto"/>
          <w:kern w:val="0"/>
          <w:szCs w:val="21"/>
          <w:highlight w:val="none"/>
        </w:rPr>
        <w:t>存在</w:t>
      </w:r>
      <w:r>
        <w:rPr>
          <w:rFonts w:ascii="宋体" w:hAnsi="宋体"/>
          <w:snapToGrid w:val="0"/>
          <w:color w:val="auto"/>
          <w:kern w:val="0"/>
          <w:szCs w:val="21"/>
          <w:highlight w:val="none"/>
        </w:rPr>
        <w:t>控股或参股的；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（8）与本标段的监理人或代建人或招标代理机构相互任职或工作的；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w:t>
      </w:r>
      <w:r>
        <w:rPr>
          <w:rFonts w:ascii="宋体" w:hAnsi="宋体"/>
          <w:color w:val="auto"/>
          <w:szCs w:val="21"/>
          <w:highlight w:val="none"/>
        </w:rPr>
        <w:t>单位负责人为同一人或者存在控股、管理关系的不同单位，不得在同一标段中同时投标</w:t>
      </w:r>
      <w:r>
        <w:rPr>
          <w:rFonts w:ascii="宋体" w:hAnsi="宋体"/>
          <w:snapToGrid w:val="0"/>
          <w:color w:val="auto"/>
          <w:kern w:val="0"/>
          <w:szCs w:val="21"/>
          <w:highlight w:val="none"/>
        </w:rPr>
        <w:t>。</w:t>
      </w:r>
    </w:p>
    <w:p>
      <w:pPr>
        <w:pStyle w:val="5"/>
        <w:snapToGrid w:val="0"/>
        <w:spacing w:before="0" w:after="0" w:line="360" w:lineRule="auto"/>
        <w:rPr>
          <w:rFonts w:ascii="宋体" w:hAnsi="宋体"/>
          <w:b w:val="0"/>
          <w:snapToGrid w:val="0"/>
          <w:color w:val="auto"/>
          <w:sz w:val="24"/>
          <w:szCs w:val="24"/>
          <w:highlight w:val="none"/>
        </w:rPr>
      </w:pPr>
      <w:bookmarkStart w:id="146" w:name="_Toc430530441"/>
      <w:bookmarkStart w:id="147" w:name="_Toc287607752"/>
      <w:bookmarkStart w:id="148" w:name="_Toc30012"/>
      <w:bookmarkStart w:id="149" w:name="_Toc200513132"/>
      <w:bookmarkStart w:id="150" w:name="_Toc277082558"/>
      <w:bookmarkStart w:id="151" w:name="_Toc14739"/>
      <w:bookmarkStart w:id="152" w:name="_Toc287620691"/>
      <w:bookmarkStart w:id="153" w:name="_Toc509218716"/>
      <w:bookmarkStart w:id="154" w:name="_Toc224103323"/>
      <w:r>
        <w:rPr>
          <w:rFonts w:ascii="宋体" w:hAnsi="宋体"/>
          <w:b w:val="0"/>
          <w:snapToGrid w:val="0"/>
          <w:color w:val="auto"/>
          <w:sz w:val="24"/>
          <w:szCs w:val="24"/>
          <w:highlight w:val="none"/>
        </w:rPr>
        <w:t>1.5  费用承担</w:t>
      </w:r>
      <w:bookmarkEnd w:id="146"/>
      <w:bookmarkEnd w:id="147"/>
      <w:bookmarkEnd w:id="148"/>
      <w:bookmarkEnd w:id="149"/>
      <w:bookmarkEnd w:id="150"/>
      <w:bookmarkEnd w:id="151"/>
      <w:bookmarkEnd w:id="152"/>
      <w:bookmarkEnd w:id="153"/>
      <w:bookmarkEnd w:id="154"/>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投标人准备和参加投标活动发生的费用自理。</w:t>
      </w:r>
    </w:p>
    <w:p>
      <w:pPr>
        <w:pStyle w:val="5"/>
        <w:snapToGrid w:val="0"/>
        <w:spacing w:before="0" w:after="0" w:line="360" w:lineRule="auto"/>
        <w:rPr>
          <w:rFonts w:ascii="宋体" w:hAnsi="宋体"/>
          <w:b w:val="0"/>
          <w:snapToGrid w:val="0"/>
          <w:color w:val="auto"/>
          <w:sz w:val="24"/>
          <w:szCs w:val="24"/>
          <w:highlight w:val="none"/>
        </w:rPr>
      </w:pPr>
      <w:bookmarkStart w:id="155" w:name="_Toc430530442"/>
      <w:bookmarkStart w:id="156" w:name="_Toc277082559"/>
      <w:bookmarkStart w:id="157" w:name="_Toc20407"/>
      <w:bookmarkStart w:id="158" w:name="_Toc509218717"/>
      <w:bookmarkStart w:id="159" w:name="_Toc287620692"/>
      <w:bookmarkStart w:id="160" w:name="_Toc224103324"/>
      <w:bookmarkStart w:id="161" w:name="_Toc287607753"/>
      <w:bookmarkStart w:id="162" w:name="_Toc11845"/>
      <w:bookmarkStart w:id="163" w:name="_Toc200513133"/>
      <w:r>
        <w:rPr>
          <w:rFonts w:ascii="宋体" w:hAnsi="宋体"/>
          <w:b w:val="0"/>
          <w:snapToGrid w:val="0"/>
          <w:color w:val="auto"/>
          <w:sz w:val="24"/>
          <w:szCs w:val="24"/>
          <w:highlight w:val="none"/>
        </w:rPr>
        <w:t>1.6  保密</w:t>
      </w:r>
      <w:bookmarkEnd w:id="155"/>
      <w:bookmarkEnd w:id="156"/>
      <w:bookmarkEnd w:id="157"/>
      <w:bookmarkEnd w:id="158"/>
      <w:bookmarkEnd w:id="159"/>
      <w:bookmarkEnd w:id="160"/>
      <w:bookmarkEnd w:id="161"/>
      <w:bookmarkEnd w:id="162"/>
      <w:bookmarkEnd w:id="163"/>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和投标文件中的商业和技术等秘密保密，违者应对由此造成的后果承担法律责任。</w:t>
      </w:r>
    </w:p>
    <w:p>
      <w:pPr>
        <w:pStyle w:val="5"/>
        <w:snapToGrid w:val="0"/>
        <w:spacing w:before="0" w:after="0" w:line="360" w:lineRule="auto"/>
        <w:rPr>
          <w:rFonts w:ascii="宋体" w:hAnsi="宋体"/>
          <w:b w:val="0"/>
          <w:snapToGrid w:val="0"/>
          <w:color w:val="auto"/>
          <w:sz w:val="24"/>
          <w:szCs w:val="24"/>
          <w:highlight w:val="none"/>
        </w:rPr>
      </w:pPr>
      <w:bookmarkStart w:id="164" w:name="_Toc287607754"/>
      <w:bookmarkStart w:id="165" w:name="_Toc6051"/>
      <w:bookmarkStart w:id="166" w:name="_Toc509218718"/>
      <w:bookmarkStart w:id="167" w:name="_Toc224103325"/>
      <w:bookmarkStart w:id="168" w:name="_Toc430530443"/>
      <w:bookmarkStart w:id="169" w:name="_Toc14075"/>
      <w:bookmarkStart w:id="170" w:name="_Toc200513134"/>
      <w:bookmarkStart w:id="171" w:name="_Toc277082560"/>
      <w:bookmarkStart w:id="172" w:name="_Toc287620693"/>
      <w:r>
        <w:rPr>
          <w:rFonts w:ascii="宋体" w:hAnsi="宋体"/>
          <w:b w:val="0"/>
          <w:snapToGrid w:val="0"/>
          <w:color w:val="auto"/>
          <w:sz w:val="24"/>
          <w:szCs w:val="24"/>
          <w:highlight w:val="none"/>
        </w:rPr>
        <w:t>1.7  语言文字</w:t>
      </w:r>
      <w:bookmarkEnd w:id="164"/>
      <w:bookmarkEnd w:id="165"/>
      <w:bookmarkEnd w:id="166"/>
      <w:bookmarkEnd w:id="167"/>
      <w:bookmarkEnd w:id="168"/>
      <w:bookmarkEnd w:id="169"/>
      <w:bookmarkEnd w:id="170"/>
      <w:bookmarkEnd w:id="171"/>
      <w:bookmarkEnd w:id="172"/>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除专用术语外，与招标投标有关的语言均使用中文。必要时专用术语应附有中文注释。</w:t>
      </w:r>
    </w:p>
    <w:p>
      <w:pPr>
        <w:pStyle w:val="5"/>
        <w:snapToGrid w:val="0"/>
        <w:spacing w:before="0" w:after="0" w:line="360" w:lineRule="auto"/>
        <w:rPr>
          <w:rFonts w:ascii="宋体" w:hAnsi="宋体"/>
          <w:b w:val="0"/>
          <w:snapToGrid w:val="0"/>
          <w:color w:val="auto"/>
          <w:sz w:val="24"/>
          <w:szCs w:val="24"/>
          <w:highlight w:val="none"/>
        </w:rPr>
      </w:pPr>
      <w:bookmarkStart w:id="173" w:name="_Toc224103326"/>
      <w:bookmarkStart w:id="174" w:name="_Toc200513135"/>
      <w:bookmarkStart w:id="175" w:name="_Toc277082561"/>
      <w:bookmarkStart w:id="176" w:name="_Toc430530444"/>
      <w:bookmarkStart w:id="177" w:name="_Toc19444"/>
      <w:bookmarkStart w:id="178" w:name="_Toc509218719"/>
      <w:bookmarkStart w:id="179" w:name="_Toc287620694"/>
      <w:bookmarkStart w:id="180" w:name="_Toc287607755"/>
      <w:bookmarkStart w:id="181" w:name="_Toc930"/>
      <w:r>
        <w:rPr>
          <w:rFonts w:ascii="宋体" w:hAnsi="宋体"/>
          <w:b w:val="0"/>
          <w:snapToGrid w:val="0"/>
          <w:color w:val="auto"/>
          <w:sz w:val="24"/>
          <w:szCs w:val="24"/>
          <w:highlight w:val="none"/>
        </w:rPr>
        <w:t>1.8  计量单位</w:t>
      </w:r>
      <w:bookmarkEnd w:id="173"/>
      <w:bookmarkEnd w:id="174"/>
      <w:bookmarkEnd w:id="175"/>
      <w:bookmarkEnd w:id="176"/>
      <w:bookmarkEnd w:id="177"/>
      <w:bookmarkEnd w:id="178"/>
      <w:bookmarkEnd w:id="179"/>
      <w:bookmarkEnd w:id="180"/>
      <w:bookmarkEnd w:id="181"/>
    </w:p>
    <w:p>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pPr>
        <w:pStyle w:val="5"/>
        <w:snapToGrid w:val="0"/>
        <w:spacing w:before="0" w:after="0" w:line="360" w:lineRule="auto"/>
        <w:rPr>
          <w:rFonts w:ascii="宋体" w:hAnsi="宋体"/>
          <w:b w:val="0"/>
          <w:snapToGrid w:val="0"/>
          <w:color w:val="auto"/>
          <w:sz w:val="24"/>
          <w:szCs w:val="24"/>
          <w:highlight w:val="none"/>
        </w:rPr>
      </w:pPr>
      <w:bookmarkStart w:id="182" w:name="_Toc287620695"/>
      <w:bookmarkStart w:id="183" w:name="_Toc509218720"/>
      <w:bookmarkStart w:id="184" w:name="_Toc287607756"/>
      <w:bookmarkStart w:id="185" w:name="_Toc224103327"/>
      <w:bookmarkStart w:id="186" w:name="_Toc22467"/>
      <w:bookmarkStart w:id="187" w:name="_Toc200513136"/>
      <w:bookmarkStart w:id="188" w:name="_Toc5173"/>
      <w:bookmarkStart w:id="189" w:name="_Toc430530445"/>
      <w:bookmarkStart w:id="190" w:name="_Toc277082562"/>
      <w:r>
        <w:rPr>
          <w:rFonts w:ascii="宋体" w:hAnsi="宋体"/>
          <w:b w:val="0"/>
          <w:snapToGrid w:val="0"/>
          <w:color w:val="auto"/>
          <w:sz w:val="24"/>
          <w:szCs w:val="24"/>
          <w:highlight w:val="none"/>
        </w:rPr>
        <w:t>1.9  踏勘现场</w:t>
      </w:r>
      <w:bookmarkEnd w:id="182"/>
      <w:bookmarkEnd w:id="183"/>
      <w:bookmarkEnd w:id="184"/>
      <w:bookmarkEnd w:id="185"/>
      <w:bookmarkEnd w:id="186"/>
      <w:bookmarkEnd w:id="187"/>
      <w:bookmarkEnd w:id="188"/>
      <w:bookmarkEnd w:id="189"/>
      <w:bookmarkEnd w:id="190"/>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1.9.1  投标人须知前附表规定组织踏勘现场的，招标人按投标人须知前附表规定的时间、 地点组织投标人踏勘项目现场。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1.9.2  投标人踏勘现场发生的费用自理。</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1.9.3  除招标人的原因外，投标人自行负责在踏勘现场中所发生的人员伤亡和财产损失。</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1.9.4  招标人在踏勘现场中介绍的工程场地和相关的周边环境情况，供投标人在编制投标文件时参考，招标人不对投标人据此做出的判断和决策负责。</w:t>
      </w:r>
    </w:p>
    <w:p>
      <w:pPr>
        <w:pStyle w:val="5"/>
        <w:snapToGrid w:val="0"/>
        <w:spacing w:before="0" w:after="0" w:line="360" w:lineRule="auto"/>
        <w:rPr>
          <w:rFonts w:ascii="宋体" w:hAnsi="宋体"/>
          <w:b w:val="0"/>
          <w:snapToGrid w:val="0"/>
          <w:color w:val="auto"/>
          <w:sz w:val="24"/>
          <w:szCs w:val="24"/>
          <w:highlight w:val="none"/>
        </w:rPr>
      </w:pPr>
      <w:bookmarkStart w:id="191" w:name="_Toc509218721"/>
      <w:bookmarkStart w:id="192" w:name="_Toc277082563"/>
      <w:bookmarkStart w:id="193" w:name="_Toc8656"/>
      <w:bookmarkStart w:id="194" w:name="_Toc430530446"/>
      <w:bookmarkStart w:id="195" w:name="_Toc12164"/>
      <w:bookmarkStart w:id="196" w:name="_Toc200513137"/>
      <w:bookmarkStart w:id="197" w:name="_Toc224103328"/>
      <w:bookmarkStart w:id="198" w:name="_Toc287620696"/>
      <w:bookmarkStart w:id="199" w:name="_Toc287607757"/>
      <w:r>
        <w:rPr>
          <w:rFonts w:ascii="宋体" w:hAnsi="宋体"/>
          <w:b w:val="0"/>
          <w:snapToGrid w:val="0"/>
          <w:color w:val="auto"/>
          <w:sz w:val="24"/>
          <w:szCs w:val="24"/>
          <w:highlight w:val="none"/>
        </w:rPr>
        <w:t>1.10  投标预备会</w:t>
      </w:r>
      <w:bookmarkEnd w:id="191"/>
      <w:bookmarkEnd w:id="192"/>
      <w:bookmarkEnd w:id="193"/>
      <w:bookmarkEnd w:id="194"/>
      <w:bookmarkEnd w:id="195"/>
      <w:bookmarkEnd w:id="196"/>
      <w:bookmarkEnd w:id="197"/>
      <w:bookmarkEnd w:id="198"/>
      <w:bookmarkEnd w:id="199"/>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1.10.2  投标人应在投标人须知前附表第</w:t>
      </w:r>
      <w:r>
        <w:rPr>
          <w:rFonts w:ascii="宋体" w:hAnsi="宋体"/>
          <w:color w:val="auto"/>
          <w:kern w:val="0"/>
          <w:szCs w:val="21"/>
          <w:highlight w:val="none"/>
        </w:rPr>
        <w:t>2.2.4项</w:t>
      </w:r>
      <w:r>
        <w:rPr>
          <w:rFonts w:ascii="宋体" w:hAnsi="宋体"/>
          <w:snapToGrid w:val="0"/>
          <w:color w:val="auto"/>
          <w:kern w:val="0"/>
          <w:szCs w:val="21"/>
          <w:highlight w:val="none"/>
        </w:rPr>
        <w:t>规定的时间前，以书面形式将提出的问题送达招标人，以便招标人澄清。</w:t>
      </w:r>
    </w:p>
    <w:p>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1.10.3  招标人在投标人须知前附表规定的时间内，将对投标人所提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w:t>
      </w:r>
      <w:r>
        <w:rPr>
          <w:rFonts w:hint="eastAsia" w:ascii="宋体" w:hAnsi="宋体"/>
          <w:snapToGrid w:val="0"/>
          <w:color w:val="auto"/>
          <w:kern w:val="0"/>
          <w:position w:val="-2"/>
          <w:szCs w:val="21"/>
          <w:highlight w:val="none"/>
          <w:lang w:eastAsia="zh-CN"/>
        </w:rPr>
        <w:t>竞争性比选文件</w:t>
      </w:r>
      <w:r>
        <w:rPr>
          <w:rFonts w:ascii="宋体" w:hAnsi="宋体"/>
          <w:snapToGrid w:val="0"/>
          <w:color w:val="auto"/>
          <w:kern w:val="0"/>
          <w:position w:val="-2"/>
          <w:szCs w:val="21"/>
          <w:highlight w:val="none"/>
        </w:rPr>
        <w:t>的组成部分。</w:t>
      </w:r>
    </w:p>
    <w:p>
      <w:pPr>
        <w:pStyle w:val="5"/>
        <w:snapToGrid w:val="0"/>
        <w:spacing w:before="0" w:after="0" w:line="360" w:lineRule="auto"/>
        <w:rPr>
          <w:rFonts w:ascii="宋体" w:hAnsi="宋体"/>
          <w:b w:val="0"/>
          <w:snapToGrid w:val="0"/>
          <w:color w:val="auto"/>
          <w:sz w:val="24"/>
          <w:szCs w:val="24"/>
          <w:highlight w:val="none"/>
        </w:rPr>
      </w:pPr>
      <w:bookmarkStart w:id="200" w:name="_Toc277082564"/>
      <w:bookmarkStart w:id="201" w:name="_Toc200513138"/>
      <w:bookmarkStart w:id="202" w:name="_Toc509218722"/>
      <w:bookmarkStart w:id="203" w:name="_Toc21067"/>
      <w:bookmarkStart w:id="204" w:name="_Toc430530447"/>
      <w:bookmarkStart w:id="205" w:name="_Toc287607758"/>
      <w:bookmarkStart w:id="206" w:name="_Toc224103329"/>
      <w:bookmarkStart w:id="207" w:name="_Toc22101"/>
      <w:bookmarkStart w:id="208" w:name="_Toc287620697"/>
      <w:r>
        <w:rPr>
          <w:rFonts w:ascii="宋体" w:hAnsi="宋体"/>
          <w:b w:val="0"/>
          <w:snapToGrid w:val="0"/>
          <w:color w:val="auto"/>
          <w:sz w:val="24"/>
          <w:szCs w:val="24"/>
          <w:highlight w:val="none"/>
        </w:rPr>
        <w:t>1.11  分包</w:t>
      </w:r>
      <w:bookmarkEnd w:id="200"/>
      <w:bookmarkEnd w:id="201"/>
      <w:bookmarkEnd w:id="202"/>
      <w:bookmarkEnd w:id="203"/>
      <w:bookmarkEnd w:id="204"/>
      <w:bookmarkEnd w:id="205"/>
      <w:bookmarkEnd w:id="206"/>
      <w:bookmarkEnd w:id="207"/>
      <w:bookmarkEnd w:id="208"/>
    </w:p>
    <w:p>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ascii="宋体" w:hAnsi="宋体"/>
          <w:snapToGrid w:val="0"/>
          <w:color w:val="auto"/>
          <w:kern w:val="0"/>
          <w:szCs w:val="21"/>
          <w:highlight w:val="none"/>
        </w:rPr>
        <w:t>投标人拟在中标后将中标项目的部分非主体、非关键性工作进行分包的，应符合投标人须知前附表规定的分包内容、分包金额和接受分包的第三人资质要求等限制性条件。</w:t>
      </w:r>
    </w:p>
    <w:p>
      <w:pPr>
        <w:pStyle w:val="5"/>
        <w:snapToGrid w:val="0"/>
        <w:spacing w:before="0" w:after="0" w:line="360" w:lineRule="auto"/>
        <w:rPr>
          <w:rFonts w:ascii="宋体" w:hAnsi="宋体"/>
          <w:b w:val="0"/>
          <w:snapToGrid w:val="0"/>
          <w:color w:val="auto"/>
          <w:sz w:val="24"/>
          <w:szCs w:val="24"/>
          <w:highlight w:val="none"/>
        </w:rPr>
      </w:pPr>
      <w:bookmarkStart w:id="209" w:name="_Toc509218723"/>
      <w:bookmarkStart w:id="210" w:name="_Toc200513139"/>
      <w:bookmarkStart w:id="211" w:name="_Toc277082565"/>
      <w:bookmarkStart w:id="212" w:name="_Toc14550"/>
      <w:bookmarkStart w:id="213" w:name="_Toc12072"/>
      <w:bookmarkStart w:id="214" w:name="_Toc287607759"/>
      <w:bookmarkStart w:id="215" w:name="_Toc430530448"/>
      <w:bookmarkStart w:id="216" w:name="_Toc224103330"/>
      <w:bookmarkStart w:id="217" w:name="_Toc287620698"/>
      <w:r>
        <w:rPr>
          <w:rFonts w:ascii="宋体" w:hAnsi="宋体"/>
          <w:b w:val="0"/>
          <w:snapToGrid w:val="0"/>
          <w:color w:val="auto"/>
          <w:sz w:val="24"/>
          <w:szCs w:val="24"/>
          <w:highlight w:val="none"/>
        </w:rPr>
        <w:t>1.12  偏离</w:t>
      </w:r>
      <w:bookmarkEnd w:id="209"/>
      <w:bookmarkEnd w:id="210"/>
      <w:bookmarkEnd w:id="211"/>
      <w:bookmarkEnd w:id="212"/>
      <w:bookmarkEnd w:id="213"/>
      <w:bookmarkEnd w:id="214"/>
      <w:bookmarkEnd w:id="215"/>
      <w:bookmarkEnd w:id="216"/>
      <w:bookmarkEnd w:id="217"/>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投标人须知前附表允许投标文件偏离</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规定 的偏离范围和幅度。</w:t>
      </w:r>
    </w:p>
    <w:p>
      <w:pPr>
        <w:pStyle w:val="4"/>
        <w:spacing w:before="0" w:after="0" w:line="360" w:lineRule="auto"/>
        <w:rPr>
          <w:rFonts w:hint="eastAsia" w:ascii="宋体" w:hAnsi="宋体" w:eastAsia="宋体"/>
          <w:b w:val="0"/>
          <w:snapToGrid w:val="0"/>
          <w:color w:val="auto"/>
          <w:highlight w:val="none"/>
          <w:lang w:eastAsia="zh-CN"/>
        </w:rPr>
      </w:pPr>
      <w:bookmarkStart w:id="218" w:name="_Toc277082566"/>
      <w:bookmarkStart w:id="219" w:name="_Toc287607760"/>
      <w:bookmarkStart w:id="220" w:name="_Toc509218724"/>
      <w:bookmarkStart w:id="221" w:name="_Toc430530449"/>
      <w:bookmarkStart w:id="222" w:name="_Toc224103331"/>
      <w:bookmarkStart w:id="223" w:name="_Toc287620699"/>
      <w:bookmarkStart w:id="224" w:name="_Toc200513140"/>
      <w:bookmarkStart w:id="225" w:name="_Toc16150"/>
      <w:bookmarkStart w:id="226" w:name="_Toc2278"/>
      <w:r>
        <w:rPr>
          <w:rFonts w:ascii="宋体" w:hAnsi="宋体"/>
          <w:b w:val="0"/>
          <w:snapToGrid w:val="0"/>
          <w:color w:val="auto"/>
          <w:highlight w:val="none"/>
        </w:rPr>
        <w:t xml:space="preserve">2.  </w:t>
      </w:r>
      <w:bookmarkEnd w:id="218"/>
      <w:bookmarkEnd w:id="219"/>
      <w:bookmarkEnd w:id="220"/>
      <w:bookmarkEnd w:id="221"/>
      <w:bookmarkEnd w:id="222"/>
      <w:bookmarkEnd w:id="223"/>
      <w:bookmarkEnd w:id="224"/>
      <w:r>
        <w:rPr>
          <w:rFonts w:hint="eastAsia" w:ascii="宋体" w:hAnsi="宋体"/>
          <w:b w:val="0"/>
          <w:snapToGrid w:val="0"/>
          <w:color w:val="auto"/>
          <w:highlight w:val="none"/>
          <w:lang w:eastAsia="zh-CN"/>
        </w:rPr>
        <w:t>竞争性比选文件</w:t>
      </w:r>
      <w:bookmarkEnd w:id="225"/>
      <w:bookmarkEnd w:id="226"/>
    </w:p>
    <w:p>
      <w:pPr>
        <w:pStyle w:val="5"/>
        <w:snapToGrid w:val="0"/>
        <w:spacing w:before="0" w:after="0" w:line="360" w:lineRule="auto"/>
        <w:rPr>
          <w:rFonts w:ascii="宋体" w:hAnsi="宋体"/>
          <w:b w:val="0"/>
          <w:snapToGrid w:val="0"/>
          <w:color w:val="auto"/>
          <w:sz w:val="24"/>
          <w:szCs w:val="24"/>
          <w:highlight w:val="none"/>
        </w:rPr>
      </w:pPr>
      <w:bookmarkStart w:id="227" w:name="_Toc224103332"/>
      <w:bookmarkStart w:id="228" w:name="_Toc430530450"/>
      <w:bookmarkStart w:id="229" w:name="_Toc277082567"/>
      <w:bookmarkStart w:id="230" w:name="_Toc1895"/>
      <w:bookmarkStart w:id="231" w:name="_Toc287620700"/>
      <w:bookmarkStart w:id="232" w:name="_Toc287607761"/>
      <w:bookmarkStart w:id="233" w:name="_Toc200513141"/>
      <w:bookmarkStart w:id="234" w:name="_Toc509218725"/>
      <w:bookmarkStart w:id="235" w:name="_Toc31918"/>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竞争性比选文件</w:t>
      </w:r>
      <w:r>
        <w:rPr>
          <w:rFonts w:ascii="宋体" w:hAnsi="宋体"/>
          <w:b w:val="0"/>
          <w:snapToGrid w:val="0"/>
          <w:color w:val="auto"/>
          <w:sz w:val="24"/>
          <w:szCs w:val="24"/>
          <w:highlight w:val="none"/>
        </w:rPr>
        <w:t>的组成</w:t>
      </w:r>
      <w:bookmarkEnd w:id="227"/>
      <w:bookmarkEnd w:id="228"/>
      <w:bookmarkEnd w:id="229"/>
      <w:bookmarkEnd w:id="230"/>
      <w:bookmarkEnd w:id="231"/>
      <w:bookmarkEnd w:id="232"/>
      <w:bookmarkEnd w:id="233"/>
      <w:bookmarkEnd w:id="234"/>
      <w:bookmarkEnd w:id="235"/>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包括：</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（1）招标公告；</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（2）投标人须知；</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（6）图纸；</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（7）技术标准和要求；</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（8）投标文件格式；</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（9）投标人须知前附表规定的其他材料。</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的组成部分。</w:t>
      </w:r>
    </w:p>
    <w:p>
      <w:pPr>
        <w:pStyle w:val="5"/>
        <w:snapToGrid w:val="0"/>
        <w:spacing w:before="0" w:after="0" w:line="360" w:lineRule="auto"/>
        <w:rPr>
          <w:rFonts w:ascii="宋体" w:hAnsi="宋体"/>
          <w:b w:val="0"/>
          <w:snapToGrid w:val="0"/>
          <w:color w:val="auto"/>
          <w:sz w:val="24"/>
          <w:szCs w:val="24"/>
          <w:highlight w:val="none"/>
        </w:rPr>
      </w:pPr>
      <w:bookmarkStart w:id="236" w:name="_Toc509218726"/>
      <w:bookmarkStart w:id="237" w:name="_Toc21856"/>
      <w:bookmarkStart w:id="238" w:name="_Toc17173"/>
      <w:bookmarkStart w:id="239" w:name="_Toc430530451"/>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竞争性比选文件</w:t>
      </w:r>
      <w:r>
        <w:rPr>
          <w:rFonts w:ascii="宋体" w:hAnsi="宋体"/>
          <w:b w:val="0"/>
          <w:snapToGrid w:val="0"/>
          <w:color w:val="auto"/>
          <w:sz w:val="24"/>
          <w:szCs w:val="24"/>
          <w:highlight w:val="none"/>
        </w:rPr>
        <w:t>的澄清</w:t>
      </w:r>
      <w:bookmarkEnd w:id="236"/>
      <w:bookmarkEnd w:id="237"/>
      <w:bookmarkEnd w:id="238"/>
      <w:bookmarkEnd w:id="239"/>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2.2.1  投标人应仔细阅读和检查</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的全部内容。如发现缺页或附件不全，应及时向招标人提出，以便补齐。如有疑问，应在投标人须知前附表规定的时间前</w:t>
      </w:r>
      <w:r>
        <w:rPr>
          <w:rFonts w:ascii="宋体" w:hAnsi="宋体"/>
          <w:color w:val="auto"/>
          <w:kern w:val="0"/>
          <w:szCs w:val="21"/>
          <w:highlight w:val="none"/>
        </w:rPr>
        <w:t>在</w:t>
      </w:r>
      <w:r>
        <w:rPr>
          <w:rFonts w:hint="eastAsia" w:ascii="宋体" w:hAnsi="宋体"/>
          <w:color w:val="auto"/>
          <w:kern w:val="0"/>
          <w:szCs w:val="21"/>
          <w:highlight w:val="none"/>
        </w:rPr>
        <w:t>相应法定网站提问</w:t>
      </w:r>
      <w:r>
        <w:rPr>
          <w:rFonts w:ascii="宋体" w:hAnsi="宋体"/>
          <w:snapToGrid w:val="0"/>
          <w:color w:val="auto"/>
          <w:kern w:val="0"/>
          <w:szCs w:val="21"/>
          <w:highlight w:val="none"/>
        </w:rPr>
        <w:t>，要求招标人对</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予以澄清。</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的澄清将在投标人须知前附表规定的投标截止时间</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天前</w:t>
      </w:r>
      <w:r>
        <w:rPr>
          <w:rFonts w:ascii="宋体" w:hAnsi="宋体"/>
          <w:color w:val="auto"/>
          <w:kern w:val="0"/>
          <w:szCs w:val="21"/>
          <w:highlight w:val="none"/>
        </w:rPr>
        <w:t>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但不指明澄清问题的来源。如果澄清发出的时间距投标截止时间不足</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天，相应延长投标截止时间。</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ascii="宋体" w:hAnsi="宋体"/>
          <w:color w:val="auto"/>
          <w:kern w:val="0"/>
          <w:szCs w:val="21"/>
          <w:highlight w:val="none"/>
        </w:rPr>
        <w:t>招标人对</w:t>
      </w:r>
      <w:r>
        <w:rPr>
          <w:rFonts w:hint="eastAsia" w:ascii="宋体" w:hAnsi="宋体"/>
          <w:color w:val="auto"/>
          <w:kern w:val="0"/>
          <w:szCs w:val="21"/>
          <w:highlight w:val="none"/>
          <w:lang w:eastAsia="zh-CN"/>
        </w:rPr>
        <w:t>竞争性比选文件</w:t>
      </w:r>
      <w:r>
        <w:rPr>
          <w:rFonts w:ascii="宋体" w:hAnsi="宋体"/>
          <w:color w:val="auto"/>
          <w:kern w:val="0"/>
          <w:szCs w:val="21"/>
          <w:highlight w:val="none"/>
        </w:rPr>
        <w:t>的</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日的，须相应延后投标截止时间。</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2.2.4  投标人对</w:t>
      </w:r>
      <w:r>
        <w:rPr>
          <w:rFonts w:hint="eastAsia" w:ascii="宋体" w:hAnsi="宋体"/>
          <w:snapToGrid w:val="0"/>
          <w:color w:val="auto"/>
          <w:kern w:val="0"/>
          <w:position w:val="-2"/>
          <w:szCs w:val="21"/>
          <w:highlight w:val="none"/>
          <w:lang w:eastAsia="zh-CN"/>
        </w:rPr>
        <w:t>竞争性比选文件</w:t>
      </w:r>
      <w:r>
        <w:rPr>
          <w:rFonts w:ascii="宋体" w:hAnsi="宋体"/>
          <w:snapToGrid w:val="0"/>
          <w:color w:val="auto"/>
          <w:kern w:val="0"/>
          <w:position w:val="-2"/>
          <w:szCs w:val="21"/>
          <w:highlight w:val="none"/>
        </w:rPr>
        <w:t>和</w:t>
      </w:r>
      <w:r>
        <w:rPr>
          <w:rFonts w:hint="eastAsia" w:ascii="宋体" w:hAnsi="宋体"/>
          <w:snapToGrid w:val="0"/>
          <w:color w:val="auto"/>
          <w:kern w:val="0"/>
          <w:position w:val="-2"/>
          <w:szCs w:val="21"/>
          <w:highlight w:val="none"/>
        </w:rPr>
        <w:t>澄清</w:t>
      </w:r>
      <w:r>
        <w:rPr>
          <w:rFonts w:ascii="宋体" w:hAnsi="宋体"/>
          <w:snapToGrid w:val="0"/>
          <w:color w:val="auto"/>
          <w:kern w:val="0"/>
          <w:position w:val="-2"/>
          <w:szCs w:val="21"/>
          <w:highlight w:val="none"/>
        </w:rPr>
        <w:t>修改仍有</w:t>
      </w:r>
      <w:r>
        <w:rPr>
          <w:rFonts w:hint="eastAsia" w:ascii="宋体" w:hAnsi="宋体"/>
          <w:snapToGrid w:val="0"/>
          <w:color w:val="auto"/>
          <w:kern w:val="0"/>
          <w:position w:val="-2"/>
          <w:szCs w:val="21"/>
          <w:highlight w:val="none"/>
        </w:rPr>
        <w:t>异议</w:t>
      </w:r>
      <w:r>
        <w:rPr>
          <w:rFonts w:ascii="宋体" w:hAnsi="宋体"/>
          <w:snapToGrid w:val="0"/>
          <w:color w:val="auto"/>
          <w:kern w:val="0"/>
          <w:position w:val="-2"/>
          <w:szCs w:val="21"/>
          <w:highlight w:val="none"/>
        </w:rPr>
        <w:t>的，可于投标截止时间</w:t>
      </w:r>
      <w:r>
        <w:rPr>
          <w:rFonts w:hint="eastAsia" w:ascii="宋体" w:hAnsi="宋体"/>
          <w:snapToGrid w:val="0"/>
          <w:color w:val="auto"/>
          <w:kern w:val="0"/>
          <w:position w:val="-2"/>
          <w:szCs w:val="21"/>
          <w:highlight w:val="none"/>
          <w:lang w:val="en-US" w:eastAsia="zh-CN"/>
        </w:rPr>
        <w:t>3</w:t>
      </w:r>
      <w:r>
        <w:rPr>
          <w:rFonts w:ascii="宋体" w:hAnsi="宋体"/>
          <w:snapToGrid w:val="0"/>
          <w:color w:val="auto"/>
          <w:kern w:val="0"/>
          <w:position w:val="-2"/>
          <w:szCs w:val="21"/>
          <w:highlight w:val="none"/>
        </w:rPr>
        <w:t>日前，</w:t>
      </w:r>
      <w:r>
        <w:rPr>
          <w:rFonts w:hint="eastAsia" w:ascii="宋体" w:hAnsi="宋体" w:cs="宋体"/>
          <w:snapToGrid w:val="0"/>
          <w:color w:val="auto"/>
          <w:position w:val="-2"/>
          <w:szCs w:val="21"/>
          <w:highlight w:val="none"/>
        </w:rPr>
        <w:t>通过</w:t>
      </w:r>
      <w:r>
        <w:rPr>
          <w:rFonts w:hint="eastAsia" w:ascii="宋体" w:hAnsi="宋体" w:cs="宋体"/>
          <w:snapToGrid w:val="0"/>
          <w:color w:val="auto"/>
          <w:position w:val="-2"/>
          <w:szCs w:val="21"/>
          <w:highlight w:val="none"/>
          <w:lang w:val="en-US" w:eastAsia="zh-CN"/>
        </w:rPr>
        <w:t>邮件形式</w:t>
      </w:r>
      <w:r>
        <w:rPr>
          <w:rFonts w:hint="eastAsia" w:ascii="宋体" w:hAnsi="宋体" w:cs="宋体"/>
          <w:snapToGrid w:val="0"/>
          <w:color w:val="auto"/>
          <w:position w:val="-2"/>
          <w:szCs w:val="21"/>
          <w:highlight w:val="none"/>
        </w:rPr>
        <w:t>提出</w:t>
      </w:r>
      <w:r>
        <w:rPr>
          <w:rFonts w:ascii="宋体" w:hAnsi="宋体"/>
          <w:snapToGrid w:val="0"/>
          <w:color w:val="auto"/>
          <w:kern w:val="0"/>
          <w:szCs w:val="21"/>
          <w:highlight w:val="none"/>
        </w:rPr>
        <w:t>。招标人应将答复以</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的形式在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日的，须相应延后投标截止时间。</w:t>
      </w:r>
    </w:p>
    <w:p>
      <w:pPr>
        <w:pStyle w:val="5"/>
        <w:snapToGrid w:val="0"/>
        <w:spacing w:before="0" w:after="0" w:line="360" w:lineRule="auto"/>
        <w:rPr>
          <w:rFonts w:ascii="宋体" w:hAnsi="宋体"/>
          <w:b w:val="0"/>
          <w:snapToGrid w:val="0"/>
          <w:color w:val="auto"/>
          <w:sz w:val="24"/>
          <w:szCs w:val="24"/>
          <w:highlight w:val="none"/>
        </w:rPr>
      </w:pPr>
      <w:bookmarkStart w:id="240" w:name="_Toc277082569"/>
      <w:bookmarkStart w:id="241" w:name="_Toc7001"/>
      <w:bookmarkStart w:id="242" w:name="_Toc430530452"/>
      <w:bookmarkStart w:id="243" w:name="_Toc509218727"/>
      <w:bookmarkStart w:id="244" w:name="_Toc200513143"/>
      <w:bookmarkStart w:id="245" w:name="_Toc224103334"/>
      <w:bookmarkStart w:id="246" w:name="_Toc20314"/>
      <w:bookmarkStart w:id="247" w:name="_Toc287607763"/>
      <w:bookmarkStart w:id="248" w:name="_Toc287620702"/>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lang w:eastAsia="zh-CN"/>
        </w:rPr>
        <w:t>竞争性比选文件</w:t>
      </w:r>
      <w:r>
        <w:rPr>
          <w:rFonts w:ascii="宋体" w:hAnsi="宋体"/>
          <w:b w:val="0"/>
          <w:snapToGrid w:val="0"/>
          <w:color w:val="auto"/>
          <w:sz w:val="24"/>
          <w:szCs w:val="24"/>
          <w:highlight w:val="none"/>
        </w:rPr>
        <w:t>的修改</w:t>
      </w:r>
      <w:bookmarkEnd w:id="240"/>
      <w:bookmarkEnd w:id="241"/>
      <w:bookmarkEnd w:id="242"/>
      <w:bookmarkEnd w:id="243"/>
      <w:bookmarkEnd w:id="244"/>
      <w:bookmarkEnd w:id="245"/>
      <w:bookmarkEnd w:id="246"/>
      <w:bookmarkEnd w:id="247"/>
      <w:bookmarkEnd w:id="248"/>
    </w:p>
    <w:p>
      <w:pPr>
        <w:autoSpaceDE w:val="0"/>
        <w:autoSpaceDN w:val="0"/>
        <w:adjustRightInd w:val="0"/>
        <w:snapToGrid w:val="0"/>
        <w:spacing w:line="360" w:lineRule="auto"/>
        <w:ind w:firstLine="420"/>
        <w:rPr>
          <w:rFonts w:ascii="宋体" w:hAnsi="宋体"/>
          <w:snapToGrid w:val="0"/>
          <w:color w:val="auto"/>
          <w:highlight w:val="none"/>
        </w:rPr>
      </w:pPr>
      <w:bookmarkStart w:id="249" w:name="_Toc287607764"/>
      <w:bookmarkStart w:id="250" w:name="_Toc200513144"/>
      <w:bookmarkStart w:id="251" w:name="_Toc224103335"/>
      <w:bookmarkStart w:id="252" w:name="_Toc287620703"/>
      <w:bookmarkStart w:id="253" w:name="_Toc277082570"/>
      <w:r>
        <w:rPr>
          <w:rFonts w:ascii="宋体" w:hAnsi="宋体"/>
          <w:snapToGrid w:val="0"/>
          <w:color w:val="auto"/>
          <w:highlight w:val="none"/>
        </w:rPr>
        <w:t>按照本章第2.2款</w:t>
      </w:r>
      <w:r>
        <w:rPr>
          <w:rFonts w:hint="eastAsia" w:ascii="宋体" w:hAnsi="宋体"/>
          <w:snapToGrid w:val="0"/>
          <w:color w:val="auto"/>
          <w:highlight w:val="none"/>
          <w:lang w:eastAsia="zh-CN"/>
        </w:rPr>
        <w:t>竞争性比选文件</w:t>
      </w:r>
      <w:r>
        <w:rPr>
          <w:rFonts w:ascii="宋体" w:hAnsi="宋体"/>
          <w:snapToGrid w:val="0"/>
          <w:color w:val="auto"/>
          <w:highlight w:val="none"/>
        </w:rPr>
        <w:t>的澄清相关内容及方式执行。</w:t>
      </w:r>
    </w:p>
    <w:p>
      <w:pPr>
        <w:pStyle w:val="4"/>
        <w:spacing w:before="0" w:after="0" w:line="360" w:lineRule="auto"/>
        <w:rPr>
          <w:rFonts w:ascii="宋体" w:hAnsi="宋体"/>
          <w:b w:val="0"/>
          <w:snapToGrid w:val="0"/>
          <w:color w:val="auto"/>
          <w:highlight w:val="none"/>
        </w:rPr>
      </w:pPr>
      <w:bookmarkStart w:id="254" w:name="_Toc430530453"/>
      <w:bookmarkStart w:id="255" w:name="_Toc13480"/>
      <w:bookmarkStart w:id="256" w:name="_Toc21780"/>
      <w:bookmarkStart w:id="257" w:name="_Toc509218728"/>
      <w:r>
        <w:rPr>
          <w:rFonts w:ascii="宋体" w:hAnsi="宋体"/>
          <w:b w:val="0"/>
          <w:snapToGrid w:val="0"/>
          <w:color w:val="auto"/>
          <w:highlight w:val="none"/>
        </w:rPr>
        <w:t>3.  投标文件</w:t>
      </w:r>
      <w:bookmarkEnd w:id="249"/>
      <w:bookmarkEnd w:id="250"/>
      <w:bookmarkEnd w:id="251"/>
      <w:bookmarkEnd w:id="252"/>
      <w:bookmarkEnd w:id="253"/>
      <w:bookmarkEnd w:id="254"/>
      <w:bookmarkEnd w:id="255"/>
      <w:bookmarkEnd w:id="256"/>
      <w:bookmarkEnd w:id="257"/>
    </w:p>
    <w:p>
      <w:pPr>
        <w:pStyle w:val="5"/>
        <w:snapToGrid w:val="0"/>
        <w:spacing w:before="0" w:after="0" w:line="360" w:lineRule="auto"/>
        <w:rPr>
          <w:rFonts w:ascii="宋体" w:hAnsi="宋体"/>
          <w:b w:val="0"/>
          <w:snapToGrid w:val="0"/>
          <w:color w:val="auto"/>
          <w:sz w:val="24"/>
          <w:szCs w:val="24"/>
          <w:highlight w:val="none"/>
        </w:rPr>
      </w:pPr>
      <w:bookmarkStart w:id="258" w:name="_Toc509218729"/>
      <w:bookmarkStart w:id="259" w:name="_Toc430530454"/>
      <w:bookmarkStart w:id="260" w:name="_Toc224103336"/>
      <w:bookmarkStart w:id="261" w:name="_Toc200513145"/>
      <w:bookmarkStart w:id="262" w:name="_Toc287607765"/>
      <w:bookmarkStart w:id="263" w:name="_Toc287620704"/>
      <w:bookmarkStart w:id="264" w:name="_Toc277082571"/>
      <w:bookmarkStart w:id="265" w:name="_Toc29443"/>
      <w:bookmarkStart w:id="266" w:name="_Toc11450"/>
      <w:r>
        <w:rPr>
          <w:rFonts w:ascii="宋体" w:hAnsi="宋体"/>
          <w:b w:val="0"/>
          <w:snapToGrid w:val="0"/>
          <w:color w:val="auto"/>
          <w:sz w:val="24"/>
          <w:szCs w:val="24"/>
          <w:highlight w:val="none"/>
        </w:rPr>
        <w:t>3.1  投标文件的组成</w:t>
      </w:r>
      <w:bookmarkEnd w:id="258"/>
      <w:bookmarkEnd w:id="259"/>
      <w:bookmarkEnd w:id="260"/>
      <w:bookmarkEnd w:id="261"/>
      <w:bookmarkEnd w:id="262"/>
      <w:bookmarkEnd w:id="263"/>
      <w:bookmarkEnd w:id="264"/>
      <w:bookmarkEnd w:id="265"/>
      <w:bookmarkEnd w:id="266"/>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3.1.1 投标文件应包括下列内容：</w:t>
      </w:r>
    </w:p>
    <w:p>
      <w:pPr>
        <w:spacing w:line="360" w:lineRule="auto"/>
        <w:ind w:firstLine="420" w:firstLineChars="200"/>
        <w:rPr>
          <w:rFonts w:ascii="宋体" w:hAnsi="宋体"/>
          <w:color w:val="auto"/>
          <w:highlight w:val="none"/>
        </w:rPr>
      </w:pPr>
      <w:r>
        <w:rPr>
          <w:rFonts w:hint="eastAsia" w:ascii="宋体" w:hAnsi="宋体"/>
          <w:color w:val="auto"/>
          <w:highlight w:val="none"/>
        </w:rPr>
        <w:t>3.1.1.1投标函部分</w:t>
      </w:r>
    </w:p>
    <w:p>
      <w:pPr>
        <w:spacing w:line="360" w:lineRule="auto"/>
        <w:ind w:firstLine="420" w:firstLineChars="200"/>
        <w:rPr>
          <w:rFonts w:ascii="宋体" w:hAnsi="宋体"/>
          <w:color w:val="auto"/>
          <w:highlight w:val="none"/>
        </w:rPr>
      </w:pPr>
      <w:r>
        <w:rPr>
          <w:rFonts w:hint="eastAsia" w:ascii="宋体" w:hAnsi="宋体"/>
          <w:color w:val="auto"/>
          <w:highlight w:val="none"/>
        </w:rPr>
        <w:t>（1）投标函</w:t>
      </w:r>
    </w:p>
    <w:p>
      <w:pPr>
        <w:spacing w:line="360" w:lineRule="auto"/>
        <w:ind w:firstLine="420" w:firstLineChars="200"/>
        <w:rPr>
          <w:rFonts w:ascii="宋体" w:hAnsi="宋体"/>
          <w:color w:val="auto"/>
          <w:highlight w:val="none"/>
        </w:rPr>
      </w:pPr>
      <w:r>
        <w:rPr>
          <w:rFonts w:hint="eastAsia" w:ascii="宋体" w:hAnsi="宋体"/>
          <w:color w:val="auto"/>
          <w:highlight w:val="none"/>
        </w:rPr>
        <w:t>（2）投标函附录</w:t>
      </w:r>
    </w:p>
    <w:p>
      <w:pPr>
        <w:spacing w:line="360" w:lineRule="auto"/>
        <w:ind w:firstLine="420" w:firstLineChars="200"/>
        <w:rPr>
          <w:rFonts w:ascii="宋体" w:hAnsi="宋体"/>
          <w:color w:val="auto"/>
          <w:highlight w:val="none"/>
        </w:rPr>
      </w:pPr>
      <w:r>
        <w:rPr>
          <w:rFonts w:hint="eastAsia" w:ascii="宋体" w:hAnsi="宋体"/>
          <w:color w:val="auto"/>
          <w:highlight w:val="none"/>
        </w:rPr>
        <w:t>（3）法定代表人身份证明或附有法定代表人身份证明的授权委托书</w:t>
      </w:r>
    </w:p>
    <w:p>
      <w:pPr>
        <w:spacing w:line="360" w:lineRule="auto"/>
        <w:ind w:firstLine="420" w:firstLineChars="200"/>
        <w:rPr>
          <w:rFonts w:ascii="宋体" w:hAnsi="宋体"/>
          <w:color w:val="auto"/>
          <w:highlight w:val="none"/>
        </w:rPr>
      </w:pPr>
      <w:r>
        <w:rPr>
          <w:rFonts w:hint="eastAsia" w:ascii="宋体" w:hAnsi="宋体"/>
          <w:color w:val="auto"/>
          <w:highlight w:val="none"/>
        </w:rPr>
        <w:t>（4）低价风险担保提交承诺书（如有）</w:t>
      </w:r>
    </w:p>
    <w:p>
      <w:pPr>
        <w:spacing w:line="360" w:lineRule="auto"/>
        <w:ind w:firstLine="420" w:firstLineChars="200"/>
        <w:rPr>
          <w:rFonts w:ascii="宋体" w:hAnsi="宋体"/>
          <w:color w:val="auto"/>
          <w:highlight w:val="none"/>
        </w:rPr>
      </w:pPr>
      <w:r>
        <w:rPr>
          <w:rFonts w:hint="eastAsia" w:ascii="宋体" w:hAnsi="宋体"/>
          <w:color w:val="auto"/>
          <w:highlight w:val="none"/>
        </w:rPr>
        <w:t>3.1.1.2经济部分</w:t>
      </w:r>
    </w:p>
    <w:p>
      <w:pPr>
        <w:spacing w:line="360" w:lineRule="auto"/>
        <w:ind w:firstLine="420" w:firstLineChars="200"/>
        <w:rPr>
          <w:rFonts w:ascii="宋体" w:hAnsi="宋体"/>
          <w:color w:val="auto"/>
          <w:highlight w:val="none"/>
        </w:rPr>
      </w:pPr>
      <w:r>
        <w:rPr>
          <w:rFonts w:hint="eastAsia" w:ascii="宋体" w:hAnsi="宋体"/>
          <w:color w:val="auto"/>
          <w:highlight w:val="none"/>
        </w:rPr>
        <w:t>（1）已标价工程量清单</w:t>
      </w:r>
    </w:p>
    <w:p>
      <w:pPr>
        <w:spacing w:line="360" w:lineRule="auto"/>
        <w:ind w:firstLine="420" w:firstLineChars="200"/>
        <w:rPr>
          <w:rFonts w:ascii="宋体" w:hAnsi="宋体"/>
          <w:color w:val="auto"/>
          <w:highlight w:val="none"/>
        </w:rPr>
      </w:pPr>
      <w:r>
        <w:rPr>
          <w:rFonts w:hint="eastAsia" w:ascii="宋体" w:hAnsi="宋体"/>
          <w:color w:val="auto"/>
          <w:highlight w:val="none"/>
        </w:rPr>
        <w:t>3.1.1.3技术部分（不设置技术方案评审的不设此部分）</w:t>
      </w:r>
    </w:p>
    <w:p>
      <w:pPr>
        <w:spacing w:line="360" w:lineRule="auto"/>
        <w:ind w:firstLine="420" w:firstLineChars="200"/>
        <w:rPr>
          <w:rFonts w:ascii="宋体" w:hAnsi="宋体"/>
          <w:color w:val="auto"/>
          <w:highlight w:val="none"/>
        </w:rPr>
      </w:pPr>
      <w:r>
        <w:rPr>
          <w:rFonts w:hint="eastAsia" w:ascii="宋体" w:hAnsi="宋体"/>
          <w:color w:val="auto"/>
          <w:highlight w:val="none"/>
        </w:rPr>
        <w:t>3.1.1.4资格审查部分</w:t>
      </w:r>
    </w:p>
    <w:p>
      <w:pPr>
        <w:spacing w:line="360" w:lineRule="auto"/>
        <w:ind w:firstLine="420" w:firstLineChars="200"/>
        <w:rPr>
          <w:rFonts w:ascii="宋体" w:hAnsi="宋体"/>
          <w:color w:val="auto"/>
          <w:highlight w:val="none"/>
        </w:rPr>
      </w:pPr>
      <w:r>
        <w:rPr>
          <w:rFonts w:hint="eastAsia" w:ascii="宋体" w:hAnsi="宋体"/>
          <w:color w:val="auto"/>
          <w:highlight w:val="none"/>
        </w:rPr>
        <w:t>（1）法定代表人身份证明或附有法定代表人身份证明的授权委托书</w:t>
      </w:r>
    </w:p>
    <w:p>
      <w:pPr>
        <w:spacing w:line="360" w:lineRule="auto"/>
        <w:ind w:firstLine="420" w:firstLineChars="200"/>
        <w:rPr>
          <w:rFonts w:ascii="宋体" w:hAnsi="宋体"/>
          <w:color w:val="auto"/>
          <w:highlight w:val="none"/>
        </w:rPr>
      </w:pPr>
      <w:r>
        <w:rPr>
          <w:rFonts w:hint="eastAsia" w:ascii="宋体" w:hAnsi="宋体"/>
          <w:color w:val="auto"/>
          <w:highlight w:val="none"/>
        </w:rPr>
        <w:t>（2）投标人基本情况表</w:t>
      </w:r>
    </w:p>
    <w:p>
      <w:pPr>
        <w:spacing w:line="360" w:lineRule="auto"/>
        <w:ind w:firstLine="420" w:firstLineChars="200"/>
        <w:rPr>
          <w:rFonts w:ascii="宋体" w:hAnsi="宋体"/>
          <w:color w:val="auto"/>
          <w:highlight w:val="none"/>
        </w:rPr>
      </w:pPr>
      <w:r>
        <w:rPr>
          <w:rFonts w:hint="eastAsia" w:ascii="宋体" w:hAnsi="宋体"/>
          <w:color w:val="auto"/>
          <w:highlight w:val="none"/>
        </w:rPr>
        <w:t>（3）项目管理机构</w:t>
      </w:r>
    </w:p>
    <w:p>
      <w:pPr>
        <w:spacing w:line="360" w:lineRule="auto"/>
        <w:ind w:firstLine="420" w:firstLineChars="200"/>
        <w:rPr>
          <w:rFonts w:ascii="宋体" w:hAnsi="宋体"/>
          <w:color w:val="auto"/>
          <w:highlight w:val="none"/>
        </w:rPr>
      </w:pPr>
      <w:r>
        <w:rPr>
          <w:rFonts w:hint="eastAsia" w:ascii="宋体" w:hAnsi="宋体"/>
          <w:color w:val="auto"/>
          <w:highlight w:val="none"/>
        </w:rPr>
        <w:t>（4）近年财务状况表</w:t>
      </w:r>
    </w:p>
    <w:p>
      <w:pPr>
        <w:spacing w:line="360" w:lineRule="auto"/>
        <w:ind w:firstLine="420" w:firstLineChars="200"/>
        <w:rPr>
          <w:rFonts w:ascii="宋体" w:hAnsi="宋体"/>
          <w:color w:val="auto"/>
          <w:highlight w:val="none"/>
        </w:rPr>
      </w:pPr>
      <w:r>
        <w:rPr>
          <w:rFonts w:hint="eastAsia" w:ascii="宋体" w:hAnsi="宋体"/>
          <w:color w:val="auto"/>
          <w:highlight w:val="none"/>
        </w:rPr>
        <w:t>（5）类似项目情况表</w:t>
      </w:r>
    </w:p>
    <w:p>
      <w:pPr>
        <w:spacing w:line="360" w:lineRule="auto"/>
        <w:ind w:firstLine="420" w:firstLineChars="200"/>
        <w:rPr>
          <w:rFonts w:ascii="宋体" w:hAnsi="宋体"/>
          <w:color w:val="auto"/>
          <w:highlight w:val="none"/>
        </w:rPr>
      </w:pPr>
      <w:r>
        <w:rPr>
          <w:rFonts w:hint="eastAsia" w:ascii="宋体" w:hAnsi="宋体"/>
          <w:color w:val="auto"/>
          <w:highlight w:val="none"/>
        </w:rPr>
        <w:t>（6）承诺</w:t>
      </w:r>
    </w:p>
    <w:p>
      <w:pPr>
        <w:spacing w:line="360" w:lineRule="auto"/>
        <w:ind w:firstLine="420" w:firstLineChars="200"/>
        <w:rPr>
          <w:rFonts w:ascii="宋体" w:hAnsi="宋体"/>
          <w:color w:val="auto"/>
          <w:highlight w:val="none"/>
        </w:rPr>
      </w:pPr>
      <w:r>
        <w:rPr>
          <w:rFonts w:hint="eastAsia" w:ascii="宋体" w:hAnsi="宋体"/>
          <w:color w:val="auto"/>
          <w:highlight w:val="none"/>
        </w:rPr>
        <w:t>（7）其他资料</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3.1.2  投标人须知前附表规定不接受联合体投标的，或投标人没有组成联合体的，投标文件不包括联合体协议书。</w:t>
      </w:r>
    </w:p>
    <w:p>
      <w:pPr>
        <w:pStyle w:val="5"/>
        <w:snapToGrid w:val="0"/>
        <w:spacing w:before="0" w:after="0" w:line="360" w:lineRule="auto"/>
        <w:rPr>
          <w:rFonts w:ascii="宋体" w:hAnsi="宋体"/>
          <w:b w:val="0"/>
          <w:snapToGrid w:val="0"/>
          <w:color w:val="auto"/>
          <w:sz w:val="24"/>
          <w:szCs w:val="24"/>
          <w:highlight w:val="none"/>
        </w:rPr>
      </w:pPr>
      <w:bookmarkStart w:id="267" w:name="_Toc287620705"/>
      <w:bookmarkStart w:id="268" w:name="_Toc430530455"/>
      <w:bookmarkStart w:id="269" w:name="_Toc16323"/>
      <w:bookmarkStart w:id="270" w:name="_Toc200513146"/>
      <w:bookmarkStart w:id="271" w:name="_Toc277082572"/>
      <w:bookmarkStart w:id="272" w:name="_Toc287607766"/>
      <w:bookmarkStart w:id="273" w:name="_Toc10118"/>
      <w:bookmarkStart w:id="274" w:name="_Toc224103337"/>
      <w:bookmarkStart w:id="275" w:name="_Toc509218730"/>
      <w:r>
        <w:rPr>
          <w:rFonts w:ascii="宋体" w:hAnsi="宋体"/>
          <w:b w:val="0"/>
          <w:snapToGrid w:val="0"/>
          <w:color w:val="auto"/>
          <w:sz w:val="24"/>
          <w:szCs w:val="24"/>
          <w:highlight w:val="none"/>
        </w:rPr>
        <w:t>3.2  投标报价</w:t>
      </w:r>
      <w:bookmarkEnd w:id="267"/>
      <w:bookmarkEnd w:id="268"/>
      <w:bookmarkEnd w:id="269"/>
      <w:bookmarkEnd w:id="270"/>
      <w:bookmarkEnd w:id="271"/>
      <w:bookmarkEnd w:id="272"/>
      <w:bookmarkEnd w:id="273"/>
      <w:bookmarkEnd w:id="274"/>
      <w:bookmarkEnd w:id="275"/>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3.2.1  投标人应按第五章“工程量清单”的要求填写相应表格。</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投标人在投标截止时间前修改投标函中的投标总报价，应同时修改第五章“工程量清单”中的相应报价。此修改须符合本章第 4.3 款的有关要求。</w:t>
      </w:r>
    </w:p>
    <w:p>
      <w:pPr>
        <w:pStyle w:val="5"/>
        <w:snapToGrid w:val="0"/>
        <w:spacing w:before="0" w:after="0" w:line="360" w:lineRule="auto"/>
        <w:rPr>
          <w:rFonts w:ascii="宋体" w:hAnsi="宋体"/>
          <w:b w:val="0"/>
          <w:snapToGrid w:val="0"/>
          <w:color w:val="auto"/>
          <w:sz w:val="24"/>
          <w:szCs w:val="24"/>
          <w:highlight w:val="none"/>
        </w:rPr>
      </w:pPr>
      <w:bookmarkStart w:id="276" w:name="_Toc287607767"/>
      <w:bookmarkStart w:id="277" w:name="_Toc430530456"/>
      <w:bookmarkStart w:id="278" w:name="_Toc3598"/>
      <w:bookmarkStart w:id="279" w:name="_Toc15691"/>
      <w:bookmarkStart w:id="280" w:name="_Toc277082573"/>
      <w:bookmarkStart w:id="281" w:name="_Toc509218731"/>
      <w:bookmarkStart w:id="282" w:name="_Toc287620706"/>
      <w:bookmarkStart w:id="283" w:name="_Toc200513147"/>
      <w:bookmarkStart w:id="284" w:name="_Toc224103338"/>
      <w:r>
        <w:rPr>
          <w:rFonts w:ascii="宋体" w:hAnsi="宋体"/>
          <w:b w:val="0"/>
          <w:snapToGrid w:val="0"/>
          <w:color w:val="auto"/>
          <w:sz w:val="24"/>
          <w:szCs w:val="24"/>
          <w:highlight w:val="none"/>
        </w:rPr>
        <w:t>3.3  投标有效期</w:t>
      </w:r>
      <w:bookmarkEnd w:id="276"/>
      <w:bookmarkEnd w:id="277"/>
      <w:bookmarkEnd w:id="278"/>
      <w:bookmarkEnd w:id="279"/>
      <w:bookmarkEnd w:id="280"/>
      <w:bookmarkEnd w:id="281"/>
      <w:bookmarkEnd w:id="282"/>
      <w:bookmarkEnd w:id="283"/>
      <w:bookmarkEnd w:id="284"/>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3.3.1  在投标人须知前附表规定的投标有效期内，投标人不得要求撤销或修改其投标文件。</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w:t>
      </w:r>
      <w:r>
        <w:rPr>
          <w:rFonts w:hint="eastAsia" w:ascii="宋体" w:hAnsi="宋体"/>
          <w:snapToGrid w:val="0"/>
          <w:color w:val="auto"/>
          <w:kern w:val="0"/>
          <w:szCs w:val="21"/>
          <w:highlight w:val="none"/>
          <w:lang w:val="en-US" w:eastAsia="zh-CN"/>
        </w:rPr>
        <w:t>保证金</w:t>
      </w:r>
      <w:r>
        <w:rPr>
          <w:rFonts w:ascii="宋体" w:hAnsi="宋体"/>
          <w:snapToGrid w:val="0"/>
          <w:color w:val="auto"/>
          <w:kern w:val="0"/>
          <w:szCs w:val="21"/>
          <w:highlight w:val="none"/>
        </w:rPr>
        <w:t>。</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285" w:name="_Toc509218732"/>
      <w:bookmarkStart w:id="286" w:name="_Toc277082574"/>
      <w:bookmarkStart w:id="287" w:name="_Toc287607768"/>
      <w:bookmarkStart w:id="288" w:name="_Toc287620707"/>
      <w:bookmarkStart w:id="289" w:name="_Toc224103339"/>
      <w:bookmarkStart w:id="290" w:name="_Toc430530457"/>
      <w:bookmarkStart w:id="291" w:name="_Toc200513148"/>
      <w:bookmarkStart w:id="292" w:name="_Toc7151"/>
      <w:bookmarkStart w:id="293" w:name="_Toc19708"/>
      <w:r>
        <w:rPr>
          <w:rFonts w:ascii="宋体" w:hAnsi="宋体"/>
          <w:b w:val="0"/>
          <w:snapToGrid w:val="0"/>
          <w:color w:val="auto"/>
          <w:sz w:val="24"/>
          <w:szCs w:val="24"/>
          <w:highlight w:val="none"/>
        </w:rPr>
        <w:t>3.4  投标</w:t>
      </w:r>
      <w:bookmarkEnd w:id="285"/>
      <w:bookmarkEnd w:id="286"/>
      <w:bookmarkEnd w:id="287"/>
      <w:bookmarkEnd w:id="288"/>
      <w:bookmarkEnd w:id="289"/>
      <w:bookmarkEnd w:id="290"/>
      <w:bookmarkEnd w:id="291"/>
      <w:r>
        <w:rPr>
          <w:rFonts w:hint="eastAsia" w:ascii="宋体" w:hAnsi="宋体"/>
          <w:b w:val="0"/>
          <w:snapToGrid w:val="0"/>
          <w:color w:val="auto"/>
          <w:sz w:val="24"/>
          <w:szCs w:val="24"/>
          <w:highlight w:val="none"/>
        </w:rPr>
        <w:t>保证金</w:t>
      </w:r>
      <w:bookmarkEnd w:id="292"/>
      <w:bookmarkEnd w:id="293"/>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3.4.1  投标人在递交投标文件的同时，应按投标人须知前附表的规定递交投标保证金，并作为其投标文件的组成部分。</w:t>
      </w:r>
    </w:p>
    <w:p>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3.4.2  投标人不按本章第 3.4.1 项要求提交投标保证金的，其投标文件作否决投标处理。</w:t>
      </w:r>
    </w:p>
    <w:p>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3.4.3  投标</w:t>
      </w:r>
      <w:r>
        <w:rPr>
          <w:rFonts w:ascii="宋体" w:hAnsi="宋体"/>
          <w:snapToGrid w:val="0"/>
          <w:color w:val="auto"/>
          <w:kern w:val="0"/>
          <w:position w:val="-2"/>
          <w:szCs w:val="21"/>
          <w:highlight w:val="none"/>
        </w:rPr>
        <w:t>保证金</w:t>
      </w:r>
      <w:r>
        <w:rPr>
          <w:rFonts w:ascii="宋体" w:hAnsi="宋体"/>
          <w:snapToGrid w:val="0"/>
          <w:color w:val="auto"/>
          <w:kern w:val="0"/>
          <w:szCs w:val="21"/>
          <w:highlight w:val="none"/>
        </w:rPr>
        <w:t>退还：见投标人须知前附表</w:t>
      </w:r>
      <w:r>
        <w:rPr>
          <w:rFonts w:ascii="宋体" w:hAnsi="宋体"/>
          <w:snapToGrid w:val="0"/>
          <w:color w:val="auto"/>
          <w:kern w:val="0"/>
          <w:position w:val="-2"/>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有下列情形之一的，投标保证金将不予退还：</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（1）投标人在规定的投标有效期内撤销或修改其投标文件；</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rPr>
        <w:t>中标人在收到中标通知书后，无正当理由不与招标人订立合同，在签订合同时向招标人提出附加条件，或者不按照</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要求提交履约保证金</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hint="eastAsia" w:ascii="宋体" w:hAnsi="宋体"/>
          <w:color w:val="auto"/>
          <w:kern w:val="0"/>
          <w:szCs w:val="21"/>
          <w:highlight w:val="none"/>
        </w:rPr>
        <w:t>中标人（或拟中标人）拒不提供或者不按时提供低价风险担保（适用于经评审的最低投标价法）；</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）违反本章第9.2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对投标人的纪律要求的；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）法律法规规定的其他情形。</w:t>
      </w:r>
    </w:p>
    <w:p>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（1）投标保证金为无条件担保；</w:t>
      </w:r>
    </w:p>
    <w:p>
      <w:pPr>
        <w:tabs>
          <w:tab w:val="left" w:pos="611"/>
          <w:tab w:val="left" w:pos="669"/>
        </w:tabs>
        <w:snapToGrid w:val="0"/>
        <w:spacing w:line="360" w:lineRule="auto"/>
        <w:ind w:firstLine="945" w:firstLineChars="450"/>
        <w:rPr>
          <w:rFonts w:ascii="宋体" w:hAnsi="宋体"/>
          <w:color w:val="auto"/>
          <w:kern w:val="0"/>
          <w:highlight w:val="none"/>
        </w:rPr>
      </w:pPr>
      <w:r>
        <w:rPr>
          <w:rFonts w:ascii="宋体" w:hAnsi="宋体"/>
          <w:color w:val="auto"/>
          <w:kern w:val="0"/>
          <w:highlight w:val="none"/>
        </w:rPr>
        <w:t>（2）投标保证金的受益人为招标人</w:t>
      </w:r>
      <w:r>
        <w:rPr>
          <w:rFonts w:hint="eastAsia" w:ascii="宋体" w:hAnsi="宋体"/>
          <w:color w:val="auto"/>
          <w:kern w:val="0"/>
          <w:highlight w:val="none"/>
        </w:rPr>
        <w:t>。</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294" w:name="_Toc430530459"/>
      <w:bookmarkStart w:id="295" w:name="_Toc224103341"/>
      <w:bookmarkStart w:id="296" w:name="_Toc509218734"/>
      <w:bookmarkStart w:id="297" w:name="_Toc18650"/>
      <w:bookmarkStart w:id="298" w:name="_Toc277082576"/>
      <w:bookmarkStart w:id="299" w:name="_Toc287620709"/>
      <w:bookmarkStart w:id="300" w:name="_Toc31862"/>
      <w:bookmarkStart w:id="301" w:name="_Toc200513150"/>
      <w:bookmarkStart w:id="302" w:name="_Toc287607770"/>
      <w:r>
        <w:rPr>
          <w:rFonts w:ascii="宋体" w:hAnsi="宋体"/>
          <w:b w:val="0"/>
          <w:snapToGrid w:val="0"/>
          <w:color w:val="auto"/>
          <w:sz w:val="24"/>
          <w:szCs w:val="24"/>
          <w:highlight w:val="none"/>
        </w:rPr>
        <w:t>3.5  资格审查资料</w:t>
      </w:r>
      <w:bookmarkEnd w:id="294"/>
      <w:bookmarkEnd w:id="295"/>
      <w:bookmarkEnd w:id="296"/>
      <w:bookmarkEnd w:id="297"/>
      <w:bookmarkEnd w:id="298"/>
      <w:bookmarkEnd w:id="299"/>
      <w:bookmarkEnd w:id="300"/>
      <w:bookmarkEnd w:id="301"/>
      <w:bookmarkEnd w:id="302"/>
    </w:p>
    <w:p>
      <w:pPr>
        <w:autoSpaceDE w:val="0"/>
        <w:autoSpaceDN w:val="0"/>
        <w:adjustRightInd w:val="0"/>
        <w:snapToGrid w:val="0"/>
        <w:spacing w:line="360" w:lineRule="auto"/>
        <w:ind w:left="103" w:leftChars="49" w:right="37" w:firstLine="420" w:firstLineChars="200"/>
        <w:rPr>
          <w:rFonts w:ascii="宋体" w:hAnsi="宋体"/>
          <w:color w:val="auto"/>
          <w:szCs w:val="21"/>
          <w:highlight w:val="none"/>
        </w:rPr>
      </w:pPr>
      <w:r>
        <w:rPr>
          <w:rFonts w:ascii="宋体" w:hAnsi="宋体"/>
          <w:color w:val="auto"/>
          <w:szCs w:val="21"/>
          <w:highlight w:val="none"/>
        </w:rPr>
        <w:t>投标人</w:t>
      </w:r>
      <w:r>
        <w:rPr>
          <w:rFonts w:hint="eastAsia" w:ascii="宋体" w:hAnsi="宋体"/>
          <w:color w:val="auto"/>
          <w:szCs w:val="21"/>
          <w:highlight w:val="none"/>
        </w:rPr>
        <w:t>应附</w:t>
      </w:r>
      <w:r>
        <w:rPr>
          <w:rFonts w:hint="eastAsia" w:ascii="宋体" w:hAnsi="宋体"/>
          <w:color w:val="auto"/>
          <w:kern w:val="0"/>
          <w:szCs w:val="21"/>
          <w:highlight w:val="none"/>
        </w:rPr>
        <w:t>投标人须知前附表第1</w:t>
      </w:r>
      <w:r>
        <w:rPr>
          <w:rFonts w:ascii="宋体" w:hAnsi="宋体"/>
          <w:color w:val="auto"/>
          <w:kern w:val="0"/>
          <w:szCs w:val="21"/>
          <w:highlight w:val="none"/>
        </w:rPr>
        <w:t>.4.1项</w:t>
      </w:r>
      <w:r>
        <w:rPr>
          <w:rFonts w:hint="eastAsia" w:ascii="宋体" w:hAnsi="宋体"/>
          <w:color w:val="auto"/>
          <w:kern w:val="0"/>
          <w:szCs w:val="21"/>
          <w:highlight w:val="none"/>
        </w:rPr>
        <w:t>中要求的相关证明材料</w:t>
      </w:r>
      <w:r>
        <w:rPr>
          <w:rFonts w:ascii="宋体" w:hAnsi="宋体"/>
          <w:color w:val="auto"/>
          <w:szCs w:val="21"/>
          <w:highlight w:val="none"/>
        </w:rPr>
        <w:t>。</w:t>
      </w:r>
    </w:p>
    <w:p>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投标人须知前附表规定接受联合体投标的，详见投标人须知前附表联合体投标相关内容。</w:t>
      </w:r>
    </w:p>
    <w:p>
      <w:pPr>
        <w:pStyle w:val="5"/>
        <w:snapToGrid w:val="0"/>
        <w:spacing w:before="0" w:after="0" w:line="360" w:lineRule="auto"/>
        <w:rPr>
          <w:rFonts w:ascii="宋体" w:hAnsi="宋体"/>
          <w:b w:val="0"/>
          <w:snapToGrid w:val="0"/>
          <w:color w:val="auto"/>
          <w:sz w:val="24"/>
          <w:szCs w:val="24"/>
          <w:highlight w:val="none"/>
        </w:rPr>
      </w:pPr>
      <w:bookmarkStart w:id="303" w:name="_Toc430530460"/>
      <w:bookmarkStart w:id="304" w:name="_Toc11647"/>
      <w:bookmarkStart w:id="305" w:name="_Toc287607771"/>
      <w:bookmarkStart w:id="306" w:name="_Toc200513151"/>
      <w:bookmarkStart w:id="307" w:name="_Toc287620710"/>
      <w:bookmarkStart w:id="308" w:name="_Toc277082577"/>
      <w:bookmarkStart w:id="309" w:name="_Toc11307"/>
      <w:bookmarkStart w:id="310" w:name="_Toc224103342"/>
      <w:bookmarkStart w:id="311" w:name="_Toc509218735"/>
      <w:r>
        <w:rPr>
          <w:rFonts w:ascii="宋体" w:hAnsi="宋体"/>
          <w:b w:val="0"/>
          <w:snapToGrid w:val="0"/>
          <w:color w:val="auto"/>
          <w:sz w:val="24"/>
          <w:szCs w:val="24"/>
          <w:highlight w:val="none"/>
        </w:rPr>
        <w:t>3.6  备选投标方案</w:t>
      </w:r>
      <w:bookmarkEnd w:id="303"/>
      <w:bookmarkEnd w:id="304"/>
      <w:bookmarkEnd w:id="305"/>
      <w:bookmarkEnd w:id="306"/>
      <w:bookmarkEnd w:id="307"/>
      <w:bookmarkEnd w:id="308"/>
      <w:bookmarkEnd w:id="309"/>
      <w:bookmarkEnd w:id="310"/>
      <w:bookmarkEnd w:id="311"/>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要求编制的投标方案的，招标人可以接受该备选投标方案。</w:t>
      </w:r>
    </w:p>
    <w:p>
      <w:pPr>
        <w:pStyle w:val="5"/>
        <w:snapToGrid w:val="0"/>
        <w:spacing w:before="0" w:after="0" w:line="360" w:lineRule="auto"/>
        <w:rPr>
          <w:rFonts w:ascii="宋体" w:hAnsi="宋体"/>
          <w:b w:val="0"/>
          <w:snapToGrid w:val="0"/>
          <w:color w:val="auto"/>
          <w:sz w:val="24"/>
          <w:szCs w:val="24"/>
          <w:highlight w:val="none"/>
        </w:rPr>
      </w:pPr>
      <w:bookmarkStart w:id="312" w:name="_Toc200513152"/>
      <w:bookmarkStart w:id="313" w:name="_Toc509218736"/>
      <w:bookmarkStart w:id="314" w:name="_Toc277082578"/>
      <w:bookmarkStart w:id="315" w:name="_Toc287620711"/>
      <w:bookmarkStart w:id="316" w:name="_Toc287607772"/>
      <w:bookmarkStart w:id="317" w:name="_Toc11152"/>
      <w:bookmarkStart w:id="318" w:name="_Toc6607"/>
      <w:bookmarkStart w:id="319" w:name="_Toc224103343"/>
      <w:bookmarkStart w:id="320" w:name="_Toc430530461"/>
      <w:r>
        <w:rPr>
          <w:rFonts w:ascii="宋体" w:hAnsi="宋体"/>
          <w:b w:val="0"/>
          <w:snapToGrid w:val="0"/>
          <w:color w:val="auto"/>
          <w:sz w:val="24"/>
          <w:szCs w:val="24"/>
          <w:highlight w:val="none"/>
        </w:rPr>
        <w:t>3.7  投标文件的编制</w:t>
      </w:r>
      <w:bookmarkEnd w:id="312"/>
      <w:bookmarkEnd w:id="313"/>
      <w:bookmarkEnd w:id="314"/>
      <w:bookmarkEnd w:id="315"/>
      <w:bookmarkEnd w:id="316"/>
      <w:bookmarkEnd w:id="317"/>
      <w:bookmarkEnd w:id="318"/>
      <w:bookmarkEnd w:id="319"/>
      <w:bookmarkEnd w:id="320"/>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3.7.1  投标文件应按第八章“投标文件格式”进行编写，如有必要，可以增加附页，作为投标文件的组成部分。其中，投标函附录在满足</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要求更有利于招标人的承诺。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3.7.2  投标文件应当对</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有关工期、投标有效期、质量要求、技术标准和要求、招标范围等实质性内容做出响应。</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投标文件的签名盖章要求：按本章投标人须知前附表第3.7.3项执行。</w:t>
      </w:r>
    </w:p>
    <w:p>
      <w:pPr>
        <w:autoSpaceDE w:val="0"/>
        <w:autoSpaceDN w:val="0"/>
        <w:adjustRightInd w:val="0"/>
        <w:snapToGrid w:val="0"/>
        <w:spacing w:line="360" w:lineRule="auto"/>
        <w:ind w:right="-164"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rPr>
        <w:t>投标文件份数：</w:t>
      </w:r>
      <w:r>
        <w:rPr>
          <w:rFonts w:hint="eastAsia" w:ascii="宋体" w:hAnsi="宋体"/>
          <w:color w:val="auto"/>
          <w:kern w:val="0"/>
          <w:szCs w:val="21"/>
          <w:highlight w:val="none"/>
        </w:rPr>
        <w:t>投标人网上提交加密投标文件一份</w:t>
      </w:r>
      <w:r>
        <w:rPr>
          <w:rFonts w:ascii="宋体" w:hAnsi="宋体"/>
          <w:color w:val="auto"/>
          <w:kern w:val="0"/>
          <w:szCs w:val="21"/>
          <w:highlight w:val="none"/>
        </w:rPr>
        <w:t>。</w:t>
      </w:r>
    </w:p>
    <w:p>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3.7.5  投标文件</w:t>
      </w:r>
      <w:r>
        <w:rPr>
          <w:rFonts w:hint="eastAsia" w:ascii="宋体" w:hAnsi="宋体"/>
          <w:snapToGrid w:val="0"/>
          <w:color w:val="auto"/>
          <w:kern w:val="0"/>
          <w:szCs w:val="21"/>
          <w:highlight w:val="none"/>
        </w:rPr>
        <w:t>应按规定格式排版</w:t>
      </w:r>
      <w:r>
        <w:rPr>
          <w:rFonts w:ascii="宋体" w:hAnsi="宋体"/>
          <w:snapToGrid w:val="0"/>
          <w:color w:val="auto"/>
          <w:kern w:val="0"/>
          <w:szCs w:val="21"/>
          <w:highlight w:val="none"/>
        </w:rPr>
        <w:t>，并编制目录，具体</w:t>
      </w:r>
      <w:r>
        <w:rPr>
          <w:rFonts w:hint="eastAsia" w:ascii="宋体" w:hAnsi="宋体"/>
          <w:snapToGrid w:val="0"/>
          <w:color w:val="auto"/>
          <w:kern w:val="0"/>
          <w:szCs w:val="21"/>
          <w:highlight w:val="none"/>
        </w:rPr>
        <w:t>编制</w:t>
      </w:r>
      <w:r>
        <w:rPr>
          <w:rFonts w:ascii="宋体" w:hAnsi="宋体"/>
          <w:snapToGrid w:val="0"/>
          <w:color w:val="auto"/>
          <w:kern w:val="0"/>
          <w:szCs w:val="21"/>
          <w:highlight w:val="none"/>
        </w:rPr>
        <w:t>要求见投标人须知前附表规定。</w:t>
      </w:r>
    </w:p>
    <w:p>
      <w:pPr>
        <w:pStyle w:val="4"/>
        <w:keepNext w:val="0"/>
        <w:keepLines w:val="0"/>
        <w:spacing w:before="0" w:after="0" w:line="360" w:lineRule="auto"/>
        <w:rPr>
          <w:rFonts w:ascii="宋体" w:hAnsi="宋体"/>
          <w:b w:val="0"/>
          <w:snapToGrid w:val="0"/>
          <w:color w:val="auto"/>
          <w:highlight w:val="none"/>
        </w:rPr>
      </w:pPr>
      <w:bookmarkStart w:id="321" w:name="_Toc8912"/>
      <w:bookmarkStart w:id="322" w:name="_Toc287607773"/>
      <w:bookmarkStart w:id="323" w:name="_Toc277082579"/>
      <w:bookmarkStart w:id="324" w:name="_Toc224103344"/>
      <w:bookmarkStart w:id="325" w:name="_Toc430530462"/>
      <w:bookmarkStart w:id="326" w:name="_Toc509218737"/>
      <w:bookmarkStart w:id="327" w:name="_Toc287620712"/>
      <w:bookmarkStart w:id="328" w:name="_Toc200513153"/>
      <w:bookmarkStart w:id="329" w:name="_Toc29960"/>
      <w:r>
        <w:rPr>
          <w:rFonts w:ascii="宋体" w:hAnsi="宋体"/>
          <w:b w:val="0"/>
          <w:snapToGrid w:val="0"/>
          <w:color w:val="auto"/>
          <w:highlight w:val="none"/>
        </w:rPr>
        <w:t>4.  投标</w:t>
      </w:r>
      <w:bookmarkEnd w:id="321"/>
      <w:bookmarkEnd w:id="322"/>
      <w:bookmarkEnd w:id="323"/>
      <w:bookmarkEnd w:id="324"/>
      <w:bookmarkEnd w:id="325"/>
      <w:bookmarkEnd w:id="326"/>
      <w:bookmarkEnd w:id="327"/>
      <w:bookmarkEnd w:id="328"/>
      <w:bookmarkEnd w:id="329"/>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30" w:name="_Toc430530463"/>
      <w:bookmarkStart w:id="331" w:name="_Toc224103345"/>
      <w:bookmarkStart w:id="332" w:name="_Toc18533"/>
      <w:bookmarkStart w:id="333" w:name="_Toc277082580"/>
      <w:bookmarkStart w:id="334" w:name="_Toc26529"/>
      <w:bookmarkStart w:id="335" w:name="_Toc287607774"/>
      <w:bookmarkStart w:id="336" w:name="_Toc287620713"/>
      <w:bookmarkStart w:id="337" w:name="_Toc509218738"/>
      <w:bookmarkStart w:id="338" w:name="_Toc200513154"/>
      <w:r>
        <w:rPr>
          <w:rFonts w:ascii="宋体" w:hAnsi="宋体"/>
          <w:b w:val="0"/>
          <w:snapToGrid w:val="0"/>
          <w:color w:val="auto"/>
          <w:sz w:val="24"/>
          <w:szCs w:val="24"/>
          <w:highlight w:val="none"/>
        </w:rPr>
        <w:t>4.1  投标文件的密封和标记</w:t>
      </w:r>
      <w:bookmarkEnd w:id="330"/>
      <w:bookmarkEnd w:id="331"/>
      <w:bookmarkEnd w:id="332"/>
      <w:bookmarkEnd w:id="333"/>
      <w:bookmarkEnd w:id="334"/>
      <w:bookmarkEnd w:id="335"/>
      <w:bookmarkEnd w:id="336"/>
      <w:bookmarkEnd w:id="337"/>
      <w:bookmarkEnd w:id="338"/>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39" w:name="_Toc200513155"/>
      <w:r>
        <w:rPr>
          <w:rFonts w:ascii="宋体" w:hAnsi="宋体"/>
          <w:snapToGrid w:val="0"/>
          <w:color w:val="auto"/>
          <w:kern w:val="0"/>
          <w:szCs w:val="21"/>
          <w:highlight w:val="none"/>
        </w:rPr>
        <w:t>4.1.1  投标文件的密封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4.1.2  投标文件的封套上应写明的内容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40" w:name="_Toc22171"/>
      <w:bookmarkStart w:id="341" w:name="_Toc28924"/>
      <w:bookmarkStart w:id="342" w:name="_Toc277082581"/>
      <w:bookmarkStart w:id="343" w:name="_Toc430530464"/>
      <w:bookmarkStart w:id="344" w:name="_Toc224103346"/>
      <w:bookmarkStart w:id="345" w:name="_Toc287620714"/>
      <w:bookmarkStart w:id="346" w:name="_Toc509218739"/>
      <w:bookmarkStart w:id="347" w:name="_Toc287607775"/>
      <w:r>
        <w:rPr>
          <w:rFonts w:ascii="宋体" w:hAnsi="宋体"/>
          <w:b w:val="0"/>
          <w:snapToGrid w:val="0"/>
          <w:color w:val="auto"/>
          <w:sz w:val="24"/>
          <w:szCs w:val="24"/>
          <w:highlight w:val="none"/>
        </w:rPr>
        <w:t>4.2  投标文件的递交</w:t>
      </w:r>
      <w:bookmarkEnd w:id="339"/>
      <w:bookmarkEnd w:id="340"/>
      <w:bookmarkEnd w:id="341"/>
      <w:bookmarkEnd w:id="342"/>
      <w:bookmarkEnd w:id="343"/>
      <w:bookmarkEnd w:id="344"/>
      <w:bookmarkEnd w:id="345"/>
      <w:bookmarkEnd w:id="346"/>
      <w:bookmarkEnd w:id="347"/>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4.2.1  投标人应在投标人须知前附表第 2.2.2 项规定的投标截止时间前递交投标文件。</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4.2.2  投标人递交投标文件的地点：见投标人须知前附表。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除投标人须知前附表另有规定外，投标人所递交的投标文件不予退还。</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4.2.4  逾期送达的或者未送达指定地点的投标文件，招标人不予受理。</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48" w:name="_Toc509218740"/>
      <w:bookmarkStart w:id="349" w:name="_Toc287620715"/>
      <w:bookmarkStart w:id="350" w:name="_Toc3145"/>
      <w:bookmarkStart w:id="351" w:name="_Toc430530465"/>
      <w:bookmarkStart w:id="352" w:name="_Toc287607776"/>
      <w:bookmarkStart w:id="353" w:name="_Toc10148"/>
      <w:bookmarkStart w:id="354" w:name="_Toc200513156"/>
      <w:bookmarkStart w:id="355" w:name="_Toc277082582"/>
      <w:bookmarkStart w:id="356" w:name="_Toc224103347"/>
      <w:r>
        <w:rPr>
          <w:rFonts w:ascii="宋体" w:hAnsi="宋体"/>
          <w:b w:val="0"/>
          <w:snapToGrid w:val="0"/>
          <w:color w:val="auto"/>
          <w:sz w:val="24"/>
          <w:szCs w:val="24"/>
          <w:highlight w:val="none"/>
        </w:rPr>
        <w:t>4.3  投标文件的修改与撤回</w:t>
      </w:r>
      <w:bookmarkEnd w:id="348"/>
      <w:bookmarkEnd w:id="349"/>
      <w:bookmarkEnd w:id="350"/>
      <w:bookmarkEnd w:id="351"/>
      <w:bookmarkEnd w:id="352"/>
      <w:bookmarkEnd w:id="353"/>
      <w:bookmarkEnd w:id="354"/>
      <w:bookmarkEnd w:id="355"/>
      <w:bookmarkEnd w:id="356"/>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在投标人须知前附表第2.2.2项规定的投标截止时间前，投标人可以修改或撤回已递交的投标文件，但应以书面形式通知招标人。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4.3.2  投标人修改或撤回已递交投标文件的书面通知应按照本章第3.7.3项的要求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或盖章。招标人收到书面通知后，向投标人出具签收凭证。</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修改的内容为投标文件的组成部分。修改的投标文件应按照本章第3条、第4条规定进行编制、密封、标记和递交，并标明“修改”字样。</w:t>
      </w:r>
    </w:p>
    <w:p>
      <w:pPr>
        <w:pStyle w:val="4"/>
        <w:keepNext w:val="0"/>
        <w:keepLines w:val="0"/>
        <w:spacing w:before="0" w:after="0" w:line="360" w:lineRule="auto"/>
        <w:rPr>
          <w:rFonts w:ascii="宋体" w:hAnsi="宋体"/>
          <w:b w:val="0"/>
          <w:snapToGrid w:val="0"/>
          <w:color w:val="auto"/>
          <w:highlight w:val="none"/>
        </w:rPr>
      </w:pPr>
      <w:bookmarkStart w:id="357" w:name="_Toc287620716"/>
      <w:bookmarkStart w:id="358" w:name="_Toc277082583"/>
      <w:bookmarkStart w:id="359" w:name="_Toc29376"/>
      <w:bookmarkStart w:id="360" w:name="_Toc287607777"/>
      <w:bookmarkStart w:id="361" w:name="_Toc509218741"/>
      <w:bookmarkStart w:id="362" w:name="_Toc224103348"/>
      <w:bookmarkStart w:id="363" w:name="_Toc430530466"/>
      <w:bookmarkStart w:id="364" w:name="_Toc26865"/>
      <w:bookmarkStart w:id="365" w:name="_Toc200513157"/>
      <w:r>
        <w:rPr>
          <w:rFonts w:ascii="宋体" w:hAnsi="宋体"/>
          <w:b w:val="0"/>
          <w:snapToGrid w:val="0"/>
          <w:color w:val="auto"/>
          <w:highlight w:val="none"/>
        </w:rPr>
        <w:t>5.  开标</w:t>
      </w:r>
      <w:bookmarkEnd w:id="357"/>
      <w:bookmarkEnd w:id="358"/>
      <w:bookmarkEnd w:id="359"/>
      <w:bookmarkEnd w:id="360"/>
      <w:bookmarkEnd w:id="361"/>
      <w:bookmarkEnd w:id="362"/>
      <w:bookmarkEnd w:id="363"/>
      <w:bookmarkEnd w:id="364"/>
      <w:bookmarkEnd w:id="365"/>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66" w:name="_Toc430530467"/>
      <w:bookmarkStart w:id="367" w:name="_Toc7400"/>
      <w:bookmarkStart w:id="368" w:name="_Toc277082584"/>
      <w:bookmarkStart w:id="369" w:name="_Toc224103349"/>
      <w:bookmarkStart w:id="370" w:name="_Toc287607778"/>
      <w:bookmarkStart w:id="371" w:name="_Toc28549"/>
      <w:bookmarkStart w:id="372" w:name="_Toc287620717"/>
      <w:bookmarkStart w:id="373" w:name="_Toc200513158"/>
      <w:bookmarkStart w:id="374" w:name="_Toc509218742"/>
      <w:r>
        <w:rPr>
          <w:rFonts w:ascii="宋体" w:hAnsi="宋体"/>
          <w:b w:val="0"/>
          <w:snapToGrid w:val="0"/>
          <w:color w:val="auto"/>
          <w:sz w:val="24"/>
          <w:szCs w:val="24"/>
          <w:highlight w:val="none"/>
        </w:rPr>
        <w:t>5.1  开标时间和地点</w:t>
      </w:r>
      <w:bookmarkEnd w:id="366"/>
      <w:bookmarkEnd w:id="367"/>
      <w:bookmarkEnd w:id="368"/>
      <w:bookmarkEnd w:id="369"/>
      <w:bookmarkEnd w:id="370"/>
      <w:bookmarkEnd w:id="371"/>
      <w:bookmarkEnd w:id="372"/>
      <w:bookmarkEnd w:id="373"/>
      <w:bookmarkEnd w:id="374"/>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招标人在投标人须知前附表第 2.2.2 项规定的投标截止时间（开标时间）和投标人须知前附表规定的地点公开开标，并邀请所有投标人的法定代表人或其委托代理人准时参加。</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75" w:name="_Toc21672"/>
      <w:bookmarkStart w:id="376" w:name="_Toc25180"/>
      <w:bookmarkStart w:id="377" w:name="_Toc287620718"/>
      <w:bookmarkStart w:id="378" w:name="_Toc200513159"/>
      <w:bookmarkStart w:id="379" w:name="_Toc224103350"/>
      <w:bookmarkStart w:id="380" w:name="_Toc509218743"/>
      <w:bookmarkStart w:id="381" w:name="_Toc277082585"/>
      <w:bookmarkStart w:id="382" w:name="_Toc287607779"/>
      <w:bookmarkStart w:id="383" w:name="_Toc430530468"/>
      <w:r>
        <w:rPr>
          <w:rFonts w:ascii="宋体" w:hAnsi="宋体"/>
          <w:b w:val="0"/>
          <w:snapToGrid w:val="0"/>
          <w:color w:val="auto"/>
          <w:sz w:val="24"/>
          <w:szCs w:val="24"/>
          <w:highlight w:val="none"/>
        </w:rPr>
        <w:t>5.2  开标程序</w:t>
      </w:r>
      <w:bookmarkEnd w:id="375"/>
      <w:bookmarkEnd w:id="376"/>
      <w:bookmarkEnd w:id="377"/>
      <w:bookmarkEnd w:id="378"/>
      <w:bookmarkEnd w:id="379"/>
      <w:bookmarkEnd w:id="380"/>
      <w:bookmarkEnd w:id="381"/>
      <w:bookmarkEnd w:id="382"/>
      <w:bookmarkEnd w:id="383"/>
    </w:p>
    <w:p>
      <w:pPr>
        <w:autoSpaceDE w:val="0"/>
        <w:autoSpaceDN w:val="0"/>
        <w:adjustRightInd w:val="0"/>
        <w:snapToGrid w:val="0"/>
        <w:spacing w:line="360" w:lineRule="auto"/>
        <w:ind w:firstLine="420" w:firstLineChars="200"/>
        <w:rPr>
          <w:rFonts w:ascii="宋体" w:hAnsi="宋体"/>
          <w:color w:val="auto"/>
          <w:szCs w:val="21"/>
          <w:highlight w:val="none"/>
        </w:rPr>
      </w:pPr>
      <w:bookmarkStart w:id="384" w:name="_Toc224103351"/>
      <w:bookmarkStart w:id="385" w:name="_Toc287620719"/>
      <w:bookmarkStart w:id="386" w:name="_Toc200513160"/>
      <w:bookmarkStart w:id="387" w:name="_Toc287607780"/>
      <w:bookmarkStart w:id="388" w:name="_Toc277082586"/>
      <w:r>
        <w:rPr>
          <w:rFonts w:ascii="宋体" w:hAnsi="宋体"/>
          <w:color w:val="auto"/>
          <w:szCs w:val="21"/>
          <w:highlight w:val="none"/>
        </w:rPr>
        <w:t>详见投标人须知前附表第5.2款开标程序。</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89" w:name="_Toc3867"/>
      <w:bookmarkStart w:id="390" w:name="_Toc21289"/>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389"/>
      <w:bookmarkEnd w:id="390"/>
    </w:p>
    <w:p>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color w:val="auto"/>
          <w:szCs w:val="21"/>
          <w:highlight w:val="none"/>
        </w:rPr>
        <w:t>。</w:t>
      </w:r>
    </w:p>
    <w:p>
      <w:pPr>
        <w:pStyle w:val="4"/>
        <w:keepNext w:val="0"/>
        <w:keepLines w:val="0"/>
        <w:spacing w:before="0" w:after="0" w:line="360" w:lineRule="auto"/>
        <w:rPr>
          <w:rFonts w:ascii="宋体" w:hAnsi="宋体"/>
          <w:b w:val="0"/>
          <w:snapToGrid w:val="0"/>
          <w:color w:val="auto"/>
          <w:highlight w:val="none"/>
        </w:rPr>
      </w:pPr>
      <w:bookmarkStart w:id="391" w:name="_Toc430530469"/>
      <w:bookmarkStart w:id="392" w:name="_Toc509218744"/>
      <w:bookmarkStart w:id="393" w:name="_Toc28063"/>
      <w:bookmarkStart w:id="394" w:name="_Toc19894"/>
      <w:r>
        <w:rPr>
          <w:rFonts w:ascii="宋体" w:hAnsi="宋体"/>
          <w:b w:val="0"/>
          <w:snapToGrid w:val="0"/>
          <w:color w:val="auto"/>
          <w:highlight w:val="none"/>
        </w:rPr>
        <w:t>6.  评标</w:t>
      </w:r>
      <w:bookmarkEnd w:id="384"/>
      <w:bookmarkEnd w:id="385"/>
      <w:bookmarkEnd w:id="386"/>
      <w:bookmarkEnd w:id="387"/>
      <w:bookmarkEnd w:id="388"/>
      <w:bookmarkEnd w:id="391"/>
      <w:bookmarkEnd w:id="392"/>
      <w:bookmarkEnd w:id="393"/>
      <w:bookmarkEnd w:id="394"/>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95" w:name="_Toc224103352"/>
      <w:bookmarkStart w:id="396" w:name="_Toc1507"/>
      <w:bookmarkStart w:id="397" w:name="_Toc287620720"/>
      <w:bookmarkStart w:id="398" w:name="_Toc1584"/>
      <w:bookmarkStart w:id="399" w:name="_Toc287607781"/>
      <w:bookmarkStart w:id="400" w:name="_Toc277082587"/>
      <w:bookmarkStart w:id="401" w:name="_Toc430530470"/>
      <w:bookmarkStart w:id="402" w:name="_Toc509218745"/>
      <w:bookmarkStart w:id="403" w:name="_Toc200513161"/>
      <w:r>
        <w:rPr>
          <w:rFonts w:ascii="宋体" w:hAnsi="宋体"/>
          <w:b w:val="0"/>
          <w:snapToGrid w:val="0"/>
          <w:color w:val="auto"/>
          <w:sz w:val="24"/>
          <w:szCs w:val="24"/>
          <w:highlight w:val="none"/>
        </w:rPr>
        <w:t>6.1  评标委员会</w:t>
      </w:r>
      <w:bookmarkEnd w:id="395"/>
      <w:bookmarkEnd w:id="396"/>
      <w:bookmarkEnd w:id="397"/>
      <w:bookmarkEnd w:id="398"/>
      <w:bookmarkEnd w:id="399"/>
      <w:bookmarkEnd w:id="400"/>
      <w:bookmarkEnd w:id="401"/>
      <w:bookmarkEnd w:id="402"/>
      <w:bookmarkEnd w:id="403"/>
    </w:p>
    <w:p>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评标由招标人依据法律法规和相关规范性文件组建的评标委员会负责。</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（1）投标人或投标人的主要负责人的近亲属；</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行政监督部门的人员；</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（3）与投标人有利害关系，可能影响对投标公正评审的；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r>
        <w:rPr>
          <w:rFonts w:hint="eastAsia"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pPr>
        <w:pStyle w:val="109"/>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5"/>
        <w:snapToGrid w:val="0"/>
        <w:spacing w:before="0" w:after="0" w:line="360" w:lineRule="auto"/>
        <w:rPr>
          <w:rFonts w:ascii="宋体" w:hAnsi="宋体"/>
          <w:b w:val="0"/>
          <w:snapToGrid w:val="0"/>
          <w:color w:val="auto"/>
          <w:sz w:val="24"/>
          <w:szCs w:val="24"/>
          <w:highlight w:val="none"/>
        </w:rPr>
      </w:pPr>
      <w:bookmarkStart w:id="404" w:name="_Toc287607782"/>
      <w:bookmarkStart w:id="405" w:name="_Toc31183"/>
      <w:bookmarkStart w:id="406" w:name="_Toc224103353"/>
      <w:bookmarkStart w:id="407" w:name="_Toc509218746"/>
      <w:bookmarkStart w:id="408" w:name="_Toc18198"/>
      <w:bookmarkStart w:id="409" w:name="_Toc287620721"/>
      <w:bookmarkStart w:id="410" w:name="_Toc277082588"/>
      <w:bookmarkStart w:id="411" w:name="_Toc200513162"/>
      <w:bookmarkStart w:id="412" w:name="_Toc430530471"/>
      <w:r>
        <w:rPr>
          <w:rFonts w:ascii="宋体" w:hAnsi="宋体"/>
          <w:b w:val="0"/>
          <w:snapToGrid w:val="0"/>
          <w:color w:val="auto"/>
          <w:sz w:val="24"/>
          <w:szCs w:val="24"/>
          <w:highlight w:val="none"/>
        </w:rPr>
        <w:t>6.2  评标原则</w:t>
      </w:r>
      <w:bookmarkEnd w:id="404"/>
      <w:bookmarkEnd w:id="405"/>
      <w:bookmarkEnd w:id="406"/>
      <w:bookmarkEnd w:id="407"/>
      <w:bookmarkEnd w:id="408"/>
      <w:bookmarkEnd w:id="409"/>
      <w:bookmarkEnd w:id="410"/>
      <w:bookmarkEnd w:id="411"/>
      <w:bookmarkEnd w:id="412"/>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pPr>
        <w:pStyle w:val="5"/>
        <w:snapToGrid w:val="0"/>
        <w:spacing w:before="0" w:after="0" w:line="360" w:lineRule="auto"/>
        <w:rPr>
          <w:rFonts w:ascii="宋体" w:hAnsi="宋体"/>
          <w:b w:val="0"/>
          <w:snapToGrid w:val="0"/>
          <w:color w:val="auto"/>
          <w:sz w:val="24"/>
          <w:szCs w:val="24"/>
          <w:highlight w:val="none"/>
        </w:rPr>
      </w:pPr>
      <w:bookmarkStart w:id="413" w:name="_Toc287620722"/>
      <w:bookmarkStart w:id="414" w:name="_Toc224103354"/>
      <w:bookmarkStart w:id="415" w:name="_Toc430530472"/>
      <w:bookmarkStart w:id="416" w:name="_Toc277082589"/>
      <w:bookmarkStart w:id="417" w:name="_Toc12231"/>
      <w:bookmarkStart w:id="418" w:name="_Toc200513163"/>
      <w:bookmarkStart w:id="419" w:name="_Toc19681"/>
      <w:bookmarkStart w:id="420" w:name="_Toc287607783"/>
      <w:bookmarkStart w:id="421" w:name="_Toc509218747"/>
      <w:r>
        <w:rPr>
          <w:rFonts w:ascii="宋体" w:hAnsi="宋体"/>
          <w:b w:val="0"/>
          <w:snapToGrid w:val="0"/>
          <w:color w:val="auto"/>
          <w:sz w:val="24"/>
          <w:szCs w:val="24"/>
          <w:highlight w:val="none"/>
        </w:rPr>
        <w:t>6.3  评标</w:t>
      </w:r>
      <w:bookmarkEnd w:id="413"/>
      <w:bookmarkEnd w:id="414"/>
      <w:bookmarkEnd w:id="415"/>
      <w:bookmarkEnd w:id="416"/>
      <w:bookmarkEnd w:id="417"/>
      <w:bookmarkEnd w:id="418"/>
      <w:bookmarkEnd w:id="419"/>
      <w:bookmarkEnd w:id="420"/>
      <w:bookmarkEnd w:id="421"/>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pPr>
        <w:pStyle w:val="4"/>
        <w:spacing w:before="0" w:after="0" w:line="360" w:lineRule="auto"/>
        <w:rPr>
          <w:rFonts w:ascii="宋体" w:hAnsi="宋体"/>
          <w:b w:val="0"/>
          <w:snapToGrid w:val="0"/>
          <w:color w:val="auto"/>
          <w:highlight w:val="none"/>
        </w:rPr>
      </w:pPr>
      <w:bookmarkStart w:id="422" w:name="_Toc224103355"/>
      <w:bookmarkStart w:id="423" w:name="_Toc200513164"/>
      <w:bookmarkStart w:id="424" w:name="_Toc430530473"/>
      <w:bookmarkStart w:id="425" w:name="_Toc31386"/>
      <w:bookmarkStart w:id="426" w:name="_Toc277082590"/>
      <w:bookmarkStart w:id="427" w:name="_Toc509218748"/>
      <w:bookmarkStart w:id="428" w:name="_Toc287607784"/>
      <w:bookmarkStart w:id="429" w:name="_Toc287620723"/>
      <w:bookmarkStart w:id="430" w:name="_Toc20981"/>
      <w:r>
        <w:rPr>
          <w:rFonts w:ascii="宋体" w:hAnsi="宋体"/>
          <w:b w:val="0"/>
          <w:snapToGrid w:val="0"/>
          <w:color w:val="auto"/>
          <w:highlight w:val="none"/>
        </w:rPr>
        <w:t>7.  合同授予</w:t>
      </w:r>
      <w:bookmarkEnd w:id="422"/>
      <w:bookmarkEnd w:id="423"/>
      <w:bookmarkEnd w:id="424"/>
      <w:bookmarkEnd w:id="425"/>
      <w:bookmarkEnd w:id="426"/>
      <w:bookmarkEnd w:id="427"/>
      <w:bookmarkEnd w:id="428"/>
      <w:bookmarkEnd w:id="429"/>
      <w:bookmarkEnd w:id="430"/>
    </w:p>
    <w:p>
      <w:pPr>
        <w:pStyle w:val="5"/>
        <w:snapToGrid w:val="0"/>
        <w:spacing w:before="0" w:after="0" w:line="360" w:lineRule="auto"/>
        <w:rPr>
          <w:rFonts w:ascii="宋体" w:hAnsi="宋体"/>
          <w:b w:val="0"/>
          <w:snapToGrid w:val="0"/>
          <w:color w:val="auto"/>
          <w:sz w:val="24"/>
          <w:szCs w:val="24"/>
          <w:highlight w:val="none"/>
        </w:rPr>
      </w:pPr>
      <w:bookmarkStart w:id="431" w:name="_Toc287607785"/>
      <w:bookmarkStart w:id="432" w:name="_Toc287620724"/>
      <w:bookmarkStart w:id="433" w:name="_Toc200513165"/>
      <w:bookmarkStart w:id="434" w:name="_Toc224103356"/>
      <w:bookmarkStart w:id="435" w:name="_Toc277082591"/>
      <w:bookmarkStart w:id="436" w:name="_Toc509218749"/>
      <w:bookmarkStart w:id="437" w:name="_Toc430530474"/>
      <w:bookmarkStart w:id="438" w:name="_Toc31577"/>
      <w:bookmarkStart w:id="439" w:name="_Toc8790"/>
      <w:r>
        <w:rPr>
          <w:rFonts w:ascii="宋体" w:hAnsi="宋体"/>
          <w:b w:val="0"/>
          <w:snapToGrid w:val="0"/>
          <w:color w:val="auto"/>
          <w:sz w:val="24"/>
          <w:szCs w:val="24"/>
          <w:highlight w:val="none"/>
        </w:rPr>
        <w:t>7.1  定标方式</w:t>
      </w:r>
      <w:bookmarkEnd w:id="431"/>
      <w:bookmarkEnd w:id="432"/>
      <w:bookmarkEnd w:id="433"/>
      <w:bookmarkEnd w:id="434"/>
      <w:bookmarkEnd w:id="435"/>
      <w:bookmarkEnd w:id="436"/>
      <w:bookmarkEnd w:id="437"/>
      <w:bookmarkEnd w:id="438"/>
      <w:bookmarkEnd w:id="439"/>
    </w:p>
    <w:p>
      <w:pPr>
        <w:spacing w:line="360" w:lineRule="auto"/>
        <w:ind w:firstLine="420" w:firstLineChars="200"/>
        <w:rPr>
          <w:rFonts w:ascii="宋体" w:hAnsi="宋体"/>
          <w:color w:val="auto"/>
          <w:szCs w:val="21"/>
          <w:highlight w:val="none"/>
        </w:rPr>
      </w:pPr>
      <w:r>
        <w:rPr>
          <w:rFonts w:ascii="宋体" w:hAnsi="宋体"/>
          <w:color w:val="auto"/>
          <w:szCs w:val="21"/>
          <w:highlight w:val="none"/>
        </w:rPr>
        <w:t>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color w:val="auto"/>
          <w:szCs w:val="21"/>
          <w:highlight w:val="none"/>
          <w:lang w:eastAsia="zh-CN"/>
        </w:rPr>
        <w:t>竞争性比选文件</w:t>
      </w:r>
      <w:r>
        <w:rPr>
          <w:rFonts w:ascii="宋体" w:hAnsi="宋体"/>
          <w:color w:val="auto"/>
          <w:szCs w:val="21"/>
          <w:highlight w:val="none"/>
        </w:rPr>
        <w:t>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pPr>
        <w:pStyle w:val="5"/>
        <w:snapToGrid w:val="0"/>
        <w:spacing w:before="0" w:after="0" w:line="360" w:lineRule="auto"/>
        <w:rPr>
          <w:rFonts w:ascii="宋体" w:hAnsi="宋体"/>
          <w:b w:val="0"/>
          <w:snapToGrid w:val="0"/>
          <w:color w:val="auto"/>
          <w:sz w:val="24"/>
          <w:szCs w:val="24"/>
          <w:highlight w:val="none"/>
        </w:rPr>
      </w:pPr>
      <w:bookmarkStart w:id="440" w:name="_Toc430530475"/>
      <w:bookmarkStart w:id="441" w:name="_Toc26459"/>
      <w:bookmarkStart w:id="442" w:name="_Toc509218750"/>
      <w:bookmarkStart w:id="443" w:name="_Toc8537"/>
      <w:r>
        <w:rPr>
          <w:rFonts w:ascii="宋体" w:hAnsi="宋体"/>
          <w:b w:val="0"/>
          <w:snapToGrid w:val="0"/>
          <w:color w:val="auto"/>
          <w:sz w:val="24"/>
          <w:szCs w:val="24"/>
          <w:highlight w:val="none"/>
        </w:rPr>
        <w:t>7.2  中标公示及中标通知</w:t>
      </w:r>
      <w:bookmarkEnd w:id="440"/>
      <w:bookmarkEnd w:id="441"/>
      <w:bookmarkEnd w:id="442"/>
      <w:bookmarkEnd w:id="443"/>
    </w:p>
    <w:p>
      <w:pPr>
        <w:autoSpaceDE w:val="0"/>
        <w:autoSpaceDN w:val="0"/>
        <w:adjustRightInd w:val="0"/>
        <w:snapToGrid w:val="0"/>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招标人在收到评标报告之日起3日内公示中标候选人，公示期不得少于3日</w:t>
      </w:r>
      <w:r>
        <w:rPr>
          <w:rFonts w:hint="eastAsia" w:ascii="宋体" w:hAnsi="宋体"/>
          <w:color w:val="auto"/>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款规定的投标有效期内，且未有投标人的异议与投诉，招标人以书面形式向中标人发出中标通知书。</w:t>
      </w:r>
    </w:p>
    <w:p>
      <w:pPr>
        <w:pStyle w:val="5"/>
        <w:snapToGrid w:val="0"/>
        <w:spacing w:before="0" w:after="0" w:line="360" w:lineRule="auto"/>
        <w:rPr>
          <w:rFonts w:ascii="宋体" w:hAnsi="宋体"/>
          <w:b w:val="0"/>
          <w:snapToGrid w:val="0"/>
          <w:color w:val="auto"/>
          <w:sz w:val="24"/>
          <w:szCs w:val="24"/>
          <w:highlight w:val="none"/>
        </w:rPr>
      </w:pPr>
      <w:bookmarkStart w:id="444" w:name="_Toc4866"/>
      <w:bookmarkStart w:id="445" w:name="_Toc430530476"/>
      <w:bookmarkStart w:id="446" w:name="_Toc277082593"/>
      <w:bookmarkStart w:id="447" w:name="_Toc287620726"/>
      <w:bookmarkStart w:id="448" w:name="_Toc224103358"/>
      <w:bookmarkStart w:id="449" w:name="_Toc200513167"/>
      <w:bookmarkStart w:id="450" w:name="_Toc509218751"/>
      <w:bookmarkStart w:id="451" w:name="_Toc14028"/>
      <w:bookmarkStart w:id="452" w:name="_Toc287607787"/>
      <w:r>
        <w:rPr>
          <w:rFonts w:ascii="宋体" w:hAnsi="宋体"/>
          <w:b w:val="0"/>
          <w:snapToGrid w:val="0"/>
          <w:color w:val="auto"/>
          <w:sz w:val="24"/>
          <w:szCs w:val="24"/>
          <w:highlight w:val="none"/>
        </w:rPr>
        <w:t>7.3  履约担保</w:t>
      </w:r>
      <w:bookmarkEnd w:id="444"/>
      <w:bookmarkEnd w:id="445"/>
      <w:bookmarkEnd w:id="446"/>
      <w:bookmarkEnd w:id="447"/>
      <w:bookmarkEnd w:id="448"/>
      <w:bookmarkEnd w:id="449"/>
      <w:bookmarkEnd w:id="450"/>
      <w:bookmarkEnd w:id="451"/>
      <w:bookmarkEnd w:id="452"/>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在签订合同前，中标人应按投标人须知前附表规定的金额、担保形式和</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第四章“合同条款及格式”规定的履约担保格式向招标人提交履约担保。</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7.3.2  中标人不能按本章第 7.3.1 项要求提交履约担保的，视为放弃中标，其投标保证金不予退还，给招标人造成的损失超过投标保证金数额的，中标人还应当对超过部分予以赔偿。</w:t>
      </w:r>
    </w:p>
    <w:p>
      <w:pPr>
        <w:pStyle w:val="5"/>
        <w:snapToGrid w:val="0"/>
        <w:spacing w:before="0" w:after="0" w:line="360" w:lineRule="auto"/>
        <w:rPr>
          <w:rFonts w:ascii="宋体" w:hAnsi="宋体"/>
          <w:b w:val="0"/>
          <w:snapToGrid w:val="0"/>
          <w:color w:val="auto"/>
          <w:sz w:val="24"/>
          <w:szCs w:val="24"/>
          <w:highlight w:val="none"/>
        </w:rPr>
      </w:pPr>
      <w:bookmarkStart w:id="453" w:name="_Toc13163"/>
      <w:bookmarkStart w:id="454" w:name="_Toc430530477"/>
      <w:bookmarkStart w:id="455" w:name="_Toc287607788"/>
      <w:bookmarkStart w:id="456" w:name="_Toc287620727"/>
      <w:bookmarkStart w:id="457" w:name="_Toc29819"/>
      <w:bookmarkStart w:id="458" w:name="_Toc509218752"/>
      <w:bookmarkStart w:id="459" w:name="_Toc200513168"/>
      <w:bookmarkStart w:id="460" w:name="_Toc224103359"/>
      <w:bookmarkStart w:id="461" w:name="_Toc277082594"/>
      <w:r>
        <w:rPr>
          <w:rFonts w:ascii="宋体" w:hAnsi="宋体"/>
          <w:b w:val="0"/>
          <w:snapToGrid w:val="0"/>
          <w:color w:val="auto"/>
          <w:sz w:val="24"/>
          <w:szCs w:val="24"/>
          <w:highlight w:val="none"/>
        </w:rPr>
        <w:t>7.4  签订合同</w:t>
      </w:r>
      <w:bookmarkEnd w:id="453"/>
      <w:bookmarkEnd w:id="454"/>
      <w:bookmarkEnd w:id="455"/>
      <w:bookmarkEnd w:id="456"/>
      <w:bookmarkEnd w:id="457"/>
      <w:bookmarkEnd w:id="458"/>
      <w:bookmarkEnd w:id="459"/>
      <w:bookmarkEnd w:id="460"/>
      <w:bookmarkEnd w:id="461"/>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招标人和中标人应当自中标通知书发出之日起 30 天内，根据</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和中标人的投标文件订立书面合同。中标人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不与招标人签订合同，在签订合同时向招标人提出附加条件或者更改合同实质性内容</w:t>
      </w:r>
      <w:r>
        <w:rPr>
          <w:rFonts w:ascii="宋体" w:hAnsi="宋体"/>
          <w:snapToGrid w:val="0"/>
          <w:color w:val="auto"/>
          <w:kern w:val="0"/>
          <w:szCs w:val="21"/>
          <w:highlight w:val="none"/>
        </w:rPr>
        <w:t>，</w:t>
      </w:r>
      <w:r>
        <w:rPr>
          <w:rFonts w:hint="eastAsia" w:ascii="宋体" w:hAnsi="宋体" w:cs="宋体"/>
          <w:color w:val="auto"/>
          <w:szCs w:val="21"/>
          <w:highlight w:val="none"/>
        </w:rPr>
        <w:t>或不按照</w:t>
      </w:r>
      <w:r>
        <w:rPr>
          <w:rFonts w:hint="eastAsia" w:ascii="宋体" w:hAnsi="宋体" w:cs="宋体"/>
          <w:color w:val="auto"/>
          <w:szCs w:val="21"/>
          <w:highlight w:val="none"/>
          <w:lang w:eastAsia="zh-CN"/>
        </w:rPr>
        <w:t>竞争性比选文件</w:t>
      </w:r>
      <w:r>
        <w:rPr>
          <w:rFonts w:hint="eastAsia" w:ascii="宋体" w:hAnsi="宋体" w:cs="宋体"/>
          <w:color w:val="auto"/>
          <w:szCs w:val="21"/>
          <w:highlight w:val="none"/>
        </w:rPr>
        <w:t>要求提交低价风险担保（适用于经评审最低投标价法）或履约保证金的，</w:t>
      </w:r>
      <w:r>
        <w:rPr>
          <w:rFonts w:ascii="宋体" w:hAnsi="宋体"/>
          <w:snapToGrid w:val="0"/>
          <w:color w:val="auto"/>
          <w:kern w:val="0"/>
          <w:szCs w:val="21"/>
          <w:highlight w:val="none"/>
        </w:rPr>
        <w:t>招标人取消其中标资格，其投标保证金不予退还；给招标人造成的损失超过投标保证金数额的，中标人还应当对超过部分予以赔偿。</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发出中标通知书后，招标人无正当理由拒签合同的，招标人向中标人退还投标保证金；给中标人造成损失的，还应当赔偿损失。</w:t>
      </w:r>
    </w:p>
    <w:p>
      <w:pPr>
        <w:pStyle w:val="4"/>
        <w:spacing w:before="0" w:after="0" w:line="360" w:lineRule="auto"/>
        <w:rPr>
          <w:rFonts w:ascii="宋体" w:hAnsi="宋体"/>
          <w:b w:val="0"/>
          <w:snapToGrid w:val="0"/>
          <w:color w:val="auto"/>
          <w:highlight w:val="none"/>
        </w:rPr>
      </w:pPr>
      <w:bookmarkStart w:id="462" w:name="_Toc277082595"/>
      <w:bookmarkStart w:id="463" w:name="_Toc200513169"/>
      <w:bookmarkStart w:id="464" w:name="_Toc509218753"/>
      <w:bookmarkStart w:id="465" w:name="_Toc26980"/>
      <w:bookmarkStart w:id="466" w:name="_Toc430530478"/>
      <w:bookmarkStart w:id="467" w:name="_Toc224103360"/>
      <w:bookmarkStart w:id="468" w:name="_Toc287620728"/>
      <w:bookmarkStart w:id="469" w:name="_Toc287607789"/>
      <w:bookmarkStart w:id="470" w:name="_Toc18535"/>
      <w:r>
        <w:rPr>
          <w:rFonts w:ascii="宋体" w:hAnsi="宋体"/>
          <w:b w:val="0"/>
          <w:snapToGrid w:val="0"/>
          <w:color w:val="auto"/>
          <w:highlight w:val="none"/>
        </w:rPr>
        <w:t>8.  重新招标和不再招标</w:t>
      </w:r>
      <w:bookmarkEnd w:id="462"/>
      <w:bookmarkEnd w:id="463"/>
      <w:bookmarkEnd w:id="464"/>
      <w:bookmarkEnd w:id="465"/>
      <w:bookmarkEnd w:id="466"/>
      <w:bookmarkEnd w:id="467"/>
      <w:bookmarkEnd w:id="468"/>
      <w:bookmarkEnd w:id="469"/>
      <w:bookmarkEnd w:id="470"/>
    </w:p>
    <w:p>
      <w:pPr>
        <w:pStyle w:val="5"/>
        <w:snapToGrid w:val="0"/>
        <w:spacing w:before="0" w:after="0" w:line="360" w:lineRule="auto"/>
        <w:rPr>
          <w:rFonts w:ascii="宋体" w:hAnsi="宋体"/>
          <w:b w:val="0"/>
          <w:snapToGrid w:val="0"/>
          <w:color w:val="auto"/>
          <w:sz w:val="24"/>
          <w:szCs w:val="24"/>
          <w:highlight w:val="none"/>
        </w:rPr>
      </w:pPr>
      <w:bookmarkStart w:id="471" w:name="_Toc509218754"/>
      <w:bookmarkStart w:id="472" w:name="_Toc277082596"/>
      <w:bookmarkStart w:id="473" w:name="_Toc287607790"/>
      <w:bookmarkStart w:id="474" w:name="_Toc430530479"/>
      <w:bookmarkStart w:id="475" w:name="_Toc200513170"/>
      <w:bookmarkStart w:id="476" w:name="_Toc224103361"/>
      <w:bookmarkStart w:id="477" w:name="_Toc287620729"/>
      <w:bookmarkStart w:id="478" w:name="_Toc15850"/>
      <w:bookmarkStart w:id="479" w:name="_Toc20623"/>
      <w:r>
        <w:rPr>
          <w:rFonts w:ascii="宋体" w:hAnsi="宋体"/>
          <w:b w:val="0"/>
          <w:snapToGrid w:val="0"/>
          <w:color w:val="auto"/>
          <w:sz w:val="24"/>
          <w:szCs w:val="24"/>
          <w:highlight w:val="none"/>
        </w:rPr>
        <w:t>8.1  重新招标</w:t>
      </w:r>
      <w:bookmarkEnd w:id="471"/>
      <w:bookmarkEnd w:id="472"/>
      <w:bookmarkEnd w:id="473"/>
      <w:bookmarkEnd w:id="474"/>
      <w:bookmarkEnd w:id="475"/>
      <w:bookmarkEnd w:id="476"/>
      <w:bookmarkEnd w:id="477"/>
      <w:r>
        <w:rPr>
          <w:rFonts w:hint="eastAsia" w:ascii="宋体" w:hAnsi="宋体"/>
          <w:b w:val="0"/>
          <w:snapToGrid w:val="0"/>
          <w:color w:val="auto"/>
          <w:sz w:val="24"/>
          <w:szCs w:val="24"/>
          <w:highlight w:val="none"/>
        </w:rPr>
        <w:t>的情形</w:t>
      </w:r>
      <w:bookmarkEnd w:id="478"/>
      <w:bookmarkEnd w:id="479"/>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有下列情形之一的，招标人将重新招标：</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（1）投标截止时间止，投标人少于 3 个的；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经评标委员会评审后部分投标被否决，导致有效投标人不足三个的，评标委员会应当否决所有投标。但是有效投标人的经济、技术等指标仍然具有市场竞争力，能够满足</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要求的，评标委员会可以继续评标并确定中标候选人</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pPr>
        <w:pStyle w:val="5"/>
        <w:snapToGrid w:val="0"/>
        <w:spacing w:before="0" w:after="0" w:line="360" w:lineRule="auto"/>
        <w:rPr>
          <w:rFonts w:ascii="宋体" w:hAnsi="宋体"/>
          <w:b w:val="0"/>
          <w:snapToGrid w:val="0"/>
          <w:color w:val="auto"/>
          <w:sz w:val="24"/>
          <w:szCs w:val="24"/>
          <w:highlight w:val="none"/>
        </w:rPr>
      </w:pPr>
      <w:bookmarkStart w:id="480" w:name="_Toc287607791"/>
      <w:bookmarkStart w:id="481" w:name="_Toc430530480"/>
      <w:bookmarkStart w:id="482" w:name="_Toc277082597"/>
      <w:bookmarkStart w:id="483" w:name="_Toc287620730"/>
      <w:bookmarkStart w:id="484" w:name="_Toc9601"/>
      <w:bookmarkStart w:id="485" w:name="_Toc200513171"/>
      <w:bookmarkStart w:id="486" w:name="_Toc12092"/>
      <w:bookmarkStart w:id="487" w:name="_Toc224103362"/>
      <w:bookmarkStart w:id="488" w:name="_Toc509218755"/>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ascii="宋体" w:hAnsi="宋体"/>
          <w:b w:val="0"/>
          <w:snapToGrid w:val="0"/>
          <w:color w:val="auto"/>
          <w:sz w:val="24"/>
          <w:szCs w:val="24"/>
          <w:highlight w:val="none"/>
        </w:rPr>
        <w:t>招标和不再招标</w:t>
      </w:r>
      <w:bookmarkEnd w:id="480"/>
      <w:bookmarkEnd w:id="481"/>
      <w:bookmarkEnd w:id="482"/>
      <w:bookmarkEnd w:id="483"/>
      <w:bookmarkEnd w:id="484"/>
      <w:bookmarkEnd w:id="485"/>
      <w:bookmarkEnd w:id="486"/>
      <w:bookmarkEnd w:id="487"/>
      <w:bookmarkEnd w:id="488"/>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p>
      <w:pPr>
        <w:pStyle w:val="4"/>
        <w:spacing w:before="0" w:after="0" w:line="360" w:lineRule="auto"/>
        <w:rPr>
          <w:rFonts w:ascii="宋体" w:hAnsi="宋体"/>
          <w:b w:val="0"/>
          <w:snapToGrid w:val="0"/>
          <w:color w:val="auto"/>
          <w:highlight w:val="none"/>
        </w:rPr>
      </w:pPr>
      <w:bookmarkStart w:id="489" w:name="_Toc509218756"/>
      <w:bookmarkStart w:id="490" w:name="_Toc13021"/>
      <w:bookmarkStart w:id="491" w:name="_Toc200513172"/>
      <w:bookmarkStart w:id="492" w:name="_Toc287607792"/>
      <w:bookmarkStart w:id="493" w:name="_Toc22538"/>
      <w:bookmarkStart w:id="494" w:name="_Toc277082598"/>
      <w:bookmarkStart w:id="495" w:name="_Toc224103363"/>
      <w:bookmarkStart w:id="496" w:name="_Toc287620731"/>
      <w:bookmarkStart w:id="497" w:name="_Toc430530481"/>
      <w:r>
        <w:rPr>
          <w:rFonts w:ascii="宋体" w:hAnsi="宋体"/>
          <w:b w:val="0"/>
          <w:snapToGrid w:val="0"/>
          <w:color w:val="auto"/>
          <w:highlight w:val="none"/>
        </w:rPr>
        <w:t>9.  纪律和监督</w:t>
      </w:r>
      <w:bookmarkEnd w:id="489"/>
      <w:bookmarkEnd w:id="490"/>
      <w:bookmarkEnd w:id="491"/>
      <w:bookmarkEnd w:id="492"/>
      <w:bookmarkEnd w:id="493"/>
      <w:bookmarkEnd w:id="494"/>
      <w:bookmarkEnd w:id="495"/>
      <w:bookmarkEnd w:id="496"/>
      <w:bookmarkEnd w:id="497"/>
    </w:p>
    <w:p>
      <w:pPr>
        <w:pStyle w:val="5"/>
        <w:snapToGrid w:val="0"/>
        <w:spacing w:before="0" w:after="0" w:line="360" w:lineRule="auto"/>
        <w:rPr>
          <w:rFonts w:ascii="宋体" w:hAnsi="宋体"/>
          <w:b w:val="0"/>
          <w:snapToGrid w:val="0"/>
          <w:color w:val="auto"/>
          <w:sz w:val="24"/>
          <w:szCs w:val="24"/>
          <w:highlight w:val="none"/>
        </w:rPr>
      </w:pPr>
      <w:bookmarkStart w:id="498" w:name="_Toc287607793"/>
      <w:bookmarkStart w:id="499" w:name="_Toc224103364"/>
      <w:bookmarkStart w:id="500" w:name="_Toc19199"/>
      <w:bookmarkStart w:id="501" w:name="_Toc430530482"/>
      <w:bookmarkStart w:id="502" w:name="_Toc277082599"/>
      <w:bookmarkStart w:id="503" w:name="_Toc200513173"/>
      <w:bookmarkStart w:id="504" w:name="_Toc10470"/>
      <w:bookmarkStart w:id="505" w:name="_Toc509218757"/>
      <w:bookmarkStart w:id="506" w:name="_Toc287620732"/>
      <w:r>
        <w:rPr>
          <w:rFonts w:ascii="宋体" w:hAnsi="宋体"/>
          <w:b w:val="0"/>
          <w:snapToGrid w:val="0"/>
          <w:color w:val="auto"/>
          <w:sz w:val="24"/>
          <w:szCs w:val="24"/>
          <w:highlight w:val="none"/>
        </w:rPr>
        <w:t>9.1  对招标人的纪律要求</w:t>
      </w:r>
      <w:bookmarkEnd w:id="498"/>
      <w:bookmarkEnd w:id="499"/>
      <w:bookmarkEnd w:id="500"/>
      <w:bookmarkEnd w:id="501"/>
      <w:bookmarkEnd w:id="502"/>
      <w:bookmarkEnd w:id="503"/>
      <w:bookmarkEnd w:id="504"/>
      <w:bookmarkEnd w:id="505"/>
      <w:bookmarkEnd w:id="506"/>
    </w:p>
    <w:p>
      <w:pPr>
        <w:autoSpaceDE w:val="0"/>
        <w:autoSpaceDN w:val="0"/>
        <w:adjustRightInd w:val="0"/>
        <w:snapToGrid w:val="0"/>
        <w:spacing w:line="360" w:lineRule="auto"/>
        <w:ind w:firstLine="420"/>
        <w:rPr>
          <w:rFonts w:ascii="宋体" w:hAnsi="宋体"/>
          <w:color w:val="auto"/>
          <w:highlight w:val="none"/>
        </w:rPr>
      </w:pPr>
      <w:r>
        <w:rPr>
          <w:rFonts w:ascii="宋体" w:hAnsi="宋体"/>
          <w:snapToGrid w:val="0"/>
          <w:color w:val="auto"/>
          <w:kern w:val="0"/>
          <w:szCs w:val="21"/>
          <w:highlight w:val="none"/>
        </w:rPr>
        <w:t>招标人不得泄漏招标投标活动中应当保密的情况和资料，不得与投标人串通损害国家利 益、社会公共利益或者他人合法权益，</w:t>
      </w:r>
      <w:r>
        <w:rPr>
          <w:rFonts w:ascii="宋体" w:hAnsi="宋体"/>
          <w:color w:val="auto"/>
          <w:highlight w:val="none"/>
        </w:rPr>
        <w:t>禁止招标人与投标人串通投标。</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有下列情形之一的，属于招标人与投标人串通投标：</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（1）招标人在开标前开启投标文件并将有关信息泄露给其他投标人</w:t>
      </w:r>
      <w:r>
        <w:rPr>
          <w:rFonts w:hint="eastAsia" w:ascii="宋体" w:hAnsi="宋体"/>
          <w:color w:val="auto"/>
          <w:highlight w:val="none"/>
        </w:rPr>
        <w:t>；</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（2）招标人直接或者间接向投标人泄露标底、评标委员会成员等信息；</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（3）招标人明示或者暗示投标人压低或者抬高投标报价；</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（4）招标人授意投标人撤换、修改投标文件；</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（5）招标人明示或者暗示投标人为特定投标人中标提供方便；</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（6）招标人与投标人为谋求特定投标人中标而采取的其他串通行为。</w:t>
      </w:r>
    </w:p>
    <w:p>
      <w:pPr>
        <w:pStyle w:val="5"/>
        <w:snapToGrid w:val="0"/>
        <w:spacing w:before="0" w:after="0" w:line="360" w:lineRule="auto"/>
        <w:ind w:firstLine="480" w:firstLineChars="200"/>
        <w:rPr>
          <w:rFonts w:ascii="宋体" w:hAnsi="宋体"/>
          <w:b w:val="0"/>
          <w:snapToGrid w:val="0"/>
          <w:color w:val="auto"/>
          <w:sz w:val="24"/>
          <w:szCs w:val="24"/>
          <w:highlight w:val="none"/>
        </w:rPr>
      </w:pPr>
      <w:bookmarkStart w:id="507" w:name="_Toc277082600"/>
      <w:bookmarkStart w:id="508" w:name="_Toc287620733"/>
      <w:bookmarkStart w:id="509" w:name="_Toc16111"/>
      <w:bookmarkStart w:id="510" w:name="_Toc25699"/>
      <w:bookmarkStart w:id="511" w:name="_Toc224103365"/>
      <w:bookmarkStart w:id="512" w:name="_Toc287607794"/>
      <w:bookmarkStart w:id="513" w:name="_Toc200513174"/>
      <w:bookmarkStart w:id="514" w:name="_Toc430530483"/>
      <w:bookmarkStart w:id="515" w:name="_Toc509218758"/>
      <w:r>
        <w:rPr>
          <w:rFonts w:ascii="宋体" w:hAnsi="宋体"/>
          <w:b w:val="0"/>
          <w:snapToGrid w:val="0"/>
          <w:color w:val="auto"/>
          <w:sz w:val="24"/>
          <w:szCs w:val="24"/>
          <w:highlight w:val="none"/>
        </w:rPr>
        <w:t>9.2  对投标人的纪律要求</w:t>
      </w:r>
      <w:bookmarkEnd w:id="507"/>
      <w:bookmarkEnd w:id="508"/>
      <w:bookmarkEnd w:id="509"/>
      <w:bookmarkEnd w:id="510"/>
      <w:bookmarkEnd w:id="511"/>
      <w:bookmarkEnd w:id="512"/>
      <w:bookmarkEnd w:id="513"/>
      <w:bookmarkEnd w:id="514"/>
      <w:bookmarkEnd w:id="515"/>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9.2.1  </w:t>
      </w:r>
      <w:r>
        <w:rPr>
          <w:rFonts w:ascii="宋体" w:hAnsi="宋体"/>
          <w:color w:val="auto"/>
          <w:highlight w:val="none"/>
        </w:rPr>
        <w:t>有下列情形之一的，属于投标人相互串通投标：</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（1）投标人之间协商投标报价等投标文件的实质性内容；</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（2）投标人之间约定中标人；</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（3）投标人之间约定部分投标人放弃投标或者中标；</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（4）属于同一集团、协会、商会等组织成员的投标人按照该组织要求协同投标；</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（5）投标人之间为谋取中标或者排斥特定投标人而采取的其他联合行动。</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有下列情形之一的，视为投标人相互串通投标：</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（1）不同投标人的投标文件由同一单位或者个人编制；</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（2）不同投标人委托同一单位或者个人办理投标事宜；</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（3）不同投标人的投标文件载明的项目管理成员为同一人；</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（4）不同投标人的投标文件异常一致或者投标报价呈规律性差异；</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（5）不同投标人的投标文件相互混装；</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（6）不同投标人的投标保证金从同一单位或者个人的账户转出</w:t>
      </w:r>
      <w:r>
        <w:rPr>
          <w:rFonts w:hint="eastAsia" w:ascii="宋体" w:hAnsi="宋体"/>
          <w:color w:val="auto"/>
          <w:highlight w:val="none"/>
        </w:rPr>
        <w:t>；</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9.2.4  </w:t>
      </w:r>
      <w:r>
        <w:rPr>
          <w:rFonts w:ascii="宋体" w:hAnsi="宋体"/>
          <w:color w:val="auto"/>
          <w:highlight w:val="none"/>
        </w:rPr>
        <w:t>投标人有下列情形之一的，属于以其他方式弄虚作假的行为：</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使用伪造、变造的许可证件；</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pPr>
        <w:pStyle w:val="5"/>
        <w:snapToGrid w:val="0"/>
        <w:spacing w:before="0" w:after="0" w:line="360" w:lineRule="auto"/>
        <w:rPr>
          <w:rFonts w:ascii="宋体" w:hAnsi="宋体"/>
          <w:b w:val="0"/>
          <w:snapToGrid w:val="0"/>
          <w:color w:val="auto"/>
          <w:sz w:val="24"/>
          <w:szCs w:val="24"/>
          <w:highlight w:val="none"/>
        </w:rPr>
      </w:pPr>
      <w:bookmarkStart w:id="516" w:name="_Toc224103366"/>
      <w:bookmarkStart w:id="517" w:name="_Toc200513175"/>
      <w:bookmarkStart w:id="518" w:name="_Toc430530484"/>
      <w:bookmarkStart w:id="519" w:name="_Toc277082601"/>
      <w:bookmarkStart w:id="520" w:name="_Toc287607795"/>
      <w:bookmarkStart w:id="521" w:name="_Toc287620734"/>
      <w:bookmarkStart w:id="522" w:name="_Toc509218759"/>
      <w:bookmarkStart w:id="523" w:name="_Toc32228"/>
      <w:bookmarkStart w:id="524" w:name="_Toc12627"/>
      <w:r>
        <w:rPr>
          <w:rFonts w:ascii="宋体" w:hAnsi="宋体"/>
          <w:b w:val="0"/>
          <w:snapToGrid w:val="0"/>
          <w:color w:val="auto"/>
          <w:sz w:val="24"/>
          <w:szCs w:val="24"/>
          <w:highlight w:val="none"/>
        </w:rPr>
        <w:t>9.3  对评标委员会成员的纪律要求</w:t>
      </w:r>
      <w:bookmarkEnd w:id="516"/>
      <w:bookmarkEnd w:id="517"/>
      <w:bookmarkEnd w:id="518"/>
      <w:bookmarkEnd w:id="519"/>
      <w:bookmarkEnd w:id="520"/>
      <w:bookmarkEnd w:id="521"/>
      <w:bookmarkEnd w:id="522"/>
      <w:bookmarkEnd w:id="523"/>
      <w:bookmarkEnd w:id="524"/>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中《否决投标情况一览表》以外的内容予以否决投标，否则对评标委员会成员按《重庆市综合评标专家库和评标专家管理暂行办法》进行处理。</w:t>
      </w:r>
    </w:p>
    <w:p>
      <w:pPr>
        <w:pStyle w:val="5"/>
        <w:snapToGrid w:val="0"/>
        <w:spacing w:before="0" w:after="0" w:line="360" w:lineRule="auto"/>
        <w:rPr>
          <w:rFonts w:ascii="宋体" w:hAnsi="宋体"/>
          <w:b w:val="0"/>
          <w:snapToGrid w:val="0"/>
          <w:color w:val="auto"/>
          <w:sz w:val="24"/>
          <w:szCs w:val="24"/>
          <w:highlight w:val="none"/>
        </w:rPr>
      </w:pPr>
      <w:bookmarkStart w:id="525" w:name="_Toc277082602"/>
      <w:bookmarkStart w:id="526" w:name="_Toc958"/>
      <w:bookmarkStart w:id="527" w:name="_Toc287620735"/>
      <w:bookmarkStart w:id="528" w:name="_Toc509218760"/>
      <w:bookmarkStart w:id="529" w:name="_Toc200513176"/>
      <w:bookmarkStart w:id="530" w:name="_Toc430530485"/>
      <w:bookmarkStart w:id="531" w:name="_Toc287607796"/>
      <w:bookmarkStart w:id="532" w:name="_Toc11560"/>
      <w:bookmarkStart w:id="533" w:name="_Toc224103367"/>
      <w:r>
        <w:rPr>
          <w:rFonts w:ascii="宋体" w:hAnsi="宋体"/>
          <w:b w:val="0"/>
          <w:snapToGrid w:val="0"/>
          <w:color w:val="auto"/>
          <w:sz w:val="24"/>
          <w:szCs w:val="24"/>
          <w:highlight w:val="none"/>
        </w:rPr>
        <w:t>9.4  对与评标活动有关的工作人员的纪律要求</w:t>
      </w:r>
      <w:bookmarkEnd w:id="525"/>
      <w:bookmarkEnd w:id="526"/>
      <w:bookmarkEnd w:id="527"/>
      <w:bookmarkEnd w:id="528"/>
      <w:bookmarkEnd w:id="529"/>
      <w:bookmarkEnd w:id="530"/>
      <w:bookmarkEnd w:id="531"/>
      <w:bookmarkEnd w:id="532"/>
      <w:bookmarkEnd w:id="533"/>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5"/>
        <w:snapToGrid w:val="0"/>
        <w:spacing w:before="0" w:after="0" w:line="360" w:lineRule="auto"/>
        <w:rPr>
          <w:rFonts w:ascii="宋体" w:hAnsi="宋体"/>
          <w:b w:val="0"/>
          <w:snapToGrid w:val="0"/>
          <w:color w:val="auto"/>
          <w:sz w:val="24"/>
          <w:szCs w:val="24"/>
          <w:highlight w:val="none"/>
        </w:rPr>
      </w:pPr>
      <w:bookmarkStart w:id="534" w:name="_Toc31356"/>
      <w:bookmarkStart w:id="535" w:name="_Toc26019"/>
      <w:bookmarkStart w:id="536" w:name="_Toc430530486"/>
      <w:bookmarkStart w:id="537" w:name="_Toc277082603"/>
      <w:bookmarkStart w:id="538" w:name="_Toc509218761"/>
      <w:bookmarkStart w:id="539" w:name="_Toc287607797"/>
      <w:bookmarkStart w:id="540" w:name="_Toc224103368"/>
      <w:bookmarkStart w:id="541" w:name="_Toc200513177"/>
      <w:bookmarkStart w:id="542" w:name="_Toc287620736"/>
      <w:r>
        <w:rPr>
          <w:rFonts w:ascii="宋体" w:hAnsi="宋体"/>
          <w:b w:val="0"/>
          <w:snapToGrid w:val="0"/>
          <w:color w:val="auto"/>
          <w:sz w:val="24"/>
          <w:szCs w:val="24"/>
          <w:highlight w:val="none"/>
        </w:rPr>
        <w:t>9.5  投诉</w:t>
      </w:r>
      <w:bookmarkEnd w:id="534"/>
      <w:bookmarkEnd w:id="535"/>
      <w:bookmarkEnd w:id="536"/>
      <w:bookmarkEnd w:id="537"/>
      <w:bookmarkEnd w:id="538"/>
      <w:bookmarkEnd w:id="539"/>
      <w:bookmarkEnd w:id="540"/>
      <w:bookmarkEnd w:id="541"/>
      <w:bookmarkEnd w:id="542"/>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投标人和其他利害关系人认为本次招标活动违反法律、法规和规章规定的，有权向有关行政监督部门投诉。</w:t>
      </w:r>
    </w:p>
    <w:p>
      <w:pPr>
        <w:pStyle w:val="4"/>
        <w:spacing w:before="0" w:after="0" w:line="360" w:lineRule="auto"/>
        <w:rPr>
          <w:rFonts w:ascii="宋体" w:hAnsi="宋体"/>
          <w:b w:val="0"/>
          <w:snapToGrid w:val="0"/>
          <w:color w:val="auto"/>
          <w:highlight w:val="none"/>
        </w:rPr>
      </w:pPr>
      <w:bookmarkStart w:id="543" w:name="_Toc277082604"/>
      <w:bookmarkStart w:id="544" w:name="_Toc430530487"/>
      <w:bookmarkStart w:id="545" w:name="_Toc224103369"/>
      <w:bookmarkStart w:id="546" w:name="_Toc2380"/>
      <w:bookmarkStart w:id="547" w:name="_Toc16177"/>
      <w:bookmarkStart w:id="548" w:name="_Toc287607798"/>
      <w:bookmarkStart w:id="549" w:name="_Toc509218762"/>
      <w:bookmarkStart w:id="550" w:name="_Toc287620737"/>
      <w:bookmarkStart w:id="551" w:name="_Toc200513178"/>
      <w:r>
        <w:rPr>
          <w:rFonts w:ascii="宋体" w:hAnsi="宋体"/>
          <w:b w:val="0"/>
          <w:snapToGrid w:val="0"/>
          <w:color w:val="auto"/>
          <w:highlight w:val="none"/>
        </w:rPr>
        <w:t>10. 需要补充的其他内容</w:t>
      </w:r>
      <w:bookmarkEnd w:id="543"/>
      <w:bookmarkEnd w:id="544"/>
      <w:bookmarkEnd w:id="545"/>
      <w:bookmarkEnd w:id="546"/>
      <w:bookmarkEnd w:id="547"/>
      <w:bookmarkEnd w:id="548"/>
      <w:bookmarkEnd w:id="549"/>
      <w:bookmarkEnd w:id="550"/>
      <w:bookmarkEnd w:id="551"/>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highlight w:val="none"/>
        </w:rPr>
        <w:t>需要补充的其他内容：见投标人须知前附表。</w:t>
      </w:r>
    </w:p>
    <w:p>
      <w:pPr>
        <w:autoSpaceDE w:val="0"/>
        <w:autoSpaceDN w:val="0"/>
        <w:adjustRightInd w:val="0"/>
        <w:snapToGrid w:val="0"/>
        <w:spacing w:before="62" w:beforeLines="20" w:line="360" w:lineRule="auto"/>
        <w:jc w:val="right"/>
        <w:rPr>
          <w:rFonts w:ascii="宋体" w:hAnsi="宋体"/>
          <w:snapToGrid w:val="0"/>
          <w:color w:val="auto"/>
          <w:kern w:val="0"/>
          <w:sz w:val="24"/>
          <w:highlight w:val="none"/>
        </w:rPr>
      </w:pPr>
    </w:p>
    <w:p>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lang w:val="en-US" w:eastAsia="zh-CN"/>
        </w:rPr>
        <w:t>一</w:t>
      </w:r>
      <w:r>
        <w:rPr>
          <w:rFonts w:ascii="宋体" w:hAnsi="宋体"/>
          <w:b/>
          <w:snapToGrid w:val="0"/>
          <w:color w:val="auto"/>
          <w:kern w:val="0"/>
          <w:highlight w:val="none"/>
        </w:rPr>
        <w:t>：问题澄清通知</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rPr>
          <w:rFonts w:ascii="宋体" w:hAnsi="宋体"/>
          <w:snapToGrid w:val="0"/>
          <w:color w:val="auto"/>
          <w:kern w:val="0"/>
          <w:sz w:val="28"/>
          <w:szCs w:val="28"/>
          <w:highlight w:val="none"/>
        </w:rPr>
      </w:pPr>
    </w:p>
    <w:p>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（投标人名称）</w:t>
      </w:r>
      <w:r>
        <w:rPr>
          <w:rFonts w:ascii="宋体" w:hAnsi="宋体"/>
          <w:snapToGrid w:val="0"/>
          <w:color w:val="auto"/>
          <w:kern w:val="0"/>
          <w:szCs w:val="21"/>
          <w:highlight w:val="none"/>
        </w:rPr>
        <w:t>：</w:t>
      </w:r>
    </w:p>
    <w:p>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的评标委员会，对你方的投标文件进行了仔细的审查，现需你方对下列问题予以澄清：</w:t>
      </w:r>
    </w:p>
    <w:p>
      <w:pPr>
        <w:autoSpaceDE w:val="0"/>
        <w:autoSpaceDN w:val="0"/>
        <w:adjustRightInd w:val="0"/>
        <w:snapToGrid w:val="0"/>
        <w:spacing w:line="360" w:lineRule="auto"/>
        <w:jc w:val="left"/>
        <w:rPr>
          <w:rFonts w:ascii="宋体" w:hAnsi="宋体"/>
          <w:snapToGrid w:val="0"/>
          <w:color w:val="auto"/>
          <w:kern w:val="0"/>
          <w:sz w:val="24"/>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ascii="宋体" w:hAnsi="宋体"/>
          <w:snapToGrid w:val="0"/>
          <w:color w:val="auto"/>
          <w:kern w:val="0"/>
          <w:sz w:val="14"/>
          <w:szCs w:val="14"/>
          <w:highlight w:val="none"/>
        </w:rPr>
      </w:pPr>
    </w:p>
    <w:p>
      <w:pPr>
        <w:autoSpaceDE w:val="0"/>
        <w:autoSpaceDN w:val="0"/>
        <w:adjustRightInd w:val="0"/>
        <w:snapToGrid w:val="0"/>
        <w:spacing w:line="360" w:lineRule="auto"/>
        <w:jc w:val="left"/>
        <w:rPr>
          <w:rFonts w:ascii="宋体" w:hAnsi="宋体"/>
          <w:snapToGrid w:val="0"/>
          <w:color w:val="auto"/>
          <w:kern w:val="0"/>
          <w:sz w:val="14"/>
          <w:szCs w:val="14"/>
          <w:highlight w:val="none"/>
        </w:rPr>
      </w:pPr>
    </w:p>
    <w:p>
      <w:pPr>
        <w:autoSpaceDE w:val="0"/>
        <w:autoSpaceDN w:val="0"/>
        <w:adjustRightInd w:val="0"/>
        <w:snapToGrid w:val="0"/>
        <w:spacing w:line="360" w:lineRule="auto"/>
        <w:jc w:val="left"/>
        <w:rPr>
          <w:rFonts w:ascii="宋体" w:hAnsi="宋体"/>
          <w:snapToGrid w:val="0"/>
          <w:color w:val="auto"/>
          <w:kern w:val="0"/>
          <w:sz w:val="14"/>
          <w:szCs w:val="14"/>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w:t>
      </w:r>
      <w:r>
        <w:rPr>
          <w:rFonts w:hint="eastAsia" w:ascii="宋体" w:hAnsi="宋体"/>
          <w:snapToGrid w:val="0"/>
          <w:color w:val="auto"/>
          <w:kern w:val="0"/>
          <w:szCs w:val="21"/>
          <w:highlight w:val="none"/>
        </w:rPr>
        <w:t>提交</w:t>
      </w: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tabs>
          <w:tab w:val="left" w:pos="640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pPr>
        <w:tabs>
          <w:tab w:val="left" w:pos="6400"/>
        </w:tabs>
        <w:autoSpaceDE w:val="0"/>
        <w:autoSpaceDN w:val="0"/>
        <w:adjustRightInd w:val="0"/>
        <w:snapToGrid w:val="0"/>
        <w:spacing w:line="360" w:lineRule="auto"/>
        <w:ind w:right="120"/>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p>
    <w:p>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autoSpaceDE w:val="0"/>
        <w:autoSpaceDN w:val="0"/>
        <w:adjustRightInd w:val="0"/>
        <w:snapToGrid w:val="0"/>
        <w:spacing w:line="360" w:lineRule="auto"/>
        <w:jc w:val="left"/>
        <w:rPr>
          <w:rFonts w:ascii="宋体" w:hAnsi="宋体"/>
          <w:b/>
          <w:snapToGrid w:val="0"/>
          <w:color w:val="auto"/>
          <w:kern w:val="0"/>
          <w:highlight w:val="none"/>
        </w:rPr>
      </w:pPr>
    </w:p>
    <w:p>
      <w:pPr>
        <w:autoSpaceDE w:val="0"/>
        <w:autoSpaceDN w:val="0"/>
        <w:adjustRightInd w:val="0"/>
        <w:snapToGrid w:val="0"/>
        <w:spacing w:line="360" w:lineRule="auto"/>
        <w:jc w:val="left"/>
        <w:rPr>
          <w:rFonts w:ascii="宋体" w:hAnsi="宋体"/>
          <w:b/>
          <w:snapToGrid w:val="0"/>
          <w:color w:val="auto"/>
          <w:kern w:val="0"/>
          <w:highlight w:val="none"/>
        </w:rPr>
      </w:pPr>
    </w:p>
    <w:p>
      <w:pPr>
        <w:autoSpaceDE w:val="0"/>
        <w:autoSpaceDN w:val="0"/>
        <w:adjustRightInd w:val="0"/>
        <w:snapToGrid w:val="0"/>
        <w:spacing w:line="360" w:lineRule="auto"/>
        <w:jc w:val="left"/>
        <w:rPr>
          <w:rFonts w:ascii="宋体" w:hAnsi="宋体"/>
          <w:b/>
          <w:snapToGrid w:val="0"/>
          <w:color w:val="auto"/>
          <w:kern w:val="0"/>
          <w:highlight w:val="none"/>
        </w:rPr>
      </w:pPr>
    </w:p>
    <w:p>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lang w:val="en-US" w:eastAsia="zh-CN"/>
        </w:rPr>
        <w:t>二</w:t>
      </w:r>
      <w:r>
        <w:rPr>
          <w:rFonts w:ascii="宋体" w:hAnsi="宋体"/>
          <w:b/>
          <w:snapToGrid w:val="0"/>
          <w:color w:val="auto"/>
          <w:kern w:val="0"/>
          <w:highlight w:val="none"/>
        </w:rPr>
        <w:t>：问题的澄清</w:t>
      </w:r>
    </w:p>
    <w:p>
      <w:pPr>
        <w:autoSpaceDE w:val="0"/>
        <w:autoSpaceDN w:val="0"/>
        <w:adjustRightInd w:val="0"/>
        <w:snapToGrid w:val="0"/>
        <w:spacing w:line="360" w:lineRule="auto"/>
        <w:jc w:val="left"/>
        <w:rPr>
          <w:rFonts w:ascii="宋体" w:hAnsi="宋体"/>
          <w:b/>
          <w:snapToGrid w:val="0"/>
          <w:color w:val="auto"/>
          <w:kern w:val="0"/>
          <w:sz w:val="10"/>
          <w:szCs w:val="10"/>
          <w:highlight w:val="none"/>
        </w:rPr>
      </w:pPr>
    </w:p>
    <w:p>
      <w:pP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pPr>
        <w:tabs>
          <w:tab w:val="left" w:pos="735"/>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招标评标委员会：</w:t>
      </w:r>
    </w:p>
    <w:p>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2"/>
          <w:szCs w:val="22"/>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投标人：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pPr>
        <w:autoSpaceDE w:val="0"/>
        <w:autoSpaceDN w:val="0"/>
        <w:adjustRightInd w:val="0"/>
        <w:snapToGrid w:val="0"/>
        <w:spacing w:line="360" w:lineRule="auto"/>
        <w:jc w:val="right"/>
        <w:rPr>
          <w:rFonts w:ascii="宋体" w:hAnsi="宋体"/>
          <w:snapToGrid w:val="0"/>
          <w:color w:val="auto"/>
          <w:kern w:val="0"/>
          <w:sz w:val="20"/>
          <w:szCs w:val="20"/>
          <w:highlight w:val="none"/>
        </w:rPr>
      </w:pPr>
    </w:p>
    <w:p>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jc w:val="left"/>
        <w:rPr>
          <w:rFonts w:ascii="宋体" w:hAnsi="宋体"/>
          <w:b/>
          <w:snapToGrid w:val="0"/>
          <w:color w:val="auto"/>
          <w:kern w:val="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lang w:val="en-US" w:eastAsia="zh-CN"/>
        </w:rPr>
        <w:t>三</w:t>
      </w:r>
      <w:r>
        <w:rPr>
          <w:rFonts w:ascii="宋体" w:hAnsi="宋体"/>
          <w:b/>
          <w:snapToGrid w:val="0"/>
          <w:color w:val="auto"/>
          <w:kern w:val="0"/>
          <w:highlight w:val="none"/>
        </w:rPr>
        <w:t>：中标通知书</w:t>
      </w:r>
    </w:p>
    <w:p>
      <w:pPr>
        <w:autoSpaceDE w:val="0"/>
        <w:autoSpaceDN w:val="0"/>
        <w:adjustRightInd w:val="0"/>
        <w:spacing w:line="360" w:lineRule="auto"/>
        <w:jc w:val="left"/>
        <w:rPr>
          <w:rFonts w:ascii="宋体" w:hAnsi="宋体"/>
          <w:snapToGrid w:val="0"/>
          <w:color w:val="auto"/>
          <w:kern w:val="0"/>
          <w:sz w:val="20"/>
          <w:szCs w:val="20"/>
          <w:highlight w:val="none"/>
        </w:rPr>
      </w:pPr>
    </w:p>
    <w:p>
      <w:pPr>
        <w:autoSpaceDE w:val="0"/>
        <w:autoSpaceDN w:val="0"/>
        <w:adjustRightInd w:val="0"/>
        <w:spacing w:line="360" w:lineRule="auto"/>
        <w:jc w:val="left"/>
        <w:rPr>
          <w:rFonts w:ascii="宋体" w:hAnsi="宋体"/>
          <w:snapToGrid w:val="0"/>
          <w:color w:val="auto"/>
          <w:kern w:val="0"/>
          <w:sz w:val="20"/>
          <w:szCs w:val="20"/>
          <w:highlight w:val="none"/>
        </w:rPr>
      </w:pPr>
    </w:p>
    <w:p>
      <w:pPr>
        <w:autoSpaceDE w:val="0"/>
        <w:autoSpaceDN w:val="0"/>
        <w:adjustRightIn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重庆市建设工程中标通知书</w:t>
      </w:r>
    </w:p>
    <w:p>
      <w:pPr>
        <w:spacing w:line="360" w:lineRule="auto"/>
        <w:rPr>
          <w:rFonts w:ascii="宋体" w:hAnsi="宋体"/>
          <w:bCs/>
          <w:color w:val="auto"/>
          <w:kern w:val="0"/>
          <w:szCs w:val="21"/>
          <w:highlight w:val="none"/>
          <w:u w:val="single"/>
        </w:rPr>
      </w:pPr>
      <w:r>
        <w:rPr>
          <w:rFonts w:ascii="宋体" w:hAnsi="宋体"/>
          <w:bCs/>
          <w:color w:val="auto"/>
          <w:kern w:val="0"/>
          <w:szCs w:val="21"/>
          <w:highlight w:val="none"/>
          <w:u w:val="single"/>
        </w:rPr>
        <w:t xml:space="preserve">       </w:t>
      </w:r>
      <w:r>
        <w:rPr>
          <w:rFonts w:ascii="宋体" w:hAnsi="宋体"/>
          <w:color w:val="auto"/>
          <w:kern w:val="0"/>
          <w:szCs w:val="21"/>
          <w:highlight w:val="none"/>
          <w:u w:val="single"/>
        </w:rPr>
        <w:t>中标单位</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我单位拟建的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（项目名称）</w:t>
      </w:r>
      <w:r>
        <w:rPr>
          <w:rFonts w:ascii="宋体" w:hAnsi="宋体"/>
          <w:bCs/>
          <w:color w:val="auto"/>
          <w:kern w:val="0"/>
          <w:szCs w:val="21"/>
          <w:highlight w:val="none"/>
          <w:u w:val="single"/>
        </w:rPr>
        <w:t xml:space="preserve">    </w:t>
      </w:r>
      <w:r>
        <w:rPr>
          <w:rFonts w:ascii="宋体" w:hAnsi="宋体"/>
          <w:color w:val="auto"/>
          <w:kern w:val="0"/>
          <w:szCs w:val="21"/>
          <w:highlight w:val="none"/>
        </w:rPr>
        <w:t>于</w:t>
      </w:r>
      <w:r>
        <w:rPr>
          <w:rFonts w:ascii="宋体" w:hAnsi="宋体"/>
          <w:bCs/>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日开标，经评标委员会评定，确定你单位为中标人，中标额为</w:t>
      </w:r>
      <w:r>
        <w:rPr>
          <w:rFonts w:hint="eastAsia" w:ascii="宋体" w:hAnsi="宋体"/>
          <w:color w:val="auto"/>
          <w:kern w:val="0"/>
          <w:szCs w:val="21"/>
          <w:highlight w:val="none"/>
        </w:rPr>
        <w:t>（大写）</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。中标工程范围：</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，工程规模为 </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，中标工期 </w:t>
      </w:r>
      <w:r>
        <w:rPr>
          <w:rFonts w:ascii="宋体" w:hAnsi="宋体"/>
          <w:bCs/>
          <w:color w:val="auto"/>
          <w:kern w:val="0"/>
          <w:szCs w:val="21"/>
          <w:highlight w:val="none"/>
          <w:u w:val="single"/>
        </w:rPr>
        <w:t xml:space="preserve">   </w:t>
      </w:r>
      <w:r>
        <w:rPr>
          <w:rFonts w:ascii="宋体" w:hAnsi="宋体"/>
          <w:color w:val="auto"/>
          <w:kern w:val="0"/>
          <w:szCs w:val="21"/>
          <w:highlight w:val="none"/>
          <w:u w:val="single"/>
        </w:rPr>
        <w:t>日历天</w:t>
      </w:r>
      <w:r>
        <w:rPr>
          <w:rFonts w:ascii="宋体" w:hAnsi="宋体"/>
          <w:color w:val="auto"/>
          <w:kern w:val="0"/>
          <w:szCs w:val="21"/>
          <w:highlight w:val="none"/>
        </w:rPr>
        <w:t>，工程质量达到国家施工验收规范标准。 项目经理由</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担任。</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你单位收到中标通知书后，在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日内到我单位签订承发包合同。</w:t>
      </w:r>
      <w:r>
        <w:rPr>
          <w:color w:val="auto"/>
          <w:szCs w:val="21"/>
          <w:highlight w:val="none"/>
        </w:rPr>
        <w:t>在此之前按</w:t>
      </w:r>
      <w:r>
        <w:rPr>
          <w:rFonts w:hint="eastAsia"/>
          <w:color w:val="auto"/>
          <w:szCs w:val="21"/>
          <w:highlight w:val="none"/>
          <w:lang w:eastAsia="zh-CN"/>
        </w:rPr>
        <w:t>竞争性比选文件</w:t>
      </w:r>
      <w:r>
        <w:rPr>
          <w:color w:val="auto"/>
          <w:szCs w:val="21"/>
          <w:highlight w:val="none"/>
        </w:rPr>
        <w:t>第二章</w:t>
      </w:r>
      <w:r>
        <w:rPr>
          <w:rFonts w:hint="eastAsia"/>
          <w:color w:val="auto"/>
          <w:szCs w:val="21"/>
          <w:highlight w:val="none"/>
        </w:rPr>
        <w:t>“</w:t>
      </w:r>
      <w:r>
        <w:rPr>
          <w:color w:val="auto"/>
          <w:szCs w:val="21"/>
          <w:highlight w:val="none"/>
        </w:rPr>
        <w:t>投标人须知</w:t>
      </w:r>
      <w:r>
        <w:rPr>
          <w:rFonts w:hint="eastAsia"/>
          <w:color w:val="auto"/>
          <w:szCs w:val="21"/>
          <w:highlight w:val="none"/>
        </w:rPr>
        <w:t>”</w:t>
      </w:r>
      <w:r>
        <w:rPr>
          <w:color w:val="auto"/>
          <w:szCs w:val="21"/>
          <w:highlight w:val="none"/>
        </w:rPr>
        <w:t>第7.</w:t>
      </w:r>
      <w:r>
        <w:rPr>
          <w:rFonts w:hint="eastAsia"/>
          <w:color w:val="auto"/>
          <w:szCs w:val="21"/>
          <w:highlight w:val="none"/>
        </w:rPr>
        <w:t>3</w:t>
      </w:r>
      <w:r>
        <w:rPr>
          <w:color w:val="auto"/>
          <w:szCs w:val="21"/>
          <w:highlight w:val="none"/>
        </w:rPr>
        <w:t>款规定向我方提交履约担保。</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特此通知。</w:t>
      </w:r>
    </w:p>
    <w:p>
      <w:pPr>
        <w:spacing w:line="480" w:lineRule="auto"/>
        <w:rPr>
          <w:rFonts w:ascii="宋体" w:hAnsi="宋体"/>
          <w:color w:val="auto"/>
          <w:kern w:val="0"/>
          <w:sz w:val="24"/>
          <w:highlight w:val="none"/>
        </w:rPr>
      </w:pPr>
    </w:p>
    <w:p>
      <w:pPr>
        <w:spacing w:line="480" w:lineRule="auto"/>
        <w:rPr>
          <w:rFonts w:ascii="宋体" w:hAnsi="宋体"/>
          <w:color w:val="auto"/>
          <w:kern w:val="0"/>
          <w:sz w:val="24"/>
          <w:highlight w:val="none"/>
        </w:rPr>
      </w:pPr>
    </w:p>
    <w:p>
      <w:pPr>
        <w:spacing w:line="480" w:lineRule="auto"/>
        <w:rPr>
          <w:rFonts w:ascii="宋体" w:hAnsi="宋体"/>
          <w:color w:val="auto"/>
          <w:kern w:val="0"/>
          <w:sz w:val="24"/>
          <w:highlight w:val="none"/>
        </w:rPr>
      </w:pPr>
    </w:p>
    <w:p>
      <w:pPr>
        <w:spacing w:line="480" w:lineRule="auto"/>
        <w:jc w:val="left"/>
        <w:rPr>
          <w:rFonts w:ascii="宋体" w:hAnsi="宋体"/>
          <w:color w:val="auto"/>
          <w:kern w:val="0"/>
          <w:szCs w:val="21"/>
          <w:highlight w:val="none"/>
        </w:rPr>
      </w:pPr>
      <w:r>
        <w:rPr>
          <w:rFonts w:ascii="宋体" w:hAnsi="宋体"/>
          <w:color w:val="auto"/>
          <w:kern w:val="0"/>
          <w:sz w:val="24"/>
          <w:highlight w:val="none"/>
        </w:rPr>
        <w:t xml:space="preserve">                             </w:t>
      </w:r>
      <w:r>
        <w:rPr>
          <w:rFonts w:ascii="宋体" w:hAnsi="宋体"/>
          <w:color w:val="auto"/>
          <w:kern w:val="0"/>
          <w:szCs w:val="21"/>
          <w:highlight w:val="none"/>
        </w:rPr>
        <w:t>招标人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snapToGrid w:val="0"/>
          <w:color w:val="auto"/>
          <w:kern w:val="0"/>
          <w:szCs w:val="21"/>
          <w:highlight w:val="none"/>
        </w:rPr>
        <w:t>盖单位法人章</w:t>
      </w:r>
      <w:r>
        <w:rPr>
          <w:rFonts w:ascii="宋体" w:hAnsi="宋体"/>
          <w:color w:val="auto"/>
          <w:kern w:val="0"/>
          <w:szCs w:val="21"/>
          <w:highlight w:val="none"/>
        </w:rPr>
        <w:t>）</w:t>
      </w:r>
    </w:p>
    <w:p>
      <w:pPr>
        <w:spacing w:line="480" w:lineRule="auto"/>
        <w:jc w:val="left"/>
        <w:rPr>
          <w:rFonts w:ascii="宋体" w:hAnsi="宋体"/>
          <w:color w:val="auto"/>
          <w:kern w:val="0"/>
          <w:szCs w:val="21"/>
          <w:highlight w:val="none"/>
        </w:rPr>
      </w:pPr>
      <w:r>
        <w:rPr>
          <w:rFonts w:ascii="宋体" w:hAnsi="宋体"/>
          <w:color w:val="auto"/>
          <w:kern w:val="0"/>
          <w:szCs w:val="21"/>
          <w:highlight w:val="none"/>
        </w:rPr>
        <w:t xml:space="preserve">                                 法定代表人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spacing w:line="480" w:lineRule="auto"/>
        <w:jc w:val="left"/>
        <w:rPr>
          <w:rFonts w:ascii="宋体" w:hAnsi="宋体"/>
          <w:color w:val="auto"/>
          <w:kern w:val="0"/>
          <w:szCs w:val="21"/>
          <w:highlight w:val="none"/>
          <w:u w:val="single"/>
        </w:rPr>
      </w:pPr>
      <w:r>
        <w:rPr>
          <w:rFonts w:ascii="宋体" w:hAnsi="宋体"/>
          <w:color w:val="auto"/>
          <w:kern w:val="0"/>
          <w:szCs w:val="21"/>
          <w:highlight w:val="none"/>
        </w:rPr>
        <w:t xml:space="preserve">                                 联系人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p>
    <w:p>
      <w:pPr>
        <w:spacing w:line="480" w:lineRule="auto"/>
        <w:jc w:val="left"/>
        <w:rPr>
          <w:rFonts w:ascii="宋体" w:hAnsi="宋体"/>
          <w:color w:val="auto"/>
          <w:kern w:val="0"/>
          <w:szCs w:val="21"/>
          <w:highlight w:val="none"/>
        </w:rPr>
      </w:pPr>
      <w:r>
        <w:rPr>
          <w:rFonts w:ascii="宋体" w:hAnsi="宋体"/>
          <w:color w:val="auto"/>
          <w:kern w:val="0"/>
          <w:szCs w:val="21"/>
          <w:highlight w:val="none"/>
        </w:rPr>
        <w:t xml:space="preserve">                                 联系电话</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p>
    <w:p>
      <w:pPr>
        <w:spacing w:line="480" w:lineRule="auto"/>
        <w:jc w:val="right"/>
        <w:rPr>
          <w:rFonts w:ascii="宋体" w:hAnsi="宋体"/>
          <w:color w:val="auto"/>
          <w:kern w:val="0"/>
          <w:szCs w:val="21"/>
          <w:highlight w:val="none"/>
        </w:rPr>
      </w:pPr>
    </w:p>
    <w:p>
      <w:pPr>
        <w:spacing w:line="480" w:lineRule="auto"/>
        <w:jc w:val="right"/>
        <w:rPr>
          <w:rFonts w:ascii="宋体" w:hAnsi="宋体"/>
          <w:color w:val="auto"/>
          <w:kern w:val="0"/>
          <w:szCs w:val="21"/>
          <w:highlight w:val="none"/>
        </w:rPr>
      </w:pPr>
    </w:p>
    <w:p>
      <w:pPr>
        <w:spacing w:line="480" w:lineRule="auto"/>
        <w:jc w:val="right"/>
        <w:rPr>
          <w:rFonts w:ascii="宋体" w:hAnsi="宋体"/>
          <w:color w:val="auto"/>
          <w:kern w:val="0"/>
          <w:sz w:val="24"/>
          <w:highlight w:val="none"/>
        </w:rPr>
      </w:pPr>
      <w:r>
        <w:rPr>
          <w:rFonts w:ascii="宋体" w:hAnsi="宋体"/>
          <w:color w:val="auto"/>
          <w:kern w:val="0"/>
          <w:szCs w:val="21"/>
          <w:highlight w:val="none"/>
        </w:rPr>
        <w:t xml:space="preserve">                   签发日期</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pStyle w:val="3"/>
        <w:spacing w:line="360" w:lineRule="auto"/>
        <w:jc w:val="center"/>
        <w:rPr>
          <w:rFonts w:ascii="宋体" w:hAnsi="宋体"/>
          <w:snapToGrid w:val="0"/>
          <w:color w:val="auto"/>
          <w:kern w:val="0"/>
          <w:highlight w:val="none"/>
        </w:rPr>
      </w:pPr>
      <w:r>
        <w:rPr>
          <w:rFonts w:ascii="宋体" w:hAnsi="宋体"/>
          <w:color w:val="auto"/>
          <w:kern w:val="0"/>
          <w:sz w:val="24"/>
          <w:highlight w:val="none"/>
        </w:rPr>
        <w:br w:type="page"/>
      </w:r>
      <w:bookmarkStart w:id="552" w:name="_Toc23923"/>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hint="eastAsia" w:ascii="宋体" w:hAnsi="宋体"/>
          <w:snapToGrid w:val="0"/>
          <w:color w:val="auto"/>
          <w:kern w:val="0"/>
          <w:highlight w:val="none"/>
        </w:rPr>
        <w:t>经评审的最低投标价法</w:t>
      </w:r>
      <w:r>
        <w:rPr>
          <w:rFonts w:ascii="宋体" w:hAnsi="宋体"/>
          <w:snapToGrid w:val="0"/>
          <w:color w:val="auto"/>
          <w:kern w:val="0"/>
          <w:highlight w:val="none"/>
        </w:rPr>
        <w:t>）</w:t>
      </w:r>
      <w:bookmarkEnd w:id="552"/>
    </w:p>
    <w:p>
      <w:pPr>
        <w:keepNext/>
        <w:keepLines/>
        <w:spacing w:before="100" w:after="100" w:line="360" w:lineRule="auto"/>
        <w:outlineLvl w:val="1"/>
        <w:rPr>
          <w:rFonts w:ascii="宋体" w:hAnsi="宋体"/>
          <w:b/>
          <w:color w:val="auto"/>
          <w:sz w:val="32"/>
          <w:szCs w:val="32"/>
          <w:highlight w:val="none"/>
        </w:rPr>
      </w:pPr>
      <w:bookmarkStart w:id="553" w:name="_Toc18428"/>
      <w:r>
        <w:rPr>
          <w:rFonts w:hint="eastAsia" w:ascii="宋体" w:hAnsi="宋体"/>
          <w:b/>
          <w:color w:val="auto"/>
          <w:sz w:val="32"/>
          <w:szCs w:val="32"/>
          <w:highlight w:val="none"/>
        </w:rPr>
        <w:t>评标办法前附表</w:t>
      </w:r>
      <w:bookmarkEnd w:id="553"/>
    </w:p>
    <w:p>
      <w:pPr>
        <w:spacing w:line="400" w:lineRule="exact"/>
        <w:ind w:firstLine="427" w:firstLineChars="196"/>
        <w:rPr>
          <w:rFonts w:ascii="宋体" w:hAnsi="宋体"/>
          <w:color w:val="auto"/>
          <w:spacing w:val="4"/>
          <w:kern w:val="0"/>
          <w:szCs w:val="21"/>
          <w:highlight w:val="none"/>
        </w:rPr>
      </w:pPr>
      <w:bookmarkStart w:id="554" w:name="_Toc13210726"/>
      <w:r>
        <w:rPr>
          <w:rFonts w:ascii="宋体" w:hAnsi="宋体"/>
          <w:color w:val="auto"/>
          <w:spacing w:val="4"/>
          <w:kern w:val="0"/>
          <w:szCs w:val="21"/>
          <w:highlight w:val="none"/>
        </w:rPr>
        <w:t>评标办法中的评审内容必须和投标人须知中的对应内容一致，若投标人须知中未作要求的内容，不得列入评标办法作为评定依据。</w:t>
      </w:r>
      <w:bookmarkEnd w:id="554"/>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559"/>
        <w:gridCol w:w="2266"/>
        <w:gridCol w:w="4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2" w:type="dxa"/>
            <w:tcBorders>
              <w:righ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1559" w:type="dxa"/>
            <w:tcBorders>
              <w:lef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4" w:type="dxa"/>
            <w:gridSpan w:val="2"/>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2" w:type="dxa"/>
            <w:tcBorders>
              <w:right w:val="single" w:color="auto" w:sz="4" w:space="0"/>
            </w:tcBorders>
            <w:vAlign w:val="center"/>
          </w:tcPr>
          <w:p>
            <w:pPr>
              <w:pStyle w:val="117"/>
              <w:spacing w:line="400" w:lineRule="exact"/>
              <w:ind w:firstLine="420"/>
              <w:rPr>
                <w:color w:val="auto"/>
                <w:sz w:val="21"/>
                <w:szCs w:val="21"/>
                <w:highlight w:val="none"/>
              </w:rPr>
            </w:pPr>
            <w:r>
              <w:rPr>
                <w:color w:val="auto"/>
                <w:sz w:val="21"/>
                <w:szCs w:val="21"/>
                <w:highlight w:val="none"/>
              </w:rPr>
              <w:t>1</w:t>
            </w:r>
          </w:p>
        </w:tc>
        <w:tc>
          <w:tcPr>
            <w:tcW w:w="1559" w:type="dxa"/>
            <w:tcBorders>
              <w:left w:val="single" w:color="auto" w:sz="4" w:space="0"/>
            </w:tcBorders>
            <w:vAlign w:val="center"/>
          </w:tcPr>
          <w:p>
            <w:pPr>
              <w:pStyle w:val="117"/>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4" w:type="dxa"/>
            <w:gridSpan w:val="2"/>
            <w:vAlign w:val="center"/>
          </w:tcPr>
          <w:p>
            <w:pPr>
              <w:spacing w:line="400" w:lineRule="exact"/>
              <w:ind w:firstLine="427" w:firstLineChars="196"/>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由评标委员会按照</w:t>
            </w:r>
            <w:r>
              <w:rPr>
                <w:rFonts w:hint="eastAsia" w:ascii="宋体" w:hAnsi="宋体"/>
                <w:color w:val="auto"/>
                <w:spacing w:val="4"/>
                <w:kern w:val="0"/>
                <w:szCs w:val="21"/>
                <w:highlight w:val="none"/>
                <w:u w:val="single"/>
              </w:rPr>
              <w:t xml:space="preserve">  投票 </w:t>
            </w:r>
            <w:r>
              <w:rPr>
                <w:rFonts w:hint="eastAsia" w:ascii="宋体" w:hAnsi="宋体"/>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59"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报价</w:t>
            </w:r>
            <w:r>
              <w:rPr>
                <w:rFonts w:hint="eastAsia" w:ascii="宋体" w:hAnsi="宋体"/>
                <w:color w:val="auto"/>
                <w:kern w:val="0"/>
                <w:highlight w:val="none"/>
              </w:rPr>
              <w:t>排序</w:t>
            </w:r>
          </w:p>
        </w:tc>
        <w:tc>
          <w:tcPr>
            <w:tcW w:w="6884"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对报价不高于最高限价的所有投标人的投标文件，按照报价由低到高的顺序排序。在投标函评审前，推送给评标委员会的投标文件不得显示排序。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w:t>
            </w:r>
          </w:p>
        </w:tc>
        <w:tc>
          <w:tcPr>
            <w:tcW w:w="1559"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4"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取报价排序前5名（若实际投标人数量小于勾选数量，</w:t>
            </w:r>
            <w:r>
              <w:rPr>
                <w:rFonts w:hint="eastAsia" w:ascii="宋体" w:hAnsi="宋体"/>
                <w:color w:val="auto"/>
                <w:spacing w:val="4"/>
                <w:kern w:val="0"/>
                <w:szCs w:val="21"/>
                <w:highlight w:val="none"/>
              </w:rPr>
              <w:t>则全部纳入）进行符合性审查。符合性审查内容：资格评审、形式评审、响应性评审、投标函部分及经济部分评审。符合性审查</w:t>
            </w:r>
            <w:r>
              <w:rPr>
                <w:rFonts w:hint="eastAsia" w:ascii="宋体" w:hAnsi="宋体"/>
                <w:color w:val="auto"/>
                <w:kern w:val="0"/>
                <w:highlight w:val="none"/>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2" w:type="dxa"/>
            <w:vMerge w:val="restart"/>
            <w:tcBorders>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559"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266"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资质条件</w:t>
            </w:r>
          </w:p>
        </w:tc>
        <w:tc>
          <w:tcPr>
            <w:tcW w:w="4618"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2"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59"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6"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营业执照</w:t>
            </w:r>
          </w:p>
        </w:tc>
        <w:tc>
          <w:tcPr>
            <w:tcW w:w="4618"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2"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59"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6"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安全生产条件</w:t>
            </w:r>
          </w:p>
        </w:tc>
        <w:tc>
          <w:tcPr>
            <w:tcW w:w="4618"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2"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59"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6"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color w:val="auto"/>
                <w:kern w:val="0"/>
                <w:highlight w:val="none"/>
              </w:rPr>
            </w:pPr>
            <w:r>
              <w:rPr>
                <w:rFonts w:hint="eastAsia" w:ascii="宋体" w:hAnsi="宋体" w:cs="宋体"/>
                <w:color w:val="auto"/>
                <w:szCs w:val="21"/>
                <w:highlight w:val="none"/>
              </w:rPr>
              <w:t>投标截止日投标资格情况</w:t>
            </w:r>
          </w:p>
        </w:tc>
        <w:tc>
          <w:tcPr>
            <w:tcW w:w="4618"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2"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59"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6"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项目经理资格要求</w:t>
            </w:r>
          </w:p>
        </w:tc>
        <w:tc>
          <w:tcPr>
            <w:tcW w:w="4618"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2"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59"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6"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其他要求</w:t>
            </w:r>
          </w:p>
        </w:tc>
        <w:tc>
          <w:tcPr>
            <w:tcW w:w="4618"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3</w:t>
            </w:r>
          </w:p>
        </w:tc>
        <w:tc>
          <w:tcPr>
            <w:tcW w:w="1559"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266"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投标人名称</w:t>
            </w:r>
          </w:p>
        </w:tc>
        <w:tc>
          <w:tcPr>
            <w:tcW w:w="4618"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59"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6"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投标文件格式</w:t>
            </w:r>
          </w:p>
        </w:tc>
        <w:tc>
          <w:tcPr>
            <w:tcW w:w="4618"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符合第二章“投标人须知”第3.7款的要求。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59"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6"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投标文件份数</w:t>
            </w:r>
          </w:p>
        </w:tc>
        <w:tc>
          <w:tcPr>
            <w:tcW w:w="4618"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符合第二章“投标人须知”第3.7.4项规定。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59"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6" w:type="dxa"/>
            <w:tcBorders>
              <w:right w:val="single" w:color="auto" w:sz="4" w:space="0"/>
            </w:tcBorders>
            <w:shd w:val="clear" w:color="auto" w:fill="auto"/>
            <w:vAlign w:val="center"/>
          </w:tcPr>
          <w:p>
            <w:pPr>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报价唯一</w:t>
            </w:r>
          </w:p>
        </w:tc>
        <w:tc>
          <w:tcPr>
            <w:tcW w:w="4618" w:type="dxa"/>
            <w:tcBorders>
              <w:left w:val="single" w:color="auto" w:sz="4" w:space="0"/>
            </w:tcBorders>
            <w:shd w:val="clear" w:color="auto" w:fill="auto"/>
            <w:vAlign w:val="center"/>
          </w:tcPr>
          <w:p>
            <w:pPr>
              <w:snapToGrid w:val="0"/>
              <w:spacing w:after="31" w:afterLines="10" w:line="400" w:lineRule="exact"/>
              <w:ind w:firstLine="420" w:firstLineChars="200"/>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只能有一个有效报价。在招标文件没有规定的情况下，不得提交选择性报价。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59"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6" w:type="dxa"/>
            <w:tcBorders>
              <w:right w:val="single" w:color="auto" w:sz="4" w:space="0"/>
            </w:tcBorders>
            <w:shd w:val="clear" w:color="auto" w:fill="auto"/>
            <w:vAlign w:val="center"/>
          </w:tcPr>
          <w:p>
            <w:pPr>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投标文件的签署</w:t>
            </w:r>
          </w:p>
        </w:tc>
        <w:tc>
          <w:tcPr>
            <w:tcW w:w="4618" w:type="dxa"/>
            <w:tcBorders>
              <w:left w:val="single" w:color="auto" w:sz="4" w:space="0"/>
            </w:tcBorders>
            <w:shd w:val="clear" w:color="auto" w:fill="auto"/>
            <w:vAlign w:val="center"/>
          </w:tcPr>
          <w:p>
            <w:pPr>
              <w:autoSpaceDE w:val="0"/>
              <w:autoSpaceDN w:val="0"/>
              <w:adjustRightInd w:val="0"/>
              <w:snapToGrid w:val="0"/>
              <w:spacing w:line="400" w:lineRule="exact"/>
              <w:ind w:firstLine="420" w:firstLineChars="200"/>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第八章 投标文件格式要求法定代表人或其委托代理人签名（或盖章）的须齐全。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59"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6"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618" w:type="dxa"/>
            <w:tcBorders>
              <w:left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tcBorders>
              <w:top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2.2.4</w:t>
            </w:r>
          </w:p>
        </w:tc>
        <w:tc>
          <w:tcPr>
            <w:tcW w:w="1559" w:type="dxa"/>
            <w:vMerge w:val="restart"/>
            <w:tcBorders>
              <w:top w:val="single" w:color="auto" w:sz="4" w:space="0"/>
              <w:lef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响应性评审标准</w:t>
            </w:r>
          </w:p>
        </w:tc>
        <w:tc>
          <w:tcPr>
            <w:tcW w:w="2266" w:type="dxa"/>
            <w:tcBorders>
              <w:right w:val="single" w:color="auto" w:sz="4" w:space="0"/>
            </w:tcBorders>
            <w:shd w:val="clear" w:color="auto" w:fill="auto"/>
            <w:vAlign w:val="center"/>
          </w:tcPr>
          <w:p>
            <w:pPr>
              <w:snapToGrid w:val="0"/>
              <w:spacing w:line="400" w:lineRule="exact"/>
              <w:jc w:val="left"/>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投标总报价</w:t>
            </w:r>
          </w:p>
        </w:tc>
        <w:tc>
          <w:tcPr>
            <w:tcW w:w="4618" w:type="dxa"/>
            <w:tcBorders>
              <w:left w:val="single" w:color="auto" w:sz="4" w:space="0"/>
            </w:tcBorders>
            <w:shd w:val="clear" w:color="auto" w:fill="auto"/>
            <w:vAlign w:val="center"/>
          </w:tcPr>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1.投标总报价必须与已标价工程量清单总报价一致。</w:t>
            </w:r>
          </w:p>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投标总报价不得高于招标人公布的投标总报价最高限价。</w:t>
            </w:r>
          </w:p>
          <w:p>
            <w:pPr>
              <w:spacing w:line="400" w:lineRule="exact"/>
              <w:ind w:firstLine="420" w:firstLineChars="200"/>
              <w:jc w:val="left"/>
              <w:rPr>
                <w:rFonts w:ascii="宋体" w:hAnsi="宋体" w:eastAsia="宋体" w:cs="宋体"/>
                <w:bCs/>
                <w:color w:val="auto"/>
                <w:kern w:val="2"/>
                <w:sz w:val="21"/>
                <w:szCs w:val="21"/>
                <w:highlight w:val="none"/>
                <w:lang w:val="en-US" w:eastAsia="zh-CN" w:bidi="ar-SA"/>
              </w:rPr>
            </w:pPr>
            <w:r>
              <w:rPr>
                <w:rFonts w:hint="eastAsia" w:ascii="宋体" w:hAnsi="宋体" w:cs="宋体"/>
                <w:color w:val="auto"/>
                <w:szCs w:val="21"/>
                <w:highlight w:val="none"/>
              </w:rPr>
              <w:t>3.投标总报价低于最高限价85%的，投标人应在编制投标文件时，在投标函部分中递交低价风险担保提交承诺书。</w:t>
            </w:r>
            <w:r>
              <w:rPr>
                <w:rFonts w:hint="eastAsia" w:ascii="宋体" w:hAnsi="宋体" w:cs="宋体"/>
                <w:bCs/>
                <w:color w:val="auto"/>
                <w:szCs w:val="21"/>
                <w:highlight w:val="none"/>
              </w:rPr>
              <w:t>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59"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6" w:type="dxa"/>
            <w:tcBorders>
              <w:right w:val="single" w:color="auto" w:sz="4" w:space="0"/>
            </w:tcBorders>
            <w:shd w:val="clear" w:color="auto" w:fill="auto"/>
            <w:vAlign w:val="center"/>
          </w:tcPr>
          <w:p>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投标内容</w:t>
            </w:r>
          </w:p>
        </w:tc>
        <w:tc>
          <w:tcPr>
            <w:tcW w:w="4618" w:type="dxa"/>
            <w:tcBorders>
              <w:left w:val="single" w:color="auto" w:sz="4" w:space="0"/>
            </w:tcBorders>
            <w:shd w:val="clear" w:color="auto" w:fill="auto"/>
            <w:vAlign w:val="center"/>
          </w:tcPr>
          <w:p>
            <w:pPr>
              <w:snapToGrid w:val="0"/>
              <w:spacing w:line="400" w:lineRule="exact"/>
              <w:ind w:firstLine="420" w:firstLineChars="200"/>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59"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6" w:type="dxa"/>
            <w:tcBorders>
              <w:right w:val="single" w:color="auto" w:sz="4" w:space="0"/>
            </w:tcBorders>
            <w:shd w:val="clear" w:color="auto" w:fill="auto"/>
            <w:vAlign w:val="center"/>
          </w:tcPr>
          <w:p>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工期</w:t>
            </w:r>
          </w:p>
        </w:tc>
        <w:tc>
          <w:tcPr>
            <w:tcW w:w="4618" w:type="dxa"/>
            <w:tcBorders>
              <w:left w:val="single" w:color="auto" w:sz="4" w:space="0"/>
            </w:tcBorders>
            <w:shd w:val="clear" w:color="auto" w:fill="auto"/>
            <w:vAlign w:val="center"/>
          </w:tcPr>
          <w:p>
            <w:pPr>
              <w:snapToGrid w:val="0"/>
              <w:spacing w:line="400" w:lineRule="exact"/>
              <w:ind w:firstLine="420" w:firstLineChars="200"/>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59"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6" w:type="dxa"/>
            <w:tcBorders>
              <w:right w:val="single" w:color="auto" w:sz="4" w:space="0"/>
            </w:tcBorders>
            <w:shd w:val="clear" w:color="auto" w:fill="auto"/>
            <w:vAlign w:val="center"/>
          </w:tcPr>
          <w:p>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工程质量</w:t>
            </w:r>
          </w:p>
        </w:tc>
        <w:tc>
          <w:tcPr>
            <w:tcW w:w="4618" w:type="dxa"/>
            <w:tcBorders>
              <w:left w:val="single" w:color="auto" w:sz="4" w:space="0"/>
            </w:tcBorders>
            <w:shd w:val="clear" w:color="auto" w:fill="auto"/>
            <w:vAlign w:val="center"/>
          </w:tcPr>
          <w:p>
            <w:pPr>
              <w:snapToGrid w:val="0"/>
              <w:spacing w:line="400" w:lineRule="exact"/>
              <w:ind w:firstLine="420" w:firstLineChars="200"/>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59"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6" w:type="dxa"/>
            <w:tcBorders>
              <w:right w:val="single" w:color="auto" w:sz="4" w:space="0"/>
            </w:tcBorders>
            <w:shd w:val="clear" w:color="auto" w:fill="auto"/>
            <w:vAlign w:val="center"/>
          </w:tcPr>
          <w:p>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投标有效期</w:t>
            </w:r>
          </w:p>
        </w:tc>
        <w:tc>
          <w:tcPr>
            <w:tcW w:w="4618" w:type="dxa"/>
            <w:tcBorders>
              <w:left w:val="single" w:color="auto" w:sz="4" w:space="0"/>
            </w:tcBorders>
            <w:shd w:val="clear" w:color="auto" w:fill="auto"/>
            <w:vAlign w:val="center"/>
          </w:tcPr>
          <w:p>
            <w:pPr>
              <w:snapToGrid w:val="0"/>
              <w:spacing w:line="400" w:lineRule="exact"/>
              <w:ind w:firstLine="420" w:firstLineChars="200"/>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59"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6"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投标保证金</w:t>
            </w:r>
          </w:p>
        </w:tc>
        <w:tc>
          <w:tcPr>
            <w:tcW w:w="4618"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59"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6"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4618"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符合第四章“合同条款及格式”规定，投标文件不应附有招标人不能接受的条件。（由投标人承诺，承诺书格式详见第八章投标文件格式。）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59"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6"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技术标准和要求</w:t>
            </w:r>
          </w:p>
        </w:tc>
        <w:tc>
          <w:tcPr>
            <w:tcW w:w="4618"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bottom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1559" w:type="dxa"/>
            <w:vMerge w:val="continue"/>
            <w:tcBorders>
              <w:left w:val="single" w:color="auto" w:sz="4" w:space="0"/>
              <w:bottom w:val="single" w:color="auto" w:sz="4" w:space="0"/>
            </w:tcBorders>
            <w:vAlign w:val="center"/>
          </w:tcPr>
          <w:p>
            <w:pPr>
              <w:spacing w:line="400" w:lineRule="exact"/>
              <w:jc w:val="center"/>
              <w:rPr>
                <w:rFonts w:ascii="宋体" w:hAnsi="宋体"/>
                <w:color w:val="auto"/>
                <w:kern w:val="0"/>
                <w:highlight w:val="none"/>
              </w:rPr>
            </w:pPr>
          </w:p>
        </w:tc>
        <w:tc>
          <w:tcPr>
            <w:tcW w:w="2266" w:type="dxa"/>
            <w:tcBorders>
              <w:right w:val="single" w:color="auto" w:sz="4" w:space="0"/>
            </w:tcBorders>
            <w:shd w:val="clear" w:color="auto" w:fill="auto"/>
            <w:vAlign w:val="center"/>
          </w:tcPr>
          <w:p>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已标价工程量清单</w:t>
            </w:r>
          </w:p>
        </w:tc>
        <w:tc>
          <w:tcPr>
            <w:tcW w:w="4618" w:type="dxa"/>
            <w:tcBorders>
              <w:left w:val="single" w:color="auto" w:sz="4" w:space="0"/>
            </w:tcBorders>
            <w:shd w:val="clear" w:color="auto" w:fill="auto"/>
            <w:vAlign w:val="center"/>
          </w:tcPr>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投标人承诺满足以下内容：</w:t>
            </w:r>
          </w:p>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1.符合第五章“工程量清单”给出的范围及数量。</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2.招标文件中规定工程量清单不允许修改的内容不得修改。</w:t>
            </w:r>
          </w:p>
          <w:p>
            <w:pPr>
              <w:snapToGrid w:val="0"/>
              <w:spacing w:after="31" w:afterLines="10" w:line="400" w:lineRule="exact"/>
              <w:ind w:firstLine="420" w:firstLineChars="200"/>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3.每项工程量清单综合单价报价不得高于对应工程量清单综合单价最高限价。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bottom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1559" w:type="dxa"/>
            <w:vMerge w:val="continue"/>
            <w:tcBorders>
              <w:left w:val="single" w:color="auto" w:sz="4" w:space="0"/>
              <w:bottom w:val="single" w:color="auto" w:sz="4" w:space="0"/>
            </w:tcBorders>
            <w:vAlign w:val="center"/>
          </w:tcPr>
          <w:p>
            <w:pPr>
              <w:spacing w:line="400" w:lineRule="exact"/>
              <w:jc w:val="center"/>
              <w:rPr>
                <w:rFonts w:ascii="宋体" w:hAnsi="宋体"/>
                <w:color w:val="auto"/>
                <w:kern w:val="0"/>
                <w:highlight w:val="none"/>
              </w:rPr>
            </w:pPr>
          </w:p>
        </w:tc>
        <w:tc>
          <w:tcPr>
            <w:tcW w:w="2266" w:type="dxa"/>
            <w:tcBorders>
              <w:right w:val="single" w:color="auto" w:sz="4" w:space="0"/>
            </w:tcBorders>
            <w:shd w:val="clear" w:color="auto" w:fill="auto"/>
            <w:vAlign w:val="center"/>
          </w:tcPr>
          <w:p>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投标报价算术错误修正</w:t>
            </w:r>
          </w:p>
        </w:tc>
        <w:tc>
          <w:tcPr>
            <w:tcW w:w="4618" w:type="dxa"/>
            <w:tcBorders>
              <w:left w:val="single" w:color="auto" w:sz="4" w:space="0"/>
            </w:tcBorders>
            <w:shd w:val="clear" w:color="auto" w:fill="auto"/>
            <w:vAlign w:val="center"/>
          </w:tcPr>
          <w:p>
            <w:pPr>
              <w:snapToGrid w:val="0"/>
              <w:spacing w:line="400" w:lineRule="exact"/>
              <w:ind w:firstLine="420" w:firstLineChars="200"/>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符合第三章3.评标程序第3.2.3项规定。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tcBorders>
              <w:bottom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1559" w:type="dxa"/>
            <w:vMerge w:val="continue"/>
            <w:tcBorders>
              <w:left w:val="single" w:color="auto" w:sz="4" w:space="0"/>
              <w:bottom w:val="single" w:color="auto" w:sz="4" w:space="0"/>
            </w:tcBorders>
            <w:vAlign w:val="center"/>
          </w:tcPr>
          <w:p>
            <w:pPr>
              <w:spacing w:line="400" w:lineRule="exact"/>
              <w:jc w:val="center"/>
              <w:rPr>
                <w:rFonts w:ascii="宋体" w:hAnsi="宋体"/>
                <w:color w:val="auto"/>
                <w:kern w:val="0"/>
                <w:highlight w:val="none"/>
              </w:rPr>
            </w:pPr>
          </w:p>
        </w:tc>
        <w:tc>
          <w:tcPr>
            <w:tcW w:w="2266"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618"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符合第二章“投标人须知”第1.4.3项规定。</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2" w:type="dxa"/>
            <w:tcBorders>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3</w:t>
            </w:r>
          </w:p>
        </w:tc>
        <w:tc>
          <w:tcPr>
            <w:tcW w:w="1559"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4" w:type="dxa"/>
            <w:gridSpan w:val="2"/>
            <w:tcBorders>
              <w:left w:val="single" w:color="auto" w:sz="4" w:space="0"/>
            </w:tcBorders>
            <w:vAlign w:val="center"/>
          </w:tcPr>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1.对报价不高于最高限价的所有投标人的投标文件，按照报价由低到高的顺序排序。</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合格的投标人中，报价最低的成为第一中标候选人，报价次低的成为第二中标候选人，依次类推。</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因评标委员会作否决投标处理，导致有效投标人不足三个的，评标委员会应当否决所有投标。但是有效投标人的经济、技术等指标仍然具有市场竞争力，并满足</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要求的，评标委员会可以继续评标并确定中标候选人。</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注：若出现投标人投标报价相同的，</w:t>
            </w:r>
            <w:r>
              <w:rPr>
                <w:rFonts w:hint="eastAsia" w:ascii="宋体" w:hAnsi="宋体"/>
                <w:color w:val="auto"/>
                <w:spacing w:val="4"/>
                <w:kern w:val="0"/>
                <w:szCs w:val="21"/>
                <w:highlight w:val="none"/>
              </w:rPr>
              <w:t>由评标委员会按照</w:t>
            </w:r>
            <w:r>
              <w:rPr>
                <w:rFonts w:hint="eastAsia" w:ascii="宋体" w:hAnsi="宋体"/>
                <w:color w:val="auto"/>
                <w:spacing w:val="4"/>
                <w:kern w:val="0"/>
                <w:szCs w:val="21"/>
                <w:highlight w:val="none"/>
                <w:u w:val="single"/>
              </w:rPr>
              <w:t xml:space="preserve">  投票  </w:t>
            </w:r>
            <w:r>
              <w:rPr>
                <w:rFonts w:hint="eastAsia" w:ascii="宋体" w:hAnsi="宋体"/>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2" w:type="dxa"/>
            <w:tcBorders>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3.4</w:t>
            </w:r>
          </w:p>
        </w:tc>
        <w:tc>
          <w:tcPr>
            <w:tcW w:w="1559"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评标结果</w:t>
            </w:r>
          </w:p>
        </w:tc>
        <w:tc>
          <w:tcPr>
            <w:tcW w:w="6884"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除第二章“投标</w:t>
            </w:r>
            <w:r>
              <w:rPr>
                <w:rFonts w:ascii="宋体" w:hAnsi="宋体"/>
                <w:color w:val="auto"/>
                <w:spacing w:val="1"/>
                <w:kern w:val="0"/>
                <w:szCs w:val="21"/>
                <w:highlight w:val="none"/>
              </w:rPr>
              <w:t>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按经评审的最低投标价法</w:t>
            </w:r>
            <w:r>
              <w:rPr>
                <w:rFonts w:ascii="宋体" w:hAnsi="宋体"/>
                <w:color w:val="auto"/>
                <w:kern w:val="0"/>
                <w:szCs w:val="21"/>
                <w:highlight w:val="none"/>
              </w:rPr>
              <w:t>推荐中标候选人。</w:t>
            </w:r>
          </w:p>
          <w:p>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员会完成评标后，应当向招标人提交书面评标报告。</w:t>
            </w:r>
          </w:p>
        </w:tc>
      </w:tr>
    </w:tbl>
    <w:p>
      <w:pPr>
        <w:pStyle w:val="4"/>
        <w:spacing w:before="0" w:after="0" w:line="360" w:lineRule="auto"/>
        <w:rPr>
          <w:rFonts w:ascii="宋体" w:hAnsi="宋体"/>
          <w:bCs w:val="0"/>
          <w:snapToGrid w:val="0"/>
          <w:color w:val="auto"/>
          <w:highlight w:val="none"/>
        </w:rPr>
      </w:pPr>
      <w:r>
        <w:rPr>
          <w:rFonts w:ascii="宋体" w:hAnsi="宋体"/>
          <w:bCs w:val="0"/>
          <w:snapToGrid w:val="0"/>
          <w:color w:val="auto"/>
          <w:highlight w:val="none"/>
        </w:rPr>
        <w:br w:type="page"/>
      </w:r>
      <w:bookmarkStart w:id="555" w:name="_Toc22815"/>
      <w:r>
        <w:rPr>
          <w:rFonts w:ascii="宋体" w:hAnsi="宋体"/>
          <w:b w:val="0"/>
          <w:snapToGrid w:val="0"/>
          <w:color w:val="auto"/>
          <w:highlight w:val="none"/>
        </w:rPr>
        <w:t>1.  评标方法</w:t>
      </w:r>
      <w:bookmarkEnd w:id="555"/>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评标办法前附表约定的原则确定排序。</w:t>
      </w:r>
    </w:p>
    <w:p>
      <w:pPr>
        <w:pStyle w:val="4"/>
        <w:spacing w:before="0" w:after="0" w:line="360" w:lineRule="auto"/>
        <w:rPr>
          <w:rFonts w:ascii="宋体" w:hAnsi="宋体"/>
          <w:b w:val="0"/>
          <w:snapToGrid w:val="0"/>
          <w:color w:val="auto"/>
          <w:highlight w:val="none"/>
        </w:rPr>
      </w:pPr>
      <w:bookmarkStart w:id="556" w:name="_Toc4459"/>
      <w:r>
        <w:rPr>
          <w:rFonts w:ascii="宋体" w:hAnsi="宋体"/>
          <w:b w:val="0"/>
          <w:snapToGrid w:val="0"/>
          <w:color w:val="auto"/>
          <w:highlight w:val="none"/>
        </w:rPr>
        <w:t>2.  评审标准</w:t>
      </w:r>
      <w:bookmarkEnd w:id="556"/>
    </w:p>
    <w:p>
      <w:pPr>
        <w:pStyle w:val="5"/>
        <w:spacing w:before="0" w:after="0" w:line="360" w:lineRule="auto"/>
        <w:rPr>
          <w:rFonts w:ascii="宋体" w:hAnsi="宋体" w:cs="宋体"/>
          <w:color w:val="auto"/>
          <w:sz w:val="21"/>
          <w:szCs w:val="21"/>
          <w:highlight w:val="none"/>
        </w:rPr>
      </w:pPr>
      <w:bookmarkStart w:id="557" w:name="_Toc19358"/>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r>
        <w:rPr>
          <w:rFonts w:hint="eastAsia" w:ascii="宋体" w:hAnsi="宋体" w:cs="宋体"/>
          <w:color w:val="auto"/>
          <w:sz w:val="21"/>
          <w:szCs w:val="21"/>
          <w:highlight w:val="none"/>
        </w:rPr>
        <w:t>标准</w:t>
      </w:r>
      <w:bookmarkEnd w:id="557"/>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pPr>
        <w:pStyle w:val="5"/>
        <w:spacing w:before="0" w:after="0" w:line="360" w:lineRule="auto"/>
        <w:rPr>
          <w:rFonts w:ascii="宋体" w:hAnsi="宋体" w:cs="宋体"/>
          <w:color w:val="auto"/>
          <w:sz w:val="21"/>
          <w:szCs w:val="21"/>
          <w:highlight w:val="none"/>
        </w:rPr>
      </w:pPr>
      <w:bookmarkStart w:id="558" w:name="_Toc16694"/>
      <w:r>
        <w:rPr>
          <w:rFonts w:ascii="宋体" w:hAnsi="宋体" w:cs="宋体"/>
          <w:color w:val="auto"/>
          <w:sz w:val="21"/>
          <w:szCs w:val="21"/>
          <w:highlight w:val="none"/>
        </w:rPr>
        <w:t>2.</w:t>
      </w:r>
      <w:r>
        <w:rPr>
          <w:rFonts w:hint="eastAsia" w:ascii="宋体" w:hAnsi="宋体" w:cs="宋体"/>
          <w:color w:val="auto"/>
          <w:sz w:val="21"/>
          <w:szCs w:val="21"/>
          <w:highlight w:val="none"/>
        </w:rPr>
        <w:t>2符合性审查标准</w:t>
      </w:r>
      <w:bookmarkEnd w:id="558"/>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。符合性审查内容：技术方案评审（如有）、资格评审、形式评审、响应性、投标函部分及经济部分评审</w:t>
      </w:r>
      <w:r>
        <w:rPr>
          <w:rFonts w:hint="eastAsia" w:ascii="宋体" w:hAnsi="宋体" w:cs="宋体"/>
          <w:color w:val="auto"/>
          <w:szCs w:val="21"/>
          <w:highlight w:val="none"/>
        </w:rPr>
        <w:t>。</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技术方案评审标准：见评标办法前附表。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  资格评审标准：见评标办法前附表。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2.2.5  投标函部分及经济部分评审标准：见评标办法前附表。</w:t>
      </w:r>
    </w:p>
    <w:p>
      <w:pPr>
        <w:pStyle w:val="4"/>
        <w:spacing w:before="0" w:after="0" w:line="360" w:lineRule="auto"/>
        <w:rPr>
          <w:rFonts w:ascii="宋体" w:hAnsi="宋体"/>
          <w:b w:val="0"/>
          <w:snapToGrid w:val="0"/>
          <w:color w:val="auto"/>
          <w:highlight w:val="none"/>
        </w:rPr>
      </w:pPr>
      <w:bookmarkStart w:id="559" w:name="_Toc19334"/>
      <w:r>
        <w:rPr>
          <w:rFonts w:ascii="宋体" w:hAnsi="宋体"/>
          <w:b w:val="0"/>
          <w:snapToGrid w:val="0"/>
          <w:color w:val="auto"/>
          <w:highlight w:val="none"/>
        </w:rPr>
        <w:t>3.  评标程序</w:t>
      </w:r>
      <w:bookmarkEnd w:id="559"/>
    </w:p>
    <w:p>
      <w:pPr>
        <w:pStyle w:val="5"/>
        <w:spacing w:before="0" w:after="0" w:line="360" w:lineRule="auto"/>
        <w:rPr>
          <w:rFonts w:ascii="宋体" w:hAnsi="宋体" w:cs="宋体"/>
          <w:color w:val="auto"/>
          <w:sz w:val="21"/>
          <w:szCs w:val="21"/>
          <w:highlight w:val="none"/>
        </w:rPr>
      </w:pPr>
      <w:bookmarkStart w:id="560" w:name="_Toc9275"/>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560"/>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对报价不高于最高限价的所有投标人的投标文件，按照报价由低到高的顺序排序。</w:t>
      </w:r>
    </w:p>
    <w:p>
      <w:pPr>
        <w:pStyle w:val="5"/>
        <w:spacing w:before="0" w:after="0" w:line="360" w:lineRule="auto"/>
        <w:rPr>
          <w:rFonts w:ascii="宋体" w:hAnsi="宋体" w:cs="宋体"/>
          <w:color w:val="auto"/>
          <w:sz w:val="21"/>
          <w:szCs w:val="21"/>
          <w:highlight w:val="none"/>
        </w:rPr>
      </w:pPr>
      <w:bookmarkStart w:id="561" w:name="_Toc18530"/>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561"/>
    </w:p>
    <w:p>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款规定的标准对投标文件进行符合性审查。符合性审查顺序：技术方案评审（如有）、资格评审、形式评审、响应性、投标函部分及经济部分评审。</w:t>
      </w:r>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勾选技术方案评审的，符合性审查应首先进行技术方案审查，再按照资格、形式、响应性、投标函部分及经济部分的顺序进行评审。有一项不符合评审标准的，作否决投标处理。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.2 投标人有以下情形之一的，</w:t>
      </w:r>
      <w:r>
        <w:rPr>
          <w:rFonts w:hint="eastAsia" w:ascii="宋体" w:hAnsi="宋体" w:cs="宋体"/>
          <w:color w:val="auto"/>
          <w:szCs w:val="21"/>
          <w:highlight w:val="none"/>
        </w:rPr>
        <w:t>其投标文件将被否决：</w:t>
      </w:r>
    </w:p>
    <w:p>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）第二章“投标人须知”第1.4.3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投标报价有算术错误的，评标委员会按以下原则对投标报价进行修正，修正的价格经投标人书面确认后具有约束力，修正原则如下：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（2）投标函中的总报价与已标价工程量清单总报价不一致，或工程量清单总报价与依据单价、工程数量、分部分项工程合价计算出的结果不一致的，由评标委员会作否决投标处理。</w:t>
      </w:r>
    </w:p>
    <w:p>
      <w:pPr>
        <w:pStyle w:val="5"/>
        <w:spacing w:before="0" w:after="0" w:line="360" w:lineRule="auto"/>
        <w:rPr>
          <w:rFonts w:ascii="宋体" w:hAnsi="宋体" w:cs="宋体"/>
          <w:color w:val="auto"/>
          <w:sz w:val="21"/>
          <w:szCs w:val="21"/>
          <w:highlight w:val="none"/>
        </w:rPr>
      </w:pPr>
      <w:bookmarkStart w:id="562" w:name="_Toc20876"/>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投标文件的澄清和补正</w:t>
      </w:r>
      <w:bookmarkEnd w:id="562"/>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澄清、说明和补正不得改变投标文件的实质性内容（算术性错误修正的除外）。投标人的书面澄清、说明和补正属于投标文件的组成部分。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评标委员会对投标人提交的澄清、说明或补正有疑问的，可以要求投标人进一步澄清、说明或补正，直至满足评标委员会的要求。</w:t>
      </w:r>
    </w:p>
    <w:p>
      <w:pPr>
        <w:pStyle w:val="5"/>
        <w:spacing w:before="0" w:after="0" w:line="360" w:lineRule="auto"/>
        <w:rPr>
          <w:rFonts w:ascii="宋体" w:hAnsi="宋体" w:cs="宋体"/>
          <w:color w:val="auto"/>
          <w:sz w:val="21"/>
          <w:szCs w:val="21"/>
          <w:highlight w:val="none"/>
        </w:rPr>
      </w:pPr>
      <w:bookmarkStart w:id="563" w:name="_Toc484465184"/>
      <w:bookmarkStart w:id="564" w:name="_Toc479262406"/>
      <w:bookmarkStart w:id="565" w:name="_Toc5085"/>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563"/>
      <w:bookmarkEnd w:id="564"/>
      <w:bookmarkEnd w:id="565"/>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 xml:space="preserve"> 除第二章“投标人须知”前附表授权直接确定中标人外，评标委员会按经评审的最低投标价法推荐中标候选人。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评标委员会完成评标后，应当向招标人提交书面评标报告和中标候选人名单。</w:t>
      </w:r>
    </w:p>
    <w:p>
      <w:pPr>
        <w:pStyle w:val="33"/>
        <w:spacing w:line="360" w:lineRule="auto"/>
        <w:rPr>
          <w:rFonts w:ascii="宋体" w:hAnsi="宋体"/>
          <w:b/>
          <w:color w:val="auto"/>
          <w:sz w:val="28"/>
          <w:szCs w:val="28"/>
          <w:highlight w:val="none"/>
          <w:u w:val="none"/>
          <w:lang w:eastAsia="zh-CN"/>
        </w:rPr>
      </w:pPr>
      <w:r>
        <w:rPr>
          <w:rFonts w:ascii="宋体" w:hAnsi="宋体" w:cs="宋体"/>
          <w:color w:val="auto"/>
          <w:szCs w:val="21"/>
          <w:highlight w:val="none"/>
          <w:lang w:eastAsia="zh-CN"/>
        </w:rPr>
        <w:br w:type="page"/>
      </w:r>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p>
    <w:p>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highlight w:val="none"/>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899"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技术方案评审</w:t>
            </w:r>
          </w:p>
          <w:p>
            <w:pPr>
              <w:spacing w:line="400" w:lineRule="exact"/>
              <w:jc w:val="center"/>
              <w:rPr>
                <w:rFonts w:ascii="宋体" w:hAnsi="宋体"/>
                <w:color w:val="auto"/>
                <w:szCs w:val="21"/>
                <w:highlight w:val="none"/>
              </w:rPr>
            </w:pPr>
            <w:r>
              <w:rPr>
                <w:rFonts w:hint="eastAsia" w:ascii="宋体" w:hAnsi="宋体"/>
                <w:color w:val="auto"/>
                <w:szCs w:val="21"/>
                <w:highlight w:val="none"/>
              </w:rPr>
              <w:t>（如有）</w:t>
            </w:r>
          </w:p>
        </w:tc>
        <w:tc>
          <w:tcPr>
            <w:tcW w:w="6333" w:type="dxa"/>
            <w:vAlign w:val="center"/>
          </w:tcPr>
          <w:p>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A-1</w:t>
            </w:r>
            <w:r>
              <w:rPr>
                <w:rFonts w:hint="eastAsia" w:ascii="宋体" w:hAnsi="宋体"/>
                <w:color w:val="auto"/>
                <w:szCs w:val="21"/>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A-2投标人的资质条件、营业执照及安全生产条件须满足投标人须知前附表第1.4.1项的要求，否则由评标委员会作否决投标处理。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A-3</w:t>
            </w:r>
            <w:r>
              <w:rPr>
                <w:rFonts w:hint="eastAsia" w:ascii="宋体" w:hAnsi="宋体"/>
                <w:color w:val="auto"/>
                <w:szCs w:val="21"/>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A-4</w:t>
            </w:r>
            <w:r>
              <w:rPr>
                <w:rFonts w:hint="eastAsia" w:ascii="宋体" w:hAnsi="宋体"/>
                <w:color w:val="auto"/>
                <w:szCs w:val="21"/>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A-5投标人的投标截止日投标资格情况须满足投标人须知前附表1.4.1项的要求，否则由评标委员会作否决投标处理。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A-6投标人的项目经理资格须满足投标人须知前附表第1.4.1项的要求，否则由评标委员会作否决投标处理。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A-7投标人的其他要求须满足投标人须知前附表第1.4.1项的要求，否则由评标委员会作否决投标处理。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A-8</w:t>
            </w:r>
            <w:r>
              <w:rPr>
                <w:rFonts w:hint="eastAsia" w:ascii="宋体" w:hAnsi="宋体"/>
                <w:color w:val="auto"/>
                <w:szCs w:val="21"/>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A-9投标人名称必须与营业执照、资质证书、安全生产许可证一致，依法变更名称的应提交相应证明材料，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A-10投标函格式规定签名、盖章的位置有法定代表人或其委托代理人签名（或盖章）、加盖单位法人章，否则由评标委员会作否决投标处理。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A-11投标文件格式符合第二章“投标人须知”第3.7款的要求，否则由评标委员会作否决投标处理。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A-12投标文件份数符合第二章“投标人须知”第3.7.4项的规定，</w:t>
            </w:r>
            <w:r>
              <w:rPr>
                <w:rFonts w:hint="eastAsia" w:ascii="宋体" w:hAnsi="宋体"/>
                <w:color w:val="auto"/>
                <w:kern w:val="0"/>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A-13</w:t>
            </w:r>
            <w:r>
              <w:rPr>
                <w:rFonts w:hint="eastAsia" w:ascii="宋体" w:hAnsi="宋体"/>
                <w:color w:val="auto"/>
                <w:szCs w:val="21"/>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w:t>
            </w:r>
            <w:r>
              <w:rPr>
                <w:rFonts w:hint="eastAsia" w:ascii="宋体" w:hAnsi="宋体" w:cs="宋体"/>
                <w:color w:val="auto"/>
                <w:kern w:val="0"/>
                <w:highlight w:val="none"/>
              </w:rPr>
              <w:t>第八章 投标文件格式要求法定代表人或其委托代理人签名（或盖章）的须齐全。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A-17</w:t>
            </w:r>
            <w:r>
              <w:rPr>
                <w:rFonts w:hint="eastAsia" w:ascii="宋体" w:hAnsi="宋体" w:cs="宋体"/>
                <w:color w:val="auto"/>
                <w:szCs w:val="21"/>
                <w:highlight w:val="none"/>
              </w:rPr>
              <w:t>投标总报价必须与已标价工程量清单总报价一致</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A-18投标总报价不得高于招标人公布的投标总报价最高限价，否则由评标委员会作否决投标处理。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A-19投标总报价低于最高限价85%的，投标人应在编制投标文件时，在投标函部分中递交低价风险担保提交承诺书。承诺书格式详见第八章投标文件格式，否则由评标委员会作否决投标处理。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A-20暂列金额、暂估价、安全文明施工费等暂定金额必须按照招标文件给定的金额填报，否则由评标委员会作否决投标处理。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A-21投标内容符合第二章“投标人须知”第1.3.1项规定，否则由评标委员会作否决投标处理。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A-22工期符合第二章“投标人须知”第1.3.2项规定，否则由评标委员会作否决投标处理。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A-23工程质量符合第二章“投标人须知”第1.3.3项规定，否则由评标委员会作否决投标处理。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A-24投标有效期符合第二章“投标人须知”第3.3.1项规定，否则由评标委员会作否决投标处理。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A-25</w:t>
            </w:r>
            <w:r>
              <w:rPr>
                <w:rFonts w:ascii="宋体" w:hAnsi="宋体"/>
                <w:color w:val="auto"/>
                <w:szCs w:val="21"/>
                <w:highlight w:val="none"/>
              </w:rPr>
              <w:t>投标人应按投标人须知前附表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规定递交投标保证金，并作为其投标文件的组成部分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A-26符合第四章“合同条款及格式”规定，投标文件不应附有招标人不能接受的条件，否则由评标委员会作否决投标处理。（由投标人承诺，承诺书格式详见第八章投标文件格式。）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A-28投标人提供的关于已标价工程量清单的承诺符合招标文件的要求，</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A-29投标报价有算术错误的，按照第三章“评标办法”第3.2.3项规定执行，否则由评标委员会作否决投标处理。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A-30投标人有以下情形之一的，其投标文件由评标委员会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1.第二章“投标人须知”第1.4.3项规定的任何一种情形的；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hint="eastAsia" w:ascii="宋体" w:hAnsi="宋体" w:eastAsia="宋体"/>
                <w:i/>
                <w:color w:val="auto"/>
                <w:szCs w:val="21"/>
                <w:highlight w:val="none"/>
                <w:lang w:eastAsia="zh-CN"/>
              </w:rPr>
            </w:pPr>
            <w:r>
              <w:rPr>
                <w:rFonts w:hint="eastAsia" w:ascii="宋体" w:hAnsi="宋体"/>
                <w:i/>
                <w:color w:val="auto"/>
                <w:szCs w:val="21"/>
                <w:highlight w:val="none"/>
                <w:lang w:val="en-US" w:eastAsia="zh-CN"/>
              </w:rPr>
              <w:t>/</w:t>
            </w:r>
          </w:p>
        </w:tc>
      </w:tr>
    </w:tbl>
    <w:p>
      <w:pPr>
        <w:pStyle w:val="33"/>
        <w:spacing w:line="360" w:lineRule="auto"/>
        <w:jc w:val="both"/>
        <w:rPr>
          <w:rFonts w:ascii="宋体" w:hAnsi="宋体"/>
          <w:color w:val="auto"/>
          <w:sz w:val="21"/>
          <w:szCs w:val="21"/>
          <w:highlight w:val="none"/>
          <w:u w:val="none"/>
          <w:lang w:eastAsia="zh-CN"/>
        </w:rPr>
      </w:pPr>
    </w:p>
    <w:p>
      <w:pPr>
        <w:spacing w:line="200" w:lineRule="exact"/>
        <w:rPr>
          <w:rFonts w:ascii="宋体" w:hAnsi="宋体"/>
          <w:color w:val="auto"/>
          <w:kern w:val="0"/>
          <w:highlight w:val="none"/>
        </w:rPr>
      </w:pPr>
      <w:r>
        <w:rPr>
          <w:rFonts w:ascii="宋体" w:hAnsi="宋体"/>
          <w:snapToGrid w:val="0"/>
          <w:color w:val="auto"/>
          <w:kern w:val="0"/>
          <w:highlight w:val="none"/>
        </w:rPr>
        <w:br w:type="page"/>
      </w:r>
      <w:bookmarkStart w:id="566" w:name="招标文件03章02评标办法综合评估法00"/>
      <w:bookmarkEnd w:id="566"/>
      <w:bookmarkStart w:id="567" w:name="招标文件03章02评标办法综合评估法"/>
      <w:bookmarkEnd w:id="567"/>
      <w:bookmarkStart w:id="568" w:name="_Toc287620751"/>
      <w:bookmarkStart w:id="569" w:name="_Toc200513198"/>
      <w:bookmarkStart w:id="570" w:name="_Toc224103384"/>
      <w:bookmarkStart w:id="571" w:name="_Toc277082618"/>
      <w:bookmarkStart w:id="572" w:name="_Toc287607812"/>
      <w:bookmarkStart w:id="573" w:name="_Toc430530500"/>
    </w:p>
    <w:bookmarkEnd w:id="568"/>
    <w:bookmarkEnd w:id="569"/>
    <w:bookmarkEnd w:id="570"/>
    <w:bookmarkEnd w:id="571"/>
    <w:bookmarkEnd w:id="572"/>
    <w:bookmarkEnd w:id="573"/>
    <w:p>
      <w:pPr>
        <w:pStyle w:val="3"/>
        <w:spacing w:line="360" w:lineRule="auto"/>
        <w:jc w:val="center"/>
        <w:rPr>
          <w:rFonts w:ascii="宋体" w:hAnsi="宋体"/>
          <w:color w:val="auto"/>
          <w:kern w:val="0"/>
          <w:highlight w:val="none"/>
        </w:rPr>
      </w:pPr>
      <w:bookmarkStart w:id="574" w:name="_Toc14185"/>
      <w:bookmarkStart w:id="575" w:name="_Toc430530509"/>
      <w:bookmarkStart w:id="576" w:name="_Toc509218785"/>
      <w:r>
        <w:rPr>
          <w:rFonts w:hint="eastAsia" w:ascii="宋体" w:hAnsi="宋体"/>
          <w:color w:val="auto"/>
          <w:kern w:val="0"/>
          <w:highlight w:val="none"/>
        </w:rPr>
        <w:t>第四章  合同条款及格式</w:t>
      </w:r>
      <w:bookmarkEnd w:id="574"/>
      <w:bookmarkEnd w:id="575"/>
      <w:bookmarkEnd w:id="576"/>
    </w:p>
    <w:p>
      <w:pPr>
        <w:rPr>
          <w:rFonts w:ascii="宋体" w:hAnsi="宋体"/>
          <w:color w:val="auto"/>
          <w:sz w:val="44"/>
          <w:szCs w:val="44"/>
          <w:highlight w:val="none"/>
        </w:rPr>
      </w:pPr>
      <w:r>
        <w:rPr>
          <w:rFonts w:ascii="宋体" w:hAnsi="宋体"/>
          <w:color w:val="auto"/>
          <w:highlight w:val="none"/>
        </w:rPr>
        <w:br w:type="page"/>
      </w:r>
      <w:bookmarkStart w:id="577" w:name="_Toc296503025"/>
      <w:bookmarkStart w:id="578" w:name="_Toc296890982"/>
      <w:bookmarkStart w:id="579" w:name="_Toc351203480"/>
    </w:p>
    <w:p>
      <w:pPr>
        <w:spacing w:line="360" w:lineRule="auto"/>
        <w:jc w:val="center"/>
        <w:rPr>
          <w:rFonts w:ascii="宋体" w:hAnsi="宋体"/>
          <w:color w:val="auto"/>
          <w:sz w:val="44"/>
          <w:szCs w:val="44"/>
          <w:highlight w:val="none"/>
        </w:rPr>
      </w:pPr>
      <w:r>
        <w:rPr>
          <w:rFonts w:hint="eastAsia" w:ascii="宋体" w:hAnsi="宋体"/>
          <w:color w:val="auto"/>
          <w:sz w:val="44"/>
          <w:szCs w:val="44"/>
          <w:highlight w:val="none"/>
        </w:rPr>
        <w:t>第一部分 合同协议书</w:t>
      </w:r>
    </w:p>
    <w:p>
      <w:pPr>
        <w:pStyle w:val="134"/>
        <w:snapToGrid w:val="0"/>
        <w:spacing w:before="0" w:line="360" w:lineRule="auto"/>
        <w:ind w:firstLine="562" w:firstLineChars="200"/>
        <w:rPr>
          <w:rFonts w:ascii="宋体" w:hAnsi="宋体"/>
          <w:color w:val="auto"/>
          <w:highlight w:val="none"/>
        </w:rPr>
      </w:pPr>
    </w:p>
    <w:p>
      <w:pPr>
        <w:rPr>
          <w:rFonts w:ascii="宋体" w:hAnsi="宋体"/>
          <w:b/>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 name="矩形 1"/>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a:effectLst/>
                      </wps:spPr>
                      <wps:txbx>
                        <w:txbxContent>
                          <w:p/>
                        </w:txbxContent>
                      </wps:txbx>
                      <wps:bodyPr wrap="square" upright="1"/>
                    </wps:wsp>
                  </a:graphicData>
                </a:graphic>
              </wp:anchor>
            </w:drawing>
          </mc:Choice>
          <mc:Fallback>
            <w:pict>
              <v:rect id="_x0000_s1026"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89ed32QAAAA0BAAAPAAAAAAAAAAEAIAAAACIAAABkcnMvZG93bnJl&#10;di54bWxQSwECFAAUAAAACACHTuJAIxEGbMMBAACFAwAADgAAAAAAAAABACAAAAAoAQAAZHJzL2Uy&#10;b0RvYy54bWxQSwUGAAAAAAYABgBZAQAAXQUAAAAA&#10;">
                <v:fill on="t" focussize="0,0"/>
                <v:stroke on="f"/>
                <v:imagedata o:title=""/>
                <o:lock v:ext="edit" aspectratio="f"/>
                <v:textbox>
                  <w:txbxContent>
                    <w:p/>
                  </w:txbxContent>
                </v:textbox>
              </v:rect>
            </w:pict>
          </mc:Fallback>
        </mc:AlternateContent>
      </w:r>
      <w:r>
        <w:rPr>
          <w:rFonts w:ascii="宋体" w:hAnsi="宋体"/>
          <w:color w:val="auto"/>
          <w:highlight w:val="none"/>
        </w:rPr>
        <w:br w:type="page"/>
      </w:r>
    </w:p>
    <w:p>
      <w:pPr>
        <w:pStyle w:val="5"/>
        <w:jc w:val="center"/>
        <w:rPr>
          <w:rFonts w:ascii="宋体" w:hAnsi="宋体"/>
          <w:b w:val="0"/>
          <w:color w:val="auto"/>
          <w:sz w:val="44"/>
          <w:szCs w:val="44"/>
          <w:highlight w:val="none"/>
        </w:rPr>
      </w:pPr>
      <w:bookmarkStart w:id="580" w:name="_Toc534185765"/>
      <w:bookmarkStart w:id="581" w:name="_Toc5143"/>
      <w:bookmarkStart w:id="582" w:name="_Toc509218786"/>
      <w:bookmarkStart w:id="583" w:name="_Toc351203494"/>
      <w:r>
        <w:rPr>
          <w:rFonts w:ascii="宋体" w:hAnsi="宋体"/>
          <w:color w:val="auto"/>
          <w:sz w:val="44"/>
          <w:szCs w:val="44"/>
          <w:highlight w:val="none"/>
        </w:rPr>
        <w:t>第一部分 合同协议书</w:t>
      </w:r>
      <w:bookmarkEnd w:id="580"/>
      <w:bookmarkEnd w:id="581"/>
      <w:bookmarkEnd w:id="582"/>
    </w:p>
    <w:bookmarkEnd w:id="583"/>
    <w:p>
      <w:pPr>
        <w:snapToGrid w:val="0"/>
        <w:spacing w:line="600" w:lineRule="exact"/>
        <w:ind w:firstLine="480" w:firstLineChars="200"/>
        <w:rPr>
          <w:rFonts w:ascii="宋体" w:hAnsi="宋体"/>
          <w:color w:val="auto"/>
          <w:sz w:val="24"/>
          <w:highlight w:val="none"/>
        </w:rPr>
      </w:pPr>
      <w:bookmarkStart w:id="584" w:name="_Toc351203632"/>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rPr>
        <w:t>根据《中华人民共和国民法典》、《中华人民共和国建筑法》及有关法律、法规规定，遵循平等、自愿、公平和诚实信用的原则，双方就</w:t>
      </w:r>
      <w:r>
        <w:rPr>
          <w:rFonts w:hint="eastAsia" w:ascii="宋体" w:hAnsi="宋体"/>
          <w:color w:val="auto"/>
          <w:szCs w:val="21"/>
          <w:highlight w:val="none"/>
          <w:u w:val="single"/>
        </w:rPr>
        <w:t xml:space="preserve">                           </w:t>
      </w:r>
      <w:r>
        <w:rPr>
          <w:rFonts w:hint="eastAsia" w:ascii="宋体" w:hAnsi="宋体"/>
          <w:color w:val="auto"/>
          <w:szCs w:val="21"/>
          <w:highlight w:val="none"/>
        </w:rPr>
        <w:t>工程施工及有关事项协商一致，共同达成如下协议：</w:t>
      </w:r>
    </w:p>
    <w:p>
      <w:pPr>
        <w:pStyle w:val="6"/>
        <w:keepNext/>
        <w:keepLines/>
        <w:spacing w:before="120" w:after="120" w:line="360" w:lineRule="auto"/>
        <w:ind w:firstLine="422" w:firstLineChars="200"/>
        <w:jc w:val="both"/>
        <w:rPr>
          <w:color w:val="auto"/>
          <w:kern w:val="2"/>
          <w:sz w:val="21"/>
          <w:szCs w:val="21"/>
          <w:highlight w:val="none"/>
        </w:rPr>
      </w:pPr>
      <w:bookmarkStart w:id="585" w:name="_Toc532375573"/>
      <w:bookmarkStart w:id="586" w:name="_Toc351203481"/>
      <w:bookmarkStart w:id="587" w:name="_Toc532377166"/>
      <w:r>
        <w:rPr>
          <w:rFonts w:hint="eastAsia"/>
          <w:color w:val="auto"/>
          <w:kern w:val="2"/>
          <w:sz w:val="21"/>
          <w:szCs w:val="21"/>
          <w:highlight w:val="none"/>
        </w:rPr>
        <w:t>一、工程概况</w:t>
      </w:r>
      <w:bookmarkEnd w:id="585"/>
      <w:bookmarkEnd w:id="586"/>
      <w:bookmarkEnd w:id="587"/>
    </w:p>
    <w:p>
      <w:pPr>
        <w:snapToGrid w:val="0"/>
        <w:spacing w:line="360" w:lineRule="auto"/>
        <w:ind w:firstLine="420" w:firstLineChars="200"/>
        <w:rPr>
          <w:rFonts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6.工程承包范围：</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588" w:name="_Toc532377167"/>
      <w:bookmarkStart w:id="589" w:name="_Toc532375574"/>
      <w:bookmarkStart w:id="590" w:name="_Toc351203482"/>
      <w:r>
        <w:rPr>
          <w:rFonts w:hint="eastAsia"/>
          <w:color w:val="auto"/>
          <w:kern w:val="2"/>
          <w:sz w:val="21"/>
          <w:szCs w:val="21"/>
          <w:highlight w:val="none"/>
        </w:rPr>
        <w:t>二、合同工期</w:t>
      </w:r>
      <w:bookmarkEnd w:id="588"/>
      <w:bookmarkEnd w:id="589"/>
      <w:bookmarkEnd w:id="590"/>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承包人投标函中承诺的工期：</w:t>
      </w:r>
      <w:r>
        <w:rPr>
          <w:rFonts w:hint="eastAsia" w:ascii="宋体" w:hAnsi="宋体"/>
          <w:bCs/>
          <w:color w:val="auto"/>
          <w:szCs w:val="21"/>
          <w:highlight w:val="none"/>
          <w:u w:val="single"/>
        </w:rPr>
        <w:t>日历天</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计划开工日期：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日，实际开工日期以监理工程师签发的工程开工通知明确的开工日期为准。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计划竣工日期：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日，实际竣工日期以工程竣工验收合格之日为准。</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工期总日历天数</w:t>
      </w:r>
      <w:r>
        <w:rPr>
          <w:rFonts w:hint="eastAsia" w:ascii="宋体" w:hAnsi="宋体"/>
          <w:bCs/>
          <w:color w:val="auto"/>
          <w:szCs w:val="21"/>
          <w:highlight w:val="none"/>
          <w:u w:val="single"/>
        </w:rPr>
        <w:t></w:t>
      </w:r>
      <w:r>
        <w:rPr>
          <w:rFonts w:hint="eastAsia" w:ascii="宋体" w:hAnsi="宋体"/>
          <w:bCs/>
          <w:color w:val="auto"/>
          <w:szCs w:val="21"/>
          <w:highlight w:val="none"/>
        </w:rPr>
        <w:t>天。工期总日历天数与根据前述计划开竣工日期计算的工期天数不一</w:t>
      </w:r>
      <w:r>
        <w:rPr>
          <w:rFonts w:hint="eastAsia" w:ascii="宋体" w:hAnsi="宋体"/>
          <w:color w:val="auto"/>
          <w:szCs w:val="21"/>
          <w:highlight w:val="none"/>
        </w:rPr>
        <w:t>致的，以工期总日历天数为准。</w:t>
      </w:r>
    </w:p>
    <w:p>
      <w:pPr>
        <w:pStyle w:val="6"/>
        <w:keepNext/>
        <w:keepLines/>
        <w:spacing w:before="120" w:after="120" w:line="360" w:lineRule="auto"/>
        <w:ind w:firstLine="422" w:firstLineChars="200"/>
        <w:jc w:val="both"/>
        <w:rPr>
          <w:color w:val="auto"/>
          <w:kern w:val="2"/>
          <w:sz w:val="21"/>
          <w:szCs w:val="21"/>
          <w:highlight w:val="none"/>
        </w:rPr>
      </w:pPr>
      <w:bookmarkStart w:id="591" w:name="_Toc532377168"/>
      <w:bookmarkStart w:id="592" w:name="_Toc351203483"/>
      <w:bookmarkStart w:id="593" w:name="_Toc532375575"/>
      <w:r>
        <w:rPr>
          <w:rFonts w:hint="eastAsia"/>
          <w:color w:val="auto"/>
          <w:kern w:val="2"/>
          <w:sz w:val="21"/>
          <w:szCs w:val="21"/>
          <w:highlight w:val="none"/>
        </w:rPr>
        <w:t>三、质量标准</w:t>
      </w:r>
      <w:bookmarkEnd w:id="591"/>
      <w:bookmarkEnd w:id="592"/>
      <w:bookmarkEnd w:id="593"/>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工程质量符合强制性质量标准，</w:t>
      </w:r>
      <w:r>
        <w:rPr>
          <w:rFonts w:hint="eastAsia" w:ascii="宋体" w:hAnsi="宋体"/>
          <w:color w:val="auto"/>
          <w:szCs w:val="21"/>
          <w:highlight w:val="none"/>
          <w:u w:val="single"/>
        </w:rPr>
        <w:t>符合国家</w:t>
      </w:r>
      <w:r>
        <w:rPr>
          <w:rFonts w:ascii="宋体" w:hAnsi="宋体"/>
          <w:color w:val="auto"/>
          <w:szCs w:val="21"/>
          <w:highlight w:val="none"/>
          <w:u w:val="single"/>
        </w:rPr>
        <w:t>和重庆市现行</w:t>
      </w:r>
      <w:r>
        <w:rPr>
          <w:rFonts w:hint="eastAsia" w:ascii="宋体" w:hAnsi="宋体"/>
          <w:color w:val="auto"/>
          <w:szCs w:val="21"/>
          <w:highlight w:val="none"/>
          <w:u w:val="single"/>
        </w:rPr>
        <w:t>有关施工质量验收规范要求，并达到合格</w:t>
      </w:r>
      <w:r>
        <w:rPr>
          <w:rFonts w:hint="eastAsia" w:ascii="宋体" w:hAnsi="宋体"/>
          <w:color w:val="auto"/>
          <w:szCs w:val="21"/>
          <w:highlight w:val="none"/>
        </w:rPr>
        <w:t>标准。</w:t>
      </w:r>
    </w:p>
    <w:p>
      <w:pPr>
        <w:pStyle w:val="6"/>
        <w:keepNext/>
        <w:keepLines/>
        <w:spacing w:before="120" w:after="120" w:line="360" w:lineRule="auto"/>
        <w:ind w:firstLine="422" w:firstLineChars="200"/>
        <w:jc w:val="both"/>
        <w:rPr>
          <w:color w:val="auto"/>
          <w:kern w:val="2"/>
          <w:sz w:val="21"/>
          <w:szCs w:val="21"/>
          <w:highlight w:val="none"/>
        </w:rPr>
      </w:pPr>
      <w:bookmarkStart w:id="594" w:name="_Toc532377169"/>
      <w:bookmarkStart w:id="595" w:name="_Toc351203484"/>
      <w:bookmarkStart w:id="596" w:name="_Toc532375576"/>
      <w:r>
        <w:rPr>
          <w:rFonts w:hint="eastAsia"/>
          <w:color w:val="auto"/>
          <w:kern w:val="2"/>
          <w:sz w:val="21"/>
          <w:szCs w:val="21"/>
          <w:highlight w:val="none"/>
        </w:rPr>
        <w:t>四、签约合同价与合同价格形式</w:t>
      </w:r>
      <w:bookmarkEnd w:id="594"/>
      <w:bookmarkEnd w:id="595"/>
      <w:bookmarkEnd w:id="596"/>
      <w:r>
        <w:rPr>
          <w:rFonts w:hint="eastAsia"/>
          <w:color w:val="auto"/>
          <w:kern w:val="2"/>
          <w:sz w:val="21"/>
          <w:szCs w:val="21"/>
          <w:highlight w:val="none"/>
        </w:rPr>
        <w:tab/>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1.承包人投标函中承诺的中标价为：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2.签约合同价为：</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其中：</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（1）安全文明施工费：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（2）材料和工程设备暂估价金额：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（3）专业工程暂估价金额：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（4）暂列金额：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（5）人工费（工资款）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该项目实行人工费（工资款）与其他工程款分账管理，发包人将应付工程款中的人工费（工资款），以不低于已完成合同价款的</w:t>
      </w:r>
      <w:r>
        <w:rPr>
          <w:rFonts w:hint="eastAsia" w:ascii="宋体" w:hAnsi="宋体"/>
          <w:color w:val="auto"/>
          <w:szCs w:val="21"/>
          <w:highlight w:val="none"/>
          <w:u w:val="single"/>
        </w:rPr>
        <w:t xml:space="preserve">    </w:t>
      </w:r>
      <w:r>
        <w:rPr>
          <w:rFonts w:hint="eastAsia" w:ascii="宋体" w:hAnsi="宋体"/>
          <w:color w:val="auto"/>
          <w:szCs w:val="21"/>
          <w:highlight w:val="none"/>
        </w:rPr>
        <w:t>，农民工工资单独支付至承包人设立的农民工工资专用账户。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3.合同价格形式：</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597" w:name="_Toc351203485"/>
      <w:bookmarkStart w:id="598" w:name="_Toc532377170"/>
      <w:bookmarkStart w:id="599" w:name="_Toc532375577"/>
      <w:r>
        <w:rPr>
          <w:rFonts w:hint="eastAsia"/>
          <w:color w:val="auto"/>
          <w:kern w:val="2"/>
          <w:sz w:val="21"/>
          <w:szCs w:val="21"/>
          <w:highlight w:val="none"/>
        </w:rPr>
        <w:t>五、</w:t>
      </w:r>
      <w:bookmarkEnd w:id="597"/>
      <w:r>
        <w:rPr>
          <w:rFonts w:hint="eastAsia"/>
          <w:color w:val="auto"/>
          <w:kern w:val="2"/>
          <w:sz w:val="21"/>
          <w:szCs w:val="21"/>
          <w:highlight w:val="none"/>
        </w:rPr>
        <w:t>项目经理及技术负责人</w:t>
      </w:r>
      <w:bookmarkEnd w:id="598"/>
      <w:bookmarkEnd w:id="599"/>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承包人投标文件中承诺的项目经理：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承包人投标文件中承诺的技术负责人：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2"/>
        <w:spacing w:line="360" w:lineRule="auto"/>
        <w:rPr>
          <w:rFonts w:ascii="宋体" w:hAnsi="宋体"/>
          <w:color w:val="auto"/>
          <w:szCs w:val="21"/>
          <w:highlight w:val="none"/>
        </w:rPr>
      </w:pPr>
      <w:r>
        <w:rPr>
          <w:rFonts w:hint="eastAsia" w:ascii="宋体" w:hAnsi="宋体"/>
          <w:color w:val="auto"/>
          <w:szCs w:val="21"/>
          <w:highlight w:val="none"/>
        </w:rPr>
        <w:t xml:space="preserve">    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600" w:name="_Toc532375578"/>
      <w:bookmarkStart w:id="601" w:name="_Toc532377171"/>
      <w:bookmarkStart w:id="602" w:name="_Toc351203486"/>
      <w:r>
        <w:rPr>
          <w:rFonts w:hint="eastAsia"/>
          <w:color w:val="auto"/>
          <w:kern w:val="2"/>
          <w:sz w:val="21"/>
          <w:szCs w:val="21"/>
          <w:highlight w:val="none"/>
        </w:rPr>
        <w:t>六、合同文件构成</w:t>
      </w:r>
      <w:bookmarkEnd w:id="600"/>
      <w:bookmarkEnd w:id="601"/>
      <w:bookmarkEnd w:id="602"/>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合同由以下文件构成：</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（1）合同协议书；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（2）中标通知书；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（3）投标函及投标函附录；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（4）专用合同条款及其附件；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（5）通用合同条款；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（6）投标文件（投标函及投标函附录除外）；</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（7）招标文件及修改文件；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（8）技术标准和要求；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（9）图纸；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（10）其他合同文件。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上述各项合同文件包括合同当事人就该项合同文件所作出的补充和修改，属于同一类内容的文件，应以最新签署的为准。专用合同条款及其附件须经合同当事人签名或盖章。</w:t>
      </w:r>
    </w:p>
    <w:p>
      <w:pPr>
        <w:pStyle w:val="6"/>
        <w:keepNext/>
        <w:keepLines/>
        <w:spacing w:before="120" w:after="120" w:line="360" w:lineRule="auto"/>
        <w:ind w:firstLine="422" w:firstLineChars="200"/>
        <w:jc w:val="both"/>
        <w:rPr>
          <w:color w:val="auto"/>
          <w:kern w:val="2"/>
          <w:sz w:val="21"/>
          <w:szCs w:val="21"/>
          <w:highlight w:val="none"/>
        </w:rPr>
      </w:pPr>
      <w:bookmarkStart w:id="603" w:name="_Toc532375579"/>
      <w:bookmarkStart w:id="604" w:name="_Toc532377172"/>
      <w:bookmarkStart w:id="605" w:name="_Toc351203487"/>
      <w:r>
        <w:rPr>
          <w:rFonts w:hint="eastAsia"/>
          <w:color w:val="auto"/>
          <w:kern w:val="2"/>
          <w:sz w:val="21"/>
          <w:szCs w:val="21"/>
          <w:highlight w:val="none"/>
        </w:rPr>
        <w:t>七、承诺</w:t>
      </w:r>
      <w:bookmarkEnd w:id="603"/>
      <w:bookmarkEnd w:id="604"/>
      <w:bookmarkEnd w:id="605"/>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pPr>
        <w:pStyle w:val="6"/>
        <w:keepNext/>
        <w:keepLines/>
        <w:spacing w:before="120" w:after="120" w:line="360" w:lineRule="auto"/>
        <w:ind w:firstLine="422" w:firstLineChars="200"/>
        <w:jc w:val="both"/>
        <w:rPr>
          <w:color w:val="auto"/>
          <w:kern w:val="2"/>
          <w:sz w:val="21"/>
          <w:szCs w:val="21"/>
          <w:highlight w:val="none"/>
        </w:rPr>
      </w:pPr>
      <w:bookmarkStart w:id="606" w:name="_Toc351203488"/>
      <w:bookmarkStart w:id="607" w:name="_Toc532375580"/>
      <w:bookmarkStart w:id="608" w:name="_Toc532377173"/>
      <w:r>
        <w:rPr>
          <w:rFonts w:hint="eastAsia"/>
          <w:color w:val="auto"/>
          <w:kern w:val="2"/>
          <w:sz w:val="21"/>
          <w:szCs w:val="21"/>
          <w:highlight w:val="none"/>
        </w:rPr>
        <w:t>八、词语含义</w:t>
      </w:r>
      <w:bookmarkEnd w:id="606"/>
      <w:bookmarkEnd w:id="607"/>
      <w:bookmarkEnd w:id="608"/>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pPr>
        <w:pStyle w:val="6"/>
        <w:keepNext/>
        <w:keepLines/>
        <w:spacing w:before="120" w:after="120" w:line="360" w:lineRule="auto"/>
        <w:ind w:firstLine="422" w:firstLineChars="200"/>
        <w:jc w:val="both"/>
        <w:rPr>
          <w:color w:val="auto"/>
          <w:kern w:val="2"/>
          <w:sz w:val="21"/>
          <w:szCs w:val="21"/>
          <w:highlight w:val="none"/>
        </w:rPr>
      </w:pPr>
      <w:bookmarkStart w:id="609" w:name="_Toc532377174"/>
      <w:bookmarkStart w:id="610" w:name="_Toc532375581"/>
      <w:r>
        <w:rPr>
          <w:rFonts w:hint="eastAsia"/>
          <w:color w:val="auto"/>
          <w:kern w:val="2"/>
          <w:sz w:val="21"/>
          <w:szCs w:val="21"/>
          <w:highlight w:val="none"/>
        </w:rPr>
        <w:t>九、签订时间</w:t>
      </w:r>
      <w:bookmarkEnd w:id="609"/>
      <w:bookmarkEnd w:id="610"/>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pPr>
        <w:pStyle w:val="6"/>
        <w:keepNext/>
        <w:keepLines/>
        <w:spacing w:before="120" w:after="120" w:line="360" w:lineRule="auto"/>
        <w:ind w:firstLine="422" w:firstLineChars="200"/>
        <w:jc w:val="both"/>
        <w:rPr>
          <w:color w:val="auto"/>
          <w:kern w:val="2"/>
          <w:sz w:val="21"/>
          <w:szCs w:val="21"/>
          <w:highlight w:val="none"/>
        </w:rPr>
      </w:pPr>
      <w:bookmarkStart w:id="611" w:name="_Toc351203489"/>
      <w:bookmarkStart w:id="612" w:name="_Toc532375582"/>
      <w:bookmarkStart w:id="613" w:name="_Toc532377175"/>
      <w:r>
        <w:rPr>
          <w:rFonts w:hint="eastAsia"/>
          <w:color w:val="auto"/>
          <w:kern w:val="2"/>
          <w:sz w:val="21"/>
          <w:szCs w:val="21"/>
          <w:highlight w:val="none"/>
        </w:rPr>
        <w:t>十、</w:t>
      </w:r>
      <w:bookmarkEnd w:id="611"/>
      <w:bookmarkStart w:id="614" w:name="_Toc351203490"/>
      <w:r>
        <w:rPr>
          <w:rFonts w:hint="eastAsia"/>
          <w:color w:val="auto"/>
          <w:kern w:val="2"/>
          <w:sz w:val="21"/>
          <w:szCs w:val="21"/>
          <w:highlight w:val="none"/>
        </w:rPr>
        <w:t>签订地点</w:t>
      </w:r>
      <w:bookmarkEnd w:id="612"/>
      <w:bookmarkEnd w:id="613"/>
      <w:bookmarkEnd w:id="614"/>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pPr>
        <w:pStyle w:val="6"/>
        <w:keepNext/>
        <w:keepLines/>
        <w:spacing w:before="120" w:after="120" w:line="360" w:lineRule="auto"/>
        <w:ind w:firstLine="422" w:firstLineChars="200"/>
        <w:jc w:val="both"/>
        <w:rPr>
          <w:color w:val="auto"/>
          <w:kern w:val="2"/>
          <w:sz w:val="21"/>
          <w:szCs w:val="21"/>
          <w:highlight w:val="none"/>
        </w:rPr>
      </w:pPr>
      <w:bookmarkStart w:id="615" w:name="_Toc351203491"/>
      <w:bookmarkStart w:id="616" w:name="_Toc532375583"/>
      <w:bookmarkStart w:id="617" w:name="_Toc532377176"/>
      <w:r>
        <w:rPr>
          <w:rFonts w:hint="eastAsia"/>
          <w:color w:val="auto"/>
          <w:kern w:val="2"/>
          <w:sz w:val="21"/>
          <w:szCs w:val="21"/>
          <w:highlight w:val="none"/>
        </w:rPr>
        <w:t>十一、补充协议</w:t>
      </w:r>
      <w:bookmarkEnd w:id="615"/>
      <w:bookmarkEnd w:id="616"/>
      <w:bookmarkEnd w:id="617"/>
    </w:p>
    <w:p>
      <w:pPr>
        <w:spacing w:line="360" w:lineRule="auto"/>
        <w:ind w:firstLine="420" w:firstLineChars="200"/>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pPr>
        <w:pStyle w:val="6"/>
        <w:keepNext/>
        <w:keepLines/>
        <w:spacing w:before="120" w:after="120" w:line="360" w:lineRule="auto"/>
        <w:ind w:firstLine="422" w:firstLineChars="200"/>
        <w:jc w:val="both"/>
        <w:rPr>
          <w:color w:val="auto"/>
          <w:kern w:val="2"/>
          <w:sz w:val="21"/>
          <w:szCs w:val="21"/>
          <w:highlight w:val="none"/>
        </w:rPr>
      </w:pPr>
      <w:bookmarkStart w:id="618" w:name="_Toc532377177"/>
      <w:bookmarkStart w:id="619" w:name="_Toc351203492"/>
      <w:bookmarkStart w:id="620" w:name="_Toc532375584"/>
      <w:r>
        <w:rPr>
          <w:rFonts w:hint="eastAsia"/>
          <w:color w:val="auto"/>
          <w:kern w:val="2"/>
          <w:sz w:val="21"/>
          <w:szCs w:val="21"/>
          <w:highlight w:val="none"/>
        </w:rPr>
        <w:t>十二、合同生效</w:t>
      </w:r>
      <w:bookmarkEnd w:id="618"/>
      <w:bookmarkEnd w:id="619"/>
      <w:bookmarkEnd w:id="620"/>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合同在以下条件全部满足之后生效：</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经双方法定代表人或其委托代理人签名并加盖</w:t>
      </w:r>
      <w:r>
        <w:rPr>
          <w:rFonts w:hint="eastAsia" w:ascii="宋体" w:hAnsi="宋体"/>
          <w:color w:val="auto"/>
          <w:szCs w:val="21"/>
          <w:highlight w:val="none"/>
          <w:lang w:val="en-US" w:eastAsia="zh-CN"/>
        </w:rPr>
        <w:t>单位</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2.采用保函形式递交履约担保的，承包人按合同约定向发包人提交履约担保后；</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621" w:name="_Toc351203493"/>
      <w:bookmarkStart w:id="622" w:name="_Toc532377178"/>
      <w:bookmarkStart w:id="623" w:name="_Toc532375585"/>
      <w:r>
        <w:rPr>
          <w:rFonts w:hint="eastAsia"/>
          <w:color w:val="auto"/>
          <w:kern w:val="2"/>
          <w:sz w:val="21"/>
          <w:szCs w:val="21"/>
          <w:highlight w:val="none"/>
        </w:rPr>
        <w:t>十三、合同份数</w:t>
      </w:r>
      <w:bookmarkEnd w:id="621"/>
      <w:bookmarkEnd w:id="622"/>
      <w:bookmarkEnd w:id="623"/>
    </w:p>
    <w:p>
      <w:pPr>
        <w:spacing w:line="360" w:lineRule="auto"/>
        <w:ind w:firstLine="420" w:firstLineChars="200"/>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（以下为签名盖章页）。</w:t>
      </w:r>
    </w:p>
    <w:p>
      <w:pPr>
        <w:pStyle w:val="2"/>
        <w:spacing w:line="360" w:lineRule="auto"/>
        <w:ind w:firstLine="420" w:firstLineChars="200"/>
        <w:rPr>
          <w:rFonts w:ascii="宋体" w:hAnsi="宋体"/>
          <w:color w:val="auto"/>
          <w:szCs w:val="21"/>
          <w:highlight w:val="none"/>
        </w:rPr>
      </w:pPr>
    </w:p>
    <w:p>
      <w:pPr>
        <w:pStyle w:val="2"/>
        <w:spacing w:line="360" w:lineRule="auto"/>
        <w:ind w:firstLine="420" w:firstLineChars="200"/>
        <w:rPr>
          <w:rFonts w:ascii="宋体" w:hAnsi="宋体"/>
          <w:color w:val="auto"/>
          <w:szCs w:val="21"/>
          <w:highlight w:val="none"/>
        </w:rPr>
      </w:pPr>
    </w:p>
    <w:p>
      <w:pPr>
        <w:adjustRightInd w:val="0"/>
        <w:spacing w:line="360" w:lineRule="auto"/>
        <w:ind w:firstLine="420" w:firstLineChars="200"/>
        <w:rPr>
          <w:rFonts w:ascii="宋体" w:hAnsi="宋体"/>
          <w:snapToGrid w:val="0"/>
          <w:color w:val="auto"/>
          <w:kern w:val="0"/>
          <w:szCs w:val="21"/>
          <w:highlight w:val="none"/>
        </w:rPr>
      </w:pPr>
      <w:bookmarkStart w:id="624"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rPr>
          <w:rFonts w:ascii="宋体" w:hAnsi="宋体"/>
          <w:snapToGrid w:val="0"/>
          <w:color w:val="auto"/>
          <w:kern w:val="0"/>
          <w:szCs w:val="21"/>
          <w:highlight w:val="none"/>
        </w:rPr>
      </w:pPr>
    </w:p>
    <w:p>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Style w:val="2"/>
        <w:spacing w:line="360" w:lineRule="auto"/>
        <w:rPr>
          <w:rFonts w:ascii="宋体" w:hAnsi="宋体"/>
          <w:color w:val="auto"/>
          <w:szCs w:val="21"/>
          <w:highlight w:val="none"/>
        </w:rPr>
      </w:pPr>
    </w:p>
    <w:p>
      <w:pPr>
        <w:spacing w:line="360" w:lineRule="auto"/>
        <w:jc w:val="right"/>
        <w:rPr>
          <w:rFonts w:ascii="宋体" w:hAnsi="宋体"/>
          <w:snapToGrid w:val="0"/>
          <w:color w:val="auto"/>
          <w:kern w:val="0"/>
          <w:szCs w:val="21"/>
          <w:highlight w:val="none"/>
        </w:rPr>
      </w:pPr>
    </w:p>
    <w:p>
      <w:pPr>
        <w:spacing w:line="360" w:lineRule="auto"/>
        <w:jc w:val="right"/>
        <w:rPr>
          <w:rFonts w:ascii="宋体" w:hAnsi="宋体"/>
          <w:snapToGrid w:val="0"/>
          <w:color w:val="auto"/>
          <w:kern w:val="0"/>
          <w:szCs w:val="21"/>
          <w:highlight w:val="none"/>
        </w:rPr>
      </w:pPr>
    </w:p>
    <w:p>
      <w:pPr>
        <w:spacing w:line="360" w:lineRule="auto"/>
        <w:jc w:val="right"/>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624"/>
    </w:p>
    <w:p>
      <w:pPr>
        <w:pStyle w:val="5"/>
        <w:jc w:val="center"/>
        <w:rPr>
          <w:rFonts w:ascii="宋体" w:hAnsi="宋体"/>
          <w:bCs w:val="0"/>
          <w:color w:val="auto"/>
          <w:sz w:val="21"/>
          <w:szCs w:val="21"/>
          <w:highlight w:val="none"/>
        </w:rPr>
      </w:pPr>
      <w:r>
        <w:rPr>
          <w:rFonts w:hint="eastAsia" w:ascii="宋体" w:hAnsi="宋体"/>
          <w:b w:val="0"/>
          <w:snapToGrid w:val="0"/>
          <w:color w:val="auto"/>
          <w:sz w:val="21"/>
          <w:szCs w:val="21"/>
          <w:highlight w:val="none"/>
          <w:lang w:val="zh-CN"/>
        </w:rPr>
        <w:br w:type="page"/>
      </w:r>
      <w:bookmarkStart w:id="625" w:name="_Toc532377179"/>
      <w:bookmarkStart w:id="626" w:name="_Toc529388289"/>
      <w:bookmarkStart w:id="627" w:name="_Toc20874"/>
      <w:bookmarkStart w:id="628" w:name="_Toc532375586"/>
      <w:r>
        <w:rPr>
          <w:rFonts w:hint="eastAsia" w:ascii="宋体" w:hAnsi="宋体"/>
          <w:color w:val="auto"/>
          <w:sz w:val="44"/>
          <w:szCs w:val="44"/>
          <w:highlight w:val="none"/>
        </w:rPr>
        <w:t>第二部分 通用合同条款</w:t>
      </w:r>
      <w:bookmarkEnd w:id="625"/>
      <w:bookmarkEnd w:id="626"/>
      <w:bookmarkEnd w:id="627"/>
      <w:bookmarkEnd w:id="628"/>
    </w:p>
    <w:p>
      <w:pPr>
        <w:pStyle w:val="6"/>
        <w:keepNext/>
        <w:keepLines/>
        <w:spacing w:before="156" w:beforeLines="50" w:beforeAutospacing="0" w:after="156" w:afterLines="50" w:afterAutospacing="0" w:line="360" w:lineRule="auto"/>
        <w:jc w:val="both"/>
        <w:rPr>
          <w:color w:val="auto"/>
          <w:kern w:val="2"/>
          <w:sz w:val="21"/>
          <w:szCs w:val="21"/>
          <w:highlight w:val="none"/>
        </w:rPr>
      </w:pPr>
      <w:bookmarkStart w:id="629" w:name="_Toc532377180"/>
      <w:bookmarkStart w:id="630" w:name="_Toc532375587"/>
      <w:bookmarkStart w:id="631" w:name="_Toc351203495"/>
      <w:r>
        <w:rPr>
          <w:rFonts w:hint="eastAsia"/>
          <w:color w:val="auto"/>
          <w:kern w:val="2"/>
          <w:sz w:val="21"/>
          <w:szCs w:val="21"/>
          <w:highlight w:val="none"/>
        </w:rPr>
        <w:t>1.</w:t>
      </w:r>
      <w:bookmarkStart w:id="632" w:name="_Toc303538972"/>
      <w:bookmarkEnd w:id="632"/>
      <w:bookmarkStart w:id="633" w:name="_Toc303538974"/>
      <w:bookmarkEnd w:id="633"/>
      <w:bookmarkStart w:id="634" w:name="_Toc303538973"/>
      <w:bookmarkEnd w:id="634"/>
      <w:bookmarkStart w:id="635" w:name="_Toc303538976"/>
      <w:bookmarkEnd w:id="635"/>
      <w:bookmarkStart w:id="636" w:name="_Toc303538975"/>
      <w:bookmarkEnd w:id="636"/>
      <w:bookmarkStart w:id="637" w:name="_Toc296503027"/>
      <w:bookmarkStart w:id="638" w:name="_Toc296346528"/>
      <w:r>
        <w:rPr>
          <w:rFonts w:hint="eastAsia"/>
          <w:color w:val="auto"/>
          <w:kern w:val="2"/>
          <w:sz w:val="21"/>
          <w:szCs w:val="21"/>
          <w:highlight w:val="none"/>
        </w:rPr>
        <w:t>一般约定</w:t>
      </w:r>
      <w:bookmarkEnd w:id="629"/>
      <w:bookmarkEnd w:id="630"/>
      <w:bookmarkEnd w:id="631"/>
      <w:bookmarkEnd w:id="637"/>
      <w:bookmarkEnd w:id="638"/>
    </w:p>
    <w:p>
      <w:pPr>
        <w:pStyle w:val="7"/>
        <w:spacing w:before="0" w:beforeAutospacing="0" w:after="0" w:afterAutospacing="0" w:line="360" w:lineRule="auto"/>
        <w:ind w:firstLine="422" w:firstLineChars="200"/>
        <w:rPr>
          <w:color w:val="auto"/>
          <w:sz w:val="21"/>
          <w:szCs w:val="21"/>
          <w:highlight w:val="none"/>
        </w:rPr>
      </w:pPr>
      <w:bookmarkStart w:id="639" w:name="_Toc296346529"/>
      <w:bookmarkStart w:id="640" w:name="_Toc337558728"/>
      <w:bookmarkStart w:id="641" w:name="_Toc296503028"/>
      <w:bookmarkStart w:id="642" w:name="_Toc351203496"/>
      <w:bookmarkStart w:id="643" w:name="_Toc532377181"/>
      <w:r>
        <w:rPr>
          <w:rFonts w:hint="eastAsia"/>
          <w:color w:val="auto"/>
          <w:sz w:val="21"/>
          <w:szCs w:val="21"/>
          <w:highlight w:val="none"/>
        </w:rPr>
        <w:t>1.1词语定义</w:t>
      </w:r>
      <w:bookmarkEnd w:id="639"/>
      <w:bookmarkEnd w:id="640"/>
      <w:bookmarkEnd w:id="641"/>
      <w:r>
        <w:rPr>
          <w:rFonts w:hint="eastAsia"/>
          <w:color w:val="auto"/>
          <w:sz w:val="21"/>
          <w:szCs w:val="21"/>
          <w:highlight w:val="none"/>
        </w:rPr>
        <w:t>与解释</w:t>
      </w:r>
      <w:bookmarkEnd w:id="642"/>
      <w:bookmarkEnd w:id="643"/>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合同协议书、通用合同条款、专用合同条款中的下列词语具有本款所赋予的含义：</w:t>
      </w:r>
    </w:p>
    <w:p>
      <w:pPr>
        <w:pStyle w:val="7"/>
        <w:spacing w:before="0" w:beforeAutospacing="0" w:after="0" w:afterAutospacing="0" w:line="360" w:lineRule="auto"/>
        <w:ind w:firstLine="420" w:firstLineChars="200"/>
        <w:rPr>
          <w:b w:val="0"/>
          <w:bCs w:val="0"/>
          <w:color w:val="auto"/>
          <w:sz w:val="21"/>
          <w:szCs w:val="21"/>
          <w:highlight w:val="none"/>
        </w:rPr>
      </w:pPr>
      <w:bookmarkStart w:id="644" w:name="_Toc532377182"/>
      <w:r>
        <w:rPr>
          <w:rFonts w:hint="eastAsia"/>
          <w:b w:val="0"/>
          <w:bCs w:val="0"/>
          <w:color w:val="auto"/>
          <w:sz w:val="21"/>
          <w:szCs w:val="21"/>
          <w:highlight w:val="none"/>
        </w:rPr>
        <w:t>1.1.1 合同</w:t>
      </w:r>
      <w:bookmarkEnd w:id="644"/>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 合同：是指根据法律规定和合同当事人约定具有约束力的文件，构成合同的文件包括合同协议书、中标通知书（如有）、投标函及其附录（如有）、专用合同条款</w:t>
      </w:r>
      <w:r>
        <w:rPr>
          <w:rFonts w:hint="eastAsia" w:ascii="宋体" w:hAnsi="宋体"/>
          <w:color w:val="auto"/>
          <w:szCs w:val="21"/>
          <w:highlight w:val="none"/>
        </w:rPr>
        <w:t>及其附件</w:t>
      </w:r>
      <w:r>
        <w:rPr>
          <w:rFonts w:hint="eastAsia" w:ascii="宋体" w:hAnsi="宋体"/>
          <w:color w:val="auto"/>
          <w:kern w:val="0"/>
          <w:szCs w:val="21"/>
          <w:highlight w:val="none"/>
        </w:rPr>
        <w:t>、通用合同条款、技术标准和要求、图纸、已标价工程量清单或预算书以及其他合同文件。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1.1.1.2 合同协议书：是指构成合同的由发包人和承包人共同签署的称为“合同协议书”的书面文件。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1.1.1.3 中标通知书：是指构成合同的由发包人通知承包人中标的书面文件。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1.1.1.4 投标函：是指构成合同的由承包人填写并签署的用于投标的称为“投标函”的文件。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1.1.1.5 投标函附录：是指构成合同的附在投标函后的称为“投标函附录”的文件。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1.1.1.8 已标价工程量清单：是指构成合同的由承包人按照规定的格式和要求填写并标明价格的工程量清单，包括说明和表格。</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1.1.1.9 预算书：是指构成合同的由承包人按照发包人规定的格式和要求编制的工程预算文件。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1.1.1.10 其他合同文件：是指经合同当事人约定的与工程施工有关的具有合同约束力的文件或书面协议。合同当事人可以在专用合同条款中进行约定。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 合同当事人及其他相关方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1.1.2.1 合同当事人：是指发包人和（或）承包人。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1.1.2.2 发包人：是指与承包人签订合同协议书的当事人及取得该当事人资格的合法继承人。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1.1.2.3 承包人：是指与发包人签订合同协议书的，具有相应工程施工承包资质的当事人及取得该当事人资格的合法继承人。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1.1.2.4 监理人：是指在专用合同条款中指明的，受发包人委托按照法律规定进行工程监督管理的法人或其他组织。</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1.1.2.5 设计人：是指在专用合同条款中指明的，受发包人委托负责工程设计并具备相应工程设计资质的法人或其他组织。</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1.1.2.6 分包人：</w:t>
      </w:r>
      <w:bookmarkStart w:id="645" w:name="#go5"/>
      <w:bookmarkEnd w:id="645"/>
      <w:r>
        <w:rPr>
          <w:rFonts w:hint="eastAsia" w:ascii="宋体" w:hAnsi="宋体"/>
          <w:color w:val="auto"/>
          <w:kern w:val="0"/>
          <w:szCs w:val="21"/>
          <w:highlight w:val="none"/>
        </w:rPr>
        <w:t>是指按照法律规定和合同约定，分包部分工程或工作，并与承包人签订分包合同的具有相应资质的法人。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1.1.2.7 发包人代表：是指由发包人任命并派驻施工现场在发包人授权范围内行使发包人权利的人。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1.1.2.8 项目经理：是指由承包人任命并派驻施工现场，在承包人授权范围内负责合同履行，且按照法律规定具有相应资格的项目负责人。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1.1.2.9 总监理工程师：是指由监理人任命并派驻施工现场进行工程监理的总负责人。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 工程和设备</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1.1.3.1 工程：是指与合同协议书中工程承包范围对应的永久工程和（或）临时工程。</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1.1.3.2 永久工程：是指按合同约定建造并移交给发包人的工程，包括工程设备。</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1.1.3.3 临时工程：是指为完成合同约定的永久工程所修建的各类临时性工程，不包括施工设备。</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1.1.3.4 单位工程：是指在合同协议书中指明的，具备独立施工条件并能形成独立使用功能的永久工程。</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1.1.3.5 工程设备：是指构成永久工程的机电设备、金属结构设备、仪器及其他类似的设备和装置。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1.1.3.6 施工设备：是指为完成合同约定的各项工作所需的设备、器具和其他物品，但不包括工程设备、临时工程和材料。</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1.1.3.7 施工现场：是指用于工程施工的场所，以及在专用合同条款中指明作为施工场所组成部分的其他场所，包括永久占地和临时占地。</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1.1.3.8临时设施：是指为完成合同约定的各项工作所服务的临时性生产和生活设施。</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1.1.3.9 永久占地：是指专用合同条款中指明为实施工程需永久占用的土地。</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1.1.3.10 临时占地：是指专用合同条款中指明为实施工程需要临时占用的土地。</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 日期和期限</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1.1.4.2 竣工日期：包括计划竣工日期和实际竣工日期。计划竣工日期是指合同协议书约定的竣工日期；实际竣工日期按照第13.2.3项〔竣工日期〕的约定确定。 </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1.1.4.3 工期：是指在合同协议书约定的承包人完成工程所需的期限，包括按照合同约定所作的期限变更。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1.1.4.4 缺陷责任期：是指承包人按照合同约定承担缺陷修复义务，且发包人预留质量保证金（已缴纳履约保证金的除外）的期限，自工程实际竣工日期起计算。</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1.1.4.5 保修期：是指承包人按照合同约定对工程承担保修责任的期限，从工程竣工验收合格之日起计算。</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1.1.4.6 基准日期：招标发包的工程以投标截止日前28天的日期为基准日期，直接发包的工程以合同签订日前28天的日期为基准日期。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1.1.4.7 天：除特别指明外，均指日历天。合同中按天计算时间的，开始当天不计入，从次日开始计算，期限最后一天的截止时间为当天24：00时。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 合同价格和费用</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1.1.5.1 签约合同价：是指</w:t>
      </w:r>
      <w:r>
        <w:rPr>
          <w:rFonts w:hint="eastAsia" w:ascii="宋体" w:hAnsi="宋体"/>
          <w:color w:val="auto"/>
          <w:szCs w:val="21"/>
          <w:highlight w:val="none"/>
        </w:rPr>
        <w:t>发包人和承包人在合同协议书中确定的总金额，包括安全文明施工费、暂估价及暂列金额等。</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1.1.5.3 费用：是指为履行合同所发生的或将要发生的所有必需的开支，包括管理费和应分摊的其他费用，但不包括利润。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1.1.5.7 质量保证金</w:t>
      </w:r>
      <w:bookmarkStart w:id="646" w:name="#go2"/>
      <w:bookmarkEnd w:id="646"/>
      <w:r>
        <w:rPr>
          <w:rFonts w:hint="eastAsia" w:ascii="宋体" w:hAnsi="宋体"/>
          <w:color w:val="auto"/>
          <w:kern w:val="0"/>
          <w:szCs w:val="21"/>
          <w:highlight w:val="none"/>
        </w:rPr>
        <w:t>：是指按照第15.3款〔质量保证金〕约定承包人用于保证其在缺陷责任期内履行缺陷修补义务的担保</w:t>
      </w:r>
      <w:r>
        <w:rPr>
          <w:rFonts w:hint="eastAsia" w:ascii="宋体" w:hAnsi="宋体"/>
          <w:color w:val="auto"/>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1.1.6.1 书面形式：是指合同文件、信函、电报、传真等可以有形地表现所载内容的形式。</w:t>
      </w:r>
    </w:p>
    <w:p>
      <w:pPr>
        <w:pStyle w:val="7"/>
        <w:spacing w:before="0" w:beforeAutospacing="0" w:after="0" w:afterAutospacing="0" w:line="360" w:lineRule="auto"/>
        <w:ind w:firstLine="422" w:firstLineChars="200"/>
        <w:rPr>
          <w:color w:val="auto"/>
          <w:sz w:val="21"/>
          <w:szCs w:val="21"/>
          <w:highlight w:val="none"/>
        </w:rPr>
      </w:pPr>
      <w:bookmarkStart w:id="647" w:name="_Toc532377183"/>
      <w:r>
        <w:rPr>
          <w:rFonts w:hint="eastAsia"/>
          <w:color w:val="auto"/>
          <w:sz w:val="21"/>
          <w:szCs w:val="21"/>
          <w:highlight w:val="none"/>
        </w:rPr>
        <w:t>1.2 语言文字</w:t>
      </w:r>
      <w:bookmarkEnd w:id="647"/>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合同以中国的汉语简体文字编写、解释和说明。合同当事人在专用合同条款中约定使用两种以上语言时，汉语为优先解释和说明合同的语言。</w:t>
      </w:r>
    </w:p>
    <w:p>
      <w:pPr>
        <w:pStyle w:val="7"/>
        <w:spacing w:before="0" w:beforeAutospacing="0" w:after="0" w:afterAutospacing="0" w:line="360" w:lineRule="auto"/>
        <w:ind w:firstLine="422" w:firstLineChars="200"/>
        <w:rPr>
          <w:color w:val="auto"/>
          <w:sz w:val="21"/>
          <w:szCs w:val="21"/>
          <w:highlight w:val="none"/>
        </w:rPr>
      </w:pPr>
      <w:bookmarkStart w:id="648" w:name="_Toc337558730"/>
      <w:bookmarkStart w:id="649" w:name="_Toc296346531"/>
      <w:bookmarkStart w:id="650" w:name="_Toc532377184"/>
      <w:bookmarkStart w:id="651" w:name="_Toc351203498"/>
      <w:bookmarkStart w:id="652" w:name="_Toc296503030"/>
      <w:r>
        <w:rPr>
          <w:rFonts w:hint="eastAsia"/>
          <w:color w:val="auto"/>
          <w:sz w:val="21"/>
          <w:szCs w:val="21"/>
          <w:highlight w:val="none"/>
        </w:rPr>
        <w:t>1.3法律</w:t>
      </w:r>
      <w:bookmarkEnd w:id="648"/>
      <w:bookmarkEnd w:id="649"/>
      <w:bookmarkEnd w:id="650"/>
      <w:bookmarkEnd w:id="651"/>
      <w:bookmarkEnd w:id="652"/>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合同所称法律是指中华人民共和国法律、行政法规、部门规章，以及工程所在地的地方性法规、自治条例、单行条例和地方政府规章等。</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合同当事人可以在专用合同条款中约定合同适用的其他规范性文件。</w:t>
      </w:r>
    </w:p>
    <w:p>
      <w:pPr>
        <w:pStyle w:val="7"/>
        <w:spacing w:before="0" w:beforeAutospacing="0" w:after="0" w:afterAutospacing="0" w:line="360" w:lineRule="auto"/>
        <w:ind w:firstLine="422" w:firstLineChars="200"/>
        <w:rPr>
          <w:color w:val="auto"/>
          <w:sz w:val="21"/>
          <w:szCs w:val="21"/>
          <w:highlight w:val="none"/>
        </w:rPr>
      </w:pPr>
      <w:bookmarkStart w:id="653" w:name="_Toc351203499"/>
      <w:bookmarkStart w:id="654" w:name="_Toc532377185"/>
      <w:r>
        <w:rPr>
          <w:rFonts w:hint="eastAsia"/>
          <w:color w:val="auto"/>
          <w:sz w:val="21"/>
          <w:szCs w:val="21"/>
          <w:highlight w:val="none"/>
        </w:rPr>
        <w:t>1.4 标准和规范</w:t>
      </w:r>
      <w:bookmarkEnd w:id="653"/>
      <w:bookmarkEnd w:id="654"/>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1.4.1 适用于工程的国家标准、行业标准、工程所在地的地方性标准，以及相应的规范、规程等，合同当事人有特别要求的，应在专用合同条款中约定。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发包人要求使用国外标准、规范的，发包人负责提供原文版本和中文译本，并在专用合同条款中约定提供标准规范的名称、份数和时间。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0" w:beforeAutospacing="0" w:after="0" w:afterAutospacing="0" w:line="360" w:lineRule="auto"/>
        <w:ind w:firstLine="422" w:firstLineChars="200"/>
        <w:rPr>
          <w:color w:val="auto"/>
          <w:sz w:val="21"/>
          <w:szCs w:val="21"/>
          <w:highlight w:val="none"/>
        </w:rPr>
      </w:pPr>
      <w:bookmarkStart w:id="655" w:name="_Toc532377186"/>
      <w:bookmarkStart w:id="656" w:name="_Toc351203500"/>
      <w:r>
        <w:rPr>
          <w:rFonts w:hint="eastAsia"/>
          <w:color w:val="auto"/>
          <w:sz w:val="21"/>
          <w:szCs w:val="21"/>
          <w:highlight w:val="none"/>
        </w:rPr>
        <w:t>1</w:t>
      </w:r>
      <w:bookmarkStart w:id="657" w:name="_Toc337558731"/>
      <w:bookmarkStart w:id="658" w:name="_Toc296346532"/>
      <w:bookmarkStart w:id="659" w:name="_Toc296503031"/>
      <w:r>
        <w:rPr>
          <w:rFonts w:hint="eastAsia"/>
          <w:color w:val="auto"/>
          <w:sz w:val="21"/>
          <w:szCs w:val="21"/>
          <w:highlight w:val="none"/>
        </w:rPr>
        <w:t>.5 合同文件的优先顺序</w:t>
      </w:r>
      <w:bookmarkEnd w:id="655"/>
      <w:bookmarkEnd w:id="656"/>
    </w:p>
    <w:bookmarkEnd w:id="657"/>
    <w:bookmarkEnd w:id="658"/>
    <w:bookmarkEnd w:id="659"/>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组成合同的各项文件应互相解释，互为说明。除专用合同条款另有约定外，解释合同文件的优先顺序如下：</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（1）合同协议书；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（2）中标通知书（如有）；</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（3）投标函及其附录（如有）；</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（4）专用合同条款及其附件；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（5）通用合同条款；</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（6）技术标准和要求；</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（7）图纸；</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（8）已标价工程量清单或预算书；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（9）其他合同文件。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上述各项合同文件包括合同当事人就该项合同文件所作出的补充和修改，属于同一类内容的文件，应以最新签署的为准。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在合同订立及履行过程中形成的与合同有关的文件均构成合同文件组成部分，并根据其性质确定优先解释顺序。</w:t>
      </w:r>
    </w:p>
    <w:p>
      <w:pPr>
        <w:pStyle w:val="7"/>
        <w:spacing w:before="0" w:beforeAutospacing="0" w:after="0" w:afterAutospacing="0" w:line="360" w:lineRule="auto"/>
        <w:ind w:firstLine="422" w:firstLineChars="200"/>
        <w:rPr>
          <w:color w:val="auto"/>
          <w:sz w:val="21"/>
          <w:szCs w:val="21"/>
          <w:highlight w:val="none"/>
        </w:rPr>
      </w:pPr>
      <w:bookmarkStart w:id="660" w:name="_Toc351203501"/>
      <w:bookmarkStart w:id="661" w:name="_Toc532377187"/>
      <w:r>
        <w:rPr>
          <w:rFonts w:hint="eastAsia"/>
          <w:color w:val="auto"/>
          <w:sz w:val="21"/>
          <w:szCs w:val="21"/>
          <w:highlight w:val="none"/>
        </w:rPr>
        <w:t>1</w:t>
      </w:r>
      <w:bookmarkStart w:id="662" w:name="_Toc296503032"/>
      <w:bookmarkStart w:id="663" w:name="_Toc296346533"/>
      <w:bookmarkStart w:id="664" w:name="_Toc337558732"/>
      <w:r>
        <w:rPr>
          <w:rFonts w:hint="eastAsia"/>
          <w:color w:val="auto"/>
          <w:sz w:val="21"/>
          <w:szCs w:val="21"/>
          <w:highlight w:val="none"/>
        </w:rPr>
        <w:t>.6图纸和承包人文件</w:t>
      </w:r>
      <w:bookmarkEnd w:id="660"/>
      <w:bookmarkEnd w:id="661"/>
    </w:p>
    <w:bookmarkEnd w:id="662"/>
    <w:bookmarkEnd w:id="663"/>
    <w:bookmarkEnd w:id="664"/>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 图纸的提供和交底</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因发包人未按合同约定提供图纸导致承包人费用增加和（或）工期延误的，按照第7.5.1项〔因发包人原因导致工期延误〕约定办理。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 图纸的错误</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1.6.3 图纸的修改和补充</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1.6.4 承包人文件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1.6.5 图纸和承包人文件的保管</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除专用合同条款另有约定外，承包人应在施工现场另外保存一套完整的图纸和承包人文件，供发包人、监理人及有关人员进行工程检查时使用。</w:t>
      </w:r>
    </w:p>
    <w:p>
      <w:pPr>
        <w:pStyle w:val="7"/>
        <w:spacing w:before="0" w:beforeAutospacing="0" w:after="0" w:afterAutospacing="0" w:line="360" w:lineRule="auto"/>
        <w:ind w:firstLine="422" w:firstLineChars="200"/>
        <w:rPr>
          <w:color w:val="auto"/>
          <w:sz w:val="21"/>
          <w:szCs w:val="21"/>
          <w:highlight w:val="none"/>
        </w:rPr>
      </w:pPr>
      <w:bookmarkStart w:id="665" w:name="_Toc351203502"/>
      <w:bookmarkStart w:id="666" w:name="_Toc532377188"/>
      <w:r>
        <w:rPr>
          <w:rFonts w:hint="eastAsia"/>
          <w:color w:val="auto"/>
          <w:sz w:val="21"/>
          <w:szCs w:val="21"/>
          <w:highlight w:val="none"/>
        </w:rPr>
        <w:t>1</w:t>
      </w:r>
      <w:bookmarkStart w:id="667" w:name="_Toc296346534"/>
      <w:bookmarkStart w:id="668" w:name="_Toc337558733"/>
      <w:bookmarkStart w:id="669" w:name="_Toc296503033"/>
      <w:r>
        <w:rPr>
          <w:rFonts w:hint="eastAsia"/>
          <w:color w:val="auto"/>
          <w:sz w:val="21"/>
          <w:szCs w:val="21"/>
          <w:highlight w:val="none"/>
        </w:rPr>
        <w:t>.7联络</w:t>
      </w:r>
      <w:bookmarkEnd w:id="665"/>
      <w:bookmarkEnd w:id="666"/>
    </w:p>
    <w:bookmarkEnd w:id="667"/>
    <w:bookmarkEnd w:id="668"/>
    <w:bookmarkEnd w:id="669"/>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与合同有关的通知、批准、证明、证书、指示、指令、要求、请求、同意、意见、确定和决定等，均应采用书面形式，并应在合同约定的期限内送达接收人和送达地点。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 发包人和承包人应当及时签收另一方送达至送达地点和指定接收人的来往信函。拒不签收的，由此增加的费用和（或）延误的工期由拒绝接收一方承担。</w:t>
      </w:r>
    </w:p>
    <w:p>
      <w:pPr>
        <w:pStyle w:val="7"/>
        <w:spacing w:before="0" w:beforeAutospacing="0" w:after="0" w:afterAutospacing="0" w:line="360" w:lineRule="auto"/>
        <w:ind w:firstLine="422" w:firstLineChars="200"/>
        <w:rPr>
          <w:color w:val="auto"/>
          <w:sz w:val="21"/>
          <w:szCs w:val="21"/>
          <w:highlight w:val="none"/>
        </w:rPr>
      </w:pPr>
      <w:bookmarkStart w:id="670" w:name="_Toc351203503"/>
      <w:bookmarkStart w:id="671" w:name="_Toc532377189"/>
      <w:r>
        <w:rPr>
          <w:rFonts w:hint="eastAsia"/>
          <w:color w:val="auto"/>
          <w:sz w:val="21"/>
          <w:szCs w:val="21"/>
          <w:highlight w:val="none"/>
        </w:rPr>
        <w:t>1</w:t>
      </w:r>
      <w:bookmarkStart w:id="672" w:name="_Toc296503035"/>
      <w:bookmarkStart w:id="673" w:name="_Toc337558734"/>
      <w:bookmarkStart w:id="674" w:name="_Toc296346536"/>
      <w:r>
        <w:rPr>
          <w:rFonts w:hint="eastAsia"/>
          <w:color w:val="auto"/>
          <w:sz w:val="21"/>
          <w:szCs w:val="21"/>
          <w:highlight w:val="none"/>
        </w:rPr>
        <w:t>.8严禁贿赂</w:t>
      </w:r>
      <w:bookmarkEnd w:id="670"/>
      <w:bookmarkEnd w:id="671"/>
    </w:p>
    <w:bookmarkEnd w:id="672"/>
    <w:bookmarkEnd w:id="673"/>
    <w:bookmarkEnd w:id="674"/>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合同当事人不得以贿赂或变相贿赂的方式，谋取非法利益或损害对方权益。因一方合同当事人的贿赂造成对方损失的，应赔偿损失，并承担相应的法律责任。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0" w:beforeAutospacing="0" w:after="0" w:afterAutospacing="0" w:line="360" w:lineRule="auto"/>
        <w:ind w:firstLine="422" w:firstLineChars="200"/>
        <w:rPr>
          <w:color w:val="auto"/>
          <w:sz w:val="21"/>
          <w:szCs w:val="21"/>
          <w:highlight w:val="none"/>
        </w:rPr>
      </w:pPr>
      <w:bookmarkStart w:id="675" w:name="_Toc532377190"/>
      <w:bookmarkStart w:id="676" w:name="_Toc351203504"/>
      <w:r>
        <w:rPr>
          <w:rFonts w:hint="eastAsia"/>
          <w:color w:val="auto"/>
          <w:sz w:val="21"/>
          <w:szCs w:val="21"/>
          <w:highlight w:val="none"/>
        </w:rPr>
        <w:t>1</w:t>
      </w:r>
      <w:bookmarkStart w:id="677" w:name="_Toc337558735"/>
      <w:bookmarkStart w:id="678" w:name="_Toc296346537"/>
      <w:bookmarkStart w:id="679" w:name="_Toc296503036"/>
      <w:r>
        <w:rPr>
          <w:rFonts w:hint="eastAsia"/>
          <w:color w:val="auto"/>
          <w:sz w:val="21"/>
          <w:szCs w:val="21"/>
          <w:highlight w:val="none"/>
        </w:rPr>
        <w:t>.9化石、文物</w:t>
      </w:r>
      <w:bookmarkEnd w:id="675"/>
      <w:bookmarkEnd w:id="676"/>
    </w:p>
    <w:bookmarkEnd w:id="677"/>
    <w:bookmarkEnd w:id="678"/>
    <w:bookmarkEnd w:id="679"/>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发包人、监理人和承包人应按有关政府行政管理部门要求采取妥善的保护措施，由此增加的费用和（或）延误的工期由发包人承担。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承包人发现文物后不及时报告或隐瞒不报，致使文物丢失或损坏的，应赔偿损失，并承担相应的法律责任。</w:t>
      </w:r>
    </w:p>
    <w:p>
      <w:pPr>
        <w:pStyle w:val="7"/>
        <w:spacing w:before="0" w:beforeAutospacing="0" w:after="0" w:afterAutospacing="0" w:line="360" w:lineRule="auto"/>
        <w:ind w:firstLine="422" w:firstLineChars="200"/>
        <w:rPr>
          <w:color w:val="auto"/>
          <w:sz w:val="21"/>
          <w:szCs w:val="21"/>
          <w:highlight w:val="none"/>
        </w:rPr>
      </w:pPr>
      <w:bookmarkStart w:id="680" w:name="_Toc532377191"/>
      <w:bookmarkStart w:id="681" w:name="_Toc351203505"/>
      <w:r>
        <w:rPr>
          <w:rFonts w:hint="eastAsia"/>
          <w:color w:val="auto"/>
          <w:sz w:val="21"/>
          <w:szCs w:val="21"/>
          <w:highlight w:val="none"/>
        </w:rPr>
        <w:t>1</w:t>
      </w:r>
      <w:bookmarkStart w:id="682" w:name="_Toc337558736"/>
      <w:r>
        <w:rPr>
          <w:rFonts w:hint="eastAsia"/>
          <w:color w:val="auto"/>
          <w:sz w:val="21"/>
          <w:szCs w:val="21"/>
          <w:highlight w:val="none"/>
        </w:rPr>
        <w:t>.10交通运输</w:t>
      </w:r>
      <w:bookmarkEnd w:id="680"/>
      <w:bookmarkEnd w:id="681"/>
    </w:p>
    <w:bookmarkEnd w:id="682"/>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1.10.1 出入现场的权利</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1.10.2 场外交通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1.10.3场内交通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场外交通和场内交通的边界由合同当事人在专用合同条款中约定。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1.10.4 超大件和超重件的运输</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1.10.5 道路和桥梁的损坏责任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因承包人运输造成施工场地内外公共道路和桥梁损坏的，由承包人承担修复损坏的全部费用和可能引起的赔偿。</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1.10.6 水路和航空运输</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pPr>
        <w:pStyle w:val="7"/>
        <w:spacing w:before="0" w:beforeAutospacing="0" w:after="0" w:afterAutospacing="0" w:line="360" w:lineRule="auto"/>
        <w:ind w:firstLine="422" w:firstLineChars="200"/>
        <w:rPr>
          <w:color w:val="auto"/>
          <w:sz w:val="21"/>
          <w:szCs w:val="21"/>
          <w:highlight w:val="none"/>
        </w:rPr>
      </w:pPr>
      <w:bookmarkStart w:id="683" w:name="_Toc351203506"/>
      <w:bookmarkStart w:id="684" w:name="_Toc532377192"/>
      <w:r>
        <w:rPr>
          <w:rFonts w:hint="eastAsia"/>
          <w:color w:val="auto"/>
          <w:sz w:val="21"/>
          <w:szCs w:val="21"/>
          <w:highlight w:val="none"/>
        </w:rPr>
        <w:t>1</w:t>
      </w:r>
      <w:bookmarkStart w:id="685" w:name="_Toc337558737"/>
      <w:bookmarkStart w:id="686" w:name="_Toc296346538"/>
      <w:bookmarkStart w:id="687" w:name="_Toc296503037"/>
      <w:r>
        <w:rPr>
          <w:rFonts w:hint="eastAsia"/>
          <w:color w:val="auto"/>
          <w:sz w:val="21"/>
          <w:szCs w:val="21"/>
          <w:highlight w:val="none"/>
        </w:rPr>
        <w:t>.11知识产权</w:t>
      </w:r>
      <w:bookmarkEnd w:id="683"/>
      <w:bookmarkEnd w:id="684"/>
      <w:bookmarkEnd w:id="685"/>
    </w:p>
    <w:bookmarkEnd w:id="686"/>
    <w:bookmarkEnd w:id="687"/>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1.11.4 除专用合同条款另有约定外，承包人在合同签订前和签订时已确定采用的专利、专有技术、技术秘密的使用费已包含在签约合同价中。</w:t>
      </w:r>
    </w:p>
    <w:p>
      <w:pPr>
        <w:pStyle w:val="7"/>
        <w:spacing w:before="0" w:beforeAutospacing="0" w:after="0" w:afterAutospacing="0" w:line="360" w:lineRule="auto"/>
        <w:ind w:firstLine="422" w:firstLineChars="200"/>
        <w:rPr>
          <w:color w:val="auto"/>
          <w:sz w:val="21"/>
          <w:szCs w:val="21"/>
          <w:highlight w:val="none"/>
        </w:rPr>
      </w:pPr>
      <w:bookmarkStart w:id="688" w:name="_Toc532377193"/>
      <w:bookmarkStart w:id="689" w:name="_Toc351203507"/>
      <w:r>
        <w:rPr>
          <w:rFonts w:hint="eastAsia"/>
          <w:color w:val="auto"/>
          <w:sz w:val="21"/>
          <w:szCs w:val="21"/>
          <w:highlight w:val="none"/>
        </w:rPr>
        <w:t>1</w:t>
      </w:r>
      <w:bookmarkStart w:id="690" w:name="_Toc337558738"/>
      <w:r>
        <w:rPr>
          <w:rFonts w:hint="eastAsia"/>
          <w:color w:val="auto"/>
          <w:sz w:val="21"/>
          <w:szCs w:val="21"/>
          <w:highlight w:val="none"/>
        </w:rPr>
        <w:t>.12保密</w:t>
      </w:r>
      <w:bookmarkEnd w:id="688"/>
      <w:bookmarkEnd w:id="689"/>
    </w:p>
    <w:bookmarkEnd w:id="690"/>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除法律规定或合同另有约定外，未经发包人同意，承包人不得将发包人提供的图纸、文件以及声明需要保密的资料信息等商业秘密泄露给第三方。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除法律规定或合同另有约定外，未经承包人同意，发包人不得将承包人提供的技术秘密及声明需要保密的资料信息等商业秘密泄露给第三方。</w:t>
      </w:r>
    </w:p>
    <w:p>
      <w:pPr>
        <w:pStyle w:val="7"/>
        <w:spacing w:before="0" w:beforeAutospacing="0" w:after="0" w:afterAutospacing="0" w:line="360" w:lineRule="auto"/>
        <w:ind w:firstLine="422" w:firstLineChars="200"/>
        <w:rPr>
          <w:color w:val="auto"/>
          <w:sz w:val="21"/>
          <w:szCs w:val="21"/>
          <w:highlight w:val="none"/>
        </w:rPr>
      </w:pPr>
      <w:bookmarkStart w:id="691" w:name="_Toc351203508"/>
      <w:bookmarkStart w:id="692" w:name="_Toc532377194"/>
      <w:r>
        <w:rPr>
          <w:rFonts w:hint="eastAsia"/>
          <w:color w:val="auto"/>
          <w:sz w:val="21"/>
          <w:szCs w:val="21"/>
          <w:highlight w:val="none"/>
        </w:rPr>
        <w:t>1.13工程量清单错误的修正</w:t>
      </w:r>
      <w:bookmarkEnd w:id="691"/>
      <w:bookmarkEnd w:id="692"/>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除专用合同条款另有约定外，发包人提供的工程量清单，应被认为是准确的和完整的。出现下列情形之一时，发包人应予以修正，并相应调整合同价格：</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（1）工程量清单存在缺项、漏项的；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（2）工程量清单偏差超出专用合同条款约定的工程量偏差范围的；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（3）未按照国家现行计量规范强制性规定计量的。</w:t>
      </w:r>
    </w:p>
    <w:p>
      <w:pPr>
        <w:pStyle w:val="6"/>
        <w:keepNext/>
        <w:keepLines/>
        <w:spacing w:before="156" w:beforeLines="50" w:beforeAutospacing="0" w:after="156" w:afterLines="50" w:afterAutospacing="0" w:line="360" w:lineRule="auto"/>
        <w:jc w:val="both"/>
        <w:rPr>
          <w:color w:val="auto"/>
          <w:kern w:val="2"/>
          <w:sz w:val="21"/>
          <w:szCs w:val="21"/>
          <w:highlight w:val="none"/>
        </w:rPr>
      </w:pPr>
      <w:bookmarkStart w:id="693" w:name="_Toc532377195"/>
      <w:bookmarkStart w:id="694" w:name="_Toc351203509"/>
      <w:bookmarkStart w:id="695" w:name="_Toc532375588"/>
      <w:r>
        <w:rPr>
          <w:rFonts w:hint="eastAsia"/>
          <w:color w:val="auto"/>
          <w:kern w:val="2"/>
          <w:sz w:val="21"/>
          <w:szCs w:val="21"/>
          <w:highlight w:val="none"/>
        </w:rPr>
        <w:t>2</w:t>
      </w:r>
      <w:bookmarkStart w:id="696" w:name="_Toc337558739"/>
      <w:bookmarkStart w:id="697" w:name="_Toc296346539"/>
      <w:bookmarkStart w:id="698" w:name="_Toc296503038"/>
      <w:bookmarkStart w:id="699" w:name="OLE_LINK2"/>
      <w:r>
        <w:rPr>
          <w:rFonts w:hint="eastAsia"/>
          <w:color w:val="auto"/>
          <w:kern w:val="2"/>
          <w:sz w:val="21"/>
          <w:szCs w:val="21"/>
          <w:highlight w:val="none"/>
        </w:rPr>
        <w:t>. 发包人</w:t>
      </w:r>
      <w:bookmarkEnd w:id="693"/>
      <w:bookmarkEnd w:id="694"/>
      <w:bookmarkEnd w:id="695"/>
    </w:p>
    <w:bookmarkEnd w:id="696"/>
    <w:bookmarkEnd w:id="697"/>
    <w:bookmarkEnd w:id="698"/>
    <w:p>
      <w:pPr>
        <w:pStyle w:val="7"/>
        <w:spacing w:before="0" w:beforeAutospacing="0" w:after="0" w:afterAutospacing="0" w:line="360" w:lineRule="auto"/>
        <w:ind w:firstLine="422" w:firstLineChars="200"/>
        <w:rPr>
          <w:color w:val="auto"/>
          <w:sz w:val="21"/>
          <w:szCs w:val="21"/>
          <w:highlight w:val="none"/>
        </w:rPr>
      </w:pPr>
      <w:bookmarkStart w:id="700" w:name="_Toc532377196"/>
      <w:bookmarkStart w:id="701" w:name="_Toc351203510"/>
      <w:r>
        <w:rPr>
          <w:rFonts w:hint="eastAsia"/>
          <w:color w:val="auto"/>
          <w:sz w:val="21"/>
          <w:szCs w:val="21"/>
          <w:highlight w:val="none"/>
        </w:rPr>
        <w:t>2</w:t>
      </w:r>
      <w:bookmarkStart w:id="702" w:name="_Toc296346540"/>
      <w:bookmarkStart w:id="703" w:name="_Toc296503039"/>
      <w:bookmarkStart w:id="704" w:name="_Toc337558740"/>
      <w:r>
        <w:rPr>
          <w:rFonts w:hint="eastAsia"/>
          <w:color w:val="auto"/>
          <w:sz w:val="21"/>
          <w:szCs w:val="21"/>
          <w:highlight w:val="none"/>
        </w:rPr>
        <w:t>.1 许可或批准</w:t>
      </w:r>
      <w:bookmarkEnd w:id="700"/>
      <w:bookmarkEnd w:id="701"/>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因发包人原因未能及时办理完毕前述许可、批准或备案，由发包人承担由此增加的费用和（或）延误的工期，并支付承包人合理的利润。</w:t>
      </w:r>
    </w:p>
    <w:p>
      <w:pPr>
        <w:pStyle w:val="7"/>
        <w:spacing w:before="0" w:beforeAutospacing="0" w:after="0" w:afterAutospacing="0" w:line="360" w:lineRule="auto"/>
        <w:ind w:firstLine="422" w:firstLineChars="200"/>
        <w:rPr>
          <w:color w:val="auto"/>
          <w:sz w:val="21"/>
          <w:szCs w:val="21"/>
          <w:highlight w:val="none"/>
        </w:rPr>
      </w:pPr>
      <w:bookmarkStart w:id="705" w:name="_Toc532377197"/>
      <w:bookmarkStart w:id="706" w:name="_Toc351203511"/>
      <w:r>
        <w:rPr>
          <w:rFonts w:hint="eastAsia"/>
          <w:color w:val="auto"/>
          <w:sz w:val="21"/>
          <w:szCs w:val="21"/>
          <w:highlight w:val="none"/>
        </w:rPr>
        <w:t>2.2 发包人代表</w:t>
      </w:r>
      <w:bookmarkEnd w:id="705"/>
      <w:bookmarkEnd w:id="706"/>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发包人代表不能按照合同约定履行其职责及义务，并导致合同无法继续正常履行的，承包人可以要求发包人撤换发包人代表。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不属于法定必须监理的工程，监理人的职权可以由发包人代表或发包人指定的其他人员行使。</w:t>
      </w:r>
    </w:p>
    <w:p>
      <w:pPr>
        <w:pStyle w:val="7"/>
        <w:spacing w:before="0" w:beforeAutospacing="0" w:after="0" w:afterAutospacing="0" w:line="360" w:lineRule="auto"/>
        <w:ind w:firstLine="422" w:firstLineChars="200"/>
        <w:rPr>
          <w:color w:val="auto"/>
          <w:sz w:val="21"/>
          <w:szCs w:val="21"/>
          <w:highlight w:val="none"/>
        </w:rPr>
      </w:pPr>
      <w:bookmarkStart w:id="707" w:name="_Toc532377198"/>
      <w:bookmarkStart w:id="708" w:name="_Toc351203512"/>
      <w:r>
        <w:rPr>
          <w:rFonts w:hint="eastAsia"/>
          <w:color w:val="auto"/>
          <w:sz w:val="21"/>
          <w:szCs w:val="21"/>
          <w:highlight w:val="none"/>
        </w:rPr>
        <w:t>2.3 发包人人员</w:t>
      </w:r>
      <w:bookmarkEnd w:id="707"/>
      <w:bookmarkEnd w:id="708"/>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发包人人员包括发包人代表及其他由发包人派驻施工现场的人员。</w:t>
      </w:r>
      <w:bookmarkEnd w:id="702"/>
      <w:bookmarkEnd w:id="703"/>
      <w:bookmarkEnd w:id="704"/>
    </w:p>
    <w:p>
      <w:pPr>
        <w:pStyle w:val="7"/>
        <w:spacing w:before="0" w:beforeAutospacing="0" w:after="0" w:afterAutospacing="0" w:line="360" w:lineRule="auto"/>
        <w:ind w:firstLine="422" w:firstLineChars="200"/>
        <w:rPr>
          <w:color w:val="auto"/>
          <w:sz w:val="21"/>
          <w:szCs w:val="21"/>
          <w:highlight w:val="none"/>
        </w:rPr>
      </w:pPr>
      <w:bookmarkStart w:id="709" w:name="_Toc351203513"/>
      <w:bookmarkStart w:id="710" w:name="_Toc532377199"/>
      <w:r>
        <w:rPr>
          <w:rFonts w:hint="eastAsia"/>
          <w:color w:val="auto"/>
          <w:sz w:val="21"/>
          <w:szCs w:val="21"/>
          <w:highlight w:val="none"/>
        </w:rPr>
        <w:t>2</w:t>
      </w:r>
      <w:bookmarkStart w:id="711" w:name="_Toc337558741"/>
      <w:bookmarkStart w:id="712" w:name="_Toc296346541"/>
      <w:bookmarkStart w:id="713" w:name="_Toc296503040"/>
      <w:r>
        <w:rPr>
          <w:rFonts w:hint="eastAsia"/>
          <w:color w:val="auto"/>
          <w:sz w:val="21"/>
          <w:szCs w:val="21"/>
          <w:highlight w:val="none"/>
        </w:rPr>
        <w:t>.4 施工现场、施工条件和基础资料的提供</w:t>
      </w:r>
      <w:bookmarkEnd w:id="709"/>
      <w:bookmarkEnd w:id="710"/>
      <w:bookmarkEnd w:id="711"/>
      <w:bookmarkEnd w:id="712"/>
      <w:bookmarkEnd w:id="713"/>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2.4.1 提供施工现场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w:t>
      </w:r>
      <w:bookmarkEnd w:id="699"/>
      <w:r>
        <w:rPr>
          <w:rFonts w:hint="eastAsia" w:ascii="宋体" w:hAnsi="宋体"/>
          <w:color w:val="auto"/>
          <w:kern w:val="0"/>
          <w:szCs w:val="21"/>
          <w:highlight w:val="none"/>
        </w:rPr>
        <w:t>专用合同条款另有约定外，发包人应最迟于开工日期7天前向承包人移交施工现场。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2.4.2 提供施工条件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除专用合同条款另有约定外，发包人应负责提供施工所需要的条件，包括：</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（1）将施工用水、电力、通讯线路等施工所必需的条件接至施工现场内；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（2）保证向承包人提供正常施工所需要的进入施工现场的交通条件；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（3）协调处理施工现场周围地下管线和邻近建筑物、构筑物、古树名木的保护工作，并承担相关费用；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（4）按照专用合同条款约定应提供的其他设施和条件。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2.4.3 提供基础资料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2.4.4 逾期提供的责任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因发包人原因未能按合同约定及时向承包人提供施工现场、施工条件、基础资料的，由发包人承担由此增加的费用和（或）延误的工期。</w:t>
      </w:r>
    </w:p>
    <w:p>
      <w:pPr>
        <w:pStyle w:val="7"/>
        <w:spacing w:before="0" w:beforeAutospacing="0" w:after="0" w:afterAutospacing="0" w:line="360" w:lineRule="auto"/>
        <w:ind w:firstLine="422" w:firstLineChars="200"/>
        <w:rPr>
          <w:color w:val="auto"/>
          <w:sz w:val="21"/>
          <w:szCs w:val="21"/>
          <w:highlight w:val="none"/>
        </w:rPr>
      </w:pPr>
      <w:bookmarkStart w:id="714" w:name="_Toc351203514"/>
      <w:bookmarkStart w:id="715" w:name="_Toc532377200"/>
      <w:r>
        <w:rPr>
          <w:rFonts w:hint="eastAsia"/>
          <w:color w:val="auto"/>
          <w:sz w:val="21"/>
          <w:szCs w:val="21"/>
          <w:highlight w:val="none"/>
        </w:rPr>
        <w:t>2</w:t>
      </w:r>
      <w:bookmarkStart w:id="716" w:name="_Toc337558745"/>
      <w:bookmarkStart w:id="717" w:name="_Toc296503042"/>
      <w:bookmarkStart w:id="718" w:name="_Toc296346543"/>
      <w:r>
        <w:rPr>
          <w:rFonts w:hint="eastAsia"/>
          <w:color w:val="auto"/>
          <w:sz w:val="21"/>
          <w:szCs w:val="21"/>
          <w:highlight w:val="none"/>
        </w:rPr>
        <w:t>.5 资</w:t>
      </w:r>
      <w:bookmarkEnd w:id="716"/>
      <w:bookmarkEnd w:id="717"/>
      <w:bookmarkEnd w:id="718"/>
      <w:r>
        <w:rPr>
          <w:rFonts w:hint="eastAsia"/>
          <w:color w:val="auto"/>
          <w:sz w:val="21"/>
          <w:szCs w:val="21"/>
          <w:highlight w:val="none"/>
        </w:rPr>
        <w:t>金来源证明及支付担保</w:t>
      </w:r>
      <w:bookmarkEnd w:id="714"/>
      <w:bookmarkEnd w:id="715"/>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0" w:beforeAutospacing="0" w:after="0" w:afterAutospacing="0" w:line="360" w:lineRule="auto"/>
        <w:ind w:firstLine="422" w:firstLineChars="200"/>
        <w:rPr>
          <w:color w:val="auto"/>
          <w:sz w:val="21"/>
          <w:szCs w:val="21"/>
          <w:highlight w:val="none"/>
        </w:rPr>
      </w:pPr>
      <w:bookmarkStart w:id="719" w:name="_Toc351203515"/>
      <w:bookmarkStart w:id="720" w:name="_Toc532377201"/>
      <w:r>
        <w:rPr>
          <w:rFonts w:hint="eastAsia"/>
          <w:color w:val="auto"/>
          <w:sz w:val="21"/>
          <w:szCs w:val="21"/>
          <w:highlight w:val="none"/>
        </w:rPr>
        <w:t>2.6 支付合同价款</w:t>
      </w:r>
      <w:bookmarkEnd w:id="719"/>
      <w:bookmarkEnd w:id="720"/>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发包人应按合同约定向承包人及时支付合同价款。</w:t>
      </w:r>
    </w:p>
    <w:p>
      <w:pPr>
        <w:pStyle w:val="7"/>
        <w:spacing w:before="0" w:beforeAutospacing="0" w:after="0" w:afterAutospacing="0" w:line="360" w:lineRule="auto"/>
        <w:ind w:firstLine="422" w:firstLineChars="200"/>
        <w:rPr>
          <w:color w:val="auto"/>
          <w:sz w:val="21"/>
          <w:szCs w:val="21"/>
          <w:highlight w:val="none"/>
        </w:rPr>
      </w:pPr>
      <w:bookmarkStart w:id="721" w:name="_Toc532377202"/>
      <w:bookmarkStart w:id="722" w:name="_Toc351203516"/>
      <w:r>
        <w:rPr>
          <w:rFonts w:hint="eastAsia"/>
          <w:color w:val="auto"/>
          <w:sz w:val="21"/>
          <w:szCs w:val="21"/>
          <w:highlight w:val="none"/>
        </w:rPr>
        <w:t>2.7 组织竣工验收</w:t>
      </w:r>
      <w:bookmarkEnd w:id="721"/>
      <w:bookmarkEnd w:id="722"/>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发包人应按合同约定及时组织竣工验收。</w:t>
      </w:r>
    </w:p>
    <w:p>
      <w:pPr>
        <w:pStyle w:val="7"/>
        <w:spacing w:before="0" w:beforeAutospacing="0" w:after="0" w:afterAutospacing="0" w:line="360" w:lineRule="auto"/>
        <w:ind w:firstLine="422" w:firstLineChars="200"/>
        <w:rPr>
          <w:color w:val="auto"/>
          <w:sz w:val="21"/>
          <w:szCs w:val="21"/>
          <w:highlight w:val="none"/>
        </w:rPr>
      </w:pPr>
      <w:bookmarkStart w:id="723" w:name="_Toc351203517"/>
      <w:bookmarkStart w:id="724" w:name="_Toc532377203"/>
      <w:r>
        <w:rPr>
          <w:rFonts w:hint="eastAsia"/>
          <w:color w:val="auto"/>
          <w:sz w:val="21"/>
          <w:szCs w:val="21"/>
          <w:highlight w:val="none"/>
        </w:rPr>
        <w:t>2.8 现场统一管理协议</w:t>
      </w:r>
      <w:bookmarkEnd w:id="723"/>
      <w:bookmarkEnd w:id="724"/>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25" w:name="_Toc351203518"/>
      <w:bookmarkStart w:id="726" w:name="_Toc532375589"/>
      <w:bookmarkStart w:id="727" w:name="_Toc532377204"/>
      <w:r>
        <w:rPr>
          <w:rFonts w:hint="eastAsia"/>
          <w:color w:val="auto"/>
          <w:kern w:val="2"/>
          <w:sz w:val="21"/>
          <w:szCs w:val="21"/>
          <w:highlight w:val="none"/>
        </w:rPr>
        <w:t>3</w:t>
      </w:r>
      <w:bookmarkStart w:id="728" w:name="_Toc296503045"/>
      <w:bookmarkStart w:id="729" w:name="_Toc337558746"/>
      <w:bookmarkStart w:id="730" w:name="_Toc296346546"/>
      <w:r>
        <w:rPr>
          <w:rFonts w:hint="eastAsia"/>
          <w:color w:val="auto"/>
          <w:kern w:val="2"/>
          <w:sz w:val="21"/>
          <w:szCs w:val="21"/>
          <w:highlight w:val="none"/>
        </w:rPr>
        <w:t>. 承包人</w:t>
      </w:r>
      <w:bookmarkEnd w:id="725"/>
      <w:bookmarkEnd w:id="726"/>
      <w:bookmarkEnd w:id="727"/>
    </w:p>
    <w:bookmarkEnd w:id="728"/>
    <w:bookmarkEnd w:id="729"/>
    <w:bookmarkEnd w:id="730"/>
    <w:p>
      <w:pPr>
        <w:pStyle w:val="7"/>
        <w:spacing w:before="0" w:beforeAutospacing="0" w:after="0" w:afterAutospacing="0" w:line="360" w:lineRule="auto"/>
        <w:ind w:firstLine="422" w:firstLineChars="200"/>
        <w:rPr>
          <w:color w:val="auto"/>
          <w:sz w:val="21"/>
          <w:szCs w:val="21"/>
          <w:highlight w:val="none"/>
        </w:rPr>
      </w:pPr>
      <w:bookmarkStart w:id="731" w:name="_Toc351203519"/>
      <w:bookmarkStart w:id="732" w:name="_Toc532377205"/>
      <w:r>
        <w:rPr>
          <w:rFonts w:hint="eastAsia"/>
          <w:color w:val="auto"/>
          <w:sz w:val="21"/>
          <w:szCs w:val="21"/>
          <w:highlight w:val="none"/>
        </w:rPr>
        <w:t>3</w:t>
      </w:r>
      <w:bookmarkStart w:id="733" w:name="_Toc296503046"/>
      <w:bookmarkStart w:id="734" w:name="_Toc337558747"/>
      <w:bookmarkStart w:id="735" w:name="_Toc296346547"/>
      <w:r>
        <w:rPr>
          <w:rFonts w:hint="eastAsia"/>
          <w:color w:val="auto"/>
          <w:sz w:val="21"/>
          <w:szCs w:val="21"/>
          <w:highlight w:val="none"/>
        </w:rPr>
        <w:t>.1 承包人的一般义务</w:t>
      </w:r>
      <w:bookmarkEnd w:id="731"/>
      <w:bookmarkEnd w:id="732"/>
    </w:p>
    <w:bookmarkEnd w:id="733"/>
    <w:bookmarkEnd w:id="734"/>
    <w:bookmarkEnd w:id="735"/>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承包人在履行合同过程中应遵守法律和工程建设标准规范，并履行以下义务：</w:t>
      </w:r>
    </w:p>
    <w:p>
      <w:pPr>
        <w:numPr>
          <w:ilvl w:val="0"/>
          <w:numId w:val="2"/>
        </w:num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办理法律规定应由承包人办理的许可和批准，并将办理结果书面报送发包人留存；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（2）按法律规定和合同约定完成工程，并在保修期内承担保修义务；</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（3）按法律规定和合同约定采取施工安全和环境保护措施，办理工伤保险，确保工程及人员、材料、设备和设施的安全；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（4）按合同约定的工作内容和施工进度要求，编制施工组织设计和施工措施计划，并对所有施工作业和施工方法的完备性和安全可靠性负责；</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（6）按照第6.3款〔环境保护〕约定负责施工场地及其周边环境与生态的保护工作；</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（7）按第6.1款〔安全文明施工〕约定采取施工安全措施，确保工程及其人员、材料、设备和设施的安全，防止因工程施工造成的人身伤害和财产损失；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（9）按照法律规定和合同约定编制竣工资料，完成竣工资料立卷及归档，并按专用合同条款约定的竣工资料的套数、内容、时间等要求移交发包人；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（10）应履行的其他义务。</w:t>
      </w:r>
    </w:p>
    <w:p>
      <w:pPr>
        <w:pStyle w:val="7"/>
        <w:spacing w:before="0" w:beforeAutospacing="0" w:after="0" w:afterAutospacing="0" w:line="360" w:lineRule="auto"/>
        <w:ind w:firstLine="422" w:firstLineChars="200"/>
        <w:rPr>
          <w:color w:val="auto"/>
          <w:sz w:val="21"/>
          <w:szCs w:val="21"/>
          <w:highlight w:val="none"/>
        </w:rPr>
      </w:pPr>
      <w:bookmarkStart w:id="736" w:name="_Toc351203520"/>
      <w:bookmarkStart w:id="737" w:name="_Toc532377206"/>
      <w:r>
        <w:rPr>
          <w:rFonts w:hint="eastAsia"/>
          <w:color w:val="auto"/>
          <w:sz w:val="21"/>
          <w:szCs w:val="21"/>
          <w:highlight w:val="none"/>
        </w:rPr>
        <w:t>3</w:t>
      </w:r>
      <w:bookmarkStart w:id="738" w:name="_Toc296346548"/>
      <w:bookmarkStart w:id="739" w:name="_Toc296503047"/>
      <w:bookmarkStart w:id="740" w:name="_Toc337558748"/>
      <w:r>
        <w:rPr>
          <w:rFonts w:hint="eastAsia"/>
          <w:color w:val="auto"/>
          <w:sz w:val="21"/>
          <w:szCs w:val="21"/>
          <w:highlight w:val="none"/>
        </w:rPr>
        <w:t xml:space="preserve">.2 </w:t>
      </w:r>
      <w:bookmarkEnd w:id="736"/>
      <w:r>
        <w:rPr>
          <w:rFonts w:hint="eastAsia"/>
          <w:color w:val="auto"/>
          <w:sz w:val="21"/>
          <w:szCs w:val="21"/>
          <w:highlight w:val="none"/>
        </w:rPr>
        <w:t>项目经理</w:t>
      </w:r>
      <w:bookmarkEnd w:id="737"/>
    </w:p>
    <w:bookmarkEnd w:id="738"/>
    <w:bookmarkEnd w:id="739"/>
    <w:bookmarkEnd w:id="740"/>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承包人违反上述约定的，应按照专用合同条款的约定，承担违约责任。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0" w:beforeAutospacing="0" w:after="0" w:afterAutospacing="0" w:line="360" w:lineRule="auto"/>
        <w:ind w:firstLine="422" w:firstLineChars="200"/>
        <w:rPr>
          <w:color w:val="auto"/>
          <w:sz w:val="21"/>
          <w:szCs w:val="21"/>
          <w:highlight w:val="none"/>
        </w:rPr>
      </w:pPr>
      <w:bookmarkStart w:id="741" w:name="_Toc532377207"/>
      <w:bookmarkStart w:id="742" w:name="_Toc351203521"/>
      <w:r>
        <w:rPr>
          <w:rFonts w:hint="eastAsia"/>
          <w:color w:val="auto"/>
          <w:sz w:val="21"/>
          <w:szCs w:val="21"/>
          <w:highlight w:val="none"/>
        </w:rPr>
        <w:t>3</w:t>
      </w:r>
      <w:bookmarkStart w:id="743" w:name="_Toc296503048"/>
      <w:bookmarkStart w:id="744" w:name="_Toc296346549"/>
      <w:bookmarkStart w:id="745" w:name="_Toc337558749"/>
      <w:r>
        <w:rPr>
          <w:rFonts w:hint="eastAsia"/>
          <w:color w:val="auto"/>
          <w:sz w:val="21"/>
          <w:szCs w:val="21"/>
          <w:highlight w:val="none"/>
        </w:rPr>
        <w:t xml:space="preserve">.3 </w:t>
      </w:r>
      <w:bookmarkEnd w:id="743"/>
      <w:bookmarkEnd w:id="744"/>
      <w:r>
        <w:rPr>
          <w:rFonts w:hint="eastAsia"/>
          <w:color w:val="auto"/>
          <w:sz w:val="21"/>
          <w:szCs w:val="21"/>
          <w:highlight w:val="none"/>
        </w:rPr>
        <w:t>承包人人员</w:t>
      </w:r>
      <w:bookmarkEnd w:id="741"/>
      <w:bookmarkEnd w:id="742"/>
    </w:p>
    <w:bookmarkEnd w:id="745"/>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特殊工种作业人员均应持有相应的资格证明，监理人可以随时检查。</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3.3.5 承包人擅自更换主要施工管理人员，或前述人员未经监理人或发包人同意擅自离开施工现场的，应按照专用合同条款约定承担违约责任。</w:t>
      </w:r>
    </w:p>
    <w:p>
      <w:pPr>
        <w:pStyle w:val="7"/>
        <w:spacing w:before="0" w:beforeAutospacing="0" w:after="0" w:afterAutospacing="0" w:line="360" w:lineRule="auto"/>
        <w:ind w:firstLine="422" w:firstLineChars="200"/>
        <w:rPr>
          <w:color w:val="auto"/>
          <w:sz w:val="21"/>
          <w:szCs w:val="21"/>
          <w:highlight w:val="none"/>
        </w:rPr>
      </w:pPr>
      <w:bookmarkStart w:id="746" w:name="_Toc351203522"/>
      <w:bookmarkStart w:id="747" w:name="_Toc532377208"/>
      <w:r>
        <w:rPr>
          <w:rFonts w:hint="eastAsia"/>
          <w:color w:val="auto"/>
          <w:sz w:val="21"/>
          <w:szCs w:val="21"/>
          <w:highlight w:val="none"/>
        </w:rPr>
        <w:t>3</w:t>
      </w:r>
      <w:bookmarkStart w:id="748" w:name="_Toc296503050"/>
      <w:bookmarkStart w:id="749" w:name="_Toc296346551"/>
      <w:bookmarkStart w:id="750" w:name="_Toc337558750"/>
      <w:r>
        <w:rPr>
          <w:rFonts w:hint="eastAsia"/>
          <w:color w:val="auto"/>
          <w:sz w:val="21"/>
          <w:szCs w:val="21"/>
          <w:highlight w:val="none"/>
        </w:rPr>
        <w:t>.4 承包人现场查勘</w:t>
      </w:r>
      <w:bookmarkEnd w:id="746"/>
      <w:bookmarkEnd w:id="747"/>
    </w:p>
    <w:bookmarkEnd w:id="748"/>
    <w:bookmarkEnd w:id="749"/>
    <w:bookmarkEnd w:id="750"/>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0" w:beforeAutospacing="0" w:after="0" w:afterAutospacing="0" w:line="360" w:lineRule="auto"/>
        <w:ind w:firstLine="422" w:firstLineChars="200"/>
        <w:rPr>
          <w:color w:val="auto"/>
          <w:sz w:val="21"/>
          <w:szCs w:val="21"/>
          <w:highlight w:val="none"/>
        </w:rPr>
      </w:pPr>
      <w:bookmarkStart w:id="751" w:name="_Toc351203523"/>
      <w:bookmarkStart w:id="752" w:name="_Toc532377209"/>
      <w:r>
        <w:rPr>
          <w:rFonts w:hint="eastAsia"/>
          <w:color w:val="auto"/>
          <w:sz w:val="21"/>
          <w:szCs w:val="21"/>
          <w:highlight w:val="none"/>
        </w:rPr>
        <w:t>3</w:t>
      </w:r>
      <w:bookmarkStart w:id="753" w:name="_Toc337558751"/>
      <w:bookmarkStart w:id="754" w:name="_Toc296503051"/>
      <w:bookmarkStart w:id="755" w:name="_Toc296346552"/>
      <w:r>
        <w:rPr>
          <w:rFonts w:hint="eastAsia"/>
          <w:color w:val="auto"/>
          <w:sz w:val="21"/>
          <w:szCs w:val="21"/>
          <w:highlight w:val="none"/>
        </w:rPr>
        <w:t>.5 分包</w:t>
      </w:r>
      <w:bookmarkEnd w:id="751"/>
      <w:bookmarkEnd w:id="752"/>
    </w:p>
    <w:bookmarkEnd w:id="753"/>
    <w:bookmarkEnd w:id="754"/>
    <w:bookmarkEnd w:id="755"/>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3.5.1 分包的一般约定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承包人不得以劳务分包的名义转包或违法分包工程。</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3.5.2 分包的确定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3.5.3 分包管理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3.5.4 分包合同价款</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（2）生效法律文书要求发包人向分包人支付分包合同价款的，发包人有权从应付承包人工程款中扣除该部分款项。</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3.5.5 分包合同权益的转让</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756" w:name="_Toc351203524"/>
    </w:p>
    <w:p>
      <w:pPr>
        <w:pStyle w:val="7"/>
        <w:spacing w:before="0" w:beforeAutospacing="0" w:after="0" w:afterAutospacing="0" w:line="360" w:lineRule="auto"/>
        <w:ind w:firstLine="422" w:firstLineChars="200"/>
        <w:rPr>
          <w:color w:val="auto"/>
          <w:sz w:val="21"/>
          <w:szCs w:val="21"/>
          <w:highlight w:val="none"/>
        </w:rPr>
      </w:pPr>
      <w:bookmarkStart w:id="757" w:name="_Toc532377210"/>
      <w:r>
        <w:rPr>
          <w:rFonts w:hint="eastAsia"/>
          <w:color w:val="auto"/>
          <w:sz w:val="21"/>
          <w:szCs w:val="21"/>
          <w:highlight w:val="none"/>
        </w:rPr>
        <w:t>3.6 工程照管与成品、半成品保护</w:t>
      </w:r>
      <w:bookmarkEnd w:id="756"/>
      <w:bookmarkEnd w:id="757"/>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0" w:beforeAutospacing="0" w:after="0" w:afterAutospacing="0" w:line="360" w:lineRule="auto"/>
        <w:ind w:firstLine="422" w:firstLineChars="200"/>
        <w:rPr>
          <w:color w:val="auto"/>
          <w:sz w:val="21"/>
          <w:szCs w:val="21"/>
          <w:highlight w:val="none"/>
        </w:rPr>
      </w:pPr>
      <w:bookmarkStart w:id="758" w:name="_Toc351203525"/>
      <w:bookmarkStart w:id="759" w:name="_Toc532377211"/>
      <w:r>
        <w:rPr>
          <w:rFonts w:hint="eastAsia"/>
          <w:color w:val="auto"/>
          <w:sz w:val="21"/>
          <w:szCs w:val="21"/>
          <w:highlight w:val="none"/>
        </w:rPr>
        <w:t>3</w:t>
      </w:r>
      <w:bookmarkStart w:id="760" w:name="_Toc296503052"/>
      <w:bookmarkStart w:id="761" w:name="_Toc337558752"/>
      <w:bookmarkStart w:id="762" w:name="_Toc296346553"/>
      <w:r>
        <w:rPr>
          <w:rFonts w:hint="eastAsia"/>
          <w:color w:val="auto"/>
          <w:sz w:val="21"/>
          <w:szCs w:val="21"/>
          <w:highlight w:val="none"/>
        </w:rPr>
        <w:t>.7 履约担保</w:t>
      </w:r>
      <w:bookmarkEnd w:id="758"/>
      <w:bookmarkEnd w:id="759"/>
    </w:p>
    <w:bookmarkEnd w:id="760"/>
    <w:bookmarkEnd w:id="761"/>
    <w:bookmarkEnd w:id="762"/>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pPr>
        <w:pStyle w:val="7"/>
        <w:spacing w:before="0" w:beforeAutospacing="0" w:after="0" w:afterAutospacing="0" w:line="360" w:lineRule="auto"/>
        <w:ind w:firstLine="422" w:firstLineChars="200"/>
        <w:rPr>
          <w:color w:val="auto"/>
          <w:sz w:val="21"/>
          <w:szCs w:val="21"/>
          <w:highlight w:val="none"/>
        </w:rPr>
      </w:pPr>
      <w:bookmarkStart w:id="763" w:name="_Toc532377212"/>
      <w:bookmarkStart w:id="764" w:name="_Toc351203526"/>
      <w:r>
        <w:rPr>
          <w:rFonts w:hint="eastAsia"/>
          <w:color w:val="auto"/>
          <w:sz w:val="21"/>
          <w:szCs w:val="21"/>
          <w:highlight w:val="none"/>
        </w:rPr>
        <w:t>3.8 联合体</w:t>
      </w:r>
      <w:bookmarkEnd w:id="763"/>
      <w:bookmarkEnd w:id="764"/>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3.8.1 联合体各方应共同与发包人签订合同协议书。联合体各方应为履行合同向发包人承担连带责任。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3.8.2 联合体协议经发包人确认后作为合同附件。在履行合同过程中，未经发包人同意，不得修改联合体协议。</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3.8.3 联合体牵头人负责与发包人和监理人联系，并接受指示，负责组织联合体各成员全面履行合同。</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65" w:name="_Toc532375590"/>
      <w:bookmarkStart w:id="766" w:name="_Toc532377213"/>
      <w:bookmarkStart w:id="767" w:name="_Toc351203527"/>
      <w:r>
        <w:rPr>
          <w:rFonts w:hint="eastAsia"/>
          <w:color w:val="auto"/>
          <w:kern w:val="2"/>
          <w:sz w:val="21"/>
          <w:szCs w:val="21"/>
          <w:highlight w:val="none"/>
        </w:rPr>
        <w:t>4</w:t>
      </w:r>
      <w:bookmarkStart w:id="768" w:name="_Toc296503053"/>
      <w:bookmarkStart w:id="769" w:name="_Toc296346554"/>
      <w:bookmarkStart w:id="770" w:name="_Toc337558753"/>
      <w:r>
        <w:rPr>
          <w:rFonts w:hint="eastAsia"/>
          <w:color w:val="auto"/>
          <w:kern w:val="2"/>
          <w:sz w:val="21"/>
          <w:szCs w:val="21"/>
          <w:highlight w:val="none"/>
        </w:rPr>
        <w:t>. 监</w:t>
      </w:r>
      <w:bookmarkEnd w:id="768"/>
      <w:bookmarkEnd w:id="769"/>
      <w:r>
        <w:rPr>
          <w:rFonts w:hint="eastAsia"/>
          <w:color w:val="auto"/>
          <w:kern w:val="2"/>
          <w:sz w:val="21"/>
          <w:szCs w:val="21"/>
          <w:highlight w:val="none"/>
        </w:rPr>
        <w:t>理人</w:t>
      </w:r>
      <w:bookmarkEnd w:id="765"/>
      <w:bookmarkEnd w:id="766"/>
      <w:bookmarkEnd w:id="767"/>
    </w:p>
    <w:bookmarkEnd w:id="770"/>
    <w:p>
      <w:pPr>
        <w:pStyle w:val="7"/>
        <w:spacing w:before="0" w:beforeAutospacing="0" w:after="0" w:afterAutospacing="0" w:line="360" w:lineRule="auto"/>
        <w:ind w:firstLine="422" w:firstLineChars="200"/>
        <w:rPr>
          <w:color w:val="auto"/>
          <w:sz w:val="21"/>
          <w:szCs w:val="21"/>
          <w:highlight w:val="none"/>
        </w:rPr>
      </w:pPr>
      <w:bookmarkStart w:id="771" w:name="_Toc532377214"/>
      <w:bookmarkStart w:id="772" w:name="_Toc351203528"/>
      <w:r>
        <w:rPr>
          <w:rFonts w:hint="eastAsia"/>
          <w:color w:val="auto"/>
          <w:sz w:val="21"/>
          <w:szCs w:val="21"/>
          <w:highlight w:val="none"/>
        </w:rPr>
        <w:t>4</w:t>
      </w:r>
      <w:bookmarkStart w:id="773" w:name="_Toc296346555"/>
      <w:bookmarkStart w:id="774" w:name="_Toc337558754"/>
      <w:bookmarkStart w:id="775" w:name="_Toc296503054"/>
      <w:r>
        <w:rPr>
          <w:rFonts w:hint="eastAsia"/>
          <w:color w:val="auto"/>
          <w:sz w:val="21"/>
          <w:szCs w:val="21"/>
          <w:highlight w:val="none"/>
        </w:rPr>
        <w:t>.1监理人的一般规定</w:t>
      </w:r>
      <w:bookmarkEnd w:id="771"/>
      <w:bookmarkEnd w:id="772"/>
    </w:p>
    <w:bookmarkEnd w:id="773"/>
    <w:bookmarkEnd w:id="774"/>
    <w:bookmarkEnd w:id="775"/>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除专用合同条款另有约定外，监理人在施工现场的办公场所、生活场所由承包人提供，所发生的费用由发包人承担。</w:t>
      </w:r>
    </w:p>
    <w:p>
      <w:pPr>
        <w:pStyle w:val="7"/>
        <w:spacing w:before="0" w:beforeAutospacing="0" w:after="0" w:afterAutospacing="0" w:line="360" w:lineRule="auto"/>
        <w:ind w:firstLine="422" w:firstLineChars="200"/>
        <w:rPr>
          <w:color w:val="auto"/>
          <w:sz w:val="21"/>
          <w:szCs w:val="21"/>
          <w:highlight w:val="none"/>
        </w:rPr>
      </w:pPr>
      <w:bookmarkStart w:id="776" w:name="_Toc532377215"/>
      <w:bookmarkStart w:id="777" w:name="_Toc351203529"/>
      <w:r>
        <w:rPr>
          <w:rFonts w:hint="eastAsia"/>
          <w:color w:val="auto"/>
          <w:sz w:val="21"/>
          <w:szCs w:val="21"/>
          <w:highlight w:val="none"/>
        </w:rPr>
        <w:t>4</w:t>
      </w:r>
      <w:bookmarkStart w:id="778" w:name="_Toc337558755"/>
      <w:r>
        <w:rPr>
          <w:rFonts w:hint="eastAsia"/>
          <w:color w:val="auto"/>
          <w:sz w:val="21"/>
          <w:szCs w:val="21"/>
          <w:highlight w:val="none"/>
        </w:rPr>
        <w:t>.2监理人员</w:t>
      </w:r>
      <w:bookmarkEnd w:id="776"/>
      <w:bookmarkEnd w:id="777"/>
    </w:p>
    <w:bookmarkEnd w:id="778"/>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0" w:beforeAutospacing="0" w:after="0" w:afterAutospacing="0" w:line="360" w:lineRule="auto"/>
        <w:ind w:firstLine="422" w:firstLineChars="200"/>
        <w:rPr>
          <w:color w:val="auto"/>
          <w:sz w:val="21"/>
          <w:szCs w:val="21"/>
          <w:highlight w:val="none"/>
        </w:rPr>
      </w:pPr>
      <w:bookmarkStart w:id="779" w:name="_Toc532377216"/>
      <w:bookmarkStart w:id="780" w:name="_Toc351203530"/>
      <w:r>
        <w:rPr>
          <w:rFonts w:hint="eastAsia"/>
          <w:color w:val="auto"/>
          <w:sz w:val="21"/>
          <w:szCs w:val="21"/>
          <w:highlight w:val="none"/>
        </w:rPr>
        <w:t>4</w:t>
      </w:r>
      <w:bookmarkStart w:id="781" w:name="_Toc296346556"/>
      <w:bookmarkStart w:id="782" w:name="_Toc296503055"/>
      <w:bookmarkStart w:id="783" w:name="_Toc337558756"/>
      <w:r>
        <w:rPr>
          <w:rFonts w:hint="eastAsia"/>
          <w:color w:val="auto"/>
          <w:sz w:val="21"/>
          <w:szCs w:val="21"/>
          <w:highlight w:val="none"/>
        </w:rPr>
        <w:t>.3</w:t>
      </w:r>
      <w:bookmarkEnd w:id="781"/>
      <w:bookmarkEnd w:id="782"/>
      <w:r>
        <w:rPr>
          <w:rFonts w:hint="eastAsia"/>
          <w:color w:val="auto"/>
          <w:sz w:val="21"/>
          <w:szCs w:val="21"/>
          <w:highlight w:val="none"/>
        </w:rPr>
        <w:t>监理人的指</w:t>
      </w:r>
      <w:bookmarkEnd w:id="783"/>
      <w:r>
        <w:rPr>
          <w:rFonts w:hint="eastAsia"/>
          <w:color w:val="auto"/>
          <w:sz w:val="21"/>
          <w:szCs w:val="21"/>
          <w:highlight w:val="none"/>
        </w:rPr>
        <w:t>示</w:t>
      </w:r>
      <w:bookmarkEnd w:id="779"/>
      <w:bookmarkEnd w:id="780"/>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pStyle w:val="7"/>
        <w:spacing w:before="0" w:beforeAutospacing="0" w:after="0" w:afterAutospacing="0" w:line="360" w:lineRule="auto"/>
        <w:ind w:firstLine="422" w:firstLineChars="200"/>
        <w:rPr>
          <w:color w:val="auto"/>
          <w:sz w:val="21"/>
          <w:szCs w:val="21"/>
          <w:highlight w:val="none"/>
        </w:rPr>
      </w:pPr>
      <w:bookmarkStart w:id="784" w:name="_Toc351203531"/>
      <w:bookmarkStart w:id="785" w:name="_Toc532377217"/>
      <w:r>
        <w:rPr>
          <w:rFonts w:hint="eastAsia"/>
          <w:color w:val="auto"/>
          <w:sz w:val="21"/>
          <w:szCs w:val="21"/>
          <w:highlight w:val="none"/>
        </w:rPr>
        <w:t>4</w:t>
      </w:r>
      <w:bookmarkStart w:id="786" w:name="_Toc337558757"/>
      <w:bookmarkStart w:id="787" w:name="_Toc296503057"/>
      <w:bookmarkStart w:id="788" w:name="_Toc296346558"/>
      <w:r>
        <w:rPr>
          <w:rFonts w:hint="eastAsia"/>
          <w:color w:val="auto"/>
          <w:sz w:val="21"/>
          <w:szCs w:val="21"/>
          <w:highlight w:val="none"/>
        </w:rPr>
        <w:t>.4 商定或确定</w:t>
      </w:r>
      <w:bookmarkEnd w:id="784"/>
      <w:bookmarkEnd w:id="785"/>
    </w:p>
    <w:bookmarkEnd w:id="786"/>
    <w:bookmarkEnd w:id="787"/>
    <w:bookmarkEnd w:id="788"/>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89" w:name="_Toc532375591"/>
      <w:bookmarkStart w:id="790" w:name="_Toc351203532"/>
      <w:bookmarkStart w:id="791" w:name="_Toc532377218"/>
      <w:r>
        <w:rPr>
          <w:rFonts w:hint="eastAsia"/>
          <w:color w:val="auto"/>
          <w:kern w:val="2"/>
          <w:sz w:val="21"/>
          <w:szCs w:val="21"/>
          <w:highlight w:val="none"/>
        </w:rPr>
        <w:t>5</w:t>
      </w:r>
      <w:bookmarkStart w:id="792" w:name="_Toc337558758"/>
      <w:r>
        <w:rPr>
          <w:rFonts w:hint="eastAsia"/>
          <w:color w:val="auto"/>
          <w:kern w:val="2"/>
          <w:sz w:val="21"/>
          <w:szCs w:val="21"/>
          <w:highlight w:val="none"/>
        </w:rPr>
        <w:t>. 工程质量</w:t>
      </w:r>
      <w:bookmarkEnd w:id="789"/>
      <w:bookmarkEnd w:id="790"/>
      <w:bookmarkEnd w:id="791"/>
    </w:p>
    <w:bookmarkEnd w:id="792"/>
    <w:p>
      <w:pPr>
        <w:pStyle w:val="7"/>
        <w:spacing w:before="0" w:beforeAutospacing="0" w:after="0" w:afterAutospacing="0" w:line="360" w:lineRule="auto"/>
        <w:ind w:firstLine="422" w:firstLineChars="200"/>
        <w:rPr>
          <w:color w:val="auto"/>
          <w:sz w:val="21"/>
          <w:szCs w:val="21"/>
          <w:highlight w:val="none"/>
        </w:rPr>
      </w:pPr>
      <w:bookmarkStart w:id="793" w:name="_Toc351203533"/>
      <w:bookmarkStart w:id="794" w:name="_Toc532377219"/>
      <w:r>
        <w:rPr>
          <w:rFonts w:hint="eastAsia"/>
          <w:color w:val="auto"/>
          <w:sz w:val="21"/>
          <w:szCs w:val="21"/>
          <w:highlight w:val="none"/>
        </w:rPr>
        <w:t>5</w:t>
      </w:r>
      <w:bookmarkStart w:id="795" w:name="_Toc337558759"/>
      <w:r>
        <w:rPr>
          <w:rFonts w:hint="eastAsia"/>
          <w:color w:val="auto"/>
          <w:sz w:val="21"/>
          <w:szCs w:val="21"/>
          <w:highlight w:val="none"/>
        </w:rPr>
        <w:t>.1质量要求</w:t>
      </w:r>
      <w:bookmarkEnd w:id="793"/>
      <w:bookmarkEnd w:id="794"/>
    </w:p>
    <w:bookmarkEnd w:id="795"/>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5.1.1 工程质量标准必须符合现行国家有关工程施工质量验收规范和标准的要求。有关工程质量的特殊标准或要求由合同当事人在专用合同条款中约定。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5.1.2 因发包人原因造成工程质量未达到合同约定标准的，由发包人承担由此增加的费用和（或）延误的工期，并支付承包人合理的利润。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pPr>
        <w:pStyle w:val="7"/>
        <w:spacing w:before="0" w:beforeAutospacing="0" w:after="0" w:afterAutospacing="0" w:line="360" w:lineRule="auto"/>
        <w:ind w:firstLine="422" w:firstLineChars="200"/>
        <w:rPr>
          <w:color w:val="auto"/>
          <w:sz w:val="21"/>
          <w:szCs w:val="21"/>
          <w:highlight w:val="none"/>
        </w:rPr>
      </w:pPr>
      <w:bookmarkStart w:id="796" w:name="_Toc351203534"/>
      <w:bookmarkStart w:id="797" w:name="_Toc532377220"/>
      <w:r>
        <w:rPr>
          <w:rFonts w:hint="eastAsia"/>
          <w:color w:val="auto"/>
          <w:sz w:val="21"/>
          <w:szCs w:val="21"/>
          <w:highlight w:val="none"/>
        </w:rPr>
        <w:t>5</w:t>
      </w:r>
      <w:bookmarkStart w:id="798" w:name="_Toc337558760"/>
      <w:r>
        <w:rPr>
          <w:rFonts w:hint="eastAsia"/>
          <w:color w:val="auto"/>
          <w:sz w:val="21"/>
          <w:szCs w:val="21"/>
          <w:highlight w:val="none"/>
        </w:rPr>
        <w:t>.2质量保证措施</w:t>
      </w:r>
      <w:bookmarkEnd w:id="796"/>
      <w:bookmarkEnd w:id="797"/>
    </w:p>
    <w:bookmarkEnd w:id="798"/>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5.2.1 发包人的质量管理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发包人应按照法律规定及合同约定完成与工程质量有关的各项工作。</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5.2.2 承包人的质量管理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承包人应对施工人员进行质量教育和技术培训，定期考核施工人员的劳动技能，严格执行施工规范和操作规程。</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5.2.3 监理人的质量检查和检验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0" w:beforeAutospacing="0" w:after="0" w:afterAutospacing="0" w:line="360" w:lineRule="auto"/>
        <w:ind w:firstLine="422" w:firstLineChars="200"/>
        <w:rPr>
          <w:color w:val="auto"/>
          <w:sz w:val="21"/>
          <w:szCs w:val="21"/>
          <w:highlight w:val="none"/>
        </w:rPr>
      </w:pPr>
      <w:bookmarkStart w:id="799" w:name="_Toc532377221"/>
      <w:bookmarkStart w:id="800" w:name="_Toc351203535"/>
      <w:r>
        <w:rPr>
          <w:rFonts w:hint="eastAsia"/>
          <w:color w:val="auto"/>
          <w:sz w:val="21"/>
          <w:szCs w:val="21"/>
          <w:highlight w:val="none"/>
        </w:rPr>
        <w:t>5</w:t>
      </w:r>
      <w:bookmarkStart w:id="801" w:name="_Toc337558761"/>
      <w:r>
        <w:rPr>
          <w:rFonts w:hint="eastAsia"/>
          <w:color w:val="auto"/>
          <w:sz w:val="21"/>
          <w:szCs w:val="21"/>
          <w:highlight w:val="none"/>
        </w:rPr>
        <w:t>.3 隐蔽工程检查</w:t>
      </w:r>
      <w:bookmarkEnd w:id="799"/>
      <w:bookmarkEnd w:id="800"/>
    </w:p>
    <w:bookmarkEnd w:id="801"/>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5.3.1承包人自检</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承包人应当对工程隐蔽部位进行自检，并经自检确认是否具备覆盖条件。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5.3.2检查程序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5.3.3 重新检查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5.3.4 承包人私自覆盖</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0" w:beforeAutospacing="0" w:after="0" w:afterAutospacing="0" w:line="360" w:lineRule="auto"/>
        <w:ind w:firstLine="422" w:firstLineChars="200"/>
        <w:rPr>
          <w:color w:val="auto"/>
          <w:sz w:val="21"/>
          <w:szCs w:val="21"/>
          <w:highlight w:val="none"/>
        </w:rPr>
      </w:pPr>
      <w:bookmarkStart w:id="802" w:name="_Toc532377222"/>
      <w:r>
        <w:rPr>
          <w:rFonts w:hint="eastAsia"/>
          <w:color w:val="auto"/>
          <w:sz w:val="21"/>
          <w:szCs w:val="21"/>
          <w:highlight w:val="none"/>
        </w:rPr>
        <w:t>5.4不合格工程的处理</w:t>
      </w:r>
      <w:bookmarkEnd w:id="802"/>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5.4.2 因发包人原因造成工程不合格的，由此增加的费用和（或）延误的工期由发包人承担，并支付承包人合理的利润。</w:t>
      </w:r>
    </w:p>
    <w:p>
      <w:pPr>
        <w:pStyle w:val="7"/>
        <w:spacing w:before="0" w:beforeAutospacing="0" w:after="0" w:afterAutospacing="0" w:line="360" w:lineRule="auto"/>
        <w:ind w:firstLine="422" w:firstLineChars="200"/>
        <w:rPr>
          <w:color w:val="auto"/>
          <w:sz w:val="21"/>
          <w:szCs w:val="21"/>
          <w:highlight w:val="none"/>
        </w:rPr>
      </w:pPr>
      <w:bookmarkStart w:id="803" w:name="_Toc351203537"/>
      <w:bookmarkStart w:id="804" w:name="_Toc532377223"/>
      <w:r>
        <w:rPr>
          <w:rFonts w:hint="eastAsia"/>
          <w:color w:val="auto"/>
          <w:sz w:val="21"/>
          <w:szCs w:val="21"/>
          <w:highlight w:val="none"/>
        </w:rPr>
        <w:t>5.5 质量争议检测</w:t>
      </w:r>
      <w:bookmarkEnd w:id="803"/>
      <w:bookmarkEnd w:id="804"/>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合同当事人对工程质量有争议的，由双方协商确定的工程质量检测机构鉴定，由此产生的费用及因此造成的损失，由责任方承担。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合同当事人均有责任的，由双方根据其责任分别承担。合同当事人无法达成一致的，按照第4.4款〔商定或确定〕执行。</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05" w:name="_Toc351203538"/>
      <w:bookmarkStart w:id="806" w:name="_Toc532375592"/>
      <w:bookmarkStart w:id="807" w:name="_Toc532377224"/>
      <w:r>
        <w:rPr>
          <w:rFonts w:hint="eastAsia"/>
          <w:color w:val="auto"/>
          <w:kern w:val="2"/>
          <w:sz w:val="21"/>
          <w:szCs w:val="21"/>
          <w:highlight w:val="none"/>
        </w:rPr>
        <w:t>6</w:t>
      </w:r>
      <w:bookmarkStart w:id="808" w:name="_Toc337558763"/>
      <w:r>
        <w:rPr>
          <w:rFonts w:hint="eastAsia"/>
          <w:color w:val="auto"/>
          <w:kern w:val="2"/>
          <w:sz w:val="21"/>
          <w:szCs w:val="21"/>
          <w:highlight w:val="none"/>
        </w:rPr>
        <w:t>. 安全文明施工与环境保护</w:t>
      </w:r>
      <w:bookmarkEnd w:id="805"/>
      <w:bookmarkEnd w:id="806"/>
      <w:bookmarkEnd w:id="807"/>
    </w:p>
    <w:bookmarkEnd w:id="808"/>
    <w:p>
      <w:pPr>
        <w:pStyle w:val="7"/>
        <w:spacing w:before="0" w:beforeAutospacing="0" w:after="0" w:afterAutospacing="0" w:line="360" w:lineRule="auto"/>
        <w:ind w:firstLine="422" w:firstLineChars="200"/>
        <w:rPr>
          <w:color w:val="auto"/>
          <w:sz w:val="21"/>
          <w:szCs w:val="21"/>
          <w:highlight w:val="none"/>
        </w:rPr>
      </w:pPr>
      <w:bookmarkStart w:id="809" w:name="_Toc532377225"/>
      <w:bookmarkStart w:id="810" w:name="_Toc351203539"/>
      <w:r>
        <w:rPr>
          <w:rFonts w:hint="eastAsia"/>
          <w:color w:val="auto"/>
          <w:sz w:val="21"/>
          <w:szCs w:val="21"/>
          <w:highlight w:val="none"/>
        </w:rPr>
        <w:t>6</w:t>
      </w:r>
      <w:bookmarkStart w:id="811" w:name="_Toc337558764"/>
      <w:r>
        <w:rPr>
          <w:rFonts w:hint="eastAsia"/>
          <w:color w:val="auto"/>
          <w:sz w:val="21"/>
          <w:szCs w:val="21"/>
          <w:highlight w:val="none"/>
        </w:rPr>
        <w:t>.1安全文明施工</w:t>
      </w:r>
      <w:bookmarkEnd w:id="809"/>
      <w:bookmarkEnd w:id="810"/>
    </w:p>
    <w:bookmarkEnd w:id="811"/>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6.1.1安全生产要求</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因安全生产需要暂停施工的，按照第7.8款〔暂停施工〕的约定执行。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6.1.2 安全生产保证措施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承包人应当按照有关规定编制安全技术措施或者专项施工方案，建立安全生产责任制度、治安保卫制度及安全生产教育培训制度，并按</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中华人民共和国安全生产法</w:t>
      </w:r>
      <w:bookmarkStart w:id="2230" w:name="_GoBack"/>
      <w:bookmarkEnd w:id="2230"/>
      <w:r>
        <w:rPr>
          <w:rFonts w:hint="eastAsia" w:ascii="宋体" w:hAnsi="宋体"/>
          <w:color w:val="auto"/>
          <w:kern w:val="0"/>
          <w:szCs w:val="21"/>
          <w:highlight w:val="none"/>
          <w:lang w:eastAsia="zh-CN"/>
        </w:rPr>
        <w:t>》</w:t>
      </w:r>
      <w:r>
        <w:rPr>
          <w:rFonts w:hint="eastAsia" w:ascii="宋体" w:hAnsi="宋体"/>
          <w:color w:val="auto"/>
          <w:kern w:val="0"/>
          <w:szCs w:val="21"/>
          <w:highlight w:val="none"/>
        </w:rPr>
        <w:t>规定及合同约定履行安全职责，如实编制工程安全生产的有关记录，接受发包人、监理人及政府安全监督部门的检查与监督。</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6.1.3特别安全生产事项</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6.1.4 治安保卫</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发包人和承包人除应协助现场治安管理机构或联防组织维护施工场地的社会治安外，还应做好包括生活区在内的各自管辖区的治安保卫工作。</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6.1.5 文明施工</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6.1.6 安全文明施工费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6.1.7 紧急情况处理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6.1.8 事故处理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 安全生产责任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6.1.9.1 发包人的安全责任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发包人应负责赔偿以下各种情况造成的损失：</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（1）工程或工程的任何部分对土地的占用所造成的第三者财产损失；</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（2）由于发包人原因在施工场地及其毗邻地带造成的第三者人身伤亡和财产损失；</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（3）由于发包人原因对承包人、监理人造成的人员人身伤亡和财产损失；</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（4）由于发包人原因造成的发包人自身人员的人身伤害以及财产损失。</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6.1.9.2 承包人的安全责任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由于承包人原因在施工场地内及其毗邻地带造成的发包人、监理人以及第三者人员伤亡和财产损失，由承包人负责赔偿。</w:t>
      </w:r>
    </w:p>
    <w:p>
      <w:pPr>
        <w:pStyle w:val="7"/>
        <w:spacing w:before="0" w:beforeAutospacing="0" w:after="0" w:afterAutospacing="0" w:line="360" w:lineRule="auto"/>
        <w:ind w:firstLine="422" w:firstLineChars="200"/>
        <w:rPr>
          <w:color w:val="auto"/>
          <w:sz w:val="21"/>
          <w:szCs w:val="21"/>
          <w:highlight w:val="none"/>
        </w:rPr>
      </w:pPr>
      <w:bookmarkStart w:id="812" w:name="_Toc351203540"/>
      <w:bookmarkStart w:id="813" w:name="_Toc532377226"/>
      <w:r>
        <w:rPr>
          <w:rFonts w:hint="eastAsia"/>
          <w:color w:val="auto"/>
          <w:sz w:val="21"/>
          <w:szCs w:val="21"/>
          <w:highlight w:val="none"/>
        </w:rPr>
        <w:t>6</w:t>
      </w:r>
      <w:bookmarkStart w:id="814" w:name="_Toc337558765"/>
      <w:r>
        <w:rPr>
          <w:rFonts w:hint="eastAsia"/>
          <w:color w:val="auto"/>
          <w:sz w:val="21"/>
          <w:szCs w:val="21"/>
          <w:highlight w:val="none"/>
        </w:rPr>
        <w:t>.2 职业健康</w:t>
      </w:r>
      <w:bookmarkEnd w:id="812"/>
      <w:bookmarkEnd w:id="813"/>
    </w:p>
    <w:bookmarkEnd w:id="814"/>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6.2.1 劳动保护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6.2.2 生活条件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0" w:beforeAutospacing="0" w:after="0" w:afterAutospacing="0" w:line="360" w:lineRule="auto"/>
        <w:ind w:firstLine="422" w:firstLineChars="200"/>
        <w:rPr>
          <w:color w:val="auto"/>
          <w:sz w:val="21"/>
          <w:szCs w:val="21"/>
          <w:highlight w:val="none"/>
        </w:rPr>
      </w:pPr>
      <w:bookmarkStart w:id="815" w:name="_Toc351203541"/>
      <w:bookmarkStart w:id="816" w:name="_Toc532377227"/>
      <w:r>
        <w:rPr>
          <w:rFonts w:hint="eastAsia"/>
          <w:color w:val="auto"/>
          <w:sz w:val="21"/>
          <w:szCs w:val="21"/>
          <w:highlight w:val="none"/>
        </w:rPr>
        <w:t>6</w:t>
      </w:r>
      <w:bookmarkStart w:id="817" w:name="_Toc337558766"/>
      <w:r>
        <w:rPr>
          <w:rFonts w:hint="eastAsia"/>
          <w:color w:val="auto"/>
          <w:sz w:val="21"/>
          <w:szCs w:val="21"/>
          <w:highlight w:val="none"/>
        </w:rPr>
        <w:t>.3 环境保护</w:t>
      </w:r>
      <w:bookmarkEnd w:id="815"/>
      <w:bookmarkEnd w:id="816"/>
    </w:p>
    <w:bookmarkEnd w:id="817"/>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承包人应当承担因其原因引起的环境污染侵权损害赔偿责任，因上述环境污染引起纠纷而导致暂停施工的，由此增加的费用和（或）延误的工期由承包人承担。</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18" w:name="_Toc532377228"/>
      <w:bookmarkStart w:id="819" w:name="_Toc532375593"/>
      <w:bookmarkStart w:id="820" w:name="_Toc351203542"/>
      <w:r>
        <w:rPr>
          <w:rFonts w:hint="eastAsia"/>
          <w:color w:val="auto"/>
          <w:kern w:val="2"/>
          <w:sz w:val="21"/>
          <w:szCs w:val="21"/>
          <w:highlight w:val="none"/>
        </w:rPr>
        <w:t>7</w:t>
      </w:r>
      <w:bookmarkStart w:id="821" w:name="_Toc337558767"/>
      <w:r>
        <w:rPr>
          <w:rFonts w:hint="eastAsia"/>
          <w:color w:val="auto"/>
          <w:kern w:val="2"/>
          <w:sz w:val="21"/>
          <w:szCs w:val="21"/>
          <w:highlight w:val="none"/>
        </w:rPr>
        <w:t>. 工期和进度</w:t>
      </w:r>
      <w:bookmarkEnd w:id="818"/>
      <w:bookmarkEnd w:id="819"/>
      <w:bookmarkEnd w:id="820"/>
    </w:p>
    <w:bookmarkEnd w:id="821"/>
    <w:p>
      <w:pPr>
        <w:pStyle w:val="7"/>
        <w:spacing w:before="0" w:beforeAutospacing="0" w:after="0" w:afterAutospacing="0" w:line="360" w:lineRule="auto"/>
        <w:ind w:firstLine="422" w:firstLineChars="200"/>
        <w:rPr>
          <w:color w:val="auto"/>
          <w:sz w:val="21"/>
          <w:szCs w:val="21"/>
          <w:highlight w:val="none"/>
        </w:rPr>
      </w:pPr>
      <w:bookmarkStart w:id="822" w:name="_Toc351203543"/>
      <w:bookmarkStart w:id="823" w:name="_Toc532377229"/>
      <w:r>
        <w:rPr>
          <w:rFonts w:hint="eastAsia"/>
          <w:color w:val="auto"/>
          <w:sz w:val="21"/>
          <w:szCs w:val="21"/>
          <w:highlight w:val="none"/>
        </w:rPr>
        <w:t>7</w:t>
      </w:r>
      <w:bookmarkStart w:id="824" w:name="_Toc337558768"/>
      <w:bookmarkStart w:id="825" w:name="_Toc296503066"/>
      <w:bookmarkStart w:id="826" w:name="_Toc296346567"/>
      <w:r>
        <w:rPr>
          <w:rFonts w:hint="eastAsia"/>
          <w:color w:val="auto"/>
          <w:sz w:val="21"/>
          <w:szCs w:val="21"/>
          <w:highlight w:val="none"/>
        </w:rPr>
        <w:t>.1施工组织设计</w:t>
      </w:r>
      <w:bookmarkEnd w:id="822"/>
      <w:bookmarkEnd w:id="823"/>
    </w:p>
    <w:bookmarkEnd w:id="824"/>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7.1.1 施工组织设计的内容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施工组织设计应包含以下内容：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（1）施工方案； </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（2）施工现场平面布置图；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（3）施工进度计划和保证措施； </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（4）劳动力及材料供应计划；</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（5）施工机械设备的选用；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（6）质量保证体系及措施；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（7）安全生产、文明施工措施；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（8）环境保护、成本控制措施；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（9）合同当事人约定的其他内容。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7.1.2 施工组织设计的提交和修改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施工进度计划的编制和修改按照第7.2款〔施工进度计划〕执行。</w:t>
      </w:r>
    </w:p>
    <w:p>
      <w:pPr>
        <w:pStyle w:val="7"/>
        <w:spacing w:before="0" w:beforeAutospacing="0" w:after="0" w:afterAutospacing="0" w:line="360" w:lineRule="auto"/>
        <w:ind w:firstLine="422" w:firstLineChars="200"/>
        <w:rPr>
          <w:color w:val="auto"/>
          <w:sz w:val="21"/>
          <w:szCs w:val="21"/>
          <w:highlight w:val="none"/>
        </w:rPr>
      </w:pPr>
      <w:bookmarkStart w:id="827" w:name="_Toc532377230"/>
      <w:bookmarkStart w:id="828" w:name="_Toc351203544"/>
      <w:r>
        <w:rPr>
          <w:rFonts w:hint="eastAsia"/>
          <w:color w:val="auto"/>
          <w:sz w:val="21"/>
          <w:szCs w:val="21"/>
          <w:highlight w:val="none"/>
        </w:rPr>
        <w:t>7</w:t>
      </w:r>
      <w:bookmarkStart w:id="829" w:name="_Toc337558769"/>
      <w:r>
        <w:rPr>
          <w:rFonts w:hint="eastAsia"/>
          <w:color w:val="auto"/>
          <w:sz w:val="21"/>
          <w:szCs w:val="21"/>
          <w:highlight w:val="none"/>
        </w:rPr>
        <w:t>.2 施工进度计划</w:t>
      </w:r>
      <w:bookmarkEnd w:id="827"/>
      <w:bookmarkEnd w:id="828"/>
    </w:p>
    <w:bookmarkEnd w:id="829"/>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7.2.1 施工进度计划的编制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7.2.2 施工进度计划的修订</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0" w:beforeAutospacing="0" w:after="0" w:afterAutospacing="0" w:line="360" w:lineRule="auto"/>
        <w:ind w:firstLine="422" w:firstLineChars="200"/>
        <w:rPr>
          <w:color w:val="auto"/>
          <w:sz w:val="21"/>
          <w:szCs w:val="21"/>
          <w:highlight w:val="none"/>
        </w:rPr>
      </w:pPr>
      <w:bookmarkStart w:id="830" w:name="_Toc532377231"/>
      <w:bookmarkStart w:id="831" w:name="_Toc351203545"/>
      <w:r>
        <w:rPr>
          <w:rFonts w:hint="eastAsia"/>
          <w:color w:val="auto"/>
          <w:sz w:val="21"/>
          <w:szCs w:val="21"/>
          <w:highlight w:val="none"/>
        </w:rPr>
        <w:t>7</w:t>
      </w:r>
      <w:bookmarkStart w:id="832" w:name="_Toc337558770"/>
      <w:r>
        <w:rPr>
          <w:rFonts w:hint="eastAsia"/>
          <w:color w:val="auto"/>
          <w:sz w:val="21"/>
          <w:szCs w:val="21"/>
          <w:highlight w:val="none"/>
        </w:rPr>
        <w:t>.3 开工</w:t>
      </w:r>
      <w:bookmarkEnd w:id="830"/>
      <w:bookmarkEnd w:id="831"/>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7.3.1 开工准备</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除专用合同条款另有约定外，合同当事人应按约定完成开工准备工作。</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7.3.2 开工通知</w:t>
      </w:r>
    </w:p>
    <w:bookmarkEnd w:id="832"/>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0" w:beforeAutospacing="0" w:after="0" w:afterAutospacing="0" w:line="360" w:lineRule="auto"/>
        <w:ind w:firstLine="422" w:firstLineChars="200"/>
        <w:rPr>
          <w:color w:val="auto"/>
          <w:sz w:val="21"/>
          <w:szCs w:val="21"/>
          <w:highlight w:val="none"/>
        </w:rPr>
      </w:pPr>
      <w:bookmarkStart w:id="833" w:name="_Toc351203546"/>
      <w:bookmarkStart w:id="834" w:name="_Toc532377232"/>
      <w:r>
        <w:rPr>
          <w:rFonts w:hint="eastAsia"/>
          <w:color w:val="auto"/>
          <w:sz w:val="21"/>
          <w:szCs w:val="21"/>
          <w:highlight w:val="none"/>
        </w:rPr>
        <w:t>7.4测量放线</w:t>
      </w:r>
      <w:bookmarkEnd w:id="833"/>
      <w:bookmarkEnd w:id="834"/>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施工过程中对施工现场内水准点等测量标志物的保护工作由承包人负责。</w:t>
      </w:r>
      <w:bookmarkStart w:id="835" w:name="_Toc351203547"/>
    </w:p>
    <w:p>
      <w:pPr>
        <w:pStyle w:val="7"/>
        <w:spacing w:before="0" w:beforeAutospacing="0" w:after="0" w:afterAutospacing="0" w:line="360" w:lineRule="auto"/>
        <w:ind w:firstLine="422" w:firstLineChars="200"/>
        <w:rPr>
          <w:color w:val="auto"/>
          <w:sz w:val="21"/>
          <w:szCs w:val="21"/>
          <w:highlight w:val="none"/>
        </w:rPr>
      </w:pPr>
      <w:bookmarkStart w:id="836" w:name="_Toc532377233"/>
      <w:r>
        <w:rPr>
          <w:rFonts w:hint="eastAsia"/>
          <w:color w:val="auto"/>
          <w:sz w:val="21"/>
          <w:szCs w:val="21"/>
          <w:highlight w:val="none"/>
        </w:rPr>
        <w:t>7</w:t>
      </w:r>
      <w:bookmarkEnd w:id="825"/>
      <w:bookmarkEnd w:id="826"/>
      <w:bookmarkStart w:id="837" w:name="_Toc296346574"/>
      <w:bookmarkStart w:id="838" w:name="_Toc296503073"/>
      <w:bookmarkStart w:id="839" w:name="_Toc337558772"/>
      <w:r>
        <w:rPr>
          <w:rFonts w:hint="eastAsia"/>
          <w:color w:val="auto"/>
          <w:sz w:val="21"/>
          <w:szCs w:val="21"/>
          <w:highlight w:val="none"/>
        </w:rPr>
        <w:t>.5 工期延误</w:t>
      </w:r>
      <w:bookmarkEnd w:id="835"/>
      <w:bookmarkEnd w:id="836"/>
    </w:p>
    <w:bookmarkEnd w:id="837"/>
    <w:bookmarkEnd w:id="838"/>
    <w:bookmarkEnd w:id="839"/>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7.5.1 因发包人原因导致工期延误</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（1）发包人未能按合同约定提供图纸或所提供图纸不符合合同约定的；</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（2）发包人未能按合同约定提供施工现场、施工条件、基础资料、许可、批准等开工条件的；</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（3）发包人提供的测量基准点、基准线和水准点及其书面资料存在错误或疏漏的；</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（4）发包人未能在计划开工日期之日起7天内同意下达开工通知的；</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（5）发包人未能按合同约定日期支付工程预付款、进度款或竣工结算款的；</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（6）监理人未按合同约定发出指示、批准等文件的；</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（7）专用合同条款中约定的其他情形。</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7.5.2 因承包人原因导致工期延误</w:t>
      </w:r>
    </w:p>
    <w:p>
      <w:pPr>
        <w:autoSpaceDE w:val="0"/>
        <w:autoSpaceDN w:val="0"/>
        <w:spacing w:line="360" w:lineRule="auto"/>
        <w:ind w:firstLine="420" w:firstLineChars="200"/>
        <w:jc w:val="left"/>
        <w:rPr>
          <w:rFonts w:ascii="宋体" w:hAnsi="宋体"/>
          <w:color w:val="auto"/>
          <w:kern w:val="0"/>
          <w:szCs w:val="21"/>
          <w:highlight w:val="none"/>
        </w:rPr>
      </w:pPr>
      <w:bookmarkStart w:id="840" w:name="_Toc296503076"/>
      <w:bookmarkStart w:id="841" w:name="_Toc296346577"/>
      <w:r>
        <w:rPr>
          <w:rFonts w:hint="eastAsia" w:ascii="宋体" w:hAnsi="宋体"/>
          <w:color w:val="auto"/>
          <w:kern w:val="0"/>
          <w:szCs w:val="21"/>
          <w:highlight w:val="none"/>
        </w:rPr>
        <w:t>因</w:t>
      </w:r>
      <w:bookmarkEnd w:id="840"/>
      <w:bookmarkEnd w:id="841"/>
      <w:r>
        <w:rPr>
          <w:rFonts w:hint="eastAsia" w:ascii="宋体" w:hAnsi="宋体"/>
          <w:color w:val="auto"/>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0" w:beforeAutospacing="0" w:after="0" w:afterAutospacing="0" w:line="360" w:lineRule="auto"/>
        <w:ind w:firstLine="422" w:firstLineChars="200"/>
        <w:rPr>
          <w:color w:val="auto"/>
          <w:sz w:val="21"/>
          <w:szCs w:val="21"/>
          <w:highlight w:val="none"/>
        </w:rPr>
      </w:pPr>
      <w:bookmarkStart w:id="842" w:name="_Toc351203548"/>
      <w:bookmarkStart w:id="843" w:name="_Toc532377234"/>
      <w:r>
        <w:rPr>
          <w:rFonts w:hint="eastAsia"/>
          <w:color w:val="auto"/>
          <w:sz w:val="21"/>
          <w:szCs w:val="21"/>
          <w:highlight w:val="none"/>
        </w:rPr>
        <w:t>7</w:t>
      </w:r>
      <w:bookmarkStart w:id="844" w:name="_Toc296346575"/>
      <w:bookmarkStart w:id="845" w:name="_Toc337558773"/>
      <w:bookmarkStart w:id="846" w:name="_Toc296503074"/>
      <w:bookmarkStart w:id="847" w:name="_Toc296503077"/>
      <w:bookmarkStart w:id="848" w:name="_Toc296346578"/>
      <w:r>
        <w:rPr>
          <w:rFonts w:hint="eastAsia"/>
          <w:color w:val="auto"/>
          <w:sz w:val="21"/>
          <w:szCs w:val="21"/>
          <w:highlight w:val="none"/>
        </w:rPr>
        <w:t>.6 不利物质条件</w:t>
      </w:r>
      <w:bookmarkEnd w:id="842"/>
      <w:bookmarkEnd w:id="843"/>
    </w:p>
    <w:bookmarkEnd w:id="844"/>
    <w:bookmarkEnd w:id="845"/>
    <w:bookmarkEnd w:id="846"/>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0" w:beforeAutospacing="0" w:after="0" w:afterAutospacing="0" w:line="360" w:lineRule="auto"/>
        <w:ind w:firstLine="422" w:firstLineChars="200"/>
        <w:rPr>
          <w:color w:val="auto"/>
          <w:sz w:val="21"/>
          <w:szCs w:val="21"/>
          <w:highlight w:val="none"/>
        </w:rPr>
      </w:pPr>
      <w:bookmarkStart w:id="849" w:name="_Toc351203549"/>
      <w:bookmarkStart w:id="850" w:name="_Toc532377235"/>
      <w:r>
        <w:rPr>
          <w:rFonts w:hint="eastAsia"/>
          <w:color w:val="auto"/>
          <w:sz w:val="21"/>
          <w:szCs w:val="21"/>
          <w:highlight w:val="none"/>
        </w:rPr>
        <w:t>7</w:t>
      </w:r>
      <w:bookmarkStart w:id="851" w:name="_Toc337558774"/>
      <w:bookmarkStart w:id="852" w:name="_Toc296346576"/>
      <w:bookmarkStart w:id="853" w:name="_Toc296503075"/>
      <w:r>
        <w:rPr>
          <w:rFonts w:hint="eastAsia"/>
          <w:color w:val="auto"/>
          <w:sz w:val="21"/>
          <w:szCs w:val="21"/>
          <w:highlight w:val="none"/>
        </w:rPr>
        <w:t>.7 异常恶劣的气候条件</w:t>
      </w:r>
      <w:bookmarkEnd w:id="849"/>
      <w:bookmarkEnd w:id="850"/>
    </w:p>
    <w:bookmarkEnd w:id="851"/>
    <w:bookmarkEnd w:id="852"/>
    <w:bookmarkEnd w:id="853"/>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854" w:name="_Toc351203550"/>
    </w:p>
    <w:p>
      <w:pPr>
        <w:pStyle w:val="7"/>
        <w:spacing w:before="0" w:beforeAutospacing="0" w:after="0" w:afterAutospacing="0" w:line="360" w:lineRule="auto"/>
        <w:ind w:firstLine="422" w:firstLineChars="200"/>
        <w:rPr>
          <w:color w:val="auto"/>
          <w:sz w:val="21"/>
          <w:szCs w:val="21"/>
          <w:highlight w:val="none"/>
        </w:rPr>
      </w:pPr>
      <w:bookmarkStart w:id="855" w:name="_Toc532377236"/>
      <w:r>
        <w:rPr>
          <w:rFonts w:hint="eastAsia"/>
          <w:color w:val="auto"/>
          <w:sz w:val="21"/>
          <w:szCs w:val="21"/>
          <w:highlight w:val="none"/>
        </w:rPr>
        <w:t>7</w:t>
      </w:r>
      <w:bookmarkStart w:id="856" w:name="_Toc337558775"/>
      <w:r>
        <w:rPr>
          <w:rFonts w:hint="eastAsia"/>
          <w:color w:val="auto"/>
          <w:sz w:val="21"/>
          <w:szCs w:val="21"/>
          <w:highlight w:val="none"/>
        </w:rPr>
        <w:t>.8 暂停施工</w:t>
      </w:r>
      <w:bookmarkEnd w:id="854"/>
      <w:bookmarkEnd w:id="855"/>
    </w:p>
    <w:bookmarkEnd w:id="847"/>
    <w:bookmarkEnd w:id="848"/>
    <w:bookmarkEnd w:id="856"/>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7.8.1发包人原因引起的暂停施工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因发包人原因引起的暂停施工，发包人应承担由此增加的费用和（或）延误的工期，并支付承包人合理的利润。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7.8.2 承包人原因引起的暂停施工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7.8.3 指示暂停施工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监理人认为有必要时，并经发包人批准后，可向承包人作出暂停施工的指示，承包人应按监理人指示暂停施工。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7.8.4 紧急情况下的暂停施工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7.8.5 暂停施工后的复工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7.8.6 暂停施工持续56天以上</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7.8.7 暂停施工期间的工程照管</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暂停施工期间，承包人应负责妥善照管工程并提供安全保障，由此增加的费用由责任方承担。</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7.8.8 暂停施工的措施</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暂停施工期间，发包人和承包人均应采取必要的措施确保工程质量及安全，防止因暂停施工扩大损失。</w:t>
      </w:r>
    </w:p>
    <w:p>
      <w:pPr>
        <w:pStyle w:val="7"/>
        <w:spacing w:before="0" w:beforeAutospacing="0" w:after="0" w:afterAutospacing="0" w:line="360" w:lineRule="auto"/>
        <w:ind w:firstLine="422" w:firstLineChars="200"/>
        <w:rPr>
          <w:color w:val="auto"/>
          <w:sz w:val="21"/>
          <w:szCs w:val="21"/>
          <w:highlight w:val="none"/>
        </w:rPr>
      </w:pPr>
      <w:bookmarkStart w:id="857" w:name="_Toc351203551"/>
      <w:bookmarkStart w:id="858" w:name="_Toc532377237"/>
      <w:r>
        <w:rPr>
          <w:rFonts w:hint="eastAsia"/>
          <w:color w:val="auto"/>
          <w:sz w:val="21"/>
          <w:szCs w:val="21"/>
          <w:highlight w:val="none"/>
        </w:rPr>
        <w:t>7.9提前竣工</w:t>
      </w:r>
      <w:bookmarkEnd w:id="857"/>
      <w:bookmarkEnd w:id="858"/>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7.9.2 发包人要求承包人提前竣工，或承包人提出提前竣工的建议能够给发包人带来效益的，合同当事人可以在专用合同条款中约定提前竣工的奖励。</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59" w:name="_Toc532375594"/>
      <w:bookmarkStart w:id="860" w:name="_Toc351203552"/>
      <w:bookmarkStart w:id="861" w:name="_Toc532377238"/>
      <w:r>
        <w:rPr>
          <w:rFonts w:hint="eastAsia"/>
          <w:color w:val="auto"/>
          <w:kern w:val="2"/>
          <w:sz w:val="21"/>
          <w:szCs w:val="21"/>
          <w:highlight w:val="none"/>
        </w:rPr>
        <w:t>8</w:t>
      </w:r>
      <w:bookmarkStart w:id="862" w:name="_Toc337558776"/>
      <w:bookmarkStart w:id="863" w:name="_Toc296503058"/>
      <w:bookmarkStart w:id="864" w:name="_Toc296346559"/>
      <w:r>
        <w:rPr>
          <w:rFonts w:hint="eastAsia"/>
          <w:color w:val="auto"/>
          <w:kern w:val="2"/>
          <w:sz w:val="21"/>
          <w:szCs w:val="21"/>
          <w:highlight w:val="none"/>
        </w:rPr>
        <w:t>. 材料与设备</w:t>
      </w:r>
      <w:bookmarkEnd w:id="859"/>
      <w:bookmarkEnd w:id="860"/>
      <w:bookmarkEnd w:id="861"/>
    </w:p>
    <w:bookmarkEnd w:id="862"/>
    <w:bookmarkEnd w:id="863"/>
    <w:bookmarkEnd w:id="864"/>
    <w:p>
      <w:pPr>
        <w:pStyle w:val="7"/>
        <w:spacing w:before="0" w:beforeAutospacing="0" w:after="0" w:afterAutospacing="0" w:line="360" w:lineRule="auto"/>
        <w:ind w:firstLine="422" w:firstLineChars="200"/>
        <w:rPr>
          <w:color w:val="auto"/>
          <w:sz w:val="21"/>
          <w:szCs w:val="21"/>
          <w:highlight w:val="none"/>
        </w:rPr>
      </w:pPr>
      <w:bookmarkStart w:id="865" w:name="_Toc532377239"/>
      <w:bookmarkStart w:id="866" w:name="_Toc351203553"/>
      <w:r>
        <w:rPr>
          <w:rFonts w:hint="eastAsia"/>
          <w:color w:val="auto"/>
          <w:sz w:val="21"/>
          <w:szCs w:val="21"/>
          <w:highlight w:val="none"/>
        </w:rPr>
        <w:t>8</w:t>
      </w:r>
      <w:bookmarkStart w:id="867" w:name="_Toc296346560"/>
      <w:bookmarkStart w:id="868" w:name="_Toc296503059"/>
      <w:bookmarkStart w:id="869" w:name="_Toc337558777"/>
      <w:bookmarkStart w:id="870" w:name="_Toc468936960"/>
      <w:r>
        <w:rPr>
          <w:rFonts w:hint="eastAsia"/>
          <w:color w:val="auto"/>
          <w:sz w:val="21"/>
          <w:szCs w:val="21"/>
          <w:highlight w:val="none"/>
        </w:rPr>
        <w:t>.1发包人供应材料与工程设备</w:t>
      </w:r>
      <w:bookmarkEnd w:id="865"/>
      <w:bookmarkEnd w:id="866"/>
    </w:p>
    <w:bookmarkEnd w:id="867"/>
    <w:bookmarkEnd w:id="868"/>
    <w:bookmarkEnd w:id="869"/>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0" w:beforeAutospacing="0" w:after="0" w:afterAutospacing="0" w:line="360" w:lineRule="auto"/>
        <w:ind w:firstLine="422" w:firstLineChars="200"/>
        <w:rPr>
          <w:color w:val="auto"/>
          <w:sz w:val="21"/>
          <w:szCs w:val="21"/>
          <w:highlight w:val="none"/>
        </w:rPr>
      </w:pPr>
      <w:bookmarkStart w:id="871" w:name="_Toc532377240"/>
      <w:r>
        <w:rPr>
          <w:rFonts w:hint="eastAsia"/>
          <w:color w:val="auto"/>
          <w:sz w:val="21"/>
          <w:szCs w:val="21"/>
          <w:highlight w:val="none"/>
        </w:rPr>
        <w:t>8.2承包人采购材料与工程设备</w:t>
      </w:r>
      <w:bookmarkEnd w:id="871"/>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0" w:beforeAutospacing="0" w:after="0" w:afterAutospacing="0" w:line="360" w:lineRule="auto"/>
        <w:ind w:firstLine="422" w:firstLineChars="200"/>
        <w:rPr>
          <w:color w:val="auto"/>
          <w:sz w:val="21"/>
          <w:szCs w:val="21"/>
          <w:highlight w:val="none"/>
        </w:rPr>
      </w:pPr>
      <w:bookmarkStart w:id="872" w:name="_Toc532377241"/>
      <w:bookmarkStart w:id="873" w:name="_Toc351203555"/>
      <w:r>
        <w:rPr>
          <w:rFonts w:hint="eastAsia"/>
          <w:color w:val="auto"/>
          <w:sz w:val="21"/>
          <w:szCs w:val="21"/>
          <w:highlight w:val="none"/>
        </w:rPr>
        <w:t>8</w:t>
      </w:r>
      <w:bookmarkStart w:id="874" w:name="_Toc296346562"/>
      <w:bookmarkStart w:id="875" w:name="_Toc337558779"/>
      <w:bookmarkStart w:id="876" w:name="_Toc296503061"/>
      <w:r>
        <w:rPr>
          <w:rFonts w:hint="eastAsia"/>
          <w:color w:val="auto"/>
          <w:sz w:val="21"/>
          <w:szCs w:val="21"/>
          <w:highlight w:val="none"/>
        </w:rPr>
        <w:t>.3材料与工程设备的接收与拒收</w:t>
      </w:r>
      <w:bookmarkEnd w:id="872"/>
      <w:bookmarkEnd w:id="873"/>
    </w:p>
    <w:bookmarkEnd w:id="874"/>
    <w:bookmarkEnd w:id="875"/>
    <w:bookmarkEnd w:id="876"/>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发包人提供的材料和工程设备的规格、数量或质量不符合合同约定的，或因发包人原因导致交货日期延误或交货地点变更等情况的，按照第16.1款〔发包人违约〕约定办理。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8.3.2 承包人采购的材料和工程设备，应保证产品质量合格，承包人应在材料和工程设备到货前24小时通知监理人检验。承</w:t>
      </w:r>
      <w:bookmarkStart w:id="877" w:name="_Toc250655469"/>
      <w:r>
        <w:rPr>
          <w:rFonts w:hint="eastAsia" w:ascii="宋体" w:hAnsi="宋体"/>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877"/>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0" w:beforeAutospacing="0" w:after="0" w:afterAutospacing="0" w:line="360" w:lineRule="auto"/>
        <w:ind w:firstLine="422" w:firstLineChars="200"/>
        <w:rPr>
          <w:color w:val="auto"/>
          <w:sz w:val="21"/>
          <w:szCs w:val="21"/>
          <w:highlight w:val="none"/>
        </w:rPr>
      </w:pPr>
      <w:bookmarkStart w:id="878" w:name="_Toc532377242"/>
      <w:bookmarkStart w:id="879" w:name="_Toc351203556"/>
      <w:r>
        <w:rPr>
          <w:rFonts w:hint="eastAsia"/>
          <w:color w:val="auto"/>
          <w:sz w:val="21"/>
          <w:szCs w:val="21"/>
          <w:highlight w:val="none"/>
        </w:rPr>
        <w:t>8</w:t>
      </w:r>
      <w:bookmarkStart w:id="880" w:name="_Toc337558780"/>
      <w:bookmarkStart w:id="881" w:name="_Toc296346563"/>
      <w:bookmarkStart w:id="882" w:name="_Toc296503062"/>
      <w:r>
        <w:rPr>
          <w:rFonts w:hint="eastAsia"/>
          <w:color w:val="auto"/>
          <w:sz w:val="21"/>
          <w:szCs w:val="21"/>
          <w:highlight w:val="none"/>
        </w:rPr>
        <w:t>.4材料与工程设备的保管与使用</w:t>
      </w:r>
      <w:bookmarkEnd w:id="878"/>
      <w:bookmarkEnd w:id="879"/>
    </w:p>
    <w:bookmarkEnd w:id="880"/>
    <w:bookmarkEnd w:id="881"/>
    <w:bookmarkEnd w:id="882"/>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8.4.1 发包人供应材料与工程设备的保管与使用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发包人供应的材料和工程设备使用前，由承包人负责检验，检验费用由发包人承担，不合格的不得使用。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8.4.2 承包人采购材料与工程设备的保管与使用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pPr>
        <w:pStyle w:val="7"/>
        <w:spacing w:before="0" w:beforeAutospacing="0" w:after="0" w:afterAutospacing="0" w:line="360" w:lineRule="auto"/>
        <w:ind w:firstLine="422" w:firstLineChars="200"/>
        <w:rPr>
          <w:color w:val="auto"/>
          <w:sz w:val="21"/>
          <w:szCs w:val="21"/>
          <w:highlight w:val="none"/>
        </w:rPr>
      </w:pPr>
      <w:bookmarkStart w:id="883" w:name="_Toc532377243"/>
      <w:bookmarkStart w:id="884" w:name="_Toc351203557"/>
      <w:r>
        <w:rPr>
          <w:rFonts w:hint="eastAsia"/>
          <w:color w:val="auto"/>
          <w:sz w:val="21"/>
          <w:szCs w:val="21"/>
          <w:highlight w:val="none"/>
        </w:rPr>
        <w:t>8.5禁止使用不合格的材料和工程设备</w:t>
      </w:r>
      <w:bookmarkEnd w:id="883"/>
      <w:bookmarkEnd w:id="884"/>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8.5.2 监理人发现承包人使用了不合格的材料和工程设备，承包人应按照监理人的指示立即改正，并禁止在工程中继续使用不合格的材料和工程设备。</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8.5.3 发包人提供的材料或工程设备不符合合同要求的，承包人有权拒绝，并可要求发包人更换，由此增加的费用和（或）延误的工期由发包人承担，并支付承包人合理的利润。</w:t>
      </w:r>
    </w:p>
    <w:p>
      <w:pPr>
        <w:pStyle w:val="7"/>
        <w:spacing w:before="0" w:beforeAutospacing="0" w:after="0" w:afterAutospacing="0" w:line="360" w:lineRule="auto"/>
        <w:ind w:firstLine="422" w:firstLineChars="200"/>
        <w:rPr>
          <w:color w:val="auto"/>
          <w:sz w:val="21"/>
          <w:szCs w:val="21"/>
          <w:highlight w:val="none"/>
        </w:rPr>
      </w:pPr>
      <w:bookmarkStart w:id="885" w:name="_Toc532377244"/>
      <w:bookmarkStart w:id="886" w:name="_Toc351203558"/>
      <w:r>
        <w:rPr>
          <w:rFonts w:hint="eastAsia"/>
          <w:color w:val="auto"/>
          <w:sz w:val="21"/>
          <w:szCs w:val="21"/>
          <w:highlight w:val="none"/>
        </w:rPr>
        <w:t>8.6 样品</w:t>
      </w:r>
      <w:bookmarkEnd w:id="885"/>
      <w:bookmarkEnd w:id="886"/>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8.6.1</w:t>
      </w:r>
      <w:r>
        <w:rPr>
          <w:rFonts w:hint="eastAsia" w:ascii="宋体" w:hAnsi="宋体"/>
          <w:color w:val="auto"/>
          <w:kern w:val="0"/>
          <w:szCs w:val="21"/>
          <w:highlight w:val="none"/>
        </w:rPr>
        <w:tab/>
      </w:r>
      <w:r>
        <w:rPr>
          <w:rFonts w:hint="eastAsia" w:ascii="宋体" w:hAnsi="宋体"/>
          <w:color w:val="auto"/>
          <w:kern w:val="0"/>
          <w:szCs w:val="21"/>
          <w:highlight w:val="none"/>
        </w:rPr>
        <w:t>样品的报送与封存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需要承包人报送样品的材料或工程设备，样品的种类、名称、规格、数量等要求均应在专用合同条款中约定。样品的报送程序如下：</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（3）经发包人和监理人审批确认的样品应按约定的方法封样，封存的样品作为检验工程相关部分的标准之一。承包人在施工过程中不得使用与样品不符的材料或工程设备。</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8.6.2 样品的保管</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经批准的样品应由监理人负责封存于现场，承包人应在现场为保存样品提供适当和固定的场所并保持适当和良好的存储环境条件。</w:t>
      </w:r>
    </w:p>
    <w:p>
      <w:pPr>
        <w:pStyle w:val="7"/>
        <w:spacing w:before="0" w:beforeAutospacing="0" w:after="0" w:afterAutospacing="0" w:line="360" w:lineRule="auto"/>
        <w:ind w:firstLine="422" w:firstLineChars="200"/>
        <w:rPr>
          <w:color w:val="auto"/>
          <w:sz w:val="21"/>
          <w:szCs w:val="21"/>
          <w:highlight w:val="none"/>
        </w:rPr>
      </w:pPr>
      <w:bookmarkStart w:id="887" w:name="_Toc532377245"/>
      <w:bookmarkStart w:id="888" w:name="_Toc351203559"/>
      <w:r>
        <w:rPr>
          <w:rFonts w:hint="eastAsia"/>
          <w:color w:val="auto"/>
          <w:sz w:val="21"/>
          <w:szCs w:val="21"/>
          <w:highlight w:val="none"/>
        </w:rPr>
        <w:t>8.7材料与工程设备的替代</w:t>
      </w:r>
      <w:bookmarkEnd w:id="887"/>
      <w:bookmarkEnd w:id="888"/>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8.7.1 出现下列情况需要使用替代材料和工程设备的，承包人应按照第8.7.2项约定的程序执行：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（1）基准日期后生效的法律规定禁止使用的；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（2）发包人要求使用替代品的；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（3）因其他原因必须使用替代品的。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8.7.2 承包人应在使用替代材料和工程设备28天前书面通知监理人，并附下列文件：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（1）被替代的材料和工程设备的名称、数量、规格、型号、品牌、性能、价格及其他相关资料；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（2）替代品的名称、数量、规格、型号、品牌、性能、价格及其他相关资料；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（3）替代品与被替代产品之间的差异以及使用替代品可能对工程产生的影响；</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（4）替代品与被替代产品的价格差异；</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（5）使用替代品的理由和原因说明；</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（6）监理人要求的其他文件。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监理人应在收到通知后14天内向承包人发出经发包人签认的书面指示；监理人逾期发出书面指示的，视为发包人和监理人同意使用替代品。</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0" w:beforeAutospacing="0" w:after="0" w:afterAutospacing="0" w:line="360" w:lineRule="auto"/>
        <w:ind w:firstLine="422" w:firstLineChars="200"/>
        <w:rPr>
          <w:color w:val="auto"/>
          <w:sz w:val="21"/>
          <w:szCs w:val="21"/>
          <w:highlight w:val="none"/>
        </w:rPr>
      </w:pPr>
      <w:bookmarkStart w:id="889" w:name="_Toc532377246"/>
      <w:bookmarkStart w:id="890" w:name="_Toc351203560"/>
      <w:r>
        <w:rPr>
          <w:rFonts w:hint="eastAsia"/>
          <w:color w:val="auto"/>
          <w:sz w:val="21"/>
          <w:szCs w:val="21"/>
          <w:highlight w:val="none"/>
        </w:rPr>
        <w:t>8.8施工设备和临时设施</w:t>
      </w:r>
      <w:bookmarkEnd w:id="889"/>
      <w:bookmarkEnd w:id="890"/>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8.8.1 承包人提供的施工设备和临时设施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除专用合同条款另有约定外，承包人应自行承担修建临时设施的费用，需要临时占地的，应由发包人办理申请手续并承担相应费用。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8.8.2发包人提供的施工设备和临时设施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发包人提供的施工设备或临时设施在专用合同条款中约定。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8.8.3要求承包人增加或更换施工设备</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0" w:beforeAutospacing="0" w:after="0" w:afterAutospacing="0" w:line="360" w:lineRule="auto"/>
        <w:ind w:firstLine="422" w:firstLineChars="200"/>
        <w:rPr>
          <w:color w:val="auto"/>
          <w:sz w:val="21"/>
          <w:szCs w:val="21"/>
          <w:highlight w:val="none"/>
        </w:rPr>
      </w:pPr>
      <w:bookmarkStart w:id="891" w:name="_Toc351203561"/>
      <w:bookmarkStart w:id="892" w:name="_Toc532377247"/>
      <w:r>
        <w:rPr>
          <w:rFonts w:hint="eastAsia"/>
          <w:color w:val="auto"/>
          <w:sz w:val="21"/>
          <w:szCs w:val="21"/>
          <w:highlight w:val="none"/>
        </w:rPr>
        <w:t>8</w:t>
      </w:r>
      <w:bookmarkStart w:id="893" w:name="_Toc296503063"/>
      <w:bookmarkStart w:id="894" w:name="_Toc337558781"/>
      <w:bookmarkStart w:id="895" w:name="_Toc296346564"/>
      <w:r>
        <w:rPr>
          <w:rFonts w:hint="eastAsia"/>
          <w:color w:val="auto"/>
          <w:sz w:val="21"/>
          <w:szCs w:val="21"/>
          <w:highlight w:val="none"/>
        </w:rPr>
        <w:t>.9材料与设备专用</w:t>
      </w:r>
      <w:bookmarkEnd w:id="891"/>
      <w:r>
        <w:rPr>
          <w:rFonts w:hint="eastAsia"/>
          <w:color w:val="auto"/>
          <w:sz w:val="21"/>
          <w:szCs w:val="21"/>
          <w:highlight w:val="none"/>
        </w:rPr>
        <w:t>要求</w:t>
      </w:r>
      <w:bookmarkEnd w:id="892"/>
    </w:p>
    <w:bookmarkEnd w:id="893"/>
    <w:bookmarkEnd w:id="894"/>
    <w:bookmarkEnd w:id="895"/>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870"/>
      <w:r>
        <w:rPr>
          <w:rFonts w:hint="eastAsia" w:ascii="宋体" w:hAnsi="宋体"/>
          <w:color w:val="auto"/>
          <w:kern w:val="0"/>
          <w:szCs w:val="21"/>
          <w:highlight w:val="none"/>
        </w:rPr>
        <w:t>经发包人批准，承包人可以根据施工进度计划撤走闲置的施工设备和其他物品。</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96" w:name="_Toc532377248"/>
      <w:bookmarkStart w:id="897" w:name="_Toc532375595"/>
      <w:bookmarkStart w:id="898" w:name="_Toc351203562"/>
      <w:r>
        <w:rPr>
          <w:rFonts w:hint="eastAsia"/>
          <w:color w:val="auto"/>
          <w:kern w:val="2"/>
          <w:sz w:val="21"/>
          <w:szCs w:val="21"/>
          <w:highlight w:val="none"/>
        </w:rPr>
        <w:t>9</w:t>
      </w:r>
      <w:bookmarkStart w:id="899" w:name="_Toc337558782"/>
      <w:bookmarkStart w:id="900" w:name="_Toc296346584"/>
      <w:bookmarkStart w:id="901" w:name="_Toc296503083"/>
      <w:r>
        <w:rPr>
          <w:rFonts w:hint="eastAsia"/>
          <w:color w:val="auto"/>
          <w:kern w:val="2"/>
          <w:sz w:val="21"/>
          <w:szCs w:val="21"/>
          <w:highlight w:val="none"/>
        </w:rPr>
        <w:t>. 试验与检验</w:t>
      </w:r>
      <w:bookmarkEnd w:id="896"/>
      <w:bookmarkEnd w:id="897"/>
      <w:bookmarkEnd w:id="898"/>
    </w:p>
    <w:bookmarkEnd w:id="899"/>
    <w:p>
      <w:pPr>
        <w:pStyle w:val="7"/>
        <w:spacing w:before="0" w:beforeAutospacing="0" w:after="0" w:afterAutospacing="0" w:line="360" w:lineRule="auto"/>
        <w:ind w:firstLine="422" w:firstLineChars="200"/>
        <w:rPr>
          <w:color w:val="auto"/>
          <w:sz w:val="21"/>
          <w:szCs w:val="21"/>
          <w:highlight w:val="none"/>
        </w:rPr>
      </w:pPr>
      <w:bookmarkStart w:id="902" w:name="_Toc351203563"/>
      <w:bookmarkStart w:id="903" w:name="_Toc532377249"/>
      <w:r>
        <w:rPr>
          <w:rFonts w:hint="eastAsia"/>
          <w:color w:val="auto"/>
          <w:sz w:val="21"/>
          <w:szCs w:val="21"/>
          <w:highlight w:val="none"/>
        </w:rPr>
        <w:t>9</w:t>
      </w:r>
      <w:bookmarkStart w:id="904" w:name="_Toc337558783"/>
      <w:r>
        <w:rPr>
          <w:rFonts w:hint="eastAsia"/>
          <w:color w:val="auto"/>
          <w:sz w:val="21"/>
          <w:szCs w:val="21"/>
          <w:highlight w:val="none"/>
        </w:rPr>
        <w:t>.1试验设备与试验人员</w:t>
      </w:r>
      <w:bookmarkEnd w:id="902"/>
      <w:bookmarkEnd w:id="903"/>
    </w:p>
    <w:bookmarkEnd w:id="904"/>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9.1.2 承包人应按专用合同条款的约定提供试验设备、取样装置、试验场所和试验条件，并向监理人提交相应进场计划表。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pPr>
        <w:pStyle w:val="7"/>
        <w:spacing w:before="0" w:beforeAutospacing="0" w:after="0" w:afterAutospacing="0" w:line="360" w:lineRule="auto"/>
        <w:ind w:firstLine="422" w:firstLineChars="200"/>
        <w:rPr>
          <w:color w:val="auto"/>
          <w:sz w:val="21"/>
          <w:szCs w:val="21"/>
          <w:highlight w:val="none"/>
        </w:rPr>
      </w:pPr>
      <w:bookmarkStart w:id="905" w:name="_Toc351203564"/>
      <w:bookmarkStart w:id="906" w:name="_Toc532377250"/>
      <w:r>
        <w:rPr>
          <w:rFonts w:hint="eastAsia"/>
          <w:color w:val="auto"/>
          <w:sz w:val="21"/>
          <w:szCs w:val="21"/>
          <w:highlight w:val="none"/>
        </w:rPr>
        <w:t>9</w:t>
      </w:r>
      <w:bookmarkStart w:id="907" w:name="_Toc337558784"/>
      <w:r>
        <w:rPr>
          <w:rFonts w:hint="eastAsia"/>
          <w:color w:val="auto"/>
          <w:sz w:val="21"/>
          <w:szCs w:val="21"/>
          <w:highlight w:val="none"/>
        </w:rPr>
        <w:t>.2取样</w:t>
      </w:r>
      <w:bookmarkEnd w:id="905"/>
      <w:bookmarkEnd w:id="906"/>
    </w:p>
    <w:bookmarkEnd w:id="907"/>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试验属于自检性质的，承包人可以单独取样。试验属于监理人抽检性质的，可由监理人取样，也可由承包人的试验人员在监理人的监督下取样。</w:t>
      </w:r>
    </w:p>
    <w:p>
      <w:pPr>
        <w:pStyle w:val="7"/>
        <w:spacing w:before="0" w:beforeAutospacing="0" w:after="0" w:afterAutospacing="0" w:line="360" w:lineRule="auto"/>
        <w:ind w:firstLine="422" w:firstLineChars="200"/>
        <w:rPr>
          <w:color w:val="auto"/>
          <w:sz w:val="21"/>
          <w:szCs w:val="21"/>
          <w:highlight w:val="none"/>
        </w:rPr>
      </w:pPr>
      <w:bookmarkStart w:id="908" w:name="_Toc532377251"/>
      <w:bookmarkStart w:id="909" w:name="_Toc351203565"/>
      <w:r>
        <w:rPr>
          <w:rFonts w:hint="eastAsia"/>
          <w:color w:val="auto"/>
          <w:sz w:val="21"/>
          <w:szCs w:val="21"/>
          <w:highlight w:val="none"/>
        </w:rPr>
        <w:t>9</w:t>
      </w:r>
      <w:bookmarkStart w:id="910" w:name="_Toc337558785"/>
      <w:r>
        <w:rPr>
          <w:rFonts w:hint="eastAsia"/>
          <w:color w:val="auto"/>
          <w:sz w:val="21"/>
          <w:szCs w:val="21"/>
          <w:highlight w:val="none"/>
        </w:rPr>
        <w:t>.3材料、工程设备和工程的试验和检验</w:t>
      </w:r>
      <w:bookmarkEnd w:id="908"/>
      <w:bookmarkEnd w:id="909"/>
    </w:p>
    <w:bookmarkEnd w:id="910"/>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0" w:beforeAutospacing="0" w:after="0" w:afterAutospacing="0" w:line="360" w:lineRule="auto"/>
        <w:ind w:firstLine="422" w:firstLineChars="200"/>
        <w:rPr>
          <w:color w:val="auto"/>
          <w:sz w:val="21"/>
          <w:szCs w:val="21"/>
          <w:highlight w:val="none"/>
        </w:rPr>
      </w:pPr>
      <w:bookmarkStart w:id="911" w:name="_Toc532377252"/>
      <w:bookmarkStart w:id="912" w:name="_Toc351203566"/>
      <w:r>
        <w:rPr>
          <w:rFonts w:hint="eastAsia"/>
          <w:color w:val="auto"/>
          <w:sz w:val="21"/>
          <w:szCs w:val="21"/>
          <w:highlight w:val="none"/>
        </w:rPr>
        <w:t>9</w:t>
      </w:r>
      <w:bookmarkStart w:id="913" w:name="_Toc337558786"/>
      <w:r>
        <w:rPr>
          <w:rFonts w:hint="eastAsia"/>
          <w:color w:val="auto"/>
          <w:sz w:val="21"/>
          <w:szCs w:val="21"/>
          <w:highlight w:val="none"/>
        </w:rPr>
        <w:t>.4现场工艺试验</w:t>
      </w:r>
      <w:bookmarkEnd w:id="911"/>
      <w:bookmarkEnd w:id="912"/>
    </w:p>
    <w:bookmarkEnd w:id="913"/>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14" w:name="_Toc351203567"/>
      <w:bookmarkStart w:id="915" w:name="_Toc532375596"/>
      <w:bookmarkStart w:id="916" w:name="_Toc532377253"/>
      <w:r>
        <w:rPr>
          <w:rFonts w:hint="eastAsia"/>
          <w:color w:val="auto"/>
          <w:kern w:val="2"/>
          <w:sz w:val="21"/>
          <w:szCs w:val="21"/>
          <w:highlight w:val="none"/>
        </w:rPr>
        <w:t>1</w:t>
      </w:r>
      <w:bookmarkStart w:id="917" w:name="_Toc337558787"/>
      <w:r>
        <w:rPr>
          <w:rFonts w:hint="eastAsia"/>
          <w:color w:val="auto"/>
          <w:kern w:val="2"/>
          <w:sz w:val="21"/>
          <w:szCs w:val="21"/>
          <w:highlight w:val="none"/>
        </w:rPr>
        <w:t>0. 变更</w:t>
      </w:r>
      <w:bookmarkEnd w:id="900"/>
      <w:bookmarkEnd w:id="901"/>
      <w:bookmarkEnd w:id="914"/>
      <w:bookmarkEnd w:id="915"/>
      <w:bookmarkEnd w:id="916"/>
    </w:p>
    <w:bookmarkEnd w:id="917"/>
    <w:p>
      <w:pPr>
        <w:pStyle w:val="7"/>
        <w:spacing w:before="0" w:beforeAutospacing="0" w:after="0" w:afterAutospacing="0" w:line="360" w:lineRule="auto"/>
        <w:ind w:firstLine="422" w:firstLineChars="200"/>
        <w:rPr>
          <w:color w:val="auto"/>
          <w:sz w:val="21"/>
          <w:szCs w:val="21"/>
          <w:highlight w:val="none"/>
        </w:rPr>
      </w:pPr>
      <w:bookmarkStart w:id="918" w:name="_Toc351203568"/>
      <w:bookmarkStart w:id="919" w:name="_Toc532377254"/>
      <w:r>
        <w:rPr>
          <w:rFonts w:hint="eastAsia"/>
          <w:color w:val="auto"/>
          <w:sz w:val="21"/>
          <w:szCs w:val="21"/>
          <w:highlight w:val="none"/>
        </w:rPr>
        <w:t>1</w:t>
      </w:r>
      <w:bookmarkStart w:id="920" w:name="_Toc296346585"/>
      <w:bookmarkStart w:id="921" w:name="_Toc337558788"/>
      <w:bookmarkStart w:id="922" w:name="_Toc296503084"/>
      <w:r>
        <w:rPr>
          <w:rFonts w:hint="eastAsia"/>
          <w:color w:val="auto"/>
          <w:sz w:val="21"/>
          <w:szCs w:val="21"/>
          <w:highlight w:val="none"/>
        </w:rPr>
        <w:t>0.1变更的范围</w:t>
      </w:r>
      <w:bookmarkEnd w:id="918"/>
      <w:bookmarkEnd w:id="919"/>
    </w:p>
    <w:bookmarkEnd w:id="920"/>
    <w:bookmarkEnd w:id="921"/>
    <w:bookmarkEnd w:id="922"/>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除专用合同条款另有约定外，合同履行过程中发生以下情形的，应按照本条约定进行变更：</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（1）增加或减少合同中任何工作，或追加额外的工作；</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（2）取消合同中任何工作，但转由他人实施的工作除外；</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（3）改变合同中任何工作的质量标准或其他特性；</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（4）改变工程的基线、标高、位置和尺寸；</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（5）改变工程的时间安排或实施顺序。</w:t>
      </w:r>
    </w:p>
    <w:p>
      <w:pPr>
        <w:pStyle w:val="7"/>
        <w:spacing w:before="0" w:beforeAutospacing="0" w:after="0" w:afterAutospacing="0" w:line="360" w:lineRule="auto"/>
        <w:ind w:firstLine="422" w:firstLineChars="200"/>
        <w:rPr>
          <w:color w:val="auto"/>
          <w:sz w:val="21"/>
          <w:szCs w:val="21"/>
          <w:highlight w:val="none"/>
        </w:rPr>
      </w:pPr>
      <w:bookmarkStart w:id="923" w:name="_Toc532377255"/>
      <w:r>
        <w:rPr>
          <w:rFonts w:hint="eastAsia"/>
          <w:color w:val="auto"/>
          <w:sz w:val="21"/>
          <w:szCs w:val="21"/>
          <w:highlight w:val="none"/>
        </w:rPr>
        <w:t>10.2变更权</w:t>
      </w:r>
      <w:bookmarkEnd w:id="923"/>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涉及设计变更的，应由设计人提供变更后的图纸和说明。如变更超过原设计标准或批准的建设规模时，发包人应及时办理规划、设计变更等审批手续。</w:t>
      </w:r>
    </w:p>
    <w:p>
      <w:pPr>
        <w:pStyle w:val="7"/>
        <w:spacing w:before="0" w:beforeAutospacing="0" w:after="0" w:afterAutospacing="0" w:line="360" w:lineRule="auto"/>
        <w:ind w:firstLine="422" w:firstLineChars="200"/>
        <w:rPr>
          <w:color w:val="auto"/>
          <w:sz w:val="21"/>
          <w:szCs w:val="21"/>
          <w:highlight w:val="none"/>
        </w:rPr>
      </w:pPr>
      <w:bookmarkStart w:id="924" w:name="_Toc532377256"/>
      <w:r>
        <w:rPr>
          <w:rFonts w:hint="eastAsia"/>
          <w:color w:val="auto"/>
          <w:sz w:val="21"/>
          <w:szCs w:val="21"/>
          <w:highlight w:val="none"/>
        </w:rPr>
        <w:t>10.3变更程序</w:t>
      </w:r>
      <w:bookmarkEnd w:id="924"/>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10.3.1 发包人提出变更</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发包人提出变更的，应通过监理人向承包人发出变更指示，变更指示应说明计划变更的工程范围和变更的内容。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10.3.2 监理人提出变更建议</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10.3.3 变更执行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0" w:beforeAutospacing="0" w:after="0" w:afterAutospacing="0" w:line="360" w:lineRule="auto"/>
        <w:ind w:firstLine="422" w:firstLineChars="200"/>
        <w:rPr>
          <w:color w:val="auto"/>
          <w:sz w:val="21"/>
          <w:szCs w:val="21"/>
          <w:highlight w:val="none"/>
        </w:rPr>
      </w:pPr>
      <w:bookmarkStart w:id="925" w:name="_Toc532377257"/>
      <w:bookmarkStart w:id="926" w:name="_Toc351203571"/>
      <w:r>
        <w:rPr>
          <w:rFonts w:hint="eastAsia"/>
          <w:color w:val="auto"/>
          <w:sz w:val="21"/>
          <w:szCs w:val="21"/>
          <w:highlight w:val="none"/>
        </w:rPr>
        <w:t>1</w:t>
      </w:r>
      <w:bookmarkStart w:id="927" w:name="_Toc337558791"/>
      <w:bookmarkStart w:id="928" w:name="_Toc296346588"/>
      <w:bookmarkStart w:id="929" w:name="_Toc296503087"/>
      <w:r>
        <w:rPr>
          <w:rFonts w:hint="eastAsia"/>
          <w:color w:val="auto"/>
          <w:sz w:val="21"/>
          <w:szCs w:val="21"/>
          <w:highlight w:val="none"/>
        </w:rPr>
        <w:t>0.4变更估价</w:t>
      </w:r>
      <w:bookmarkEnd w:id="925"/>
      <w:bookmarkEnd w:id="926"/>
    </w:p>
    <w:bookmarkEnd w:id="927"/>
    <w:bookmarkEnd w:id="928"/>
    <w:bookmarkEnd w:id="929"/>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10.4.1 变更估价原则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除专用合同条款另有约定外，变更估价按照本款约定处理：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（1）已标价工程量清单或预算书有相同项目的，按照相同项目单价认定；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（2）已标价工程量清单或预算书中无相同项目，但有类似项目的，参照类似项目的单价认定；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10.4.2 变更估价程序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因变更引起的价格调整应计入最近一期的进度款中支付。</w:t>
      </w:r>
    </w:p>
    <w:p>
      <w:pPr>
        <w:pStyle w:val="7"/>
        <w:spacing w:before="0" w:beforeAutospacing="0" w:after="0" w:afterAutospacing="0" w:line="360" w:lineRule="auto"/>
        <w:ind w:firstLine="422" w:firstLineChars="200"/>
        <w:rPr>
          <w:color w:val="auto"/>
          <w:sz w:val="21"/>
          <w:szCs w:val="21"/>
          <w:highlight w:val="none"/>
        </w:rPr>
      </w:pPr>
      <w:bookmarkStart w:id="930" w:name="_Toc351203572"/>
      <w:bookmarkStart w:id="931" w:name="_Toc532377258"/>
      <w:r>
        <w:rPr>
          <w:rFonts w:hint="eastAsia"/>
          <w:color w:val="auto"/>
          <w:sz w:val="21"/>
          <w:szCs w:val="21"/>
          <w:highlight w:val="none"/>
        </w:rPr>
        <w:t>1</w:t>
      </w:r>
      <w:bookmarkStart w:id="932" w:name="_Toc296346595"/>
      <w:bookmarkStart w:id="933" w:name="_Toc337558792"/>
      <w:bookmarkStart w:id="934" w:name="_Toc296503094"/>
      <w:r>
        <w:rPr>
          <w:rFonts w:hint="eastAsia"/>
          <w:color w:val="auto"/>
          <w:sz w:val="21"/>
          <w:szCs w:val="21"/>
          <w:highlight w:val="none"/>
        </w:rPr>
        <w:t>0.5承包人的合理化建议</w:t>
      </w:r>
      <w:bookmarkEnd w:id="930"/>
      <w:bookmarkEnd w:id="931"/>
    </w:p>
    <w:bookmarkEnd w:id="932"/>
    <w:bookmarkEnd w:id="933"/>
    <w:bookmarkEnd w:id="934"/>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承包人提出合理化建议的，应向监理人提交合理化建议说明，说明建议的内容和理由，以及实施该建议对合同价格和工期的影响。</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合理化建议降低了合同价格或者提高了工程经济效益的，发包人可对承包人给予奖励，奖励的方法和金额在专用合同条款中约定。</w:t>
      </w:r>
    </w:p>
    <w:p>
      <w:pPr>
        <w:pStyle w:val="7"/>
        <w:spacing w:before="0" w:beforeAutospacing="0" w:after="0" w:afterAutospacing="0" w:line="360" w:lineRule="auto"/>
        <w:ind w:firstLine="422" w:firstLineChars="200"/>
        <w:rPr>
          <w:color w:val="auto"/>
          <w:sz w:val="21"/>
          <w:szCs w:val="21"/>
          <w:highlight w:val="none"/>
        </w:rPr>
      </w:pPr>
      <w:bookmarkStart w:id="935" w:name="_Toc351203573"/>
      <w:bookmarkStart w:id="936" w:name="_Toc532377259"/>
      <w:r>
        <w:rPr>
          <w:rFonts w:hint="eastAsia"/>
          <w:color w:val="auto"/>
          <w:sz w:val="21"/>
          <w:szCs w:val="21"/>
          <w:highlight w:val="none"/>
        </w:rPr>
        <w:t>1</w:t>
      </w:r>
      <w:bookmarkStart w:id="937" w:name="_Toc337558793"/>
      <w:r>
        <w:rPr>
          <w:rFonts w:hint="eastAsia"/>
          <w:color w:val="auto"/>
          <w:sz w:val="21"/>
          <w:szCs w:val="21"/>
          <w:highlight w:val="none"/>
        </w:rPr>
        <w:t>0.6变更引起的工期调整</w:t>
      </w:r>
      <w:bookmarkEnd w:id="935"/>
      <w:bookmarkEnd w:id="936"/>
      <w:bookmarkEnd w:id="937"/>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因变更引起工期变化的，合同当事人均可要求调整合同工期，由合同当事人按照第4.4款〔商定或确定〕并参考工程所在地的工期定额标准确定增减工期天数。</w:t>
      </w:r>
    </w:p>
    <w:p>
      <w:pPr>
        <w:pStyle w:val="7"/>
        <w:spacing w:before="0" w:beforeAutospacing="0" w:after="0" w:afterAutospacing="0" w:line="360" w:lineRule="auto"/>
        <w:ind w:firstLine="422" w:firstLineChars="200"/>
        <w:rPr>
          <w:color w:val="auto"/>
          <w:sz w:val="21"/>
          <w:szCs w:val="21"/>
          <w:highlight w:val="none"/>
        </w:rPr>
      </w:pPr>
      <w:bookmarkStart w:id="938" w:name="_Toc532377260"/>
      <w:bookmarkStart w:id="939" w:name="_Toc351203574"/>
      <w:r>
        <w:rPr>
          <w:rFonts w:hint="eastAsia"/>
          <w:color w:val="auto"/>
          <w:sz w:val="21"/>
          <w:szCs w:val="21"/>
          <w:highlight w:val="none"/>
        </w:rPr>
        <w:t>10.7暂估价</w:t>
      </w:r>
      <w:bookmarkEnd w:id="938"/>
      <w:bookmarkEnd w:id="939"/>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暂估价专业分包工程、服务、材料和工程设备的明细由合同当事人在专用合同条款中约定。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10.7.1 依法必须招标的暂估价项目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对于依法必须招标的暂估价项目，采取以下第1种方式确定。合同当事人也可以在专用合同条款中选择其他招标方式。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第1种方式：对于依法必须招标的暂估价项目，由承包人招标，对该暂估价项目的确认和批准按照以下约定执行：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10.7.2不属于依法必须招标的暂估价项目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除专用合同条款另有约定外，对于不属于依法必须招标的暂估价项目，采取以下第1种方式确定： </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第1种方式：对于不属于依法必须招标的暂估价项目，按本项约定确认和批准：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（3）承包人应当在签订暂估价合同后7天内，将暂估价合同副本报送发包人留存。</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第2种方式：承包人按照第10.7.1项〔依法必须招标的暂估价项目〕约定的第1种方式确定暂估价项目。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第3种方式：承包人直接实施的暂估价项目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0" w:beforeAutospacing="0" w:after="0" w:afterAutospacing="0" w:line="360" w:lineRule="auto"/>
        <w:ind w:firstLine="422" w:firstLineChars="200"/>
        <w:rPr>
          <w:color w:val="auto"/>
          <w:sz w:val="21"/>
          <w:szCs w:val="21"/>
          <w:highlight w:val="none"/>
        </w:rPr>
      </w:pPr>
      <w:bookmarkStart w:id="940" w:name="_Toc351203575"/>
      <w:bookmarkStart w:id="941" w:name="_Toc532377261"/>
      <w:r>
        <w:rPr>
          <w:rFonts w:hint="eastAsia"/>
          <w:color w:val="auto"/>
          <w:sz w:val="21"/>
          <w:szCs w:val="21"/>
          <w:highlight w:val="none"/>
        </w:rPr>
        <w:t>1</w:t>
      </w:r>
      <w:bookmarkStart w:id="942" w:name="_Toc337558794"/>
      <w:bookmarkStart w:id="943" w:name="_Toc322522561"/>
      <w:bookmarkStart w:id="944" w:name="_Toc296503090"/>
      <w:bookmarkStart w:id="945" w:name="_Toc296346591"/>
      <w:r>
        <w:rPr>
          <w:rFonts w:hint="eastAsia"/>
          <w:color w:val="auto"/>
          <w:sz w:val="21"/>
          <w:szCs w:val="21"/>
          <w:highlight w:val="none"/>
        </w:rPr>
        <w:t>0.8暂列金额</w:t>
      </w:r>
      <w:bookmarkEnd w:id="940"/>
      <w:bookmarkEnd w:id="941"/>
    </w:p>
    <w:bookmarkEnd w:id="942"/>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暂列金额应按照发包人的要求使用，发包人的要求应通过监理人发出。合同当事人可以在专用合同条款中协商确定有关事项。</w:t>
      </w:r>
    </w:p>
    <w:bookmarkEnd w:id="943"/>
    <w:bookmarkEnd w:id="944"/>
    <w:bookmarkEnd w:id="945"/>
    <w:p>
      <w:pPr>
        <w:pStyle w:val="7"/>
        <w:spacing w:before="0" w:beforeAutospacing="0" w:after="0" w:afterAutospacing="0" w:line="360" w:lineRule="auto"/>
        <w:ind w:firstLine="422" w:firstLineChars="200"/>
        <w:rPr>
          <w:color w:val="auto"/>
          <w:sz w:val="21"/>
          <w:szCs w:val="21"/>
          <w:highlight w:val="none"/>
        </w:rPr>
      </w:pPr>
      <w:bookmarkStart w:id="946" w:name="_Toc532377262"/>
      <w:bookmarkStart w:id="947" w:name="_Toc351203576"/>
      <w:r>
        <w:rPr>
          <w:rFonts w:hint="eastAsia"/>
          <w:color w:val="auto"/>
          <w:sz w:val="21"/>
          <w:szCs w:val="21"/>
          <w:highlight w:val="none"/>
        </w:rPr>
        <w:t>1</w:t>
      </w:r>
      <w:bookmarkStart w:id="948" w:name="_Toc296346592"/>
      <w:bookmarkStart w:id="949" w:name="_Toc296503091"/>
      <w:bookmarkStart w:id="950" w:name="_Toc337558796"/>
      <w:r>
        <w:rPr>
          <w:rFonts w:hint="eastAsia"/>
          <w:color w:val="auto"/>
          <w:sz w:val="21"/>
          <w:szCs w:val="21"/>
          <w:highlight w:val="none"/>
        </w:rPr>
        <w:t>0.9计日工</w:t>
      </w:r>
      <w:bookmarkEnd w:id="946"/>
      <w:bookmarkEnd w:id="947"/>
      <w:bookmarkEnd w:id="948"/>
      <w:bookmarkEnd w:id="949"/>
      <w:bookmarkEnd w:id="950"/>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采用计日工计价的任何一项工作，承包人应在该项工作实施过程中，每天提交以下报表和有关凭证报送监理人审查：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（1）工作名称、内容和数量；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（2）投入该工作的所有人员的姓名、专业、工种、级别和耗用工时；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（3）投入该工作的材料类别和数量；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（4）投入该工作的施工设备型号、台数和耗用台时；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（5）其他有关资料和凭证。</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 计日工由承包人汇总后，列入最近一期进度付款申请单，由监理人审查并经发包人批准后列入进度付款。</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51" w:name="_Toc532377263"/>
      <w:bookmarkStart w:id="952" w:name="_Toc532375597"/>
      <w:bookmarkStart w:id="953" w:name="_Toc351203577"/>
      <w:r>
        <w:rPr>
          <w:rFonts w:hint="eastAsia"/>
          <w:color w:val="auto"/>
          <w:kern w:val="2"/>
          <w:sz w:val="21"/>
          <w:szCs w:val="21"/>
          <w:highlight w:val="none"/>
        </w:rPr>
        <w:t>11. 价格调整</w:t>
      </w:r>
      <w:bookmarkEnd w:id="951"/>
      <w:bookmarkEnd w:id="952"/>
      <w:bookmarkEnd w:id="953"/>
    </w:p>
    <w:p>
      <w:pPr>
        <w:pStyle w:val="7"/>
        <w:spacing w:before="0" w:beforeAutospacing="0" w:after="0" w:afterAutospacing="0" w:line="360" w:lineRule="auto"/>
        <w:ind w:firstLine="422" w:firstLineChars="200"/>
        <w:rPr>
          <w:color w:val="auto"/>
          <w:sz w:val="21"/>
          <w:szCs w:val="21"/>
          <w:highlight w:val="none"/>
        </w:rPr>
      </w:pPr>
      <w:bookmarkStart w:id="954" w:name="_Toc532377264"/>
      <w:bookmarkStart w:id="955" w:name="_Toc351203578"/>
      <w:bookmarkStart w:id="956" w:name="_Toc337558797"/>
      <w:bookmarkStart w:id="957" w:name="_Toc296346593"/>
      <w:bookmarkStart w:id="958" w:name="_Toc296503092"/>
      <w:r>
        <w:rPr>
          <w:rFonts w:hint="eastAsia"/>
          <w:color w:val="auto"/>
          <w:sz w:val="21"/>
          <w:szCs w:val="21"/>
          <w:highlight w:val="none"/>
        </w:rPr>
        <w:t>11.1市场价格波动引起的调整</w:t>
      </w:r>
      <w:bookmarkEnd w:id="954"/>
      <w:bookmarkEnd w:id="955"/>
    </w:p>
    <w:bookmarkEnd w:id="956"/>
    <w:bookmarkEnd w:id="957"/>
    <w:bookmarkEnd w:id="958"/>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第1种方式：采用价格指数进行价格调整。</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（1）价格调整公式</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5" o:spt="75" type="#_x0000_t75" style="height:43pt;width:360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p>
      <w:pPr>
        <w:tabs>
          <w:tab w:val="left" w:pos="0"/>
          <w:tab w:val="left" w:pos="360"/>
          <w:tab w:val="left" w:pos="540"/>
        </w:tabs>
        <w:spacing w:line="360" w:lineRule="auto"/>
        <w:ind w:firstLine="200"/>
        <w:jc w:val="left"/>
        <w:rPr>
          <w:rFonts w:ascii="宋体" w:hAnsi="宋体"/>
          <w:color w:val="auto"/>
          <w:kern w:val="0"/>
          <w:szCs w:val="21"/>
          <w:highlight w:val="none"/>
        </w:rPr>
      </w:pPr>
      <w:r>
        <w:rPr>
          <w:rFonts w:hint="eastAsia" w:ascii="宋体" w:hAnsi="宋体"/>
          <w:color w:val="auto"/>
          <w:kern w:val="0"/>
          <w:szCs w:val="21"/>
          <w:highlight w:val="none"/>
        </w:rPr>
        <w:t>公式中：ΔP——需调整的价格差额；</w:t>
      </w:r>
    </w:p>
    <w:p>
      <w:pPr>
        <w:tabs>
          <w:tab w:val="left" w:pos="0"/>
          <w:tab w:val="left" w:pos="360"/>
          <w:tab w:val="left" w:pos="540"/>
        </w:tabs>
        <w:spacing w:line="360" w:lineRule="auto"/>
        <w:ind w:firstLine="1260" w:firstLineChars="600"/>
        <w:jc w:val="left"/>
        <w:rPr>
          <w:rFonts w:ascii="宋体" w:hAnsi="宋体"/>
          <w:color w:val="auto"/>
          <w:kern w:val="0"/>
          <w:szCs w:val="21"/>
          <w:highlight w:val="none"/>
        </w:rPr>
      </w:pPr>
      <w:r>
        <w:rPr>
          <w:rFonts w:hint="eastAsia" w:ascii="宋体" w:hAnsi="宋体"/>
          <w:color w:val="auto"/>
          <w:kern w:val="0"/>
          <w:szCs w:val="21"/>
          <w:highlight w:val="none"/>
        </w:rPr>
        <w:object>
          <v:shape id="_x0000_i1026" o:spt="75" type="#_x0000_t75" style="height:18.5pt;width:18.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ascii="宋体" w:hAnsi="宋体"/>
          <w:color w:val="auto"/>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A——定值权重（即不调部分的权重）；</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7" o:spt="75" type="#_x0000_t75" style="height:22pt;width:100.5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eastAsia" w:ascii="宋体" w:hAnsi="宋体"/>
          <w:color w:val="auto"/>
          <w:kern w:val="0"/>
          <w:szCs w:val="21"/>
          <w:highlight w:val="none"/>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8" o:spt="75" type="#_x0000_t75" style="height:22pt;width:101.45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r>
        <w:rPr>
          <w:rFonts w:hint="eastAsia" w:ascii="宋体" w:hAnsi="宋体"/>
          <w:color w:val="auto"/>
          <w:kern w:val="0"/>
          <w:szCs w:val="21"/>
          <w:highlight w:val="none"/>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object>
          <v:shape id="_x0000_i1029" o:spt="75" type="#_x0000_t75" style="height:22pt;width:109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29" r:id="rId21">
            <o:LockedField>false</o:LockedField>
          </o:OLEObject>
        </w:object>
      </w:r>
      <w:r>
        <w:rPr>
          <w:rFonts w:hint="eastAsia" w:ascii="宋体" w:hAnsi="宋体"/>
          <w:color w:val="auto"/>
          <w:kern w:val="0"/>
          <w:szCs w:val="21"/>
          <w:highlight w:val="none"/>
        </w:rPr>
        <w:t>——各可调因子的基本价格指数，指基准日期的各可调因子的价格指数。</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（2）暂时确定调整差额</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（3）权重的调整</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因变更导致合同约定的权重不合理时，按照第4.4款〔商定或确定〕执行。</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（4）因承包人原因工期延误后的价格调整</w:t>
      </w:r>
    </w:p>
    <w:p>
      <w:pPr>
        <w:tabs>
          <w:tab w:val="left" w:pos="0"/>
          <w:tab w:val="left" w:pos="360"/>
          <w:tab w:val="left" w:pos="540"/>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第2种方式：采用造价信息进行价格调整。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（2）材料、工程设备价格变化的价款调整按照发包人提供的基准价格，按以下风险范围规定执行：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jc w:val="left"/>
        <w:rPr>
          <w:rFonts w:ascii="宋体" w:hAnsi="宋体"/>
          <w:color w:val="auto"/>
          <w:kern w:val="0"/>
          <w:szCs w:val="21"/>
          <w:highlight w:val="none"/>
        </w:rPr>
      </w:pPr>
      <w:bookmarkStart w:id="959" w:name="OLE_LINK3"/>
      <w:r>
        <w:rPr>
          <w:rFonts w:hint="eastAsia" w:ascii="宋体" w:hAnsi="宋体"/>
          <w:color w:val="auto"/>
          <w:kern w:val="0"/>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（3）施工机械台班单价或施工机械使用费发生变化超过省级或行业建设主管部门或其授权的工程造价管理机构规定的范围时，按规定调整合同价格。</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第3种方式：专用合同条款约定的其他方式。</w:t>
      </w:r>
    </w:p>
    <w:p>
      <w:pPr>
        <w:pStyle w:val="7"/>
        <w:spacing w:before="0" w:beforeAutospacing="0" w:after="0" w:afterAutospacing="0" w:line="360" w:lineRule="auto"/>
        <w:ind w:firstLine="422" w:firstLineChars="200"/>
        <w:rPr>
          <w:color w:val="auto"/>
          <w:sz w:val="21"/>
          <w:szCs w:val="21"/>
          <w:highlight w:val="none"/>
        </w:rPr>
      </w:pPr>
      <w:bookmarkStart w:id="960" w:name="_Toc351203579"/>
      <w:bookmarkStart w:id="961" w:name="_Toc532377265"/>
      <w:bookmarkStart w:id="962" w:name="_Toc337558798"/>
      <w:bookmarkStart w:id="963" w:name="_Toc296503093"/>
      <w:bookmarkStart w:id="964" w:name="_Toc296346594"/>
      <w:r>
        <w:rPr>
          <w:rFonts w:hint="eastAsia"/>
          <w:color w:val="auto"/>
          <w:sz w:val="21"/>
          <w:szCs w:val="21"/>
          <w:highlight w:val="none"/>
        </w:rPr>
        <w:t>11.2法律变化引起的调整</w:t>
      </w:r>
      <w:bookmarkEnd w:id="960"/>
      <w:bookmarkEnd w:id="961"/>
    </w:p>
    <w:bookmarkEnd w:id="962"/>
    <w:bookmarkEnd w:id="963"/>
    <w:bookmarkEnd w:id="964"/>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因法律变化引起的合同价格和工期调整，合同当事人无法达成一致的，由总监理工程师按第4.4款〔商定或确定〕的约定处理。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因承包人原因造成工期延误，在工期延误期间出现法律变化的，由此增加的费用和（或）延误的工期由承包人承担。</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65" w:name="_Toc351203580"/>
      <w:bookmarkStart w:id="966" w:name="_Toc532375598"/>
      <w:bookmarkStart w:id="967" w:name="_Toc532377266"/>
      <w:bookmarkStart w:id="968" w:name="_Toc337558799"/>
      <w:bookmarkStart w:id="969" w:name="_Toc296503096"/>
      <w:bookmarkStart w:id="970" w:name="_Toc296346597"/>
      <w:r>
        <w:rPr>
          <w:rFonts w:hint="eastAsia"/>
          <w:color w:val="auto"/>
          <w:kern w:val="2"/>
          <w:sz w:val="21"/>
          <w:szCs w:val="21"/>
          <w:highlight w:val="none"/>
        </w:rPr>
        <w:t>12. 合同价格、计量与支付</w:t>
      </w:r>
      <w:bookmarkEnd w:id="965"/>
      <w:bookmarkEnd w:id="966"/>
      <w:bookmarkEnd w:id="967"/>
    </w:p>
    <w:bookmarkEnd w:id="968"/>
    <w:p>
      <w:pPr>
        <w:pStyle w:val="7"/>
        <w:spacing w:before="0" w:beforeAutospacing="0" w:after="0" w:afterAutospacing="0" w:line="360" w:lineRule="auto"/>
        <w:ind w:firstLine="422" w:firstLineChars="200"/>
        <w:rPr>
          <w:color w:val="auto"/>
          <w:sz w:val="21"/>
          <w:szCs w:val="21"/>
          <w:highlight w:val="none"/>
        </w:rPr>
      </w:pPr>
      <w:bookmarkStart w:id="971" w:name="_Toc351203581"/>
      <w:bookmarkStart w:id="972" w:name="_Toc532377267"/>
      <w:bookmarkStart w:id="973" w:name="_Toc337558800"/>
      <w:r>
        <w:rPr>
          <w:rFonts w:hint="eastAsia"/>
          <w:color w:val="auto"/>
          <w:sz w:val="21"/>
          <w:szCs w:val="21"/>
          <w:highlight w:val="none"/>
        </w:rPr>
        <w:t>12.1 合同价</w:t>
      </w:r>
      <w:bookmarkEnd w:id="969"/>
      <w:bookmarkEnd w:id="970"/>
      <w:r>
        <w:rPr>
          <w:rFonts w:hint="eastAsia"/>
          <w:color w:val="auto"/>
          <w:sz w:val="21"/>
          <w:szCs w:val="21"/>
          <w:highlight w:val="none"/>
        </w:rPr>
        <w:t>格形式</w:t>
      </w:r>
      <w:bookmarkEnd w:id="971"/>
      <w:bookmarkEnd w:id="972"/>
    </w:p>
    <w:bookmarkEnd w:id="973"/>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发包人和承包人应在合同协议书中选择下列一种合同价格形式： </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1.单价合同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pStyle w:val="7"/>
        <w:spacing w:before="0" w:beforeAutospacing="0" w:after="0" w:afterAutospacing="0" w:line="360" w:lineRule="auto"/>
        <w:ind w:firstLine="420" w:firstLineChars="200"/>
        <w:rPr>
          <w:b w:val="0"/>
          <w:color w:val="auto"/>
          <w:sz w:val="21"/>
          <w:szCs w:val="21"/>
          <w:highlight w:val="none"/>
        </w:rPr>
      </w:pPr>
      <w:bookmarkStart w:id="974" w:name="_Toc532377268"/>
      <w:r>
        <w:rPr>
          <w:rFonts w:hint="eastAsia"/>
          <w:b w:val="0"/>
          <w:color w:val="auto"/>
          <w:sz w:val="21"/>
          <w:szCs w:val="21"/>
          <w:highlight w:val="none"/>
        </w:rPr>
        <w:t>2.总价合同</w:t>
      </w:r>
      <w:bookmarkEnd w:id="974"/>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7"/>
        <w:spacing w:before="0" w:beforeAutospacing="0" w:after="0" w:afterAutospacing="0" w:line="360" w:lineRule="auto"/>
        <w:ind w:firstLine="420" w:firstLineChars="200"/>
        <w:rPr>
          <w:b w:val="0"/>
          <w:color w:val="auto"/>
          <w:sz w:val="21"/>
          <w:szCs w:val="21"/>
          <w:highlight w:val="none"/>
        </w:rPr>
      </w:pPr>
      <w:bookmarkStart w:id="975" w:name="_Toc532377269"/>
      <w:r>
        <w:rPr>
          <w:rFonts w:hint="eastAsia"/>
          <w:b w:val="0"/>
          <w:color w:val="auto"/>
          <w:sz w:val="21"/>
          <w:szCs w:val="21"/>
          <w:highlight w:val="none"/>
        </w:rPr>
        <w:t>3.其它价格形式</w:t>
      </w:r>
      <w:bookmarkEnd w:id="975"/>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合同当事人可在专用合同条款中约定其他合同价格形式。</w:t>
      </w:r>
    </w:p>
    <w:p>
      <w:pPr>
        <w:pStyle w:val="7"/>
        <w:spacing w:before="0" w:beforeAutospacing="0" w:after="0" w:afterAutospacing="0" w:line="360" w:lineRule="auto"/>
        <w:ind w:firstLine="422" w:firstLineChars="200"/>
        <w:rPr>
          <w:color w:val="auto"/>
          <w:sz w:val="21"/>
          <w:szCs w:val="21"/>
          <w:highlight w:val="none"/>
        </w:rPr>
      </w:pPr>
      <w:bookmarkStart w:id="976" w:name="_Toc296503097"/>
      <w:bookmarkStart w:id="977" w:name="_Toc296346598"/>
      <w:bookmarkStart w:id="978" w:name="_Toc532377270"/>
      <w:bookmarkStart w:id="979" w:name="_Toc351203582"/>
      <w:bookmarkStart w:id="980" w:name="_Toc337558801"/>
      <w:r>
        <w:rPr>
          <w:rFonts w:hint="eastAsia"/>
          <w:color w:val="auto"/>
          <w:sz w:val="21"/>
          <w:szCs w:val="21"/>
          <w:highlight w:val="none"/>
        </w:rPr>
        <w:t>12.2预</w:t>
      </w:r>
      <w:bookmarkEnd w:id="976"/>
      <w:bookmarkEnd w:id="977"/>
      <w:bookmarkStart w:id="981" w:name="_Toc296503100"/>
      <w:bookmarkStart w:id="982" w:name="_Toc296346601"/>
      <w:r>
        <w:rPr>
          <w:rFonts w:hint="eastAsia"/>
          <w:color w:val="auto"/>
          <w:sz w:val="21"/>
          <w:szCs w:val="21"/>
          <w:highlight w:val="none"/>
        </w:rPr>
        <w:t>付款</w:t>
      </w:r>
      <w:bookmarkEnd w:id="978"/>
      <w:bookmarkEnd w:id="979"/>
    </w:p>
    <w:bookmarkEnd w:id="980"/>
    <w:bookmarkEnd w:id="981"/>
    <w:bookmarkEnd w:id="982"/>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12.2.1预付款的支付</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除专用合同条款另有约定外，预付款在进度付款中同比例扣回。</w:t>
      </w:r>
      <w:bookmarkEnd w:id="959"/>
      <w:r>
        <w:rPr>
          <w:rFonts w:hint="eastAsia" w:ascii="宋体" w:hAnsi="宋体"/>
          <w:color w:val="auto"/>
          <w:kern w:val="0"/>
          <w:szCs w:val="21"/>
          <w:highlight w:val="none"/>
        </w:rPr>
        <w:t>在颁发工程接收证书前，提前解除合同的，尚未扣完的预付款应与合同价款一并结算。</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12.2.2 预付款担保</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发包人在工程款中逐期扣回预付款后，预付款担保额度应相应减少，但剩余的预付款担保金额不得低于未被扣回的预付款金额。</w:t>
      </w:r>
    </w:p>
    <w:p>
      <w:pPr>
        <w:pStyle w:val="7"/>
        <w:spacing w:before="0" w:beforeAutospacing="0" w:after="0" w:afterAutospacing="0" w:line="360" w:lineRule="auto"/>
        <w:ind w:firstLine="422" w:firstLineChars="200"/>
        <w:rPr>
          <w:color w:val="auto"/>
          <w:sz w:val="21"/>
          <w:szCs w:val="21"/>
          <w:highlight w:val="none"/>
        </w:rPr>
      </w:pPr>
      <w:bookmarkStart w:id="983" w:name="_Toc351203583"/>
      <w:bookmarkStart w:id="984" w:name="_Toc532377271"/>
      <w:bookmarkStart w:id="985" w:name="_Toc337558802"/>
      <w:r>
        <w:rPr>
          <w:rFonts w:hint="eastAsia"/>
          <w:color w:val="auto"/>
          <w:sz w:val="21"/>
          <w:szCs w:val="21"/>
          <w:highlight w:val="none"/>
        </w:rPr>
        <w:t>12.3计量</w:t>
      </w:r>
      <w:bookmarkEnd w:id="983"/>
      <w:bookmarkEnd w:id="984"/>
    </w:p>
    <w:bookmarkEnd w:id="985"/>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12.3.1 计量原则</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12.3.2 计量周期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除专用合同条款另有约定外，工程量的计量按月进行。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12.3.3 单价合同的计量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除专用合同条款另有约定外，单价合同的计量按照本项约定执行：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（3）监理人未在收到承包人提交的工程量报表后的7天内完成审核的，承包人报送的工程量报告中的工程量视为承包人实际完成的工程量，据此计算工程价款。</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12.3.4 总价合同的计量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除专用合同条款另有约定外，按月计量支付的总价合同，按照本项约定执行：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（3）监理人未在收到承包人提交的工程量报表后的7天内完成复核的，承包人提交的工程量报告中的工程量视为承包人实际完成的工程量。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12.3.5 总价合同采用支付分解表计量支付的，可以按照第12.3.4项〔总价合同的计量〕约定进行计量，但合同价款按照支付分解表进行支付。</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12.3.6 其他价格形式合同的计量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合同当事人可在专用合同条款中约定其他价格形式合同的计量方式和程序。</w:t>
      </w:r>
    </w:p>
    <w:p>
      <w:pPr>
        <w:pStyle w:val="7"/>
        <w:spacing w:before="0" w:beforeAutospacing="0" w:after="0" w:afterAutospacing="0" w:line="360" w:lineRule="auto"/>
        <w:ind w:firstLine="422" w:firstLineChars="200"/>
        <w:rPr>
          <w:color w:val="auto"/>
          <w:sz w:val="21"/>
          <w:szCs w:val="21"/>
          <w:highlight w:val="none"/>
        </w:rPr>
      </w:pPr>
      <w:bookmarkStart w:id="986" w:name="_Toc296503101"/>
      <w:bookmarkStart w:id="987" w:name="_Toc296346602"/>
      <w:bookmarkStart w:id="988" w:name="_Toc351203584"/>
      <w:bookmarkStart w:id="989" w:name="_Toc532377272"/>
      <w:bookmarkStart w:id="990" w:name="_Toc337558803"/>
      <w:r>
        <w:rPr>
          <w:rFonts w:hint="eastAsia"/>
          <w:color w:val="auto"/>
          <w:sz w:val="21"/>
          <w:szCs w:val="21"/>
          <w:highlight w:val="none"/>
        </w:rPr>
        <w:t>12.4工程进度款支</w:t>
      </w:r>
      <w:bookmarkEnd w:id="986"/>
      <w:bookmarkEnd w:id="987"/>
      <w:r>
        <w:rPr>
          <w:rFonts w:hint="eastAsia"/>
          <w:color w:val="auto"/>
          <w:sz w:val="21"/>
          <w:szCs w:val="21"/>
          <w:highlight w:val="none"/>
        </w:rPr>
        <w:t>付</w:t>
      </w:r>
      <w:bookmarkEnd w:id="988"/>
      <w:bookmarkEnd w:id="989"/>
    </w:p>
    <w:bookmarkEnd w:id="990"/>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12.4.1 付款周期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除专用合同条款另有约定外，付款周期应按照第12.3.2项〔计量周期〕的约定与计量周期保持一致。</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12.4.2 进度付款申请单的编制</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除专用合同条款另有约定外，进度付款申请单应包括下列内容：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（1）截至本次付款周期已完成工作对应的金额；</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（2）根据第10条〔变更〕应增加和扣减的变更金额；</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（3）根据第12.2款〔预付款〕约定应支付的预付款和扣减的返还预付款；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（4）根据第15.3款〔质量保证金〕约定应扣减的质量保证金；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（5）根据第19条〔索赔〕应增加和扣减的索赔金额；</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（6）对已签发的进度款支付证书中出现错误的修正，应在本次进度付款中支付或扣除的金额；</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（7）根据合同约定应增加和扣减的其他金额。</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12.4.3 进度付款申请单的提交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（1）单价合同进度付款申请单的提交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（2）总价合同进度付款申请单的提交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总价合同按月计量支付的，承包人按照第12.3.4项〔总价合同的计量〕约定的时间按月向监理人提交进度付款申请单，并附上已完成工程量报表和有关资料。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总价合同按支付分解表支付的，承包人应按照第12.4.6项〔支付分解表〕及第12.4.2项〔进度付款申请单的编制〕的约定向监理人提交进度付款申请单。</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（3）其他价格形式合同的进度付款申请单的提交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合同当事人可在专用合同条款中约定其他价格形式合同的进度付款申请单的编制和提交程序。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12.4.4 进度款审核和支付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（3）发包人签发进度款支付证书或临时进度款支付证书，不表明发包人已同意、批准或接受了承包人完成的相应部分的工作。</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12.4.5 进度付款的修正</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12.4.6 支付分解表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1.支付分解表的编制要求</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（1）支付分解表中所列的每期付款金额，应为第12.4.2项〔进度付款申请单的编制〕第（1）目的估算金额；</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（2）实际进度与施工进度计划不一致的，合同当事人可按照第4.4款〔商定或确定〕修改支付分解表；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（3）不采用支付分解表的，承包人应向发包人和监理人提交按季度编制的支付估算分解表，用于支付参考。</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2.总价合同支付分解表的编制与审批</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3.单价合同的总价项目支付分解表的编制与审批</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0" w:beforeAutospacing="0" w:after="0" w:afterAutospacing="0" w:line="360" w:lineRule="auto"/>
        <w:ind w:firstLine="422" w:firstLineChars="200"/>
        <w:rPr>
          <w:color w:val="auto"/>
          <w:sz w:val="21"/>
          <w:szCs w:val="21"/>
          <w:highlight w:val="none"/>
        </w:rPr>
      </w:pPr>
      <w:bookmarkStart w:id="991" w:name="_Toc532377273"/>
      <w:r>
        <w:rPr>
          <w:rFonts w:hint="eastAsia"/>
          <w:color w:val="auto"/>
          <w:sz w:val="21"/>
          <w:szCs w:val="21"/>
          <w:highlight w:val="none"/>
        </w:rPr>
        <w:t>12.5支付账户</w:t>
      </w:r>
      <w:bookmarkEnd w:id="991"/>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发包人应将合同价款支付至合同协议书中约定的承包人账户。</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92" w:name="_Toc351203586"/>
      <w:bookmarkStart w:id="993" w:name="_Toc532377274"/>
      <w:bookmarkStart w:id="994" w:name="_Toc532375599"/>
      <w:bookmarkStart w:id="995" w:name="_Toc337558804"/>
      <w:bookmarkStart w:id="996" w:name="_Toc296346607"/>
      <w:bookmarkStart w:id="997" w:name="_Toc296503106"/>
      <w:bookmarkStart w:id="998" w:name="_Toc322522574"/>
      <w:r>
        <w:rPr>
          <w:rFonts w:hint="eastAsia"/>
          <w:color w:val="auto"/>
          <w:kern w:val="2"/>
          <w:sz w:val="21"/>
          <w:szCs w:val="21"/>
          <w:highlight w:val="none"/>
        </w:rPr>
        <w:t>13. 验收和工程试车</w:t>
      </w:r>
      <w:bookmarkEnd w:id="992"/>
      <w:bookmarkEnd w:id="993"/>
      <w:bookmarkEnd w:id="994"/>
    </w:p>
    <w:bookmarkEnd w:id="995"/>
    <w:bookmarkEnd w:id="996"/>
    <w:bookmarkEnd w:id="997"/>
    <w:bookmarkEnd w:id="998"/>
    <w:p>
      <w:pPr>
        <w:pStyle w:val="7"/>
        <w:spacing w:before="0" w:beforeAutospacing="0" w:after="0" w:afterAutospacing="0" w:line="360" w:lineRule="auto"/>
        <w:ind w:firstLine="422" w:firstLineChars="200"/>
        <w:rPr>
          <w:color w:val="auto"/>
          <w:sz w:val="21"/>
          <w:szCs w:val="21"/>
          <w:highlight w:val="none"/>
        </w:rPr>
      </w:pPr>
      <w:bookmarkStart w:id="999" w:name="_Toc532377275"/>
      <w:bookmarkStart w:id="1000" w:name="_Toc351203587"/>
      <w:bookmarkStart w:id="1001" w:name="_Toc337558805"/>
      <w:bookmarkStart w:id="1002" w:name="_Toc296346611"/>
      <w:bookmarkStart w:id="1003" w:name="_Toc296503110"/>
      <w:r>
        <w:rPr>
          <w:rFonts w:hint="eastAsia"/>
          <w:color w:val="auto"/>
          <w:sz w:val="21"/>
          <w:szCs w:val="21"/>
          <w:highlight w:val="none"/>
        </w:rPr>
        <w:t>13.1分部分项工程验收</w:t>
      </w:r>
      <w:bookmarkEnd w:id="999"/>
      <w:bookmarkEnd w:id="1000"/>
    </w:p>
    <w:bookmarkEnd w:id="1001"/>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13.1.1 分部分项工程质量应符合国家有关工程施工验收规范、标准及合同约定，承包人应按照施工组织设计的要求完成分部分项工程施工。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分部分项工程的验收资料应当作为竣工资料的组成部分。</w:t>
      </w:r>
    </w:p>
    <w:p>
      <w:pPr>
        <w:pStyle w:val="7"/>
        <w:spacing w:before="0" w:beforeAutospacing="0" w:after="0" w:afterAutospacing="0" w:line="360" w:lineRule="auto"/>
        <w:ind w:firstLine="422" w:firstLineChars="200"/>
        <w:rPr>
          <w:color w:val="auto"/>
          <w:sz w:val="21"/>
          <w:szCs w:val="21"/>
          <w:highlight w:val="none"/>
        </w:rPr>
      </w:pPr>
      <w:bookmarkStart w:id="1004" w:name="_Toc351203588"/>
      <w:bookmarkStart w:id="1005" w:name="_Toc532377276"/>
      <w:bookmarkStart w:id="1006" w:name="_Toc337558806"/>
      <w:r>
        <w:rPr>
          <w:rFonts w:hint="eastAsia"/>
          <w:color w:val="auto"/>
          <w:sz w:val="21"/>
          <w:szCs w:val="21"/>
          <w:highlight w:val="none"/>
        </w:rPr>
        <w:t>13.2竣工验收</w:t>
      </w:r>
      <w:bookmarkEnd w:id="1004"/>
      <w:bookmarkEnd w:id="1005"/>
    </w:p>
    <w:bookmarkEnd w:id="1002"/>
    <w:bookmarkEnd w:id="1003"/>
    <w:bookmarkEnd w:id="1006"/>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13.2.1竣工验收条件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工程具备以下条件的，承包人可以申请竣工验收：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（1）除发包人同意的甩项工作和缺陷修补工作外，合同范围内的全部工程以及有关工作，包括合同要求的试验、试运行以及检验均已完成，并符合合同要求；</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（2）已按合同约定编制了甩项工作和缺陷修补工作清单以及相应的施工计划；</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（3）已按合同约定的内容和份数备齐竣工资料。</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13.2.2竣工验收程序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除专用合同条款另有约定外，承包人申请竣工验收的，应当按照以下程序进行：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13.2.3竣工日期</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07" w:name="#go14"/>
      <w:bookmarkEnd w:id="1007"/>
      <w:r>
        <w:rPr>
          <w:rFonts w:hint="eastAsia" w:ascii="宋体" w:hAnsi="宋体"/>
          <w:color w:val="auto"/>
          <w:kern w:val="0"/>
          <w:szCs w:val="21"/>
          <w:highlight w:val="none"/>
        </w:rPr>
        <w:t>收申请报告的日期为实际竣工日期；工程未经竣工验收，发包人擅自使用的，以转移占有工程之日为实际竣工日期。</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13.2.4 拒绝接收全部或部分工程</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13.2.5 移交、接收全部与部分工程</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除专用合同条款另有约定外，合同当事人应当在颁发工程接收证书后7天内完成工程的移交。</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0" w:beforeAutospacing="0" w:after="0" w:afterAutospacing="0" w:line="360" w:lineRule="auto"/>
        <w:ind w:firstLine="422" w:firstLineChars="200"/>
        <w:rPr>
          <w:color w:val="auto"/>
          <w:sz w:val="21"/>
          <w:szCs w:val="21"/>
          <w:highlight w:val="none"/>
        </w:rPr>
      </w:pPr>
      <w:bookmarkStart w:id="1008" w:name="_Toc351203589"/>
      <w:bookmarkStart w:id="1009" w:name="_Toc532377277"/>
      <w:bookmarkStart w:id="1010" w:name="_Toc337558807"/>
      <w:bookmarkStart w:id="1011" w:name="_Toc296503111"/>
      <w:bookmarkStart w:id="1012" w:name="_Toc296346612"/>
      <w:r>
        <w:rPr>
          <w:rFonts w:hint="eastAsia"/>
          <w:color w:val="auto"/>
          <w:sz w:val="21"/>
          <w:szCs w:val="21"/>
          <w:highlight w:val="none"/>
        </w:rPr>
        <w:t>13.3工程试车</w:t>
      </w:r>
      <w:bookmarkEnd w:id="1008"/>
      <w:bookmarkEnd w:id="1009"/>
    </w:p>
    <w:bookmarkEnd w:id="1010"/>
    <w:bookmarkEnd w:id="1011"/>
    <w:bookmarkEnd w:id="1012"/>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13.3.1试车程序</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13.3.2 试车中的责任</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13.3.3 投料试车</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0" w:beforeAutospacing="0" w:after="0" w:afterAutospacing="0" w:line="360" w:lineRule="auto"/>
        <w:ind w:firstLine="422" w:firstLineChars="200"/>
        <w:rPr>
          <w:color w:val="auto"/>
          <w:sz w:val="21"/>
          <w:szCs w:val="21"/>
          <w:highlight w:val="none"/>
        </w:rPr>
      </w:pPr>
      <w:bookmarkStart w:id="1013" w:name="_Toc532377278"/>
      <w:r>
        <w:rPr>
          <w:rFonts w:hint="eastAsia"/>
          <w:color w:val="auto"/>
          <w:sz w:val="21"/>
          <w:szCs w:val="21"/>
          <w:highlight w:val="none"/>
        </w:rPr>
        <w:t>13.4提前交付单位工程的验收</w:t>
      </w:r>
      <w:bookmarkEnd w:id="1013"/>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pPr>
        <w:pStyle w:val="7"/>
        <w:spacing w:before="0" w:beforeAutospacing="0" w:after="0" w:afterAutospacing="0" w:line="360" w:lineRule="auto"/>
        <w:ind w:firstLine="422" w:firstLineChars="200"/>
        <w:rPr>
          <w:color w:val="auto"/>
          <w:sz w:val="21"/>
          <w:szCs w:val="21"/>
          <w:highlight w:val="none"/>
        </w:rPr>
      </w:pPr>
      <w:bookmarkStart w:id="1014" w:name="_Toc351203591"/>
      <w:bookmarkStart w:id="1015" w:name="_Toc532377279"/>
      <w:r>
        <w:rPr>
          <w:rFonts w:hint="eastAsia"/>
          <w:color w:val="auto"/>
          <w:sz w:val="21"/>
          <w:szCs w:val="21"/>
          <w:highlight w:val="none"/>
        </w:rPr>
        <w:t>13.5 施工期运行</w:t>
      </w:r>
      <w:bookmarkEnd w:id="1014"/>
      <w:bookmarkEnd w:id="1015"/>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13.5.2 在施工期运行中发现工程或工程设备损坏或存在缺陷的，由承包人按第15.2款〔缺陷责任期〕约定进行修复。</w:t>
      </w:r>
    </w:p>
    <w:p>
      <w:pPr>
        <w:pStyle w:val="7"/>
        <w:spacing w:before="0" w:beforeAutospacing="0" w:after="0" w:afterAutospacing="0" w:line="360" w:lineRule="auto"/>
        <w:ind w:firstLine="422" w:firstLineChars="200"/>
        <w:rPr>
          <w:color w:val="auto"/>
          <w:sz w:val="21"/>
          <w:szCs w:val="21"/>
          <w:highlight w:val="none"/>
        </w:rPr>
      </w:pPr>
      <w:bookmarkStart w:id="1016" w:name="_Toc296503112"/>
      <w:bookmarkStart w:id="1017" w:name="_Toc296346613"/>
      <w:bookmarkStart w:id="1018" w:name="_Toc351203592"/>
      <w:bookmarkStart w:id="1019" w:name="_Toc532377280"/>
      <w:bookmarkStart w:id="1020" w:name="_Toc337558809"/>
      <w:r>
        <w:rPr>
          <w:rFonts w:hint="eastAsia"/>
          <w:color w:val="auto"/>
          <w:sz w:val="21"/>
          <w:szCs w:val="21"/>
          <w:highlight w:val="none"/>
        </w:rPr>
        <w:t>13.6 竣工退</w:t>
      </w:r>
      <w:bookmarkEnd w:id="1016"/>
      <w:bookmarkEnd w:id="1017"/>
      <w:r>
        <w:rPr>
          <w:rFonts w:hint="eastAsia"/>
          <w:color w:val="auto"/>
          <w:sz w:val="21"/>
          <w:szCs w:val="21"/>
          <w:highlight w:val="none"/>
        </w:rPr>
        <w:t>场</w:t>
      </w:r>
      <w:bookmarkEnd w:id="1018"/>
      <w:bookmarkEnd w:id="1019"/>
    </w:p>
    <w:bookmarkEnd w:id="1020"/>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13.6.1 竣工退场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颁发工程接收证书后，承包人应按以下要求对施工现场进行清理：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（1）施工现场内残留的垃圾已全部清除出场；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（2）临时工程已拆除，场地已进行清理、平整或复原；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（3）按合同约定应撤离的人员、承包人施工设备和剩余的材料，包括废弃的施工设备和材料，已按计划撤离施工现场；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（4）施工现场周边及其附近道路、河道的施工堆积物，已全部清理；</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（5）施工现场其他场地清理工作已全部完成。</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13.6.2 地表还原</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21" w:name="_Toc351203593"/>
      <w:bookmarkStart w:id="1022" w:name="_Toc532375600"/>
      <w:bookmarkStart w:id="1023" w:name="_Toc532377281"/>
      <w:bookmarkStart w:id="1024" w:name="_Toc337558810"/>
      <w:bookmarkStart w:id="1025" w:name="_Toc296346614"/>
      <w:bookmarkStart w:id="1026" w:name="_Toc296503113"/>
      <w:r>
        <w:rPr>
          <w:rFonts w:hint="eastAsia"/>
          <w:color w:val="auto"/>
          <w:kern w:val="2"/>
          <w:sz w:val="21"/>
          <w:szCs w:val="21"/>
          <w:highlight w:val="none"/>
        </w:rPr>
        <w:t>14. 竣工结算</w:t>
      </w:r>
      <w:bookmarkEnd w:id="1021"/>
      <w:bookmarkEnd w:id="1022"/>
      <w:bookmarkEnd w:id="1023"/>
    </w:p>
    <w:bookmarkEnd w:id="1024"/>
    <w:p>
      <w:pPr>
        <w:pStyle w:val="7"/>
        <w:spacing w:before="0" w:beforeAutospacing="0" w:after="0" w:afterAutospacing="0" w:line="360" w:lineRule="auto"/>
        <w:ind w:firstLine="422" w:firstLineChars="200"/>
        <w:rPr>
          <w:color w:val="auto"/>
          <w:sz w:val="21"/>
          <w:szCs w:val="21"/>
          <w:highlight w:val="none"/>
        </w:rPr>
      </w:pPr>
      <w:bookmarkStart w:id="1027" w:name="_Toc351203594"/>
      <w:bookmarkStart w:id="1028" w:name="_Toc532377282"/>
      <w:bookmarkStart w:id="1029" w:name="_Toc337558811"/>
      <w:r>
        <w:rPr>
          <w:rFonts w:hint="eastAsia"/>
          <w:color w:val="auto"/>
          <w:sz w:val="21"/>
          <w:szCs w:val="21"/>
          <w:highlight w:val="none"/>
        </w:rPr>
        <w:t>14.1 竣工结算申请</w:t>
      </w:r>
      <w:bookmarkEnd w:id="1027"/>
      <w:bookmarkEnd w:id="1028"/>
    </w:p>
    <w:bookmarkEnd w:id="1029"/>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除专用合同条款另有约定外，竣工结算申请单应包括以下内容：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（1）竣工结算合同价格；</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（2）发包人已支付承包人的款项；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（3）应扣留的质量保证金。已缴纳履约保证金的或提供其他工程质量担保方式的除外； </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（4）发包人应支付承包人的合同价款。</w:t>
      </w:r>
    </w:p>
    <w:p>
      <w:pPr>
        <w:pStyle w:val="7"/>
        <w:spacing w:before="0" w:beforeAutospacing="0" w:after="0" w:afterAutospacing="0" w:line="360" w:lineRule="auto"/>
        <w:ind w:firstLine="422" w:firstLineChars="200"/>
        <w:rPr>
          <w:color w:val="auto"/>
          <w:sz w:val="21"/>
          <w:szCs w:val="21"/>
          <w:highlight w:val="none"/>
        </w:rPr>
      </w:pPr>
      <w:bookmarkStart w:id="1030" w:name="_Toc351203595"/>
      <w:bookmarkStart w:id="1031" w:name="_Toc532377283"/>
      <w:bookmarkStart w:id="1032" w:name="_Toc337558812"/>
      <w:r>
        <w:rPr>
          <w:rFonts w:hint="eastAsia"/>
          <w:color w:val="auto"/>
          <w:sz w:val="21"/>
          <w:szCs w:val="21"/>
          <w:highlight w:val="none"/>
        </w:rPr>
        <w:t>14.2 竣工结算审核</w:t>
      </w:r>
      <w:bookmarkEnd w:id="1030"/>
      <w:bookmarkEnd w:id="1031"/>
    </w:p>
    <w:bookmarkEnd w:id="1032"/>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0" w:beforeAutospacing="0" w:after="0" w:afterAutospacing="0" w:line="360" w:lineRule="auto"/>
        <w:ind w:firstLine="422" w:firstLineChars="200"/>
        <w:rPr>
          <w:color w:val="auto"/>
          <w:sz w:val="21"/>
          <w:szCs w:val="21"/>
          <w:highlight w:val="none"/>
        </w:rPr>
      </w:pPr>
      <w:bookmarkStart w:id="1033" w:name="_Toc532377284"/>
      <w:bookmarkStart w:id="1034" w:name="_Toc351203596"/>
      <w:bookmarkStart w:id="1035" w:name="_Toc337558813"/>
      <w:r>
        <w:rPr>
          <w:rFonts w:hint="eastAsia"/>
          <w:color w:val="auto"/>
          <w:sz w:val="21"/>
          <w:szCs w:val="21"/>
          <w:highlight w:val="none"/>
        </w:rPr>
        <w:t>14.3 甩项竣工协议</w:t>
      </w:r>
      <w:bookmarkEnd w:id="1033"/>
      <w:bookmarkEnd w:id="1034"/>
    </w:p>
    <w:bookmarkEnd w:id="1035"/>
    <w:p>
      <w:pPr>
        <w:autoSpaceDE w:val="0"/>
        <w:autoSpaceDN w:val="0"/>
        <w:spacing w:line="360" w:lineRule="auto"/>
        <w:ind w:firstLine="411" w:firstLineChars="196"/>
        <w:jc w:val="left"/>
        <w:rPr>
          <w:rFonts w:ascii="宋体" w:hAnsi="宋体"/>
          <w:color w:val="auto"/>
          <w:kern w:val="0"/>
          <w:szCs w:val="21"/>
          <w:highlight w:val="none"/>
        </w:rPr>
      </w:pPr>
      <w:r>
        <w:rPr>
          <w:rFonts w:hint="eastAsia" w:ascii="宋体" w:hAnsi="宋体"/>
          <w:color w:val="auto"/>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0" w:beforeAutospacing="0" w:after="0" w:afterAutospacing="0" w:line="360" w:lineRule="auto"/>
        <w:ind w:firstLine="422" w:firstLineChars="200"/>
        <w:rPr>
          <w:color w:val="auto"/>
          <w:sz w:val="21"/>
          <w:szCs w:val="21"/>
          <w:highlight w:val="none"/>
        </w:rPr>
      </w:pPr>
      <w:bookmarkStart w:id="1036" w:name="_Toc351203597"/>
      <w:bookmarkStart w:id="1037" w:name="_Toc532377285"/>
      <w:bookmarkStart w:id="1038" w:name="_Toc337558814"/>
      <w:r>
        <w:rPr>
          <w:rFonts w:hint="eastAsia"/>
          <w:color w:val="auto"/>
          <w:sz w:val="21"/>
          <w:szCs w:val="21"/>
          <w:highlight w:val="none"/>
        </w:rPr>
        <w:t>14.4 最终结清</w:t>
      </w:r>
      <w:bookmarkEnd w:id="1036"/>
      <w:bookmarkEnd w:id="1037"/>
    </w:p>
    <w:bookmarkEnd w:id="1038"/>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14.4.1 最终结清申请单</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（1）除专用合同条款另有约定外，承包人应在缺陷责任期终止证书颁发后7天内，按专用合同条款约定的份数向发包人提交最终结清申请单，并提供相关证明材料。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除专用合同条款另有约定外，最终结清申请单应列明质量保证金、应扣除的质量保证金、缺陷责任期内发生的增减费用。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（2）发包人对最终结清申请单内容有异议的，有权要求承包人进行修正和提供补充资料，承包人应向发包人提交修正后的最终结清申请单。</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14.4.2 最终结清证书和支付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（3）承包人对发包人颁发的最终结清证书有异议的，按第20条〔争议解决〕的约定办理。</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39" w:name="_Toc532377286"/>
      <w:bookmarkStart w:id="1040" w:name="_Toc532375601"/>
      <w:bookmarkStart w:id="1041" w:name="_Toc351203598"/>
      <w:bookmarkStart w:id="1042" w:name="_Toc337558815"/>
      <w:r>
        <w:rPr>
          <w:rFonts w:hint="eastAsia"/>
          <w:color w:val="auto"/>
          <w:kern w:val="2"/>
          <w:sz w:val="21"/>
          <w:szCs w:val="21"/>
          <w:highlight w:val="none"/>
        </w:rPr>
        <w:t>15. 缺陷责任与保修</w:t>
      </w:r>
      <w:bookmarkEnd w:id="1039"/>
      <w:bookmarkEnd w:id="1040"/>
      <w:bookmarkEnd w:id="1041"/>
    </w:p>
    <w:bookmarkEnd w:id="1025"/>
    <w:bookmarkEnd w:id="1026"/>
    <w:bookmarkEnd w:id="1042"/>
    <w:p>
      <w:pPr>
        <w:pStyle w:val="7"/>
        <w:spacing w:before="0" w:beforeAutospacing="0" w:after="0" w:afterAutospacing="0" w:line="360" w:lineRule="auto"/>
        <w:ind w:firstLine="422" w:firstLineChars="200"/>
        <w:rPr>
          <w:color w:val="auto"/>
          <w:sz w:val="21"/>
          <w:szCs w:val="21"/>
          <w:highlight w:val="none"/>
        </w:rPr>
      </w:pPr>
      <w:bookmarkStart w:id="1043" w:name="_Toc532377287"/>
      <w:bookmarkStart w:id="1044" w:name="_Toc351203599"/>
      <w:bookmarkStart w:id="1045" w:name="_Toc337558816"/>
      <w:bookmarkStart w:id="1046" w:name="_Toc296346615"/>
      <w:bookmarkStart w:id="1047" w:name="_Toc296503114"/>
      <w:r>
        <w:rPr>
          <w:rFonts w:hint="eastAsia"/>
          <w:color w:val="auto"/>
          <w:sz w:val="21"/>
          <w:szCs w:val="21"/>
          <w:highlight w:val="none"/>
        </w:rPr>
        <w:t>15.1 工程保修的原则</w:t>
      </w:r>
      <w:bookmarkEnd w:id="1043"/>
      <w:bookmarkEnd w:id="1044"/>
    </w:p>
    <w:bookmarkEnd w:id="1045"/>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pPr>
        <w:pStyle w:val="7"/>
        <w:spacing w:before="0" w:beforeAutospacing="0" w:after="0" w:afterAutospacing="0" w:line="360" w:lineRule="auto"/>
        <w:ind w:firstLine="422" w:firstLineChars="200"/>
        <w:rPr>
          <w:color w:val="auto"/>
          <w:sz w:val="21"/>
          <w:szCs w:val="21"/>
          <w:highlight w:val="none"/>
        </w:rPr>
      </w:pPr>
      <w:bookmarkStart w:id="1048" w:name="_Toc351203600"/>
      <w:bookmarkStart w:id="1049" w:name="_Toc532377288"/>
      <w:bookmarkStart w:id="1050" w:name="_Toc337558817"/>
      <w:r>
        <w:rPr>
          <w:rFonts w:hint="eastAsia"/>
          <w:color w:val="auto"/>
          <w:sz w:val="21"/>
          <w:szCs w:val="21"/>
          <w:highlight w:val="none"/>
        </w:rPr>
        <w:t>15.2 缺陷责任期</w:t>
      </w:r>
      <w:bookmarkEnd w:id="1046"/>
      <w:bookmarkEnd w:id="1047"/>
      <w:bookmarkEnd w:id="1048"/>
      <w:bookmarkEnd w:id="1049"/>
    </w:p>
    <w:bookmarkEnd w:id="1050"/>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15.2.1 缺陷责任期从工程通过竣工验收之日起计算，合同当事人应在专用合同条款约定缺陷责任期的具体期限，但该期限最长不超过24个月。</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由他人原因造成的缺陷，发包人负责组织维修，承包人不承担费用，且发包人不得从保证金中扣除费用。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0" w:beforeAutospacing="0" w:after="0" w:afterAutospacing="0" w:line="360" w:lineRule="auto"/>
        <w:ind w:firstLine="422" w:firstLineChars="200"/>
        <w:rPr>
          <w:color w:val="auto"/>
          <w:sz w:val="21"/>
          <w:szCs w:val="21"/>
          <w:highlight w:val="none"/>
        </w:rPr>
      </w:pPr>
      <w:bookmarkStart w:id="1051" w:name="_Toc351203601"/>
      <w:bookmarkStart w:id="1052" w:name="_Toc532377289"/>
      <w:bookmarkStart w:id="1053" w:name="_Toc337558818"/>
      <w:bookmarkStart w:id="1054" w:name="_Toc296346616"/>
      <w:bookmarkStart w:id="1055" w:name="_Toc296503115"/>
      <w:r>
        <w:rPr>
          <w:rFonts w:hint="eastAsia"/>
          <w:color w:val="auto"/>
          <w:sz w:val="21"/>
          <w:szCs w:val="21"/>
          <w:highlight w:val="none"/>
        </w:rPr>
        <w:t>15.3 质量保证金</w:t>
      </w:r>
      <w:bookmarkEnd w:id="1051"/>
      <w:bookmarkEnd w:id="1052"/>
    </w:p>
    <w:bookmarkEnd w:id="1053"/>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经合同当事人协商一致扣留质量保证金的，应在专用合同条款中予以明确。</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在工程项目竣工前，承包人已经提供履约担保的，发包人不得同时预留工程质量保证金。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15.3.1 承包人提供质量保证金的方式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承包人提供质量保证金有以下三种方式：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（1）质量保证金保函；</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（2）相应比例的工程款；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（3）双方约定的其他方式。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除专用合同条款另有约定外，质量保证金原则上采用上述第（1）种方式。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15.3.2 质量保证金的扣留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质量保证金的扣留有以下三种方式：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（1）在支付工程进度款时逐次扣留，在此情形下，质量保证金的计算基数不包括预付款的支付、扣回以及价格调整的金额；</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（2）工</w:t>
      </w:r>
      <w:bookmarkStart w:id="1056" w:name="#go6"/>
      <w:bookmarkEnd w:id="1056"/>
      <w:r>
        <w:rPr>
          <w:rFonts w:hint="eastAsia" w:ascii="宋体" w:hAnsi="宋体"/>
          <w:color w:val="auto"/>
          <w:kern w:val="0"/>
          <w:szCs w:val="21"/>
          <w:highlight w:val="none"/>
        </w:rPr>
        <w:t>程竣工结算时一次性扣留质量保证金；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（3）双方约定的其他扣留方式。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除专用合同条款另有约定外，质量保证金的扣留原则上采用上述第（1）种方式。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w:t>
      </w:r>
      <w:bookmarkStart w:id="1057" w:name="#go4"/>
      <w:bookmarkEnd w:id="1057"/>
      <w:r>
        <w:rPr>
          <w:rFonts w:hint="eastAsia" w:ascii="宋体" w:hAnsi="宋体"/>
          <w:color w:val="auto"/>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发包人在退还质量保证金的同时按照中国人民银行发布的同期同类贷款基准利率支付利息。</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15.3.3 质量保证金的退还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缺陷责任期内，承包人认真履行合同约定的责任，到期后，承包人可向发包人申请返还保证金。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发包人和承包人对保证金预留、返还以及工程维修质量、费用有争议的，按合同第20条约定的争议和纠纷解决程序处理。</w:t>
      </w:r>
    </w:p>
    <w:p>
      <w:pPr>
        <w:pStyle w:val="7"/>
        <w:spacing w:before="0" w:beforeAutospacing="0" w:after="0" w:afterAutospacing="0" w:line="360" w:lineRule="auto"/>
        <w:ind w:firstLine="422" w:firstLineChars="200"/>
        <w:rPr>
          <w:color w:val="auto"/>
          <w:sz w:val="21"/>
          <w:szCs w:val="21"/>
          <w:highlight w:val="none"/>
        </w:rPr>
      </w:pPr>
      <w:bookmarkStart w:id="1058" w:name="_Toc351203602"/>
      <w:bookmarkStart w:id="1059" w:name="_Toc532377290"/>
      <w:bookmarkStart w:id="1060" w:name="_Toc337558819"/>
      <w:r>
        <w:rPr>
          <w:rFonts w:hint="eastAsia"/>
          <w:color w:val="auto"/>
          <w:sz w:val="21"/>
          <w:szCs w:val="21"/>
          <w:highlight w:val="none"/>
        </w:rPr>
        <w:t>15.4 保修</w:t>
      </w:r>
      <w:bookmarkEnd w:id="1058"/>
      <w:bookmarkEnd w:id="1059"/>
    </w:p>
    <w:bookmarkEnd w:id="1054"/>
    <w:bookmarkEnd w:id="1055"/>
    <w:bookmarkEnd w:id="1060"/>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15.4.1保修责任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发包人未经竣工验收擅自使用工程的，保修期自转移占有之日起算。</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15.4.2 修复费用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保修期内，修复的费用按照以下约定处理：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（1）保修期内，因承包人原因造成工程的缺陷、损坏，承包人应负责修复，并承担修复的费用以及因工程的缺陷、损坏造成的人身伤害和财产损失；</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（2）保修期内，因发包人使用不当造成工程的缺陷、损坏，可以委托承包人修复，但发包人应承担修复的费用，并支付承包人合理利润；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15.4.3 修复通知</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15.4.4 未能修复</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15.4.5 承包人出入权</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61" w:name="_Toc351203603"/>
      <w:bookmarkStart w:id="1062" w:name="_Toc532377291"/>
      <w:bookmarkStart w:id="1063" w:name="_Toc532375602"/>
      <w:bookmarkStart w:id="1064" w:name="_Toc337558820"/>
      <w:r>
        <w:rPr>
          <w:rFonts w:hint="eastAsia"/>
          <w:color w:val="auto"/>
          <w:kern w:val="2"/>
          <w:sz w:val="21"/>
          <w:szCs w:val="21"/>
          <w:highlight w:val="none"/>
        </w:rPr>
        <w:t>16. 违约</w:t>
      </w:r>
      <w:bookmarkEnd w:id="1061"/>
      <w:bookmarkEnd w:id="1062"/>
      <w:bookmarkEnd w:id="1063"/>
    </w:p>
    <w:bookmarkEnd w:id="1064"/>
    <w:p>
      <w:pPr>
        <w:pStyle w:val="7"/>
        <w:spacing w:before="0" w:beforeAutospacing="0" w:after="0" w:afterAutospacing="0" w:line="360" w:lineRule="auto"/>
        <w:ind w:firstLine="422" w:firstLineChars="200"/>
        <w:rPr>
          <w:color w:val="auto"/>
          <w:sz w:val="21"/>
          <w:szCs w:val="21"/>
          <w:highlight w:val="none"/>
        </w:rPr>
      </w:pPr>
      <w:bookmarkStart w:id="1065" w:name="_Toc296503129"/>
      <w:bookmarkStart w:id="1066" w:name="_Toc296346630"/>
      <w:bookmarkStart w:id="1067" w:name="_Toc532377292"/>
      <w:bookmarkStart w:id="1068" w:name="_Toc351203604"/>
      <w:bookmarkStart w:id="1069" w:name="_Toc337558821"/>
      <w:r>
        <w:rPr>
          <w:rFonts w:hint="eastAsia"/>
          <w:color w:val="auto"/>
          <w:sz w:val="21"/>
          <w:szCs w:val="21"/>
          <w:highlight w:val="none"/>
        </w:rPr>
        <w:t>16.1 发</w:t>
      </w:r>
      <w:bookmarkEnd w:id="1065"/>
      <w:bookmarkEnd w:id="1066"/>
      <w:r>
        <w:rPr>
          <w:rFonts w:hint="eastAsia"/>
          <w:color w:val="auto"/>
          <w:sz w:val="21"/>
          <w:szCs w:val="21"/>
          <w:highlight w:val="none"/>
        </w:rPr>
        <w:t>包人违约</w:t>
      </w:r>
      <w:bookmarkEnd w:id="1067"/>
      <w:bookmarkEnd w:id="1068"/>
    </w:p>
    <w:bookmarkEnd w:id="1069"/>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16.1.1 发包人违约的情形</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在合同履行过程中发生的下列情形，属于发包人违约：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（1）因发包人原因未能在计划开工日期前7天内下达开工通知的；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（2）因发包人原因未能按合同约定支付合同价款的；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（3）发包人违反第10.1款〔变更的范围〕第（2）项约定，自行实施被取消的工作或转由他人实施的；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（4）发包人提供的材料、工程设备的规格、数量或质量不符合合同约定，或因发包人原因导致交货日期延误或交货地点变更等情况的；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（5）因发包人违反合同约定造成暂停施工的；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（6）发包人无正当理由没有在约定期限内发出复工指示，导致承包人无法复工的；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（7）发包人明确表示或者以其行为表明不履行合同主要义务的；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（8）发包人未能按照合同约定履行其他义务的。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16.1.2 发包人违约的责任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16.1.3 因发包人违约解除合同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16.1.4 因发包人违约解除合同后的付款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承包人按照本款约定解除合同的，发包人应在解除合同后28天内支付下列款项，并解除履约担保：</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（1）合同解除前所完成工作的价款；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（2）承包人为工程施工订购并已付款的材料、工程设备和其他物品的价款；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（3）承包人撤离施工现场以及遣散承包人人员的款项；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（4）按照合同约定在合同解除前应支付的违约金；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（5）按照合同约定应当支付给承包人的其他款项；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（6）按照合同约定应退还的质量保证金；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（7）因解除合同给承包人造成的损失。</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合同当事人未能就解除合同后的结清达成一致的，按照第20条〔争议解决〕的约定处理。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color w:val="auto"/>
          <w:sz w:val="21"/>
          <w:szCs w:val="21"/>
          <w:highlight w:val="none"/>
        </w:rPr>
      </w:pPr>
      <w:bookmarkStart w:id="1070" w:name="_Toc532377293"/>
      <w:bookmarkStart w:id="1071" w:name="_Toc351203605"/>
      <w:bookmarkStart w:id="1072" w:name="_Toc337558822"/>
      <w:bookmarkStart w:id="1073" w:name="_Toc296503131"/>
      <w:bookmarkStart w:id="1074" w:name="_Toc296346632"/>
      <w:r>
        <w:rPr>
          <w:rFonts w:hint="eastAsia"/>
          <w:color w:val="auto"/>
          <w:sz w:val="21"/>
          <w:szCs w:val="21"/>
          <w:highlight w:val="none"/>
        </w:rPr>
        <w:t>16.2 承包人违约</w:t>
      </w:r>
      <w:bookmarkEnd w:id="1070"/>
      <w:bookmarkEnd w:id="1071"/>
    </w:p>
    <w:bookmarkEnd w:id="1072"/>
    <w:bookmarkEnd w:id="1073"/>
    <w:bookmarkEnd w:id="1074"/>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16.2.1 承包人违约的情形</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在合同履行过程中发生的下列情形，属于承包人违约：</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（1）承包人违反合同约定进行转包或违法分包的；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（2）承包人违反合同约定采购和使用不合格的材料和工程设备的；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（3）因承包人原因导致工程质量不符合合同要求的； </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（4）承包人违反第8.9款〔材料与设备专用要求〕的约定，未经批准，私自将已按照合同约定进入施工现场的材料或设备撤离施工现场的；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（5）承包人未能按施工进度计划及时完成合同约定的工作，造成工期延误的；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（6）承包人在缺陷责任期及保修期内，未能在合理期限对工程缺陷进行修复，或拒绝按发包人要求进行修复的；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（7）承包人明确表示或者以其行为表明不履行合同主要义务的；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（8）承包人未能按照合同约定履行其他义务的。</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承包人发生除本项第（7）目约定以外的其他违约情况时，监理人可向承包人发出整改通知，要求其在指定的期限内改正。</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16.2.2 承包人违约的责任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承包人应承担因其违约行为而增加的费用和（或）延误的工期。此外，合同当事人可在专用合同条款中另行约定承包人违约责任的承担方式和计算方法。</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16.2.3 因承包人违约解除合同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16.2.4因承包人违约解除合同后的处理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因承包人原因导致合同解除的，则合同当事人应在合同解除后28天内完成估价、付款和清算，并按以下约定执行：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（1）合同解除后，按第4.4款〔商定或确定〕商定或确定承包人实际完成工作对应的合同价款，以及承包人已提供的材料、工程设备、施工设备和临时工程等的价值；</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（2）合同解除后，承包人应支付的违约金；</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（3）合同解除后，因解除合同给发包人造成的损失；</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（4）合同解除后，承包人应按照发包人要求和监理人的指示完成现场的清理和撤离；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（5）发包人和承包人应在合同解除后进行清算，出具最终结清付款证书，结清全部款项。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16.2.5采购合同权益转让</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0" w:beforeAutospacing="0" w:after="0" w:afterAutospacing="0" w:line="360" w:lineRule="auto"/>
        <w:ind w:firstLine="422" w:firstLineChars="200"/>
        <w:rPr>
          <w:color w:val="auto"/>
          <w:sz w:val="21"/>
          <w:szCs w:val="21"/>
          <w:highlight w:val="none"/>
        </w:rPr>
      </w:pPr>
      <w:bookmarkStart w:id="1075" w:name="_Toc351203606"/>
      <w:bookmarkStart w:id="1076" w:name="_Toc532377294"/>
      <w:r>
        <w:rPr>
          <w:rFonts w:hint="eastAsia"/>
          <w:color w:val="auto"/>
          <w:sz w:val="21"/>
          <w:szCs w:val="21"/>
          <w:highlight w:val="none"/>
        </w:rPr>
        <w:t>16.3 第三人造成的违约</w:t>
      </w:r>
      <w:bookmarkEnd w:id="1075"/>
      <w:bookmarkEnd w:id="1076"/>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77" w:name="_Toc296346617"/>
      <w:bookmarkStart w:id="1078" w:name="_Toc337558823"/>
      <w:bookmarkStart w:id="1079" w:name="_Toc296503116"/>
      <w:bookmarkStart w:id="1080" w:name="_Toc351203607"/>
      <w:bookmarkStart w:id="1081" w:name="_Toc532377295"/>
      <w:bookmarkStart w:id="1082" w:name="_Toc532375603"/>
      <w:r>
        <w:rPr>
          <w:rFonts w:hint="eastAsia"/>
          <w:color w:val="auto"/>
          <w:kern w:val="2"/>
          <w:sz w:val="21"/>
          <w:szCs w:val="21"/>
          <w:highlight w:val="none"/>
        </w:rPr>
        <w:t>17. 不可抗力</w:t>
      </w:r>
      <w:bookmarkEnd w:id="1077"/>
      <w:bookmarkEnd w:id="1078"/>
      <w:bookmarkEnd w:id="1079"/>
      <w:bookmarkEnd w:id="1080"/>
      <w:bookmarkEnd w:id="1081"/>
      <w:bookmarkEnd w:id="1082"/>
    </w:p>
    <w:p>
      <w:pPr>
        <w:pStyle w:val="7"/>
        <w:spacing w:before="0" w:beforeAutospacing="0" w:after="0" w:afterAutospacing="0" w:line="360" w:lineRule="auto"/>
        <w:ind w:firstLine="422" w:firstLineChars="200"/>
        <w:rPr>
          <w:color w:val="auto"/>
          <w:sz w:val="21"/>
          <w:szCs w:val="21"/>
          <w:highlight w:val="none"/>
        </w:rPr>
      </w:pPr>
      <w:bookmarkStart w:id="1083" w:name="_Toc532377296"/>
      <w:bookmarkStart w:id="1084" w:name="_Toc351203608"/>
      <w:bookmarkStart w:id="1085" w:name="_Toc337558824"/>
      <w:bookmarkStart w:id="1086" w:name="_Toc296346618"/>
      <w:bookmarkStart w:id="1087" w:name="_Toc296503117"/>
      <w:r>
        <w:rPr>
          <w:rFonts w:hint="eastAsia"/>
          <w:color w:val="auto"/>
          <w:sz w:val="21"/>
          <w:szCs w:val="21"/>
          <w:highlight w:val="none"/>
        </w:rPr>
        <w:t>17.1 不可抗力的确认</w:t>
      </w:r>
      <w:bookmarkEnd w:id="1083"/>
      <w:bookmarkEnd w:id="1084"/>
    </w:p>
    <w:bookmarkEnd w:id="1085"/>
    <w:bookmarkEnd w:id="1086"/>
    <w:bookmarkEnd w:id="1087"/>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0" w:beforeAutospacing="0" w:after="0" w:afterAutospacing="0" w:line="360" w:lineRule="auto"/>
        <w:ind w:firstLine="422" w:firstLineChars="200"/>
        <w:rPr>
          <w:color w:val="auto"/>
          <w:sz w:val="21"/>
          <w:szCs w:val="21"/>
          <w:highlight w:val="none"/>
        </w:rPr>
      </w:pPr>
      <w:bookmarkStart w:id="1088" w:name="_Toc351203609"/>
      <w:bookmarkStart w:id="1089" w:name="_Toc532377297"/>
      <w:bookmarkStart w:id="1090" w:name="_Toc296503118"/>
      <w:bookmarkStart w:id="1091" w:name="_Toc337558825"/>
      <w:bookmarkStart w:id="1092" w:name="_Toc296346619"/>
      <w:r>
        <w:rPr>
          <w:rFonts w:hint="eastAsia"/>
          <w:color w:val="auto"/>
          <w:sz w:val="21"/>
          <w:szCs w:val="21"/>
          <w:highlight w:val="none"/>
        </w:rPr>
        <w:t>17.2 不可抗力的通知</w:t>
      </w:r>
      <w:bookmarkEnd w:id="1088"/>
      <w:bookmarkEnd w:id="1089"/>
    </w:p>
    <w:bookmarkEnd w:id="1090"/>
    <w:bookmarkEnd w:id="1091"/>
    <w:bookmarkEnd w:id="1092"/>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0" w:beforeAutospacing="0" w:after="0" w:afterAutospacing="0" w:line="360" w:lineRule="auto"/>
        <w:ind w:firstLine="422" w:firstLineChars="200"/>
        <w:rPr>
          <w:color w:val="auto"/>
          <w:sz w:val="21"/>
          <w:szCs w:val="21"/>
          <w:highlight w:val="none"/>
        </w:rPr>
      </w:pPr>
      <w:bookmarkStart w:id="1093" w:name="_Toc532377298"/>
      <w:r>
        <w:rPr>
          <w:rFonts w:hint="eastAsia"/>
          <w:color w:val="auto"/>
          <w:sz w:val="21"/>
          <w:szCs w:val="21"/>
          <w:highlight w:val="none"/>
        </w:rPr>
        <w:t>17.3 不可抗力后果的承担</w:t>
      </w:r>
      <w:bookmarkEnd w:id="1093"/>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17.3.1 不可抗力引起的后果及造成的损失由合同当事人按照法律规定及合同约定各自承担。不可抗力发生前已完成的工程应当按照合同约定进行计量支付。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17.3.2 不可抗力导致的人员伤亡、财产损失、费用增加和（或）工期延误等后果，由合同当事人按以下原则承担：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（1）永久工程、已运至施工现场的材料和工程设备的损坏，以及因工程损坏造成的第三人人员伤亡和财产损失由发包人承担；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（2）承包人施工设备的损坏由承包人承担；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（3）发包人和承包人承担各自人员伤亡和财产的损失；</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（5）因不可抗力引起或将引起工期延误，发包人要求赶工的，由此增加的赶工费用由发包人承担；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（6）承包人在停工期间按照发包人要求照管、清理和修复工程的费用由发包人承担。</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不可抗力发生后，合同当事人均应采取措施尽量避免和减少损失的扩大，任何一方当事人没有采取有效措施导致损失扩大的，应对扩大的损失承担责任。</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因合同一方迟延履行合同义务，在迟延履行期间遭遇不可抗力的，不免除其违约责任。</w:t>
      </w:r>
    </w:p>
    <w:p>
      <w:pPr>
        <w:pStyle w:val="7"/>
        <w:spacing w:before="0" w:beforeAutospacing="0" w:after="0" w:afterAutospacing="0" w:line="360" w:lineRule="auto"/>
        <w:ind w:firstLine="422" w:firstLineChars="200"/>
        <w:rPr>
          <w:color w:val="auto"/>
          <w:sz w:val="21"/>
          <w:szCs w:val="21"/>
          <w:highlight w:val="none"/>
        </w:rPr>
      </w:pPr>
      <w:bookmarkStart w:id="1094" w:name="_Toc532377299"/>
      <w:bookmarkStart w:id="1095" w:name="_Toc351203611"/>
      <w:bookmarkStart w:id="1096" w:name="_Toc337558827"/>
      <w:r>
        <w:rPr>
          <w:rFonts w:hint="eastAsia"/>
          <w:color w:val="auto"/>
          <w:sz w:val="21"/>
          <w:szCs w:val="21"/>
          <w:highlight w:val="none"/>
        </w:rPr>
        <w:t>17.4 因不可抗力解除合同</w:t>
      </w:r>
      <w:bookmarkEnd w:id="1094"/>
      <w:bookmarkEnd w:id="1095"/>
    </w:p>
    <w:bookmarkEnd w:id="1096"/>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（1）合同解除前承包人已完成工作的价款；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（2）承包人为工程订购的并已交付给承包人，或承包人有责任接受交付的材料、工程设备和其他物品的价款；</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（3）发包人要求承包人退货或解除订货合同而产生的费用，或因不能退货或解除合同而产生的损失；</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（4）承包人撤离施工现场以及遣散承包人人员的费用；</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（5）按照合同约定在合同解除前应支付给承包人的其他款项；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（6）扣减承包人按照合同约定应向发包人支付的款项；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（7）双方商定或确定的其他款项。</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除专用合同条款另有约定外，合同解除后，发包人应在商定或确定上述款项后28天内完成上述款项的支付。</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97" w:name="_Toc351203612"/>
      <w:bookmarkStart w:id="1098" w:name="_Toc532377300"/>
      <w:bookmarkStart w:id="1099" w:name="_Toc532375604"/>
      <w:bookmarkStart w:id="1100" w:name="_Toc296503120"/>
      <w:bookmarkStart w:id="1101" w:name="_Toc296346621"/>
      <w:bookmarkStart w:id="1102" w:name="_Toc337558828"/>
      <w:r>
        <w:rPr>
          <w:rFonts w:hint="eastAsia"/>
          <w:color w:val="auto"/>
          <w:kern w:val="2"/>
          <w:sz w:val="21"/>
          <w:szCs w:val="21"/>
          <w:highlight w:val="none"/>
        </w:rPr>
        <w:t>18. 保险</w:t>
      </w:r>
      <w:bookmarkEnd w:id="1097"/>
      <w:bookmarkEnd w:id="1098"/>
      <w:bookmarkEnd w:id="1099"/>
    </w:p>
    <w:bookmarkEnd w:id="1100"/>
    <w:bookmarkEnd w:id="1101"/>
    <w:bookmarkEnd w:id="1102"/>
    <w:p>
      <w:pPr>
        <w:pStyle w:val="7"/>
        <w:spacing w:before="0" w:beforeAutospacing="0" w:after="0" w:afterAutospacing="0" w:line="360" w:lineRule="auto"/>
        <w:ind w:firstLine="422" w:firstLineChars="200"/>
        <w:rPr>
          <w:color w:val="auto"/>
          <w:sz w:val="21"/>
          <w:szCs w:val="21"/>
          <w:highlight w:val="none"/>
        </w:rPr>
      </w:pPr>
      <w:bookmarkStart w:id="1103" w:name="_Toc532377302"/>
      <w:bookmarkStart w:id="1104" w:name="_Toc351203614"/>
      <w:bookmarkStart w:id="1105" w:name="_Toc296346623"/>
      <w:bookmarkStart w:id="1106" w:name="_Toc337558830"/>
      <w:bookmarkStart w:id="1107" w:name="_Toc296503122"/>
      <w:r>
        <w:rPr>
          <w:rFonts w:hint="eastAsia"/>
          <w:color w:val="auto"/>
          <w:sz w:val="21"/>
          <w:szCs w:val="21"/>
          <w:highlight w:val="none"/>
        </w:rPr>
        <w:t>18.2 工伤保险</w:t>
      </w:r>
      <w:bookmarkEnd w:id="1103"/>
      <w:bookmarkEnd w:id="1104"/>
    </w:p>
    <w:bookmarkEnd w:id="1105"/>
    <w:bookmarkEnd w:id="1106"/>
    <w:bookmarkEnd w:id="1107"/>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pPr>
        <w:pStyle w:val="7"/>
        <w:spacing w:before="0" w:beforeAutospacing="0" w:after="0" w:afterAutospacing="0" w:line="360" w:lineRule="auto"/>
        <w:ind w:firstLine="422" w:firstLineChars="200"/>
        <w:rPr>
          <w:color w:val="auto"/>
          <w:sz w:val="21"/>
          <w:szCs w:val="21"/>
          <w:highlight w:val="none"/>
        </w:rPr>
      </w:pPr>
      <w:bookmarkStart w:id="1108" w:name="_Toc532377303"/>
      <w:bookmarkStart w:id="1109" w:name="_Toc351203615"/>
      <w:bookmarkStart w:id="1110" w:name="_Toc337558831"/>
      <w:bookmarkStart w:id="1111" w:name="_Toc296346626"/>
      <w:bookmarkStart w:id="1112" w:name="_Toc296503125"/>
      <w:r>
        <w:rPr>
          <w:rFonts w:hint="eastAsia"/>
          <w:color w:val="auto"/>
          <w:sz w:val="21"/>
          <w:szCs w:val="21"/>
          <w:highlight w:val="none"/>
        </w:rPr>
        <w:t>18.3其他保险</w:t>
      </w:r>
      <w:bookmarkEnd w:id="1108"/>
      <w:bookmarkEnd w:id="1109"/>
    </w:p>
    <w:bookmarkEnd w:id="1110"/>
    <w:bookmarkEnd w:id="1111"/>
    <w:bookmarkEnd w:id="1112"/>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除专用合同条款另有约定外，承包人应为其施工设备等办理财产保险。</w:t>
      </w:r>
    </w:p>
    <w:p>
      <w:pPr>
        <w:pStyle w:val="7"/>
        <w:spacing w:before="0" w:beforeAutospacing="0" w:after="0" w:afterAutospacing="0" w:line="360" w:lineRule="auto"/>
        <w:ind w:firstLine="422" w:firstLineChars="200"/>
        <w:rPr>
          <w:color w:val="auto"/>
          <w:sz w:val="21"/>
          <w:szCs w:val="21"/>
          <w:highlight w:val="none"/>
        </w:rPr>
      </w:pPr>
      <w:bookmarkStart w:id="1113" w:name="_Toc351203616"/>
      <w:bookmarkStart w:id="1114" w:name="_Toc532377304"/>
      <w:r>
        <w:rPr>
          <w:rFonts w:hint="eastAsia"/>
          <w:color w:val="auto"/>
          <w:sz w:val="21"/>
          <w:szCs w:val="21"/>
          <w:highlight w:val="none"/>
        </w:rPr>
        <w:t>18.4持续保险</w:t>
      </w:r>
      <w:bookmarkEnd w:id="1113"/>
      <w:bookmarkEnd w:id="1114"/>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合同当事人应与保险人保持联系，使保险人能够随时了解工程实施中的变动，并确保按保险合同条款要求持续保险。</w:t>
      </w:r>
    </w:p>
    <w:p>
      <w:pPr>
        <w:pStyle w:val="7"/>
        <w:spacing w:before="0" w:beforeAutospacing="0" w:after="0" w:afterAutospacing="0" w:line="360" w:lineRule="auto"/>
        <w:ind w:firstLine="422" w:firstLineChars="200"/>
        <w:rPr>
          <w:color w:val="auto"/>
          <w:sz w:val="21"/>
          <w:szCs w:val="21"/>
          <w:highlight w:val="none"/>
        </w:rPr>
      </w:pPr>
      <w:bookmarkStart w:id="1115" w:name="_Toc351203617"/>
      <w:bookmarkStart w:id="1116" w:name="_Toc532377305"/>
      <w:bookmarkStart w:id="1117" w:name="_Toc296346627"/>
      <w:bookmarkStart w:id="1118" w:name="_Toc337558832"/>
      <w:bookmarkStart w:id="1119" w:name="_Toc296503126"/>
      <w:r>
        <w:rPr>
          <w:rFonts w:hint="eastAsia"/>
          <w:color w:val="auto"/>
          <w:sz w:val="21"/>
          <w:szCs w:val="21"/>
          <w:highlight w:val="none"/>
        </w:rPr>
        <w:t>18.5 保险凭证</w:t>
      </w:r>
      <w:bookmarkEnd w:id="1115"/>
      <w:bookmarkEnd w:id="1116"/>
    </w:p>
    <w:bookmarkEnd w:id="1117"/>
    <w:bookmarkEnd w:id="1118"/>
    <w:bookmarkEnd w:id="1119"/>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合同当事人应及时向另一方当事人提交其已投保的各项保险的凭证和保险单复印件。</w:t>
      </w:r>
    </w:p>
    <w:p>
      <w:pPr>
        <w:pStyle w:val="7"/>
        <w:spacing w:before="0" w:beforeAutospacing="0" w:after="0" w:afterAutospacing="0" w:line="360" w:lineRule="auto"/>
        <w:ind w:firstLine="422" w:firstLineChars="200"/>
        <w:rPr>
          <w:color w:val="auto"/>
          <w:sz w:val="21"/>
          <w:szCs w:val="21"/>
          <w:highlight w:val="none"/>
        </w:rPr>
      </w:pPr>
      <w:bookmarkStart w:id="1120" w:name="_Toc532377306"/>
      <w:bookmarkStart w:id="1121" w:name="_Toc351203618"/>
      <w:bookmarkStart w:id="1122" w:name="_Toc296346628"/>
      <w:bookmarkStart w:id="1123" w:name="_Toc337558833"/>
      <w:bookmarkStart w:id="1124" w:name="_Toc296503127"/>
      <w:r>
        <w:rPr>
          <w:rFonts w:hint="eastAsia"/>
          <w:color w:val="auto"/>
          <w:sz w:val="21"/>
          <w:szCs w:val="21"/>
          <w:highlight w:val="none"/>
        </w:rPr>
        <w:t>18.6 未按约定投保的补救</w:t>
      </w:r>
      <w:bookmarkEnd w:id="1120"/>
      <w:bookmarkEnd w:id="1121"/>
    </w:p>
    <w:bookmarkEnd w:id="1122"/>
    <w:bookmarkEnd w:id="1123"/>
    <w:bookmarkEnd w:id="1124"/>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0" w:beforeAutospacing="0" w:after="0" w:afterAutospacing="0" w:line="360" w:lineRule="auto"/>
        <w:ind w:firstLine="422" w:firstLineChars="200"/>
        <w:rPr>
          <w:color w:val="auto"/>
          <w:sz w:val="21"/>
          <w:szCs w:val="21"/>
          <w:highlight w:val="none"/>
        </w:rPr>
      </w:pPr>
      <w:bookmarkStart w:id="1125" w:name="_Toc351203619"/>
      <w:bookmarkStart w:id="1126" w:name="_Toc532377307"/>
      <w:bookmarkStart w:id="1127" w:name="_Toc337558834"/>
      <w:r>
        <w:rPr>
          <w:rFonts w:hint="eastAsia"/>
          <w:color w:val="auto"/>
          <w:sz w:val="21"/>
          <w:szCs w:val="21"/>
          <w:highlight w:val="none"/>
        </w:rPr>
        <w:t>18.7 通知义务</w:t>
      </w:r>
      <w:bookmarkEnd w:id="1125"/>
      <w:bookmarkEnd w:id="1126"/>
    </w:p>
    <w:bookmarkEnd w:id="1127"/>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保险事故发生时，投保人应按照保险合同规定的条件和期限及时向保险人报告。发包人和承包人应当在知道保险事故发生后及时通知对方。</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28" w:name="_Toc532375605"/>
      <w:bookmarkStart w:id="1129" w:name="_Toc532377308"/>
      <w:r>
        <w:rPr>
          <w:rFonts w:hint="eastAsia"/>
          <w:color w:val="auto"/>
          <w:kern w:val="2"/>
          <w:sz w:val="21"/>
          <w:szCs w:val="21"/>
          <w:highlight w:val="none"/>
        </w:rPr>
        <w:t>19. 索赔</w:t>
      </w:r>
      <w:bookmarkEnd w:id="1128"/>
      <w:bookmarkEnd w:id="1129"/>
    </w:p>
    <w:p>
      <w:pPr>
        <w:pStyle w:val="7"/>
        <w:spacing w:before="0" w:beforeAutospacing="0" w:after="0" w:afterAutospacing="0" w:line="360" w:lineRule="auto"/>
        <w:ind w:firstLine="422" w:firstLineChars="200"/>
        <w:rPr>
          <w:color w:val="auto"/>
          <w:sz w:val="21"/>
          <w:szCs w:val="21"/>
          <w:highlight w:val="none"/>
        </w:rPr>
      </w:pPr>
      <w:bookmarkStart w:id="1130" w:name="_Toc532377309"/>
      <w:r>
        <w:rPr>
          <w:rFonts w:hint="eastAsia"/>
          <w:color w:val="auto"/>
          <w:sz w:val="21"/>
          <w:szCs w:val="21"/>
          <w:highlight w:val="none"/>
        </w:rPr>
        <w:t>19.1承包人的索赔</w:t>
      </w:r>
      <w:bookmarkEnd w:id="1130"/>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根据合同约定，承包人认为有权得到追加付款和（或）延长工期的，应按以下程序向发包人提出索赔：</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（3）索赔事件具有持续影响的，承包人应按合理时间间隔继续递交延续索赔通知，说明持续影响的实际情况和记录，列出累计的追加付款金额和（或）工期延长天数；</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（4）在索赔事件影响结束后28天内，承包人应向监理人递交最终索赔报告，说明最终要求索赔的追加付款金额和（或）延长的工期，并附必要的记录和证明材料。</w:t>
      </w:r>
    </w:p>
    <w:p>
      <w:pPr>
        <w:pStyle w:val="7"/>
        <w:spacing w:before="0" w:beforeAutospacing="0" w:after="0" w:afterAutospacing="0" w:line="360" w:lineRule="auto"/>
        <w:ind w:firstLine="422" w:firstLineChars="200"/>
        <w:rPr>
          <w:color w:val="auto"/>
          <w:sz w:val="21"/>
          <w:szCs w:val="21"/>
          <w:highlight w:val="none"/>
        </w:rPr>
      </w:pPr>
      <w:bookmarkStart w:id="1131" w:name="_Toc351203622"/>
      <w:bookmarkStart w:id="1132" w:name="_Toc532377310"/>
      <w:bookmarkStart w:id="1133" w:name="_Toc296346643"/>
      <w:bookmarkStart w:id="1134" w:name="_Toc337558837"/>
      <w:bookmarkStart w:id="1135" w:name="_Toc296503142"/>
      <w:r>
        <w:rPr>
          <w:rFonts w:hint="eastAsia"/>
          <w:color w:val="auto"/>
          <w:sz w:val="21"/>
          <w:szCs w:val="21"/>
          <w:highlight w:val="none"/>
        </w:rPr>
        <w:t>19.2 对承包人索赔的处理</w:t>
      </w:r>
      <w:bookmarkEnd w:id="1131"/>
      <w:bookmarkEnd w:id="1132"/>
    </w:p>
    <w:bookmarkEnd w:id="1133"/>
    <w:bookmarkEnd w:id="1134"/>
    <w:bookmarkEnd w:id="1135"/>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对承包人索赔的处理如下：</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（1）监理人应在收到索赔报告后14天内完成审查并报送发包人。监理人对索赔报告存在异议的，有权要求承包人提交全部原始记录副本；</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（3）承包人接受索赔处理结果的，索赔款项在当期进度款中进行支付；承包人不接受索赔处理结果的，按照第20条〔争议解决〕约定处理。</w:t>
      </w:r>
    </w:p>
    <w:p>
      <w:pPr>
        <w:pStyle w:val="7"/>
        <w:spacing w:before="0" w:beforeAutospacing="0" w:after="0" w:afterAutospacing="0" w:line="360" w:lineRule="auto"/>
        <w:ind w:firstLine="422" w:firstLineChars="200"/>
        <w:rPr>
          <w:color w:val="auto"/>
          <w:sz w:val="21"/>
          <w:szCs w:val="21"/>
          <w:highlight w:val="none"/>
        </w:rPr>
      </w:pPr>
      <w:bookmarkStart w:id="1136" w:name="_Toc532377311"/>
      <w:bookmarkStart w:id="1137" w:name="_Toc351203623"/>
      <w:bookmarkStart w:id="1138" w:name="_Toc296346644"/>
      <w:bookmarkStart w:id="1139" w:name="_Toc337558838"/>
      <w:bookmarkStart w:id="1140" w:name="_Toc296503143"/>
      <w:r>
        <w:rPr>
          <w:rFonts w:hint="eastAsia"/>
          <w:color w:val="auto"/>
          <w:sz w:val="21"/>
          <w:szCs w:val="21"/>
          <w:highlight w:val="none"/>
        </w:rPr>
        <w:t>19.3发包人的索赔</w:t>
      </w:r>
      <w:bookmarkEnd w:id="1136"/>
      <w:bookmarkEnd w:id="1137"/>
    </w:p>
    <w:bookmarkEnd w:id="1138"/>
    <w:bookmarkEnd w:id="1139"/>
    <w:bookmarkEnd w:id="1140"/>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根据合同约定，发包人认为有权得到赔付金额和（或）延长缺陷责任期的，监理人应向承包人发出通知并附有详细的证明。</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0" w:beforeAutospacing="0" w:after="0" w:afterAutospacing="0" w:line="360" w:lineRule="auto"/>
        <w:ind w:firstLine="422" w:firstLineChars="200"/>
        <w:rPr>
          <w:color w:val="auto"/>
          <w:sz w:val="21"/>
          <w:szCs w:val="21"/>
          <w:highlight w:val="none"/>
        </w:rPr>
      </w:pPr>
      <w:bookmarkStart w:id="1141" w:name="_Toc351203624"/>
      <w:bookmarkStart w:id="1142" w:name="_Toc532377312"/>
      <w:bookmarkStart w:id="1143" w:name="_Toc296503144"/>
      <w:bookmarkStart w:id="1144" w:name="_Toc337558839"/>
      <w:bookmarkStart w:id="1145" w:name="_Toc296346645"/>
      <w:r>
        <w:rPr>
          <w:rFonts w:hint="eastAsia"/>
          <w:color w:val="auto"/>
          <w:sz w:val="21"/>
          <w:szCs w:val="21"/>
          <w:highlight w:val="none"/>
        </w:rPr>
        <w:t>19.4 对发包人索赔的处理</w:t>
      </w:r>
      <w:bookmarkEnd w:id="1141"/>
      <w:bookmarkEnd w:id="1142"/>
    </w:p>
    <w:bookmarkEnd w:id="1143"/>
    <w:bookmarkEnd w:id="1144"/>
    <w:bookmarkEnd w:id="1145"/>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（1）承包人收到发包人提交的索赔报告后，应及时审查索赔报告的内容、查验发包人证明材料；</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0" w:firstLineChars="200"/>
        <w:rPr>
          <w:b w:val="0"/>
          <w:color w:val="auto"/>
          <w:sz w:val="21"/>
          <w:szCs w:val="21"/>
          <w:highlight w:val="none"/>
        </w:rPr>
      </w:pPr>
      <w:bookmarkStart w:id="1146" w:name="_Toc532377313"/>
      <w:bookmarkStart w:id="1147" w:name="_Toc351203625"/>
      <w:r>
        <w:rPr>
          <w:rFonts w:hint="eastAsia"/>
          <w:b w:val="0"/>
          <w:color w:val="auto"/>
          <w:sz w:val="21"/>
          <w:szCs w:val="21"/>
          <w:highlight w:val="none"/>
        </w:rPr>
        <w:t>19.5 提出索赔的期限</w:t>
      </w:r>
      <w:bookmarkEnd w:id="1146"/>
      <w:bookmarkEnd w:id="1147"/>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（1）承包人按第14.2款〔竣工结算审核〕约定接收竣工付款证书后，应被视为已无权再提出在工程接收证书颁发前所发生的任何索赔。</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（2）承包人按第14.4款〔最终结清〕提交的最终结清申请单中，只限于提出工程接收证书颁发后发生的索赔。提出索赔的期限自接受最终结清证书时终止。</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48" w:name="_Toc532377314"/>
      <w:bookmarkStart w:id="1149" w:name="_Toc351203626"/>
      <w:bookmarkStart w:id="1150" w:name="_Toc532375606"/>
      <w:r>
        <w:rPr>
          <w:rFonts w:hint="eastAsia"/>
          <w:color w:val="auto"/>
          <w:kern w:val="2"/>
          <w:sz w:val="21"/>
          <w:szCs w:val="21"/>
          <w:highlight w:val="none"/>
        </w:rPr>
        <w:t>20</w:t>
      </w:r>
      <w:bookmarkStart w:id="1151" w:name="_Toc296346647"/>
      <w:bookmarkStart w:id="1152" w:name="_Toc337558840"/>
      <w:bookmarkStart w:id="1153" w:name="_Toc296503146"/>
      <w:r>
        <w:rPr>
          <w:rFonts w:hint="eastAsia"/>
          <w:color w:val="auto"/>
          <w:kern w:val="2"/>
          <w:sz w:val="21"/>
          <w:szCs w:val="21"/>
          <w:highlight w:val="none"/>
        </w:rPr>
        <w:t>. 争议解决</w:t>
      </w:r>
      <w:bookmarkEnd w:id="1148"/>
      <w:bookmarkEnd w:id="1149"/>
      <w:bookmarkEnd w:id="1150"/>
    </w:p>
    <w:bookmarkEnd w:id="1151"/>
    <w:bookmarkEnd w:id="1152"/>
    <w:bookmarkEnd w:id="1153"/>
    <w:p>
      <w:pPr>
        <w:pStyle w:val="7"/>
        <w:spacing w:before="0" w:beforeAutospacing="0" w:after="0" w:afterAutospacing="0" w:line="360" w:lineRule="auto"/>
        <w:ind w:firstLine="422" w:firstLineChars="200"/>
        <w:rPr>
          <w:color w:val="auto"/>
          <w:sz w:val="21"/>
          <w:szCs w:val="21"/>
          <w:highlight w:val="none"/>
        </w:rPr>
      </w:pPr>
      <w:bookmarkStart w:id="1154" w:name="_Toc351203627"/>
      <w:bookmarkStart w:id="1155" w:name="_Toc532377315"/>
      <w:bookmarkStart w:id="1156" w:name="_Toc296346648"/>
      <w:bookmarkStart w:id="1157" w:name="_Toc296503147"/>
      <w:bookmarkStart w:id="1158" w:name="_Toc337558841"/>
      <w:r>
        <w:rPr>
          <w:rFonts w:hint="eastAsia"/>
          <w:color w:val="auto"/>
          <w:sz w:val="21"/>
          <w:szCs w:val="21"/>
          <w:highlight w:val="none"/>
        </w:rPr>
        <w:t>20.1和解</w:t>
      </w:r>
      <w:bookmarkEnd w:id="1154"/>
      <w:bookmarkEnd w:id="1155"/>
    </w:p>
    <w:bookmarkEnd w:id="1156"/>
    <w:bookmarkEnd w:id="1157"/>
    <w:bookmarkEnd w:id="1158"/>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合同当事人可以就争议自行和解，自行和解达成协议的经双方签名并盖章后作为合同补充文件，双方均应遵照执行。</w:t>
      </w:r>
    </w:p>
    <w:p>
      <w:pPr>
        <w:pStyle w:val="7"/>
        <w:spacing w:before="0" w:beforeAutospacing="0" w:after="0" w:afterAutospacing="0" w:line="360" w:lineRule="auto"/>
        <w:ind w:firstLine="422" w:firstLineChars="200"/>
        <w:rPr>
          <w:color w:val="auto"/>
          <w:sz w:val="21"/>
          <w:szCs w:val="21"/>
          <w:highlight w:val="none"/>
        </w:rPr>
      </w:pPr>
      <w:bookmarkStart w:id="1159" w:name="_Toc351203628"/>
      <w:bookmarkStart w:id="1160" w:name="_Toc532377316"/>
      <w:r>
        <w:rPr>
          <w:rFonts w:hint="eastAsia"/>
          <w:color w:val="auto"/>
          <w:sz w:val="21"/>
          <w:szCs w:val="21"/>
          <w:highlight w:val="none"/>
        </w:rPr>
        <w:t>20</w:t>
      </w:r>
      <w:bookmarkStart w:id="1161" w:name="_Toc296503148"/>
      <w:bookmarkStart w:id="1162" w:name="_Toc337558842"/>
      <w:bookmarkStart w:id="1163" w:name="_Toc296346649"/>
      <w:r>
        <w:rPr>
          <w:rFonts w:hint="eastAsia"/>
          <w:color w:val="auto"/>
          <w:sz w:val="21"/>
          <w:szCs w:val="21"/>
          <w:highlight w:val="none"/>
        </w:rPr>
        <w:t>.2调解</w:t>
      </w:r>
      <w:bookmarkEnd w:id="1159"/>
      <w:bookmarkEnd w:id="1160"/>
    </w:p>
    <w:bookmarkEnd w:id="1161"/>
    <w:bookmarkEnd w:id="1162"/>
    <w:bookmarkEnd w:id="1163"/>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合同当事人可以就争议请求建设行政主管部门、行业协会或其他第三方进行调解，调解达成协议的，经双方签名并盖章后作为合同补充文件，双方均应遵照执行。</w:t>
      </w:r>
    </w:p>
    <w:p>
      <w:pPr>
        <w:pStyle w:val="7"/>
        <w:spacing w:before="0" w:beforeAutospacing="0" w:after="0" w:afterAutospacing="0" w:line="360" w:lineRule="auto"/>
        <w:ind w:firstLine="422" w:firstLineChars="200"/>
        <w:rPr>
          <w:color w:val="auto"/>
          <w:sz w:val="21"/>
          <w:szCs w:val="21"/>
          <w:highlight w:val="none"/>
        </w:rPr>
      </w:pPr>
      <w:bookmarkStart w:id="1164" w:name="_Toc351203629"/>
      <w:bookmarkStart w:id="1165" w:name="_Toc532377317"/>
      <w:bookmarkStart w:id="1166" w:name="_Toc296503149"/>
      <w:bookmarkStart w:id="1167" w:name="_Toc296346650"/>
      <w:bookmarkStart w:id="1168" w:name="_Toc337558843"/>
      <w:r>
        <w:rPr>
          <w:rFonts w:hint="eastAsia"/>
          <w:color w:val="auto"/>
          <w:sz w:val="21"/>
          <w:szCs w:val="21"/>
          <w:highlight w:val="none"/>
        </w:rPr>
        <w:t>20.3争议评审</w:t>
      </w:r>
      <w:bookmarkEnd w:id="1164"/>
      <w:bookmarkEnd w:id="1165"/>
    </w:p>
    <w:bookmarkEnd w:id="1166"/>
    <w:bookmarkEnd w:id="1167"/>
    <w:bookmarkEnd w:id="1168"/>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合同当事人在专用合同条款中约定采取争议评审方式解决争议以及评审规则，并按下列约定执行： </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20.3.1 争议评审小组的确定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除专用合同条款另有约定外，评审员报酬由发包人和承包人各承担一半。</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20.3.2 争议评审小组的决定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20.3.3 争议评审小组决定的效力</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争议评审小组作出的书面决定经合同当事人签名确认后，对双方具有约束力，双方应遵照执行。</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任何一方当事人不接受争议评审小组决定或不履行争议评审小组决定的，双方可选择采用其他争议解决方式。</w:t>
      </w:r>
    </w:p>
    <w:p>
      <w:pPr>
        <w:pStyle w:val="7"/>
        <w:spacing w:before="0" w:beforeAutospacing="0" w:after="0" w:afterAutospacing="0" w:line="360" w:lineRule="auto"/>
        <w:ind w:firstLine="422" w:firstLineChars="200"/>
        <w:rPr>
          <w:color w:val="auto"/>
          <w:sz w:val="21"/>
          <w:szCs w:val="21"/>
          <w:highlight w:val="none"/>
        </w:rPr>
      </w:pPr>
      <w:bookmarkStart w:id="1169" w:name="_Toc532377318"/>
      <w:bookmarkStart w:id="1170" w:name="_Toc351203630"/>
      <w:bookmarkStart w:id="1171" w:name="_Toc337558844"/>
      <w:bookmarkStart w:id="1172" w:name="_Toc296503150"/>
      <w:bookmarkStart w:id="1173" w:name="_Toc296346651"/>
      <w:r>
        <w:rPr>
          <w:rFonts w:hint="eastAsia"/>
          <w:color w:val="auto"/>
          <w:sz w:val="21"/>
          <w:szCs w:val="21"/>
          <w:highlight w:val="none"/>
        </w:rPr>
        <w:t>20.4仲裁或诉讼</w:t>
      </w:r>
      <w:bookmarkEnd w:id="1169"/>
      <w:bookmarkEnd w:id="1170"/>
    </w:p>
    <w:bookmarkEnd w:id="1171"/>
    <w:bookmarkEnd w:id="1172"/>
    <w:bookmarkEnd w:id="1173"/>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因合同及合同有关事项产生的争议，合同当事人可以在专用合同条款中约定以下一种方式解决争议：</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（1）向约定的仲裁委员会申请仲裁；</w:t>
      </w:r>
    </w:p>
    <w:p>
      <w:pPr>
        <w:autoSpaceDE w:val="0"/>
        <w:autoSpaceDN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（2）向有管辖权的人民法院起诉。</w:t>
      </w:r>
    </w:p>
    <w:p>
      <w:pPr>
        <w:pStyle w:val="7"/>
        <w:spacing w:before="0" w:beforeAutospacing="0" w:after="0" w:afterAutospacing="0" w:line="360" w:lineRule="auto"/>
        <w:ind w:firstLine="420" w:firstLineChars="200"/>
        <w:rPr>
          <w:b w:val="0"/>
          <w:color w:val="auto"/>
          <w:sz w:val="21"/>
          <w:szCs w:val="21"/>
          <w:highlight w:val="none"/>
        </w:rPr>
      </w:pPr>
      <w:bookmarkStart w:id="1174" w:name="_Toc351203631"/>
      <w:bookmarkStart w:id="1175" w:name="_Toc532377319"/>
      <w:bookmarkStart w:id="1176" w:name="_Toc337558845"/>
      <w:bookmarkStart w:id="1177" w:name="_Toc296346653"/>
      <w:bookmarkStart w:id="1178" w:name="_Toc296503152"/>
      <w:r>
        <w:rPr>
          <w:rFonts w:hint="eastAsia"/>
          <w:b w:val="0"/>
          <w:color w:val="auto"/>
          <w:sz w:val="21"/>
          <w:szCs w:val="21"/>
          <w:highlight w:val="none"/>
        </w:rPr>
        <w:t>20.5争议解决条款效力</w:t>
      </w:r>
      <w:bookmarkEnd w:id="1174"/>
      <w:bookmarkEnd w:id="1175"/>
    </w:p>
    <w:bookmarkEnd w:id="1176"/>
    <w:bookmarkEnd w:id="1177"/>
    <w:bookmarkEnd w:id="1178"/>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合同有关争议解决的条款独立存在，合同的变更、解除、终止、无效或者被撤销均不影响其效力。</w:t>
      </w:r>
    </w:p>
    <w:p>
      <w:pPr>
        <w:keepNext/>
        <w:keepLines/>
        <w:snapToGrid w:val="0"/>
        <w:spacing w:before="260" w:after="260" w:line="360" w:lineRule="auto"/>
        <w:outlineLvl w:val="2"/>
        <w:rPr>
          <w:rFonts w:ascii="宋体" w:hAnsi="宋体"/>
          <w:b/>
          <w:bCs/>
          <w:color w:val="auto"/>
          <w:szCs w:val="21"/>
          <w:highlight w:val="none"/>
          <w:lang w:val="zh-CN"/>
        </w:rPr>
      </w:pPr>
    </w:p>
    <w:p>
      <w:pPr>
        <w:pStyle w:val="2"/>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rFonts w:ascii="宋体" w:hAnsi="宋体"/>
          <w:b/>
          <w:bCs/>
          <w:color w:val="auto"/>
          <w:szCs w:val="21"/>
          <w:highlight w:val="none"/>
          <w:lang w:val="zh-CN"/>
        </w:rPr>
      </w:pPr>
    </w:p>
    <w:p>
      <w:pPr>
        <w:rPr>
          <w:color w:val="auto"/>
          <w:highlight w:val="none"/>
          <w:lang w:val="zh-CN"/>
        </w:rPr>
      </w:pPr>
    </w:p>
    <w:p>
      <w:pPr>
        <w:pStyle w:val="5"/>
        <w:jc w:val="center"/>
        <w:rPr>
          <w:rFonts w:ascii="宋体" w:hAnsi="宋体"/>
          <w:color w:val="auto"/>
          <w:sz w:val="44"/>
          <w:szCs w:val="44"/>
          <w:highlight w:val="none"/>
        </w:rPr>
      </w:pPr>
      <w:bookmarkStart w:id="1179" w:name="_Toc532377320"/>
      <w:bookmarkStart w:id="1180" w:name="_Toc532375607"/>
      <w:bookmarkStart w:id="1181" w:name="_Toc29227"/>
      <w:bookmarkStart w:id="1182" w:name="_Toc529388290"/>
      <w:r>
        <w:rPr>
          <w:rFonts w:hint="eastAsia" w:ascii="宋体" w:hAnsi="宋体"/>
          <w:color w:val="auto"/>
          <w:sz w:val="44"/>
          <w:szCs w:val="44"/>
          <w:highlight w:val="none"/>
        </w:rPr>
        <w:t>第三部分 专用合同条款</w:t>
      </w:r>
      <w:bookmarkEnd w:id="1179"/>
      <w:bookmarkEnd w:id="1180"/>
      <w:bookmarkEnd w:id="1181"/>
      <w:bookmarkEnd w:id="1182"/>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183" w:name="_Toc532375608"/>
      <w:bookmarkStart w:id="1184" w:name="_Toc532377321"/>
      <w:bookmarkStart w:id="1185" w:name="_Toc351203633"/>
      <w:bookmarkStart w:id="1186" w:name="_Hlk528927191"/>
      <w:r>
        <w:rPr>
          <w:rFonts w:hint="eastAsia"/>
          <w:color w:val="auto"/>
          <w:kern w:val="2"/>
          <w:sz w:val="21"/>
          <w:szCs w:val="21"/>
          <w:highlight w:val="none"/>
        </w:rPr>
        <w:t>1</w:t>
      </w:r>
      <w:bookmarkStart w:id="1187" w:name="_Toc292559866"/>
      <w:bookmarkStart w:id="1188" w:name="_Toc296503156"/>
      <w:bookmarkStart w:id="1189" w:name="_Toc297048342"/>
      <w:bookmarkStart w:id="1190" w:name="_Toc296347155"/>
      <w:bookmarkStart w:id="1191" w:name="_Toc292559361"/>
      <w:bookmarkStart w:id="1192" w:name="_Toc296891196"/>
      <w:bookmarkStart w:id="1193" w:name="_Toc297120456"/>
      <w:bookmarkStart w:id="1194" w:name="_Toc296890984"/>
      <w:bookmarkStart w:id="1195" w:name="_Toc296346657"/>
      <w:bookmarkStart w:id="1196" w:name="_Toc296944495"/>
      <w:r>
        <w:rPr>
          <w:rFonts w:hint="eastAsia"/>
          <w:color w:val="auto"/>
          <w:kern w:val="2"/>
          <w:sz w:val="21"/>
          <w:szCs w:val="21"/>
          <w:highlight w:val="none"/>
        </w:rPr>
        <w:t>. 一般约定</w:t>
      </w:r>
      <w:bookmarkEnd w:id="1183"/>
      <w:bookmarkEnd w:id="1184"/>
      <w:bookmarkEnd w:id="1185"/>
    </w:p>
    <w:bookmarkEnd w:id="1187"/>
    <w:bookmarkEnd w:id="1188"/>
    <w:bookmarkEnd w:id="1189"/>
    <w:bookmarkEnd w:id="1190"/>
    <w:bookmarkEnd w:id="1191"/>
    <w:bookmarkEnd w:id="1192"/>
    <w:bookmarkEnd w:id="1193"/>
    <w:bookmarkEnd w:id="1194"/>
    <w:bookmarkEnd w:id="1195"/>
    <w:bookmarkEnd w:id="1196"/>
    <w:p>
      <w:pPr>
        <w:pStyle w:val="7"/>
        <w:spacing w:before="0" w:beforeAutospacing="0" w:after="0" w:afterAutospacing="0" w:line="360" w:lineRule="auto"/>
        <w:ind w:firstLine="422" w:firstLineChars="200"/>
        <w:rPr>
          <w:color w:val="auto"/>
          <w:sz w:val="21"/>
          <w:szCs w:val="21"/>
          <w:highlight w:val="none"/>
        </w:rPr>
      </w:pPr>
      <w:bookmarkStart w:id="1197" w:name="_Toc532377322"/>
      <w:r>
        <w:rPr>
          <w:rFonts w:hint="eastAsia"/>
          <w:color w:val="auto"/>
          <w:sz w:val="21"/>
          <w:szCs w:val="21"/>
          <w:highlight w:val="none"/>
        </w:rPr>
        <w:t>1.1词语定义与解释</w:t>
      </w:r>
      <w:bookmarkEnd w:id="1197"/>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 合同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1.1.1.6技术标准和要求：</w:t>
      </w:r>
      <w:r>
        <w:rPr>
          <w:rFonts w:hint="eastAsia" w:ascii="宋体" w:hAnsi="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1.1.1.8 已标价工程量清单：</w:t>
      </w:r>
      <w:r>
        <w:rPr>
          <w:rFonts w:hint="eastAsia" w:ascii="宋体" w:hAnsi="宋体"/>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1.1.1.10 其他合同文件包括：</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本项补充1.1.1.11～1.1.1.16目：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1.1.1.11 招标文件：</w:t>
      </w:r>
      <w:r>
        <w:rPr>
          <w:rFonts w:hint="eastAsia" w:ascii="宋体" w:hAnsi="宋体"/>
          <w:color w:val="auto"/>
          <w:kern w:val="0"/>
          <w:szCs w:val="21"/>
          <w:highlight w:val="none"/>
          <w:u w:val="single"/>
        </w:rPr>
        <w:t>指本工程的招标文件、图纸、其他技术资料及招标人发出的对招标文件所作的澄清、修改等资料</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1.1.1.12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1.1.1.13 重大设计变更：按照规定需要重新报建设行政主管部门批准的设计变更。</w:t>
      </w:r>
    </w:p>
    <w:p>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14 公章：专指法定单位名称章</w:t>
      </w:r>
      <w:r>
        <w:rPr>
          <w:rFonts w:ascii="宋体" w:hAnsi="宋体"/>
          <w:color w:val="auto"/>
          <w:szCs w:val="21"/>
          <w:highlight w:val="none"/>
        </w:rPr>
        <w:t>。</w:t>
      </w:r>
    </w:p>
    <w:bookmarkEnd w:id="1186"/>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1.1.1.15 到岗：指承包人按照到岗履职承诺安排满足办理施工许可手续相关要求的项目主要管理人员实际到施工现场就职履约的行为。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1.1.1.16 项目法人：指具有民事权利能力和民事行为能力，依法独立享有民事权利和承担民事义务，以建设项目为目的，从事项目管理的机构、单位或组织。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1.1.2.4 监理人：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1.1.3.7 作为施工现场组成部分的其他场所包括：</w:t>
      </w:r>
      <w:r>
        <w:rPr>
          <w:rFonts w:hint="eastAsia" w:ascii="宋体" w:hAnsi="宋体"/>
          <w:color w:val="auto"/>
          <w:kern w:val="0"/>
          <w:szCs w:val="21"/>
          <w:highlight w:val="none"/>
          <w:u w:val="single"/>
        </w:rPr>
        <w:t>永久占地、临时占地以及为修建临时工程而租用、占用的土地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1.1.3.9 永久占地包括：</w:t>
      </w:r>
      <w:r>
        <w:rPr>
          <w:rFonts w:hint="eastAsia" w:ascii="宋体" w:hAnsi="宋体"/>
          <w:color w:val="auto"/>
          <w:kern w:val="0"/>
          <w:szCs w:val="21"/>
          <w:highlight w:val="none"/>
          <w:u w:val="single"/>
        </w:rPr>
        <w:t>为实施合同工程而需要的一切永久占用的土地，即合同工程</w:t>
      </w:r>
      <w:r>
        <w:rPr>
          <w:rFonts w:hint="eastAsia" w:ascii="宋体" w:hAnsi="宋体"/>
          <w:color w:val="auto"/>
          <w:szCs w:val="21"/>
          <w:highlight w:val="none"/>
          <w:u w:val="single"/>
        </w:rPr>
        <w:t>用地红线范围内的土地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为实施合同工程而需要</w:t>
      </w:r>
      <w:r>
        <w:rPr>
          <w:rFonts w:hint="eastAsia" w:ascii="宋体" w:hAnsi="宋体"/>
          <w:color w:val="auto"/>
          <w:kern w:val="0"/>
          <w:szCs w:val="21"/>
          <w:highlight w:val="none"/>
          <w:u w:val="single"/>
        </w:rPr>
        <w:t>的一切</w:t>
      </w:r>
      <w:r>
        <w:rPr>
          <w:rFonts w:hint="eastAsia" w:ascii="宋体" w:hAnsi="宋体"/>
          <w:color w:val="auto"/>
          <w:szCs w:val="21"/>
          <w:highlight w:val="none"/>
          <w:u w:val="single"/>
        </w:rPr>
        <w:t>临时占用的土地，包括施工所用的临时便道等的临时出入道，以及生产（办公）、生活等临时设施用地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pPr>
        <w:spacing w:line="360" w:lineRule="auto"/>
        <w:ind w:firstLine="420" w:firstLineChars="200"/>
        <w:jc w:val="left"/>
        <w:rPr>
          <w:rFonts w:ascii="宋体" w:hAnsi="宋体"/>
          <w:color w:val="auto"/>
          <w:szCs w:val="21"/>
          <w:highlight w:val="none"/>
        </w:rPr>
      </w:pPr>
      <w:bookmarkStart w:id="1198" w:name="_Hlk528927262"/>
      <w:r>
        <w:rPr>
          <w:rFonts w:hint="eastAsia" w:ascii="宋体" w:hAnsi="宋体"/>
          <w:color w:val="auto"/>
          <w:szCs w:val="21"/>
          <w:highlight w:val="none"/>
        </w:rPr>
        <w:t>本项补充1.1.6.2～1.1.6.3目：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highlight w:val="none"/>
        </w:rPr>
        <w:t>违法行为</w:t>
      </w:r>
      <w:r>
        <w:rPr>
          <w:rFonts w:hint="eastAsia" w:ascii="宋体" w:hAnsi="宋体"/>
          <w:color w:val="auto"/>
          <w:szCs w:val="21"/>
          <w:highlight w:val="none"/>
        </w:rPr>
        <w:t>。</w:t>
      </w:r>
    </w:p>
    <w:bookmarkEnd w:id="1198"/>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pPr>
        <w:pStyle w:val="7"/>
        <w:spacing w:before="0" w:beforeAutospacing="0" w:after="0" w:afterAutospacing="0" w:line="360" w:lineRule="auto"/>
        <w:ind w:firstLine="422" w:firstLineChars="200"/>
        <w:rPr>
          <w:color w:val="auto"/>
          <w:sz w:val="21"/>
          <w:szCs w:val="21"/>
          <w:highlight w:val="none"/>
        </w:rPr>
      </w:pPr>
      <w:bookmarkStart w:id="1199" w:name="_Toc532377323"/>
      <w:r>
        <w:rPr>
          <w:rFonts w:hint="eastAsia"/>
          <w:color w:val="auto"/>
          <w:sz w:val="21"/>
          <w:szCs w:val="21"/>
          <w:highlight w:val="none"/>
        </w:rPr>
        <w:t>1.4 标准和规范</w:t>
      </w:r>
      <w:bookmarkEnd w:id="119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1.4.1 适用于工程的标准规范包括：</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（1）施工图所涉及的技术标准、规范、规程、图集等；</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（2）国家、行业或重庆市与本工程有关的标准，以及相应的规范、规程等，当这些标准、规范、规程不一致时，以标准、规范、规程要求最高的为准。</w:t>
      </w:r>
    </w:p>
    <w:p>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发包人对工程的技术标准和功能要求的特殊要求：</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200" w:name="_Toc532377324"/>
      <w:r>
        <w:rPr>
          <w:rFonts w:hint="eastAsia"/>
          <w:color w:val="auto"/>
          <w:sz w:val="21"/>
          <w:szCs w:val="21"/>
          <w:highlight w:val="none"/>
        </w:rPr>
        <w:t>1.5 合同文件的优先顺序</w:t>
      </w:r>
      <w:bookmarkEnd w:id="120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201" w:name="_Toc532377325"/>
      <w:r>
        <w:rPr>
          <w:rFonts w:hint="eastAsia"/>
          <w:color w:val="auto"/>
          <w:sz w:val="21"/>
          <w:szCs w:val="21"/>
          <w:highlight w:val="none"/>
        </w:rPr>
        <w:t>1.6 图纸和承包人文件</w:t>
      </w:r>
      <w:bookmarkEnd w:id="120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通用合同条款第7.3.2款</w:t>
      </w:r>
      <w:r>
        <w:rPr>
          <w:rFonts w:hint="eastAsia" w:ascii="宋体" w:hAnsi="宋体"/>
          <w:bCs/>
          <w:color w:val="auto"/>
          <w:szCs w:val="21"/>
          <w:highlight w:val="none"/>
          <w:u w:val="single"/>
        </w:rPr>
        <w:t>〔</w:t>
      </w:r>
      <w:r>
        <w:rPr>
          <w:rFonts w:hint="eastAsia" w:ascii="宋体" w:hAnsi="宋体"/>
          <w:color w:val="auto"/>
          <w:szCs w:val="21"/>
          <w:highlight w:val="none"/>
          <w:u w:val="single"/>
        </w:rPr>
        <w:t>开工通知</w:t>
      </w:r>
      <w:r>
        <w:rPr>
          <w:rFonts w:hint="eastAsia" w:ascii="宋体" w:hAnsi="宋体"/>
          <w:bCs/>
          <w:color w:val="auto"/>
          <w:szCs w:val="21"/>
          <w:highlight w:val="none"/>
          <w:u w:val="single"/>
        </w:rPr>
        <w:t>〕</w:t>
      </w:r>
      <w:r>
        <w:rPr>
          <w:rFonts w:hint="eastAsia" w:ascii="宋体" w:hAnsi="宋体"/>
          <w:color w:val="auto"/>
          <w:szCs w:val="21"/>
          <w:highlight w:val="none"/>
          <w:u w:val="single"/>
        </w:rPr>
        <w:t>载明的开工日期前14天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套</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工程承包范围内工程的施工图设计文件</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发包人组织承包人、监理人和设计人进行图纸会审和设计交底的时间：</w:t>
      </w:r>
      <w:r>
        <w:rPr>
          <w:rFonts w:hint="eastAsia" w:ascii="宋体" w:hAnsi="宋体"/>
          <w:color w:val="auto"/>
          <w:szCs w:val="21"/>
          <w:highlight w:val="none"/>
          <w:u w:val="single"/>
        </w:rPr>
        <w:t>提供施工图后7天内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承包人可以书面方式通过监理人向发包人申请进行紧急的设计交底，发包人认为确有必要且条件许可时，应尽快组织实施承包人申请的设计交底。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 图纸的错误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承包人不得利用图纸的差错、遗漏或缺陷，从中获得不正当的利益。</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需要由承包人提供的书面文件，包括：</w:t>
      </w:r>
      <w:r>
        <w:rPr>
          <w:rFonts w:hint="eastAsia" w:ascii="宋体" w:hAnsi="宋体"/>
          <w:color w:val="auto"/>
          <w:szCs w:val="21"/>
          <w:highlight w:val="none"/>
          <w:u w:val="single"/>
        </w:rPr>
        <w:t>施工组织设计、专项施工方案、</w:t>
      </w:r>
      <w:r>
        <w:rPr>
          <w:rFonts w:ascii="宋体" w:hAnsi="宋体"/>
          <w:color w:val="auto"/>
          <w:szCs w:val="21"/>
          <w:highlight w:val="none"/>
          <w:u w:val="single"/>
        </w:rPr>
        <w:t>危险性较大分部分项工程施工方案</w:t>
      </w:r>
      <w:r>
        <w:rPr>
          <w:rFonts w:hint="eastAsia" w:ascii="宋体" w:hAnsi="宋体"/>
          <w:color w:val="auto"/>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承包人提供文件的期限、数量：</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每月</w:t>
      </w:r>
      <w:r>
        <w:rPr>
          <w:rFonts w:hint="eastAsia" w:ascii="宋体" w:hAnsi="宋体"/>
          <w:color w:val="auto"/>
          <w:szCs w:val="21"/>
          <w:highlight w:val="none"/>
          <w:u w:val="single"/>
          <w:lang w:val="en-US" w:eastAsia="zh-CN"/>
        </w:rPr>
        <w:t>25</w:t>
      </w:r>
      <w:r>
        <w:rPr>
          <w:rFonts w:hint="eastAsia" w:ascii="宋体" w:hAnsi="宋体"/>
          <w:color w:val="auto"/>
          <w:szCs w:val="21"/>
          <w:highlight w:val="none"/>
          <w:u w:val="single"/>
        </w:rPr>
        <w:t>日前报送月工程进度完成报表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（3）合同另有约定的，按照其约定。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承包人提供的文件的费用：</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收到后14天内；合同另有约定的，从其约定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监理人、发包人的修改意见和审批，不免除或减轻承包人对该工作、工程、材料、工程设备等应承担的责任和义务</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202" w:name="_Toc532377326"/>
      <w:r>
        <w:rPr>
          <w:rFonts w:hint="eastAsia"/>
          <w:color w:val="auto"/>
          <w:sz w:val="21"/>
          <w:szCs w:val="21"/>
          <w:highlight w:val="none"/>
        </w:rPr>
        <w:t>1.7 联络</w:t>
      </w:r>
      <w:bookmarkEnd w:id="1202"/>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发包人和承包人应当在</w:t>
      </w:r>
      <w:r>
        <w:rPr>
          <w:rFonts w:hint="eastAsia" w:ascii="宋体" w:hAnsi="宋体"/>
          <w:color w:val="auto"/>
          <w:szCs w:val="21"/>
          <w:highlight w:val="none"/>
          <w:u w:val="single"/>
        </w:rPr>
        <w:t xml:space="preserve"> 1 </w:t>
      </w:r>
      <w:r>
        <w:rPr>
          <w:rFonts w:hint="eastAsia" w:ascii="宋体" w:hAnsi="宋体"/>
          <w:color w:val="auto"/>
          <w:kern w:val="0"/>
          <w:szCs w:val="21"/>
          <w:highlight w:val="none"/>
        </w:rPr>
        <w:t>天内将与合同有关的通知、批准、证明、证书、指示、指令、要求、请求、同意、意见、确定和决定等书面函件送达对方当事人，并办理书面签收手续。</w:t>
      </w:r>
    </w:p>
    <w:p>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发包人指定的接收人：</w:t>
      </w:r>
      <w:bookmarkStart w:id="1203" w:name="_Hlk528493983"/>
      <w:bookmarkEnd w:id="1203"/>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tabs>
          <w:tab w:val="left" w:pos="737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204" w:name="_Toc532377327"/>
      <w:r>
        <w:rPr>
          <w:rFonts w:hint="eastAsia"/>
          <w:color w:val="auto"/>
          <w:sz w:val="21"/>
          <w:szCs w:val="21"/>
          <w:highlight w:val="none"/>
        </w:rPr>
        <w:t>1.8 严禁贿赂</w:t>
      </w:r>
      <w:bookmarkEnd w:id="1204"/>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本款补充以下内容：</w:t>
      </w:r>
    </w:p>
    <w:p>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在合同执行过程中，合同当事人应严格履行附件8《廉洁从业协议》。</w:t>
      </w:r>
    </w:p>
    <w:p>
      <w:pPr>
        <w:pStyle w:val="7"/>
        <w:spacing w:before="0" w:beforeAutospacing="0" w:after="0" w:afterAutospacing="0" w:line="360" w:lineRule="auto"/>
        <w:ind w:firstLine="422" w:firstLineChars="200"/>
        <w:rPr>
          <w:color w:val="auto"/>
          <w:sz w:val="21"/>
          <w:szCs w:val="21"/>
          <w:highlight w:val="none"/>
        </w:rPr>
      </w:pPr>
      <w:bookmarkStart w:id="1205" w:name="_Toc532377328"/>
      <w:r>
        <w:rPr>
          <w:rFonts w:hint="eastAsia"/>
          <w:color w:val="auto"/>
          <w:sz w:val="21"/>
          <w:szCs w:val="21"/>
          <w:highlight w:val="none"/>
        </w:rPr>
        <w:t>1.10 交通运输</w:t>
      </w:r>
      <w:bookmarkEnd w:id="120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1206" w:name="_Toc304295521"/>
      <w:bookmarkStart w:id="1207" w:name="_Toc303539100"/>
      <w:bookmarkStart w:id="1208" w:name="_Toc318581155"/>
      <w:bookmarkStart w:id="1209" w:name="_Toc300934943"/>
      <w:bookmarkStart w:id="1210" w:name="_Toc312677986"/>
      <w:r>
        <w:rPr>
          <w:rFonts w:hint="eastAsia" w:ascii="宋体" w:hAnsi="宋体"/>
          <w:color w:val="auto"/>
          <w:szCs w:val="21"/>
          <w:highlight w:val="none"/>
        </w:rPr>
        <w:t>.10.1 出入现场的权利</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206"/>
    <w:bookmarkEnd w:id="1207"/>
    <w:bookmarkEnd w:id="1208"/>
    <w:bookmarkEnd w:id="1209"/>
    <w:bookmarkEnd w:id="1210"/>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1.10.2 场外交通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承包人应遵守有关交通法规，执行有关道路限速、限行、禁止超载的规定，并配合交通管理部门的监督和检查。场外交通以施工场地移交时的现状为准。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1211" w:name="_Toc318581156"/>
      <w:bookmarkStart w:id="1212" w:name="_Toc303539101"/>
      <w:bookmarkStart w:id="1213" w:name="_Toc312677987"/>
      <w:bookmarkStart w:id="1214" w:name="_Toc304295522"/>
      <w:bookmarkStart w:id="1215" w:name="_Toc300934944"/>
      <w:r>
        <w:rPr>
          <w:rFonts w:hint="eastAsia" w:ascii="宋体" w:hAnsi="宋体"/>
          <w:color w:val="auto"/>
          <w:szCs w:val="21"/>
          <w:highlight w:val="none"/>
        </w:rPr>
        <w:t>.10.3 场内交通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bookmarkEnd w:id="1211"/>
    <w:bookmarkEnd w:id="1212"/>
    <w:bookmarkEnd w:id="1213"/>
    <w:bookmarkEnd w:id="1214"/>
    <w:bookmarkEnd w:id="1215"/>
    <w:p>
      <w:pPr>
        <w:spacing w:line="360" w:lineRule="auto"/>
        <w:ind w:firstLine="420" w:firstLineChars="200"/>
        <w:jc w:val="left"/>
        <w:rPr>
          <w:rFonts w:ascii="宋体" w:hAnsi="宋体"/>
          <w:color w:val="auto"/>
          <w:szCs w:val="21"/>
          <w:highlight w:val="none"/>
        </w:rPr>
      </w:pPr>
      <w:bookmarkStart w:id="1216" w:name="_Toc318581157"/>
      <w:r>
        <w:rPr>
          <w:rFonts w:hint="eastAsia" w:ascii="宋体" w:hAnsi="宋体"/>
          <w:color w:val="auto"/>
          <w:szCs w:val="21"/>
          <w:highlight w:val="none"/>
        </w:rPr>
        <w:t>1.10.4 超大件和超重件的运输</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发包人</w:t>
      </w:r>
      <w:r>
        <w:rPr>
          <w:rFonts w:hint="eastAsia" w:ascii="宋体" w:hAnsi="宋体"/>
          <w:color w:val="auto"/>
          <w:szCs w:val="21"/>
          <w:highlight w:val="none"/>
        </w:rPr>
        <w:t>承担。</w:t>
      </w:r>
    </w:p>
    <w:bookmarkEnd w:id="1216"/>
    <w:p>
      <w:pPr>
        <w:pStyle w:val="7"/>
        <w:spacing w:before="0" w:beforeAutospacing="0" w:after="0" w:afterAutospacing="0" w:line="360" w:lineRule="auto"/>
        <w:ind w:firstLine="422" w:firstLineChars="200"/>
        <w:rPr>
          <w:color w:val="auto"/>
          <w:sz w:val="21"/>
          <w:szCs w:val="21"/>
          <w:highlight w:val="none"/>
        </w:rPr>
      </w:pPr>
      <w:bookmarkStart w:id="1217" w:name="_Toc532377329"/>
      <w:r>
        <w:rPr>
          <w:rFonts w:hint="eastAsia"/>
          <w:color w:val="auto"/>
          <w:sz w:val="21"/>
          <w:szCs w:val="21"/>
          <w:highlight w:val="none"/>
        </w:rPr>
        <w:t>1.11 知识产权</w:t>
      </w:r>
      <w:bookmarkEnd w:id="121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属于发包人</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由承包人承担</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18" w:name="_Toc532375609"/>
      <w:bookmarkStart w:id="1219" w:name="_Toc351203634"/>
      <w:bookmarkStart w:id="1220" w:name="_Toc532377331"/>
      <w:r>
        <w:rPr>
          <w:rFonts w:hint="eastAsia"/>
          <w:color w:val="auto"/>
          <w:kern w:val="2"/>
          <w:sz w:val="21"/>
          <w:szCs w:val="21"/>
          <w:highlight w:val="none"/>
        </w:rPr>
        <w:t>2</w:t>
      </w:r>
      <w:bookmarkStart w:id="1221" w:name="_Toc296944496"/>
      <w:bookmarkStart w:id="1222" w:name="_Toc292559867"/>
      <w:bookmarkStart w:id="1223" w:name="_Toc297048343"/>
      <w:bookmarkStart w:id="1224" w:name="_Toc296503157"/>
      <w:bookmarkStart w:id="1225" w:name="_Toc296890985"/>
      <w:bookmarkStart w:id="1226" w:name="_Toc296891197"/>
      <w:bookmarkStart w:id="1227" w:name="_Toc292559362"/>
      <w:bookmarkStart w:id="1228" w:name="_Toc297120457"/>
      <w:bookmarkStart w:id="1229" w:name="_Toc296346658"/>
      <w:bookmarkStart w:id="1230" w:name="_Toc296347156"/>
      <w:r>
        <w:rPr>
          <w:rFonts w:hint="eastAsia"/>
          <w:color w:val="auto"/>
          <w:kern w:val="2"/>
          <w:sz w:val="21"/>
          <w:szCs w:val="21"/>
          <w:highlight w:val="none"/>
        </w:rPr>
        <w:t>. 发包人</w:t>
      </w:r>
      <w:bookmarkEnd w:id="1218"/>
      <w:bookmarkEnd w:id="1219"/>
      <w:bookmarkEnd w:id="1220"/>
    </w:p>
    <w:bookmarkEnd w:id="1221"/>
    <w:bookmarkEnd w:id="1222"/>
    <w:bookmarkEnd w:id="1223"/>
    <w:bookmarkEnd w:id="1224"/>
    <w:bookmarkEnd w:id="1225"/>
    <w:bookmarkEnd w:id="1226"/>
    <w:bookmarkEnd w:id="1227"/>
    <w:bookmarkEnd w:id="1228"/>
    <w:bookmarkEnd w:id="1229"/>
    <w:bookmarkEnd w:id="1230"/>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2.2.1 发包人代表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    编：</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231" w:name="_Toc532377332"/>
      <w:r>
        <w:rPr>
          <w:rFonts w:hint="eastAsia"/>
          <w:color w:val="auto"/>
          <w:sz w:val="21"/>
          <w:szCs w:val="21"/>
          <w:highlight w:val="none"/>
        </w:rPr>
        <w:t>2.4 施工现场、施工条件和基础资料的提供</w:t>
      </w:r>
      <w:bookmarkEnd w:id="123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 提供施工现场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2.4.1.1 提供场地：</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施工场地的提供采用以下第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（1）一次提供全部施工场地：发包人于</w:t>
      </w:r>
      <w:r>
        <w:rPr>
          <w:rFonts w:hint="eastAsia" w:ascii="宋体" w:hAnsi="宋体"/>
          <w:color w:val="auto"/>
          <w:szCs w:val="21"/>
          <w:highlight w:val="none"/>
          <w:u w:val="single"/>
        </w:rPr>
        <w:t>开工</w:t>
      </w:r>
      <w:r>
        <w:rPr>
          <w:rFonts w:hint="eastAsia" w:ascii="宋体" w:hAnsi="宋体"/>
          <w:color w:val="auto"/>
          <w:szCs w:val="21"/>
          <w:highlight w:val="none"/>
        </w:rPr>
        <w:t>前向承包人提供合同工程用地红线范围内的施工场地。</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（2）分次提供全部施工场地：</w:t>
      </w:r>
      <w:r>
        <w:rPr>
          <w:rFonts w:hint="eastAsia" w:ascii="宋体" w:hAnsi="宋体"/>
          <w:color w:val="auto"/>
          <w:szCs w:val="21"/>
          <w:highlight w:val="none"/>
          <w:u w:val="single"/>
        </w:rPr>
        <w:t>发包人按约定的时间分次向承包人提供合同工程用地红线范围内的施工场地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承包人编制的施工组织计划已充分考虑了施工场地提供的因素</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关于发包人应负责提供施工所需要的条件：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仅提供施工场地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232" w:name="_Toc532377333"/>
      <w:r>
        <w:rPr>
          <w:rFonts w:hint="eastAsia"/>
          <w:color w:val="auto"/>
          <w:sz w:val="21"/>
          <w:szCs w:val="21"/>
          <w:highlight w:val="none"/>
        </w:rPr>
        <w:t>2.5 资金来源证明及支付担保</w:t>
      </w:r>
      <w:bookmarkEnd w:id="123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支付担保的形式：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233" w:name="_Toc351203635"/>
      <w:bookmarkStart w:id="1234" w:name="_Toc532377334"/>
      <w:bookmarkStart w:id="1235" w:name="_Toc532375610"/>
      <w:r>
        <w:rPr>
          <w:rFonts w:hint="eastAsia"/>
          <w:color w:val="auto"/>
          <w:kern w:val="2"/>
          <w:sz w:val="21"/>
          <w:szCs w:val="21"/>
          <w:highlight w:val="none"/>
        </w:rPr>
        <w:t>3</w:t>
      </w:r>
      <w:bookmarkStart w:id="1236" w:name="_Toc296890986"/>
      <w:bookmarkStart w:id="1237" w:name="_Toc296503158"/>
      <w:bookmarkStart w:id="1238" w:name="_Toc292559868"/>
      <w:bookmarkStart w:id="1239" w:name="_Toc296347157"/>
      <w:bookmarkStart w:id="1240" w:name="_Toc292559363"/>
      <w:bookmarkStart w:id="1241" w:name="_Toc297120458"/>
      <w:bookmarkStart w:id="1242" w:name="_Toc296346659"/>
      <w:bookmarkStart w:id="1243" w:name="_Toc297048344"/>
      <w:bookmarkStart w:id="1244" w:name="_Toc296944497"/>
      <w:bookmarkStart w:id="1245" w:name="_Toc296891198"/>
      <w:r>
        <w:rPr>
          <w:rFonts w:hint="eastAsia"/>
          <w:color w:val="auto"/>
          <w:kern w:val="2"/>
          <w:sz w:val="21"/>
          <w:szCs w:val="21"/>
          <w:highlight w:val="none"/>
        </w:rPr>
        <w:t>. 承包人</w:t>
      </w:r>
      <w:bookmarkEnd w:id="1233"/>
      <w:bookmarkEnd w:id="1234"/>
      <w:bookmarkEnd w:id="1235"/>
    </w:p>
    <w:bookmarkEnd w:id="1236"/>
    <w:bookmarkEnd w:id="1237"/>
    <w:bookmarkEnd w:id="1238"/>
    <w:bookmarkEnd w:id="1239"/>
    <w:bookmarkEnd w:id="1240"/>
    <w:bookmarkEnd w:id="1241"/>
    <w:bookmarkEnd w:id="1242"/>
    <w:bookmarkEnd w:id="1243"/>
    <w:bookmarkEnd w:id="1244"/>
    <w:bookmarkEnd w:id="1245"/>
    <w:p>
      <w:pPr>
        <w:pStyle w:val="7"/>
        <w:spacing w:before="0" w:beforeAutospacing="0" w:after="0" w:afterAutospacing="0" w:line="360" w:lineRule="auto"/>
        <w:ind w:firstLine="422" w:firstLineChars="200"/>
        <w:rPr>
          <w:color w:val="auto"/>
          <w:sz w:val="21"/>
          <w:szCs w:val="21"/>
          <w:highlight w:val="none"/>
        </w:rPr>
      </w:pPr>
      <w:bookmarkStart w:id="1246" w:name="_Toc532377335"/>
      <w:r>
        <w:rPr>
          <w:rFonts w:hint="eastAsia"/>
          <w:color w:val="auto"/>
          <w:sz w:val="21"/>
          <w:szCs w:val="21"/>
          <w:highlight w:val="none"/>
        </w:rPr>
        <w:t>3.1 承包人的一般义务</w:t>
      </w:r>
      <w:bookmarkEnd w:id="1246"/>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本款细化为3.1.1～3.1.10项：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3.1.6按照第6.3款〔环境保护〕约定负责施工场地及其周边环境与生态的保护工作。</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3.1.7按照第6.1款〔安全文明施工〕约定采取施工安全措施，确保工程及其人员、材料、设备和设施的安全，防止因工程施工造成的人身伤害和财产损失。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3.1.9承包人提交的竣工资料的内容：</w:t>
      </w:r>
      <w:r>
        <w:rPr>
          <w:rFonts w:hint="eastAsia" w:ascii="宋体" w:hAnsi="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highlight w:val="none"/>
        </w:rPr>
        <w:t>。</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承包人需要提交的竣工资料套数：完整竣工资料一式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两</w:t>
      </w:r>
      <w:r>
        <w:rPr>
          <w:rFonts w:hint="eastAsia" w:ascii="宋体" w:hAnsi="宋体"/>
          <w:color w:val="auto"/>
          <w:szCs w:val="21"/>
          <w:highlight w:val="none"/>
          <w:u w:val="single"/>
        </w:rPr>
        <w:t xml:space="preserve">  </w:t>
      </w:r>
      <w:r>
        <w:rPr>
          <w:rFonts w:hint="eastAsia" w:ascii="宋体" w:hAnsi="宋体"/>
          <w:color w:val="auto"/>
          <w:szCs w:val="21"/>
          <w:highlight w:val="none"/>
        </w:rPr>
        <w:t>套（含电子文档）。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 xml:space="preserve">工程竣工验收合格后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个月内移交给发包人</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完整的书面文件及电子文档</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3.1.10承包人应履行的其他义务：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3.1.10.4承包人应服从发包人要求的管理模式、工作方式和工作要求，同时接受监理人、跟审单位的管理和全程监督，配合项目结、决算的办理。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3.1.10.5</w:t>
      </w:r>
      <w:r>
        <w:rPr>
          <w:rFonts w:hint="eastAsia" w:ascii="宋体" w:hAnsi="宋体"/>
          <w:color w:val="auto"/>
          <w:szCs w:val="21"/>
          <w:highlight w:val="none"/>
          <w:u w:val="single"/>
        </w:rPr>
        <w:t>承包人应为本工程开立专用账户，接受发包人的监管</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rPr>
        <w:t>3.1.10.6</w:t>
      </w:r>
      <w:r>
        <w:rPr>
          <w:rFonts w:hint="eastAsia" w:ascii="宋体" w:hAnsi="宋体"/>
          <w:color w:val="auto"/>
          <w:szCs w:val="21"/>
          <w:highlight w:val="none"/>
          <w:lang w:val="en-US" w:eastAsia="zh-CN"/>
        </w:rPr>
        <w:t>现场供电、供水</w:t>
      </w:r>
    </w:p>
    <w:p>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3.1.10.6.1供电</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w:t>
      </w:r>
      <w:r>
        <w:rPr>
          <w:rFonts w:hint="eastAsia" w:ascii="宋体" w:hAnsi="宋体"/>
          <w:color w:val="auto"/>
          <w:szCs w:val="21"/>
          <w:highlight w:val="none"/>
          <w:lang w:val="en-US" w:eastAsia="zh-CN"/>
        </w:rPr>
        <w:t>人</w:t>
      </w:r>
      <w:r>
        <w:rPr>
          <w:rFonts w:hint="eastAsia" w:ascii="宋体" w:hAnsi="宋体"/>
          <w:color w:val="auto"/>
          <w:szCs w:val="21"/>
          <w:highlight w:val="none"/>
        </w:rPr>
        <w:t>应与供电部门联系施工所需的电源，</w:t>
      </w:r>
      <w:r>
        <w:rPr>
          <w:rFonts w:hint="eastAsia" w:ascii="宋体" w:hAnsi="宋体"/>
          <w:color w:val="auto"/>
          <w:szCs w:val="21"/>
          <w:highlight w:val="none"/>
          <w:lang w:val="en-US" w:eastAsia="zh-CN"/>
        </w:rPr>
        <w:t>发包人</w:t>
      </w:r>
      <w:r>
        <w:rPr>
          <w:rFonts w:hint="eastAsia" w:ascii="宋体" w:hAnsi="宋体"/>
          <w:color w:val="auto"/>
          <w:szCs w:val="21"/>
          <w:highlight w:val="none"/>
        </w:rPr>
        <w:t>将提供必要的协助，但不为此承担任何费用。</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w:t>
      </w:r>
      <w:r>
        <w:rPr>
          <w:rFonts w:hint="eastAsia" w:ascii="宋体" w:hAnsi="宋体"/>
          <w:color w:val="auto"/>
          <w:szCs w:val="21"/>
          <w:highlight w:val="none"/>
          <w:lang w:val="en-US" w:eastAsia="zh-CN"/>
        </w:rPr>
        <w:t>人</w:t>
      </w:r>
      <w:r>
        <w:rPr>
          <w:rFonts w:hint="eastAsia" w:ascii="宋体" w:hAnsi="宋体"/>
          <w:color w:val="auto"/>
          <w:szCs w:val="21"/>
          <w:highlight w:val="none"/>
        </w:rPr>
        <w:t>应负责建立为工程服务的全部临时供电和照明系统，并按当地供电部门的用电收费标准支付用电费并服从价格调整。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w:t>
      </w:r>
      <w:r>
        <w:rPr>
          <w:rFonts w:hint="eastAsia" w:ascii="宋体" w:hAnsi="宋体"/>
          <w:color w:val="auto"/>
          <w:szCs w:val="21"/>
          <w:highlight w:val="none"/>
          <w:lang w:val="en-US" w:eastAsia="zh-CN"/>
        </w:rPr>
        <w:t>人</w:t>
      </w:r>
      <w:r>
        <w:rPr>
          <w:rFonts w:hint="eastAsia" w:ascii="宋体" w:hAnsi="宋体"/>
          <w:color w:val="auto"/>
          <w:szCs w:val="21"/>
          <w:highlight w:val="none"/>
        </w:rPr>
        <w:t>负责维修供电负载端装置，并采取必要的保护措施，对工地用电安全负责。</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4）施工结束后，承包</w:t>
      </w:r>
      <w:r>
        <w:rPr>
          <w:rFonts w:hint="eastAsia" w:ascii="宋体" w:hAnsi="宋体"/>
          <w:color w:val="auto"/>
          <w:szCs w:val="21"/>
          <w:highlight w:val="none"/>
          <w:lang w:val="en-US" w:eastAsia="zh-CN"/>
        </w:rPr>
        <w:t>人</w:t>
      </w:r>
      <w:r>
        <w:rPr>
          <w:rFonts w:hint="eastAsia" w:ascii="宋体" w:hAnsi="宋体"/>
          <w:color w:val="auto"/>
          <w:szCs w:val="21"/>
          <w:highlight w:val="none"/>
        </w:rPr>
        <w:t>应负责拆除临时供电设施，但在交工前双方另有协议者除外。</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5）承包</w:t>
      </w:r>
      <w:r>
        <w:rPr>
          <w:rFonts w:hint="eastAsia" w:ascii="宋体" w:hAnsi="宋体"/>
          <w:color w:val="auto"/>
          <w:szCs w:val="21"/>
          <w:highlight w:val="none"/>
          <w:lang w:val="en-US" w:eastAsia="zh-CN"/>
        </w:rPr>
        <w:t>人</w:t>
      </w:r>
      <w:r>
        <w:rPr>
          <w:rFonts w:hint="eastAsia" w:ascii="宋体" w:hAnsi="宋体"/>
          <w:color w:val="auto"/>
          <w:szCs w:val="21"/>
          <w:highlight w:val="none"/>
        </w:rPr>
        <w:t>必须在工地设置与工程规模相匹配的备用电源。</w:t>
      </w:r>
    </w:p>
    <w:p>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3.1.10.6.2供水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w:t>
      </w:r>
      <w:r>
        <w:rPr>
          <w:rFonts w:hint="eastAsia" w:ascii="宋体" w:hAnsi="宋体"/>
          <w:color w:val="auto"/>
          <w:szCs w:val="21"/>
          <w:highlight w:val="none"/>
          <w:lang w:val="en-US" w:eastAsia="zh-CN"/>
        </w:rPr>
        <w:t>人</w:t>
      </w:r>
      <w:r>
        <w:rPr>
          <w:rFonts w:hint="eastAsia" w:ascii="宋体" w:hAnsi="宋体"/>
          <w:color w:val="auto"/>
          <w:szCs w:val="21"/>
          <w:highlight w:val="none"/>
        </w:rPr>
        <w:t>应直接与供水部门联系施工所需水源。</w:t>
      </w:r>
      <w:r>
        <w:rPr>
          <w:rFonts w:hint="eastAsia" w:ascii="宋体" w:hAnsi="宋体"/>
          <w:color w:val="auto"/>
          <w:szCs w:val="21"/>
          <w:highlight w:val="none"/>
          <w:lang w:val="en-US" w:eastAsia="zh-CN"/>
        </w:rPr>
        <w:t>发包人</w:t>
      </w:r>
      <w:r>
        <w:rPr>
          <w:rFonts w:hint="eastAsia" w:ascii="宋体" w:hAnsi="宋体"/>
          <w:color w:val="auto"/>
          <w:szCs w:val="21"/>
          <w:highlight w:val="none"/>
        </w:rPr>
        <w:t>可以提供必要的协助，但不为此承担任何费用。承包商应按规定的收费标准支付水费并服从价格调整。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w:t>
      </w:r>
      <w:r>
        <w:rPr>
          <w:rFonts w:hint="eastAsia" w:ascii="宋体" w:hAnsi="宋体"/>
          <w:color w:val="auto"/>
          <w:szCs w:val="21"/>
          <w:highlight w:val="none"/>
          <w:lang w:val="en-US" w:eastAsia="zh-CN"/>
        </w:rPr>
        <w:t>人</w:t>
      </w:r>
      <w:r>
        <w:rPr>
          <w:rFonts w:hint="eastAsia" w:ascii="宋体" w:hAnsi="宋体"/>
          <w:color w:val="auto"/>
          <w:szCs w:val="21"/>
          <w:highlight w:val="none"/>
        </w:rPr>
        <w:t>应负责从水源到所有用水点的连接，安装自己使用的所有管路和计量表，供水包括生活用水、施工用水及闭水试验用水等。由此而产生的费用和开支应由承包商承担。</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3）施工结束后，承包商应负责拆除临时供水设施，但在交工前另有协议者不在此列。 </w:t>
      </w:r>
    </w:p>
    <w:p>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3.1.10.7施工临时便道</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w:t>
      </w:r>
      <w:r>
        <w:rPr>
          <w:rFonts w:hint="eastAsia" w:ascii="宋体" w:hAnsi="宋体"/>
          <w:color w:val="auto"/>
          <w:szCs w:val="21"/>
          <w:highlight w:val="none"/>
          <w:lang w:val="en-US" w:eastAsia="zh-CN"/>
        </w:rPr>
        <w:t>人</w:t>
      </w:r>
      <w:r>
        <w:rPr>
          <w:rFonts w:hint="eastAsia" w:ascii="宋体" w:hAnsi="宋体"/>
          <w:color w:val="auto"/>
          <w:szCs w:val="21"/>
          <w:highlight w:val="none"/>
        </w:rPr>
        <w:t>应负责安排为执行本合同目的的临时便道的修筑、维护、清除和恢复。完工后应将临时便道恢复至开始前状况，并满足相关单位的要求。</w:t>
      </w:r>
      <w:r>
        <w:rPr>
          <w:rFonts w:hint="eastAsia" w:ascii="宋体" w:hAnsi="宋体"/>
          <w:color w:val="auto"/>
          <w:szCs w:val="21"/>
          <w:highlight w:val="none"/>
          <w:lang w:val="en-US" w:eastAsia="zh-CN"/>
        </w:rPr>
        <w:t>费用由承包人承担。</w:t>
      </w:r>
    </w:p>
    <w:p>
      <w:pPr>
        <w:pStyle w:val="7"/>
        <w:spacing w:before="0" w:beforeAutospacing="0" w:after="0" w:afterAutospacing="0" w:line="360" w:lineRule="auto"/>
        <w:ind w:firstLine="422" w:firstLineChars="200"/>
        <w:rPr>
          <w:color w:val="auto"/>
          <w:sz w:val="21"/>
          <w:szCs w:val="21"/>
          <w:highlight w:val="none"/>
        </w:rPr>
      </w:pPr>
      <w:bookmarkStart w:id="1247" w:name="_Toc532377336"/>
      <w:r>
        <w:rPr>
          <w:rFonts w:hint="eastAsia"/>
          <w:color w:val="auto"/>
          <w:sz w:val="21"/>
          <w:szCs w:val="21"/>
          <w:highlight w:val="none"/>
        </w:rPr>
        <w:t>3.2 项目经理</w:t>
      </w:r>
      <w:bookmarkEnd w:id="1247"/>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olor w:val="auto"/>
          <w:szCs w:val="21"/>
          <w:highlight w:val="none"/>
        </w:rPr>
        <w:t>项目经理：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r>
        <w:rPr>
          <w:rFonts w:ascii="宋体" w:hAnsi="宋体"/>
          <w:color w:val="auto"/>
          <w:szCs w:val="21"/>
          <w:highlight w:val="none"/>
          <w:u w:val="single"/>
        </w:rPr>
        <w:t>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rPr>
        <w:t>不少于22天，由监理人负责项目经理的考勤</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3.2.2 技术负责人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     业：</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证书名称及号码：</w:t>
      </w:r>
      <w:r>
        <w:rPr>
          <w:rFonts w:ascii="宋体" w:hAnsi="宋体"/>
          <w:color w:val="auto"/>
          <w:szCs w:val="21"/>
          <w:highlight w:val="none"/>
          <w:u w:val="single"/>
        </w:rPr>
        <w:t xml:space="preserve">                         </w:t>
      </w:r>
      <w:r>
        <w:rPr>
          <w:rFonts w:hint="eastAsia" w:ascii="宋体" w:hAnsi="宋体"/>
          <w:color w:val="auto"/>
          <w:szCs w:val="21"/>
          <w:highlight w:val="none"/>
        </w:rPr>
        <w:t>；</w:t>
      </w:r>
    </w:p>
    <w:p>
      <w:pPr>
        <w:pStyle w:val="2"/>
        <w:spacing w:after="0" w:line="36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关于技</w:t>
      </w:r>
      <w:r>
        <w:rPr>
          <w:rFonts w:hint="eastAsia" w:ascii="宋体" w:hAnsi="宋体"/>
          <w:color w:val="auto"/>
          <w:szCs w:val="21"/>
          <w:highlight w:val="none"/>
        </w:rPr>
        <w:t>术负责人每月在施工现场的时间要求：</w:t>
      </w:r>
      <w:r>
        <w:rPr>
          <w:rFonts w:hint="eastAsia" w:ascii="宋体" w:hAnsi="宋体"/>
          <w:color w:val="auto"/>
          <w:szCs w:val="21"/>
          <w:highlight w:val="none"/>
          <w:u w:val="single"/>
        </w:rPr>
        <w:t>不少于22天，由监理人负责技术负责人的考勤</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highlight w:val="none"/>
        </w:rPr>
        <w:t>。</w:t>
      </w:r>
      <w:bookmarkStart w:id="1248" w:name="_Hlk528927599"/>
    </w:p>
    <w:bookmarkEnd w:id="1248"/>
    <w:p>
      <w:pPr>
        <w:spacing w:line="360" w:lineRule="auto"/>
        <w:ind w:firstLine="420" w:firstLineChars="200"/>
        <w:jc w:val="left"/>
        <w:rPr>
          <w:rFonts w:ascii="宋体" w:hAnsi="宋体"/>
          <w:color w:val="auto"/>
          <w:szCs w:val="21"/>
          <w:highlight w:val="none"/>
        </w:rPr>
      </w:pPr>
      <w:bookmarkStart w:id="1249" w:name="_Hlk528927718"/>
      <w:r>
        <w:rPr>
          <w:rFonts w:hint="eastAsia" w:ascii="宋体" w:hAnsi="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24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1、死亡；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2、非承包人原因导致工期延长，而致使项目经理和技术负责人达到法定退休年龄且确需退休；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3、按《职工非因工伤残或因病丧失劳动能力程度鉴定标准（试行）》规定鉴定为完全丧失劳动能力和大部分丧失劳动能力；</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4、非承包人原因导致中标3个月不能开工；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5、被公安或者司法机关限制人身自由；</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6、被取消职称或者执业资格，不满足项目管理要求；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7、非承包人原因导致确需变更的其它情形。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本款补充3.2.6项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3.2.6 国有资金投资项目其他主要人员变更参照《重庆市政府投资项目合同变更管理暂行办法》的规定。</w:t>
      </w:r>
    </w:p>
    <w:p>
      <w:pPr>
        <w:pStyle w:val="7"/>
        <w:spacing w:before="0" w:beforeAutospacing="0" w:after="0" w:afterAutospacing="0" w:line="360" w:lineRule="auto"/>
        <w:ind w:firstLine="422" w:firstLineChars="200"/>
        <w:rPr>
          <w:color w:val="auto"/>
          <w:sz w:val="21"/>
          <w:szCs w:val="21"/>
          <w:highlight w:val="none"/>
        </w:rPr>
      </w:pPr>
      <w:bookmarkStart w:id="1250" w:name="_Toc532377337"/>
      <w:r>
        <w:rPr>
          <w:rFonts w:hint="eastAsia"/>
          <w:color w:val="auto"/>
          <w:sz w:val="21"/>
          <w:szCs w:val="21"/>
          <w:highlight w:val="none"/>
        </w:rPr>
        <w:t>3.3 承包人人员</w:t>
      </w:r>
      <w:bookmarkEnd w:id="125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3.3.1 承包人应按建设行政主管部门现行规定配备现场施工从业人员，具体要求如下：</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满足国家、市、县相关法律法规要求。</w:t>
      </w:r>
      <w:r>
        <w:rPr>
          <w:rFonts w:hint="eastAsia" w:ascii="宋体" w:hAnsi="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3.3.4 承包人主要施工管理人员离开施工现场，指定的临时人员需满足：</w:t>
      </w:r>
      <w:r>
        <w:rPr>
          <w:rFonts w:hint="eastAsia" w:ascii="宋体" w:hAnsi="宋体"/>
          <w:color w:val="auto"/>
          <w:szCs w:val="21"/>
          <w:highlight w:val="none"/>
          <w:u w:val="single"/>
        </w:rPr>
        <w:t>《重庆市房屋建筑与市政基础设施工程现场施工从业人员配备标准》（DBJ50-157-2013）的相应要求</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251" w:name="_Toc532377338"/>
      <w:r>
        <w:rPr>
          <w:rFonts w:hint="eastAsia"/>
          <w:color w:val="auto"/>
          <w:sz w:val="21"/>
          <w:szCs w:val="21"/>
          <w:highlight w:val="none"/>
        </w:rPr>
        <w:t>3</w:t>
      </w:r>
      <w:bookmarkStart w:id="1252" w:name="_Toc296944498"/>
      <w:bookmarkStart w:id="1253" w:name="_Toc292559869"/>
      <w:bookmarkStart w:id="1254" w:name="_Toc296890987"/>
      <w:bookmarkStart w:id="1255" w:name="_Toc292559364"/>
      <w:bookmarkStart w:id="1256" w:name="_Toc297123492"/>
      <w:bookmarkStart w:id="1257" w:name="_Toc296346660"/>
      <w:bookmarkStart w:id="1258" w:name="_Toc296503159"/>
      <w:bookmarkStart w:id="1259" w:name="_Toc297216151"/>
      <w:bookmarkStart w:id="1260" w:name="_Toc296347158"/>
      <w:bookmarkStart w:id="1261" w:name="_Toc297120459"/>
      <w:bookmarkStart w:id="1262" w:name="_Toc304295523"/>
      <w:bookmarkStart w:id="1263" w:name="_Toc303539102"/>
      <w:bookmarkStart w:id="1264" w:name="_Toc297048345"/>
      <w:bookmarkStart w:id="1265" w:name="_Toc300934945"/>
      <w:bookmarkStart w:id="1266" w:name="_Toc296891199"/>
      <w:bookmarkStart w:id="1267" w:name="_Toc312677988"/>
      <w:r>
        <w:rPr>
          <w:rFonts w:hint="eastAsia"/>
          <w:color w:val="auto"/>
          <w:sz w:val="21"/>
          <w:szCs w:val="21"/>
          <w:highlight w:val="none"/>
        </w:rPr>
        <w:t>.5 分包</w:t>
      </w:r>
      <w:bookmarkEnd w:id="1251"/>
    </w:p>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1268" w:name="_Toc296890988"/>
      <w:bookmarkStart w:id="1269" w:name="_Toc304295524"/>
      <w:bookmarkStart w:id="1270" w:name="_Toc297120460"/>
      <w:bookmarkStart w:id="1271" w:name="_Toc296346661"/>
      <w:bookmarkStart w:id="1272" w:name="_Toc303539103"/>
      <w:bookmarkStart w:id="1273" w:name="_Toc297216152"/>
      <w:bookmarkStart w:id="1274" w:name="_Toc312677989"/>
      <w:bookmarkStart w:id="1275" w:name="_Toc300934946"/>
      <w:bookmarkStart w:id="1276" w:name="_Toc296944499"/>
      <w:bookmarkStart w:id="1277" w:name="_Toc297048346"/>
      <w:bookmarkStart w:id="1278" w:name="_Toc297123493"/>
      <w:bookmarkStart w:id="1279" w:name="_Toc292559870"/>
      <w:bookmarkStart w:id="1280" w:name="_Toc296503160"/>
      <w:bookmarkStart w:id="1281" w:name="_Toc318581158"/>
      <w:bookmarkStart w:id="1282" w:name="_Toc296891200"/>
      <w:bookmarkStart w:id="1283" w:name="_Toc296347159"/>
      <w:bookmarkStart w:id="1284" w:name="_Toc292559365"/>
      <w:r>
        <w:rPr>
          <w:rFonts w:hint="eastAsia" w:ascii="宋体" w:hAnsi="宋体"/>
          <w:color w:val="auto"/>
          <w:szCs w:val="21"/>
          <w:highlight w:val="none"/>
        </w:rPr>
        <w:t>.5.1 分包的一般约定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禁止分包的工程包括：主体结构、关键性工作等国家法律、法规禁止分包的工程。</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1285" w:name="_Toc297048347"/>
      <w:bookmarkStart w:id="1286" w:name="_Toc296891201"/>
      <w:bookmarkStart w:id="1287" w:name="_Toc304295525"/>
      <w:bookmarkStart w:id="1288" w:name="_Toc296346662"/>
      <w:bookmarkStart w:id="1289" w:name="_Toc297123494"/>
      <w:bookmarkStart w:id="1290" w:name="_Toc303539104"/>
      <w:bookmarkStart w:id="1291" w:name="_Toc296503161"/>
      <w:bookmarkStart w:id="1292" w:name="_Toc297120461"/>
      <w:bookmarkStart w:id="1293" w:name="_Toc296944500"/>
      <w:bookmarkStart w:id="1294" w:name="_Toc296890989"/>
      <w:bookmarkStart w:id="1295" w:name="_Toc297216153"/>
      <w:bookmarkStart w:id="1296" w:name="_Toc296347160"/>
      <w:bookmarkStart w:id="1297" w:name="_Toc300934947"/>
      <w:r>
        <w:rPr>
          <w:rFonts w:hint="eastAsia" w:ascii="宋体" w:hAnsi="宋体"/>
          <w:color w:val="auto"/>
          <w:szCs w:val="21"/>
          <w:highlight w:val="none"/>
        </w:rPr>
        <w:t>；关键性工作指梁、板、柱等部位。</w:t>
      </w:r>
    </w:p>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1298" w:name="_Toc318581159"/>
      <w:bookmarkStart w:id="1299" w:name="_Toc312677990"/>
      <w:r>
        <w:rPr>
          <w:rFonts w:hint="eastAsia" w:ascii="宋体" w:hAnsi="宋体"/>
          <w:color w:val="auto"/>
          <w:szCs w:val="21"/>
          <w:highlight w:val="none"/>
        </w:rPr>
        <w:t>.5.2分包的确定</w:t>
      </w:r>
    </w:p>
    <w:p>
      <w:pPr>
        <w:spacing w:line="360" w:lineRule="auto"/>
        <w:ind w:firstLine="420" w:firstLineChars="200"/>
        <w:jc w:val="left"/>
        <w:rPr>
          <w:rFonts w:ascii="宋体" w:hAnsi="宋体"/>
          <w:i w:val="0"/>
          <w:iCs w:val="0"/>
          <w:color w:val="auto"/>
          <w:szCs w:val="21"/>
          <w:highlight w:val="none"/>
          <w:u w:val="singl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 xml:space="preserve">  </w:t>
      </w:r>
      <w:r>
        <w:rPr>
          <w:rFonts w:hint="eastAsia" w:ascii="宋体" w:hAnsi="宋体"/>
          <w:i w:val="0"/>
          <w:iCs w:val="0"/>
          <w:color w:val="auto"/>
          <w:szCs w:val="21"/>
          <w:highlight w:val="none"/>
          <w:u w:val="single"/>
        </w:rPr>
        <w:t xml:space="preserve">  符合《中华人民共和国建筑法》和《中华人民共和国招标投标法》的相关规定。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3.5.4 分包合同价款</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关于分包合同价款支付的约定：</w:t>
      </w:r>
      <w:bookmarkEnd w:id="1298"/>
      <w:bookmarkEnd w:id="1299"/>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本款补充3.5.6项：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3.5.6严禁违法分包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pPr>
        <w:pStyle w:val="7"/>
        <w:spacing w:before="0" w:beforeAutospacing="0" w:after="0" w:afterAutospacing="0" w:line="360" w:lineRule="auto"/>
        <w:ind w:firstLine="422" w:firstLineChars="200"/>
        <w:rPr>
          <w:color w:val="auto"/>
          <w:sz w:val="21"/>
          <w:szCs w:val="21"/>
          <w:highlight w:val="none"/>
        </w:rPr>
      </w:pPr>
      <w:bookmarkStart w:id="1300" w:name="_Toc532377339"/>
      <w:r>
        <w:rPr>
          <w:rFonts w:hint="eastAsia"/>
          <w:color w:val="auto"/>
          <w:sz w:val="21"/>
          <w:szCs w:val="21"/>
          <w:highlight w:val="none"/>
        </w:rPr>
        <w:t>3.7 履约担保</w:t>
      </w:r>
      <w:bookmarkEnd w:id="130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3.7.1承包人是否提供履约担保：</w:t>
      </w:r>
      <w:r>
        <w:rPr>
          <w:rFonts w:hint="eastAsia" w:ascii="宋体" w:hAnsi="宋体"/>
          <w:color w:val="auto"/>
          <w:szCs w:val="21"/>
          <w:highlight w:val="none"/>
          <w:u w:val="single"/>
        </w:rPr>
        <w:t>提供</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3.7.2承包人提供履约担保的形式、金额及期限：</w:t>
      </w:r>
    </w:p>
    <w:p>
      <w:pPr>
        <w:spacing w:line="360" w:lineRule="auto"/>
        <w:ind w:firstLine="420" w:firstLineChars="200"/>
        <w:jc w:val="left"/>
        <w:rPr>
          <w:rFonts w:hint="eastAsia" w:ascii="宋体" w:hAnsi="宋体"/>
          <w:color w:val="auto"/>
          <w:kern w:val="0"/>
          <w:szCs w:val="21"/>
          <w:highlight w:val="none"/>
          <w:lang w:eastAsia="zh-CN"/>
        </w:rPr>
      </w:pPr>
      <w:r>
        <w:rPr>
          <w:rFonts w:hint="eastAsia" w:ascii="宋体" w:hAnsi="宋体"/>
          <w:color w:val="auto"/>
          <w:szCs w:val="21"/>
          <w:highlight w:val="none"/>
        </w:rPr>
        <w:t>（1）履约担保的形式：现金或</w:t>
      </w:r>
      <w:r>
        <w:rPr>
          <w:rFonts w:hint="eastAsia" w:ascii="宋体" w:hAnsi="宋体"/>
          <w:color w:val="auto"/>
          <w:szCs w:val="21"/>
          <w:highlight w:val="none"/>
          <w:lang w:val="en-US" w:eastAsia="zh-CN"/>
        </w:rPr>
        <w:t>履约</w:t>
      </w:r>
      <w:r>
        <w:rPr>
          <w:rFonts w:hint="eastAsia" w:ascii="宋体" w:hAnsi="宋体"/>
          <w:color w:val="auto"/>
          <w:szCs w:val="21"/>
          <w:highlight w:val="none"/>
        </w:rPr>
        <w:t>保函或现金+</w:t>
      </w:r>
      <w:r>
        <w:rPr>
          <w:rFonts w:hint="eastAsia" w:ascii="宋体" w:hAnsi="宋体"/>
          <w:color w:val="auto"/>
          <w:szCs w:val="21"/>
          <w:highlight w:val="none"/>
          <w:lang w:val="en-US" w:eastAsia="zh-CN"/>
        </w:rPr>
        <w:t>履约</w:t>
      </w:r>
      <w:r>
        <w:rPr>
          <w:rFonts w:hint="eastAsia" w:ascii="宋体" w:hAnsi="宋体"/>
          <w:color w:val="auto"/>
          <w:szCs w:val="21"/>
          <w:highlight w:val="none"/>
        </w:rPr>
        <w:t>保函的组合</w:t>
      </w:r>
      <w:r>
        <w:rPr>
          <w:rFonts w:hint="eastAsia" w:ascii="宋体" w:hAnsi="宋体"/>
          <w:color w:val="auto"/>
          <w:szCs w:val="21"/>
          <w:highlight w:val="none"/>
          <w:lang w:eastAsia="zh-CN"/>
        </w:rPr>
        <w:t>，</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保函包括银行保函、保证保险和担保保函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其示范文本详见合同附件</w:t>
      </w:r>
      <w:r>
        <w:rPr>
          <w:rFonts w:hint="eastAsia" w:ascii="宋体" w:hAnsi="宋体"/>
          <w:color w:val="auto"/>
          <w:szCs w:val="21"/>
          <w:highlight w:val="none"/>
          <w:lang w:eastAsia="zh-CN"/>
        </w:rPr>
        <w:t>。</w:t>
      </w:r>
      <w:r>
        <w:rPr>
          <w:rFonts w:hint="eastAsia" w:ascii="宋体" w:hAnsi="宋体"/>
          <w:color w:val="auto"/>
          <w:kern w:val="0"/>
          <w:szCs w:val="21"/>
          <w:highlight w:val="none"/>
          <w:lang w:val="en-US" w:eastAsia="zh-CN"/>
        </w:rPr>
        <w:t>承包人提交的履约保函应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kern w:val="0"/>
          <w:szCs w:val="21"/>
          <w:highlight w:val="none"/>
          <w:lang w:eastAsia="zh-CN"/>
        </w:rPr>
        <w:t>。</w:t>
      </w:r>
      <w:r>
        <w:rPr>
          <w:rFonts w:hint="eastAsia" w:ascii="宋体" w:hAnsi="宋体"/>
          <w:color w:val="auto"/>
          <w:szCs w:val="21"/>
          <w:highlight w:val="none"/>
          <w:lang w:val="en-US" w:eastAsia="zh-CN"/>
        </w:rPr>
        <w:t>承包人若采用现金提交履约担保的，</w:t>
      </w:r>
      <w:r>
        <w:rPr>
          <w:rFonts w:hint="eastAsia" w:ascii="宋体" w:hAnsi="宋体"/>
          <w:color w:val="auto"/>
          <w:szCs w:val="21"/>
          <w:highlight w:val="none"/>
        </w:rPr>
        <w:t>允许使用符合</w:t>
      </w:r>
      <w:r>
        <w:rPr>
          <w:rFonts w:hint="eastAsia" w:ascii="宋体" w:hAnsi="宋体"/>
          <w:color w:val="auto"/>
          <w:szCs w:val="21"/>
          <w:highlight w:val="none"/>
          <w:lang w:eastAsia="zh-CN"/>
        </w:rPr>
        <w:t>《关于在全市工程建设领域全面推行工程保函工作的通知》（</w:t>
      </w:r>
      <w:r>
        <w:rPr>
          <w:rFonts w:hint="eastAsia" w:ascii="宋体" w:hAnsi="宋体"/>
          <w:color w:val="auto"/>
          <w:szCs w:val="21"/>
          <w:highlight w:val="none"/>
          <w:lang w:val="en-US" w:eastAsia="zh-CN"/>
        </w:rPr>
        <w:t>渝公管发〔2022〕25号）、</w:t>
      </w:r>
      <w:r>
        <w:rPr>
          <w:rFonts w:hint="eastAsia" w:ascii="宋体" w:hAnsi="宋体"/>
          <w:color w:val="auto"/>
          <w:szCs w:val="21"/>
          <w:highlight w:val="none"/>
          <w:lang w:eastAsia="zh-CN"/>
        </w:rPr>
        <w:t>《关于进一步规范工程建设领域工程保函示范文本的通知》（</w:t>
      </w:r>
      <w:r>
        <w:rPr>
          <w:rFonts w:hint="eastAsia" w:ascii="宋体" w:hAnsi="宋体"/>
          <w:color w:val="auto"/>
          <w:szCs w:val="21"/>
          <w:highlight w:val="none"/>
          <w:lang w:val="en-US" w:eastAsia="zh-CN"/>
        </w:rPr>
        <w:t>渝公管发〔2022〕26号）</w:t>
      </w:r>
      <w:r>
        <w:rPr>
          <w:rFonts w:hint="eastAsia" w:ascii="宋体" w:hAnsi="宋体"/>
          <w:color w:val="auto"/>
          <w:szCs w:val="21"/>
          <w:highlight w:val="none"/>
        </w:rPr>
        <w:t>要求的</w:t>
      </w:r>
      <w:r>
        <w:rPr>
          <w:rFonts w:hint="eastAsia" w:ascii="宋体" w:hAnsi="宋体"/>
          <w:color w:val="auto"/>
          <w:szCs w:val="21"/>
          <w:highlight w:val="none"/>
          <w:lang w:eastAsia="zh-CN"/>
        </w:rPr>
        <w:t>履约</w:t>
      </w:r>
      <w:r>
        <w:rPr>
          <w:rFonts w:hint="eastAsia" w:ascii="宋体" w:hAnsi="宋体"/>
          <w:color w:val="auto"/>
          <w:szCs w:val="21"/>
          <w:highlight w:val="none"/>
        </w:rPr>
        <w:t>保函置换</w:t>
      </w:r>
      <w:r>
        <w:rPr>
          <w:rFonts w:hint="eastAsia" w:ascii="宋体" w:hAnsi="宋体"/>
          <w:color w:val="auto"/>
          <w:szCs w:val="21"/>
          <w:highlight w:val="none"/>
          <w:lang w:val="en-US" w:eastAsia="zh-CN"/>
        </w:rPr>
        <w:t>。</w:t>
      </w:r>
    </w:p>
    <w:p>
      <w:pPr>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具体要求：履约保函</w:t>
      </w:r>
      <w:r>
        <w:rPr>
          <w:rFonts w:hint="eastAsia" w:ascii="宋体" w:hAnsi="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承包人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履约保函（包括纸质保函或电子保函）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履约保函为纸质保函的，纸质保函应注明在</w:t>
      </w:r>
      <w:r>
        <w:rPr>
          <w:rFonts w:hint="eastAsia" w:ascii="宋体" w:hAnsi="宋体"/>
          <w:color w:val="auto"/>
          <w:kern w:val="0"/>
          <w:szCs w:val="21"/>
          <w:highlight w:val="none"/>
        </w:rPr>
        <w:t>重庆市辖区范围内的核验地址和核验方式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承包人对所提交的履约保函的真实性、合法性、有效性负责。</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）履约担保的金额：</w:t>
      </w:r>
      <w:r>
        <w:rPr>
          <w:rFonts w:hint="eastAsia" w:ascii="宋体" w:hAnsi="宋体"/>
          <w:color w:val="auto"/>
          <w:szCs w:val="21"/>
          <w:highlight w:val="none"/>
          <w:u w:val="single"/>
          <w:lang w:val="en-US" w:eastAsia="zh-CN"/>
        </w:rPr>
        <w:t>中标合同金额的10%</w:t>
      </w:r>
      <w:r>
        <w:rPr>
          <w:rFonts w:hint="eastAsia" w:ascii="宋体" w:hAnsi="宋体"/>
          <w:color w:val="auto"/>
          <w:szCs w:val="21"/>
          <w:highlight w:val="none"/>
        </w:rPr>
        <w:t xml:space="preserve"> </w:t>
      </w:r>
      <w:r>
        <w:rPr>
          <w:rFonts w:hint="eastAsia" w:ascii="宋体" w:hAnsi="宋体"/>
          <w:color w:val="auto"/>
          <w:szCs w:val="21"/>
          <w:highlight w:val="none"/>
          <w:lang w:eastAsia="zh-CN"/>
        </w:rPr>
        <w:t>，红名单企业缴纳应缴金额的</w:t>
      </w:r>
      <w:r>
        <w:rPr>
          <w:rFonts w:hint="eastAsia" w:ascii="宋体" w:hAnsi="宋体"/>
          <w:color w:val="auto"/>
          <w:szCs w:val="21"/>
          <w:highlight w:val="none"/>
          <w:lang w:val="en-US" w:eastAsia="zh-CN"/>
        </w:rPr>
        <w:t>80%</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）履约担保的提交时间：</w:t>
      </w:r>
      <w:r>
        <w:rPr>
          <w:rFonts w:hint="eastAsia" w:ascii="宋体" w:hAnsi="宋体"/>
          <w:color w:val="auto"/>
          <w:szCs w:val="21"/>
          <w:highlight w:val="none"/>
          <w:u w:val="single"/>
        </w:rPr>
        <w:t>从招标人中标通知书送达拟中标人之日起 15个 工作日内承包人按担保金额向发包人提交履约担</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）履约担保的期限：</w:t>
      </w:r>
      <w:r>
        <w:rPr>
          <w:rFonts w:hint="eastAsia" w:ascii="宋体" w:hAnsi="宋体"/>
          <w:color w:val="auto"/>
          <w:szCs w:val="21"/>
          <w:highlight w:val="none"/>
          <w:u w:val="single"/>
        </w:rPr>
        <w:t>自我方法定代表人（或其委托代理人）签名并加盖</w:t>
      </w:r>
      <w:r>
        <w:rPr>
          <w:rFonts w:hint="eastAsia" w:ascii="宋体" w:hAnsi="宋体"/>
          <w:color w:val="auto"/>
          <w:szCs w:val="21"/>
          <w:highlight w:val="none"/>
          <w:u w:val="single"/>
          <w:lang w:val="en-US" w:eastAsia="zh-CN"/>
        </w:rPr>
        <w:t>单位</w:t>
      </w:r>
      <w:r>
        <w:rPr>
          <w:rFonts w:hint="eastAsia" w:ascii="宋体" w:hAnsi="宋体"/>
          <w:color w:val="auto"/>
          <w:szCs w:val="21"/>
          <w:highlight w:val="none"/>
          <w:u w:val="single"/>
        </w:rPr>
        <w:t>公章之日起至你方签发或应签发工程接收证书之日止</w:t>
      </w:r>
      <w:r>
        <w:rPr>
          <w:rFonts w:hint="eastAsia" w:ascii="宋体" w:hAnsi="宋体"/>
          <w:color w:val="auto"/>
          <w:szCs w:val="21"/>
          <w:highlight w:val="none"/>
        </w:rPr>
        <w:t>。</w:t>
      </w:r>
    </w:p>
    <w:p>
      <w:pPr>
        <w:tabs>
          <w:tab w:val="left" w:pos="1134"/>
        </w:tabs>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）履约担保的退还时间：</w:t>
      </w:r>
      <w:r>
        <w:rPr>
          <w:rFonts w:hint="eastAsia" w:ascii="宋体" w:hAnsi="宋体"/>
          <w:color w:val="auto"/>
          <w:szCs w:val="21"/>
          <w:highlight w:val="none"/>
          <w:u w:val="single"/>
        </w:rPr>
        <w:t>采用现金担保的，工程竣工验收合格后14天内退还；采用</w:t>
      </w:r>
      <w:r>
        <w:rPr>
          <w:rFonts w:hint="eastAsia" w:ascii="宋体" w:hAnsi="宋体"/>
          <w:color w:val="auto"/>
          <w:szCs w:val="21"/>
          <w:highlight w:val="none"/>
          <w:u w:val="single"/>
          <w:lang w:val="en-US" w:eastAsia="zh-CN"/>
        </w:rPr>
        <w:t>履约</w:t>
      </w:r>
      <w:r>
        <w:rPr>
          <w:rFonts w:hint="eastAsia" w:ascii="宋体" w:hAnsi="宋体"/>
          <w:color w:val="auto"/>
          <w:szCs w:val="21"/>
          <w:highlight w:val="none"/>
          <w:u w:val="single"/>
        </w:rPr>
        <w:t xml:space="preserve">保函的，工程竣工验收合格后14天内退还 </w:t>
      </w:r>
      <w:r>
        <w:rPr>
          <w:rFonts w:hint="eastAsia" w:ascii="宋体" w:hAnsi="宋体"/>
          <w:color w:val="auto"/>
          <w:szCs w:val="21"/>
          <w:highlight w:val="none"/>
        </w:rPr>
        <w:t>。</w:t>
      </w:r>
    </w:p>
    <w:p>
      <w:pPr>
        <w:pStyle w:val="2"/>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3.8农民工工资</w:t>
      </w:r>
    </w:p>
    <w:p>
      <w:pPr>
        <w:spacing w:line="360" w:lineRule="auto"/>
        <w:ind w:firstLine="420" w:firstLineChars="200"/>
        <w:jc w:val="left"/>
        <w:rPr>
          <w:rFonts w:hint="default" w:ascii="宋体" w:hAnsi="宋体" w:cs="Times New Roman"/>
          <w:color w:val="auto"/>
          <w:kern w:val="0"/>
          <w:szCs w:val="21"/>
          <w:highlight w:val="none"/>
          <w:lang w:val="en-US" w:eastAsia="zh-CN"/>
        </w:rPr>
      </w:pPr>
      <w:r>
        <w:rPr>
          <w:rFonts w:hint="default" w:ascii="宋体" w:hAnsi="宋体" w:cs="Times New Roman"/>
          <w:color w:val="auto"/>
          <w:kern w:val="0"/>
          <w:szCs w:val="21"/>
          <w:highlight w:val="none"/>
          <w:lang w:val="en-US" w:eastAsia="zh-CN"/>
        </w:rPr>
        <w:t>农民工工资保证金金额：中标通知书发出后（含发出当天）10日内，承包人按发包人的要求提交农民工工资保证金，并满足以下要求：</w:t>
      </w:r>
    </w:p>
    <w:p>
      <w:pPr>
        <w:spacing w:line="360" w:lineRule="auto"/>
        <w:ind w:firstLine="420" w:firstLineChars="200"/>
        <w:jc w:val="left"/>
        <w:rPr>
          <w:rFonts w:hint="default" w:ascii="宋体" w:hAnsi="宋体" w:cs="Times New Roman"/>
          <w:color w:val="auto"/>
          <w:kern w:val="0"/>
          <w:szCs w:val="21"/>
          <w:highlight w:val="none"/>
          <w:lang w:val="en-US" w:eastAsia="zh-CN"/>
        </w:rPr>
      </w:pPr>
      <w:r>
        <w:rPr>
          <w:rFonts w:hint="default" w:ascii="宋体" w:hAnsi="宋体" w:cs="Times New Roman"/>
          <w:color w:val="auto"/>
          <w:kern w:val="0"/>
          <w:szCs w:val="21"/>
          <w:highlight w:val="none"/>
          <w:lang w:val="en-US" w:eastAsia="zh-CN"/>
        </w:rPr>
        <w:t xml:space="preserve">（1）建设单位根据施工总承包单位按月申报的农民工工资资料，每月足额向施工总承包单位开设的农民工工资专用账户拨付农民工工资。 </w:t>
      </w:r>
    </w:p>
    <w:p>
      <w:pPr>
        <w:spacing w:line="360" w:lineRule="auto"/>
        <w:ind w:firstLine="420" w:firstLineChars="200"/>
        <w:jc w:val="left"/>
        <w:rPr>
          <w:rFonts w:hint="default" w:ascii="宋体" w:hAnsi="宋体" w:cs="Times New Roman"/>
          <w:color w:val="auto"/>
          <w:kern w:val="0"/>
          <w:szCs w:val="21"/>
          <w:highlight w:val="none"/>
          <w:lang w:val="en-US" w:eastAsia="zh-CN"/>
        </w:rPr>
      </w:pPr>
      <w:r>
        <w:rPr>
          <w:rFonts w:hint="default" w:ascii="宋体" w:hAnsi="宋体" w:cs="Times New Roman"/>
          <w:color w:val="auto"/>
          <w:kern w:val="0"/>
          <w:szCs w:val="21"/>
          <w:highlight w:val="none"/>
          <w:lang w:val="en-US" w:eastAsia="zh-CN"/>
        </w:rPr>
        <w:t xml:space="preserve">（2）施工总承包单位每月申报的农民工工资资料中，应当包括：农民工工资支付监控预警平台考勤数据或者《进出场考勤表》、经农民工本人签字确认并公示的《农民工工资支付表》、总包单位与分包单位签订的《委托支付协议》或《农民工工资代发委托书》、上月的《农民工工资银行支付凭证》以及在本工地公示公告的照片等资料。 </w:t>
      </w:r>
    </w:p>
    <w:p>
      <w:pPr>
        <w:spacing w:line="360" w:lineRule="auto"/>
        <w:ind w:firstLine="420" w:firstLineChars="200"/>
        <w:jc w:val="left"/>
        <w:rPr>
          <w:rFonts w:hint="default" w:ascii="宋体" w:hAnsi="宋体" w:cs="Times New Roman"/>
          <w:color w:val="auto"/>
          <w:kern w:val="0"/>
          <w:szCs w:val="21"/>
          <w:highlight w:val="none"/>
          <w:lang w:val="en-US" w:eastAsia="zh-CN"/>
        </w:rPr>
      </w:pPr>
      <w:r>
        <w:rPr>
          <w:rFonts w:hint="default" w:ascii="宋体" w:hAnsi="宋体" w:cs="Times New Roman"/>
          <w:color w:val="auto"/>
          <w:kern w:val="0"/>
          <w:szCs w:val="21"/>
          <w:highlight w:val="none"/>
          <w:lang w:val="en-US" w:eastAsia="zh-CN"/>
        </w:rPr>
        <w:t xml:space="preserve">（3）施工总承包单位必须按月如实申报，不得伪造出勤信息、提供虚假身份信息套取农民工工资，不得高估冒算农民工工资。 </w:t>
      </w:r>
    </w:p>
    <w:p>
      <w:pPr>
        <w:spacing w:line="360" w:lineRule="auto"/>
        <w:ind w:firstLine="420" w:firstLineChars="200"/>
        <w:jc w:val="left"/>
        <w:rPr>
          <w:rFonts w:hint="default" w:ascii="宋体" w:hAnsi="宋体" w:cs="Times New Roman"/>
          <w:color w:val="auto"/>
          <w:kern w:val="0"/>
          <w:szCs w:val="21"/>
          <w:highlight w:val="none"/>
          <w:lang w:val="en-US" w:eastAsia="zh-CN"/>
        </w:rPr>
      </w:pPr>
      <w:r>
        <w:rPr>
          <w:rFonts w:hint="default" w:ascii="宋体" w:hAnsi="宋体" w:cs="Times New Roman"/>
          <w:color w:val="auto"/>
          <w:kern w:val="0"/>
          <w:szCs w:val="21"/>
          <w:highlight w:val="none"/>
          <w:lang w:val="en-US" w:eastAsia="zh-CN"/>
        </w:rPr>
        <w:t xml:space="preserve">（4）施工总承包单位必须按照规定使用农民工工资支付监控预警平台。 </w:t>
      </w:r>
    </w:p>
    <w:p>
      <w:pPr>
        <w:spacing w:line="360" w:lineRule="auto"/>
        <w:ind w:firstLine="420" w:firstLineChars="200"/>
        <w:jc w:val="left"/>
        <w:rPr>
          <w:rFonts w:hint="default" w:ascii="宋体" w:hAnsi="宋体" w:cs="Times New Roman"/>
          <w:color w:val="auto"/>
          <w:kern w:val="0"/>
          <w:szCs w:val="21"/>
          <w:highlight w:val="none"/>
          <w:lang w:val="en-US" w:eastAsia="zh-CN"/>
        </w:rPr>
      </w:pPr>
      <w:r>
        <w:rPr>
          <w:rFonts w:hint="default" w:ascii="宋体" w:hAnsi="宋体" w:cs="Times New Roman"/>
          <w:color w:val="auto"/>
          <w:kern w:val="0"/>
          <w:szCs w:val="21"/>
          <w:highlight w:val="none"/>
          <w:lang w:val="en-US" w:eastAsia="zh-CN"/>
        </w:rPr>
        <w:t>（5）因施工总承包单位未按国家法律法规和政策规定落实“一金三制”等要求的，根据垫治欠办发〔</w:t>
      </w:r>
    </w:p>
    <w:p>
      <w:pPr>
        <w:spacing w:line="360" w:lineRule="auto"/>
        <w:ind w:firstLine="420" w:firstLineChars="200"/>
        <w:jc w:val="left"/>
        <w:rPr>
          <w:rFonts w:hint="default" w:ascii="宋体" w:hAnsi="宋体" w:cs="Times New Roman"/>
          <w:color w:val="auto"/>
          <w:kern w:val="0"/>
          <w:szCs w:val="21"/>
          <w:highlight w:val="none"/>
          <w:lang w:val="en-US" w:eastAsia="zh-CN"/>
        </w:rPr>
      </w:pPr>
      <w:r>
        <w:rPr>
          <w:rFonts w:hint="default" w:ascii="宋体" w:hAnsi="宋体" w:cs="Times New Roman"/>
          <w:color w:val="auto"/>
          <w:kern w:val="0"/>
          <w:szCs w:val="21"/>
          <w:highlight w:val="none"/>
          <w:lang w:val="en-US" w:eastAsia="zh-CN"/>
        </w:rPr>
        <w:t xml:space="preserve">2021〕26号文件，属于或视为拖欠农民工工资行为的9种情形之一的，发生1次，从工程结算款中扣除2万元，以此递增。 </w:t>
      </w:r>
    </w:p>
    <w:p>
      <w:pPr>
        <w:spacing w:line="360" w:lineRule="auto"/>
        <w:ind w:firstLine="420" w:firstLineChars="200"/>
        <w:jc w:val="left"/>
        <w:rPr>
          <w:rFonts w:hint="default" w:ascii="宋体" w:hAnsi="宋体" w:cs="Times New Roman"/>
          <w:color w:val="auto"/>
          <w:kern w:val="0"/>
          <w:szCs w:val="21"/>
          <w:highlight w:val="none"/>
          <w:lang w:val="en-US" w:eastAsia="zh-CN"/>
        </w:rPr>
      </w:pPr>
      <w:r>
        <w:rPr>
          <w:rFonts w:hint="default" w:ascii="宋体" w:hAnsi="宋体" w:cs="Times New Roman"/>
          <w:color w:val="auto"/>
          <w:kern w:val="0"/>
          <w:szCs w:val="21"/>
          <w:highlight w:val="none"/>
          <w:lang w:val="en-US" w:eastAsia="zh-CN"/>
        </w:rPr>
        <w:t xml:space="preserve">（6）通过伪造出勤信息、提供虚假身份信息、高估冒算农民工工资等手段套取农民工工资的，经查证属实的，按照套取金额的2倍，从工程结算款中扣除。 </w:t>
      </w:r>
    </w:p>
    <w:p>
      <w:pPr>
        <w:spacing w:line="360" w:lineRule="auto"/>
        <w:ind w:firstLine="420" w:firstLineChars="200"/>
        <w:jc w:val="left"/>
        <w:rPr>
          <w:rFonts w:hint="default" w:ascii="宋体" w:hAnsi="宋体" w:cs="Times New Roman"/>
          <w:color w:val="auto"/>
          <w:kern w:val="0"/>
          <w:szCs w:val="21"/>
          <w:highlight w:val="none"/>
          <w:lang w:val="en-US" w:eastAsia="zh-CN"/>
        </w:rPr>
      </w:pPr>
      <w:r>
        <w:rPr>
          <w:rFonts w:hint="default" w:ascii="宋体" w:hAnsi="宋体" w:cs="Times New Roman"/>
          <w:color w:val="auto"/>
          <w:kern w:val="0"/>
          <w:szCs w:val="21"/>
          <w:highlight w:val="none"/>
          <w:lang w:val="en-US" w:eastAsia="zh-CN"/>
        </w:rPr>
        <w:t xml:space="preserve">（7）被县级实地检查通报1次，从工程结算款中扣除2万元，被市级实地检查通报1次，从工程结算款中扣除4万元，以此递增。 </w:t>
      </w:r>
    </w:p>
    <w:p>
      <w:pPr>
        <w:spacing w:line="360" w:lineRule="auto"/>
        <w:ind w:firstLine="420" w:firstLineChars="200"/>
        <w:jc w:val="left"/>
        <w:rPr>
          <w:rFonts w:hint="default" w:ascii="宋体" w:hAnsi="宋体" w:cs="Times New Roman"/>
          <w:color w:val="auto"/>
          <w:kern w:val="0"/>
          <w:szCs w:val="21"/>
          <w:highlight w:val="none"/>
          <w:lang w:val="en-US" w:eastAsia="zh-CN"/>
        </w:rPr>
      </w:pPr>
      <w:r>
        <w:rPr>
          <w:rFonts w:hint="default" w:ascii="宋体" w:hAnsi="宋体" w:cs="Times New Roman"/>
          <w:color w:val="auto"/>
          <w:kern w:val="0"/>
          <w:szCs w:val="21"/>
          <w:highlight w:val="none"/>
          <w:lang w:val="en-US" w:eastAsia="zh-CN"/>
        </w:rPr>
        <w:t xml:space="preserve">（8）施工总承包单位未按月申报农民工工资的，每发生1次扣除2万元，以此递增，从工程结算款中扣除。 </w:t>
      </w:r>
    </w:p>
    <w:p>
      <w:pPr>
        <w:spacing w:line="360" w:lineRule="auto"/>
        <w:ind w:firstLine="420" w:firstLineChars="200"/>
        <w:jc w:val="left"/>
        <w:rPr>
          <w:rFonts w:hint="default" w:ascii="宋体" w:hAnsi="宋体" w:cs="Times New Roman"/>
          <w:color w:val="auto"/>
          <w:kern w:val="0"/>
          <w:szCs w:val="21"/>
          <w:highlight w:val="none"/>
          <w:lang w:val="en-US" w:eastAsia="zh-CN"/>
        </w:rPr>
      </w:pPr>
      <w:r>
        <w:rPr>
          <w:rFonts w:hint="default" w:ascii="宋体" w:hAnsi="宋体" w:cs="Times New Roman"/>
          <w:color w:val="auto"/>
          <w:kern w:val="0"/>
          <w:szCs w:val="21"/>
          <w:highlight w:val="none"/>
          <w:lang w:val="en-US" w:eastAsia="zh-CN"/>
        </w:rPr>
        <w:t>（9）施工总承包单位未按规定使用农民工工资支付监控预警平台，从工程结算款中扣除2万元，以此递增。</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301" w:name="_Toc351203636"/>
      <w:bookmarkStart w:id="1302" w:name="_Toc532375611"/>
      <w:bookmarkStart w:id="1303" w:name="_Toc532377340"/>
      <w:r>
        <w:rPr>
          <w:rFonts w:hint="eastAsia"/>
          <w:color w:val="auto"/>
          <w:kern w:val="2"/>
          <w:sz w:val="21"/>
          <w:szCs w:val="21"/>
          <w:highlight w:val="none"/>
        </w:rPr>
        <w:t>4</w:t>
      </w:r>
      <w:bookmarkStart w:id="1304" w:name="_Toc297048348"/>
      <w:bookmarkStart w:id="1305" w:name="_Toc296891202"/>
      <w:bookmarkStart w:id="1306" w:name="_Toc292559871"/>
      <w:bookmarkStart w:id="1307" w:name="_Toc297120462"/>
      <w:bookmarkStart w:id="1308" w:name="_Toc296347161"/>
      <w:bookmarkStart w:id="1309" w:name="_Toc296346663"/>
      <w:bookmarkStart w:id="1310" w:name="_Toc296890990"/>
      <w:bookmarkStart w:id="1311" w:name="_Toc267251413"/>
      <w:bookmarkStart w:id="1312" w:name="_Toc296944501"/>
      <w:bookmarkStart w:id="1313" w:name="_Toc292559366"/>
      <w:bookmarkStart w:id="1314" w:name="_Toc296503162"/>
      <w:r>
        <w:rPr>
          <w:rFonts w:hint="eastAsia"/>
          <w:color w:val="auto"/>
          <w:kern w:val="2"/>
          <w:sz w:val="21"/>
          <w:szCs w:val="21"/>
          <w:highlight w:val="none"/>
        </w:rPr>
        <w:t>. 监</w:t>
      </w:r>
      <w:bookmarkEnd w:id="1304"/>
      <w:bookmarkEnd w:id="1305"/>
      <w:bookmarkEnd w:id="1306"/>
      <w:bookmarkEnd w:id="1307"/>
      <w:bookmarkEnd w:id="1308"/>
      <w:bookmarkEnd w:id="1309"/>
      <w:bookmarkEnd w:id="1310"/>
      <w:bookmarkEnd w:id="1311"/>
      <w:bookmarkEnd w:id="1312"/>
      <w:bookmarkEnd w:id="1313"/>
      <w:bookmarkEnd w:id="1314"/>
      <w:r>
        <w:rPr>
          <w:rFonts w:hint="eastAsia"/>
          <w:color w:val="auto"/>
          <w:kern w:val="2"/>
          <w:sz w:val="21"/>
          <w:szCs w:val="21"/>
          <w:highlight w:val="none"/>
        </w:rPr>
        <w:t>理人</w:t>
      </w:r>
      <w:bookmarkEnd w:id="1301"/>
      <w:bookmarkEnd w:id="1302"/>
      <w:bookmarkEnd w:id="1303"/>
    </w:p>
    <w:p>
      <w:pPr>
        <w:pStyle w:val="7"/>
        <w:spacing w:before="0" w:beforeAutospacing="0" w:after="0" w:afterAutospacing="0" w:line="360" w:lineRule="auto"/>
        <w:ind w:firstLine="422" w:firstLineChars="200"/>
        <w:rPr>
          <w:color w:val="auto"/>
          <w:sz w:val="21"/>
          <w:szCs w:val="21"/>
          <w:highlight w:val="none"/>
        </w:rPr>
      </w:pPr>
      <w:bookmarkStart w:id="1315" w:name="_Toc532377341"/>
      <w:r>
        <w:rPr>
          <w:rFonts w:hint="eastAsia"/>
          <w:color w:val="auto"/>
          <w:sz w:val="21"/>
          <w:szCs w:val="21"/>
          <w:highlight w:val="none"/>
        </w:rPr>
        <w:t>4.1 监理人的一般规定</w:t>
      </w:r>
      <w:bookmarkEnd w:id="131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由监理人自行承担</w:t>
      </w:r>
      <w:r>
        <w:rPr>
          <w:rFonts w:hint="eastAsia" w:ascii="宋体" w:hAnsi="宋体"/>
          <w:color w:val="auto"/>
          <w:szCs w:val="21"/>
          <w:highlight w:val="none"/>
          <w:u w:val="single"/>
        </w:rPr>
        <w:t xml:space="preserve">                     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316" w:name="_Toc532377342"/>
      <w:r>
        <w:rPr>
          <w:rFonts w:hint="eastAsia"/>
          <w:color w:val="auto"/>
          <w:sz w:val="21"/>
          <w:szCs w:val="21"/>
          <w:highlight w:val="none"/>
        </w:rPr>
        <w:t>4.2 监理人员</w:t>
      </w:r>
      <w:bookmarkEnd w:id="1316"/>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pPr>
        <w:pStyle w:val="7"/>
        <w:spacing w:before="0" w:beforeAutospacing="0" w:after="0" w:afterAutospacing="0" w:line="360" w:lineRule="auto"/>
        <w:ind w:firstLine="420" w:firstLineChars="200"/>
        <w:rPr>
          <w:b w:val="0"/>
          <w:color w:val="auto"/>
          <w:sz w:val="21"/>
          <w:szCs w:val="21"/>
          <w:highlight w:val="none"/>
        </w:rPr>
      </w:pPr>
      <w:bookmarkStart w:id="1317" w:name="_Toc532377343"/>
      <w:r>
        <w:rPr>
          <w:rFonts w:hint="eastAsia"/>
          <w:b w:val="0"/>
          <w:color w:val="auto"/>
          <w:sz w:val="21"/>
          <w:szCs w:val="21"/>
          <w:highlight w:val="none"/>
        </w:rPr>
        <w:t>4.4 商定或确定</w:t>
      </w:r>
      <w:bookmarkEnd w:id="1317"/>
    </w:p>
    <w:p>
      <w:pPr>
        <w:spacing w:line="360" w:lineRule="auto"/>
        <w:ind w:firstLine="420" w:firstLineChars="200"/>
        <w:jc w:val="left"/>
        <w:rPr>
          <w:rFonts w:ascii="宋体" w:hAnsi="宋体"/>
          <w:color w:val="auto"/>
          <w:szCs w:val="21"/>
          <w:highlight w:val="none"/>
        </w:rPr>
      </w:pPr>
      <w:bookmarkStart w:id="1318" w:name="_Toc267251418"/>
      <w:r>
        <w:rPr>
          <w:rFonts w:hint="eastAsia" w:ascii="宋体" w:hAnsi="宋体"/>
          <w:color w:val="auto"/>
          <w:szCs w:val="21"/>
          <w:highlight w:val="none"/>
        </w:rPr>
        <w:t>在发包人和承包人不能通过协商达成一致意见时，发包人授权监理人对以下事项进行确定：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 xml:space="preserve">                 </w:t>
      </w:r>
      <w:r>
        <w:rPr>
          <w:rFonts w:hint="eastAsia" w:ascii="宋体" w:hAnsi="宋体"/>
          <w:color w:val="auto"/>
          <w:szCs w:val="21"/>
          <w:highlight w:val="none"/>
          <w:u w:val="single"/>
          <w:lang w:val="en-US" w:eastAsia="zh-CN"/>
        </w:rPr>
        <w:t>无</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319" w:name="_Toc532375612"/>
      <w:bookmarkStart w:id="1320" w:name="_Toc532377344"/>
      <w:bookmarkStart w:id="1321" w:name="_Toc351203637"/>
      <w:r>
        <w:rPr>
          <w:rFonts w:hint="eastAsia"/>
          <w:color w:val="auto"/>
          <w:kern w:val="2"/>
          <w:sz w:val="21"/>
          <w:szCs w:val="21"/>
          <w:highlight w:val="none"/>
        </w:rPr>
        <w:t>5</w:t>
      </w:r>
      <w:bookmarkEnd w:id="1318"/>
      <w:bookmarkStart w:id="1322" w:name="_Toc296347162"/>
      <w:bookmarkStart w:id="1323" w:name="_Toc296944502"/>
      <w:bookmarkStart w:id="1324" w:name="_Toc292559872"/>
      <w:bookmarkStart w:id="1325" w:name="_Toc296891203"/>
      <w:bookmarkStart w:id="1326" w:name="_Toc297120463"/>
      <w:bookmarkStart w:id="1327" w:name="_Toc296503163"/>
      <w:bookmarkStart w:id="1328" w:name="_Toc296346664"/>
      <w:bookmarkStart w:id="1329" w:name="_Toc296890991"/>
      <w:bookmarkStart w:id="1330" w:name="_Toc297048349"/>
      <w:bookmarkStart w:id="1331" w:name="_Toc292559367"/>
      <w:r>
        <w:rPr>
          <w:rFonts w:hint="eastAsia"/>
          <w:color w:val="auto"/>
          <w:kern w:val="2"/>
          <w:sz w:val="21"/>
          <w:szCs w:val="21"/>
          <w:highlight w:val="none"/>
        </w:rPr>
        <w:t>. 工程质量</w:t>
      </w:r>
      <w:bookmarkEnd w:id="1319"/>
      <w:bookmarkEnd w:id="1320"/>
      <w:bookmarkEnd w:id="1321"/>
    </w:p>
    <w:p>
      <w:pPr>
        <w:pStyle w:val="7"/>
        <w:spacing w:before="0" w:beforeAutospacing="0" w:after="0" w:afterAutospacing="0" w:line="360" w:lineRule="auto"/>
        <w:ind w:firstLine="422" w:firstLineChars="200"/>
        <w:rPr>
          <w:color w:val="auto"/>
          <w:sz w:val="21"/>
          <w:szCs w:val="21"/>
          <w:highlight w:val="none"/>
        </w:rPr>
      </w:pPr>
      <w:bookmarkStart w:id="1332" w:name="_Toc532377345"/>
      <w:r>
        <w:rPr>
          <w:rFonts w:hint="eastAsia"/>
          <w:color w:val="auto"/>
          <w:sz w:val="21"/>
          <w:szCs w:val="21"/>
          <w:highlight w:val="none"/>
        </w:rPr>
        <w:t>5.1 质量要求</w:t>
      </w:r>
      <w:bookmarkEnd w:id="1332"/>
      <w:bookmarkStart w:id="1333" w:name="_Hlk528909888"/>
      <w:bookmarkStart w:id="1334" w:name="_Toc300934949"/>
      <w:bookmarkStart w:id="1335" w:name="_Toc303539106"/>
      <w:bookmarkStart w:id="1336" w:name="_Toc304295527"/>
      <w:bookmarkStart w:id="1337" w:name="_Toc297123496"/>
      <w:bookmarkStart w:id="1338" w:name="_Toc297216155"/>
      <w:bookmarkStart w:id="1339" w:name="_Toc318581164"/>
      <w:bookmarkStart w:id="1340" w:name="_Toc312677997"/>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工程质量符合强制性质量标准，</w:t>
      </w:r>
      <w:r>
        <w:rPr>
          <w:rFonts w:hint="eastAsia" w:ascii="宋体" w:hAnsi="宋体"/>
          <w:color w:val="auto"/>
          <w:szCs w:val="21"/>
          <w:highlight w:val="none"/>
          <w:u w:val="single"/>
        </w:rPr>
        <w:t>符合国家和重庆市现行有关施工质量验收规范要求，并达到合格标准</w:t>
      </w:r>
      <w:r>
        <w:rPr>
          <w:rFonts w:hint="eastAsia" w:ascii="宋体" w:hAnsi="宋体"/>
          <w:color w:val="auto"/>
          <w:szCs w:val="21"/>
          <w:highlight w:val="none"/>
        </w:rPr>
        <w:t>。强制性质量标准有（包括但不限于）：</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333"/>
    <w:p>
      <w:pPr>
        <w:pStyle w:val="7"/>
        <w:spacing w:before="0" w:beforeAutospacing="0" w:after="0" w:afterAutospacing="0" w:line="360" w:lineRule="auto"/>
        <w:ind w:firstLine="422" w:firstLineChars="200"/>
        <w:rPr>
          <w:color w:val="auto"/>
          <w:sz w:val="21"/>
          <w:szCs w:val="21"/>
          <w:highlight w:val="none"/>
        </w:rPr>
      </w:pPr>
      <w:bookmarkStart w:id="1341" w:name="_Toc532377346"/>
      <w:r>
        <w:rPr>
          <w:rFonts w:hint="eastAsia"/>
          <w:color w:val="auto"/>
          <w:sz w:val="21"/>
          <w:szCs w:val="21"/>
          <w:highlight w:val="none"/>
        </w:rPr>
        <w:t>5.2 质量保证措施</w:t>
      </w:r>
      <w:bookmarkEnd w:id="134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本款补充5.2.4项：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5.2.4 在工程建设中，参建各方应严格执行以下规定（包括但不限于）：</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《建筑工程施工质量验收统一标准》（GB50300-2013）</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《住房城乡建设部关于印发工程质量安全提升行动方案的通知》（建质〔2017〕57号）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《房屋建筑和市政基础设施工程竣工验收规定》（建质〔2013〕171号）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《建设部关于贯彻执行建筑工程勘察设计及施工质量验收规范若干问题的通知》（建标〔2002〕212号）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《关于印发&lt;重庆市房屋建筑和市政基础设施工程预拌商品砂浆应用推进工作方案&gt;的通知》（渝建〔2018〕375号）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《重庆市城乡建设委员会关于印发2018年房屋建筑和市政基础设施工程质量要点的通知》（渝建〔2018〕94号）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《重庆市城乡建设委员会关于进一步推广应用预拌商品砂浆的通知》（渝建〔2016〕318号）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u w:val="single"/>
        </w:rPr>
        <w:t>国家和本市现行有关建设工程质量验收标准、规范和要求</w:t>
      </w:r>
      <w:r>
        <w:rPr>
          <w:rFonts w:hint="eastAsia" w:ascii="宋体" w:hAnsi="宋体"/>
          <w:color w:val="auto"/>
          <w:szCs w:val="21"/>
          <w:highlight w:val="none"/>
        </w:rPr>
        <w:t>；</w:t>
      </w:r>
    </w:p>
    <w:p>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承包人、监理人和发包人在工程建设中，应严格执行国家及重庆市现行标准，如上述标准及规范要求有出入则以较严格者为准。</w:t>
      </w:r>
    </w:p>
    <w:p>
      <w:pPr>
        <w:pStyle w:val="7"/>
        <w:spacing w:before="0" w:beforeAutospacing="0" w:after="0" w:afterAutospacing="0" w:line="360" w:lineRule="auto"/>
        <w:ind w:firstLine="422" w:firstLineChars="200"/>
        <w:rPr>
          <w:color w:val="auto"/>
          <w:sz w:val="21"/>
          <w:szCs w:val="21"/>
          <w:highlight w:val="none"/>
        </w:rPr>
      </w:pPr>
      <w:bookmarkStart w:id="1342" w:name="_Toc532377347"/>
      <w:bookmarkStart w:id="1343" w:name="_Toc351203536"/>
      <w:bookmarkStart w:id="1344" w:name="_Hlk528927873"/>
      <w:r>
        <w:rPr>
          <w:rFonts w:hint="eastAsia"/>
          <w:color w:val="auto"/>
          <w:sz w:val="21"/>
          <w:szCs w:val="21"/>
          <w:highlight w:val="none"/>
        </w:rPr>
        <w:t>5.3隐蔽工程检查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5.3.2检查程序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工程隐蔽部位经承包人自检确认具备覆盖条件的，承包人应在共同检查前</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 xml:space="preserve">  </w:t>
      </w:r>
      <w:r>
        <w:rPr>
          <w:rFonts w:hint="eastAsia" w:ascii="宋体" w:hAnsi="宋体"/>
          <w:color w:val="auto"/>
          <w:szCs w:val="21"/>
          <w:highlight w:val="none"/>
        </w:rPr>
        <w:t>小时书面通知监理人检查，通知中应载明隐蔽检查的内容、时间和地点，并应附有自检记录和必要的检查资料。</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5</w:t>
      </w:r>
      <w:bookmarkStart w:id="1345" w:name="_Toc337558762"/>
      <w:r>
        <w:rPr>
          <w:rFonts w:hint="eastAsia"/>
          <w:color w:val="auto"/>
          <w:sz w:val="21"/>
          <w:szCs w:val="21"/>
          <w:highlight w:val="none"/>
        </w:rPr>
        <w:t>.4 不合格工程的处理</w:t>
      </w:r>
      <w:bookmarkEnd w:id="1342"/>
      <w:bookmarkEnd w:id="1343"/>
    </w:p>
    <w:bookmarkEnd w:id="1345"/>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本款补充5.4.3项：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5.4.3 承包人在收到监理人发出的《不合格分项报告》或监理通知单后，必须在监理人规定时间内按要求完成整改，未能在限定时间内完成整改的，须承担相应违约责任。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本条补充5.6款：</w:t>
      </w:r>
    </w:p>
    <w:bookmarkEnd w:id="1344"/>
    <w:p>
      <w:pPr>
        <w:pStyle w:val="7"/>
        <w:spacing w:before="0" w:beforeAutospacing="0" w:after="0" w:afterAutospacing="0" w:line="360" w:lineRule="auto"/>
        <w:ind w:firstLine="422" w:firstLineChars="200"/>
        <w:rPr>
          <w:color w:val="auto"/>
          <w:sz w:val="21"/>
          <w:szCs w:val="21"/>
          <w:highlight w:val="none"/>
        </w:rPr>
      </w:pPr>
      <w:bookmarkStart w:id="1346" w:name="_Toc532377348"/>
      <w:r>
        <w:rPr>
          <w:rFonts w:hint="eastAsia"/>
          <w:color w:val="auto"/>
          <w:sz w:val="21"/>
          <w:szCs w:val="21"/>
          <w:highlight w:val="none"/>
        </w:rPr>
        <w:t>5.6 质量事故的处理</w:t>
      </w:r>
      <w:bookmarkEnd w:id="1346"/>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5.6.1 合同履行过程中，发生工程质量事故的调查处理按照国家及重庆市现行规定处理。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322"/>
    <w:bookmarkEnd w:id="1323"/>
    <w:bookmarkEnd w:id="1324"/>
    <w:bookmarkEnd w:id="1325"/>
    <w:bookmarkEnd w:id="1326"/>
    <w:bookmarkEnd w:id="1327"/>
    <w:bookmarkEnd w:id="1328"/>
    <w:bookmarkEnd w:id="1329"/>
    <w:bookmarkEnd w:id="1330"/>
    <w:bookmarkEnd w:id="1331"/>
    <w:bookmarkEnd w:id="1334"/>
    <w:bookmarkEnd w:id="1335"/>
    <w:bookmarkEnd w:id="1336"/>
    <w:bookmarkEnd w:id="1337"/>
    <w:bookmarkEnd w:id="1338"/>
    <w:bookmarkEnd w:id="1339"/>
    <w:bookmarkEnd w:id="1340"/>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347" w:name="_Toc532377349"/>
      <w:bookmarkStart w:id="1348" w:name="_Toc532375613"/>
      <w:bookmarkStart w:id="1349" w:name="_Toc351203638"/>
      <w:bookmarkStart w:id="1350" w:name="_Toc297048359"/>
      <w:bookmarkStart w:id="1351" w:name="_Toc296346674"/>
      <w:bookmarkStart w:id="1352" w:name="_Toc292559883"/>
      <w:bookmarkStart w:id="1353" w:name="_Toc292559378"/>
      <w:bookmarkStart w:id="1354" w:name="_Toc296503173"/>
      <w:bookmarkStart w:id="1355" w:name="_Toc296891001"/>
      <w:bookmarkStart w:id="1356" w:name="_Toc296891213"/>
      <w:bookmarkStart w:id="1357" w:name="_Toc267251427"/>
      <w:bookmarkStart w:id="1358" w:name="_Toc296347172"/>
      <w:bookmarkStart w:id="1359" w:name="_Toc297120473"/>
      <w:bookmarkStart w:id="1360" w:name="_Toc351203642"/>
      <w:bookmarkStart w:id="1361" w:name="_Toc267251428"/>
      <w:bookmarkStart w:id="1362" w:name="_Toc296944512"/>
      <w:r>
        <w:rPr>
          <w:rFonts w:hint="eastAsia"/>
          <w:color w:val="auto"/>
          <w:kern w:val="2"/>
          <w:sz w:val="21"/>
          <w:szCs w:val="21"/>
          <w:highlight w:val="none"/>
        </w:rPr>
        <w:t>6. 安全文明施工与环境保护</w:t>
      </w:r>
      <w:bookmarkEnd w:id="1347"/>
      <w:bookmarkEnd w:id="1348"/>
      <w:bookmarkEnd w:id="1349"/>
    </w:p>
    <w:p>
      <w:pPr>
        <w:pStyle w:val="7"/>
        <w:spacing w:before="0" w:beforeAutospacing="0" w:after="0" w:afterAutospacing="0" w:line="360" w:lineRule="auto"/>
        <w:ind w:firstLine="422" w:firstLineChars="200"/>
        <w:rPr>
          <w:color w:val="auto"/>
          <w:sz w:val="21"/>
          <w:szCs w:val="21"/>
          <w:highlight w:val="none"/>
        </w:rPr>
      </w:pPr>
      <w:bookmarkStart w:id="1363" w:name="_Toc532375614"/>
      <w:bookmarkStart w:id="1364" w:name="_Toc532377350"/>
      <w:r>
        <w:rPr>
          <w:rFonts w:hint="eastAsia"/>
          <w:color w:val="auto"/>
          <w:sz w:val="21"/>
          <w:szCs w:val="21"/>
          <w:highlight w:val="none"/>
        </w:rPr>
        <w:t>6.1 安全文明施工</w:t>
      </w:r>
      <w:bookmarkEnd w:id="1363"/>
      <w:bookmarkEnd w:id="136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达到《建筑施工安全检查标准》（JGJ59-2011）的要求</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（1）按现行安全文明施工费计取及使用管理的政策文件规定及发包人制订的安全管理制度执行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（2）承包人的原因造成事故，由此产生的法律责任和事故责任及费用由承包人全部承担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（3）承包人向发包人做出安全承诺，并签订《安全生产目标责任书》和《安全承诺书》</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（4）承包人在施工过程中，必须严格执行</w:t>
      </w:r>
      <w:r>
        <w:rPr>
          <w:rFonts w:hint="eastAsia" w:ascii="宋体" w:hAnsi="宋体"/>
          <w:color w:val="auto"/>
          <w:szCs w:val="21"/>
          <w:highlight w:val="none"/>
          <w:u w:val="single"/>
          <w:lang w:eastAsia="zh-CN"/>
        </w:rPr>
        <w:t>《中华人民共和国</w:t>
      </w:r>
      <w:r>
        <w:rPr>
          <w:rFonts w:hint="eastAsia" w:ascii="宋体" w:hAnsi="宋体"/>
          <w:color w:val="auto"/>
          <w:szCs w:val="21"/>
          <w:highlight w:val="none"/>
          <w:u w:val="single"/>
        </w:rPr>
        <w:t>安全生产法</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的相关规定，制定切实可靠的安全技术措施</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（5）接受发包人安全监督和管理，在施工中违反安全管理规定和操作规程、违章作业的，承担违约责任</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承包人负责组建施工现场治安管理机构或联防组织；承包人负责编制施工场地治安管理计划和突发治安事件紧急预案</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由承包人负责</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6.1.5 文明施工</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6.1.6 关于安全文明施工费支付比例和支付期限的约定：按照行业主管部门相关规定执行。</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365" w:name="_Toc532375615"/>
      <w:bookmarkStart w:id="1366" w:name="_Toc532377351"/>
      <w:r>
        <w:rPr>
          <w:rFonts w:hint="eastAsia"/>
          <w:color w:val="auto"/>
          <w:sz w:val="21"/>
          <w:szCs w:val="21"/>
          <w:highlight w:val="none"/>
        </w:rPr>
        <w:t>6.3 环境保护</w:t>
      </w:r>
      <w:bookmarkEnd w:id="1365"/>
      <w:bookmarkEnd w:id="1366"/>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本款补充6.3.1～6.3.8项：</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6.3.5 承包人应重视大气污染物污染防治措施。施工期间，严格执行市政府“蓝天行动”方案等有关规定，通过洒水防尘，严格控制施工场地扬尘和运输扬尘污染。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6.3.6 承包人应落实固体废物污染防治措施。施工期间，项目产生的弃方不可合理</w:t>
      </w:r>
      <w:r>
        <w:rPr>
          <w:rFonts w:ascii="宋体" w:hAnsi="宋体"/>
          <w:color w:val="auto"/>
          <w:szCs w:val="21"/>
          <w:highlight w:val="none"/>
        </w:rPr>
        <w:t>利用的</w:t>
      </w:r>
      <w:r>
        <w:rPr>
          <w:rFonts w:hint="eastAsia" w:ascii="宋体" w:hAnsi="宋体"/>
          <w:color w:val="auto"/>
          <w:szCs w:val="21"/>
          <w:highlight w:val="none"/>
        </w:rPr>
        <w:t>，应运往指定的弃渣场内堆存；建筑垃圾运至指定的建筑垃圾消纳场处置；生活垃圾由当地环卫部门统一处置。</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6.3.8 承包人自行负责办理有关施工场地交通、环卫和施工噪音管理等手续，并应按要求结合自身实际和重庆市相关规定，考虑不低于以上标准的此类工作。</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6.3.9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367" w:name="_Toc351203639"/>
      <w:bookmarkStart w:id="1368" w:name="_Toc532377352"/>
      <w:bookmarkStart w:id="1369" w:name="_Toc532375616"/>
      <w:r>
        <w:rPr>
          <w:rFonts w:hint="eastAsia"/>
          <w:color w:val="auto"/>
          <w:kern w:val="2"/>
          <w:sz w:val="21"/>
          <w:szCs w:val="21"/>
          <w:highlight w:val="none"/>
        </w:rPr>
        <w:t>7. 工期和进度</w:t>
      </w:r>
      <w:bookmarkEnd w:id="1367"/>
      <w:bookmarkEnd w:id="1368"/>
      <w:bookmarkEnd w:id="1369"/>
    </w:p>
    <w:p>
      <w:pPr>
        <w:pStyle w:val="7"/>
        <w:spacing w:before="0" w:beforeAutospacing="0" w:after="0" w:afterAutospacing="0" w:line="360" w:lineRule="auto"/>
        <w:ind w:firstLine="422" w:firstLineChars="200"/>
        <w:rPr>
          <w:color w:val="auto"/>
          <w:sz w:val="21"/>
          <w:szCs w:val="21"/>
          <w:highlight w:val="none"/>
        </w:rPr>
      </w:pPr>
      <w:bookmarkStart w:id="1370" w:name="_Toc532375617"/>
      <w:bookmarkStart w:id="1371" w:name="_Toc532377353"/>
      <w:r>
        <w:rPr>
          <w:rFonts w:hint="eastAsia"/>
          <w:color w:val="auto"/>
          <w:sz w:val="21"/>
          <w:szCs w:val="21"/>
          <w:highlight w:val="none"/>
        </w:rPr>
        <w:t>7.1 施工组织设计</w:t>
      </w:r>
      <w:bookmarkEnd w:id="1370"/>
      <w:bookmarkEnd w:id="1371"/>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highlight w:val="none"/>
        </w:rPr>
        <w:t>。</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 xml:space="preserve">合同签订后 </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 xml:space="preserve"> 天内，但最迟不得晚于开工通知载明的开工日期前7天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 xml:space="preserve">收到施工组织设计后 </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 xml:space="preserve"> 天内</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372" w:name="_Toc532375618"/>
      <w:bookmarkStart w:id="1373" w:name="_Toc532377354"/>
      <w:r>
        <w:rPr>
          <w:rFonts w:hint="eastAsia"/>
          <w:color w:val="auto"/>
          <w:sz w:val="21"/>
          <w:szCs w:val="21"/>
          <w:highlight w:val="none"/>
        </w:rPr>
        <w:t>7.2 施工进度计划</w:t>
      </w:r>
      <w:bookmarkEnd w:id="1372"/>
      <w:bookmarkEnd w:id="137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 xml:space="preserve">收到修订的施工进度计划后  </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天内</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374" w:name="_Toc532375619"/>
      <w:bookmarkStart w:id="1375" w:name="_Toc532377355"/>
      <w:bookmarkStart w:id="1376" w:name="_Toc297216173"/>
      <w:bookmarkStart w:id="1377" w:name="_Toc312677479"/>
      <w:bookmarkStart w:id="1378" w:name="_Toc304295541"/>
      <w:bookmarkStart w:id="1379" w:name="_Toc312678005"/>
      <w:bookmarkStart w:id="1380" w:name="_Toc297123514"/>
      <w:bookmarkStart w:id="1381" w:name="_Toc303539123"/>
      <w:bookmarkStart w:id="1382" w:name="_Toc300934966"/>
      <w:r>
        <w:rPr>
          <w:rFonts w:hint="eastAsia"/>
          <w:color w:val="auto"/>
          <w:sz w:val="21"/>
          <w:szCs w:val="21"/>
          <w:highlight w:val="none"/>
        </w:rPr>
        <w:t>7.3 开工</w:t>
      </w:r>
      <w:bookmarkEnd w:id="1374"/>
      <w:bookmarkEnd w:id="137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 xml:space="preserve">不晚于开工前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 xml:space="preserve">不晚于开工前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 xml:space="preserve">不晚于开工前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天</w:t>
      </w:r>
      <w:r>
        <w:rPr>
          <w:rFonts w:hint="eastAsia" w:ascii="宋体" w:hAnsi="宋体"/>
          <w:color w:val="auto"/>
          <w:szCs w:val="21"/>
          <w:highlight w:val="none"/>
        </w:rPr>
        <w:t>。</w:t>
      </w:r>
    </w:p>
    <w:bookmarkEnd w:id="1376"/>
    <w:bookmarkEnd w:id="1377"/>
    <w:bookmarkEnd w:id="1378"/>
    <w:bookmarkEnd w:id="1379"/>
    <w:bookmarkEnd w:id="1380"/>
    <w:bookmarkEnd w:id="1381"/>
    <w:bookmarkEnd w:id="1382"/>
    <w:p>
      <w:pPr>
        <w:pStyle w:val="7"/>
        <w:spacing w:before="0" w:beforeAutospacing="0" w:after="0" w:afterAutospacing="0" w:line="360" w:lineRule="auto"/>
        <w:ind w:firstLine="422" w:firstLineChars="200"/>
        <w:rPr>
          <w:color w:val="auto"/>
          <w:sz w:val="21"/>
          <w:szCs w:val="21"/>
          <w:highlight w:val="none"/>
        </w:rPr>
      </w:pPr>
      <w:bookmarkStart w:id="1383" w:name="_Toc532375620"/>
      <w:bookmarkStart w:id="1384" w:name="_Toc532377356"/>
      <w:r>
        <w:rPr>
          <w:rFonts w:hint="eastAsia"/>
          <w:color w:val="auto"/>
          <w:sz w:val="21"/>
          <w:szCs w:val="21"/>
          <w:highlight w:val="none"/>
        </w:rPr>
        <w:t>7.4 测量放线</w:t>
      </w:r>
      <w:bookmarkEnd w:id="1383"/>
      <w:bookmarkEnd w:id="138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ascii="宋体" w:hAnsi="宋体"/>
          <w:color w:val="auto"/>
          <w:szCs w:val="21"/>
          <w:highlight w:val="none"/>
          <w:u w:val="single"/>
        </w:rPr>
        <w:t xml:space="preserve">不晚于开工前 </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 xml:space="preserve"> 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承包人报监理人审批施工控制网资料的期限：</w:t>
      </w:r>
      <w:r>
        <w:rPr>
          <w:rFonts w:hint="eastAsia" w:ascii="宋体" w:hAnsi="宋体"/>
          <w:color w:val="auto"/>
          <w:szCs w:val="21"/>
          <w:highlight w:val="none"/>
          <w:u w:val="single"/>
        </w:rPr>
        <w:t xml:space="preserve">发出开工通知后 </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 xml:space="preserve">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385" w:name="_Toc532375621"/>
      <w:bookmarkStart w:id="1386" w:name="_Toc532377357"/>
      <w:r>
        <w:rPr>
          <w:rFonts w:hint="eastAsia"/>
          <w:color w:val="auto"/>
          <w:sz w:val="21"/>
          <w:szCs w:val="21"/>
          <w:highlight w:val="none"/>
        </w:rPr>
        <w:t>7</w:t>
      </w:r>
      <w:bookmarkStart w:id="1387" w:name="_Toc304295546"/>
      <w:bookmarkStart w:id="1388" w:name="_Toc312677484"/>
      <w:bookmarkStart w:id="1389" w:name="_Toc300934968"/>
      <w:bookmarkStart w:id="1390" w:name="_Toc303539125"/>
      <w:bookmarkStart w:id="1391" w:name="_Toc297216175"/>
      <w:bookmarkStart w:id="1392" w:name="_Toc297123516"/>
      <w:bookmarkStart w:id="1393" w:name="_Toc312678010"/>
      <w:r>
        <w:rPr>
          <w:rFonts w:hint="eastAsia"/>
          <w:color w:val="auto"/>
          <w:sz w:val="21"/>
          <w:szCs w:val="21"/>
          <w:highlight w:val="none"/>
        </w:rPr>
        <w:t>.5 工期延误</w:t>
      </w:r>
      <w:bookmarkEnd w:id="1385"/>
      <w:bookmarkEnd w:id="1386"/>
    </w:p>
    <w:bookmarkEnd w:id="1387"/>
    <w:bookmarkEnd w:id="1388"/>
    <w:bookmarkEnd w:id="1389"/>
    <w:bookmarkEnd w:id="1390"/>
    <w:bookmarkEnd w:id="1391"/>
    <w:bookmarkEnd w:id="1392"/>
    <w:bookmarkEnd w:id="1393"/>
    <w:p>
      <w:pPr>
        <w:spacing w:line="360" w:lineRule="auto"/>
        <w:ind w:firstLine="420" w:firstLineChars="200"/>
        <w:jc w:val="left"/>
        <w:rPr>
          <w:rFonts w:ascii="宋体" w:hAnsi="宋体"/>
          <w:color w:val="auto"/>
          <w:szCs w:val="21"/>
          <w:highlight w:val="none"/>
        </w:rPr>
      </w:pPr>
      <w:bookmarkStart w:id="1394" w:name="_Hlk528927940"/>
      <w:r>
        <w:rPr>
          <w:rFonts w:hint="eastAsia" w:ascii="宋体" w:hAnsi="宋体"/>
          <w:color w:val="auto"/>
          <w:szCs w:val="21"/>
          <w:highlight w:val="none"/>
        </w:rPr>
        <w:t>7.5.1 因发包人原因导致工期延误：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在合同履行过程中，除通用条款约定外，因下列情况导致工期延误，由发包人承担由此延误的工期：</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（1）发包人未能按合同约定提供施工场地，且该未提供开工条件直接影响项目关键线路的；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（2）发包人提供的测量基准点、基准线和水准点及其书面资料存在错误或疏漏，且该错误或疏漏直接影响项目关键线路的；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（3）监理人未按合同约定发出指示、批准等文件，且该未按合同约定发出指示、批准直接影响项目关键线路的；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（4）变更未及时审批，直接影响项目关键线路的；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（5）实施变更直接影响项目关键线路的；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（6）因发包人原因导致工程暂停施工、停建、缓建的；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（7）因征地拆迁、当地群众阻工等情形的；</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（8）</w:t>
      </w:r>
      <w:r>
        <w:rPr>
          <w:rFonts w:hint="eastAsia" w:ascii="宋体" w:hAnsi="宋体"/>
          <w:color w:val="auto"/>
          <w:szCs w:val="21"/>
          <w:highlight w:val="none"/>
          <w:u w:val="single"/>
        </w:rPr>
        <w:t>合同约定的其他情形</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7.5.2 因承包人原因导致工期延误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因承包人原因造成工期延误，逾期竣工按16.2.2（6）目执行。</w:t>
      </w:r>
    </w:p>
    <w:bookmarkEnd w:id="1394"/>
    <w:p>
      <w:pPr>
        <w:pStyle w:val="7"/>
        <w:spacing w:before="0" w:beforeAutospacing="0" w:after="0" w:afterAutospacing="0" w:line="360" w:lineRule="auto"/>
        <w:ind w:firstLine="422" w:firstLineChars="200"/>
        <w:rPr>
          <w:color w:val="auto"/>
          <w:sz w:val="21"/>
          <w:szCs w:val="21"/>
          <w:highlight w:val="none"/>
        </w:rPr>
      </w:pPr>
      <w:bookmarkStart w:id="1395" w:name="_Toc532377358"/>
      <w:bookmarkStart w:id="1396" w:name="_Toc532375622"/>
      <w:bookmarkStart w:id="1397" w:name="_Hlk528927997"/>
      <w:r>
        <w:rPr>
          <w:rFonts w:hint="eastAsia"/>
          <w:color w:val="auto"/>
          <w:sz w:val="21"/>
          <w:szCs w:val="21"/>
          <w:highlight w:val="none"/>
        </w:rPr>
        <w:t>7</w:t>
      </w:r>
      <w:bookmarkStart w:id="1398" w:name="_Toc297216178"/>
      <w:bookmarkStart w:id="1399" w:name="_Toc312678015"/>
      <w:bookmarkStart w:id="1400" w:name="_Toc300934971"/>
      <w:bookmarkStart w:id="1401" w:name="_Toc303539128"/>
      <w:bookmarkStart w:id="1402" w:name="_Toc304295549"/>
      <w:bookmarkStart w:id="1403" w:name="_Toc297123519"/>
      <w:r>
        <w:rPr>
          <w:rFonts w:hint="eastAsia"/>
          <w:color w:val="auto"/>
          <w:sz w:val="21"/>
          <w:szCs w:val="21"/>
          <w:highlight w:val="none"/>
        </w:rPr>
        <w:t>.6 不</w:t>
      </w:r>
      <w:bookmarkEnd w:id="1398"/>
      <w:bookmarkEnd w:id="1399"/>
      <w:bookmarkEnd w:id="1400"/>
      <w:bookmarkEnd w:id="1401"/>
      <w:bookmarkEnd w:id="1402"/>
      <w:bookmarkEnd w:id="1403"/>
      <w:r>
        <w:rPr>
          <w:rFonts w:hint="eastAsia"/>
          <w:color w:val="auto"/>
          <w:sz w:val="21"/>
          <w:szCs w:val="21"/>
          <w:highlight w:val="none"/>
        </w:rPr>
        <w:t>利物质条件</w:t>
      </w:r>
      <w:bookmarkEnd w:id="1395"/>
      <w:bookmarkEnd w:id="1396"/>
    </w:p>
    <w:bookmarkEnd w:id="1397"/>
    <w:p>
      <w:pPr>
        <w:spacing w:line="360" w:lineRule="auto"/>
        <w:ind w:firstLine="420" w:firstLineChars="200"/>
        <w:jc w:val="left"/>
        <w:rPr>
          <w:rFonts w:ascii="宋体" w:hAnsi="宋体"/>
          <w:bCs/>
          <w:color w:val="auto"/>
          <w:szCs w:val="21"/>
          <w:highlight w:val="none"/>
        </w:rPr>
      </w:pPr>
      <w:bookmarkStart w:id="1404" w:name="_Toc304295550"/>
      <w:bookmarkStart w:id="1405" w:name="_Toc303539129"/>
      <w:bookmarkStart w:id="1406" w:name="_Toc312678016"/>
      <w:bookmarkStart w:id="1407" w:name="_Toc300934972"/>
      <w:bookmarkStart w:id="1408" w:name="_Toc318581172"/>
      <w:bookmarkStart w:id="1409" w:name="_Toc297216179"/>
      <w:bookmarkStart w:id="1410" w:name="_Toc297123520"/>
      <w:r>
        <w:rPr>
          <w:rFonts w:hint="eastAsia" w:ascii="宋体" w:hAnsi="宋体"/>
          <w:color w:val="auto"/>
          <w:szCs w:val="21"/>
          <w:highlight w:val="none"/>
        </w:rPr>
        <w:t>不利物质条件的其他情形和有关约定：</w:t>
      </w:r>
      <w:bookmarkStart w:id="1411" w:name="_Hlk528910274"/>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无</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404"/>
    <w:bookmarkEnd w:id="1405"/>
    <w:bookmarkEnd w:id="1406"/>
    <w:bookmarkEnd w:id="1407"/>
    <w:bookmarkEnd w:id="1408"/>
    <w:bookmarkEnd w:id="1409"/>
    <w:bookmarkEnd w:id="1410"/>
    <w:bookmarkEnd w:id="1411"/>
    <w:p>
      <w:pPr>
        <w:pStyle w:val="7"/>
        <w:spacing w:before="0" w:beforeAutospacing="0" w:after="0" w:afterAutospacing="0" w:line="360" w:lineRule="auto"/>
        <w:ind w:firstLine="422" w:firstLineChars="200"/>
        <w:rPr>
          <w:color w:val="auto"/>
          <w:sz w:val="21"/>
          <w:szCs w:val="21"/>
          <w:highlight w:val="none"/>
        </w:rPr>
      </w:pPr>
      <w:bookmarkStart w:id="1412" w:name="_Toc532377359"/>
      <w:bookmarkStart w:id="1413" w:name="_Toc532375623"/>
      <w:r>
        <w:rPr>
          <w:rFonts w:hint="eastAsia"/>
          <w:color w:val="auto"/>
          <w:sz w:val="21"/>
          <w:szCs w:val="21"/>
          <w:highlight w:val="none"/>
        </w:rPr>
        <w:t>7</w:t>
      </w:r>
      <w:bookmarkStart w:id="1414" w:name="_Toc312678017"/>
      <w:bookmarkStart w:id="1415" w:name="_Toc303539130"/>
      <w:bookmarkStart w:id="1416" w:name="_Toc297216180"/>
      <w:bookmarkStart w:id="1417" w:name="_Toc300934973"/>
      <w:bookmarkStart w:id="1418" w:name="_Toc297123521"/>
      <w:bookmarkStart w:id="1419" w:name="_Toc304295551"/>
      <w:r>
        <w:rPr>
          <w:rFonts w:hint="eastAsia"/>
          <w:color w:val="auto"/>
          <w:sz w:val="21"/>
          <w:szCs w:val="21"/>
          <w:highlight w:val="none"/>
        </w:rPr>
        <w:t>.7异常恶劣的气候条件</w:t>
      </w:r>
      <w:bookmarkEnd w:id="1412"/>
      <w:bookmarkEnd w:id="1413"/>
    </w:p>
    <w:bookmarkEnd w:id="1414"/>
    <w:bookmarkEnd w:id="1415"/>
    <w:bookmarkEnd w:id="1416"/>
    <w:bookmarkEnd w:id="1417"/>
    <w:bookmarkEnd w:id="1418"/>
    <w:bookmarkEnd w:id="1419"/>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发包人和承包人同意以下情形视为异常恶劣的气候条件：</w:t>
      </w:r>
      <w:r>
        <w:rPr>
          <w:rFonts w:hint="eastAsia" w:ascii="宋体" w:hAnsi="宋体"/>
          <w:color w:val="auto"/>
          <w:szCs w:val="21"/>
          <w:highlight w:val="none"/>
          <w:u w:val="single"/>
        </w:rPr>
        <w:t xml:space="preserve">    异常气候是指项目所在地50年以上一遇的罕见气候现象</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420" w:name="_Toc532375624"/>
      <w:bookmarkStart w:id="1421" w:name="_Toc532377360"/>
      <w:r>
        <w:rPr>
          <w:rFonts w:hint="eastAsia"/>
          <w:color w:val="auto"/>
          <w:sz w:val="21"/>
          <w:szCs w:val="21"/>
          <w:highlight w:val="none"/>
        </w:rPr>
        <w:t>7.9 提前竣工</w:t>
      </w:r>
      <w:bookmarkEnd w:id="1420"/>
      <w:bookmarkEnd w:id="142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7.9.1项细化为：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7.9.2 提前竣工的奖励：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无</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422" w:name="_Toc532375625"/>
      <w:bookmarkStart w:id="1423" w:name="_Toc351203640"/>
      <w:bookmarkStart w:id="1424" w:name="_Toc532377361"/>
      <w:r>
        <w:rPr>
          <w:rFonts w:hint="eastAsia"/>
          <w:color w:val="auto"/>
          <w:kern w:val="2"/>
          <w:sz w:val="21"/>
          <w:szCs w:val="21"/>
          <w:highlight w:val="none"/>
        </w:rPr>
        <w:t>8. 材料与设备</w:t>
      </w:r>
      <w:bookmarkEnd w:id="1422"/>
      <w:bookmarkEnd w:id="1423"/>
      <w:bookmarkEnd w:id="1424"/>
    </w:p>
    <w:p>
      <w:pPr>
        <w:pStyle w:val="7"/>
        <w:spacing w:before="0" w:beforeAutospacing="0" w:after="0" w:afterAutospacing="0" w:line="360" w:lineRule="auto"/>
        <w:ind w:firstLine="422" w:firstLineChars="200"/>
        <w:rPr>
          <w:color w:val="auto"/>
          <w:sz w:val="21"/>
          <w:szCs w:val="21"/>
          <w:highlight w:val="none"/>
        </w:rPr>
      </w:pPr>
      <w:bookmarkStart w:id="1425" w:name="_Toc532375626"/>
      <w:bookmarkStart w:id="1426" w:name="_Toc532377362"/>
      <w:r>
        <w:rPr>
          <w:rFonts w:hint="eastAsia"/>
          <w:color w:val="auto"/>
          <w:sz w:val="21"/>
          <w:szCs w:val="21"/>
          <w:highlight w:val="none"/>
        </w:rPr>
        <w:t>8.1发包人供应材料与工程设备</w:t>
      </w:r>
      <w:bookmarkEnd w:id="1425"/>
      <w:bookmarkEnd w:id="1426"/>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材料的名称、规格、数量和价格：</w:t>
      </w:r>
      <w:r>
        <w:rPr>
          <w:rFonts w:hint="eastAsia" w:ascii="宋体" w:hAnsi="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427" w:name="_Toc532377363"/>
      <w:bookmarkStart w:id="1428" w:name="_Toc351203554"/>
      <w:bookmarkStart w:id="1429" w:name="_Toc532375627"/>
      <w:r>
        <w:rPr>
          <w:rFonts w:hint="eastAsia"/>
          <w:color w:val="auto"/>
          <w:sz w:val="21"/>
          <w:szCs w:val="21"/>
          <w:highlight w:val="none"/>
        </w:rPr>
        <w:t>8</w:t>
      </w:r>
      <w:bookmarkStart w:id="1430" w:name="_Toc296503060"/>
      <w:bookmarkStart w:id="1431" w:name="_Toc296346561"/>
      <w:bookmarkStart w:id="1432" w:name="_Toc337558778"/>
      <w:r>
        <w:rPr>
          <w:rFonts w:hint="eastAsia"/>
          <w:color w:val="auto"/>
          <w:sz w:val="21"/>
          <w:szCs w:val="21"/>
          <w:highlight w:val="none"/>
        </w:rPr>
        <w:t>.2 承包人采购材料与工程设备</w:t>
      </w:r>
      <w:bookmarkEnd w:id="1427"/>
      <w:bookmarkEnd w:id="1428"/>
      <w:bookmarkEnd w:id="1429"/>
    </w:p>
    <w:bookmarkEnd w:id="1430"/>
    <w:bookmarkEnd w:id="1431"/>
    <w:bookmarkEnd w:id="1432"/>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8.2.1承包人负责采购、运输和保管的材料、工程设备：</w:t>
      </w:r>
      <w:r>
        <w:rPr>
          <w:rFonts w:hint="eastAsia" w:ascii="宋体" w:hAnsi="宋体"/>
          <w:color w:val="auto"/>
          <w:szCs w:val="21"/>
          <w:highlight w:val="none"/>
          <w:u w:val="single"/>
        </w:rPr>
        <w:t>由承包人自行采购。承包人采购材料设备必须经监理人和发包人批准，结算时由监理人和发包人按招标文件规定审核的数量和合同约定</w:t>
      </w:r>
      <w:r>
        <w:rPr>
          <w:rFonts w:ascii="宋体" w:hAnsi="宋体"/>
          <w:color w:val="auto"/>
          <w:szCs w:val="21"/>
          <w:highlight w:val="none"/>
          <w:u w:val="single"/>
        </w:rPr>
        <w:t>价格</w:t>
      </w:r>
      <w:r>
        <w:rPr>
          <w:rFonts w:hint="eastAsia" w:ascii="宋体" w:hAnsi="宋体"/>
          <w:color w:val="auto"/>
          <w:szCs w:val="21"/>
          <w:highlight w:val="none"/>
          <w:u w:val="single"/>
        </w:rPr>
        <w:t>计算</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8.2.2承包人报送监理人审批的时间：</w:t>
      </w:r>
      <w:r>
        <w:rPr>
          <w:rFonts w:hint="eastAsia" w:ascii="宋体" w:hAnsi="宋体"/>
          <w:color w:val="auto"/>
          <w:szCs w:val="21"/>
          <w:highlight w:val="none"/>
          <w:u w:val="single"/>
        </w:rPr>
        <w:t>按发包人及监理单位的相关规定执行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8.2.3承包人选择的生产厂家或供应商满足下列条件：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满足相关技术标准规范要求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满足相关技术标准规范要求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满足相关技术标准规范要求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433" w:name="_Toc532377364"/>
      <w:bookmarkStart w:id="1434" w:name="_Toc532375628"/>
      <w:r>
        <w:rPr>
          <w:rFonts w:hint="eastAsia"/>
          <w:color w:val="auto"/>
          <w:sz w:val="21"/>
          <w:szCs w:val="21"/>
          <w:highlight w:val="none"/>
        </w:rPr>
        <w:t>8</w:t>
      </w:r>
      <w:bookmarkStart w:id="1435" w:name="_Toc297123527"/>
      <w:bookmarkStart w:id="1436" w:name="_Toc292559877"/>
      <w:bookmarkStart w:id="1437" w:name="_Toc304295556"/>
      <w:bookmarkStart w:id="1438" w:name="_Toc292559372"/>
      <w:bookmarkStart w:id="1439" w:name="_Toc280868654"/>
      <w:bookmarkStart w:id="1440" w:name="_Toc297216186"/>
      <w:bookmarkStart w:id="1441" w:name="_Toc296346668"/>
      <w:bookmarkStart w:id="1442" w:name="_Toc296503167"/>
      <w:bookmarkStart w:id="1443" w:name="_Toc303539136"/>
      <w:bookmarkStart w:id="1444" w:name="_Toc312678019"/>
      <w:bookmarkStart w:id="1445" w:name="_Toc296944506"/>
      <w:bookmarkStart w:id="1446" w:name="_Toc300934979"/>
      <w:bookmarkStart w:id="1447" w:name="_Toc296891207"/>
      <w:bookmarkStart w:id="1448" w:name="_Toc312677493"/>
      <w:bookmarkStart w:id="1449" w:name="_Toc296347166"/>
      <w:bookmarkStart w:id="1450" w:name="_Toc296890995"/>
      <w:bookmarkStart w:id="1451" w:name="_Toc297048353"/>
      <w:bookmarkStart w:id="1452" w:name="_Toc297120467"/>
      <w:bookmarkStart w:id="1453" w:name="_Toc280868655"/>
      <w:bookmarkStart w:id="1454" w:name="_Toc280868656"/>
      <w:bookmarkStart w:id="1455" w:name="_Toc267251424"/>
      <w:r>
        <w:rPr>
          <w:rFonts w:hint="eastAsia"/>
          <w:color w:val="auto"/>
          <w:sz w:val="21"/>
          <w:szCs w:val="21"/>
          <w:highlight w:val="none"/>
        </w:rPr>
        <w:t>.4 材料与工程设备的保管与使用</w:t>
      </w:r>
      <w:bookmarkEnd w:id="1433"/>
      <w:bookmarkEnd w:id="1434"/>
    </w:p>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bookmarkStart w:id="1456" w:name="_Toc292559373"/>
      <w:bookmarkStart w:id="1457" w:name="_Toc292559878"/>
      <w:bookmarkStart w:id="1458" w:name="_Toc318581173"/>
      <w:bookmarkStart w:id="1459" w:name="_Toc296944507"/>
      <w:bookmarkStart w:id="1460" w:name="_Toc296347167"/>
      <w:bookmarkStart w:id="1461" w:name="_Toc296890996"/>
      <w:bookmarkStart w:id="1462" w:name="_Toc297120468"/>
      <w:bookmarkStart w:id="1463" w:name="_Toc297216187"/>
      <w:bookmarkStart w:id="1464" w:name="_Toc296503168"/>
      <w:bookmarkStart w:id="1465" w:name="_Toc296891208"/>
      <w:bookmarkStart w:id="1466" w:name="_Toc297048354"/>
      <w:bookmarkStart w:id="1467" w:name="_Toc303539137"/>
      <w:bookmarkStart w:id="1468" w:name="_Toc297123528"/>
      <w:bookmarkStart w:id="1469" w:name="_Toc300934980"/>
      <w:bookmarkStart w:id="1470" w:name="_Toc304295557"/>
      <w:bookmarkStart w:id="1471" w:name="_Toc312678020"/>
      <w:bookmarkStart w:id="1472" w:name="_Toc312677494"/>
      <w:bookmarkStart w:id="1473" w:name="_Toc296346669"/>
      <w:r>
        <w:rPr>
          <w:rFonts w:hint="eastAsia" w:ascii="宋体" w:hAnsi="宋体"/>
          <w:color w:val="auto"/>
          <w:szCs w:val="21"/>
          <w:highlight w:val="none"/>
        </w:rPr>
        <w:t>.4.1 发包人供应的材料设备的保管费用的承担：</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由承包人承担</w:t>
      </w:r>
      <w:r>
        <w:rPr>
          <w:rFonts w:hint="eastAsia" w:ascii="宋体" w:hAnsi="宋体"/>
          <w:color w:val="auto"/>
          <w:szCs w:val="21"/>
          <w:highlight w:val="none"/>
          <w:u w:val="single"/>
        </w:rPr>
        <w:t xml:space="preserve">       </w:t>
      </w:r>
      <w:r>
        <w:rPr>
          <w:rFonts w:hint="eastAsia" w:ascii="宋体" w:hAnsi="宋体"/>
          <w:color w:val="auto"/>
          <w:szCs w:val="21"/>
          <w:highlight w:val="none"/>
        </w:rPr>
        <w:t>。</w:t>
      </w:r>
      <w:bookmarkEnd w:id="1456"/>
      <w:bookmarkEnd w:id="1457"/>
    </w:p>
    <w:p>
      <w:pPr>
        <w:pStyle w:val="7"/>
        <w:spacing w:before="0" w:beforeAutospacing="0" w:after="0" w:afterAutospacing="0" w:line="360" w:lineRule="auto"/>
        <w:ind w:firstLine="422" w:firstLineChars="200"/>
        <w:rPr>
          <w:color w:val="auto"/>
          <w:sz w:val="21"/>
          <w:szCs w:val="21"/>
          <w:highlight w:val="none"/>
        </w:rPr>
      </w:pPr>
      <w:bookmarkStart w:id="1474" w:name="_Toc532375629"/>
      <w:bookmarkStart w:id="1475" w:name="_Toc532377365"/>
      <w:r>
        <w:rPr>
          <w:rFonts w:hint="eastAsia"/>
          <w:color w:val="auto"/>
          <w:sz w:val="21"/>
          <w:szCs w:val="21"/>
          <w:highlight w:val="none"/>
        </w:rPr>
        <w:t>8.6 样品</w:t>
      </w:r>
      <w:bookmarkEnd w:id="1474"/>
      <w:bookmarkEnd w:id="1475"/>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8.6.1 样品的报送与封存</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按照相关技术标准规范要求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476" w:name="_Toc532377366"/>
      <w:bookmarkStart w:id="1477" w:name="_Toc532375630"/>
      <w:r>
        <w:rPr>
          <w:rFonts w:hint="eastAsia"/>
          <w:color w:val="auto"/>
          <w:sz w:val="21"/>
          <w:szCs w:val="21"/>
          <w:highlight w:val="none"/>
        </w:rPr>
        <w:t>8.8 施工设备和临时设施</w:t>
      </w:r>
      <w:bookmarkEnd w:id="1476"/>
      <w:bookmarkEnd w:id="1477"/>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由承包人承担</w:t>
      </w:r>
      <w:r>
        <w:rPr>
          <w:rFonts w:hint="eastAsia" w:ascii="宋体" w:hAnsi="宋体"/>
          <w:color w:val="auto"/>
          <w:szCs w:val="21"/>
          <w:highlight w:val="none"/>
        </w:rPr>
        <w:t>。</w:t>
      </w:r>
    </w:p>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478" w:name="_Toc351203641"/>
      <w:bookmarkStart w:id="1479" w:name="_Toc532377367"/>
      <w:bookmarkStart w:id="1480" w:name="_Toc532375631"/>
      <w:r>
        <w:rPr>
          <w:rFonts w:hint="eastAsia"/>
          <w:color w:val="auto"/>
          <w:kern w:val="2"/>
          <w:sz w:val="21"/>
          <w:szCs w:val="21"/>
          <w:highlight w:val="none"/>
        </w:rPr>
        <w:t>9</w:t>
      </w:r>
      <w:bookmarkEnd w:id="1453"/>
      <w:bookmarkEnd w:id="1454"/>
      <w:bookmarkEnd w:id="1455"/>
      <w:bookmarkStart w:id="1481" w:name="_Toc304295559"/>
      <w:bookmarkStart w:id="1482" w:name="_Toc312678021"/>
      <w:bookmarkStart w:id="1483" w:name="_Toc303539139"/>
      <w:bookmarkStart w:id="1484" w:name="_Toc312677495"/>
      <w:bookmarkStart w:id="1485" w:name="_Toc297216192"/>
      <w:bookmarkStart w:id="1486" w:name="_Toc300934982"/>
      <w:bookmarkStart w:id="1487" w:name="_Toc297123533"/>
      <w:r>
        <w:rPr>
          <w:rFonts w:hint="eastAsia"/>
          <w:color w:val="auto"/>
          <w:kern w:val="2"/>
          <w:sz w:val="21"/>
          <w:szCs w:val="21"/>
          <w:highlight w:val="none"/>
        </w:rPr>
        <w:t>. 试验与检验</w:t>
      </w:r>
      <w:bookmarkEnd w:id="1478"/>
      <w:bookmarkEnd w:id="1479"/>
      <w:bookmarkEnd w:id="1480"/>
    </w:p>
    <w:bookmarkEnd w:id="1481"/>
    <w:bookmarkEnd w:id="1482"/>
    <w:bookmarkEnd w:id="1483"/>
    <w:bookmarkEnd w:id="1484"/>
    <w:bookmarkEnd w:id="1485"/>
    <w:bookmarkEnd w:id="1486"/>
    <w:bookmarkEnd w:id="1487"/>
    <w:p>
      <w:pPr>
        <w:pStyle w:val="7"/>
        <w:spacing w:before="0" w:beforeAutospacing="0" w:after="0" w:afterAutospacing="0" w:line="360" w:lineRule="auto"/>
        <w:ind w:firstLine="422" w:firstLineChars="200"/>
        <w:rPr>
          <w:color w:val="auto"/>
          <w:sz w:val="21"/>
          <w:szCs w:val="21"/>
          <w:highlight w:val="none"/>
        </w:rPr>
      </w:pPr>
      <w:bookmarkStart w:id="1488" w:name="_Toc532377368"/>
      <w:bookmarkStart w:id="1489" w:name="_Toc532375632"/>
      <w:r>
        <w:rPr>
          <w:rFonts w:hint="eastAsia"/>
          <w:color w:val="auto"/>
          <w:sz w:val="21"/>
          <w:szCs w:val="21"/>
          <w:highlight w:val="none"/>
        </w:rPr>
        <w:t>9</w:t>
      </w:r>
      <w:bookmarkStart w:id="1490" w:name="_Toc297216193"/>
      <w:bookmarkStart w:id="1491" w:name="_Toc300934983"/>
      <w:bookmarkStart w:id="1492" w:name="_Toc297123534"/>
      <w:bookmarkStart w:id="1493" w:name="_Toc303539140"/>
      <w:bookmarkStart w:id="1494" w:name="_Toc312678022"/>
      <w:bookmarkStart w:id="1495" w:name="_Toc312677496"/>
      <w:bookmarkStart w:id="1496" w:name="_Toc304295560"/>
      <w:r>
        <w:rPr>
          <w:rFonts w:hint="eastAsia"/>
          <w:color w:val="auto"/>
          <w:sz w:val="21"/>
          <w:szCs w:val="21"/>
          <w:highlight w:val="none"/>
        </w:rPr>
        <w:t>.1 试验设备与试验人员</w:t>
      </w:r>
      <w:bookmarkEnd w:id="1488"/>
      <w:bookmarkEnd w:id="1489"/>
    </w:p>
    <w:bookmarkEnd w:id="1490"/>
    <w:bookmarkEnd w:id="1491"/>
    <w:bookmarkEnd w:id="1492"/>
    <w:bookmarkEnd w:id="1493"/>
    <w:bookmarkEnd w:id="1494"/>
    <w:bookmarkEnd w:id="1495"/>
    <w:bookmarkEnd w:id="1496"/>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bookmarkStart w:id="1497" w:name="_Toc312678023"/>
      <w:bookmarkStart w:id="1498" w:name="_Toc303539141"/>
      <w:bookmarkStart w:id="1499" w:name="_Toc304295561"/>
      <w:bookmarkStart w:id="1500" w:name="_Toc297123535"/>
      <w:bookmarkStart w:id="1501" w:name="_Toc297216194"/>
      <w:bookmarkStart w:id="1502" w:name="_Toc300934984"/>
      <w:bookmarkStart w:id="1503" w:name="_Toc312677497"/>
      <w:bookmarkStart w:id="1504" w:name="_Toc318581174"/>
      <w:r>
        <w:rPr>
          <w:rFonts w:hint="eastAsia" w:ascii="宋体" w:hAnsi="宋体"/>
          <w:color w:val="auto"/>
          <w:szCs w:val="21"/>
          <w:highlight w:val="none"/>
        </w:rPr>
        <w:t>.1.2 试验设备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bookmarkEnd w:id="1497"/>
      <w:bookmarkEnd w:id="1498"/>
      <w:bookmarkEnd w:id="1499"/>
      <w:bookmarkEnd w:id="1500"/>
      <w:bookmarkEnd w:id="1501"/>
      <w:bookmarkEnd w:id="1502"/>
      <w:bookmarkEnd w:id="1503"/>
      <w:bookmarkStart w:id="1505" w:name="_Toc300934985"/>
      <w:bookmarkStart w:id="1506" w:name="_Toc312677498"/>
      <w:bookmarkStart w:id="1507" w:name="_Toc297216195"/>
      <w:bookmarkStart w:id="1508" w:name="_Toc303539142"/>
      <w:bookmarkStart w:id="1509" w:name="_Toc297123536"/>
      <w:bookmarkStart w:id="1510" w:name="_Toc312678024"/>
      <w:bookmarkStart w:id="1511" w:name="_Toc304295562"/>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满足工程施工的需要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512" w:name="_Toc532375633"/>
      <w:bookmarkStart w:id="1513" w:name="_Toc532377369"/>
      <w:r>
        <w:rPr>
          <w:rFonts w:hint="eastAsia"/>
          <w:color w:val="auto"/>
          <w:sz w:val="21"/>
          <w:szCs w:val="21"/>
          <w:highlight w:val="none"/>
        </w:rPr>
        <w:t>9.4 现场工艺试验</w:t>
      </w:r>
      <w:bookmarkEnd w:id="1512"/>
      <w:bookmarkEnd w:id="151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本款补充9.4.1～9.4.5项：</w:t>
      </w:r>
    </w:p>
    <w:bookmarkEnd w:id="1504"/>
    <w:bookmarkEnd w:id="1505"/>
    <w:bookmarkEnd w:id="1506"/>
    <w:bookmarkEnd w:id="1507"/>
    <w:bookmarkEnd w:id="1508"/>
    <w:bookmarkEnd w:id="1509"/>
    <w:bookmarkEnd w:id="1510"/>
    <w:bookmarkEnd w:id="1511"/>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9.4.1一般检验试验：</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9.4.2特殊检验试验：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发包人委托的第三方检测试验机构检测试验的试件所需的材料、取样、送检及相关配合工作由承包人负责完成并承担由此产生的所有相关费用。</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（2）施工措施的检测、试验：因施工措施需要而做的相关检测、试验由承包人负责实施，其费用由承包人承担。</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9.4.3专项检测：</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由承包人承担</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9.4.4若因承包人取样、制样、送检及相关配合不及时而导致工程的工期和费用增加，影响的工期不予延长，增加费用由承包人承担。</w:t>
      </w:r>
    </w:p>
    <w:p>
      <w:pPr>
        <w:tabs>
          <w:tab w:val="left" w:pos="711"/>
          <w:tab w:val="left" w:pos="2580"/>
        </w:tabs>
        <w:spacing w:line="360" w:lineRule="auto"/>
        <w:ind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9.4.5检测试验不合格的项目，其缺陷处理和复测费用由承包人承担，工期不予延长。</w:t>
      </w:r>
    </w:p>
    <w:bookmarkEnd w:id="1350"/>
    <w:bookmarkEnd w:id="1351"/>
    <w:bookmarkEnd w:id="1352"/>
    <w:bookmarkEnd w:id="1353"/>
    <w:bookmarkEnd w:id="1354"/>
    <w:bookmarkEnd w:id="1355"/>
    <w:bookmarkEnd w:id="1356"/>
    <w:bookmarkEnd w:id="1357"/>
    <w:bookmarkEnd w:id="1358"/>
    <w:bookmarkEnd w:id="1359"/>
    <w:bookmarkEnd w:id="1360"/>
    <w:bookmarkEnd w:id="1361"/>
    <w:bookmarkEnd w:id="1362"/>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514" w:name="_Toc532377370"/>
      <w:bookmarkStart w:id="1515" w:name="_Toc532375634"/>
      <w:bookmarkStart w:id="1516" w:name="_Toc267251489"/>
      <w:bookmarkStart w:id="1517" w:name="_Toc267251490"/>
      <w:bookmarkStart w:id="1518" w:name="_Hlk524298112"/>
      <w:bookmarkStart w:id="1519" w:name="_Toc267251486"/>
      <w:bookmarkStart w:id="1520" w:name="_Toc267251485"/>
      <w:bookmarkStart w:id="1521" w:name="_Toc267251484"/>
      <w:bookmarkStart w:id="1522" w:name="_Toc267251488"/>
      <w:bookmarkStart w:id="1523" w:name="_Toc267251482"/>
      <w:bookmarkStart w:id="1524" w:name="_Toc267251499"/>
      <w:bookmarkStart w:id="1525" w:name="_Toc267251494"/>
      <w:bookmarkStart w:id="1526" w:name="_Toc267251492"/>
      <w:bookmarkStart w:id="1527" w:name="_Toc267251495"/>
      <w:bookmarkStart w:id="1528" w:name="_Toc267251491"/>
      <w:bookmarkStart w:id="1529" w:name="_Toc267251497"/>
      <w:bookmarkStart w:id="1530" w:name="_Toc267251504"/>
      <w:bookmarkStart w:id="1531" w:name="_Toc267251503"/>
      <w:bookmarkStart w:id="1532" w:name="_Toc267251511"/>
      <w:bookmarkStart w:id="1533" w:name="_Toc267251514"/>
      <w:bookmarkStart w:id="1534" w:name="_Toc267251513"/>
      <w:bookmarkStart w:id="1535" w:name="_Toc267251493"/>
      <w:bookmarkStart w:id="1536" w:name="_Toc267251515"/>
      <w:bookmarkStart w:id="1537" w:name="_Toc267251502"/>
      <w:bookmarkStart w:id="1538" w:name="_Toc267251506"/>
      <w:bookmarkStart w:id="1539" w:name="_Toc267251496"/>
      <w:bookmarkStart w:id="1540" w:name="_Toc267251507"/>
      <w:bookmarkStart w:id="1541" w:name="_Toc267251498"/>
      <w:bookmarkStart w:id="1542" w:name="_Toc267251510"/>
      <w:bookmarkStart w:id="1543" w:name="_Toc267251508"/>
      <w:bookmarkStart w:id="1544" w:name="_Toc267251509"/>
      <w:bookmarkStart w:id="1545" w:name="_Toc267251501"/>
      <w:r>
        <w:rPr>
          <w:rFonts w:hint="eastAsia"/>
          <w:color w:val="auto"/>
          <w:kern w:val="2"/>
          <w:sz w:val="21"/>
          <w:szCs w:val="21"/>
          <w:highlight w:val="none"/>
        </w:rPr>
        <w:t>1</w:t>
      </w:r>
      <w:bookmarkStart w:id="1546" w:name="_Toc297048379"/>
      <w:bookmarkStart w:id="1547" w:name="_Toc297120493"/>
      <w:bookmarkStart w:id="1548" w:name="_Toc296347192"/>
      <w:bookmarkStart w:id="1549" w:name="_Toc296891233"/>
      <w:bookmarkStart w:id="1550" w:name="_Toc297123540"/>
      <w:bookmarkStart w:id="1551" w:name="_Toc292559398"/>
      <w:bookmarkStart w:id="1552" w:name="_Toc292559903"/>
      <w:bookmarkStart w:id="1553" w:name="_Toc296944532"/>
      <w:bookmarkStart w:id="1554" w:name="_Toc296503193"/>
      <w:bookmarkStart w:id="1555" w:name="_Toc304295566"/>
      <w:bookmarkStart w:id="1556" w:name="_Toc297216199"/>
      <w:bookmarkStart w:id="1557" w:name="_Toc300934989"/>
      <w:bookmarkStart w:id="1558" w:name="_Toc296346694"/>
      <w:bookmarkStart w:id="1559" w:name="_Toc296891021"/>
      <w:bookmarkStart w:id="1560" w:name="_Toc303539146"/>
      <w:bookmarkStart w:id="1561" w:name="_Toc312677499"/>
      <w:bookmarkStart w:id="1562" w:name="_Toc312678025"/>
      <w:bookmarkStart w:id="1563" w:name="_Toc267251440"/>
      <w:bookmarkStart w:id="1564" w:name="_Toc267251435"/>
      <w:bookmarkStart w:id="1565" w:name="_Toc267251441"/>
      <w:bookmarkStart w:id="1566" w:name="_Toc267251437"/>
      <w:bookmarkStart w:id="1567" w:name="_Toc267251433"/>
      <w:bookmarkStart w:id="1568" w:name="_Toc267251439"/>
      <w:r>
        <w:rPr>
          <w:rFonts w:hint="eastAsia"/>
          <w:color w:val="auto"/>
          <w:kern w:val="2"/>
          <w:sz w:val="21"/>
          <w:szCs w:val="21"/>
          <w:highlight w:val="none"/>
        </w:rPr>
        <w:t>0. 变更</w:t>
      </w:r>
      <w:bookmarkEnd w:id="1514"/>
      <w:bookmarkEnd w:id="151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bookmarkEnd w:id="1561"/>
    <w:bookmarkEnd w:id="1562"/>
    <w:p>
      <w:pPr>
        <w:pStyle w:val="7"/>
        <w:spacing w:before="0" w:beforeAutospacing="0" w:after="0" w:afterAutospacing="0" w:line="360" w:lineRule="auto"/>
        <w:ind w:firstLine="422" w:firstLineChars="200"/>
        <w:rPr>
          <w:color w:val="auto"/>
          <w:sz w:val="21"/>
          <w:szCs w:val="21"/>
          <w:highlight w:val="none"/>
        </w:rPr>
      </w:pPr>
      <w:bookmarkStart w:id="1569" w:name="_Toc532377371"/>
      <w:bookmarkStart w:id="1570" w:name="_Toc532375635"/>
      <w:r>
        <w:rPr>
          <w:rFonts w:hint="eastAsia"/>
          <w:color w:val="auto"/>
          <w:sz w:val="21"/>
          <w:szCs w:val="21"/>
          <w:highlight w:val="none"/>
        </w:rPr>
        <w:t>1</w:t>
      </w:r>
      <w:bookmarkStart w:id="1571" w:name="_Toc296891022"/>
      <w:bookmarkStart w:id="1572" w:name="_Toc312677500"/>
      <w:bookmarkStart w:id="1573" w:name="_Toc296891234"/>
      <w:bookmarkStart w:id="1574" w:name="_Toc297123541"/>
      <w:bookmarkStart w:id="1575" w:name="_Toc304295567"/>
      <w:bookmarkStart w:id="1576" w:name="_Toc303539147"/>
      <w:bookmarkStart w:id="1577" w:name="_Toc296503194"/>
      <w:bookmarkStart w:id="1578" w:name="_Toc296346695"/>
      <w:bookmarkStart w:id="1579" w:name="_Toc297216200"/>
      <w:bookmarkStart w:id="1580" w:name="_Toc296347193"/>
      <w:bookmarkStart w:id="1581" w:name="_Toc297048380"/>
      <w:bookmarkStart w:id="1582" w:name="_Toc296944533"/>
      <w:bookmarkStart w:id="1583" w:name="_Toc300934990"/>
      <w:bookmarkStart w:id="1584" w:name="_Toc312678026"/>
      <w:bookmarkStart w:id="1585" w:name="_Toc292559904"/>
      <w:bookmarkStart w:id="1586" w:name="_Toc297120494"/>
      <w:bookmarkStart w:id="1587" w:name="_Toc292559399"/>
      <w:r>
        <w:rPr>
          <w:rFonts w:hint="eastAsia"/>
          <w:color w:val="auto"/>
          <w:sz w:val="21"/>
          <w:szCs w:val="21"/>
          <w:highlight w:val="none"/>
        </w:rPr>
        <w:t>0.1变更的范围</w:t>
      </w:r>
      <w:bookmarkEnd w:id="1569"/>
      <w:bookmarkEnd w:id="157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关于变更范围的约定：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（1）增加或减少合同中任何工作，或追加额外的工作；</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（2）取消合同中任何工作；</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（3）改变合同中任何工作的质量标准或其他特性；</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（4）改变工程的基线、标高、位置和尺寸；</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（5）适用于工程的标准和（或）规范变化导致需要对工程进行改变，且该改变导致工期和（或）费用变化的；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（6）勘察设计变更；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（8）项目管理人员变更；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（9）因人工、原材料等价格变化导致的合同总价变更；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（10）非实施内容变化导致的工期变更；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承包人对其提供的材料、工程设备、施工、无负荷试车、热负荷试车及图纸参数存在的缺陷，自费修正、调整和完善，不属于变更。</w:t>
      </w:r>
    </w:p>
    <w:p>
      <w:pPr>
        <w:pStyle w:val="7"/>
        <w:spacing w:before="0" w:beforeAutospacing="0" w:after="0" w:afterAutospacing="0" w:line="360" w:lineRule="auto"/>
        <w:ind w:firstLine="422" w:firstLineChars="200"/>
        <w:rPr>
          <w:color w:val="auto"/>
          <w:sz w:val="21"/>
          <w:szCs w:val="21"/>
          <w:highlight w:val="none"/>
        </w:rPr>
      </w:pPr>
      <w:bookmarkStart w:id="1588" w:name="_Toc532375636"/>
      <w:bookmarkStart w:id="1589" w:name="_Toc532377372"/>
      <w:bookmarkStart w:id="1590" w:name="_Toc351203569"/>
      <w:r>
        <w:rPr>
          <w:rFonts w:hint="eastAsia"/>
          <w:color w:val="auto"/>
          <w:sz w:val="21"/>
          <w:szCs w:val="21"/>
          <w:highlight w:val="none"/>
        </w:rPr>
        <w:t>1</w:t>
      </w:r>
      <w:bookmarkStart w:id="1591" w:name="_Toc337558789"/>
      <w:bookmarkStart w:id="1592" w:name="_Toc296503085"/>
      <w:bookmarkStart w:id="1593" w:name="_Toc296346586"/>
      <w:r>
        <w:rPr>
          <w:rFonts w:hint="eastAsia"/>
          <w:color w:val="auto"/>
          <w:sz w:val="21"/>
          <w:szCs w:val="21"/>
          <w:highlight w:val="none"/>
        </w:rPr>
        <w:t>0.2变更权</w:t>
      </w:r>
      <w:bookmarkEnd w:id="1588"/>
      <w:bookmarkEnd w:id="1589"/>
      <w:bookmarkEnd w:id="1590"/>
    </w:p>
    <w:bookmarkEnd w:id="1591"/>
    <w:bookmarkEnd w:id="1592"/>
    <w:bookmarkEnd w:id="1593"/>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10.2.1发包人和监理人提出变更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若出现重大设计变更，变更后的内容超出承包人资质或能力范围的，发包人将另行依法招标选择承包单位，无需征得承包人同意。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10.2.2 承包人提出变更建议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highlight w:val="none"/>
        </w:rPr>
        <w:t>。</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如果发包人对承包人已实施的施工项目在发出重大设计变更之前要求承包人提出一份建议，那么，承包人应尽快提出：</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（1）对所提方案和（或）待做工作及其实施计划的说明</w:t>
      </w:r>
      <w:r>
        <w:rPr>
          <w:rFonts w:hint="eastAsia" w:ascii="宋体" w:hAnsi="宋体"/>
          <w:color w:val="auto"/>
          <w:szCs w:val="21"/>
          <w:highlight w:val="none"/>
        </w:rPr>
        <w:t>；</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（2）承包人按照对工程进度计划进行必要修改的建议</w:t>
      </w:r>
      <w:r>
        <w:rPr>
          <w:rFonts w:hint="eastAsia" w:ascii="宋体" w:hAnsi="宋体"/>
          <w:color w:val="auto"/>
          <w:szCs w:val="21"/>
          <w:highlight w:val="none"/>
        </w:rPr>
        <w:t>；</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（3）承包人发生较大返工损失增加费用的建议</w:t>
      </w:r>
      <w:r>
        <w:rPr>
          <w:rFonts w:hint="eastAsia" w:ascii="宋体" w:hAnsi="宋体"/>
          <w:color w:val="auto"/>
          <w:szCs w:val="21"/>
          <w:highlight w:val="none"/>
        </w:rPr>
        <w:t>。</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发包人在收到上述建议书后，应尽快给予批准、否决或提出意见</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594" w:name="_Toc532377373"/>
      <w:bookmarkStart w:id="1595" w:name="_Toc532375637"/>
      <w:bookmarkStart w:id="1596" w:name="_Toc351203570"/>
      <w:bookmarkStart w:id="1597" w:name="_Hlk528928195"/>
      <w:r>
        <w:rPr>
          <w:rFonts w:hint="eastAsia"/>
          <w:color w:val="auto"/>
          <w:sz w:val="21"/>
          <w:szCs w:val="21"/>
          <w:highlight w:val="none"/>
        </w:rPr>
        <w:t>1</w:t>
      </w:r>
      <w:bookmarkStart w:id="1598" w:name="_Toc337558790"/>
      <w:bookmarkStart w:id="1599" w:name="_Toc296503086"/>
      <w:bookmarkStart w:id="1600" w:name="_Toc296346587"/>
      <w:r>
        <w:rPr>
          <w:rFonts w:hint="eastAsia"/>
          <w:color w:val="auto"/>
          <w:sz w:val="21"/>
          <w:szCs w:val="21"/>
          <w:highlight w:val="none"/>
        </w:rPr>
        <w:t>0.3变更程序</w:t>
      </w:r>
      <w:bookmarkEnd w:id="1594"/>
      <w:bookmarkEnd w:id="1595"/>
    </w:p>
    <w:bookmarkEnd w:id="1598"/>
    <w:bookmarkEnd w:id="1599"/>
    <w:bookmarkEnd w:id="1600"/>
    <w:p>
      <w:pPr>
        <w:autoSpaceDE w:val="0"/>
        <w:autoSpaceDN w:val="0"/>
        <w:spacing w:line="360" w:lineRule="auto"/>
        <w:ind w:firstLine="420" w:firstLineChars="200"/>
        <w:jc w:val="left"/>
        <w:rPr>
          <w:rFonts w:ascii="宋体" w:hAnsi="宋体"/>
          <w:color w:val="auto"/>
          <w:szCs w:val="21"/>
          <w:highlight w:val="none"/>
        </w:rPr>
      </w:pPr>
      <w:bookmarkStart w:id="1601" w:name="_Hlk524353972"/>
      <w:r>
        <w:rPr>
          <w:rFonts w:hint="eastAsia" w:ascii="宋体" w:hAnsi="宋体"/>
          <w:color w:val="auto"/>
          <w:szCs w:val="21"/>
          <w:highlight w:val="none"/>
        </w:rPr>
        <w:t>10.3.3 变更执行</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重大设计变更：需经设计人、监理人和发包人三方签名认可并报相关行业部门审查同意后实施。</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10.3.3 项增加以下内容：</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因人工、原材料市场价格发生大幅度变化导致的合同总价变更，由发包人与承包人按照合同进行变更，并将变更信息推送给行业主管部门。</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项目合同变更后，增加的实施内容达到依法必须招标的规模标准的，增加的部分应当依法通过招标选择承包单位。</w:t>
      </w:r>
    </w:p>
    <w:bookmarkEnd w:id="1596"/>
    <w:bookmarkEnd w:id="1597"/>
    <w:bookmarkEnd w:id="1601"/>
    <w:p>
      <w:pPr>
        <w:pStyle w:val="7"/>
        <w:spacing w:before="0" w:beforeAutospacing="0" w:after="0" w:afterAutospacing="0" w:line="360" w:lineRule="auto"/>
        <w:ind w:firstLine="422" w:firstLineChars="200"/>
        <w:rPr>
          <w:color w:val="auto"/>
          <w:sz w:val="21"/>
          <w:szCs w:val="21"/>
          <w:highlight w:val="none"/>
        </w:rPr>
      </w:pPr>
      <w:bookmarkStart w:id="1602" w:name="_Toc532377374"/>
      <w:bookmarkStart w:id="1603" w:name="_Toc532375638"/>
      <w:r>
        <w:rPr>
          <w:rFonts w:hint="eastAsia"/>
          <w:color w:val="auto"/>
          <w:sz w:val="21"/>
          <w:szCs w:val="21"/>
          <w:highlight w:val="none"/>
        </w:rPr>
        <w:t>10.4 变更估价</w:t>
      </w:r>
      <w:bookmarkEnd w:id="1602"/>
      <w:bookmarkEnd w:id="1603"/>
    </w:p>
    <w:p>
      <w:pPr>
        <w:spacing w:line="360" w:lineRule="auto"/>
        <w:ind w:firstLine="420" w:firstLineChars="200"/>
        <w:jc w:val="left"/>
        <w:rPr>
          <w:rFonts w:ascii="宋体" w:hAnsi="宋体"/>
          <w:color w:val="auto"/>
          <w:szCs w:val="21"/>
          <w:highlight w:val="none"/>
        </w:rPr>
      </w:pPr>
      <w:bookmarkStart w:id="1604" w:name="_Hlk524296629"/>
      <w:r>
        <w:rPr>
          <w:rFonts w:hint="eastAsia" w:ascii="宋体" w:hAnsi="宋体"/>
          <w:color w:val="auto"/>
          <w:szCs w:val="21"/>
          <w:highlight w:val="none"/>
        </w:rPr>
        <w:t>10.4.1 变更估价原则</w:t>
      </w:r>
    </w:p>
    <w:p>
      <w:pPr>
        <w:pStyle w:val="2"/>
        <w:spacing w:after="0"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当发生工程变更时，工程量按</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12.3.1</w:t>
      </w:r>
      <w:r>
        <w:rPr>
          <w:rFonts w:hint="eastAsia" w:ascii="宋体" w:hAnsi="宋体"/>
          <w:color w:val="auto"/>
          <w:szCs w:val="21"/>
          <w:highlight w:val="none"/>
          <w:u w:val="single"/>
        </w:rPr>
        <w:t xml:space="preserve">   </w:t>
      </w:r>
      <w:r>
        <w:rPr>
          <w:rFonts w:hint="eastAsia" w:ascii="宋体" w:hAnsi="宋体"/>
          <w:color w:val="auto"/>
          <w:szCs w:val="21"/>
          <w:highlight w:val="none"/>
        </w:rPr>
        <w:t>规定的计算规则及已标价工程量清单规定的工程量计算规则计量，按以下办法计价：</w:t>
      </w:r>
      <w:bookmarkStart w:id="1605" w:name="_Hlk524770102"/>
    </w:p>
    <w:bookmarkEnd w:id="1605"/>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10.4.1.1已标价工程量清单中有相同项目的，按照相同项目单价计算；</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10.4.1.2已标价工程量清单中有类似项目的，参考类似项目单价计算；</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10.4.1.3已标价工程量清单中无相同项目亦无类似项目的，按照以下原则执行：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承包人报价浮动率按下列公式计算：承包人报价浮动率=（1-中标价/最高限价）×100%。</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（1）人工单价：按开标当期《重庆工程造价信息》发布的项目所在地的人工单价执行。</w:t>
      </w:r>
    </w:p>
    <w:p>
      <w:pPr>
        <w:spacing w:line="360" w:lineRule="auto"/>
        <w:ind w:firstLine="420" w:firstLineChars="200"/>
        <w:jc w:val="left"/>
        <w:rPr>
          <w:rFonts w:ascii="宋体" w:hAnsi="宋体"/>
          <w:color w:val="auto"/>
          <w:szCs w:val="21"/>
          <w:highlight w:val="none"/>
        </w:rPr>
      </w:pPr>
      <w:bookmarkStart w:id="1606" w:name="_Hlk529023896"/>
      <w:r>
        <w:rPr>
          <w:rFonts w:hint="eastAsia" w:ascii="宋体" w:hAnsi="宋体"/>
          <w:color w:val="auto"/>
          <w:szCs w:val="21"/>
          <w:highlight w:val="none"/>
        </w:rPr>
        <w:t>（2）材料单价：</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①按</w:t>
      </w:r>
      <w:bookmarkStart w:id="1607" w:name="_Hlk529023354"/>
      <w:r>
        <w:rPr>
          <w:rFonts w:hint="eastAsia" w:ascii="宋体" w:hAnsi="宋体"/>
          <w:color w:val="auto"/>
          <w:szCs w:val="21"/>
          <w:highlight w:val="none"/>
        </w:rPr>
        <w:t>开标当期《重庆工程造价信息》发布的项目所在地的信息价</w:t>
      </w:r>
      <w:bookmarkEnd w:id="1607"/>
      <w:r>
        <w:rPr>
          <w:rFonts w:hint="eastAsia" w:ascii="宋体" w:hAnsi="宋体"/>
          <w:color w:val="auto"/>
          <w:szCs w:val="21"/>
          <w:highlight w:val="none"/>
        </w:rPr>
        <w:t>执行；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②开标当期《重庆工程造价信息》中没有的，承包人投标报价中有的，按承包人投标报价中相同材料单价的最低值执行；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③开标当期《重庆工程造价信息》和承包人投标报价没有的，由承包人申报、监理人会同跟审单位、发包人根据市场行情认质核价确定。</w:t>
      </w:r>
    </w:p>
    <w:bookmarkEnd w:id="1606"/>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（4）规费：按《重庆市建设工程费用定额》（CQFYDE-2018）费用标准进行计算。</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（5）税金：包含增值税、城市维护建设税、教育费附加、地方教育附加以及环境保护税。其中增值税按《重庆市建设工程费用定额》（CQFYDE-2018）规定及配套文件执行。</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本款补充10.4.3项：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按照单价计算的措施项目费，应按照实际发生变化的措施项目，按照第10.4.1项〔变更估价原则〕约定执行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按总价（或系数）计算的措施项目费，应按照实际发生变化的措施项目费按承包人报价浮动率下浮后的金额计算</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（4）</w:t>
      </w:r>
      <w:r>
        <w:rPr>
          <w:rFonts w:hint="eastAsia" w:ascii="宋体" w:hAnsi="宋体"/>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highlight w:val="none"/>
        </w:rPr>
        <w:t>。</w:t>
      </w:r>
    </w:p>
    <w:bookmarkEnd w:id="1604"/>
    <w:p>
      <w:pPr>
        <w:pStyle w:val="7"/>
        <w:spacing w:before="0" w:beforeAutospacing="0" w:after="0" w:afterAutospacing="0" w:line="360" w:lineRule="auto"/>
        <w:ind w:firstLine="422" w:firstLineChars="200"/>
        <w:rPr>
          <w:color w:val="auto"/>
          <w:sz w:val="21"/>
          <w:szCs w:val="21"/>
          <w:highlight w:val="none"/>
        </w:rPr>
      </w:pPr>
      <w:bookmarkStart w:id="1608" w:name="_Toc532377375"/>
      <w:bookmarkStart w:id="1609" w:name="_Toc532375639"/>
      <w:r>
        <w:rPr>
          <w:rFonts w:hint="eastAsia"/>
          <w:color w:val="auto"/>
          <w:sz w:val="21"/>
          <w:szCs w:val="21"/>
          <w:highlight w:val="none"/>
        </w:rPr>
        <w:t>1</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Start w:id="1610" w:name="_Toc296891237"/>
      <w:bookmarkStart w:id="1611" w:name="_Toc296346698"/>
      <w:bookmarkStart w:id="1612" w:name="_Toc300934993"/>
      <w:bookmarkStart w:id="1613" w:name="_Toc297048383"/>
      <w:bookmarkStart w:id="1614" w:name="_Toc297216203"/>
      <w:bookmarkStart w:id="1615" w:name="_Toc292559907"/>
      <w:bookmarkStart w:id="1616" w:name="_Toc296503197"/>
      <w:bookmarkStart w:id="1617" w:name="_Toc296347196"/>
      <w:bookmarkStart w:id="1618" w:name="_Toc297120497"/>
      <w:bookmarkStart w:id="1619" w:name="_Toc303539150"/>
      <w:bookmarkStart w:id="1620" w:name="_Toc297123544"/>
      <w:bookmarkStart w:id="1621" w:name="_Toc296891025"/>
      <w:bookmarkStart w:id="1622" w:name="_Toc296944536"/>
      <w:bookmarkStart w:id="1623" w:name="_Toc292559402"/>
      <w:bookmarkStart w:id="1624" w:name="_Toc312677503"/>
      <w:bookmarkStart w:id="1625" w:name="_Toc304295570"/>
      <w:bookmarkStart w:id="1626" w:name="_Toc312678029"/>
      <w:r>
        <w:rPr>
          <w:rFonts w:hint="eastAsia"/>
          <w:color w:val="auto"/>
          <w:sz w:val="21"/>
          <w:szCs w:val="21"/>
          <w:highlight w:val="none"/>
        </w:rPr>
        <w:t>0.5承</w:t>
      </w:r>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Start w:id="1627" w:name="_Toc296944542"/>
      <w:bookmarkStart w:id="1628" w:name="_Toc296503203"/>
      <w:bookmarkStart w:id="1629" w:name="_Toc303539151"/>
      <w:bookmarkStart w:id="1630" w:name="_Toc296346704"/>
      <w:bookmarkStart w:id="1631" w:name="_Toc296347202"/>
      <w:bookmarkStart w:id="1632" w:name="_Toc297120503"/>
      <w:bookmarkStart w:id="1633" w:name="_Toc297123545"/>
      <w:bookmarkStart w:id="1634" w:name="_Toc292559408"/>
      <w:bookmarkStart w:id="1635" w:name="_Toc297048389"/>
      <w:bookmarkStart w:id="1636" w:name="_Toc297216204"/>
      <w:bookmarkStart w:id="1637" w:name="_Toc292559913"/>
      <w:bookmarkStart w:id="1638" w:name="_Toc296891031"/>
      <w:bookmarkStart w:id="1639" w:name="_Toc296891243"/>
      <w:bookmarkStart w:id="1640" w:name="_Toc300934994"/>
      <w:r>
        <w:rPr>
          <w:rFonts w:hint="eastAsia"/>
          <w:color w:val="auto"/>
          <w:sz w:val="21"/>
          <w:szCs w:val="21"/>
          <w:highlight w:val="none"/>
        </w:rPr>
        <w:t>包人的合理化建议</w:t>
      </w:r>
      <w:bookmarkEnd w:id="1608"/>
      <w:bookmarkEnd w:id="1609"/>
    </w:p>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承包人提出合理化建议的，应向监理人提交合理化建议说明，说明建议的内容和理由，以及实施该建议对合同价格和（或）工期和（或）工程经济效益的影响。</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w:t>
      </w:r>
      <w:bookmarkStart w:id="1641" w:name="_Toc300934995"/>
      <w:bookmarkStart w:id="1642" w:name="_Toc296891244"/>
      <w:bookmarkStart w:id="1643" w:name="_Toc312677504"/>
      <w:bookmarkStart w:id="1644" w:name="_Toc312678030"/>
      <w:bookmarkStart w:id="1645" w:name="_Toc296891032"/>
      <w:bookmarkStart w:id="1646" w:name="_Toc292559914"/>
      <w:bookmarkStart w:id="1647" w:name="_Toc296503204"/>
      <w:bookmarkStart w:id="1648" w:name="_Toc303539152"/>
      <w:bookmarkStart w:id="1649" w:name="_Toc304295571"/>
      <w:bookmarkStart w:id="1650" w:name="_Toc297120504"/>
      <w:bookmarkStart w:id="1651" w:name="_Toc318581175"/>
      <w:bookmarkStart w:id="1652" w:name="_Toc296346705"/>
      <w:bookmarkStart w:id="1653" w:name="_Toc292559409"/>
      <w:bookmarkStart w:id="1654" w:name="_Toc296347203"/>
      <w:bookmarkStart w:id="1655" w:name="_Toc296944543"/>
      <w:bookmarkStart w:id="1656" w:name="_Toc297123546"/>
      <w:bookmarkStart w:id="1657" w:name="_Toc297216205"/>
      <w:bookmarkStart w:id="1658" w:name="_Toc297048390"/>
      <w:r>
        <w:rPr>
          <w:rFonts w:hint="eastAsia" w:ascii="宋体" w:hAnsi="宋体"/>
          <w:color w:val="auto"/>
          <w:szCs w:val="21"/>
          <w:highlight w:val="none"/>
        </w:rPr>
        <w:t>包人提出的合理化建议降低了合同价格或缩短了工期或者提高了工程经济效益的奖励的方法和金额为：</w:t>
      </w:r>
      <w:r>
        <w:rPr>
          <w:rFonts w:hint="eastAsia" w:ascii="宋体" w:hAnsi="宋体"/>
          <w:color w:val="auto"/>
          <w:szCs w:val="21"/>
          <w:highlight w:val="none"/>
          <w:u w:val="single"/>
          <w:lang w:val="en-US" w:eastAsia="zh-CN"/>
        </w:rPr>
        <w:t>无</w:t>
      </w:r>
      <w:r>
        <w:rPr>
          <w:rFonts w:hint="eastAsia" w:ascii="宋体" w:hAnsi="宋体"/>
          <w:color w:val="auto"/>
          <w:szCs w:val="21"/>
          <w:highlight w:val="none"/>
        </w:rPr>
        <w:t>。</w:t>
      </w:r>
    </w:p>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Pr>
        <w:pStyle w:val="7"/>
        <w:spacing w:before="0" w:beforeAutospacing="0" w:after="0" w:afterAutospacing="0" w:line="360" w:lineRule="auto"/>
        <w:ind w:firstLine="422" w:firstLineChars="200"/>
        <w:rPr>
          <w:color w:val="auto"/>
          <w:sz w:val="21"/>
          <w:szCs w:val="21"/>
          <w:highlight w:val="none"/>
        </w:rPr>
      </w:pPr>
      <w:bookmarkStart w:id="1659" w:name="_Toc532375640"/>
      <w:bookmarkStart w:id="1660" w:name="_Toc532377376"/>
      <w:r>
        <w:rPr>
          <w:rFonts w:hint="eastAsia"/>
          <w:color w:val="auto"/>
          <w:sz w:val="21"/>
          <w:szCs w:val="21"/>
          <w:highlight w:val="none"/>
        </w:rPr>
        <w:t>1</w:t>
      </w:r>
      <w:bookmarkStart w:id="1661" w:name="_Toc296347198"/>
      <w:bookmarkStart w:id="1662" w:name="_Toc297123548"/>
      <w:bookmarkStart w:id="1663" w:name="_Toc296503199"/>
      <w:bookmarkStart w:id="1664" w:name="_Toc296346700"/>
      <w:bookmarkStart w:id="1665" w:name="_Toc312678033"/>
      <w:bookmarkStart w:id="1666" w:name="_Toc296891239"/>
      <w:bookmarkStart w:id="1667" w:name="_Toc297120499"/>
      <w:bookmarkStart w:id="1668" w:name="_Toc304295574"/>
      <w:bookmarkStart w:id="1669" w:name="_Toc300934997"/>
      <w:bookmarkStart w:id="1670" w:name="_Toc297216207"/>
      <w:bookmarkStart w:id="1671" w:name="_Toc312677507"/>
      <w:bookmarkStart w:id="1672" w:name="_Toc303539154"/>
      <w:bookmarkStart w:id="1673" w:name="_Toc296891027"/>
      <w:bookmarkStart w:id="1674" w:name="_Toc292559404"/>
      <w:bookmarkStart w:id="1675" w:name="_Toc296944538"/>
      <w:bookmarkStart w:id="1676" w:name="_Toc292559909"/>
      <w:bookmarkStart w:id="1677" w:name="_Toc297048385"/>
      <w:r>
        <w:rPr>
          <w:rFonts w:hint="eastAsia"/>
          <w:color w:val="auto"/>
          <w:sz w:val="21"/>
          <w:szCs w:val="21"/>
          <w:highlight w:val="none"/>
        </w:rPr>
        <w:t>0.7 暂估价</w:t>
      </w:r>
      <w:bookmarkEnd w:id="1659"/>
      <w:bookmarkEnd w:id="1660"/>
    </w:p>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专业工程暂估价</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w:t>
      </w:r>
      <w:r>
        <w:rPr>
          <w:rFonts w:hint="eastAsia" w:ascii="宋体" w:hAnsi="宋体"/>
          <w:color w:val="auto"/>
          <w:szCs w:val="21"/>
          <w:highlight w:val="none"/>
        </w:rPr>
        <w:t>万元。</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单项合同暂估价在国家相关法律法规规定必须招标规模以上的，需依法必须招标的，由承包人、发包人共同招标确定。</w:t>
      </w:r>
    </w:p>
    <w:p>
      <w:pPr>
        <w:pStyle w:val="7"/>
        <w:spacing w:before="0" w:beforeAutospacing="0" w:after="0" w:afterAutospacing="0" w:line="360" w:lineRule="auto"/>
        <w:ind w:firstLine="422" w:firstLineChars="200"/>
        <w:rPr>
          <w:color w:val="auto"/>
          <w:sz w:val="21"/>
          <w:szCs w:val="21"/>
          <w:highlight w:val="none"/>
        </w:rPr>
      </w:pPr>
      <w:bookmarkStart w:id="1678" w:name="_Toc532375641"/>
      <w:bookmarkStart w:id="1679" w:name="_Toc532377377"/>
      <w:r>
        <w:rPr>
          <w:rFonts w:hint="eastAsia"/>
          <w:color w:val="auto"/>
          <w:sz w:val="21"/>
          <w:szCs w:val="21"/>
          <w:highlight w:val="none"/>
        </w:rPr>
        <w:t>10.8 暂列金额</w:t>
      </w:r>
      <w:bookmarkEnd w:id="1678"/>
      <w:bookmarkEnd w:id="1679"/>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lang w:val="en-US" w:eastAsia="zh-CN"/>
        </w:rPr>
        <w:t>由发包人决定</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680" w:name="_Toc532375642"/>
      <w:bookmarkStart w:id="1681" w:name="_Toc532377378"/>
      <w:bookmarkStart w:id="1682" w:name="_Toc351203643"/>
      <w:r>
        <w:rPr>
          <w:rFonts w:hint="eastAsia"/>
          <w:color w:val="auto"/>
          <w:kern w:val="2"/>
          <w:sz w:val="21"/>
          <w:szCs w:val="21"/>
          <w:highlight w:val="none"/>
        </w:rPr>
        <w:t>11. 价格调整</w:t>
      </w:r>
      <w:bookmarkEnd w:id="1680"/>
      <w:bookmarkEnd w:id="1681"/>
      <w:bookmarkEnd w:id="1682"/>
    </w:p>
    <w:p>
      <w:pPr>
        <w:pStyle w:val="7"/>
        <w:spacing w:before="0" w:beforeAutospacing="0" w:after="0" w:afterAutospacing="0" w:line="360" w:lineRule="auto"/>
        <w:ind w:firstLine="422" w:firstLineChars="200"/>
        <w:rPr>
          <w:rFonts w:hint="eastAsia"/>
          <w:color w:val="auto"/>
          <w:sz w:val="21"/>
          <w:szCs w:val="21"/>
          <w:highlight w:val="none"/>
        </w:rPr>
      </w:pPr>
      <w:bookmarkStart w:id="1683" w:name="_Toc532377379"/>
      <w:bookmarkStart w:id="1684" w:name="_Toc532375643"/>
      <w:bookmarkStart w:id="1685" w:name="_Toc296503201"/>
      <w:bookmarkStart w:id="1686" w:name="_Toc292559406"/>
      <w:bookmarkStart w:id="1687" w:name="_Toc296891029"/>
      <w:bookmarkStart w:id="1688" w:name="_Toc297048387"/>
      <w:bookmarkStart w:id="1689" w:name="_Toc304295577"/>
      <w:bookmarkStart w:id="1690" w:name="_Toc300935000"/>
      <w:bookmarkStart w:id="1691" w:name="_Toc303539157"/>
      <w:bookmarkStart w:id="1692" w:name="_Toc297120501"/>
      <w:bookmarkStart w:id="1693" w:name="_Toc312678039"/>
      <w:bookmarkStart w:id="1694" w:name="_Toc296347200"/>
      <w:bookmarkStart w:id="1695" w:name="_Toc296944540"/>
      <w:bookmarkStart w:id="1696" w:name="_Toc296346702"/>
      <w:bookmarkStart w:id="1697" w:name="_Toc297216209"/>
      <w:bookmarkStart w:id="1698" w:name="_Toc296891241"/>
      <w:bookmarkStart w:id="1699" w:name="_Toc297123550"/>
      <w:bookmarkStart w:id="1700" w:name="_Toc292559911"/>
      <w:r>
        <w:rPr>
          <w:rFonts w:hint="eastAsia"/>
          <w:color w:val="auto"/>
          <w:sz w:val="21"/>
          <w:szCs w:val="21"/>
          <w:highlight w:val="none"/>
        </w:rPr>
        <w:t>11.1 市场价格波动引起的调整</w:t>
      </w:r>
      <w:bookmarkEnd w:id="1683"/>
      <w:bookmarkEnd w:id="1684"/>
    </w:p>
    <w:p>
      <w:pPr>
        <w:ind w:firstLine="420" w:firstLineChars="200"/>
        <w:rPr>
          <w:rFonts w:hint="eastAsia" w:eastAsia="宋体"/>
          <w:color w:val="auto"/>
          <w:highlight w:val="none"/>
          <w:lang w:val="en-US" w:eastAsia="zh-CN"/>
        </w:rPr>
      </w:pPr>
      <w:r>
        <w:rPr>
          <w:rFonts w:hint="eastAsia"/>
          <w:color w:val="auto"/>
          <w:sz w:val="21"/>
          <w:szCs w:val="21"/>
          <w:highlight w:val="none"/>
          <w:lang w:val="en-US" w:eastAsia="zh-CN"/>
        </w:rPr>
        <w:t>不予调整</w:t>
      </w:r>
    </w:p>
    <w:bookmarkEnd w:id="1563"/>
    <w:bookmarkEnd w:id="1564"/>
    <w:bookmarkEnd w:id="1565"/>
    <w:bookmarkEnd w:id="1566"/>
    <w:bookmarkEnd w:id="1567"/>
    <w:bookmarkEnd w:id="1568"/>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p>
      <w:pPr>
        <w:pStyle w:val="7"/>
        <w:spacing w:before="0" w:beforeAutospacing="0" w:after="0" w:afterAutospacing="0" w:line="360" w:lineRule="auto"/>
        <w:ind w:firstLine="422" w:firstLineChars="200"/>
        <w:rPr>
          <w:color w:val="auto"/>
          <w:sz w:val="21"/>
          <w:szCs w:val="21"/>
          <w:highlight w:val="none"/>
        </w:rPr>
      </w:pPr>
      <w:bookmarkStart w:id="1701" w:name="_Toc532377380"/>
      <w:bookmarkStart w:id="1702" w:name="_Toc532375644"/>
      <w:bookmarkStart w:id="1703" w:name="_Hlk528928232"/>
      <w:bookmarkStart w:id="1704" w:name="_Toc296944544"/>
      <w:bookmarkStart w:id="1705" w:name="_Toc296891245"/>
      <w:bookmarkStart w:id="1706" w:name="_Toc292559915"/>
      <w:bookmarkStart w:id="1707" w:name="_Toc292559410"/>
      <w:bookmarkStart w:id="1708" w:name="_Toc296891033"/>
      <w:bookmarkStart w:id="1709" w:name="_Toc296503205"/>
      <w:bookmarkStart w:id="1710" w:name="_Toc297120505"/>
      <w:bookmarkStart w:id="1711" w:name="_Toc296347204"/>
      <w:bookmarkStart w:id="1712" w:name="_Toc296346706"/>
      <w:bookmarkStart w:id="1713" w:name="_Toc297048391"/>
      <w:bookmarkStart w:id="1714" w:name="_Toc351203644"/>
      <w:bookmarkStart w:id="1715" w:name="_Toc304295579"/>
      <w:bookmarkStart w:id="1716" w:name="_Toc297123552"/>
      <w:bookmarkStart w:id="1717" w:name="_Toc312678040"/>
      <w:bookmarkStart w:id="1718" w:name="_Toc297216211"/>
      <w:bookmarkStart w:id="1719" w:name="_Toc303539159"/>
      <w:bookmarkStart w:id="1720" w:name="_Toc300935002"/>
      <w:r>
        <w:rPr>
          <w:rFonts w:hint="eastAsia"/>
          <w:color w:val="auto"/>
          <w:sz w:val="21"/>
          <w:szCs w:val="21"/>
          <w:highlight w:val="none"/>
        </w:rPr>
        <w:t>11.2 法律变化引起的调整</w:t>
      </w:r>
      <w:bookmarkEnd w:id="1701"/>
      <w:bookmarkEnd w:id="170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本条补充11.3款</w:t>
      </w:r>
    </w:p>
    <w:bookmarkEnd w:id="1703"/>
    <w:p>
      <w:pPr>
        <w:pStyle w:val="7"/>
        <w:spacing w:before="0" w:beforeAutospacing="0" w:after="0" w:afterAutospacing="0" w:line="360" w:lineRule="auto"/>
        <w:ind w:firstLine="422" w:firstLineChars="200"/>
        <w:rPr>
          <w:color w:val="auto"/>
          <w:sz w:val="21"/>
          <w:szCs w:val="21"/>
          <w:highlight w:val="none"/>
        </w:rPr>
      </w:pPr>
      <w:bookmarkStart w:id="1721" w:name="_Toc532377381"/>
      <w:bookmarkStart w:id="1722" w:name="_Toc532375645"/>
      <w:r>
        <w:rPr>
          <w:rFonts w:hint="eastAsia"/>
          <w:color w:val="auto"/>
          <w:sz w:val="21"/>
          <w:szCs w:val="21"/>
          <w:highlight w:val="none"/>
        </w:rPr>
        <w:t>11.3 严重不平衡报价引起的调整</w:t>
      </w:r>
      <w:bookmarkEnd w:id="1721"/>
      <w:bookmarkEnd w:id="1722"/>
    </w:p>
    <w:p>
      <w:pPr>
        <w:pStyle w:val="6"/>
        <w:keepNext/>
        <w:keepLines/>
        <w:spacing w:before="156" w:beforeLines="50" w:beforeAutospacing="0" w:after="156" w:afterLines="50" w:afterAutospacing="0" w:line="360" w:lineRule="auto"/>
        <w:ind w:firstLine="630" w:firstLineChars="300"/>
        <w:jc w:val="both"/>
        <w:rPr>
          <w:rFonts w:hint="eastAsia" w:ascii="宋体" w:hAnsi="宋体" w:eastAsia="宋体" w:cs="Times New Roman"/>
          <w:b w:val="0"/>
          <w:bCs w:val="0"/>
          <w:color w:val="auto"/>
          <w:kern w:val="2"/>
          <w:sz w:val="21"/>
          <w:szCs w:val="21"/>
          <w:highlight w:val="none"/>
          <w:lang w:val="en-US" w:eastAsia="zh-CN" w:bidi="ar-SA"/>
        </w:rPr>
      </w:pPr>
      <w:bookmarkStart w:id="1723" w:name="_Toc532375646"/>
      <w:bookmarkStart w:id="1724" w:name="_Toc532377382"/>
      <w:r>
        <w:rPr>
          <w:rFonts w:hint="eastAsia" w:ascii="宋体" w:hAnsi="宋体" w:eastAsia="宋体" w:cs="Times New Roman"/>
          <w:b w:val="0"/>
          <w:bCs w:val="0"/>
          <w:color w:val="auto"/>
          <w:kern w:val="2"/>
          <w:sz w:val="21"/>
          <w:szCs w:val="21"/>
          <w:highlight w:val="none"/>
          <w:lang w:val="en-US" w:eastAsia="zh-CN" w:bidi="ar-SA"/>
        </w:rPr>
        <w:t>不予调整</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r>
        <w:rPr>
          <w:rFonts w:hint="eastAsia"/>
          <w:color w:val="auto"/>
          <w:kern w:val="2"/>
          <w:sz w:val="21"/>
          <w:szCs w:val="21"/>
          <w:highlight w:val="none"/>
        </w:rPr>
        <w:t xml:space="preserve">12. </w:t>
      </w:r>
      <w:bookmarkEnd w:id="1704"/>
      <w:bookmarkEnd w:id="1705"/>
      <w:bookmarkEnd w:id="1706"/>
      <w:bookmarkEnd w:id="1707"/>
      <w:bookmarkEnd w:id="1708"/>
      <w:bookmarkEnd w:id="1709"/>
      <w:bookmarkEnd w:id="1710"/>
      <w:bookmarkEnd w:id="1711"/>
      <w:bookmarkEnd w:id="1712"/>
      <w:bookmarkEnd w:id="1713"/>
      <w:r>
        <w:rPr>
          <w:rFonts w:hint="eastAsia"/>
          <w:color w:val="auto"/>
          <w:kern w:val="2"/>
          <w:sz w:val="21"/>
          <w:szCs w:val="21"/>
          <w:highlight w:val="none"/>
        </w:rPr>
        <w:t>合同价格、计量与支付</w:t>
      </w:r>
      <w:bookmarkEnd w:id="1714"/>
      <w:bookmarkEnd w:id="1723"/>
      <w:bookmarkEnd w:id="1724"/>
    </w:p>
    <w:bookmarkEnd w:id="1715"/>
    <w:bookmarkEnd w:id="1716"/>
    <w:bookmarkEnd w:id="1717"/>
    <w:bookmarkEnd w:id="1718"/>
    <w:bookmarkEnd w:id="1719"/>
    <w:bookmarkEnd w:id="1720"/>
    <w:p>
      <w:pPr>
        <w:pStyle w:val="7"/>
        <w:spacing w:before="0" w:beforeAutospacing="0" w:after="0" w:afterAutospacing="0" w:line="360" w:lineRule="auto"/>
        <w:ind w:firstLine="422" w:firstLineChars="200"/>
        <w:rPr>
          <w:color w:val="auto"/>
          <w:sz w:val="21"/>
          <w:szCs w:val="21"/>
          <w:highlight w:val="none"/>
        </w:rPr>
      </w:pPr>
      <w:bookmarkStart w:id="1725" w:name="_Toc292559411"/>
      <w:bookmarkStart w:id="1726" w:name="_Toc292559916"/>
      <w:bookmarkStart w:id="1727" w:name="_Toc267251461"/>
      <w:bookmarkStart w:id="1728" w:name="_Toc296346707"/>
      <w:bookmarkStart w:id="1729" w:name="_Toc296891034"/>
      <w:bookmarkStart w:id="1730" w:name="_Toc296891246"/>
      <w:bookmarkStart w:id="1731" w:name="_Toc296944545"/>
      <w:bookmarkStart w:id="1732" w:name="_Toc296347205"/>
      <w:bookmarkStart w:id="1733" w:name="_Toc297120506"/>
      <w:bookmarkStart w:id="1734" w:name="_Toc297048392"/>
      <w:bookmarkStart w:id="1735" w:name="_Toc296503206"/>
      <w:bookmarkStart w:id="1736" w:name="_Toc532377383"/>
      <w:bookmarkStart w:id="1737" w:name="_Toc532375647"/>
      <w:bookmarkStart w:id="1738" w:name="_Toc312678041"/>
      <w:bookmarkStart w:id="1739" w:name="_Toc303539160"/>
      <w:bookmarkStart w:id="1740" w:name="_Toc297123553"/>
      <w:bookmarkStart w:id="1741" w:name="_Toc297216212"/>
      <w:bookmarkStart w:id="1742" w:name="_Toc304295580"/>
      <w:bookmarkStart w:id="1743" w:name="_Toc300935003"/>
      <w:r>
        <w:rPr>
          <w:rFonts w:hint="eastAsia"/>
          <w:color w:val="auto"/>
          <w:sz w:val="21"/>
          <w:szCs w:val="21"/>
          <w:highlight w:val="none"/>
        </w:rPr>
        <w:t>12.1 合</w:t>
      </w:r>
      <w:bookmarkEnd w:id="1725"/>
      <w:bookmarkEnd w:id="1726"/>
      <w:bookmarkEnd w:id="1727"/>
      <w:r>
        <w:rPr>
          <w:rFonts w:hint="eastAsia"/>
          <w:color w:val="auto"/>
          <w:sz w:val="21"/>
          <w:szCs w:val="21"/>
          <w:highlight w:val="none"/>
        </w:rPr>
        <w:t>同价</w:t>
      </w:r>
      <w:bookmarkEnd w:id="1728"/>
      <w:bookmarkEnd w:id="1729"/>
      <w:bookmarkEnd w:id="1730"/>
      <w:bookmarkEnd w:id="1731"/>
      <w:bookmarkEnd w:id="1732"/>
      <w:bookmarkEnd w:id="1733"/>
      <w:bookmarkEnd w:id="1734"/>
      <w:bookmarkEnd w:id="1735"/>
      <w:r>
        <w:rPr>
          <w:rFonts w:hint="eastAsia"/>
          <w:color w:val="auto"/>
          <w:sz w:val="21"/>
          <w:szCs w:val="21"/>
          <w:highlight w:val="none"/>
        </w:rPr>
        <w:t>格形式</w:t>
      </w:r>
      <w:bookmarkEnd w:id="1736"/>
      <w:bookmarkEnd w:id="1737"/>
    </w:p>
    <w:bookmarkEnd w:id="1738"/>
    <w:bookmarkEnd w:id="1739"/>
    <w:bookmarkEnd w:id="1740"/>
    <w:bookmarkEnd w:id="1741"/>
    <w:bookmarkEnd w:id="1742"/>
    <w:bookmarkEnd w:id="1743"/>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综合单价包含的风险范围：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744" w:name="_Hlk528508096"/>
      <w:r>
        <w:rPr>
          <w:rFonts w:hint="eastAsia" w:ascii="宋体" w:hAnsi="宋体"/>
          <w:color w:val="auto"/>
          <w:szCs w:val="21"/>
          <w:highlight w:val="none"/>
          <w:u w:val="single"/>
        </w:rPr>
        <w:t>第11.1款〔市场价格波动引起的调整〕约定范围内的市场价格波动风险、政策性文件规定的各项应有费用、</w:t>
      </w:r>
      <w:bookmarkEnd w:id="1744"/>
      <w:r>
        <w:rPr>
          <w:rFonts w:hint="eastAsia" w:ascii="宋体" w:hAnsi="宋体"/>
          <w:color w:val="auto"/>
          <w:szCs w:val="21"/>
          <w:highlight w:val="none"/>
          <w:u w:val="single"/>
        </w:rPr>
        <w:t>招标文件和合同明示或暗示的应由承包人承担的所有责任、义务和风险等所需的费用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总价包含的风险范围：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3、其他价格方式：</w:t>
      </w:r>
      <w:r>
        <w:rPr>
          <w:rFonts w:hint="eastAsia" w:ascii="宋体" w:hAnsi="宋体"/>
          <w:color w:val="auto"/>
          <w:szCs w:val="21"/>
          <w:highlight w:val="none"/>
          <w:u w:val="single"/>
        </w:rPr>
        <w:t>不采用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745" w:name="_Toc532377384"/>
      <w:bookmarkStart w:id="1746" w:name="_Toc532375648"/>
      <w:bookmarkStart w:id="1747" w:name="_Toc300935004"/>
      <w:bookmarkStart w:id="1748" w:name="_Toc297123554"/>
      <w:bookmarkStart w:id="1749" w:name="_Toc312678042"/>
      <w:bookmarkStart w:id="1750" w:name="_Toc303539161"/>
      <w:bookmarkStart w:id="1751" w:name="_Toc304295581"/>
      <w:bookmarkStart w:id="1752" w:name="_Toc297216213"/>
      <w:bookmarkStart w:id="1753" w:name="_Toc296347206"/>
      <w:bookmarkStart w:id="1754" w:name="_Toc296944546"/>
      <w:bookmarkStart w:id="1755" w:name="_Toc296891247"/>
      <w:bookmarkStart w:id="1756" w:name="_Toc297048393"/>
      <w:bookmarkStart w:id="1757" w:name="_Toc296346708"/>
      <w:bookmarkStart w:id="1758" w:name="_Toc296891035"/>
      <w:bookmarkStart w:id="1759" w:name="_Toc297120507"/>
      <w:bookmarkStart w:id="1760" w:name="_Toc292559917"/>
      <w:bookmarkStart w:id="1761" w:name="_Toc296503207"/>
      <w:bookmarkStart w:id="1762" w:name="_Toc292559412"/>
      <w:r>
        <w:rPr>
          <w:rFonts w:hint="eastAsia"/>
          <w:color w:val="auto"/>
          <w:sz w:val="21"/>
          <w:szCs w:val="21"/>
          <w:highlight w:val="none"/>
        </w:rPr>
        <w:t>12.2 预付款</w:t>
      </w:r>
      <w:bookmarkEnd w:id="1745"/>
      <w:bookmarkEnd w:id="1746"/>
    </w:p>
    <w:bookmarkEnd w:id="1747"/>
    <w:bookmarkEnd w:id="1748"/>
    <w:bookmarkEnd w:id="1749"/>
    <w:bookmarkEnd w:id="1750"/>
    <w:bookmarkEnd w:id="1751"/>
    <w:bookmarkEnd w:id="1752"/>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12.2.1 预付款的支付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ascii="宋体" w:hAnsi="宋体"/>
          <w:color w:val="auto"/>
          <w:szCs w:val="21"/>
          <w:highlight w:val="none"/>
          <w:u w:val="single"/>
          <w:lang w:val="en-US" w:eastAsia="zh-CN"/>
        </w:rPr>
        <w:t>无</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预付款支付期限：</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预付款扣回的方式：</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12.2.2 预付款担保</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承包人提交预付款担保的期限：</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预付款担保的形式为：</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预付款担保的时间：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预付款担保的期限：</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753"/>
    <w:bookmarkEnd w:id="1754"/>
    <w:bookmarkEnd w:id="1755"/>
    <w:bookmarkEnd w:id="1756"/>
    <w:bookmarkEnd w:id="1757"/>
    <w:bookmarkEnd w:id="1758"/>
    <w:bookmarkEnd w:id="1759"/>
    <w:bookmarkEnd w:id="1760"/>
    <w:bookmarkEnd w:id="1761"/>
    <w:bookmarkEnd w:id="1762"/>
    <w:p>
      <w:pPr>
        <w:pStyle w:val="7"/>
        <w:spacing w:before="0" w:beforeAutospacing="0" w:after="0" w:afterAutospacing="0" w:line="360" w:lineRule="auto"/>
        <w:ind w:firstLine="422" w:firstLineChars="200"/>
        <w:rPr>
          <w:color w:val="auto"/>
          <w:sz w:val="21"/>
          <w:szCs w:val="21"/>
          <w:highlight w:val="none"/>
        </w:rPr>
      </w:pPr>
      <w:bookmarkStart w:id="1763" w:name="_Toc532375649"/>
      <w:bookmarkStart w:id="1764" w:name="_Toc532377385"/>
      <w:r>
        <w:rPr>
          <w:rFonts w:hint="eastAsia"/>
          <w:color w:val="auto"/>
          <w:sz w:val="21"/>
          <w:szCs w:val="21"/>
          <w:highlight w:val="none"/>
        </w:rPr>
        <w:t>12.3 计量</w:t>
      </w:r>
      <w:bookmarkEnd w:id="1763"/>
      <w:bookmarkEnd w:id="1764"/>
    </w:p>
    <w:p>
      <w:pPr>
        <w:spacing w:line="360" w:lineRule="auto"/>
        <w:ind w:firstLine="420" w:firstLineChars="200"/>
        <w:jc w:val="left"/>
        <w:rPr>
          <w:rFonts w:ascii="宋体" w:hAnsi="宋体"/>
          <w:color w:val="auto"/>
          <w:szCs w:val="21"/>
          <w:highlight w:val="none"/>
        </w:rPr>
      </w:pPr>
      <w:bookmarkStart w:id="1765" w:name="_Hlk528928260"/>
      <w:r>
        <w:rPr>
          <w:rFonts w:hint="eastAsia" w:ascii="宋体" w:hAnsi="宋体"/>
          <w:color w:val="auto"/>
          <w:szCs w:val="21"/>
          <w:highlight w:val="none"/>
        </w:rPr>
        <w:t>12.3.1 计量原则</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765"/>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lang w:val="en-US" w:eastAsia="zh-CN"/>
        </w:rPr>
        <w:t>按</w:t>
      </w:r>
      <w:r>
        <w:rPr>
          <w:rFonts w:hint="eastAsia" w:ascii="宋体" w:hAnsi="宋体"/>
          <w:color w:val="auto"/>
          <w:szCs w:val="21"/>
          <w:highlight w:val="none"/>
          <w:u w:val="single"/>
        </w:rPr>
        <w:t>进度形式计量</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关于单价合同计量的约定：</w:t>
      </w:r>
    </w:p>
    <w:p>
      <w:pPr>
        <w:spacing w:line="360" w:lineRule="auto"/>
        <w:ind w:firstLine="420" w:firstLineChars="200"/>
        <w:jc w:val="left"/>
        <w:rPr>
          <w:rFonts w:ascii="宋体" w:hAnsi="宋体"/>
          <w:color w:val="auto"/>
          <w:szCs w:val="21"/>
          <w:highlight w:val="none"/>
          <w:u w:val="single"/>
        </w:rPr>
      </w:pPr>
      <w:bookmarkStart w:id="1766" w:name="_Hlk528926162"/>
      <w:r>
        <w:rPr>
          <w:rFonts w:hint="eastAsia" w:ascii="宋体" w:hAnsi="宋体"/>
          <w:color w:val="auto"/>
          <w:szCs w:val="21"/>
          <w:highlight w:val="none"/>
          <w:u w:val="single"/>
        </w:rPr>
        <w:t>（1）承包人应于</w:t>
      </w:r>
      <w:r>
        <w:rPr>
          <w:rFonts w:hint="eastAsia" w:ascii="宋体" w:hAnsi="宋体"/>
          <w:color w:val="auto"/>
          <w:szCs w:val="21"/>
          <w:highlight w:val="none"/>
          <w:u w:val="single"/>
          <w:lang w:val="en-US" w:eastAsia="zh-CN"/>
        </w:rPr>
        <w:t>每</w:t>
      </w:r>
      <w:r>
        <w:rPr>
          <w:rFonts w:hint="eastAsia" w:ascii="宋体" w:hAnsi="宋体"/>
          <w:color w:val="auto"/>
          <w:szCs w:val="21"/>
          <w:highlight w:val="none"/>
          <w:u w:val="single"/>
        </w:rPr>
        <w:t xml:space="preserve">月 </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 xml:space="preserve"> 日前向监理人报送上月已完成的工程量，并附进度付款申请单、已完成工程量报表和其他有关资料</w:t>
      </w:r>
      <w:r>
        <w:rPr>
          <w:rFonts w:hint="eastAsia" w:ascii="宋体" w:hAnsi="宋体"/>
          <w:color w:val="auto"/>
          <w:szCs w:val="21"/>
          <w:highlight w:val="none"/>
        </w:rPr>
        <w:t>。</w:t>
      </w:r>
    </w:p>
    <w:bookmarkEnd w:id="1766"/>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按形象进度比例支付</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12.3.5总价合同采用支付分解表计量支付的，是否适用第12.3.4项〔总价合同的计量〕约定进行计量：</w:t>
      </w:r>
      <w:r>
        <w:rPr>
          <w:rFonts w:hint="eastAsia" w:ascii="宋体" w:hAnsi="宋体"/>
          <w:color w:val="auto"/>
          <w:szCs w:val="21"/>
          <w:highlight w:val="none"/>
          <w:u w:val="single"/>
        </w:rPr>
        <w:t>适用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不采用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lang w:val="en-US" w:eastAsia="zh-CN"/>
        </w:rPr>
      </w:pPr>
      <w:bookmarkStart w:id="1767" w:name="_Toc532377386"/>
      <w:bookmarkStart w:id="1768" w:name="_Toc532375650"/>
      <w:bookmarkStart w:id="1769" w:name="_Hlk528928289"/>
      <w:r>
        <w:rPr>
          <w:rFonts w:hint="eastAsia"/>
          <w:color w:val="auto"/>
          <w:sz w:val="21"/>
          <w:szCs w:val="21"/>
          <w:highlight w:val="none"/>
          <w:lang w:val="en-US" w:eastAsia="zh-CN"/>
        </w:rPr>
        <w:t>12.4 工程进度款支付</w:t>
      </w:r>
      <w:bookmarkEnd w:id="1767"/>
      <w:bookmarkEnd w:id="1768"/>
    </w:p>
    <w:bookmarkEnd w:id="1769"/>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bookmarkStart w:id="1770" w:name="_Toc532377387"/>
      <w:bookmarkStart w:id="1771" w:name="_Toc351203585"/>
      <w:r>
        <w:rPr>
          <w:rFonts w:hint="eastAsia" w:cs="Times New Roman"/>
          <w:b w:val="0"/>
          <w:bCs w:val="0"/>
          <w:color w:val="auto"/>
          <w:kern w:val="2"/>
          <w:sz w:val="21"/>
          <w:szCs w:val="21"/>
          <w:highlight w:val="none"/>
          <w:lang w:val="en-US" w:eastAsia="zh-CN" w:bidi="ar-SA"/>
        </w:rPr>
        <w:t>1</w:t>
      </w:r>
      <w:r>
        <w:rPr>
          <w:rFonts w:hint="eastAsia" w:ascii="宋体" w:hAnsi="宋体" w:eastAsia="宋体" w:cs="Times New Roman"/>
          <w:b w:val="0"/>
          <w:bCs w:val="0"/>
          <w:color w:val="auto"/>
          <w:kern w:val="2"/>
          <w:sz w:val="21"/>
          <w:szCs w:val="21"/>
          <w:highlight w:val="none"/>
          <w:lang w:val="en-US" w:eastAsia="zh-CN" w:bidi="ar-SA"/>
        </w:rPr>
        <w:t>2.4.1 付款周期</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关于付款周期的约定：按月计量支付进度款（按进度、按节点计量支付进度款的参考按月计量支付进度款原则执行）。</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12.4.2 进度付款申请单的编制</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进度付款申请单应包括下列内容：</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（1）截至本次付款周期已完成工作对应的金额；</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（2）根据第10条〔变更〕应增加和扣减的已审定变更金额；</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（3）根据第12.2款〔预付款〕约定应支付的预付款和扣减的返还预付款；</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（4）根据第15.3款〔质量保证金〕约定应扣减的质量保证金；</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（5）根据第19条〔索赔〕应增加和扣减的已审定索赔金额；</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（6）根据第11条〔价格调整〕应增加和扣减的价格调整金额；</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（7）对已签发的进度款支付证书中出现错误的修正，应在本次进度付款中支付或扣除的金额；</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（8）根据合同约定承包人应向发包人支付的违约金；</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（9）根据合同约定发包人应向承包人支付的违约金和（或）奖励；</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（10）根据合同约定应增加和扣减的其他金额；</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（11）当月应支付的人工费（工资款）金额。</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12.4.3 进度付款申请单的提交</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单价合同进度付款申请单提交的约定：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（2）总价合同进度付款申请单提交的约定：按照合同约定的形象进度的计量约定的时间向监理人提交，并附上已完成工程量报表、经审核的农民工工资发放的情况说明及有关资料。</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（3）其他价格形式合同进度付款申请单提交的约定：不采用。</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12.4.4 进度款审核和支付</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（1）监理人审查并报送发包人的期限：收到完整资料后7天内。</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发包人完成审批并签发进度款支付证书的期限：发包人收到监理人报送资料后7天内完成审批并签发进度款支付证书。</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发包人签发进度款支付证书或临时进度款支付证书，不表明发包人已同意、批准或接受了承包人完成的相应部分的工作。</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（2）进度款支付：</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 xml:space="preserve">①农民工工资支付：承包人在进场施工前与招用的农民工签订劳动合同，并在银行开设农民工工资专用账户，发包人每月将已完工产值的30%作为当月人工费(工资款)单独拨付至承包人的农民工工资专用账户对应项目中(若人工费数大于当月已完工产值的30%时，按当月已完工产值的30%拨付；若人工费数额小于当月已完工产值的30%时，按实际人工费数额拨付),承包人每月建立职工花名册，经发包人、承包人和监理单位三方签字后，由承包人委托银行将农民工工资从该账户直接划入农民工个人账户并张贴农民工工资已发放的公告。承包人及开户银行应按要求将人工费(工资款)的到账及发放情况等信息，及时填报“合同履约系统”,并在建筑工地醒目位置公示5日以上经农民工本人签字确认农民工工资支付表。在支付工程进度款时应扣除每月所支付的农民工工资费用。 </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②安全生产费支付：合同订立，发包人下达开工令且承包人进场后，发包人向承包人支付安全生产费合同总额的50%，用于现场安全生产建设，余下安全生产费按施工进度同比例支付。</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fldChar w:fldCharType="begin"/>
      </w:r>
      <w:r>
        <w:rPr>
          <w:rFonts w:hint="eastAsia" w:ascii="宋体" w:hAnsi="宋体" w:eastAsia="宋体" w:cs="Times New Roman"/>
          <w:b w:val="0"/>
          <w:bCs w:val="0"/>
          <w:color w:val="auto"/>
          <w:kern w:val="2"/>
          <w:sz w:val="21"/>
          <w:szCs w:val="21"/>
          <w:highlight w:val="none"/>
          <w:lang w:val="en-US" w:eastAsia="zh-CN" w:bidi="ar-SA"/>
        </w:rPr>
        <w:instrText xml:space="preserve"> = 3 \* GB3 \* MERGEFORMAT </w:instrText>
      </w:r>
      <w:r>
        <w:rPr>
          <w:rFonts w:hint="eastAsia" w:ascii="宋体" w:hAnsi="宋体" w:eastAsia="宋体" w:cs="Times New Roman"/>
          <w:b w:val="0"/>
          <w:bCs w:val="0"/>
          <w:color w:val="auto"/>
          <w:kern w:val="2"/>
          <w:sz w:val="21"/>
          <w:szCs w:val="21"/>
          <w:highlight w:val="none"/>
          <w:lang w:val="en-US" w:eastAsia="zh-CN" w:bidi="ar-SA"/>
        </w:rPr>
        <w:fldChar w:fldCharType="separate"/>
      </w:r>
      <w:r>
        <w:rPr>
          <w:rFonts w:hint="eastAsia" w:ascii="宋体" w:hAnsi="宋体" w:eastAsia="宋体" w:cs="Times New Roman"/>
          <w:b w:val="0"/>
          <w:bCs w:val="0"/>
          <w:color w:val="auto"/>
          <w:kern w:val="2"/>
          <w:sz w:val="21"/>
          <w:szCs w:val="21"/>
          <w:highlight w:val="none"/>
          <w:lang w:val="en-US" w:eastAsia="zh-CN" w:bidi="ar-SA"/>
        </w:rPr>
        <w:t>③</w:t>
      </w:r>
      <w:r>
        <w:rPr>
          <w:rFonts w:hint="eastAsia" w:ascii="宋体" w:hAnsi="宋体" w:eastAsia="宋体" w:cs="Times New Roman"/>
          <w:b w:val="0"/>
          <w:bCs w:val="0"/>
          <w:color w:val="auto"/>
          <w:kern w:val="2"/>
          <w:sz w:val="21"/>
          <w:szCs w:val="21"/>
          <w:highlight w:val="none"/>
          <w:lang w:val="en-US" w:eastAsia="zh-CN" w:bidi="ar-SA"/>
        </w:rPr>
        <w:fldChar w:fldCharType="end"/>
      </w:r>
      <w:r>
        <w:rPr>
          <w:rFonts w:hint="eastAsia" w:ascii="宋体" w:hAnsi="宋体" w:eastAsia="宋体" w:cs="Times New Roman"/>
          <w:b w:val="0"/>
          <w:bCs w:val="0"/>
          <w:color w:val="auto"/>
          <w:kern w:val="2"/>
          <w:sz w:val="21"/>
          <w:szCs w:val="21"/>
          <w:highlight w:val="none"/>
          <w:lang w:val="en-US" w:eastAsia="zh-CN" w:bidi="ar-SA"/>
        </w:rPr>
        <w:t>工程进度款支付：</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1）达到相应项目的合同工程量的 30%，支付至该部分计量工程的80%（含之前已支付的农民工工资在内）；</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 xml:space="preserve">2）达到相应项目的合同工程量的 60%，支付至该部分计量工程的80%（含之前已支付的农民工工资在内）; </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3）交工验收合格后支付至不超过合同价款的80%（含之前已支付的农民工工资在内）；</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4）在施工期间若遇春节时支付至完成合格工程量70%的合同价款（含之前已支付的农民工工资在内）；</w:t>
      </w:r>
    </w:p>
    <w:p>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5）完成审计结算后，发包人扣留质量保证金后向承包人支付至审计结算完成工程款的 97%（含之前已支付的农民工工资及安全生产费在内）；缺陷责任期满且完成竣工验收合格后，发包人向承包人无息退还质量保证金。”</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12.5支付账户</w:t>
      </w:r>
      <w:bookmarkEnd w:id="1770"/>
      <w:bookmarkEnd w:id="177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发包人应将合同价款支付至如下承包人指定的开户银行及银行账户：</w:t>
      </w:r>
    </w:p>
    <w:p>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收款单位名称：</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收款账号：</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收款开户银行：</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w:t>
      </w:r>
      <w:r>
        <w:rPr>
          <w:rFonts w:hint="eastAsia" w:ascii="宋体" w:hAnsi="宋体"/>
          <w:color w:val="auto"/>
          <w:kern w:val="0"/>
          <w:szCs w:val="21"/>
          <w:highlight w:val="none"/>
          <w:lang w:val="en-US" w:eastAsia="zh-CN"/>
        </w:rPr>
        <w:t>按行业主管部门的相关规定</w:t>
      </w:r>
      <w:r>
        <w:rPr>
          <w:rFonts w:hint="eastAsia" w:ascii="宋体" w:hAnsi="宋体"/>
          <w:color w:val="auto"/>
          <w:kern w:val="0"/>
          <w:szCs w:val="21"/>
          <w:highlight w:val="none"/>
        </w:rPr>
        <w:t>将人工费（工资款）支付至承包人指定的农民工工资专用账户。</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772" w:name="_Toc532377388"/>
      <w:bookmarkStart w:id="1773" w:name="_Toc532375651"/>
      <w:bookmarkStart w:id="1774" w:name="_Toc351203645"/>
      <w:bookmarkStart w:id="1775" w:name="_Toc296944558"/>
      <w:bookmarkStart w:id="1776" w:name="_Toc292559929"/>
      <w:bookmarkStart w:id="1777" w:name="_Toc297048405"/>
      <w:bookmarkStart w:id="1778" w:name="_Toc304295593"/>
      <w:bookmarkStart w:id="1779" w:name="_Toc312678053"/>
      <w:bookmarkStart w:id="1780" w:name="_Toc300935015"/>
      <w:bookmarkStart w:id="1781" w:name="_Toc303539172"/>
      <w:bookmarkStart w:id="1782" w:name="_Toc296346720"/>
      <w:bookmarkStart w:id="1783" w:name="_Toc296891259"/>
      <w:bookmarkStart w:id="1784" w:name="_Toc296891047"/>
      <w:bookmarkStart w:id="1785" w:name="_Toc297216223"/>
      <w:bookmarkStart w:id="1786" w:name="_Toc297123564"/>
      <w:bookmarkStart w:id="1787" w:name="_Toc296503219"/>
      <w:bookmarkStart w:id="1788" w:name="_Toc296347218"/>
      <w:bookmarkStart w:id="1789" w:name="_Toc292559424"/>
      <w:bookmarkStart w:id="1790" w:name="_Toc297120519"/>
      <w:r>
        <w:rPr>
          <w:rFonts w:hint="eastAsia"/>
          <w:color w:val="auto"/>
          <w:kern w:val="2"/>
          <w:sz w:val="21"/>
          <w:szCs w:val="21"/>
          <w:highlight w:val="none"/>
        </w:rPr>
        <w:t>13. 验收和工程试车</w:t>
      </w:r>
      <w:bookmarkEnd w:id="1772"/>
      <w:bookmarkEnd w:id="1773"/>
      <w:bookmarkEnd w:id="1774"/>
    </w:p>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Pr>
        <w:pStyle w:val="7"/>
        <w:spacing w:before="0" w:beforeAutospacing="0" w:after="0" w:afterAutospacing="0" w:line="360" w:lineRule="auto"/>
        <w:ind w:firstLine="422" w:firstLineChars="200"/>
        <w:rPr>
          <w:color w:val="auto"/>
          <w:sz w:val="21"/>
          <w:szCs w:val="21"/>
          <w:highlight w:val="none"/>
        </w:rPr>
      </w:pPr>
      <w:bookmarkStart w:id="1791" w:name="_Toc532375652"/>
      <w:bookmarkStart w:id="1792" w:name="_Toc532377389"/>
      <w:bookmarkStart w:id="1793" w:name="_Toc280868704"/>
      <w:bookmarkStart w:id="1794" w:name="_Toc280868705"/>
      <w:bookmarkStart w:id="1795" w:name="_Toc280868706"/>
      <w:bookmarkStart w:id="1796" w:name="_Toc280868707"/>
      <w:bookmarkStart w:id="1797" w:name="_Toc280868708"/>
      <w:bookmarkStart w:id="1798" w:name="_Toc267251476"/>
      <w:bookmarkStart w:id="1799" w:name="_Toc267251474"/>
      <w:bookmarkStart w:id="1800" w:name="_Toc267251472"/>
      <w:bookmarkStart w:id="1801" w:name="_Toc280868709"/>
      <w:bookmarkStart w:id="1802" w:name="_Toc267251471"/>
      <w:bookmarkStart w:id="1803" w:name="_Toc267251473"/>
      <w:bookmarkStart w:id="1804" w:name="_Toc267251475"/>
      <w:bookmarkStart w:id="1805" w:name="_Toc267251470"/>
      <w:r>
        <w:rPr>
          <w:rFonts w:hint="eastAsia"/>
          <w:color w:val="auto"/>
          <w:sz w:val="21"/>
          <w:szCs w:val="21"/>
          <w:highlight w:val="none"/>
        </w:rPr>
        <w:t>13.1 分部分项工程验收</w:t>
      </w:r>
      <w:bookmarkEnd w:id="1791"/>
      <w:bookmarkEnd w:id="1792"/>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ascii="宋体" w:hAnsi="宋体"/>
          <w:color w:val="auto"/>
          <w:szCs w:val="21"/>
          <w:highlight w:val="none"/>
          <w:u w:val="single"/>
        </w:rPr>
        <w:t>24</w:t>
      </w:r>
      <w:r>
        <w:rPr>
          <w:rFonts w:hint="eastAsia" w:ascii="宋体" w:hAnsi="宋体"/>
          <w:color w:val="auto"/>
          <w:szCs w:val="21"/>
          <w:highlight w:val="none"/>
        </w:rPr>
        <w:t>小时提交书面延期要求。</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48</w:t>
      </w:r>
      <w:r>
        <w:rPr>
          <w:rFonts w:hint="eastAsia" w:ascii="宋体" w:hAnsi="宋体"/>
          <w:color w:val="auto"/>
          <w:szCs w:val="21"/>
          <w:highlight w:val="none"/>
        </w:rPr>
        <w:t>小时。</w:t>
      </w:r>
    </w:p>
    <w:p>
      <w:pPr>
        <w:pStyle w:val="7"/>
        <w:spacing w:before="0" w:beforeAutospacing="0" w:after="0" w:afterAutospacing="0" w:line="360" w:lineRule="auto"/>
        <w:ind w:firstLine="422" w:firstLineChars="200"/>
        <w:rPr>
          <w:color w:val="auto"/>
          <w:sz w:val="21"/>
          <w:szCs w:val="21"/>
          <w:highlight w:val="none"/>
        </w:rPr>
      </w:pPr>
      <w:bookmarkStart w:id="1806" w:name="_Toc532377390"/>
      <w:bookmarkStart w:id="1807" w:name="_Toc532375653"/>
      <w:bookmarkStart w:id="1808" w:name="_Toc296891051"/>
      <w:bookmarkStart w:id="1809" w:name="_Toc297216224"/>
      <w:bookmarkStart w:id="1810" w:name="_Toc297048409"/>
      <w:bookmarkStart w:id="1811" w:name="_Toc300935016"/>
      <w:bookmarkStart w:id="1812" w:name="_Toc296503223"/>
      <w:bookmarkStart w:id="1813" w:name="_Toc312678056"/>
      <w:bookmarkStart w:id="1814" w:name="_Toc296944562"/>
      <w:bookmarkStart w:id="1815" w:name="_Toc304295596"/>
      <w:bookmarkStart w:id="1816" w:name="_Toc303539173"/>
      <w:bookmarkStart w:id="1817" w:name="_Toc296347222"/>
      <w:bookmarkStart w:id="1818" w:name="_Toc296346724"/>
      <w:bookmarkStart w:id="1819" w:name="_Toc297120523"/>
      <w:bookmarkStart w:id="1820" w:name="_Toc292559933"/>
      <w:bookmarkStart w:id="1821" w:name="_Toc297123565"/>
      <w:bookmarkStart w:id="1822" w:name="_Toc292559428"/>
      <w:bookmarkStart w:id="1823" w:name="_Toc296891263"/>
      <w:r>
        <w:rPr>
          <w:rFonts w:hint="eastAsia"/>
          <w:color w:val="auto"/>
          <w:sz w:val="21"/>
          <w:szCs w:val="21"/>
          <w:highlight w:val="none"/>
        </w:rPr>
        <w:t>13.2 竣工验收</w:t>
      </w:r>
      <w:bookmarkEnd w:id="1806"/>
      <w:bookmarkEnd w:id="1807"/>
    </w:p>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13.2.2竣工验收程序</w:t>
      </w:r>
    </w:p>
    <w:bookmarkEnd w:id="1793"/>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关于竣工验收程序的约定：工程完工且符合下列条件时，承包人可向发包人提供竣工报告，并要求验收：</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（1）除发包人同意的甩项工作和缺陷修补工作外，合同范围内的全部工程以及有关工作，包括合同要求的试验、试运行以及检验均已完成，并符合合同要求；</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（2）已按合同约定编制了甩项工作和缺陷修补工作清单以及相应的施工计划；</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（3）已按合同约定的内容和份数备齐竣工资料。</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工程竣工及竣工资料：</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（3）承包人提供竣工资料的约定：</w:t>
      </w:r>
      <w:r>
        <w:rPr>
          <w:rFonts w:hint="eastAsia" w:ascii="宋体" w:hAnsi="宋体"/>
          <w:color w:val="auto"/>
          <w:szCs w:val="21"/>
          <w:highlight w:val="none"/>
          <w:u w:val="single"/>
        </w:rPr>
        <w:t>承包人提供纸质版竣工图三套，电子版竣工图二套（刻光盘）</w:t>
      </w:r>
      <w:r>
        <w:rPr>
          <w:rFonts w:hint="eastAsia" w:ascii="宋体" w:hAnsi="宋体"/>
          <w:color w:val="auto"/>
          <w:szCs w:val="21"/>
          <w:highlight w:val="none"/>
        </w:rPr>
        <w:t>。</w:t>
      </w:r>
    </w:p>
    <w:bookmarkEnd w:id="1794"/>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bookmarkEnd w:id="1795"/>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颁发工程接收证书后7天内完成工程的移交</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796"/>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因承包人自身原因未按时移交工程的，违约金的计算方法为：</w:t>
      </w:r>
      <w:r>
        <w:rPr>
          <w:rFonts w:hint="eastAsia" w:ascii="宋体" w:hAnsi="宋体"/>
          <w:color w:val="auto"/>
          <w:szCs w:val="21"/>
          <w:highlight w:val="none"/>
          <w:u w:val="single"/>
        </w:rPr>
        <w:t>承包人应承担工程照管、成品保护、保管等与工程有关的各项费用，并按经审定结算金额的0.5‰/天支付违约金</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824" w:name="_Toc532375654"/>
      <w:bookmarkStart w:id="1825" w:name="_Toc532377391"/>
      <w:r>
        <w:rPr>
          <w:rFonts w:hint="eastAsia"/>
          <w:color w:val="auto"/>
          <w:sz w:val="21"/>
          <w:szCs w:val="21"/>
          <w:highlight w:val="none"/>
        </w:rPr>
        <w:t>13.3 工程试车</w:t>
      </w:r>
      <w:bookmarkEnd w:id="1824"/>
      <w:bookmarkEnd w:id="1825"/>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pPr>
        <w:pStyle w:val="7"/>
        <w:spacing w:before="0" w:beforeAutospacing="0" w:after="0" w:afterAutospacing="0" w:line="360" w:lineRule="auto"/>
        <w:ind w:firstLine="422" w:firstLineChars="200"/>
        <w:rPr>
          <w:color w:val="auto"/>
          <w:sz w:val="21"/>
          <w:szCs w:val="21"/>
          <w:highlight w:val="none"/>
        </w:rPr>
      </w:pPr>
      <w:bookmarkStart w:id="1826" w:name="_Toc532377392"/>
      <w:bookmarkStart w:id="1827" w:name="_Toc532375655"/>
      <w:r>
        <w:rPr>
          <w:rFonts w:hint="eastAsia"/>
          <w:color w:val="auto"/>
          <w:sz w:val="21"/>
          <w:szCs w:val="21"/>
          <w:highlight w:val="none"/>
        </w:rPr>
        <w:t>13.6 竣工退场</w:t>
      </w:r>
      <w:bookmarkEnd w:id="1826"/>
      <w:bookmarkEnd w:id="1827"/>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highlight w:val="none"/>
        </w:rPr>
        <w:t>。</w:t>
      </w:r>
    </w:p>
    <w:bookmarkEnd w:id="1797"/>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828" w:name="_Toc351203646"/>
      <w:bookmarkStart w:id="1829" w:name="_Toc532375656"/>
      <w:bookmarkStart w:id="1830" w:name="_Toc532377393"/>
      <w:r>
        <w:rPr>
          <w:rFonts w:hint="eastAsia"/>
          <w:color w:val="auto"/>
          <w:kern w:val="2"/>
          <w:sz w:val="21"/>
          <w:szCs w:val="21"/>
          <w:highlight w:val="none"/>
        </w:rPr>
        <w:t>14. 竣工结算</w:t>
      </w:r>
      <w:bookmarkEnd w:id="1828"/>
      <w:bookmarkEnd w:id="1829"/>
      <w:bookmarkEnd w:id="1830"/>
    </w:p>
    <w:p>
      <w:pPr>
        <w:pStyle w:val="7"/>
        <w:spacing w:before="0" w:beforeAutospacing="0" w:after="0" w:afterAutospacing="0" w:line="360" w:lineRule="auto"/>
        <w:ind w:firstLine="422" w:firstLineChars="200"/>
        <w:rPr>
          <w:color w:val="auto"/>
          <w:sz w:val="21"/>
          <w:szCs w:val="21"/>
          <w:highlight w:val="none"/>
        </w:rPr>
      </w:pPr>
      <w:bookmarkStart w:id="1831" w:name="_Toc532377394"/>
      <w:bookmarkStart w:id="1832" w:name="_Toc532375657"/>
      <w:r>
        <w:rPr>
          <w:rFonts w:hint="eastAsia"/>
          <w:color w:val="auto"/>
          <w:sz w:val="21"/>
          <w:szCs w:val="21"/>
          <w:highlight w:val="none"/>
        </w:rPr>
        <w:t>14.1 竣工结算申请</w:t>
      </w:r>
      <w:bookmarkEnd w:id="1831"/>
      <w:bookmarkEnd w:id="1832"/>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承包人提交竣工结算申请单的期限：</w:t>
      </w:r>
      <w:r>
        <w:rPr>
          <w:rFonts w:hint="eastAsia" w:ascii="宋体" w:hAnsi="宋体"/>
          <w:color w:val="auto"/>
          <w:szCs w:val="21"/>
          <w:highlight w:val="none"/>
          <w:u w:val="single"/>
        </w:rPr>
        <w:t>承包人应在工程竣工验收合格且报送</w:t>
      </w:r>
      <w:r>
        <w:rPr>
          <w:rFonts w:ascii="宋体" w:hAnsi="宋体"/>
          <w:color w:val="auto"/>
          <w:szCs w:val="21"/>
          <w:highlight w:val="none"/>
          <w:u w:val="single"/>
        </w:rPr>
        <w:t>完整工程竣工资料</w:t>
      </w:r>
      <w:r>
        <w:rPr>
          <w:rFonts w:hint="eastAsia" w:ascii="宋体" w:hAnsi="宋体"/>
          <w:color w:val="auto"/>
          <w:szCs w:val="21"/>
          <w:highlight w:val="none"/>
          <w:u w:val="single"/>
        </w:rPr>
        <w:t>之日起28天内向监理人、发包人提交竣工结算申请单，并向发包人报送完整的工程竣工资料及经监理人初审确认的完整的竣工结算资料</w:t>
      </w:r>
      <w:bookmarkStart w:id="1833" w:name="_Hlk524297994"/>
      <w:r>
        <w:rPr>
          <w:rFonts w:hint="eastAsia" w:ascii="宋体" w:hAnsi="宋体"/>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竣工结算申请单包括但不限于以下内容：</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（1）竣工结算合同价格；</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（2）变更增减金额；</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（3）现场签证增减金额；</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（4）索赔增减金额；</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（5）奖励、罚金及违约金；</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（6）发包人已支付承包人的款项；</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（7）应扣留的质量保证金；</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（8）发包人应支付承包人的合同价款。</w:t>
      </w:r>
      <w:bookmarkEnd w:id="1833"/>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834" w:name="_Toc532375658"/>
      <w:bookmarkStart w:id="1835" w:name="_Toc532377395"/>
      <w:r>
        <w:rPr>
          <w:rFonts w:hint="eastAsia"/>
          <w:color w:val="auto"/>
          <w:sz w:val="21"/>
          <w:szCs w:val="21"/>
          <w:highlight w:val="none"/>
        </w:rPr>
        <w:t>14.2 竣工结算审核</w:t>
      </w:r>
      <w:bookmarkEnd w:id="1834"/>
      <w:bookmarkEnd w:id="1835"/>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 竣工结算办法</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14.2.1.1计量原则</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按照第12.3.1项〔计量原则〕约定执行。</w:t>
      </w:r>
    </w:p>
    <w:p>
      <w:pPr>
        <w:spacing w:line="360" w:lineRule="auto"/>
        <w:ind w:right="105" w:rightChars="50" w:firstLine="420" w:firstLineChars="200"/>
        <w:jc w:val="left"/>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14.2.1.2计价原则</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具体结算办法如下：</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（1）分部分项工程：</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④合同、已标价工程量清单和招标文件另有约定的，按照其约定执行</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（2）措施项目：</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②工程变更引起施工方案改变使措施项目发生变化的，经监理人、发包人确定后可对按第10.4.3项约定执行</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（3）其他项目：</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①材料（工程设备）暂估价：</w:t>
      </w:r>
      <w:r>
        <w:rPr>
          <w:rFonts w:hint="eastAsia" w:ascii="宋体" w:hAnsi="宋体"/>
          <w:color w:val="auto"/>
          <w:szCs w:val="21"/>
          <w:highlight w:val="none"/>
          <w:u w:val="single"/>
        </w:rPr>
        <w:t>按照第12.3.1项〔计量原则〕约定及对应定额消耗量确定的数量乘以监理人、跟审单位、发包人根据市场行情认质核价确定的价格进行结算</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②专业工程暂估价：</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1）对于不属于依法必须招标的暂估价项目：按发包人审定的价格进行结算</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3）总承包服务费：总承包服务费包干使用，结算时不作调整</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（4）价格调整：</w:t>
      </w:r>
      <w:r>
        <w:rPr>
          <w:rFonts w:hint="eastAsia" w:ascii="宋体" w:hAnsi="宋体"/>
          <w:color w:val="auto"/>
          <w:szCs w:val="21"/>
          <w:highlight w:val="none"/>
          <w:u w:val="single"/>
        </w:rPr>
        <w:t>按照第11条〔价格调整〕约定约定执行</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（5）工程变更、索赔与现场签证：</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2）索赔：按照第10.4.1项〔变更估价原则〕和第14.2.1项〔竣工结算办法〕约定执行。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3）现场签证：按照第10.4.1项〔变更估价原则〕和第14.2.1项〔竣工结算办法〕约定执行。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（6）罚金、违约金及其他费用：</w:t>
      </w:r>
      <w:r>
        <w:rPr>
          <w:rFonts w:hint="eastAsia" w:ascii="宋体" w:hAnsi="宋体"/>
          <w:color w:val="auto"/>
          <w:szCs w:val="21"/>
          <w:highlight w:val="none"/>
          <w:u w:val="single"/>
        </w:rPr>
        <w:t>按实进行结算</w:t>
      </w:r>
      <w:r>
        <w:rPr>
          <w:rFonts w:hint="eastAsia" w:ascii="宋体" w:hAnsi="宋体"/>
          <w:color w:val="auto"/>
          <w:szCs w:val="21"/>
          <w:highlight w:val="none"/>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（7）规费：已标价工程量清单中规费费用按《重庆市建设工程费用定额》（CQFYDE-2018）执行。</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14.2.1.3竣工结算价</w:t>
      </w:r>
    </w:p>
    <w:p>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bookmarkStart w:id="1836" w:name="_Hlk528660512"/>
      <w:r>
        <w:rPr>
          <w:rFonts w:hint="eastAsia" w:ascii="宋体" w:hAnsi="宋体"/>
          <w:color w:val="auto"/>
          <w:szCs w:val="21"/>
          <w:highlight w:val="none"/>
          <w:u w:val="single"/>
        </w:rPr>
        <w:t>以发包人会同跟审单位、监理人、承包人根据有效资料共同确定竣工结算金额作为合同竣工结算价</w:t>
      </w:r>
      <w:r>
        <w:rPr>
          <w:rFonts w:hint="eastAsia" w:ascii="宋体" w:hAnsi="宋体"/>
          <w:color w:val="auto"/>
          <w:szCs w:val="21"/>
          <w:highlight w:val="none"/>
        </w:rPr>
        <w:t>。</w:t>
      </w:r>
    </w:p>
    <w:bookmarkEnd w:id="1836"/>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14.2.2 竣工结算审核期限</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监理人审核竣工付款申请单的期限：</w:t>
      </w:r>
      <w:r>
        <w:rPr>
          <w:rFonts w:hint="eastAsia" w:ascii="宋体" w:hAnsi="宋体"/>
          <w:color w:val="auto"/>
          <w:szCs w:val="21"/>
          <w:highlight w:val="none"/>
          <w:u w:val="single"/>
        </w:rPr>
        <w:t xml:space="preserve">不超过 </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 xml:space="preserve"> 日</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发包人审核竣工付款申请单的期限：</w:t>
      </w:r>
      <w:r>
        <w:rPr>
          <w:rFonts w:hint="eastAsia" w:ascii="宋体" w:hAnsi="宋体"/>
          <w:color w:val="auto"/>
          <w:szCs w:val="21"/>
          <w:highlight w:val="none"/>
          <w:u w:val="single"/>
        </w:rPr>
        <w:t xml:space="preserve">不超过 </w:t>
      </w:r>
      <w:r>
        <w:rPr>
          <w:rFonts w:hint="eastAsia" w:ascii="宋体" w:hAnsi="宋体"/>
          <w:color w:val="auto"/>
          <w:szCs w:val="21"/>
          <w:highlight w:val="none"/>
          <w:u w:val="single"/>
          <w:lang w:val="en-US" w:eastAsia="zh-CN"/>
        </w:rPr>
        <w:t>60</w:t>
      </w:r>
      <w:r>
        <w:rPr>
          <w:rFonts w:hint="eastAsia" w:ascii="宋体" w:hAnsi="宋体"/>
          <w:color w:val="auto"/>
          <w:szCs w:val="21"/>
          <w:highlight w:val="none"/>
          <w:u w:val="single"/>
        </w:rPr>
        <w:t xml:space="preserve"> 日</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发包人完成竣工付款的期限：</w:t>
      </w:r>
      <w:r>
        <w:rPr>
          <w:rFonts w:hint="eastAsia" w:ascii="宋体" w:hAnsi="宋体"/>
          <w:color w:val="auto"/>
          <w:szCs w:val="21"/>
          <w:highlight w:val="none"/>
          <w:u w:val="single"/>
        </w:rPr>
        <w:t xml:space="preserve">完成竣工付款申请单审核后 </w:t>
      </w:r>
      <w:r>
        <w:rPr>
          <w:rFonts w:hint="eastAsia" w:ascii="宋体" w:hAnsi="宋体"/>
          <w:color w:val="auto"/>
          <w:szCs w:val="21"/>
          <w:highlight w:val="none"/>
          <w:u w:val="single"/>
          <w:lang w:val="en-US" w:eastAsia="zh-CN"/>
        </w:rPr>
        <w:t>60</w:t>
      </w:r>
      <w:r>
        <w:rPr>
          <w:rFonts w:hint="eastAsia" w:ascii="宋体" w:hAnsi="宋体"/>
          <w:color w:val="auto"/>
          <w:szCs w:val="21"/>
          <w:highlight w:val="none"/>
          <w:u w:val="single"/>
        </w:rPr>
        <w:t>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关于竣工付款证书异议部分复核的方式和程序： 按照第20条〔争议解决〕约定处理。</w:t>
      </w:r>
    </w:p>
    <w:p>
      <w:pPr>
        <w:pStyle w:val="7"/>
        <w:spacing w:before="0" w:beforeAutospacing="0" w:after="0" w:afterAutospacing="0" w:line="360" w:lineRule="auto"/>
        <w:ind w:firstLine="422" w:firstLineChars="200"/>
        <w:rPr>
          <w:color w:val="auto"/>
          <w:sz w:val="21"/>
          <w:szCs w:val="21"/>
          <w:highlight w:val="none"/>
        </w:rPr>
      </w:pPr>
      <w:bookmarkStart w:id="1837" w:name="_Toc532375659"/>
      <w:bookmarkStart w:id="1838" w:name="_Toc532377396"/>
      <w:r>
        <w:rPr>
          <w:rFonts w:hint="eastAsia"/>
          <w:color w:val="auto"/>
          <w:sz w:val="21"/>
          <w:szCs w:val="21"/>
          <w:highlight w:val="none"/>
        </w:rPr>
        <w:t>14.4 最终结清</w:t>
      </w:r>
      <w:bookmarkEnd w:id="1837"/>
      <w:bookmarkEnd w:id="1838"/>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3份</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缺陷责任期终止证书颁发后14天内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发包人收到完整资料后14天内完成审批并颁发最终结清证书</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颁发最终结清证书的14天内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本条补充14.5款：</w:t>
      </w:r>
    </w:p>
    <w:bookmarkEnd w:id="1798"/>
    <w:bookmarkEnd w:id="1799"/>
    <w:bookmarkEnd w:id="1800"/>
    <w:bookmarkEnd w:id="1801"/>
    <w:bookmarkEnd w:id="1802"/>
    <w:bookmarkEnd w:id="1803"/>
    <w:bookmarkEnd w:id="1804"/>
    <w:bookmarkEnd w:id="1805"/>
    <w:p>
      <w:pPr>
        <w:pStyle w:val="7"/>
        <w:spacing w:before="0" w:beforeAutospacing="0" w:after="0" w:afterAutospacing="0" w:line="360" w:lineRule="auto"/>
        <w:ind w:firstLine="422" w:firstLineChars="200"/>
        <w:rPr>
          <w:color w:val="auto"/>
          <w:sz w:val="21"/>
          <w:szCs w:val="21"/>
          <w:highlight w:val="none"/>
        </w:rPr>
      </w:pPr>
      <w:bookmarkStart w:id="1839" w:name="_Toc532377397"/>
      <w:bookmarkStart w:id="1840" w:name="_Toc532375660"/>
      <w:r>
        <w:rPr>
          <w:rFonts w:hint="eastAsia"/>
          <w:color w:val="auto"/>
          <w:sz w:val="21"/>
          <w:szCs w:val="21"/>
          <w:highlight w:val="none"/>
        </w:rPr>
        <w:t>14.5 逾期办理或不配合办理竣工结算的处理</w:t>
      </w:r>
      <w:bookmarkEnd w:id="1839"/>
      <w:bookmarkEnd w:id="1840"/>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有下列情形之一的，视为承包人放弃与发包人共同办理竣工结算的权利，发包人有权会同跟审单位、监理人根据有效资料共同确定竣工结算金额。</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（1）承包人逾期未报送竣工结算资料，亦未获得发包人批准延期报送，经发包人两</w:t>
      </w:r>
      <w:bookmarkStart w:id="1841" w:name="_Hlk529133622"/>
      <w:r>
        <w:rPr>
          <w:rFonts w:hint="eastAsia" w:ascii="宋体" w:hAnsi="宋体"/>
          <w:color w:val="auto"/>
          <w:szCs w:val="21"/>
          <w:highlight w:val="none"/>
        </w:rPr>
        <w:t>次书面催告仍未在限期内报送的</w:t>
      </w:r>
      <w:bookmarkEnd w:id="1841"/>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（3）承包人不配合发包人、跟审单位、监理人、发包人委托的工程造价咨询服务单位办理竣工结算的，经发包人两次书面函告仍未改正的。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highlight w:val="none"/>
        </w:rPr>
        <w:t>。</w:t>
      </w:r>
    </w:p>
    <w:bookmarkEnd w:id="1516"/>
    <w:bookmarkEnd w:id="1517"/>
    <w:bookmarkEnd w:id="1518"/>
    <w:bookmarkEnd w:id="1519"/>
    <w:bookmarkEnd w:id="1520"/>
    <w:bookmarkEnd w:id="1521"/>
    <w:bookmarkEnd w:id="1522"/>
    <w:bookmarkEnd w:id="1523"/>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842" w:name="_Toc351203647"/>
      <w:bookmarkStart w:id="1843" w:name="_Toc532377398"/>
      <w:bookmarkStart w:id="1844" w:name="_Toc532375661"/>
      <w:bookmarkStart w:id="1845" w:name="_Toc267251483"/>
      <w:bookmarkStart w:id="1846" w:name="_Toc280868717"/>
      <w:bookmarkStart w:id="1847" w:name="_Toc280868718"/>
      <w:r>
        <w:rPr>
          <w:rFonts w:hint="eastAsia"/>
          <w:color w:val="auto"/>
          <w:kern w:val="2"/>
          <w:sz w:val="21"/>
          <w:szCs w:val="21"/>
          <w:highlight w:val="none"/>
        </w:rPr>
        <w:t>15. 缺陷责任期与保修</w:t>
      </w:r>
      <w:bookmarkEnd w:id="1842"/>
      <w:bookmarkEnd w:id="1843"/>
      <w:bookmarkEnd w:id="1844"/>
    </w:p>
    <w:bookmarkEnd w:id="1845"/>
    <w:p>
      <w:pPr>
        <w:pStyle w:val="7"/>
        <w:spacing w:before="0" w:beforeAutospacing="0" w:after="0" w:afterAutospacing="0" w:line="360" w:lineRule="auto"/>
        <w:ind w:firstLine="422" w:firstLineChars="200"/>
        <w:rPr>
          <w:color w:val="auto"/>
          <w:sz w:val="21"/>
          <w:szCs w:val="21"/>
          <w:highlight w:val="none"/>
        </w:rPr>
      </w:pPr>
      <w:bookmarkStart w:id="1848" w:name="_Toc532377399"/>
      <w:bookmarkStart w:id="1849" w:name="_Toc532375662"/>
      <w:r>
        <w:rPr>
          <w:rFonts w:hint="eastAsia"/>
          <w:color w:val="auto"/>
          <w:sz w:val="21"/>
          <w:szCs w:val="21"/>
          <w:highlight w:val="none"/>
        </w:rPr>
        <w:t>15.3 质量保证金</w:t>
      </w:r>
      <w:bookmarkEnd w:id="1848"/>
      <w:bookmarkEnd w:id="1849"/>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（1）质量保证金保函</w:t>
      </w:r>
    </w:p>
    <w:p>
      <w:pPr>
        <w:spacing w:line="360" w:lineRule="auto"/>
        <w:ind w:right="105" w:rightChars="50"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u w:val="none"/>
        </w:rPr>
        <w:t>1）</w:t>
      </w:r>
      <w:r>
        <w:rPr>
          <w:rFonts w:hint="eastAsia" w:ascii="宋体" w:hAnsi="宋体"/>
          <w:color w:val="auto"/>
          <w:szCs w:val="21"/>
          <w:highlight w:val="none"/>
          <w:u w:val="none"/>
          <w:lang w:val="en-US" w:eastAsia="zh-CN"/>
        </w:rPr>
        <w:t>缴纳形式：</w:t>
      </w:r>
      <w:r>
        <w:rPr>
          <w:rFonts w:hint="eastAsia" w:ascii="宋体" w:hAnsi="宋体"/>
          <w:color w:val="auto"/>
          <w:kern w:val="0"/>
          <w:szCs w:val="21"/>
          <w:highlight w:val="none"/>
          <w:u w:val="none"/>
          <w:lang w:val="en-US" w:eastAsia="zh-CN"/>
        </w:rPr>
        <w:t>质量保证金</w:t>
      </w:r>
      <w:r>
        <w:rPr>
          <w:rFonts w:hint="eastAsia" w:ascii="宋体" w:hAnsi="宋体"/>
          <w:color w:val="auto"/>
          <w:kern w:val="0"/>
          <w:szCs w:val="21"/>
          <w:highlight w:val="none"/>
          <w:u w:val="none"/>
        </w:rPr>
        <w:t>保函包括银行保函、保证保险和担保保函</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其示范文本详见合同附件</w:t>
      </w:r>
      <w:r>
        <w:rPr>
          <w:rFonts w:hint="eastAsia" w:ascii="宋体" w:hAnsi="宋体"/>
          <w:color w:val="auto"/>
          <w:szCs w:val="21"/>
          <w:highlight w:val="none"/>
          <w:u w:val="none"/>
          <w:lang w:eastAsia="zh-CN"/>
        </w:rPr>
        <w:t>。</w:t>
      </w:r>
      <w:r>
        <w:rPr>
          <w:rFonts w:hint="eastAsia" w:ascii="宋体" w:hAnsi="宋体"/>
          <w:color w:val="auto"/>
          <w:kern w:val="0"/>
          <w:szCs w:val="21"/>
          <w:highlight w:val="none"/>
          <w:u w:val="none"/>
          <w:lang w:val="en-US" w:eastAsia="zh-CN"/>
        </w:rPr>
        <w:t>承包人提交的质量保证金</w:t>
      </w:r>
      <w:r>
        <w:rPr>
          <w:rFonts w:hint="eastAsia" w:ascii="宋体" w:hAnsi="宋体"/>
          <w:color w:val="auto"/>
          <w:kern w:val="0"/>
          <w:szCs w:val="21"/>
          <w:highlight w:val="none"/>
          <w:u w:val="none"/>
        </w:rPr>
        <w:t>保函</w:t>
      </w:r>
      <w:r>
        <w:rPr>
          <w:rFonts w:hint="eastAsia" w:ascii="宋体" w:hAnsi="宋体"/>
          <w:color w:val="auto"/>
          <w:kern w:val="0"/>
          <w:szCs w:val="21"/>
          <w:highlight w:val="none"/>
          <w:u w:val="none"/>
          <w:lang w:val="en-US" w:eastAsia="zh-CN"/>
        </w:rPr>
        <w:t>应</w:t>
      </w:r>
      <w:r>
        <w:rPr>
          <w:rFonts w:hint="eastAsia" w:ascii="宋体" w:hAnsi="宋体"/>
          <w:color w:val="auto"/>
          <w:kern w:val="0"/>
          <w:szCs w:val="21"/>
          <w:highlight w:val="none"/>
          <w:u w:val="none"/>
        </w:rPr>
        <w:t>严格执行</w:t>
      </w:r>
      <w:r>
        <w:rPr>
          <w:rFonts w:hint="eastAsia" w:ascii="宋体" w:hAnsi="宋体"/>
          <w:color w:val="auto"/>
          <w:kern w:val="0"/>
          <w:szCs w:val="21"/>
          <w:highlight w:val="none"/>
          <w:u w:val="none"/>
          <w:lang w:val="en-US" w:eastAsia="zh-CN"/>
        </w:rPr>
        <w:t>其</w:t>
      </w:r>
      <w:r>
        <w:rPr>
          <w:rFonts w:hint="eastAsia" w:ascii="宋体" w:hAnsi="宋体"/>
          <w:color w:val="auto"/>
          <w:kern w:val="0"/>
          <w:szCs w:val="21"/>
          <w:highlight w:val="none"/>
          <w:u w:val="none"/>
        </w:rPr>
        <w:t>示范文本，不得对示范文本中的实质性内容进行修改</w:t>
      </w:r>
      <w:r>
        <w:rPr>
          <w:rFonts w:hint="eastAsia" w:ascii="宋体" w:hAnsi="宋体"/>
          <w:color w:val="auto"/>
          <w:szCs w:val="21"/>
          <w:highlight w:val="none"/>
          <w:u w:val="none"/>
          <w:lang w:eastAsia="zh-CN"/>
        </w:rPr>
        <w:t>。</w:t>
      </w:r>
    </w:p>
    <w:p>
      <w:pPr>
        <w:spacing w:line="360" w:lineRule="auto"/>
        <w:ind w:right="105" w:rightChars="50"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2）具体要求：</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承包人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val="en-US" w:eastAsia="zh-CN"/>
        </w:rPr>
        <w:t>（包括纸质保函或电子保函）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val="en-US" w:eastAsia="zh-CN"/>
        </w:rPr>
        <w:t>为纸质保函的，纸质保函应注明在</w:t>
      </w:r>
      <w:r>
        <w:rPr>
          <w:rFonts w:hint="eastAsia" w:ascii="宋体" w:hAnsi="宋体"/>
          <w:color w:val="auto"/>
          <w:kern w:val="0"/>
          <w:szCs w:val="21"/>
          <w:highlight w:val="none"/>
        </w:rPr>
        <w:t>重庆市辖区范围内的核验地址和核验方式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承包人对所提交的质量保证金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val="en-US" w:eastAsia="zh-CN"/>
        </w:rPr>
        <w:t>的真实性、合法性、有效性负责。</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3）保函金额为：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default" w:ascii="宋体" w:hAnsi="宋体"/>
          <w:color w:val="auto"/>
          <w:szCs w:val="21"/>
          <w:highlight w:val="none"/>
          <w:lang w:val="en-US"/>
        </w:rPr>
        <w:t>4</w:t>
      </w:r>
      <w:r>
        <w:rPr>
          <w:rFonts w:hint="eastAsia" w:ascii="宋体" w:hAnsi="宋体"/>
          <w:color w:val="auto"/>
          <w:szCs w:val="21"/>
          <w:highlight w:val="none"/>
        </w:rPr>
        <w:t>）提交时间：</w:t>
      </w:r>
      <w:r>
        <w:rPr>
          <w:rFonts w:hint="eastAsia" w:ascii="宋体" w:hAnsi="宋体"/>
          <w:color w:val="auto"/>
          <w:szCs w:val="21"/>
          <w:highlight w:val="none"/>
          <w:u w:val="single"/>
        </w:rPr>
        <w:t>工程竣工验收合格后14天内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（2）竣工结算价的</w:t>
      </w:r>
      <w:r>
        <w:rPr>
          <w:rFonts w:hint="eastAsia" w:ascii="宋体" w:hAnsi="宋体"/>
          <w:color w:val="auto"/>
          <w:szCs w:val="21"/>
          <w:highlight w:val="none"/>
          <w:u w:val="single"/>
        </w:rPr>
        <w:t xml:space="preserve"> 3%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15.3.2 质量保证金的扣留</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ascii="宋体" w:hAnsi="宋体"/>
          <w:color w:val="auto"/>
          <w:szCs w:val="21"/>
          <w:highlight w:val="none"/>
          <w:u w:val="single"/>
        </w:rPr>
        <w:t xml:space="preserve">其他扣留方式：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15.3.3质量保证金的退还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（1）在发包人颁发缺陷责任期终止证书之日起14天内退还。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（2）缺陷责任期内，承包人认真履行合同约定的责任，到期后，承包人可向发包人申请返还质量保证金。</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（3）质量保证金是否支付利息采取以下</w:t>
      </w:r>
      <w:r>
        <w:rPr>
          <w:rFonts w:hint="eastAsia" w:ascii="宋体" w:hAnsi="宋体"/>
          <w:color w:val="auto"/>
          <w:szCs w:val="21"/>
          <w:highlight w:val="none"/>
          <w:u w:val="single"/>
        </w:rPr>
        <w:t>第②种</w:t>
      </w:r>
      <w:r>
        <w:rPr>
          <w:rFonts w:hint="eastAsia" w:ascii="宋体" w:hAnsi="宋体"/>
          <w:color w:val="auto"/>
          <w:szCs w:val="21"/>
          <w:highlight w:val="none"/>
        </w:rPr>
        <w:t>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①按照中国人民银行  年  月公布的5年期贷款市场报价利率支付利息</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②</w:t>
      </w:r>
      <w:r>
        <w:rPr>
          <w:rFonts w:hint="eastAsia" w:ascii="宋体" w:hAnsi="宋体"/>
          <w:color w:val="auto"/>
          <w:szCs w:val="21"/>
          <w:highlight w:val="none"/>
          <w:u w:val="single"/>
          <w:lang w:eastAsia="zh-CN"/>
        </w:rPr>
        <w:t>不计息</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850" w:name="_Toc532375663"/>
      <w:bookmarkStart w:id="1851" w:name="_Toc532377400"/>
      <w:r>
        <w:rPr>
          <w:rFonts w:hint="eastAsia"/>
          <w:color w:val="auto"/>
          <w:sz w:val="21"/>
          <w:szCs w:val="21"/>
          <w:highlight w:val="none"/>
        </w:rPr>
        <w:t>15.4 保修</w:t>
      </w:r>
      <w:bookmarkEnd w:id="1850"/>
      <w:bookmarkEnd w:id="1851"/>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bookmarkStart w:id="1852" w:name="_Hlk524381274"/>
      <w:r>
        <w:rPr>
          <w:rFonts w:hint="eastAsia" w:ascii="宋体" w:hAnsi="宋体"/>
          <w:color w:val="auto"/>
          <w:szCs w:val="21"/>
          <w:highlight w:val="none"/>
        </w:rPr>
        <w:t>按照附件1《工程质量保修书》的规定执行。</w:t>
      </w:r>
      <w:bookmarkEnd w:id="1852"/>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24</w:t>
      </w:r>
      <w:r>
        <w:rPr>
          <w:rFonts w:hint="eastAsia" w:ascii="宋体" w:hAnsi="宋体"/>
          <w:color w:val="auto"/>
          <w:szCs w:val="21"/>
          <w:highlight w:val="none"/>
          <w:u w:val="single"/>
        </w:rPr>
        <w:t>小时内，最长不能超过</w:t>
      </w:r>
      <w:r>
        <w:rPr>
          <w:rFonts w:hint="eastAsia" w:ascii="宋体" w:hAnsi="宋体"/>
          <w:color w:val="auto"/>
          <w:szCs w:val="21"/>
          <w:highlight w:val="none"/>
          <w:u w:val="single"/>
          <w:lang w:val="en-US" w:eastAsia="zh-CN"/>
        </w:rPr>
        <w:t>48</w:t>
      </w:r>
      <w:r>
        <w:rPr>
          <w:rFonts w:hint="eastAsia" w:ascii="宋体" w:hAnsi="宋体"/>
          <w:color w:val="auto"/>
          <w:szCs w:val="21"/>
          <w:highlight w:val="none"/>
          <w:u w:val="single"/>
        </w:rPr>
        <w:t>小时</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853" w:name="_Toc532375664"/>
      <w:bookmarkStart w:id="1854" w:name="_Toc532377401"/>
      <w:bookmarkStart w:id="1855" w:name="_Toc351203648"/>
      <w:r>
        <w:rPr>
          <w:rFonts w:hint="eastAsia"/>
          <w:color w:val="auto"/>
          <w:kern w:val="2"/>
          <w:sz w:val="21"/>
          <w:szCs w:val="21"/>
          <w:highlight w:val="none"/>
        </w:rPr>
        <w:t>16. 违约</w:t>
      </w:r>
      <w:bookmarkEnd w:id="1853"/>
      <w:bookmarkEnd w:id="1854"/>
      <w:bookmarkEnd w:id="1855"/>
    </w:p>
    <w:p>
      <w:pPr>
        <w:pStyle w:val="7"/>
        <w:spacing w:before="0" w:beforeAutospacing="0" w:after="0" w:afterAutospacing="0" w:line="360" w:lineRule="auto"/>
        <w:ind w:firstLine="422" w:firstLineChars="200"/>
        <w:rPr>
          <w:color w:val="auto"/>
          <w:sz w:val="21"/>
          <w:szCs w:val="21"/>
          <w:highlight w:val="none"/>
        </w:rPr>
      </w:pPr>
      <w:bookmarkStart w:id="1856" w:name="_Toc532377402"/>
      <w:r>
        <w:rPr>
          <w:rFonts w:hint="eastAsia"/>
          <w:color w:val="auto"/>
          <w:sz w:val="21"/>
          <w:szCs w:val="21"/>
          <w:highlight w:val="none"/>
        </w:rPr>
        <w:t>16.1 发包人违约</w:t>
      </w:r>
      <w:bookmarkEnd w:id="1856"/>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 发包人违约的情形</w:t>
      </w:r>
    </w:p>
    <w:p>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除通用合同条款约定外，发包人违约的其他情形：</w:t>
      </w:r>
    </w:p>
    <w:p>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（1）根据专用合同条款7.5.1项因发包人原因导致工期延误的；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（2）因发包人原因未能及时办理完毕合同约定的许可、批准或备案的；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（3）因监理人未能按合同约定发出指示、指示延误或发出了错误指示而导致承包人费用增加和（或）工期延误的；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（4）根据5.3.3发包人或监理人要求重新检查的，经检查证明工程质量符合合同要求的，并由此产生增加的费用和（或）延误的工期的；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（5）因发包人原因造成工程质量未达到合同约定标准的；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（6）由于发包人原因对承包人造成的人员人身伤亡和财产损失的；</w:t>
      </w:r>
    </w:p>
    <w:p>
      <w:pPr>
        <w:pStyle w:val="118"/>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（7）因发包人原因导致工程无法按期办理竣工验收或竣工结算的；</w:t>
      </w:r>
    </w:p>
    <w:p>
      <w:pPr>
        <w:pStyle w:val="118"/>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（8）发包人无正当理由未按约定退还履约担保、低价风险担保、预付款担保或质量保证金的；</w:t>
      </w:r>
    </w:p>
    <w:p>
      <w:pPr>
        <w:pStyle w:val="118"/>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（9）发包人不当提取履约担保、低价风险担保或质量保证金的；</w:t>
      </w:r>
    </w:p>
    <w:p>
      <w:pPr>
        <w:pStyle w:val="118"/>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（10）发包人未按合同约定接收全部或部分工作的；</w:t>
      </w:r>
    </w:p>
    <w:p>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u w:val="single"/>
        </w:rPr>
        <w:t>（1</w:t>
      </w:r>
      <w:r>
        <w:rPr>
          <w:rFonts w:hint="eastAsia" w:ascii="宋体" w:hAnsi="宋体" w:cs="Microsoft Sans Serif"/>
          <w:color w:val="auto"/>
          <w:kern w:val="0"/>
          <w:szCs w:val="21"/>
          <w:highlight w:val="none"/>
          <w:u w:val="single"/>
          <w:lang w:val="en-US" w:eastAsia="zh-CN"/>
        </w:rPr>
        <w:t>1</w:t>
      </w:r>
      <w:r>
        <w:rPr>
          <w:rFonts w:hint="eastAsia" w:ascii="宋体" w:hAnsi="宋体" w:cs="Microsoft Sans Serif"/>
          <w:color w:val="auto"/>
          <w:kern w:val="0"/>
          <w:szCs w:val="21"/>
          <w:highlight w:val="none"/>
          <w:u w:val="single"/>
        </w:rPr>
        <w:t xml:space="preserve">）其他：        </w:t>
      </w:r>
      <w:r>
        <w:rPr>
          <w:rFonts w:hint="eastAsia" w:ascii="宋体" w:hAnsi="宋体" w:cs="Microsoft Sans Serif"/>
          <w:color w:val="auto"/>
          <w:kern w:val="0"/>
          <w:szCs w:val="21"/>
          <w:highlight w:val="none"/>
        </w:rPr>
        <w:t>。</w:t>
      </w:r>
    </w:p>
    <w:p>
      <w:pPr>
        <w:pStyle w:val="118"/>
        <w:spacing w:line="360" w:lineRule="auto"/>
        <w:rPr>
          <w:rFonts w:ascii="宋体" w:hAnsi="宋体"/>
          <w:color w:val="auto"/>
          <w:sz w:val="21"/>
          <w:szCs w:val="21"/>
          <w:highlight w:val="none"/>
        </w:rPr>
      </w:pPr>
      <w:r>
        <w:rPr>
          <w:rFonts w:hint="eastAsia" w:ascii="宋体" w:hAnsi="宋体"/>
          <w:color w:val="auto"/>
          <w:sz w:val="21"/>
          <w:szCs w:val="21"/>
          <w:highlight w:val="none"/>
        </w:rPr>
        <w:t>16.1.2发包人违约的责任</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（1）因发包人原因未能及时办理完毕前述许可、批准或备案的违约责任：由发包人承担由此增加的费用和（或）顺延工期，并支付合理利润，具体索赔程序按照第19条〔索赔〕约定执行。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（3）因发包人原因导致工期延误的违约责任：由发包人承担由此增加的费用和（或）顺延工期，并支付合理利润，具体索赔程序按照第19条〔索赔〕约定执行。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highlight w:val="none"/>
          <w:u w:val="single"/>
        </w:rPr>
        <w:t xml:space="preserve">违约金=应付未付金额×中国人民银行 </w:t>
      </w:r>
      <w:r>
        <w:rPr>
          <w:rFonts w:hint="eastAsia" w:ascii="宋体" w:hAnsi="宋体" w:cs="Microsoft Sans Serif"/>
          <w:color w:val="auto"/>
          <w:kern w:val="0"/>
          <w:szCs w:val="21"/>
          <w:highlight w:val="none"/>
          <w:u w:val="single"/>
          <w:lang w:val="en-US" w:eastAsia="zh-CN"/>
        </w:rPr>
        <w:t>2024</w:t>
      </w:r>
      <w:r>
        <w:rPr>
          <w:rFonts w:hint="eastAsia" w:ascii="宋体" w:hAnsi="宋体" w:cs="Microsoft Sans Serif"/>
          <w:color w:val="auto"/>
          <w:kern w:val="0"/>
          <w:szCs w:val="21"/>
          <w:highlight w:val="none"/>
          <w:u w:val="single"/>
        </w:rPr>
        <w:t xml:space="preserve"> 年</w:t>
      </w:r>
      <w:r>
        <w:rPr>
          <w:rFonts w:hint="eastAsia" w:ascii="宋体" w:hAnsi="宋体" w:cs="Microsoft Sans Serif"/>
          <w:color w:val="auto"/>
          <w:kern w:val="0"/>
          <w:szCs w:val="21"/>
          <w:highlight w:val="none"/>
          <w:u w:val="single"/>
          <w:lang w:val="en-US" w:eastAsia="zh-CN"/>
        </w:rPr>
        <w:t>12</w:t>
      </w:r>
      <w:r>
        <w:rPr>
          <w:rFonts w:hint="eastAsia" w:ascii="宋体" w:hAnsi="宋体" w:cs="Microsoft Sans Serif"/>
          <w:color w:val="auto"/>
          <w:kern w:val="0"/>
          <w:szCs w:val="21"/>
          <w:highlight w:val="none"/>
          <w:u w:val="single"/>
        </w:rPr>
        <w:t xml:space="preserve">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u w:val="single"/>
        </w:rPr>
        <w:t>；逾期天数超过56天的，超过部分天数按上述利率的两倍计算并支付违约金</w:t>
      </w:r>
      <w:r>
        <w:rPr>
          <w:rFonts w:hint="eastAsia" w:ascii="宋体" w:hAnsi="宋体" w:cs="Microsoft Sans Serif"/>
          <w:color w:val="auto"/>
          <w:kern w:val="0"/>
          <w:szCs w:val="21"/>
          <w:highlight w:val="none"/>
        </w:rPr>
        <w:t>。</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（7）发包人违反合同约定，自行实施或转由他人实施被取消的合同工作内容的违约责任：由发包人承担由此给承包人造成的实际损失并支付合理利润。</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（9）因发包人原因造成工程质量未达到合同约定标准的，由发包人承担由此增加的费用和（或）延误的工期，并支付合理利润。</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（10）因发包人违反合同约定造成暂停施工的违约责任：由发包人承担由此增加的费用和（或）顺延工期，并支付合理利润，具体索赔程序按照第19条〔索赔〕约定执行。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olor w:val="auto"/>
          <w:szCs w:val="21"/>
          <w:highlight w:val="none"/>
        </w:rPr>
        <w:t>（13）</w:t>
      </w:r>
      <w:r>
        <w:rPr>
          <w:rFonts w:hint="eastAsia" w:ascii="宋体" w:hAnsi="宋体" w:cs="Microsoft Sans Serif"/>
          <w:color w:val="auto"/>
          <w:kern w:val="0"/>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color w:val="auto"/>
          <w:kern w:val="0"/>
          <w:szCs w:val="21"/>
          <w:highlight w:val="none"/>
          <w:u w:val="single"/>
        </w:rPr>
        <w:t xml:space="preserve">计算公式：违约金=应退未退担保金额×中国人民银行 </w:t>
      </w:r>
      <w:r>
        <w:rPr>
          <w:rFonts w:hint="eastAsia" w:ascii="宋体" w:hAnsi="宋体" w:cs="Microsoft Sans Serif"/>
          <w:color w:val="auto"/>
          <w:kern w:val="0"/>
          <w:szCs w:val="21"/>
          <w:highlight w:val="none"/>
          <w:u w:val="single"/>
          <w:lang w:val="en-US" w:eastAsia="zh-CN"/>
        </w:rPr>
        <w:t>2024</w:t>
      </w:r>
      <w:r>
        <w:rPr>
          <w:rFonts w:hint="eastAsia" w:ascii="宋体" w:hAnsi="宋体" w:cs="Microsoft Sans Serif"/>
          <w:color w:val="auto"/>
          <w:kern w:val="0"/>
          <w:szCs w:val="21"/>
          <w:highlight w:val="none"/>
          <w:u w:val="single"/>
        </w:rPr>
        <w:t xml:space="preserve"> 年</w:t>
      </w:r>
      <w:r>
        <w:rPr>
          <w:rFonts w:hint="eastAsia" w:ascii="宋体" w:hAnsi="宋体" w:cs="Microsoft Sans Serif"/>
          <w:color w:val="auto"/>
          <w:kern w:val="0"/>
          <w:szCs w:val="21"/>
          <w:highlight w:val="none"/>
          <w:u w:val="single"/>
          <w:lang w:val="en-US" w:eastAsia="zh-CN"/>
        </w:rPr>
        <w:t>12</w:t>
      </w:r>
      <w:r>
        <w:rPr>
          <w:rFonts w:hint="eastAsia" w:ascii="宋体" w:hAnsi="宋体" w:cs="Microsoft Sans Serif"/>
          <w:color w:val="auto"/>
          <w:kern w:val="0"/>
          <w:szCs w:val="21"/>
          <w:highlight w:val="none"/>
          <w:u w:val="single"/>
        </w:rPr>
        <w:t xml:space="preserve">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rPr>
        <w:t>。</w:t>
      </w:r>
    </w:p>
    <w:p>
      <w:pPr>
        <w:pStyle w:val="2"/>
        <w:spacing w:after="0"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w:t>
      </w:r>
      <w:r>
        <w:rPr>
          <w:rFonts w:hint="eastAsia" w:ascii="宋体" w:hAnsi="宋体"/>
          <w:color w:val="auto"/>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宋体" w:hAnsi="宋体"/>
          <w:color w:val="auto"/>
          <w:szCs w:val="21"/>
          <w:highlight w:val="none"/>
          <w:u w:val="single"/>
        </w:rPr>
        <w:t xml:space="preserve">计算公式：违约金=不当提取的担保金额×中国人民银行 </w:t>
      </w:r>
      <w:r>
        <w:rPr>
          <w:rFonts w:hint="eastAsia" w:ascii="宋体" w:hAnsi="宋体"/>
          <w:color w:val="auto"/>
          <w:szCs w:val="21"/>
          <w:highlight w:val="none"/>
          <w:u w:val="single"/>
          <w:lang w:val="en-US" w:eastAsia="zh-CN"/>
        </w:rPr>
        <w:t>2024</w:t>
      </w:r>
      <w:r>
        <w:rPr>
          <w:rFonts w:hint="eastAsia" w:ascii="宋体" w:hAnsi="宋体"/>
          <w:color w:val="auto"/>
          <w:szCs w:val="21"/>
          <w:highlight w:val="none"/>
          <w:u w:val="single"/>
        </w:rPr>
        <w:t xml:space="preserve"> 年 </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 xml:space="preserve"> 月公布的5年期贷款市场报价利率/360天×逾期天数（自第29天起计算）</w:t>
      </w:r>
      <w:r>
        <w:rPr>
          <w:rFonts w:hint="eastAsia" w:ascii="宋体" w:hAnsi="宋体"/>
          <w:color w:val="auto"/>
          <w:szCs w:val="21"/>
          <w:highlight w:val="none"/>
        </w:rPr>
        <w:t>。</w:t>
      </w:r>
    </w:p>
    <w:p>
      <w:pPr>
        <w:pStyle w:val="2"/>
        <w:spacing w:after="0"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（16）由于发包人原因对承包人造成的人员人身伤亡和财产损失的，由发包人负责赔偿，并承担由此增加的费用和（或）延误的工期，并支付合理利润。</w:t>
      </w:r>
    </w:p>
    <w:p>
      <w:pPr>
        <w:spacing w:line="360" w:lineRule="auto"/>
        <w:ind w:firstLine="420" w:firstLineChars="200"/>
        <w:jc w:val="left"/>
        <w:rPr>
          <w:rFonts w:hint="default" w:ascii="宋体" w:hAnsi="宋体" w:eastAsia="宋体" w:cs="Microsoft Sans Serif"/>
          <w:color w:val="auto"/>
          <w:kern w:val="0"/>
          <w:szCs w:val="21"/>
          <w:highlight w:val="none"/>
          <w:u w:val="single"/>
          <w:lang w:val="en-US" w:eastAsia="zh-CN"/>
        </w:rPr>
      </w:pPr>
      <w:r>
        <w:rPr>
          <w:rFonts w:hint="eastAsia" w:ascii="宋体" w:hAnsi="宋体" w:cs="Microsoft Sans Serif"/>
          <w:color w:val="auto"/>
          <w:kern w:val="0"/>
          <w:szCs w:val="21"/>
          <w:highlight w:val="none"/>
        </w:rPr>
        <w:t>（17）发包人未按合同约定办理保险的违约责任：</w:t>
      </w:r>
      <w:r>
        <w:rPr>
          <w:rFonts w:hint="eastAsia" w:ascii="宋体" w:hAnsi="宋体" w:cs="Microsoft Sans Serif"/>
          <w:color w:val="auto"/>
          <w:kern w:val="0"/>
          <w:szCs w:val="21"/>
          <w:highlight w:val="none"/>
          <w:u w:val="single"/>
          <w:lang w:val="en-US" w:eastAsia="zh-CN"/>
        </w:rPr>
        <w:t>/</w:t>
      </w:r>
      <w:r>
        <w:rPr>
          <w:rFonts w:hint="eastAsia" w:ascii="宋体" w:hAnsi="宋体" w:cs="Microsoft Sans Serif"/>
          <w:color w:val="auto"/>
          <w:kern w:val="0"/>
          <w:szCs w:val="21"/>
          <w:highlight w:val="none"/>
          <w:u w:val="none"/>
          <w:lang w:val="en-US" w:eastAsia="zh-CN"/>
        </w:rPr>
        <w:t>。</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（18）其他：</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 因发包人违约解除合同</w:t>
      </w:r>
    </w:p>
    <w:p>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因发包人违约并致使合同目的不能实现的，承包人有权解除合同：</w:t>
      </w:r>
    </w:p>
    <w:p>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（1）因发包人原因延迟支付合同价款超过180天的；</w:t>
      </w:r>
    </w:p>
    <w:p>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（2）因发包人原因导致工期延误超过90天的；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（3）因发包人第16.1.2（5）违约情形导致暂停施工满56天，且发包人仍未纠正其违约行为的；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（4）其他未履行合同项下的义务构成对合同的实质性违约，并且在收到承包人要求说明其违约并予以补救的通知后56天内仍未补救该实质性违约的；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合同约定的承包人有权解除合同的其他情形</w:t>
      </w:r>
      <w:r>
        <w:rPr>
          <w:rFonts w:hint="eastAsia" w:ascii="宋体" w:hAnsi="宋体" w:cs="Microsoft Sans Serif"/>
          <w:color w:val="auto"/>
          <w:kern w:val="0"/>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16.1.4 因发包人违约解除合同后的付款</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承包人按照本款约定解除合同的，发包人应在解除合同后28天内支付下列款项，并解除履约担保、低价风险担保、预付款担保：</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（1）合同解除前所完成工作的价款；</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（2）承包人为工程施工订购并已付款的材料、工程设备和其他物品的价款；</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（3）承包人撤离施工现场以及遣散承包人人员的款项；</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（4）按照合同约定在合同解除前应支付的违约金；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（5）按照合同约定应当支付给承包人的其他款项；</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（6）按照合同约定应退还的质量保证金；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（7）因解除合同给承包人造成的损失；</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w:t>
      </w:r>
      <w:r>
        <w:rPr>
          <w:rFonts w:hint="eastAsia" w:ascii="宋体" w:hAnsi="宋体" w:cs="Microsoft Sans Serif"/>
          <w:color w:val="auto"/>
          <w:kern w:val="0"/>
          <w:szCs w:val="21"/>
          <w:highlight w:val="none"/>
          <w:u w:val="single"/>
        </w:rPr>
        <w:t xml:space="preserve">        。</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合同当事人未能就解除合同后的结清达成一致的，按照第20条〔争议解决〕的约定处理。</w:t>
      </w:r>
    </w:p>
    <w:p>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color w:val="auto"/>
          <w:sz w:val="21"/>
          <w:szCs w:val="21"/>
          <w:highlight w:val="none"/>
        </w:rPr>
      </w:pPr>
      <w:bookmarkStart w:id="1857" w:name="_Toc532377403"/>
      <w:r>
        <w:rPr>
          <w:rFonts w:hint="eastAsia"/>
          <w:color w:val="auto"/>
          <w:sz w:val="21"/>
          <w:szCs w:val="21"/>
          <w:highlight w:val="none"/>
        </w:rPr>
        <w:t>16.2 承包人违约</w:t>
      </w:r>
      <w:bookmarkEnd w:id="1857"/>
    </w:p>
    <w:p>
      <w:pPr>
        <w:snapToGrid w:val="0"/>
        <w:spacing w:line="360" w:lineRule="auto"/>
        <w:ind w:firstLine="420" w:firstLineChars="200"/>
        <w:jc w:val="left"/>
        <w:rPr>
          <w:rFonts w:ascii="宋体" w:hAnsi="宋体" w:cs="Microsoft Sans Serif"/>
          <w:color w:val="auto"/>
          <w:kern w:val="0"/>
          <w:szCs w:val="21"/>
          <w:highlight w:val="none"/>
        </w:rPr>
      </w:pPr>
      <w:bookmarkStart w:id="1858" w:name="_Hlk524380579"/>
      <w:r>
        <w:rPr>
          <w:rFonts w:hint="eastAsia" w:ascii="宋体" w:hAnsi="宋体" w:cs="Microsoft Sans Serif"/>
          <w:color w:val="auto"/>
          <w:kern w:val="0"/>
          <w:szCs w:val="21"/>
          <w:highlight w:val="none"/>
        </w:rPr>
        <w:t>16.2.1 承包人违约的情形</w:t>
      </w:r>
    </w:p>
    <w:p>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除通用合同条款约定外，承包人违约的其他情形：</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（1）承包人未按合同约定提交履约担保或质量保证金的；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（2）承包人未能按期开工的；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（3）承包人未按投标文件或监理人的要求及时配备称职的主要管理人员，或承包人未按经审定的施工组织设计配备或更换关键施工设备的；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（4）承包人有安全问题或有违反安全管理规章制度情况的；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（5）承包人在缺陷责任期及保修期内，未能在合理期限对工程缺陷进行修复，或拒绝按发包人要求进行修复的；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（7）承包人不配合发包人、监理人及发包人委托的工程造价咨询服务单位结算审核或承包人其他原因导致未按期完成工程竣工结算的；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（8）承包人违反合同约定进行转包或违法分包的；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（9）承包人未按合同约定移交全部或部分工作的；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（10）承包人未按合同约定购买保险的；</w:t>
      </w:r>
    </w:p>
    <w:p>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（11）项目经理若有以下情形，属于承包人违约：</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1）项目经理不按承诺到岗的；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2）每月在施工现场的天数少于约定天数的；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3）承包人未提交项目经理劳动合同和社会保险证明的；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5）未经批准，擅自变更项目经理的；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6）按照渝建发〔2015〕35号文的要求，施工期间，项目经理因在一个记分周期内累计记分达到12分，被建设行政主管部门依法责令停止执业的；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7）发包人有正当理由认为项目经理不称职/不履职，且承包人在约定时间内不予更换的；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（12）技术负责人若有以下情形，属于承包人违约：</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1）每月在施工现场的天数少于约定天数的；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2）承包人未提交技术负责人劳动合同和社会保险证明的；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4）未经批准，擅自变更技术负责人的；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5）发包人有正当理由认为技术负责人不称职/不履职，且承包人在约定时间内不予更换的；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（13）主要施工管理人员若有以下情形，属于承包人违约：</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1）承包人未提交主要管理人员劳动合同和社会保险证明的；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3）未经批准，擅自变更主要施工管理人员的；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4）发包人有正当理由认为主要施工管理人员不称职/不履职，且承包人在约定时间内不予更换的；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w:t>
      </w:r>
      <w:r>
        <w:rPr>
          <w:rFonts w:hint="eastAsia" w:ascii="宋体" w:hAnsi="宋体" w:cs="Microsoft Sans Serif"/>
          <w:color w:val="auto"/>
          <w:kern w:val="0"/>
          <w:szCs w:val="21"/>
          <w:highlight w:val="none"/>
          <w:u w:val="single"/>
        </w:rPr>
        <w:t xml:space="preserve">        。</w:t>
      </w:r>
    </w:p>
    <w:bookmarkEnd w:id="1858"/>
    <w:p>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16.2.2 承包人违约的责任</w:t>
      </w:r>
    </w:p>
    <w:p>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承包人违约责任的承担方式和计算方法：</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（1）承包人未按合同约定提交履约担保、质量保证金的违约责任：承包人应支付违约金，</w:t>
      </w:r>
      <w:r>
        <w:rPr>
          <w:rFonts w:hint="eastAsia" w:ascii="宋体" w:hAnsi="宋体" w:cs="Microsoft Sans Serif"/>
          <w:color w:val="auto"/>
          <w:szCs w:val="21"/>
          <w:highlight w:val="none"/>
        </w:rPr>
        <w:t>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5000元/天</w:t>
      </w:r>
      <w:r>
        <w:rPr>
          <w:rFonts w:hint="eastAsia" w:ascii="宋体" w:hAnsi="宋体" w:cs="Microsoft Sans Serif"/>
          <w:color w:val="auto"/>
          <w:kern w:val="0"/>
          <w:szCs w:val="21"/>
          <w:highlight w:val="none"/>
        </w:rPr>
        <w:t>计算违约金，累计违约金上限：</w:t>
      </w:r>
      <w:r>
        <w:rPr>
          <w:rFonts w:hint="eastAsia" w:ascii="宋体" w:hAnsi="宋体" w:cs="Microsoft Sans Serif"/>
          <w:color w:val="auto"/>
          <w:kern w:val="0"/>
          <w:szCs w:val="21"/>
          <w:highlight w:val="none"/>
          <w:u w:val="single"/>
        </w:rPr>
        <w:t xml:space="preserve">  不超过签约合同价的3%</w:t>
      </w:r>
      <w:r>
        <w:rPr>
          <w:rFonts w:hint="eastAsia" w:ascii="宋体" w:hAnsi="宋体" w:cs="Microsoft Sans Serif"/>
          <w:color w:val="auto"/>
          <w:kern w:val="0"/>
          <w:szCs w:val="21"/>
          <w:highlight w:val="none"/>
          <w:u w:val="single"/>
          <w:lang w:val="en-US" w:eastAsia="zh-CN"/>
        </w:rPr>
        <w:t xml:space="preserve"> </w:t>
      </w:r>
      <w:r>
        <w:rPr>
          <w:rFonts w:hint="eastAsia" w:ascii="宋体" w:hAnsi="宋体" w:cs="Microsoft Sans Serif"/>
          <w:color w:val="auto"/>
          <w:kern w:val="0"/>
          <w:szCs w:val="21"/>
          <w:highlight w:val="none"/>
          <w:lang w:val="zh-CN"/>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highlight w:val="none"/>
          <w:u w:val="single"/>
        </w:rPr>
        <w:t xml:space="preserve">  10%</w:t>
      </w:r>
      <w:r>
        <w:rPr>
          <w:rFonts w:hint="eastAsia" w:ascii="宋体" w:hAnsi="宋体" w:cs="Microsoft Sans Serif"/>
          <w:color w:val="auto"/>
          <w:kern w:val="0"/>
          <w:szCs w:val="21"/>
          <w:highlight w:val="none"/>
          <w:u w:val="single"/>
          <w:lang w:val="en-US" w:eastAsia="zh-CN"/>
        </w:rPr>
        <w:t xml:space="preserve"> </w:t>
      </w:r>
      <w:r>
        <w:rPr>
          <w:rFonts w:hint="eastAsia" w:ascii="宋体" w:hAnsi="宋体" w:cs="Microsoft Sans Serif"/>
          <w:color w:val="auto"/>
          <w:kern w:val="0"/>
          <w:szCs w:val="21"/>
          <w:highlight w:val="none"/>
        </w:rPr>
        <w:t>支付违约金，违法转/分包商应在7天内撤离出场。</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highlight w:val="none"/>
          <w:u w:val="single"/>
        </w:rPr>
        <w:t xml:space="preserve">  10%</w:t>
      </w:r>
      <w:r>
        <w:rPr>
          <w:rFonts w:hint="eastAsia" w:ascii="宋体" w:hAnsi="宋体" w:cs="Microsoft Sans Serif"/>
          <w:color w:val="auto"/>
          <w:kern w:val="0"/>
          <w:szCs w:val="21"/>
          <w:highlight w:val="none"/>
          <w:u w:val="single"/>
          <w:lang w:val="en-US" w:eastAsia="zh-CN"/>
        </w:rPr>
        <w:t xml:space="preserve"> </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highlight w:val="none"/>
          <w:u w:val="single"/>
        </w:rPr>
        <w:t xml:space="preserve">  10%</w:t>
      </w:r>
      <w:r>
        <w:rPr>
          <w:rFonts w:hint="eastAsia" w:ascii="宋体" w:hAnsi="宋体" w:cs="Microsoft Sans Serif"/>
          <w:color w:val="auto"/>
          <w:kern w:val="0"/>
          <w:szCs w:val="21"/>
          <w:highlight w:val="none"/>
          <w:u w:val="single"/>
          <w:lang w:val="en-US" w:eastAsia="zh-CN"/>
        </w:rPr>
        <w:t xml:space="preserve"> </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highlight w:val="none"/>
          <w:u w:val="single"/>
        </w:rPr>
        <w:t xml:space="preserve">  5</w:t>
      </w:r>
      <w:r>
        <w:rPr>
          <w:rFonts w:hint="eastAsia" w:ascii="宋体" w:hAnsi="宋体" w:cs="Microsoft Sans Serif"/>
          <w:color w:val="auto"/>
          <w:kern w:val="0"/>
          <w:szCs w:val="21"/>
          <w:highlight w:val="none"/>
          <w:u w:val="single"/>
          <w:lang w:val="en-US" w:eastAsia="zh-CN"/>
        </w:rPr>
        <w:t xml:space="preserve">  </w:t>
      </w:r>
      <w:r>
        <w:rPr>
          <w:rFonts w:hint="eastAsia"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（6）因承包人原因造成工期延误的违约承担方式和计算方法：由承包人承担由此增加的费用，</w:t>
      </w:r>
      <w:r>
        <w:rPr>
          <w:rFonts w:hint="eastAsia" w:ascii="宋体" w:hAnsi="宋体" w:cs="Microsoft Sans Serif"/>
          <w:color w:val="auto"/>
          <w:szCs w:val="21"/>
          <w:highlight w:val="none"/>
        </w:rPr>
        <w:t>由此导致工期延误的，工期不予顺延；逾期竣工违约金的计算方法：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5000元/天</w:t>
      </w:r>
      <w:r>
        <w:rPr>
          <w:rFonts w:hint="eastAsia" w:ascii="宋体" w:hAnsi="宋体" w:cs="Microsoft Sans Serif"/>
          <w:color w:val="auto"/>
          <w:kern w:val="0"/>
          <w:szCs w:val="21"/>
          <w:highlight w:val="none"/>
        </w:rPr>
        <w:t>计算逾期竣工违约金，累计违约金上限：</w:t>
      </w:r>
      <w:r>
        <w:rPr>
          <w:rFonts w:hint="eastAsia" w:ascii="宋体" w:hAnsi="宋体" w:cs="Microsoft Sans Serif"/>
          <w:color w:val="auto"/>
          <w:kern w:val="0"/>
          <w:szCs w:val="21"/>
          <w:highlight w:val="none"/>
          <w:u w:val="single"/>
        </w:rPr>
        <w:t xml:space="preserve">  不超过签约合同价的3</w:t>
      </w:r>
      <w:r>
        <w:rPr>
          <w:rFonts w:hint="eastAsia" w:ascii="宋体" w:hAnsi="宋体" w:cs="Microsoft Sans Serif"/>
          <w:color w:val="auto"/>
          <w:kern w:val="0"/>
          <w:szCs w:val="21"/>
          <w:highlight w:val="none"/>
        </w:rPr>
        <w:t>%</w:t>
      </w:r>
      <w:r>
        <w:rPr>
          <w:rFonts w:hint="eastAsia" w:ascii="宋体" w:hAnsi="宋体" w:cs="Microsoft Sans Serif"/>
          <w:color w:val="auto"/>
          <w:kern w:val="0"/>
          <w:szCs w:val="21"/>
          <w:highlight w:val="none"/>
          <w:lang w:val="zh-CN"/>
        </w:rPr>
        <w:t>；</w:t>
      </w:r>
      <w:r>
        <w:rPr>
          <w:rFonts w:hint="eastAsia" w:ascii="宋体" w:hAnsi="宋体" w:cs="Microsoft Sans Serif"/>
          <w:color w:val="auto"/>
          <w:kern w:val="0"/>
          <w:szCs w:val="21"/>
          <w:highlight w:val="none"/>
        </w:rPr>
        <w:t>承包人支付逾期竣工违约金后，不免除承包人继续完成工程及修补缺陷的义务。</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highlight w:val="none"/>
          <w:u w:val="single"/>
        </w:rPr>
        <w:t xml:space="preserve">  2%</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（8）承包人明确表示或者以其行为表明不履行合同主要义务的违约责任：按签约合同价的</w:t>
      </w:r>
      <w:r>
        <w:rPr>
          <w:rFonts w:hint="eastAsia" w:ascii="宋体" w:hAnsi="宋体" w:cs="Microsoft Sans Serif"/>
          <w:color w:val="auto"/>
          <w:kern w:val="0"/>
          <w:szCs w:val="21"/>
          <w:highlight w:val="none"/>
          <w:u w:val="single"/>
        </w:rPr>
        <w:t xml:space="preserve">  10%</w:t>
      </w:r>
      <w:r>
        <w:rPr>
          <w:rFonts w:hint="eastAsia" w:ascii="宋体" w:hAnsi="宋体" w:cs="Microsoft Sans Serif"/>
          <w:color w:val="auto"/>
          <w:kern w:val="0"/>
          <w:szCs w:val="21"/>
          <w:highlight w:val="none"/>
          <w:u w:val="single"/>
          <w:lang w:val="en-US" w:eastAsia="zh-CN"/>
        </w:rPr>
        <w:t xml:space="preserve"> </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（9）承包人未能按照合同约定履行其他义务的违约责任：按</w:t>
      </w:r>
      <w:r>
        <w:rPr>
          <w:rFonts w:hint="eastAsia" w:ascii="宋体" w:hAnsi="宋体" w:cs="Microsoft Sans Serif"/>
          <w:color w:val="auto"/>
          <w:kern w:val="0"/>
          <w:szCs w:val="21"/>
          <w:highlight w:val="none"/>
          <w:u w:val="single"/>
          <w:lang w:val="en-US" w:eastAsia="zh-CN"/>
        </w:rPr>
        <w:t>5000</w:t>
      </w:r>
      <w:r>
        <w:rPr>
          <w:rFonts w:hint="eastAsia" w:ascii="宋体" w:hAnsi="宋体" w:cs="Microsoft Sans Serif"/>
          <w:color w:val="auto"/>
          <w:kern w:val="0"/>
          <w:szCs w:val="21"/>
          <w:highlight w:val="none"/>
          <w:u w:val="single"/>
        </w:rPr>
        <w:t>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（10）承包人未能按期开工的违约责任：按合同价</w:t>
      </w:r>
      <w:r>
        <w:rPr>
          <w:rFonts w:hint="eastAsia" w:ascii="宋体" w:hAnsi="宋体" w:cs="Microsoft Sans Serif"/>
          <w:color w:val="auto"/>
          <w:kern w:val="0"/>
          <w:szCs w:val="21"/>
          <w:highlight w:val="none"/>
          <w:u w:val="single"/>
        </w:rPr>
        <w:t>0.2‰/天</w:t>
      </w:r>
      <w:r>
        <w:rPr>
          <w:rFonts w:hint="eastAsia" w:ascii="宋体" w:hAnsi="宋体" w:cs="Microsoft Sans Serif"/>
          <w:color w:val="auto"/>
          <w:kern w:val="0"/>
          <w:szCs w:val="21"/>
          <w:highlight w:val="none"/>
        </w:rPr>
        <w:t>支付违约金，本项违约金累计限额为签约合同价的</w:t>
      </w:r>
      <w:r>
        <w:rPr>
          <w:rFonts w:hint="eastAsia" w:ascii="宋体" w:hAnsi="宋体" w:cs="Microsoft Sans Serif"/>
          <w:color w:val="auto"/>
          <w:kern w:val="0"/>
          <w:szCs w:val="21"/>
          <w:highlight w:val="none"/>
          <w:u w:val="single"/>
        </w:rPr>
        <w:t xml:space="preserve"> 1 %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（11）承包人未按经审定的施工组织设计配备或更换关键施工设备的违约责任：按</w:t>
      </w:r>
      <w:r>
        <w:rPr>
          <w:rFonts w:hint="eastAsia" w:ascii="宋体" w:hAnsi="宋体" w:cs="Microsoft Sans Serif"/>
          <w:color w:val="auto"/>
          <w:kern w:val="0"/>
          <w:szCs w:val="21"/>
          <w:highlight w:val="none"/>
          <w:u w:val="single"/>
        </w:rPr>
        <w:t xml:space="preserve">  （5000～50000）元/台·次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（12）承包人有安全问题或有违反安全管理规章制度情况的违约责任：根据具体情节，按签约合同价的</w:t>
      </w:r>
      <w:r>
        <w:rPr>
          <w:rFonts w:hint="eastAsia" w:ascii="宋体" w:hAnsi="宋体" w:cs="Microsoft Sans Serif"/>
          <w:color w:val="auto"/>
          <w:kern w:val="0"/>
          <w:szCs w:val="21"/>
          <w:highlight w:val="none"/>
          <w:u w:val="single"/>
        </w:rPr>
        <w:t>0.5‰～4‰/次</w:t>
      </w:r>
      <w:r>
        <w:rPr>
          <w:rFonts w:hint="eastAsia" w:ascii="宋体" w:hAnsi="宋体" w:cs="Microsoft Sans Serif"/>
          <w:color w:val="auto"/>
          <w:kern w:val="0"/>
          <w:szCs w:val="21"/>
          <w:highlight w:val="none"/>
        </w:rPr>
        <w:t>支付违约金（累计不超过签约合同价的1%，详见附件9安全管理协议）。</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highlight w:val="none"/>
          <w:u w:val="single"/>
        </w:rPr>
        <w:t xml:space="preserve">  （50000～200000）元/次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（14）承包人不配合发包人、监理人及发包人委托的工程造价咨询服务单位结算审核的违约责任：根据具体情节，按</w:t>
      </w:r>
      <w:r>
        <w:rPr>
          <w:rFonts w:hint="eastAsia" w:ascii="宋体" w:hAnsi="宋体" w:cs="Microsoft Sans Serif"/>
          <w:color w:val="auto"/>
          <w:kern w:val="0"/>
          <w:szCs w:val="21"/>
          <w:highlight w:val="none"/>
          <w:u w:val="single"/>
        </w:rPr>
        <w:t xml:space="preserve">  （10000～100000）元/次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highlight w:val="none"/>
          <w:u w:val="single"/>
        </w:rPr>
        <w:t>0.5～1‰</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（16）承包人未按合同约定购买保险的违约责任：除按18.6.2项约定执行外，每延迟1天，按</w:t>
      </w:r>
      <w:r>
        <w:rPr>
          <w:rFonts w:hint="eastAsia" w:ascii="宋体" w:hAnsi="宋体" w:cs="Microsoft Sans Serif"/>
          <w:color w:val="auto"/>
          <w:szCs w:val="21"/>
          <w:highlight w:val="none"/>
          <w:u w:val="single"/>
        </w:rPr>
        <w:t>500元/天</w:t>
      </w:r>
      <w:r>
        <w:rPr>
          <w:rFonts w:hint="eastAsia" w:ascii="宋体" w:hAnsi="宋体" w:cs="Microsoft Sans Serif"/>
          <w:color w:val="auto"/>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（17）发生第16.2.1项（11）目、16.2.1项（12）目、16.2.1项（13）目违约情形的违约责任：除承担由此增加的费用和工期延误的责任，承包人应向发包人支付违约金：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1）项目经理违约承担方式和计算方法：对于第16.2.1项（11）目的情形，每发现一次，根据具体情节，按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计算违约金；项目经理不按承诺到岗的（</w:t>
      </w:r>
      <w:r>
        <w:rPr>
          <w:rFonts w:ascii="宋体" w:hAnsi="宋体" w:cs="Microsoft Sans Serif"/>
          <w:color w:val="auto"/>
          <w:kern w:val="0"/>
          <w:szCs w:val="21"/>
          <w:highlight w:val="none"/>
        </w:rPr>
        <w:t>3.2.3项约定的情形除外</w:t>
      </w:r>
      <w:r>
        <w:rPr>
          <w:rFonts w:hint="eastAsia" w:ascii="宋体" w:hAnsi="宋体" w:cs="Microsoft Sans Serif"/>
          <w:color w:val="auto"/>
          <w:kern w:val="0"/>
          <w:szCs w:val="21"/>
          <w:highlight w:val="none"/>
        </w:rPr>
        <w:t>），按履约保证金的</w:t>
      </w:r>
      <w:r>
        <w:rPr>
          <w:rFonts w:hint="eastAsia" w:ascii="宋体" w:hAnsi="宋体" w:cs="Microsoft Sans Serif"/>
          <w:color w:val="auto"/>
          <w:kern w:val="0"/>
          <w:szCs w:val="21"/>
          <w:highlight w:val="none"/>
          <w:u w:val="single"/>
        </w:rPr>
        <w:t>（50～100）%</w:t>
      </w:r>
      <w:r>
        <w:rPr>
          <w:rFonts w:hint="eastAsia" w:ascii="宋体" w:hAnsi="宋体" w:cs="Microsoft Sans Serif"/>
          <w:color w:val="auto"/>
          <w:kern w:val="0"/>
          <w:szCs w:val="21"/>
          <w:highlight w:val="none"/>
        </w:rPr>
        <w:t>支付违约金，并解除合同；擅自更换项目经理的，按签约合同价的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w:t>
      </w:r>
      <w:r>
        <w:rPr>
          <w:rFonts w:hint="eastAsia" w:ascii="宋体" w:hAnsi="宋体" w:cs="Microsoft Sans Serif"/>
          <w:color w:val="auto"/>
          <w:kern w:val="0"/>
          <w:szCs w:val="21"/>
          <w:highlight w:val="none"/>
        </w:rPr>
        <w:t>万，累计不超过</w:t>
      </w:r>
      <w:r>
        <w:rPr>
          <w:rFonts w:hint="eastAsia" w:ascii="宋体" w:hAnsi="宋体" w:cs="Microsoft Sans Serif"/>
          <w:color w:val="auto"/>
          <w:kern w:val="0"/>
          <w:szCs w:val="21"/>
          <w:highlight w:val="none"/>
          <w:u w:val="single"/>
        </w:rPr>
        <w:t>200</w:t>
      </w:r>
      <w:r>
        <w:rPr>
          <w:rFonts w:hint="eastAsia" w:ascii="宋体" w:hAnsi="宋体" w:cs="Microsoft Sans Serif"/>
          <w:color w:val="auto"/>
          <w:kern w:val="0"/>
          <w:szCs w:val="21"/>
          <w:highlight w:val="none"/>
        </w:rPr>
        <w:t>万。</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2）主要技术负责人违约承担方式和计算方法：对于第16.2.1项（12）目的六种情形，每发现一次，根据具体情节，按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计算违约金；擅自更换主要技术负责人的，按签约合同价的</w:t>
      </w:r>
      <w:r>
        <w:rPr>
          <w:rFonts w:hint="eastAsia" w:ascii="宋体" w:hAnsi="宋体" w:cs="Microsoft Sans Serif"/>
          <w:color w:val="auto"/>
          <w:kern w:val="0"/>
          <w:szCs w:val="21"/>
          <w:highlight w:val="none"/>
          <w:u w:val="single"/>
        </w:rPr>
        <w:t>（0.5～2）%/人·次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10万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100万</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3）主要施工管理人员违约承担方式和计算方法：对于第16.2.1项（13）目的五种情形，每发现一次，根据具体情节，按</w:t>
      </w:r>
      <w:r>
        <w:rPr>
          <w:rFonts w:hint="eastAsia" w:ascii="宋体" w:hAnsi="宋体" w:cs="Microsoft Sans Serif"/>
          <w:color w:val="auto"/>
          <w:kern w:val="0"/>
          <w:szCs w:val="21"/>
          <w:highlight w:val="none"/>
          <w:u w:val="single"/>
        </w:rPr>
        <w:t>500～10000元/天·次</w:t>
      </w:r>
      <w:r>
        <w:rPr>
          <w:rFonts w:hint="eastAsia" w:ascii="宋体" w:hAnsi="宋体" w:cs="Microsoft Sans Serif"/>
          <w:color w:val="auto"/>
          <w:kern w:val="0"/>
          <w:szCs w:val="21"/>
          <w:highlight w:val="none"/>
        </w:rPr>
        <w:t>计算违约金。</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（18）发包人不定期对承包人的工程全部资料进行检查，每发现一次工程资料未与工程建设同步的，第一次处罚2000元，第二次处罚4000元，以此类推，加倍处罚。工程完工验收合格后15天内，承包人未把工程</w:t>
      </w:r>
      <w:r>
        <w:rPr>
          <w:rFonts w:hint="eastAsia" w:ascii="宋体" w:hAnsi="宋体" w:cs="Microsoft Sans Serif"/>
          <w:color w:val="auto"/>
          <w:kern w:val="0"/>
          <w:szCs w:val="21"/>
          <w:highlight w:val="none"/>
          <w:lang w:eastAsia="zh-CN"/>
        </w:rPr>
        <w:t>全部</w:t>
      </w:r>
      <w:r>
        <w:rPr>
          <w:rFonts w:hint="eastAsia" w:ascii="宋体" w:hAnsi="宋体" w:cs="Microsoft Sans Serif"/>
          <w:color w:val="auto"/>
          <w:kern w:val="0"/>
          <w:szCs w:val="21"/>
          <w:highlight w:val="none"/>
        </w:rPr>
        <w:t>资料（包括但不限于结算资料、过程资料）移交给发包人，一次性处罚5000天，且如果发生超期情形，每天按500元/天叠加处罚。</w:t>
      </w:r>
      <w:bookmarkStart w:id="1859" w:name="_Hlk524380347"/>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highlight w:val="none"/>
        </w:rPr>
        <w:t>16.2.2项第（1）目承担违约责任</w:t>
      </w:r>
      <w:r>
        <w:rPr>
          <w:rFonts w:hint="eastAsia" w:ascii="宋体" w:hAnsi="宋体" w:cs="Microsoft Sans Serif"/>
          <w:color w:val="auto"/>
          <w:szCs w:val="21"/>
          <w:highlight w:val="none"/>
        </w:rPr>
        <w:t>，并从应付或到期应付给承包人的任何款项中或采用其他方法，扣除该违约金。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highlight w:val="none"/>
        </w:rPr>
        <w:t>，承担由此给</w:t>
      </w:r>
      <w:r>
        <w:rPr>
          <w:rFonts w:hint="eastAsia" w:ascii="宋体" w:hAnsi="宋体" w:cs="Microsoft Sans Serif"/>
          <w:color w:val="auto"/>
          <w:szCs w:val="21"/>
          <w:highlight w:val="none"/>
        </w:rPr>
        <w:t>发包人造成的经济损失。</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承包人承担承包范围的工程质量、安全、环保责任，因承包人原因引起的质量、安全、环保等事故由承包人承担相应的法律后果。</w:t>
      </w:r>
    </w:p>
    <w:bookmarkEnd w:id="1859"/>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16.2.3 因承包人违约解除合同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因承包人违约并致使合同目的不能实现的，发包人有权解除合同：</w:t>
      </w:r>
    </w:p>
    <w:p>
      <w:pPr>
        <w:pStyle w:val="118"/>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（1）未按合同约定延迟提供履约担保、质量保证金超过14天的；</w:t>
      </w:r>
    </w:p>
    <w:p>
      <w:pPr>
        <w:pStyle w:val="118"/>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（2）未按合同约定购买保险且经催告后超过56天的；</w:t>
      </w:r>
    </w:p>
    <w:p>
      <w:pPr>
        <w:pStyle w:val="118"/>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（3）因承包人原因导致开工时间累计延误超过56天的；</w:t>
      </w:r>
    </w:p>
    <w:p>
      <w:pPr>
        <w:pStyle w:val="118"/>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（4）因承包人原因导致工期延误超过90天的；</w:t>
      </w:r>
    </w:p>
    <w:p>
      <w:pPr>
        <w:pStyle w:val="118"/>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（5）发生第21.2款〔退出机制〕约定的情形的；</w:t>
      </w:r>
    </w:p>
    <w:p>
      <w:pPr>
        <w:pStyle w:val="118"/>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（6）监理人发出整改通知后，承包人在监理人限定的期限内仍不纠正违约行为的；</w:t>
      </w:r>
    </w:p>
    <w:p>
      <w:pPr>
        <w:pStyle w:val="118"/>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（7）承包人进入清算或者严重资不抵债且无法履行合同的；</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（8）违反适用法律而被相关政府部门依法吊销营业执照、责令停业、清算或宣布破产、责令关闭的；</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（9）承包人未履行合同项下的义务构成对合同的实质性违约，并且在收到发包人要求说明其违约并予以补救的通知后56天内仍未能补救该实质性违约的；</w:t>
      </w:r>
    </w:p>
    <w:p>
      <w:pPr>
        <w:pStyle w:val="118"/>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w:t>
      </w:r>
      <w:r>
        <w:rPr>
          <w:rFonts w:hint="eastAsia" w:ascii="宋体" w:hAnsi="宋体" w:cs="Microsoft Sans Serif"/>
          <w:color w:val="auto"/>
          <w:kern w:val="0"/>
          <w:sz w:val="21"/>
          <w:szCs w:val="21"/>
          <w:highlight w:val="none"/>
          <w:u w:val="single"/>
        </w:rPr>
        <w:t>合同约定的发包人有权解除合同的其他情形</w:t>
      </w:r>
      <w:r>
        <w:rPr>
          <w:rFonts w:hint="eastAsia" w:ascii="宋体" w:hAnsi="宋体" w:cs="Microsoft Sans Serif"/>
          <w:color w:val="auto"/>
          <w:kern w:val="0"/>
          <w:sz w:val="21"/>
          <w:szCs w:val="21"/>
          <w:highlight w:val="none"/>
        </w:rPr>
        <w:t>。</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16.2.4因承包人违约解除合同后的处理</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因承包人违约导致合同解除的，合同当事人应在合同解除后56天内完成估价、付款和清算，并按以下约定执行：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（1）合同解除后，按第14.2款结算审定方式确定承包人实际完成工作对应的合同价款，以及承包人已提供的材料、工程设备、施工设备和临时工程等的价值；</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（2）合同解除后，承包人应支付违约金；</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（3）合同解除后，赔偿因解除合同给发包人造成的损失；</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（4）合同解除后，承包人应按照发包人要求和监理人的指示完成现场的清理和撤离。</w:t>
      </w:r>
    </w:p>
    <w:p>
      <w:pPr>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846"/>
    <w:bookmarkEnd w:id="1847"/>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860" w:name="_Toc351203649"/>
      <w:bookmarkStart w:id="1861" w:name="_Toc532375665"/>
      <w:bookmarkStart w:id="1862" w:name="_Toc532377404"/>
      <w:bookmarkStart w:id="1863" w:name="_Hlk528928440"/>
      <w:r>
        <w:rPr>
          <w:rFonts w:hint="eastAsia"/>
          <w:color w:val="auto"/>
          <w:kern w:val="2"/>
          <w:sz w:val="21"/>
          <w:szCs w:val="21"/>
          <w:highlight w:val="none"/>
        </w:rPr>
        <w:t>17. 不可抗力</w:t>
      </w:r>
      <w:bookmarkEnd w:id="1860"/>
      <w:bookmarkEnd w:id="1861"/>
      <w:bookmarkEnd w:id="1862"/>
    </w:p>
    <w:p>
      <w:pPr>
        <w:pStyle w:val="7"/>
        <w:spacing w:before="0" w:beforeAutospacing="0" w:after="0" w:afterAutospacing="0" w:line="360" w:lineRule="auto"/>
        <w:ind w:firstLine="422" w:firstLineChars="200"/>
        <w:rPr>
          <w:color w:val="auto"/>
          <w:sz w:val="21"/>
          <w:szCs w:val="21"/>
          <w:highlight w:val="none"/>
        </w:rPr>
      </w:pPr>
      <w:bookmarkStart w:id="1864" w:name="_Toc532377405"/>
      <w:bookmarkStart w:id="1865" w:name="_Toc532375666"/>
      <w:r>
        <w:rPr>
          <w:rFonts w:hint="eastAsia"/>
          <w:color w:val="auto"/>
          <w:sz w:val="21"/>
          <w:szCs w:val="21"/>
          <w:highlight w:val="none"/>
        </w:rPr>
        <w:t>17.1 不可抗力的确认</w:t>
      </w:r>
      <w:bookmarkEnd w:id="1864"/>
      <w:bookmarkEnd w:id="1865"/>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bookmarkStart w:id="1866" w:name="_Hlk524379638"/>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（1）洪水、火山爆发、山崩、山体滑坡、泥石流、龙卷风、隧道内不可预测的突发性地质灾害等自然灾害；</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（2）骚乱、戒严、封锁、禁运、恐怖行为、等社会行为，但承包人或其分包人派遣与雇佣的人员由于合同工程施工原因引起的除外；</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（3）不能合理预见的重大交通阻滞、停运、交通事故，非双方责任引起的火灾、爆炸、船舶撞击等情形；</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（4）化学或放射性污染或核辐射；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（5）环保治理等政府行为导致项目停工的。</w:t>
      </w:r>
      <w:bookmarkEnd w:id="1866"/>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867" w:name="_Toc351203610"/>
      <w:bookmarkStart w:id="1868" w:name="_Toc532375667"/>
      <w:bookmarkStart w:id="1869" w:name="_Toc532377406"/>
      <w:bookmarkStart w:id="1870" w:name="_Toc296503119"/>
      <w:bookmarkStart w:id="1871" w:name="_Toc296346620"/>
      <w:bookmarkStart w:id="1872" w:name="_Toc337558826"/>
      <w:r>
        <w:rPr>
          <w:rFonts w:hint="eastAsia"/>
          <w:color w:val="auto"/>
          <w:sz w:val="21"/>
          <w:szCs w:val="21"/>
          <w:highlight w:val="none"/>
        </w:rPr>
        <w:t>17.3 不可抗力后果的承担</w:t>
      </w:r>
      <w:bookmarkEnd w:id="1867"/>
      <w:bookmarkEnd w:id="1868"/>
      <w:bookmarkEnd w:id="1869"/>
    </w:p>
    <w:bookmarkEnd w:id="1870"/>
    <w:bookmarkEnd w:id="1871"/>
    <w:bookmarkEnd w:id="1872"/>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17.3.1 不可抗力引起的后果及造成的损失由合同当事人按照法律规定及合同约定各自承担。不可抗力发生前已完成的工程应当按照合同约定进行计量支付。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17.3.2 不可抗力导致的人员伤亡、财产损失、费用增加和（或）工期延误等后果，由合同当事人按以下原则承担：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（1）永久工程、已运至施工现场的施工材料和工程设备的损坏，以及因工程损坏造成的第三方人员伤亡和财产损失由发包人承担；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（2）承包人施工设备的损坏由承包人承担；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（3）发包人和承包人承担各自人员伤亡和财产的损失；</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（4）因不可抗力影响承包人履行合同约定的义务，已经引起或将引起工期延误的，应当顺延工期，由此导致承包人停工的费用损失由发包人和承包人合理共担；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（5）因不可抗力引起或将引起工期延误，发包人要求赶工的，由此增加的赶工费用由发包人承担；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（6）承包人在停工期间按照发包人要求照管、清理和修复工程的费用由发包人承担；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（7）不可抗力事件发生后，合同当事人均应采取措施尽量避免和减少损失的扩大，任何一方当事人没有采取有效措施导致损失扩大的，应对扩大的损失承担责任。</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873" w:name="_Toc532375668"/>
      <w:bookmarkStart w:id="1874" w:name="_Toc532377407"/>
      <w:r>
        <w:rPr>
          <w:rFonts w:hint="eastAsia"/>
          <w:color w:val="auto"/>
          <w:sz w:val="21"/>
          <w:szCs w:val="21"/>
          <w:highlight w:val="none"/>
        </w:rPr>
        <w:t>17.4 因不可抗力解除合同</w:t>
      </w:r>
      <w:bookmarkEnd w:id="1873"/>
      <w:bookmarkEnd w:id="1874"/>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28</w:t>
      </w:r>
      <w:r>
        <w:rPr>
          <w:rFonts w:hint="eastAsia" w:ascii="宋体" w:hAnsi="宋体"/>
          <w:color w:val="auto"/>
          <w:szCs w:val="21"/>
          <w:highlight w:val="none"/>
        </w:rPr>
        <w:t>天内完成款项的支付。</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875" w:name="_Toc532375669"/>
      <w:bookmarkStart w:id="1876" w:name="_Toc532377408"/>
      <w:bookmarkStart w:id="1877" w:name="_Toc351203650"/>
      <w:r>
        <w:rPr>
          <w:rFonts w:hint="eastAsia"/>
          <w:color w:val="auto"/>
          <w:kern w:val="2"/>
          <w:sz w:val="21"/>
          <w:szCs w:val="21"/>
          <w:highlight w:val="none"/>
        </w:rPr>
        <w:t>18. 保险</w:t>
      </w:r>
      <w:bookmarkEnd w:id="1875"/>
      <w:bookmarkEnd w:id="1876"/>
      <w:bookmarkEnd w:id="1877"/>
    </w:p>
    <w:p>
      <w:pPr>
        <w:pStyle w:val="7"/>
        <w:spacing w:before="0" w:beforeAutospacing="0" w:after="0" w:afterAutospacing="0" w:line="360" w:lineRule="auto"/>
        <w:ind w:firstLine="422" w:firstLineChars="200"/>
        <w:rPr>
          <w:color w:val="auto"/>
          <w:sz w:val="21"/>
          <w:szCs w:val="21"/>
          <w:highlight w:val="none"/>
        </w:rPr>
      </w:pPr>
      <w:bookmarkStart w:id="1878" w:name="_Toc532375671"/>
      <w:bookmarkStart w:id="1879" w:name="_Toc532377410"/>
      <w:r>
        <w:rPr>
          <w:rFonts w:hint="eastAsia"/>
          <w:color w:val="auto"/>
          <w:sz w:val="21"/>
          <w:szCs w:val="21"/>
          <w:highlight w:val="none"/>
        </w:rPr>
        <w:t>18.3 其他保险</w:t>
      </w:r>
      <w:bookmarkEnd w:id="1878"/>
      <w:bookmarkEnd w:id="1879"/>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施工方必须自行购买相关保险</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由承包人自行决定购买</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安全生产责任险：</w:t>
      </w:r>
      <w:r>
        <w:rPr>
          <w:rFonts w:hint="eastAsia" w:ascii="宋体" w:hAnsi="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880" w:name="_Toc532375672"/>
      <w:bookmarkStart w:id="1881" w:name="_Toc532377411"/>
      <w:r>
        <w:rPr>
          <w:rFonts w:hint="eastAsia"/>
          <w:color w:val="auto"/>
          <w:sz w:val="21"/>
          <w:szCs w:val="21"/>
          <w:highlight w:val="none"/>
        </w:rPr>
        <w:t>18.7 通知义务</w:t>
      </w:r>
      <w:bookmarkEnd w:id="1880"/>
      <w:bookmarkEnd w:id="1881"/>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882" w:name="_Toc532377412"/>
      <w:bookmarkStart w:id="1883" w:name="_Toc532375673"/>
      <w:r>
        <w:rPr>
          <w:rFonts w:hint="eastAsia"/>
          <w:color w:val="auto"/>
          <w:sz w:val="21"/>
          <w:szCs w:val="21"/>
          <w:highlight w:val="none"/>
        </w:rPr>
        <w:t>18.8 其他</w:t>
      </w:r>
      <w:bookmarkEnd w:id="1882"/>
      <w:bookmarkEnd w:id="1883"/>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18.8.1 工程开工日前，承包人向发包人提交各项生效的保险证据和保险单副本。未按本项约定提交的，每延后1天，承包人按500元/天支付违约金。</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18.8.2 承包人保险赔偿金不足以补偿发包人损失时，</w:t>
      </w:r>
      <w:bookmarkStart w:id="1884" w:name="_Hlk524378346"/>
      <w:r>
        <w:rPr>
          <w:rFonts w:hint="eastAsia" w:ascii="宋体" w:hAnsi="宋体"/>
          <w:color w:val="auto"/>
          <w:szCs w:val="21"/>
          <w:highlight w:val="none"/>
        </w:rPr>
        <w:t>差额由承包人负责补足</w:t>
      </w:r>
      <w:bookmarkEnd w:id="1884"/>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885" w:name="_Toc532375674"/>
      <w:bookmarkStart w:id="1886" w:name="_Toc351203620"/>
      <w:bookmarkStart w:id="1887" w:name="_Toc532377413"/>
      <w:bookmarkStart w:id="1888" w:name="_Toc296503140"/>
      <w:bookmarkStart w:id="1889" w:name="_Toc337558835"/>
      <w:bookmarkStart w:id="1890" w:name="_Toc296346641"/>
      <w:r>
        <w:rPr>
          <w:rFonts w:hint="eastAsia"/>
          <w:color w:val="auto"/>
          <w:kern w:val="2"/>
          <w:sz w:val="21"/>
          <w:szCs w:val="21"/>
          <w:highlight w:val="none"/>
        </w:rPr>
        <w:t>19. 索赔</w:t>
      </w:r>
      <w:bookmarkEnd w:id="1885"/>
      <w:bookmarkEnd w:id="1886"/>
      <w:bookmarkEnd w:id="1887"/>
    </w:p>
    <w:bookmarkEnd w:id="1888"/>
    <w:bookmarkEnd w:id="1889"/>
    <w:bookmarkEnd w:id="1890"/>
    <w:p>
      <w:pPr>
        <w:pStyle w:val="7"/>
        <w:spacing w:before="0" w:beforeAutospacing="0" w:after="0" w:afterAutospacing="0" w:line="360" w:lineRule="auto"/>
        <w:ind w:firstLine="422" w:firstLineChars="200"/>
        <w:rPr>
          <w:color w:val="auto"/>
          <w:sz w:val="21"/>
          <w:szCs w:val="21"/>
          <w:highlight w:val="none"/>
        </w:rPr>
      </w:pPr>
      <w:bookmarkStart w:id="1891" w:name="_Toc532375675"/>
      <w:bookmarkStart w:id="1892" w:name="_Toc532377414"/>
      <w:bookmarkStart w:id="1893" w:name="_Toc296503141"/>
      <w:bookmarkStart w:id="1894" w:name="_Toc351203621"/>
      <w:bookmarkStart w:id="1895" w:name="_Toc337558836"/>
      <w:bookmarkStart w:id="1896" w:name="_Toc296346642"/>
      <w:r>
        <w:rPr>
          <w:rFonts w:hint="eastAsia"/>
          <w:color w:val="auto"/>
          <w:sz w:val="21"/>
          <w:szCs w:val="21"/>
          <w:highlight w:val="none"/>
        </w:rPr>
        <w:t>19.1 承包人的索赔</w:t>
      </w:r>
      <w:bookmarkEnd w:id="1891"/>
      <w:bookmarkEnd w:id="1892"/>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根据合同约定，承包人认为有权得到追加付款和（或）延长工期的，应按以下程序向发包人提出索赔：</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（4）在索赔事件影响结束后28天内，承包人应向监理人递交最终索赔报告，说明最终要求索赔的追加付款金额和（或）延长的工期，并附必要的记录和证明材料。</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897" w:name="_Toc532375676"/>
      <w:bookmarkStart w:id="1898" w:name="_Toc532377415"/>
      <w:r>
        <w:rPr>
          <w:rFonts w:hint="eastAsia"/>
          <w:color w:val="auto"/>
          <w:sz w:val="21"/>
          <w:szCs w:val="21"/>
          <w:highlight w:val="none"/>
        </w:rPr>
        <w:t>19.2 对承包人索赔的处理</w:t>
      </w:r>
      <w:bookmarkEnd w:id="1897"/>
      <w:bookmarkEnd w:id="1898"/>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对承包人索赔的处理如下：</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（4）工期延误的关键线路按照经监理人、发包人审批同意的施工组织设计计算</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899" w:name="_Toc532377416"/>
      <w:bookmarkStart w:id="1900" w:name="_Toc532375677"/>
      <w:r>
        <w:rPr>
          <w:rFonts w:hint="eastAsia"/>
          <w:color w:val="auto"/>
          <w:sz w:val="21"/>
          <w:szCs w:val="21"/>
          <w:highlight w:val="none"/>
        </w:rPr>
        <w:t>19.3发包人的索赔</w:t>
      </w:r>
      <w:bookmarkEnd w:id="1899"/>
      <w:bookmarkEnd w:id="1900"/>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根据合同约定，发包人认为有权得到赔付金额和（或）延长缺陷责任期的，监理人应向承包人发出通知并附有详细的证明。</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901" w:name="_Hlk528652769"/>
      <w:r>
        <w:rPr>
          <w:rFonts w:hint="eastAsia" w:ascii="宋体" w:hAnsi="宋体"/>
          <w:color w:val="auto"/>
          <w:szCs w:val="21"/>
          <w:highlight w:val="none"/>
        </w:rPr>
        <w:t>通过监理人向承包人正式递交最终索赔报告</w:t>
      </w:r>
      <w:bookmarkEnd w:id="1901"/>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902" w:name="_Toc532375678"/>
      <w:bookmarkStart w:id="1903" w:name="_Toc532377417"/>
      <w:r>
        <w:rPr>
          <w:rFonts w:hint="eastAsia"/>
          <w:color w:val="auto"/>
          <w:sz w:val="21"/>
          <w:szCs w:val="21"/>
          <w:highlight w:val="none"/>
        </w:rPr>
        <w:t>19.4 对发包人索赔的处理</w:t>
      </w:r>
      <w:bookmarkEnd w:id="1902"/>
      <w:bookmarkEnd w:id="1903"/>
    </w:p>
    <w:p>
      <w:pPr>
        <w:autoSpaceDE w:val="0"/>
        <w:autoSpaceDN w:val="0"/>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（1）承包人收到发包人提交的索赔报告后，应及时审查索赔报告的内容、查验发包人证明材料；</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2" w:firstLineChars="200"/>
        <w:rPr>
          <w:color w:val="auto"/>
          <w:sz w:val="21"/>
          <w:szCs w:val="21"/>
          <w:highlight w:val="none"/>
        </w:rPr>
      </w:pPr>
      <w:bookmarkStart w:id="1904" w:name="_Toc532375679"/>
      <w:bookmarkStart w:id="1905" w:name="_Toc532377418"/>
      <w:bookmarkStart w:id="1906" w:name="_Hlk528928420"/>
      <w:r>
        <w:rPr>
          <w:rFonts w:hint="eastAsia"/>
          <w:color w:val="auto"/>
          <w:sz w:val="21"/>
          <w:szCs w:val="21"/>
          <w:highlight w:val="none"/>
        </w:rPr>
        <w:t>19.5 提出索赔的期限</w:t>
      </w:r>
      <w:bookmarkEnd w:id="1904"/>
      <w:bookmarkEnd w:id="1905"/>
    </w:p>
    <w:p>
      <w:pPr>
        <w:autoSpaceDE w:val="0"/>
        <w:autoSpaceDN w:val="0"/>
        <w:spacing w:line="360" w:lineRule="auto"/>
        <w:ind w:right="105" w:rightChars="50" w:firstLine="420" w:firstLineChars="200"/>
        <w:jc w:val="left"/>
        <w:rPr>
          <w:rFonts w:ascii="宋体" w:hAnsi="宋体"/>
          <w:color w:val="auto"/>
          <w:szCs w:val="21"/>
          <w:highlight w:val="none"/>
        </w:rPr>
      </w:pPr>
      <w:bookmarkStart w:id="1907" w:name="_Hlk524298376"/>
      <w:r>
        <w:rPr>
          <w:rFonts w:hint="eastAsia" w:ascii="宋体" w:hAnsi="宋体"/>
          <w:color w:val="auto"/>
          <w:szCs w:val="21"/>
          <w:highlight w:val="none"/>
        </w:rPr>
        <w:t>任一索赔事件发生后28天内，承包人/发包人未向对方发出索赔意向通知书的，视为其已放弃索赔权，无权再就该索赔事项提出任何索赔。</w:t>
      </w:r>
    </w:p>
    <w:bookmarkEnd w:id="1893"/>
    <w:bookmarkEnd w:id="1894"/>
    <w:bookmarkEnd w:id="1895"/>
    <w:bookmarkEnd w:id="1896"/>
    <w:bookmarkEnd w:id="1906"/>
    <w:bookmarkEnd w:id="1907"/>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908" w:name="_Toc351203651"/>
      <w:bookmarkStart w:id="1909" w:name="_Toc532377419"/>
      <w:bookmarkStart w:id="1910" w:name="_Toc532375680"/>
      <w:r>
        <w:rPr>
          <w:rFonts w:hint="eastAsia"/>
          <w:color w:val="auto"/>
          <w:kern w:val="2"/>
          <w:sz w:val="21"/>
          <w:szCs w:val="21"/>
          <w:highlight w:val="none"/>
        </w:rPr>
        <w:t>20. 争议解决</w:t>
      </w:r>
      <w:bookmarkEnd w:id="1908"/>
      <w:bookmarkEnd w:id="1909"/>
      <w:bookmarkEnd w:id="1910"/>
    </w:p>
    <w:p>
      <w:pPr>
        <w:pStyle w:val="7"/>
        <w:spacing w:before="0" w:beforeAutospacing="0" w:after="0" w:afterAutospacing="0" w:line="360" w:lineRule="auto"/>
        <w:ind w:firstLine="422" w:firstLineChars="200"/>
        <w:rPr>
          <w:color w:val="auto"/>
          <w:sz w:val="21"/>
          <w:szCs w:val="21"/>
          <w:highlight w:val="none"/>
        </w:rPr>
      </w:pPr>
      <w:bookmarkStart w:id="1911" w:name="_Toc532377420"/>
      <w:bookmarkStart w:id="1912" w:name="_Toc532375681"/>
      <w:r>
        <w:rPr>
          <w:rFonts w:hint="eastAsia"/>
          <w:color w:val="auto"/>
          <w:sz w:val="21"/>
          <w:szCs w:val="21"/>
          <w:highlight w:val="none"/>
        </w:rPr>
        <w:t>20.3 争议评审</w:t>
      </w:r>
      <w:bookmarkEnd w:id="1911"/>
      <w:bookmarkEnd w:id="1912"/>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913" w:name="_Toc532377421"/>
      <w:bookmarkStart w:id="1914" w:name="_Toc532375682"/>
      <w:r>
        <w:rPr>
          <w:rFonts w:hint="eastAsia"/>
          <w:color w:val="auto"/>
          <w:sz w:val="21"/>
          <w:szCs w:val="21"/>
          <w:highlight w:val="none"/>
        </w:rPr>
        <w:t>20.4 仲裁或诉讼</w:t>
      </w:r>
      <w:bookmarkEnd w:id="1913"/>
      <w:bookmarkEnd w:id="1914"/>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垫江县      </w:t>
      </w:r>
      <w:r>
        <w:rPr>
          <w:rFonts w:ascii="宋体" w:hAnsi="宋体"/>
          <w:color w:val="auto"/>
          <w:szCs w:val="21"/>
          <w:highlight w:val="none"/>
          <w:u w:val="single"/>
        </w:rPr>
        <w:t xml:space="preserve">   </w:t>
      </w:r>
      <w:r>
        <w:rPr>
          <w:rFonts w:ascii="宋体" w:hAnsi="宋体"/>
          <w:color w:val="auto"/>
          <w:szCs w:val="21"/>
          <w:highlight w:val="none"/>
        </w:rPr>
        <w:t>人民法院起诉。</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915" w:name="_Toc532375683"/>
      <w:bookmarkStart w:id="1916" w:name="_Toc532377422"/>
      <w:r>
        <w:rPr>
          <w:rFonts w:hint="eastAsia"/>
          <w:color w:val="auto"/>
          <w:kern w:val="2"/>
          <w:sz w:val="21"/>
          <w:szCs w:val="21"/>
          <w:highlight w:val="none"/>
        </w:rPr>
        <w:t>21. 补充条款</w:t>
      </w:r>
      <w:bookmarkEnd w:id="1915"/>
      <w:bookmarkEnd w:id="1916"/>
    </w:p>
    <w:p>
      <w:pPr>
        <w:pStyle w:val="7"/>
        <w:spacing w:before="0" w:beforeAutospacing="0" w:after="0" w:afterAutospacing="0" w:line="360" w:lineRule="auto"/>
        <w:ind w:firstLine="422" w:firstLineChars="200"/>
        <w:rPr>
          <w:color w:val="auto"/>
          <w:sz w:val="21"/>
          <w:szCs w:val="21"/>
          <w:highlight w:val="none"/>
        </w:rPr>
      </w:pPr>
      <w:bookmarkStart w:id="1917" w:name="_Toc532375684"/>
      <w:bookmarkStart w:id="1918" w:name="_Toc532377423"/>
      <w:r>
        <w:rPr>
          <w:rFonts w:hint="eastAsia"/>
          <w:color w:val="auto"/>
          <w:sz w:val="21"/>
          <w:szCs w:val="21"/>
          <w:highlight w:val="none"/>
        </w:rPr>
        <w:t>21.1 退出机制</w:t>
      </w:r>
      <w:bookmarkEnd w:id="1917"/>
      <w:bookmarkEnd w:id="1918"/>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21.1.1有下列情形之一的，发包人有权解除合同，亦有权兑付履约担保，并对承包人做清退出场处理</w:t>
      </w:r>
      <w:r>
        <w:rPr>
          <w:rFonts w:hint="eastAsia" w:ascii="宋体" w:hAnsi="宋体"/>
          <w:color w:val="auto"/>
          <w:kern w:val="0"/>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（1）因承包人原因造成较大及以上等级生产安全事故或工程质量事故的；</w:t>
      </w:r>
    </w:p>
    <w:p>
      <w:pPr>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（2）因承包人债权债务纠纷或其他纠纷导致工程无法正常施工的。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2"/>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21.1.2有下列情形之一的，承包人有权解除合同，并按16.1.4约定执行：</w:t>
      </w:r>
    </w:p>
    <w:p>
      <w:pPr>
        <w:pStyle w:val="2"/>
        <w:spacing w:after="0"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（1）因发包人征地、拆迁、补偿、审批手续等原因致使本工程延期开工超过90天的。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919" w:name="_Toc532377424"/>
      <w:bookmarkStart w:id="1920" w:name="_Toc532375685"/>
      <w:r>
        <w:rPr>
          <w:rFonts w:hint="eastAsia"/>
          <w:color w:val="auto"/>
          <w:sz w:val="21"/>
          <w:szCs w:val="21"/>
          <w:highlight w:val="none"/>
        </w:rPr>
        <w:t>21.2智慧工地</w:t>
      </w:r>
      <w:bookmarkEnd w:id="1919"/>
      <w:bookmarkEnd w:id="1920"/>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工地建设可参照重庆市城乡建设委员会《关于印发“智慧工地”建设工作方案的通知》（渝建〔2017〕414号）的相关要求建设。</w:t>
      </w:r>
      <w:bookmarkEnd w:id="1863"/>
    </w:p>
    <w:p>
      <w:pPr>
        <w:pStyle w:val="7"/>
        <w:spacing w:before="0" w:beforeAutospacing="0" w:after="0" w:afterAutospacing="0" w:line="360" w:lineRule="auto"/>
        <w:ind w:firstLine="422" w:firstLineChars="200"/>
        <w:rPr>
          <w:color w:val="auto"/>
          <w:sz w:val="21"/>
          <w:szCs w:val="21"/>
          <w:highlight w:val="none"/>
          <w:u w:val="single"/>
        </w:rPr>
      </w:pPr>
      <w:r>
        <w:rPr>
          <w:rFonts w:hint="eastAsia"/>
          <w:color w:val="auto"/>
          <w:sz w:val="21"/>
          <w:szCs w:val="21"/>
          <w:highlight w:val="none"/>
        </w:rPr>
        <w:t>21.3低价风险担保</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承包人提供低价风险担保的情形：采用经评审的最低投标价法的项目投标报价低于最高限价85%时。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承包人提供低价风险担保的形式、金额及期限：</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（1）低价风险担保的形式：现金或银行保函或现金+银行保函的组合；采用保函形式的，保函必须为不可撤销、不可转让且见索即付的独立保函；</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（2）低价风险担保的金额：</w:t>
      </w:r>
      <w:r>
        <w:rPr>
          <w:rFonts w:hint="eastAsia" w:ascii="宋体" w:hAnsi="宋体" w:eastAsia="宋体" w:cs="宋体"/>
          <w:color w:val="auto"/>
          <w:kern w:val="0"/>
          <w:sz w:val="21"/>
          <w:szCs w:val="21"/>
          <w:highlight w:val="none"/>
          <w:u w:val="single"/>
        </w:rPr>
        <w:t>（最高限价×85%-中标价）×□1□2</w:t>
      </w:r>
      <w:r>
        <w:rPr>
          <w:rFonts w:hint="eastAsia" w:ascii="宋体" w:hAnsi="宋体" w:eastAsia="宋体" w:cs="宋体"/>
          <w:color w:val="auto"/>
          <w:kern w:val="0"/>
          <w:sz w:val="21"/>
          <w:szCs w:val="21"/>
          <w:highlight w:val="none"/>
          <w:u w:val="single"/>
        </w:rPr>
        <w:sym w:font="Wingdings 2" w:char="0052"/>
      </w:r>
      <w:r>
        <w:rPr>
          <w:rFonts w:hint="eastAsia" w:ascii="宋体" w:hAnsi="宋体" w:eastAsia="宋体" w:cs="宋体"/>
          <w:color w:val="auto"/>
          <w:kern w:val="0"/>
          <w:sz w:val="21"/>
          <w:szCs w:val="21"/>
          <w:highlight w:val="none"/>
          <w:u w:val="single"/>
        </w:rPr>
        <w:t>3</w:t>
      </w:r>
      <w:r>
        <w:rPr>
          <w:rStyle w:val="60"/>
          <w:rFonts w:hint="eastAsia" w:ascii="宋体" w:hAnsi="宋体" w:eastAsia="宋体" w:cs="宋体"/>
          <w:color w:val="auto"/>
          <w:sz w:val="21"/>
          <w:szCs w:val="21"/>
          <w:highlight w:val="none"/>
          <w:u w:val="single"/>
        </w:rPr>
        <w:t>，且最高不超过最高限价的85%</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（3）低价风险担保的提交时间：</w:t>
      </w:r>
      <w:r>
        <w:rPr>
          <w:rFonts w:hint="eastAsia"/>
          <w:color w:val="auto"/>
          <w:szCs w:val="21"/>
          <w:highlight w:val="none"/>
          <w:u w:val="single"/>
        </w:rPr>
        <w:t>从招标人中标通知书送达拟中标人之日起15个工作日内；</w:t>
      </w:r>
      <w:r>
        <w:rPr>
          <w:rFonts w:hint="eastAsia" w:ascii="宋体" w:hAnsi="宋体"/>
          <w:color w:val="auto"/>
          <w:szCs w:val="21"/>
          <w:highlight w:val="none"/>
          <w:u w:val="singl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（4）低价风险担保的期限：</w:t>
      </w:r>
      <w:r>
        <w:rPr>
          <w:rFonts w:hint="eastAsia" w:ascii="宋体" w:hAnsi="宋体"/>
          <w:color w:val="auto"/>
          <w:szCs w:val="21"/>
          <w:highlight w:val="none"/>
          <w:u w:val="single"/>
        </w:rPr>
        <w:t>自低价风险担保生效之日起至竣工验收合格之日止</w:t>
      </w:r>
      <w:r>
        <w:rPr>
          <w:rFonts w:hint="eastAsia" w:ascii="宋体" w:hAnsi="宋体"/>
          <w:color w:val="auto"/>
          <w:szCs w:val="21"/>
          <w:highlight w:val="none"/>
        </w:rPr>
        <w:t>。</w:t>
      </w:r>
    </w:p>
    <w:p>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低价风险担保的退还时间：</w:t>
      </w:r>
      <w:r>
        <w:rPr>
          <w:rFonts w:hint="eastAsia" w:ascii="宋体" w:hAnsi="宋体"/>
          <w:color w:val="auto"/>
          <w:szCs w:val="21"/>
          <w:highlight w:val="none"/>
          <w:u w:val="single"/>
        </w:rPr>
        <w:t>采用现金担保的，工程竣工验收合格后14天内退还，合同履行期间允许承包人用符合要求的银行保函进行置换；采用银行保函的，工程竣工验收合格后14天内退还。采用分段退还的，低价风险担保的退还时间及方式为：</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（5）低价风险担保的扣减：</w:t>
      </w:r>
    </w:p>
    <w:p>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color w:val="auto"/>
          <w:szCs w:val="21"/>
          <w:highlight w:val="none"/>
          <w:u w:val="single"/>
        </w:rPr>
        <w:t>50～100%</w:t>
      </w:r>
      <w:r>
        <w:rPr>
          <w:rFonts w:hint="eastAsia" w:ascii="宋体" w:hAnsi="宋体"/>
          <w:color w:val="auto"/>
          <w:szCs w:val="21"/>
          <w:highlight w:val="none"/>
        </w:rPr>
        <w:t>扣减，直至解除合同；</w:t>
      </w:r>
    </w:p>
    <w:p>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②承包人在工程施工期间或竣工验收时，工程质量不符合国家现行有关施工质量验收规范要求的，按低价风险担保金额的</w:t>
      </w:r>
      <w:r>
        <w:rPr>
          <w:rFonts w:hint="eastAsia" w:ascii="宋体" w:hAnsi="宋体"/>
          <w:color w:val="auto"/>
          <w:szCs w:val="21"/>
          <w:highlight w:val="none"/>
          <w:u w:val="single"/>
        </w:rPr>
        <w:t>50～100%</w:t>
      </w:r>
      <w:r>
        <w:rPr>
          <w:rFonts w:hint="eastAsia" w:ascii="宋体" w:hAnsi="宋体"/>
          <w:color w:val="auto"/>
          <w:szCs w:val="21"/>
          <w:highlight w:val="none"/>
        </w:rPr>
        <w:t>扣减，直至解除合同；</w:t>
      </w:r>
    </w:p>
    <w:p>
      <w:pPr>
        <w:pStyle w:val="2"/>
        <w:spacing w:after="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③承包人因16.2.3项原因被解除合同的，低价风险担保将全额扣除；</w:t>
      </w:r>
    </w:p>
    <w:p>
      <w:pPr>
        <w:pStyle w:val="7"/>
        <w:spacing w:before="0" w:beforeAutospacing="0" w:after="0" w:afterAutospacing="0" w:line="360" w:lineRule="auto"/>
        <w:ind w:firstLine="400" w:firstLineChars="200"/>
        <w:rPr>
          <w:color w:val="auto"/>
          <w:sz w:val="21"/>
          <w:szCs w:val="21"/>
          <w:highlight w:val="none"/>
        </w:rPr>
      </w:pPr>
      <w:r>
        <w:rPr>
          <w:rFonts w:hint="eastAsia"/>
          <w:b w:val="0"/>
          <w:bCs w:val="0"/>
          <w:color w:val="auto"/>
          <w:szCs w:val="21"/>
          <w:highlight w:val="none"/>
        </w:rPr>
        <w:t>④因承包人过错导致的其他情形：</w:t>
      </w:r>
      <w:r>
        <w:rPr>
          <w:rFonts w:hint="eastAsia"/>
          <w:b w:val="0"/>
          <w:bCs w:val="0"/>
          <w:color w:val="auto"/>
          <w:szCs w:val="21"/>
          <w:highlight w:val="none"/>
          <w:u w:val="single"/>
        </w:rPr>
        <w:t xml:space="preserve">        </w:t>
      </w:r>
      <w:r>
        <w:rPr>
          <w:rFonts w:hint="eastAsia"/>
          <w:b w:val="0"/>
          <w:bCs w:val="0"/>
          <w:color w:val="auto"/>
          <w:szCs w:val="21"/>
          <w:highlight w:val="none"/>
        </w:rPr>
        <w:t>。</w:t>
      </w:r>
    </w:p>
    <w:p>
      <w:pPr>
        <w:pStyle w:val="7"/>
        <w:spacing w:before="0" w:beforeAutospacing="0" w:after="0" w:afterAutospacing="0" w:line="360" w:lineRule="auto"/>
        <w:ind w:firstLine="422" w:firstLineChars="200"/>
        <w:rPr>
          <w:rFonts w:hint="eastAsia"/>
          <w:color w:val="auto"/>
          <w:sz w:val="21"/>
          <w:szCs w:val="21"/>
          <w:highlight w:val="none"/>
          <w:u w:val="single"/>
        </w:rPr>
      </w:pPr>
      <w:r>
        <w:rPr>
          <w:rFonts w:hint="eastAsia"/>
          <w:color w:val="auto"/>
          <w:sz w:val="21"/>
          <w:szCs w:val="21"/>
          <w:highlight w:val="none"/>
        </w:rPr>
        <w:t>21.4 关于不平衡报价的约定</w:t>
      </w:r>
      <w:r>
        <w:rPr>
          <w:rFonts w:hint="eastAsia"/>
          <w:color w:val="auto"/>
          <w:sz w:val="21"/>
          <w:szCs w:val="21"/>
          <w:highlight w:val="none"/>
          <w:lang w:eastAsia="zh-CN"/>
        </w:rPr>
        <w:t>：</w:t>
      </w:r>
      <w:r>
        <w:rPr>
          <w:rFonts w:hint="eastAsia"/>
          <w:color w:val="auto"/>
          <w:sz w:val="21"/>
          <w:szCs w:val="21"/>
          <w:highlight w:val="none"/>
          <w:u w:val="single"/>
        </w:rPr>
        <w:t xml:space="preserve">       </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21.</w:t>
      </w:r>
      <w:r>
        <w:rPr>
          <w:rFonts w:hint="eastAsia"/>
          <w:color w:val="auto"/>
          <w:sz w:val="21"/>
          <w:szCs w:val="21"/>
          <w:highlight w:val="none"/>
          <w:lang w:val="en-US" w:eastAsia="zh-CN"/>
        </w:rPr>
        <w:t>5</w:t>
      </w:r>
      <w:r>
        <w:rPr>
          <w:rFonts w:hint="eastAsia"/>
          <w:color w:val="auto"/>
          <w:sz w:val="21"/>
          <w:szCs w:val="21"/>
          <w:highlight w:val="none"/>
        </w:rPr>
        <w:t xml:space="preserve"> </w:t>
      </w:r>
      <w:r>
        <w:rPr>
          <w:rFonts w:hint="eastAsia"/>
          <w:color w:val="auto"/>
          <w:sz w:val="21"/>
          <w:szCs w:val="21"/>
          <w:highlight w:val="none"/>
          <w:u w:val="single"/>
        </w:rPr>
        <w:t xml:space="preserve">       </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921" w:name="baidusnap7"/>
      <w:bookmarkEnd w:id="1921"/>
      <w:bookmarkStart w:id="1922" w:name="baidusnap3"/>
      <w:bookmarkEnd w:id="1922"/>
      <w:bookmarkStart w:id="1923" w:name="_Toc532375686"/>
      <w:bookmarkStart w:id="1924" w:name="_Toc532377425"/>
      <w:bookmarkStart w:id="1925" w:name="_Toc351203652"/>
      <w:r>
        <w:rPr>
          <w:rFonts w:hint="eastAsia"/>
          <w:color w:val="auto"/>
          <w:kern w:val="2"/>
          <w:sz w:val="21"/>
          <w:szCs w:val="21"/>
          <w:highlight w:val="none"/>
        </w:rPr>
        <w:t>22. 合同附件</w:t>
      </w:r>
      <w:bookmarkEnd w:id="1923"/>
      <w:bookmarkEnd w:id="1924"/>
    </w:p>
    <w:p>
      <w:pPr>
        <w:spacing w:line="360" w:lineRule="auto"/>
        <w:ind w:right="105" w:rightChars="50" w:firstLine="420" w:firstLineChars="200"/>
        <w:jc w:val="left"/>
        <w:rPr>
          <w:rFonts w:ascii="宋体" w:hAnsi="宋体"/>
          <w:color w:val="auto"/>
          <w:highlight w:val="none"/>
        </w:rPr>
      </w:pPr>
      <w:r>
        <w:rPr>
          <w:rFonts w:hint="eastAsia" w:ascii="宋体" w:hAnsi="宋体"/>
          <w:color w:val="auto"/>
          <w:highlight w:val="none"/>
        </w:rPr>
        <w:t>以下附件是本合同的有效组成部分：</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附件1：工程质量保修书</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附件2：主要建设工程文件目录</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附件3：承包人项目管理机构组成表</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附件4：履约</w:t>
      </w:r>
      <w:r>
        <w:rPr>
          <w:rFonts w:ascii="宋体" w:hAnsi="宋体"/>
          <w:color w:val="auto"/>
          <w:szCs w:val="21"/>
          <w:highlight w:val="none"/>
        </w:rPr>
        <w:t>担保</w:t>
      </w:r>
      <w:r>
        <w:rPr>
          <w:rFonts w:hint="eastAsia" w:ascii="宋体" w:hAnsi="宋体"/>
          <w:color w:val="auto"/>
          <w:szCs w:val="21"/>
          <w:highlight w:val="none"/>
        </w:rPr>
        <w:t>（如有）</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5</w:t>
      </w:r>
      <w:r>
        <w:rPr>
          <w:rFonts w:hint="eastAsia" w:ascii="宋体" w:hAnsi="宋体"/>
          <w:color w:val="auto"/>
          <w:szCs w:val="21"/>
          <w:highlight w:val="none"/>
        </w:rPr>
        <w:t>：预付款担保（如有）</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6</w:t>
      </w:r>
      <w:r>
        <w:rPr>
          <w:rFonts w:hint="eastAsia" w:ascii="宋体" w:hAnsi="宋体"/>
          <w:color w:val="auto"/>
          <w:szCs w:val="21"/>
          <w:highlight w:val="none"/>
        </w:rPr>
        <w:t>：支付担保（如有）</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：专业工程暂估价表</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：廉洁从业协议</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：安全管理协议</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：保障农民工工资支付协议</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附件11：低价风险担保保函示范文本（独立保函）（如有）</w:t>
      </w:r>
    </w:p>
    <w:p>
      <w:pPr>
        <w:spacing w:line="360" w:lineRule="auto"/>
        <w:ind w:right="105" w:rightChars="50"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附件12：质量保证金保函（如有）</w:t>
      </w:r>
    </w:p>
    <w:bookmarkEnd w:id="1925"/>
    <w:p>
      <w:pPr>
        <w:spacing w:line="36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926" w:name="_Toc296346727"/>
      <w:bookmarkStart w:id="1927" w:name="_Toc267261693"/>
      <w:bookmarkStart w:id="1928" w:name="_Toc296891054"/>
      <w:bookmarkStart w:id="1929" w:name="_Toc296347225"/>
      <w:bookmarkStart w:id="1930" w:name="_Toc296503226"/>
      <w:bookmarkStart w:id="1931" w:name="_Toc296891266"/>
      <w:bookmarkStart w:id="1932" w:name="_Toc296944565"/>
      <w:r>
        <w:rPr>
          <w:rFonts w:hint="eastAsia" w:ascii="宋体" w:hAnsi="宋体"/>
          <w:color w:val="auto"/>
          <w:szCs w:val="21"/>
          <w:highlight w:val="none"/>
        </w:rPr>
        <w:t>件1：</w:t>
      </w:r>
      <w:bookmarkEnd w:id="1926"/>
      <w:bookmarkEnd w:id="1927"/>
      <w:bookmarkEnd w:id="1928"/>
      <w:bookmarkEnd w:id="1929"/>
      <w:bookmarkEnd w:id="1930"/>
      <w:bookmarkEnd w:id="1931"/>
      <w:bookmarkEnd w:id="1932"/>
    </w:p>
    <w:p>
      <w:pPr>
        <w:spacing w:before="156" w:beforeLines="50" w:after="156" w:afterLines="50" w:line="360" w:lineRule="auto"/>
        <w:jc w:val="center"/>
        <w:rPr>
          <w:rFonts w:ascii="宋体" w:hAnsi="宋体"/>
          <w:color w:val="auto"/>
          <w:szCs w:val="21"/>
          <w:highlight w:val="none"/>
        </w:rPr>
      </w:pPr>
      <w:r>
        <w:rPr>
          <w:rFonts w:hint="eastAsia" w:ascii="宋体" w:hAnsi="宋体"/>
          <w:color w:val="auto"/>
          <w:szCs w:val="21"/>
          <w:highlight w:val="none"/>
        </w:rPr>
        <w:t>工程质量保修书</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pPr>
        <w:spacing w:line="360" w:lineRule="auto"/>
        <w:ind w:firstLine="420" w:firstLineChars="200"/>
        <w:rPr>
          <w:rFonts w:ascii="宋体" w:hAnsi="宋体"/>
          <w:color w:val="auto"/>
          <w:szCs w:val="21"/>
          <w:highlight w:val="none"/>
        </w:rPr>
      </w:pPr>
      <w:bookmarkStart w:id="1933" w:name="_Toc532375687"/>
      <w:r>
        <w:rPr>
          <w:rFonts w:hint="eastAsia" w:ascii="宋体" w:hAnsi="宋体"/>
          <w:color w:val="auto"/>
          <w:szCs w:val="21"/>
          <w:highlight w:val="none"/>
        </w:rPr>
        <w:t>一、工程质量保修范围和内容</w:t>
      </w:r>
      <w:bookmarkEnd w:id="1933"/>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承包人承包范围内容均属质量保修范围内容；其中：</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2.属于施工造成的质量问题，承包人负责维修，不留隐患；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pPr>
        <w:spacing w:line="360" w:lineRule="auto"/>
        <w:ind w:firstLine="420" w:firstLineChars="200"/>
        <w:rPr>
          <w:rFonts w:ascii="宋体" w:hAnsi="宋体"/>
          <w:color w:val="auto"/>
          <w:szCs w:val="21"/>
          <w:highlight w:val="none"/>
        </w:rPr>
      </w:pPr>
      <w:bookmarkStart w:id="1934" w:name="_Toc532375688"/>
      <w:r>
        <w:rPr>
          <w:rFonts w:hint="eastAsia" w:ascii="宋体" w:hAnsi="宋体"/>
          <w:color w:val="auto"/>
          <w:szCs w:val="21"/>
          <w:highlight w:val="none"/>
        </w:rPr>
        <w:t>二、质量保修期</w:t>
      </w:r>
      <w:bookmarkEnd w:id="193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2.屋面防水工程、有防水要求的卫生间、房间和外墙面的防渗漏，为5年；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3.供热与供冷系统，为2个采暖期、供冷期；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4.电气管线、给排水管道、设备安装和装修工程，为2年；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5.其他项目保修期限：2年；</w:t>
      </w:r>
      <w:r>
        <w:rPr>
          <w:rFonts w:hint="eastAsia" w:ascii="宋体" w:hAnsi="宋体"/>
          <w:i/>
          <w:color w:val="auto"/>
          <w:szCs w:val="21"/>
          <w:highlight w:val="none"/>
        </w:rPr>
        <w:t>[提示：如有不同，根据具体情况修改]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建设工程的保修期，自工程竣工验收合格之日起计算。</w:t>
      </w:r>
    </w:p>
    <w:p>
      <w:pPr>
        <w:spacing w:line="360" w:lineRule="auto"/>
        <w:ind w:firstLine="420" w:firstLineChars="200"/>
        <w:rPr>
          <w:rFonts w:ascii="宋体" w:hAnsi="宋体"/>
          <w:color w:val="auto"/>
          <w:szCs w:val="21"/>
          <w:highlight w:val="none"/>
        </w:rPr>
      </w:pPr>
      <w:bookmarkStart w:id="1935" w:name="_Toc532375689"/>
      <w:r>
        <w:rPr>
          <w:rFonts w:hint="eastAsia" w:ascii="宋体" w:hAnsi="宋体"/>
          <w:color w:val="auto"/>
          <w:szCs w:val="21"/>
          <w:highlight w:val="none"/>
        </w:rPr>
        <w:t>三、质量保修责任</w:t>
      </w:r>
      <w:bookmarkEnd w:id="193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4.质量保修完成后，由发包人组织验收。</w:t>
      </w:r>
    </w:p>
    <w:p>
      <w:pPr>
        <w:spacing w:line="360" w:lineRule="auto"/>
        <w:ind w:firstLine="420" w:firstLineChars="200"/>
        <w:rPr>
          <w:rFonts w:ascii="宋体" w:hAnsi="宋体"/>
          <w:color w:val="auto"/>
          <w:szCs w:val="21"/>
          <w:highlight w:val="none"/>
        </w:rPr>
      </w:pPr>
      <w:bookmarkStart w:id="1936" w:name="_Toc532375690"/>
      <w:r>
        <w:rPr>
          <w:rFonts w:hint="eastAsia" w:ascii="宋体" w:hAnsi="宋体"/>
          <w:color w:val="auto"/>
          <w:szCs w:val="21"/>
          <w:highlight w:val="none"/>
        </w:rPr>
        <w:t>四、保修费用</w:t>
      </w:r>
      <w:bookmarkEnd w:id="1936"/>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保修费用由质量缺陷的责任方承担。</w:t>
      </w:r>
    </w:p>
    <w:p>
      <w:pPr>
        <w:spacing w:line="360" w:lineRule="auto"/>
        <w:ind w:firstLine="420" w:firstLineChars="200"/>
        <w:rPr>
          <w:rFonts w:ascii="宋体" w:hAnsi="宋体"/>
          <w:color w:val="auto"/>
          <w:szCs w:val="21"/>
          <w:highlight w:val="none"/>
        </w:rPr>
      </w:pPr>
      <w:bookmarkStart w:id="1937" w:name="_Toc532375691"/>
      <w:r>
        <w:rPr>
          <w:rFonts w:hint="eastAsia" w:ascii="宋体" w:hAnsi="宋体"/>
          <w:color w:val="auto"/>
          <w:szCs w:val="21"/>
          <w:highlight w:val="none"/>
        </w:rPr>
        <w:t>五、双方约定的其他工程质量保修事项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193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六</w:t>
      </w:r>
      <w:r>
        <w:rPr>
          <w:rFonts w:hint="eastAsia" w:ascii="宋体" w:hAnsi="宋体"/>
          <w:color w:val="auto"/>
          <w:szCs w:val="21"/>
          <w:highlight w:val="none"/>
        </w:rPr>
        <w:t>、</w:t>
      </w:r>
      <w:r>
        <w:rPr>
          <w:rFonts w:ascii="宋体" w:hAnsi="宋体"/>
          <w:color w:val="auto"/>
          <w:szCs w:val="21"/>
          <w:highlight w:val="none"/>
        </w:rPr>
        <w:t>本文件生效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本工程质量保修书经发包人与承包人盖章后生效。</w:t>
      </w:r>
    </w:p>
    <w:p>
      <w:pPr>
        <w:pStyle w:val="2"/>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bCs/>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pPr>
        <w:spacing w:line="360" w:lineRule="auto"/>
        <w:ind w:firstLine="418" w:firstLineChars="200"/>
        <w:rPr>
          <w:rFonts w:ascii="宋体" w:hAnsi="宋体"/>
          <w:snapToGrid w:val="0"/>
          <w:color w:val="auto"/>
          <w:spacing w:val="1"/>
          <w:w w:val="99"/>
          <w:kern w:val="0"/>
          <w:position w:val="-2"/>
          <w:szCs w:val="21"/>
          <w:highlight w:val="none"/>
        </w:rPr>
      </w:pPr>
    </w:p>
    <w:p>
      <w:pPr>
        <w:spacing w:line="360" w:lineRule="auto"/>
        <w:ind w:firstLine="418" w:firstLineChars="200"/>
        <w:rPr>
          <w:rFonts w:ascii="宋体" w:hAnsi="宋体"/>
          <w:snapToGrid w:val="0"/>
          <w:color w:val="auto"/>
          <w:spacing w:val="1"/>
          <w:w w:val="99"/>
          <w:kern w:val="0"/>
          <w:position w:val="-2"/>
          <w:szCs w:val="21"/>
          <w:highlight w:val="none"/>
        </w:rPr>
      </w:pP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附件2：</w:t>
      </w:r>
    </w:p>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主要建设工程文件目录</w:t>
      </w:r>
    </w:p>
    <w:tbl>
      <w:tblPr>
        <w:tblStyle w:val="4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文件名称</w:t>
            </w:r>
          </w:p>
        </w:tc>
        <w:tc>
          <w:tcPr>
            <w:tcW w:w="1418"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套数</w:t>
            </w:r>
          </w:p>
        </w:tc>
        <w:tc>
          <w:tcPr>
            <w:tcW w:w="1418" w:type="dxa"/>
            <w:noWrap w:val="0"/>
            <w:vAlign w:val="top"/>
          </w:tcPr>
          <w:p>
            <w:pPr>
              <w:spacing w:line="40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2917" w:type="dxa"/>
            <w:noWrap w:val="0"/>
            <w:vAlign w:val="top"/>
          </w:tcPr>
          <w:p>
            <w:pPr>
              <w:spacing w:line="400" w:lineRule="exact"/>
              <w:jc w:val="center"/>
              <w:rPr>
                <w:rFonts w:ascii="宋体" w:hAnsi="宋体"/>
                <w:color w:val="auto"/>
                <w:szCs w:val="21"/>
                <w:highlight w:val="none"/>
              </w:rPr>
            </w:pPr>
            <w:r>
              <w:rPr>
                <w:rFonts w:hint="eastAsia" w:ascii="宋体" w:hAnsi="宋体"/>
                <w:color w:val="auto"/>
                <w:szCs w:val="21"/>
                <w:highlight w:val="none"/>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bl>
    <w:p>
      <w:pPr>
        <w:spacing w:line="360" w:lineRule="auto"/>
        <w:ind w:firstLine="420" w:firstLineChars="200"/>
        <w:rPr>
          <w:rFonts w:ascii="宋体" w:hAnsi="宋体"/>
          <w:color w:val="auto"/>
          <w:szCs w:val="21"/>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938" w:name="_Toc296944567"/>
      <w:bookmarkStart w:id="1939" w:name="_Toc296891268"/>
      <w:bookmarkStart w:id="1940" w:name="_Toc296503228"/>
      <w:bookmarkStart w:id="1941" w:name="_Toc296891056"/>
      <w:bookmarkStart w:id="1942" w:name="_Toc296346729"/>
      <w:bookmarkStart w:id="1943" w:name="_Toc267261699"/>
      <w:bookmarkStart w:id="1944" w:name="_Toc296347227"/>
      <w:r>
        <w:rPr>
          <w:rFonts w:hint="eastAsia" w:ascii="宋体" w:hAnsi="宋体"/>
          <w:color w:val="auto"/>
          <w:szCs w:val="21"/>
          <w:highlight w:val="none"/>
        </w:rPr>
        <w:t>件3：</w:t>
      </w:r>
    </w:p>
    <w:bookmarkEnd w:id="1938"/>
    <w:bookmarkEnd w:id="1939"/>
    <w:bookmarkEnd w:id="1940"/>
    <w:bookmarkEnd w:id="1941"/>
    <w:bookmarkEnd w:id="1942"/>
    <w:bookmarkEnd w:id="1943"/>
    <w:bookmarkEnd w:id="1944"/>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名    称</w:t>
            </w:r>
          </w:p>
        </w:tc>
        <w:tc>
          <w:tcPr>
            <w:tcW w:w="1418"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姓名</w:t>
            </w:r>
          </w:p>
        </w:tc>
        <w:tc>
          <w:tcPr>
            <w:tcW w:w="1134"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职务</w:t>
            </w:r>
          </w:p>
        </w:tc>
        <w:tc>
          <w:tcPr>
            <w:tcW w:w="1134"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职称</w:t>
            </w:r>
          </w:p>
        </w:tc>
        <w:tc>
          <w:tcPr>
            <w:tcW w:w="4252"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noWrap w:val="0"/>
            <w:vAlign w:val="center"/>
          </w:tcPr>
          <w:p>
            <w:pPr>
              <w:spacing w:line="400" w:lineRule="exact"/>
              <w:rPr>
                <w:rFonts w:ascii="宋体" w:hAnsi="宋体"/>
                <w:color w:val="auto"/>
                <w:szCs w:val="21"/>
                <w:highlight w:val="none"/>
              </w:rPr>
            </w:pPr>
            <w:r>
              <w:rPr>
                <w:rFonts w:hint="eastAsia" w:ascii="宋体" w:hAnsi="宋体"/>
                <w:color w:val="auto"/>
                <w:szCs w:val="21"/>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项目主管</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spacing w:line="400" w:lineRule="exact"/>
              <w:rPr>
                <w:rFonts w:ascii="宋体" w:hAnsi="宋体"/>
                <w:color w:val="auto"/>
                <w:szCs w:val="21"/>
                <w:highlight w:val="none"/>
              </w:rPr>
            </w:pPr>
            <w:r>
              <w:rPr>
                <w:rFonts w:hint="eastAsia" w:ascii="宋体" w:hAnsi="宋体"/>
                <w:color w:val="auto"/>
                <w:szCs w:val="21"/>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项目经理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项目副经理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技术负责人</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造价管理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质量管理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材料管理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计划管理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安全管理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bl>
    <w:p>
      <w:pPr>
        <w:spacing w:line="48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br w:type="page"/>
      </w:r>
      <w:bookmarkStart w:id="1945" w:name="_Toc267261701"/>
      <w:r>
        <w:rPr>
          <w:rFonts w:hint="eastAsia" w:ascii="宋体" w:hAnsi="宋体"/>
          <w:color w:val="auto"/>
          <w:szCs w:val="21"/>
          <w:highlight w:val="none"/>
        </w:rPr>
        <w:t>附</w:t>
      </w:r>
      <w:bookmarkStart w:id="1946" w:name="_Toc296346732"/>
      <w:bookmarkStart w:id="1947" w:name="_Toc296347230"/>
      <w:bookmarkStart w:id="1948" w:name="_Toc296503231"/>
      <w:bookmarkStart w:id="1949" w:name="_Toc296891059"/>
      <w:bookmarkStart w:id="1950" w:name="_Toc296891271"/>
      <w:bookmarkStart w:id="1951" w:name="_Toc296944570"/>
      <w:r>
        <w:rPr>
          <w:rFonts w:hint="eastAsia" w:ascii="宋体" w:hAnsi="宋体"/>
          <w:color w:val="auto"/>
          <w:szCs w:val="21"/>
          <w:highlight w:val="none"/>
        </w:rPr>
        <w:t>件4：</w:t>
      </w:r>
      <w:r>
        <w:rPr>
          <w:rFonts w:hint="eastAsia" w:ascii="宋体" w:hAnsi="宋体"/>
          <w:color w:val="auto"/>
          <w:szCs w:val="21"/>
          <w:highlight w:val="none"/>
          <w:lang w:val="en-US" w:eastAsia="zh-CN"/>
        </w:rPr>
        <w:t>履约担保（如有）</w:t>
      </w:r>
    </w:p>
    <w:bookmarkEnd w:id="1945"/>
    <w:bookmarkEnd w:id="1946"/>
    <w:bookmarkEnd w:id="1947"/>
    <w:bookmarkEnd w:id="1948"/>
    <w:bookmarkEnd w:id="1949"/>
    <w:bookmarkEnd w:id="1950"/>
    <w:bookmarkEnd w:id="1951"/>
    <w:p>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（以下简称“申请人”）就工程</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一、本保函担保范围：承包人未按照基础合同的约定履行义务，应当向贵方承担的违约责任和赔偿因此造成的损失、利息、律师费、诉讼费用等实现债权的费用。</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起至合同约定的工期截止日后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九、本保函自我方法定代表人或授权代表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pPr>
        <w:spacing w:line="360" w:lineRule="auto"/>
        <w:ind w:firstLine="420" w:firstLineChars="200"/>
        <w:jc w:val="left"/>
        <w:outlineLvl w:val="9"/>
        <w:rPr>
          <w:rFonts w:ascii="宋体" w:hAnsi="宋体"/>
          <w:color w:val="auto"/>
          <w:szCs w:val="21"/>
          <w:highlight w:val="none"/>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pPr>
        <w:widowControl/>
        <w:spacing w:line="360" w:lineRule="auto"/>
        <w:jc w:val="left"/>
        <w:rPr>
          <w:rFonts w:ascii="宋体" w:hAnsi="宋体"/>
          <w:color w:val="auto"/>
          <w:szCs w:val="21"/>
          <w:highlight w:val="none"/>
        </w:rPr>
      </w:pPr>
    </w:p>
    <w:p>
      <w:pPr>
        <w:pStyle w:val="2"/>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rPr>
          <w:rFonts w:ascii="宋体" w:hAnsi="宋体"/>
          <w:color w:val="auto"/>
          <w:szCs w:val="21"/>
          <w:highlight w:val="none"/>
        </w:rPr>
      </w:pPr>
    </w:p>
    <w:p>
      <w:pPr>
        <w:pStyle w:val="2"/>
        <w:rPr>
          <w:rFonts w:ascii="宋体" w:hAnsi="宋体"/>
          <w:color w:val="auto"/>
          <w:szCs w:val="21"/>
          <w:highlight w:val="none"/>
        </w:rPr>
      </w:pPr>
    </w:p>
    <w:p>
      <w:pPr>
        <w:rPr>
          <w:color w:val="auto"/>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t>附</w:t>
      </w:r>
      <w:bookmarkStart w:id="1952" w:name="_Toc296891060"/>
      <w:bookmarkStart w:id="1953" w:name="_Toc296503232"/>
      <w:bookmarkStart w:id="1954" w:name="_Toc296891272"/>
      <w:bookmarkStart w:id="1955" w:name="_Toc296347231"/>
      <w:bookmarkStart w:id="1956" w:name="_Toc296944571"/>
      <w:bookmarkStart w:id="1957" w:name="_Toc296346733"/>
      <w:bookmarkStart w:id="1958" w:name="_Toc267261702"/>
      <w:r>
        <w:rPr>
          <w:rFonts w:hint="eastAsia" w:ascii="宋体" w:hAnsi="宋体"/>
          <w:color w:val="auto"/>
          <w:szCs w:val="21"/>
          <w:highlight w:val="none"/>
        </w:rPr>
        <w:t>件</w:t>
      </w:r>
      <w:r>
        <w:rPr>
          <w:rFonts w:ascii="宋体" w:hAnsi="宋体"/>
          <w:color w:val="auto"/>
          <w:szCs w:val="21"/>
          <w:highlight w:val="none"/>
        </w:rPr>
        <w:t>5</w:t>
      </w:r>
      <w:r>
        <w:rPr>
          <w:rFonts w:hint="eastAsia" w:ascii="宋体" w:hAnsi="宋体"/>
          <w:color w:val="auto"/>
          <w:szCs w:val="21"/>
          <w:highlight w:val="none"/>
        </w:rPr>
        <w:t>：</w:t>
      </w:r>
    </w:p>
    <w:bookmarkEnd w:id="1952"/>
    <w:bookmarkEnd w:id="1953"/>
    <w:bookmarkEnd w:id="1954"/>
    <w:bookmarkEnd w:id="1955"/>
    <w:bookmarkEnd w:id="1956"/>
    <w:bookmarkEnd w:id="1957"/>
    <w:bookmarkEnd w:id="1958"/>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预付款担保（如有）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公章之日起生效。</w:t>
      </w:r>
    </w:p>
    <w:p>
      <w:pPr>
        <w:pStyle w:val="2"/>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w:t>
      </w:r>
      <w:r>
        <w:rPr>
          <w:rFonts w:hint="eastAsia" w:ascii="宋体" w:hAnsi="宋体"/>
          <w:color w:val="auto"/>
          <w:szCs w:val="21"/>
          <w:highlight w:val="none"/>
          <w:lang w:eastAsia="zh-CN"/>
        </w:rPr>
        <w:t>公</w:t>
      </w:r>
      <w:r>
        <w:rPr>
          <w:rFonts w:hint="eastAsia" w:ascii="宋体" w:hAnsi="宋体"/>
          <w:color w:val="auto"/>
          <w:szCs w:val="21"/>
          <w:highlight w:val="none"/>
        </w:rPr>
        <w:t>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pPr>
        <w:spacing w:line="360" w:lineRule="auto"/>
        <w:ind w:firstLine="420" w:firstLineChars="200"/>
        <w:rPr>
          <w:rFonts w:ascii="宋体" w:hAnsi="宋体"/>
          <w:color w:val="auto"/>
          <w:szCs w:val="21"/>
          <w:highlight w:val="none"/>
          <w:u w:val="single"/>
        </w:rPr>
      </w:pPr>
    </w:p>
    <w:p>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959" w:name="_Toc296891273"/>
      <w:bookmarkStart w:id="1960" w:name="_Toc296346734"/>
      <w:bookmarkStart w:id="1961" w:name="_Toc296347232"/>
      <w:bookmarkStart w:id="1962" w:name="_Toc296891061"/>
      <w:bookmarkStart w:id="1963" w:name="_Toc296944572"/>
      <w:bookmarkStart w:id="1964" w:name="_Toc296503233"/>
      <w:r>
        <w:rPr>
          <w:rFonts w:hint="eastAsia" w:ascii="宋体" w:hAnsi="宋体"/>
          <w:color w:val="auto"/>
          <w:szCs w:val="21"/>
          <w:highlight w:val="none"/>
        </w:rPr>
        <w:t>件</w:t>
      </w:r>
      <w:r>
        <w:rPr>
          <w:rFonts w:ascii="宋体" w:hAnsi="宋体"/>
          <w:color w:val="auto"/>
          <w:szCs w:val="21"/>
          <w:highlight w:val="none"/>
        </w:rPr>
        <w:t>6</w:t>
      </w:r>
      <w:r>
        <w:rPr>
          <w:rFonts w:hint="eastAsia" w:ascii="宋体" w:hAnsi="宋体"/>
          <w:color w:val="auto"/>
          <w:szCs w:val="21"/>
          <w:highlight w:val="none"/>
        </w:rPr>
        <w:t>：</w:t>
      </w:r>
    </w:p>
    <w:bookmarkEnd w:id="1959"/>
    <w:bookmarkEnd w:id="1960"/>
    <w:bookmarkEnd w:id="1961"/>
    <w:bookmarkEnd w:id="1962"/>
    <w:bookmarkEnd w:id="1963"/>
    <w:bookmarkEnd w:id="1964"/>
    <w:p>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支付担保（如有）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鉴于你方作为承包人已经与 </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rPr>
          <w:rFonts w:ascii="宋体" w:hAnsi="宋体"/>
          <w:color w:val="auto"/>
          <w:szCs w:val="21"/>
          <w:highlight w:val="none"/>
        </w:rPr>
      </w:pPr>
      <w:bookmarkStart w:id="1965" w:name="_Toc532375692"/>
      <w:r>
        <w:rPr>
          <w:rFonts w:hint="eastAsia" w:ascii="宋体" w:hAnsi="宋体"/>
          <w:color w:val="auto"/>
          <w:szCs w:val="21"/>
          <w:highlight w:val="none"/>
        </w:rPr>
        <w:t>一、保证的范围及保证金额</w:t>
      </w:r>
      <w:bookmarkEnd w:id="196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我方的保证范围是主合同约定的工程款。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bookmarkStart w:id="1966" w:name="_Toc532375693"/>
      <w:r>
        <w:rPr>
          <w:rFonts w:hint="eastAsia" w:ascii="宋体" w:hAnsi="宋体"/>
          <w:color w:val="auto"/>
          <w:szCs w:val="21"/>
          <w:highlight w:val="none"/>
        </w:rPr>
        <w:t>二、保证的方式及保证期间</w:t>
      </w:r>
      <w:bookmarkEnd w:id="1966"/>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我方保证的方式为：连带责任保证。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我方保证的期间为：自合同生效之日起至主合同约定的工程款支付完毕之日后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pPr>
        <w:spacing w:line="360" w:lineRule="auto"/>
        <w:ind w:firstLine="420" w:firstLineChars="200"/>
        <w:rPr>
          <w:rFonts w:ascii="宋体" w:hAnsi="宋体"/>
          <w:color w:val="auto"/>
          <w:szCs w:val="21"/>
          <w:highlight w:val="none"/>
        </w:rPr>
      </w:pPr>
      <w:bookmarkStart w:id="1967" w:name="_Toc532375694"/>
      <w:r>
        <w:rPr>
          <w:rFonts w:hint="eastAsia" w:ascii="宋体" w:hAnsi="宋体"/>
          <w:color w:val="auto"/>
          <w:szCs w:val="21"/>
          <w:highlight w:val="none"/>
        </w:rPr>
        <w:t>三、承担保证责任的形式</w:t>
      </w:r>
      <w:bookmarkEnd w:id="196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pPr>
        <w:spacing w:line="360" w:lineRule="auto"/>
        <w:ind w:firstLine="420" w:firstLineChars="200"/>
        <w:rPr>
          <w:rFonts w:ascii="宋体" w:hAnsi="宋体"/>
          <w:color w:val="auto"/>
          <w:szCs w:val="21"/>
          <w:highlight w:val="none"/>
        </w:rPr>
      </w:pPr>
      <w:bookmarkStart w:id="1968" w:name="_Toc532375695"/>
      <w:r>
        <w:rPr>
          <w:rFonts w:hint="eastAsia" w:ascii="宋体" w:hAnsi="宋体"/>
          <w:color w:val="auto"/>
          <w:szCs w:val="21"/>
          <w:highlight w:val="none"/>
        </w:rPr>
        <w:t>四、代偿的安排</w:t>
      </w:r>
      <w:bookmarkEnd w:id="196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pPr>
        <w:spacing w:line="360" w:lineRule="auto"/>
        <w:ind w:firstLine="420" w:firstLineChars="200"/>
        <w:rPr>
          <w:rFonts w:ascii="宋体" w:hAnsi="宋体"/>
          <w:color w:val="auto"/>
          <w:szCs w:val="21"/>
          <w:highlight w:val="none"/>
        </w:rPr>
      </w:pPr>
      <w:bookmarkStart w:id="1969" w:name="_Toc532375696"/>
      <w:r>
        <w:rPr>
          <w:rFonts w:hint="eastAsia" w:ascii="宋体" w:hAnsi="宋体"/>
          <w:color w:val="auto"/>
          <w:szCs w:val="21"/>
          <w:highlight w:val="none"/>
        </w:rPr>
        <w:t>五、保证责任的解除</w:t>
      </w:r>
      <w:bookmarkEnd w:id="1969"/>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我方解除保证责任后，你方应自我方保证责任解除之日起  个工作日内，将本保函原件返还我方。</w:t>
      </w:r>
    </w:p>
    <w:p>
      <w:pPr>
        <w:spacing w:line="360" w:lineRule="auto"/>
        <w:ind w:firstLine="420" w:firstLineChars="200"/>
        <w:rPr>
          <w:rFonts w:ascii="宋体" w:hAnsi="宋体"/>
          <w:color w:val="auto"/>
          <w:szCs w:val="21"/>
          <w:highlight w:val="none"/>
        </w:rPr>
      </w:pPr>
      <w:bookmarkStart w:id="1970" w:name="_Toc532375697"/>
      <w:r>
        <w:rPr>
          <w:rFonts w:hint="eastAsia" w:ascii="宋体" w:hAnsi="宋体"/>
          <w:color w:val="auto"/>
          <w:szCs w:val="21"/>
          <w:highlight w:val="none"/>
        </w:rPr>
        <w:t>六、免责条款</w:t>
      </w:r>
      <w:bookmarkEnd w:id="197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pPr>
        <w:spacing w:line="360" w:lineRule="auto"/>
        <w:ind w:firstLine="420" w:firstLineChars="200"/>
        <w:rPr>
          <w:rFonts w:ascii="宋体" w:hAnsi="宋体"/>
          <w:color w:val="auto"/>
          <w:szCs w:val="21"/>
          <w:highlight w:val="none"/>
        </w:rPr>
      </w:pPr>
      <w:bookmarkStart w:id="1971" w:name="_Toc532375698"/>
      <w:r>
        <w:rPr>
          <w:rFonts w:hint="eastAsia" w:ascii="宋体" w:hAnsi="宋体"/>
          <w:color w:val="auto"/>
          <w:szCs w:val="21"/>
          <w:highlight w:val="none"/>
        </w:rPr>
        <w:t>七、争议解决</w:t>
      </w:r>
      <w:bookmarkEnd w:id="1971"/>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pPr>
        <w:spacing w:line="360" w:lineRule="auto"/>
        <w:ind w:firstLine="420" w:firstLineChars="200"/>
        <w:rPr>
          <w:rFonts w:ascii="宋体" w:hAnsi="宋体"/>
          <w:color w:val="auto"/>
          <w:szCs w:val="21"/>
          <w:highlight w:val="none"/>
        </w:rPr>
      </w:pPr>
      <w:bookmarkStart w:id="1972" w:name="_Toc532375699"/>
      <w:r>
        <w:rPr>
          <w:rFonts w:hint="eastAsia" w:ascii="宋体" w:hAnsi="宋体"/>
          <w:color w:val="auto"/>
          <w:szCs w:val="21"/>
          <w:highlight w:val="none"/>
        </w:rPr>
        <w:t>八、保函的生效</w:t>
      </w:r>
      <w:bookmarkEnd w:id="1972"/>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本保函自我方法定代表人（或其委托代理人）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公章之日起生效。</w:t>
      </w:r>
    </w:p>
    <w:p>
      <w:pPr>
        <w:spacing w:line="360" w:lineRule="auto"/>
        <w:ind w:firstLine="420" w:firstLineChars="200"/>
        <w:jc w:val="left"/>
        <w:rPr>
          <w:rFonts w:ascii="宋体" w:hAnsi="宋体"/>
          <w:color w:val="auto"/>
          <w:szCs w:val="21"/>
          <w:highlight w:val="none"/>
        </w:rPr>
      </w:pPr>
    </w:p>
    <w:p>
      <w:pPr>
        <w:spacing w:line="360" w:lineRule="auto"/>
        <w:ind w:firstLine="420" w:firstLineChars="200"/>
        <w:jc w:val="left"/>
        <w:rPr>
          <w:rFonts w:ascii="宋体" w:hAnsi="宋体"/>
          <w:color w:val="auto"/>
          <w:szCs w:val="21"/>
          <w:highlight w:val="none"/>
        </w:rPr>
      </w:pP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w:t>
      </w:r>
      <w:r>
        <w:rPr>
          <w:rFonts w:hint="eastAsia" w:ascii="宋体" w:hAnsi="宋体"/>
          <w:color w:val="auto"/>
          <w:szCs w:val="21"/>
          <w:highlight w:val="none"/>
          <w:lang w:val="en-US" w:eastAsia="zh-CN"/>
        </w:rPr>
        <w:t>单位公</w:t>
      </w:r>
      <w:r>
        <w:rPr>
          <w:rFonts w:hint="eastAsia" w:ascii="宋体" w:hAnsi="宋体"/>
          <w:color w:val="auto"/>
          <w:szCs w:val="21"/>
          <w:highlight w:val="none"/>
        </w:rPr>
        <w:t>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rPr>
        <w:br w:type="page"/>
      </w:r>
    </w:p>
    <w:p>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w:t>
      </w:r>
    </w:p>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专业工程暂估价表</w:t>
      </w:r>
    </w:p>
    <w:tbl>
      <w:tblPr>
        <w:tblStyle w:val="46"/>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984" w:type="dxa"/>
            <w:noWrap w:val="0"/>
            <w:vAlign w:val="top"/>
          </w:tcPr>
          <w:p>
            <w:pPr>
              <w:spacing w:line="400" w:lineRule="exact"/>
              <w:jc w:val="center"/>
              <w:rPr>
                <w:rFonts w:ascii="宋体" w:hAnsi="宋体"/>
                <w:color w:val="auto"/>
                <w:szCs w:val="21"/>
                <w:highlight w:val="none"/>
              </w:rPr>
            </w:pPr>
            <w:r>
              <w:rPr>
                <w:rFonts w:hint="eastAsia" w:ascii="宋体" w:hAnsi="宋体"/>
                <w:color w:val="auto"/>
                <w:szCs w:val="21"/>
                <w:highlight w:val="none"/>
              </w:rPr>
              <w:t>专业工程名称</w:t>
            </w:r>
          </w:p>
        </w:tc>
        <w:tc>
          <w:tcPr>
            <w:tcW w:w="5103" w:type="dxa"/>
            <w:noWrap w:val="0"/>
            <w:vAlign w:val="top"/>
          </w:tcPr>
          <w:p>
            <w:pPr>
              <w:spacing w:line="400" w:lineRule="exact"/>
              <w:jc w:val="center"/>
              <w:rPr>
                <w:rFonts w:ascii="宋体" w:hAnsi="宋体"/>
                <w:color w:val="auto"/>
                <w:szCs w:val="21"/>
                <w:highlight w:val="none"/>
              </w:rPr>
            </w:pPr>
            <w:r>
              <w:rPr>
                <w:rFonts w:hint="eastAsia" w:ascii="宋体" w:hAnsi="宋体"/>
                <w:color w:val="auto"/>
                <w:szCs w:val="21"/>
                <w:highlight w:val="none"/>
              </w:rPr>
              <w:t>工程内容</w:t>
            </w:r>
          </w:p>
        </w:tc>
        <w:tc>
          <w:tcPr>
            <w:tcW w:w="1560" w:type="dxa"/>
            <w:noWrap w:val="0"/>
            <w:vAlign w:val="top"/>
          </w:tcPr>
          <w:p>
            <w:pPr>
              <w:spacing w:line="400" w:lineRule="exact"/>
              <w:jc w:val="center"/>
              <w:rPr>
                <w:rFonts w:ascii="宋体" w:hAnsi="宋体"/>
                <w:color w:val="auto"/>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pPr>
              <w:spacing w:line="400" w:lineRule="exact"/>
              <w:ind w:firstLine="420" w:firstLineChars="200"/>
              <w:rPr>
                <w:rFonts w:ascii="宋体" w:hAnsi="宋体"/>
                <w:color w:val="auto"/>
                <w:szCs w:val="21"/>
                <w:highlight w:val="none"/>
              </w:rPr>
            </w:pPr>
          </w:p>
        </w:tc>
        <w:tc>
          <w:tcPr>
            <w:tcW w:w="1984" w:type="dxa"/>
            <w:noWrap w:val="0"/>
            <w:vAlign w:val="top"/>
          </w:tcPr>
          <w:p>
            <w:pPr>
              <w:spacing w:line="400" w:lineRule="exact"/>
              <w:ind w:firstLine="420" w:firstLineChars="200"/>
              <w:rPr>
                <w:rFonts w:ascii="宋体" w:hAnsi="宋体"/>
                <w:color w:val="auto"/>
                <w:szCs w:val="21"/>
                <w:highlight w:val="none"/>
              </w:rPr>
            </w:pPr>
          </w:p>
        </w:tc>
        <w:tc>
          <w:tcPr>
            <w:tcW w:w="5103" w:type="dxa"/>
            <w:noWrap w:val="0"/>
            <w:vAlign w:val="top"/>
          </w:tcPr>
          <w:p>
            <w:pPr>
              <w:spacing w:line="400" w:lineRule="exact"/>
              <w:ind w:firstLine="420" w:firstLineChars="200"/>
              <w:rPr>
                <w:rFonts w:ascii="宋体" w:hAnsi="宋体"/>
                <w:color w:val="auto"/>
                <w:szCs w:val="21"/>
                <w:highlight w:val="none"/>
              </w:rPr>
            </w:pPr>
          </w:p>
        </w:tc>
        <w:tc>
          <w:tcPr>
            <w:tcW w:w="1560"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noWrap w:val="0"/>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小计：</w:t>
            </w:r>
          </w:p>
        </w:tc>
      </w:tr>
    </w:tbl>
    <w:p>
      <w:pPr>
        <w:spacing w:line="360" w:lineRule="auto"/>
        <w:ind w:firstLine="420" w:firstLineChars="200"/>
        <w:rPr>
          <w:rFonts w:ascii="宋体" w:hAnsi="宋体"/>
          <w:color w:val="auto"/>
          <w:szCs w:val="21"/>
          <w:highlight w:val="none"/>
        </w:rPr>
      </w:pPr>
    </w:p>
    <w:p>
      <w:pPr>
        <w:pStyle w:val="2"/>
        <w:spacing w:line="360" w:lineRule="auto"/>
        <w:rPr>
          <w:rFonts w:ascii="宋体" w:hAnsi="宋体"/>
          <w:color w:val="auto"/>
          <w:szCs w:val="21"/>
          <w:highlight w:val="none"/>
        </w:rPr>
      </w:pPr>
    </w:p>
    <w:p>
      <w:pPr>
        <w:spacing w:line="480" w:lineRule="auto"/>
        <w:rPr>
          <w:rFonts w:ascii="宋体" w:hAnsi="宋体"/>
          <w:color w:val="auto"/>
          <w:szCs w:val="21"/>
          <w:highlight w:val="none"/>
        </w:rPr>
      </w:pPr>
    </w:p>
    <w:p>
      <w:pPr>
        <w:spacing w:line="480" w:lineRule="auto"/>
        <w:rPr>
          <w:rFonts w:ascii="宋体" w:hAnsi="宋体"/>
          <w:color w:val="auto"/>
          <w:szCs w:val="21"/>
          <w:highlight w:val="none"/>
        </w:rPr>
      </w:pPr>
    </w:p>
    <w:p>
      <w:pPr>
        <w:pStyle w:val="2"/>
        <w:rPr>
          <w:color w:val="auto"/>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w:t>
      </w:r>
    </w:p>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廉洁从业协议</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 发包人承包人的权利和义务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 工程的合同文件，自觉按合同办事。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发包人的义务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承包人义务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违约责任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协议有效期为甲乙双方签署之日起至该工程项目竣工验收后止。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7.协议作为 工程施工合同的附件，与工程施工合同具有同等的法律效力，经合同双方签署立即生效。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pPr>
        <w:spacing w:line="360" w:lineRule="auto"/>
        <w:rPr>
          <w:rFonts w:ascii="宋体" w:hAnsi="宋体"/>
          <w:color w:val="auto"/>
          <w:szCs w:val="21"/>
          <w:highlight w:val="none"/>
        </w:rPr>
      </w:pPr>
    </w:p>
    <w:p>
      <w:pPr>
        <w:pStyle w:val="2"/>
        <w:spacing w:line="360" w:lineRule="auto"/>
        <w:rPr>
          <w:rFonts w:ascii="宋体" w:hAnsi="宋体"/>
          <w:color w:val="auto"/>
          <w:szCs w:val="21"/>
          <w:highlight w:val="none"/>
        </w:rPr>
      </w:pPr>
    </w:p>
    <w:p>
      <w:pPr>
        <w:pStyle w:val="2"/>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甲     方：                         乙     方：</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                          法定代表人                      </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或其授权的代理人：                  或授权的代理人：</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w:t>
      </w:r>
    </w:p>
    <w:p>
      <w:pPr>
        <w:spacing w:before="156" w:beforeLines="50" w:after="156" w:afterLines="50" w:line="480" w:lineRule="auto"/>
        <w:jc w:val="center"/>
        <w:rPr>
          <w:rFonts w:ascii="宋体" w:hAnsi="宋体"/>
          <w:color w:val="auto"/>
          <w:szCs w:val="21"/>
          <w:highlight w:val="none"/>
        </w:rPr>
      </w:pPr>
      <w:bookmarkStart w:id="1973" w:name="_Toc448406299"/>
      <w:bookmarkStart w:id="1974" w:name="_Toc247431422"/>
      <w:bookmarkStart w:id="1975" w:name="_Toc435689499"/>
      <w:bookmarkStart w:id="1976" w:name="_Toc435690184"/>
      <w:bookmarkStart w:id="1977" w:name="_Toc239510288"/>
      <w:bookmarkStart w:id="1978" w:name="_Toc336680145"/>
      <w:r>
        <w:rPr>
          <w:rFonts w:hint="eastAsia" w:ascii="宋体" w:hAnsi="宋体"/>
          <w:color w:val="auto"/>
          <w:szCs w:val="21"/>
          <w:highlight w:val="none"/>
        </w:rPr>
        <w:t>安全管理协议</w:t>
      </w:r>
      <w:bookmarkEnd w:id="1973"/>
      <w:bookmarkEnd w:id="1974"/>
      <w:bookmarkEnd w:id="1975"/>
      <w:bookmarkEnd w:id="1976"/>
      <w:bookmarkEnd w:id="1977"/>
      <w:bookmarkEnd w:id="1978"/>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ascii="宋体" w:hAnsi="宋体"/>
          <w:color w:val="auto"/>
          <w:szCs w:val="21"/>
          <w:highlight w:val="none"/>
        </w:rPr>
      </w:pPr>
      <w:bookmarkStart w:id="1979" w:name="_Toc239510289"/>
      <w:bookmarkStart w:id="1980" w:name="_Toc532375700"/>
      <w:bookmarkStart w:id="1981" w:name="_Toc247431423"/>
      <w:bookmarkStart w:id="1982" w:name="_Toc247418263"/>
      <w:r>
        <w:rPr>
          <w:rFonts w:hint="eastAsia" w:ascii="宋体" w:hAnsi="宋体"/>
          <w:color w:val="auto"/>
          <w:szCs w:val="21"/>
          <w:highlight w:val="none"/>
        </w:rPr>
        <w:t>一、协议有效期限</w:t>
      </w:r>
      <w:bookmarkEnd w:id="1979"/>
      <w:bookmarkEnd w:id="1980"/>
      <w:bookmarkEnd w:id="1981"/>
      <w:bookmarkEnd w:id="198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ascii="宋体" w:hAnsi="宋体"/>
          <w:color w:val="auto"/>
          <w:szCs w:val="21"/>
          <w:highlight w:val="none"/>
        </w:rPr>
      </w:pPr>
      <w:bookmarkStart w:id="1983" w:name="_Toc532375701"/>
      <w:bookmarkStart w:id="1984" w:name="_Toc247418264"/>
      <w:bookmarkStart w:id="1985" w:name="_Toc239510290"/>
      <w:bookmarkStart w:id="1986" w:name="_Toc247431424"/>
      <w:r>
        <w:rPr>
          <w:rFonts w:hint="eastAsia" w:ascii="宋体" w:hAnsi="宋体"/>
          <w:color w:val="auto"/>
          <w:szCs w:val="21"/>
          <w:highlight w:val="none"/>
        </w:rPr>
        <w:t>二、责任目标</w:t>
      </w:r>
      <w:bookmarkEnd w:id="1983"/>
      <w:bookmarkEnd w:id="1984"/>
      <w:bookmarkEnd w:id="1985"/>
      <w:bookmarkEnd w:id="1986"/>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1．不发生人身重伤事故；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2．不发生火灾事故；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4．不发生集体食物中毒事件（同时5人及以上的食物中毒）；</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pPr>
        <w:spacing w:line="360" w:lineRule="auto"/>
        <w:ind w:firstLine="420" w:firstLineChars="200"/>
        <w:jc w:val="left"/>
        <w:rPr>
          <w:rFonts w:ascii="宋体" w:hAnsi="宋体"/>
          <w:color w:val="auto"/>
          <w:szCs w:val="21"/>
          <w:highlight w:val="none"/>
        </w:rPr>
      </w:pPr>
      <w:bookmarkStart w:id="1987" w:name="_Toc247418265"/>
      <w:bookmarkStart w:id="1988" w:name="_Toc247431425"/>
      <w:bookmarkStart w:id="1989" w:name="_Toc239510291"/>
      <w:r>
        <w:rPr>
          <w:rFonts w:hint="eastAsia" w:ascii="宋体" w:hAnsi="宋体"/>
          <w:color w:val="auto"/>
          <w:szCs w:val="21"/>
          <w:highlight w:val="none"/>
        </w:rPr>
        <w:t>（三）承包人承诺在施工中控制以下安全事故的发生：</w:t>
      </w:r>
      <w:bookmarkEnd w:id="1987"/>
      <w:bookmarkEnd w:id="1988"/>
      <w:bookmarkEnd w:id="198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1．人员轻伤事故。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2．负有同等及以上事故责任的人身轻伤交通事故。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3．其他安全未遂事故和异常事件。</w:t>
      </w:r>
    </w:p>
    <w:p>
      <w:pPr>
        <w:spacing w:line="360" w:lineRule="auto"/>
        <w:ind w:firstLine="420" w:firstLineChars="200"/>
        <w:rPr>
          <w:rFonts w:ascii="宋体" w:hAnsi="宋体"/>
          <w:color w:val="auto"/>
          <w:szCs w:val="21"/>
          <w:highlight w:val="none"/>
        </w:rPr>
      </w:pPr>
      <w:bookmarkStart w:id="1990" w:name="_Toc247418266"/>
      <w:bookmarkStart w:id="1991" w:name="_Toc247431426"/>
      <w:bookmarkStart w:id="1992" w:name="_Toc532375702"/>
      <w:bookmarkStart w:id="1993" w:name="_Toc239510292"/>
      <w:r>
        <w:rPr>
          <w:rFonts w:hint="eastAsia" w:ascii="宋体" w:hAnsi="宋体"/>
          <w:color w:val="auto"/>
          <w:szCs w:val="21"/>
          <w:highlight w:val="none"/>
        </w:rPr>
        <w:t>三、安全责任</w:t>
      </w:r>
      <w:bookmarkEnd w:id="1990"/>
      <w:bookmarkEnd w:id="1991"/>
      <w:bookmarkEnd w:id="1992"/>
      <w:bookmarkEnd w:id="199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1．承包人负有安全生产的管理责任和直接责任。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4．承包人保证执行“谁施工、谁负责”的施工安全原则。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ascii="宋体" w:hAnsi="宋体"/>
          <w:color w:val="auto"/>
          <w:szCs w:val="21"/>
          <w:highlight w:val="none"/>
        </w:rPr>
      </w:pPr>
      <w:bookmarkStart w:id="1994" w:name="_Toc532375703"/>
      <w:bookmarkStart w:id="1995" w:name="_Toc247431427"/>
      <w:bookmarkStart w:id="1996" w:name="_Toc247418267"/>
      <w:bookmarkStart w:id="1997" w:name="_Toc239510293"/>
      <w:r>
        <w:rPr>
          <w:rFonts w:hint="eastAsia" w:ascii="宋体" w:hAnsi="宋体"/>
          <w:color w:val="auto"/>
          <w:szCs w:val="21"/>
          <w:highlight w:val="none"/>
        </w:rPr>
        <w:t>四、接口及协调</w:t>
      </w:r>
      <w:bookmarkEnd w:id="1994"/>
      <w:bookmarkEnd w:id="1995"/>
      <w:bookmarkEnd w:id="1996"/>
      <w:bookmarkEnd w:id="199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pPr>
        <w:spacing w:line="360" w:lineRule="auto"/>
        <w:ind w:firstLine="420" w:firstLineChars="200"/>
        <w:rPr>
          <w:rFonts w:ascii="宋体" w:hAnsi="宋体"/>
          <w:color w:val="auto"/>
          <w:szCs w:val="21"/>
          <w:highlight w:val="none"/>
        </w:rPr>
      </w:pPr>
      <w:bookmarkStart w:id="1998" w:name="_Toc247418268"/>
      <w:bookmarkStart w:id="1999" w:name="_Toc239510294"/>
      <w:bookmarkStart w:id="2000" w:name="_Toc532375704"/>
      <w:bookmarkStart w:id="2001" w:name="_Toc247431428"/>
      <w:r>
        <w:rPr>
          <w:rFonts w:hint="eastAsia" w:ascii="宋体" w:hAnsi="宋体"/>
          <w:color w:val="auto"/>
          <w:szCs w:val="21"/>
          <w:highlight w:val="none"/>
        </w:rPr>
        <w:t>五、安全资质审查</w:t>
      </w:r>
      <w:bookmarkEnd w:id="1998"/>
      <w:bookmarkEnd w:id="1999"/>
      <w:bookmarkEnd w:id="2000"/>
      <w:bookmarkEnd w:id="200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1．企业安全生产许可证书复印件。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2．企业近三年的施工简历及安全施工业绩证明文件。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4．特种作业人员资格证书。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pPr>
        <w:spacing w:line="360" w:lineRule="auto"/>
        <w:ind w:firstLine="420" w:firstLineChars="200"/>
        <w:rPr>
          <w:rFonts w:ascii="宋体" w:hAnsi="宋体"/>
          <w:color w:val="auto"/>
          <w:szCs w:val="21"/>
          <w:highlight w:val="none"/>
        </w:rPr>
      </w:pPr>
      <w:bookmarkStart w:id="2002" w:name="_Toc247431429"/>
      <w:bookmarkStart w:id="2003" w:name="_Toc532375705"/>
      <w:bookmarkStart w:id="2004" w:name="_Toc239510295"/>
      <w:bookmarkStart w:id="2005" w:name="_Toc247418269"/>
      <w:r>
        <w:rPr>
          <w:rFonts w:hint="eastAsia" w:ascii="宋体" w:hAnsi="宋体"/>
          <w:color w:val="auto"/>
          <w:szCs w:val="21"/>
          <w:highlight w:val="none"/>
        </w:rPr>
        <w:t>六、人员基本素质</w:t>
      </w:r>
      <w:bookmarkEnd w:id="2002"/>
      <w:bookmarkEnd w:id="2003"/>
      <w:bookmarkEnd w:id="2004"/>
      <w:bookmarkEnd w:id="200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承包人提供的人员必须满足下列要求：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2．无刑事案件牵连。</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3．无吸毒、酗酒、赌博、嫖娼等恶习及违法行为。</w:t>
      </w:r>
    </w:p>
    <w:p>
      <w:pPr>
        <w:spacing w:line="360" w:lineRule="auto"/>
        <w:ind w:firstLine="420" w:firstLineChars="200"/>
        <w:rPr>
          <w:rFonts w:ascii="宋体" w:hAnsi="宋体"/>
          <w:color w:val="auto"/>
          <w:szCs w:val="21"/>
          <w:highlight w:val="none"/>
        </w:rPr>
      </w:pPr>
      <w:bookmarkStart w:id="2006" w:name="_Toc247418270"/>
      <w:bookmarkStart w:id="2007" w:name="_Toc239510296"/>
      <w:bookmarkStart w:id="2008" w:name="_Toc532375706"/>
      <w:bookmarkStart w:id="2009" w:name="_Toc247431430"/>
      <w:r>
        <w:rPr>
          <w:rFonts w:hint="eastAsia" w:ascii="宋体" w:hAnsi="宋体"/>
          <w:color w:val="auto"/>
          <w:szCs w:val="21"/>
          <w:highlight w:val="none"/>
        </w:rPr>
        <w:t>七、劳动保护</w:t>
      </w:r>
      <w:bookmarkEnd w:id="2006"/>
      <w:bookmarkEnd w:id="2007"/>
      <w:bookmarkEnd w:id="2008"/>
      <w:bookmarkEnd w:id="200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pPr>
        <w:spacing w:line="360" w:lineRule="auto"/>
        <w:ind w:firstLine="420" w:firstLineChars="200"/>
        <w:rPr>
          <w:rFonts w:ascii="宋体" w:hAnsi="宋体"/>
          <w:color w:val="auto"/>
          <w:szCs w:val="21"/>
          <w:highlight w:val="none"/>
        </w:rPr>
      </w:pPr>
      <w:bookmarkStart w:id="2010" w:name="_Toc239510297"/>
      <w:bookmarkStart w:id="2011" w:name="_Toc532375707"/>
      <w:bookmarkStart w:id="2012" w:name="_Toc247418271"/>
      <w:bookmarkStart w:id="2013" w:name="_Toc247431431"/>
      <w:r>
        <w:rPr>
          <w:rFonts w:hint="eastAsia" w:ascii="宋体" w:hAnsi="宋体"/>
          <w:color w:val="auto"/>
          <w:szCs w:val="21"/>
          <w:highlight w:val="none"/>
        </w:rPr>
        <w:t>八、施工机具与材料</w:t>
      </w:r>
      <w:bookmarkEnd w:id="2010"/>
      <w:bookmarkEnd w:id="2011"/>
      <w:bookmarkEnd w:id="2012"/>
      <w:bookmarkEnd w:id="201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1．承包人对带入现场的施工机械和工器具的安全负责。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ascii="宋体" w:hAnsi="宋体"/>
          <w:color w:val="auto"/>
          <w:szCs w:val="21"/>
          <w:highlight w:val="none"/>
        </w:rPr>
      </w:pPr>
      <w:bookmarkStart w:id="2014" w:name="_Toc247431432"/>
      <w:bookmarkStart w:id="2015" w:name="_Toc532375708"/>
      <w:bookmarkStart w:id="2016" w:name="_Toc239510298"/>
      <w:bookmarkStart w:id="2017" w:name="_Toc247418272"/>
      <w:r>
        <w:rPr>
          <w:rFonts w:hint="eastAsia" w:ascii="宋体" w:hAnsi="宋体"/>
          <w:color w:val="auto"/>
          <w:szCs w:val="21"/>
          <w:highlight w:val="none"/>
        </w:rPr>
        <w:t>九、开工前安全条件检查</w:t>
      </w:r>
      <w:bookmarkEnd w:id="2014"/>
      <w:bookmarkEnd w:id="2015"/>
      <w:bookmarkEnd w:id="2016"/>
      <w:bookmarkEnd w:id="201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ascii="宋体" w:hAnsi="宋体"/>
          <w:color w:val="auto"/>
          <w:szCs w:val="21"/>
          <w:highlight w:val="none"/>
        </w:rPr>
      </w:pPr>
      <w:bookmarkStart w:id="2018" w:name="_Toc532375709"/>
      <w:bookmarkStart w:id="2019" w:name="_Toc239510299"/>
      <w:bookmarkStart w:id="2020" w:name="_Toc247418273"/>
      <w:bookmarkStart w:id="2021" w:name="_Toc247431433"/>
      <w:r>
        <w:rPr>
          <w:rFonts w:hint="eastAsia" w:ascii="宋体" w:hAnsi="宋体"/>
          <w:color w:val="auto"/>
          <w:szCs w:val="21"/>
          <w:highlight w:val="none"/>
        </w:rPr>
        <w:t>十、安全监督</w:t>
      </w:r>
      <w:bookmarkEnd w:id="2018"/>
      <w:bookmarkEnd w:id="2019"/>
      <w:bookmarkEnd w:id="2020"/>
      <w:bookmarkEnd w:id="202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ascii="宋体" w:hAnsi="宋体"/>
          <w:color w:val="auto"/>
          <w:szCs w:val="21"/>
          <w:highlight w:val="none"/>
        </w:rPr>
      </w:pPr>
      <w:bookmarkStart w:id="2022" w:name="_Toc247431434"/>
      <w:bookmarkStart w:id="2023" w:name="_Toc532375710"/>
      <w:bookmarkStart w:id="2024" w:name="_Toc247418274"/>
      <w:bookmarkStart w:id="2025" w:name="_Toc239510300"/>
      <w:r>
        <w:rPr>
          <w:rFonts w:hint="eastAsia" w:ascii="宋体" w:hAnsi="宋体"/>
          <w:color w:val="auto"/>
          <w:szCs w:val="21"/>
          <w:highlight w:val="none"/>
        </w:rPr>
        <w:t>十一、安全培训与授权</w:t>
      </w:r>
      <w:bookmarkEnd w:id="2022"/>
      <w:bookmarkEnd w:id="2023"/>
      <w:bookmarkEnd w:id="2024"/>
      <w:bookmarkEnd w:id="202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ascii="宋体" w:hAnsi="宋体"/>
          <w:color w:val="auto"/>
          <w:szCs w:val="21"/>
          <w:highlight w:val="none"/>
        </w:rPr>
      </w:pPr>
      <w:bookmarkStart w:id="2026" w:name="_Toc532375711"/>
      <w:bookmarkStart w:id="2027" w:name="_Toc239510301"/>
      <w:bookmarkStart w:id="2028" w:name="_Toc247418275"/>
      <w:bookmarkStart w:id="2029" w:name="_Toc247431435"/>
      <w:r>
        <w:rPr>
          <w:rFonts w:hint="eastAsia" w:ascii="宋体" w:hAnsi="宋体"/>
          <w:color w:val="auto"/>
          <w:szCs w:val="21"/>
          <w:highlight w:val="none"/>
        </w:rPr>
        <w:t>十二、职业健康与卫生防疫</w:t>
      </w:r>
      <w:bookmarkEnd w:id="2026"/>
      <w:bookmarkEnd w:id="2027"/>
      <w:bookmarkEnd w:id="2028"/>
      <w:bookmarkEnd w:id="202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ascii="宋体" w:hAnsi="宋体"/>
          <w:color w:val="auto"/>
          <w:szCs w:val="21"/>
          <w:highlight w:val="none"/>
        </w:rPr>
      </w:pPr>
      <w:bookmarkStart w:id="2030" w:name="_Toc247431436"/>
      <w:bookmarkStart w:id="2031" w:name="_Toc532375712"/>
      <w:bookmarkStart w:id="2032" w:name="_Toc239510302"/>
      <w:bookmarkStart w:id="2033" w:name="_Toc247418276"/>
      <w:r>
        <w:rPr>
          <w:rFonts w:hint="eastAsia" w:ascii="宋体" w:hAnsi="宋体"/>
          <w:color w:val="auto"/>
          <w:szCs w:val="21"/>
          <w:highlight w:val="none"/>
        </w:rPr>
        <w:t>十三、文明施工与环保要求</w:t>
      </w:r>
      <w:bookmarkEnd w:id="2030"/>
      <w:bookmarkEnd w:id="2031"/>
      <w:bookmarkEnd w:id="2032"/>
      <w:bookmarkEnd w:id="203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2．承包人作业时应避免建筑材料抛洒、飞扬、流淌；应尽可能降低噪音、震动。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ascii="宋体" w:hAnsi="宋体"/>
          <w:color w:val="auto"/>
          <w:szCs w:val="21"/>
          <w:highlight w:val="none"/>
        </w:rPr>
      </w:pPr>
      <w:bookmarkStart w:id="2034" w:name="_Toc239510303"/>
      <w:bookmarkStart w:id="2035" w:name="_Toc532375713"/>
      <w:bookmarkStart w:id="2036" w:name="_Toc247418277"/>
      <w:bookmarkStart w:id="2037" w:name="_Toc247431437"/>
      <w:r>
        <w:rPr>
          <w:rFonts w:hint="eastAsia" w:ascii="宋体" w:hAnsi="宋体"/>
          <w:color w:val="auto"/>
          <w:szCs w:val="21"/>
          <w:highlight w:val="none"/>
        </w:rPr>
        <w:t>十四、工程风险管理与事故预防</w:t>
      </w:r>
      <w:bookmarkEnd w:id="2034"/>
      <w:bookmarkEnd w:id="2035"/>
      <w:bookmarkEnd w:id="2036"/>
      <w:bookmarkEnd w:id="2037"/>
    </w:p>
    <w:p>
      <w:pPr>
        <w:spacing w:line="360" w:lineRule="auto"/>
        <w:ind w:firstLine="420" w:firstLineChars="200"/>
        <w:jc w:val="left"/>
        <w:rPr>
          <w:rFonts w:ascii="宋体" w:hAnsi="宋体"/>
          <w:color w:val="auto"/>
          <w:szCs w:val="21"/>
          <w:highlight w:val="none"/>
        </w:rPr>
      </w:pPr>
      <w:bookmarkStart w:id="2038" w:name="_Toc247418278"/>
      <w:bookmarkStart w:id="2039" w:name="_Toc239510304"/>
      <w:bookmarkStart w:id="2040" w:name="_Toc247431438"/>
      <w:r>
        <w:rPr>
          <w:rFonts w:hint="eastAsia" w:ascii="宋体" w:hAnsi="宋体"/>
          <w:color w:val="auto"/>
          <w:szCs w:val="21"/>
          <w:highlight w:val="none"/>
        </w:rPr>
        <w:t>（一）基本要求</w:t>
      </w:r>
      <w:bookmarkEnd w:id="2038"/>
      <w:bookmarkEnd w:id="2039"/>
      <w:bookmarkEnd w:id="2040"/>
    </w:p>
    <w:p>
      <w:pPr>
        <w:spacing w:line="360" w:lineRule="auto"/>
        <w:ind w:firstLine="420" w:firstLineChars="200"/>
        <w:jc w:val="left"/>
        <w:rPr>
          <w:rFonts w:ascii="宋体" w:hAnsi="宋体"/>
          <w:color w:val="auto"/>
          <w:szCs w:val="21"/>
          <w:highlight w:val="none"/>
        </w:rPr>
      </w:pPr>
      <w:bookmarkStart w:id="2041" w:name="_Toc532375714"/>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204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（2）施工能源和机械的种类、数量和主要事故风险。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（3）施工作业条件的类型和主要事故风险。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（5）主要火灾危险（可燃物、点火源）。</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（6）主要自然灾害（洪水、大风、雷暴、暴雨、地质灾害等）。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（8）其他。</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ascii="宋体" w:hAnsi="宋体"/>
          <w:color w:val="auto"/>
          <w:szCs w:val="21"/>
          <w:highlight w:val="none"/>
        </w:rPr>
      </w:pPr>
      <w:bookmarkStart w:id="2042" w:name="_Toc247431439"/>
      <w:bookmarkStart w:id="2043" w:name="_Toc247418279"/>
      <w:bookmarkStart w:id="2044" w:name="_Toc239510305"/>
      <w:r>
        <w:rPr>
          <w:rFonts w:hint="eastAsia" w:ascii="宋体" w:hAnsi="宋体"/>
          <w:color w:val="auto"/>
          <w:szCs w:val="21"/>
          <w:highlight w:val="none"/>
        </w:rPr>
        <w:t>（二）现场作业基本安全条件</w:t>
      </w:r>
      <w:bookmarkEnd w:id="2042"/>
      <w:bookmarkEnd w:id="2043"/>
      <w:bookmarkEnd w:id="204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ascii="宋体" w:hAnsi="宋体"/>
          <w:color w:val="auto"/>
          <w:szCs w:val="21"/>
          <w:highlight w:val="none"/>
        </w:rPr>
      </w:pPr>
      <w:bookmarkStart w:id="2045" w:name="_Toc239510306"/>
      <w:bookmarkStart w:id="2046" w:name="_Toc532375715"/>
      <w:bookmarkStart w:id="2047" w:name="_Toc247431440"/>
      <w:bookmarkStart w:id="2048" w:name="_Toc247418280"/>
      <w:r>
        <w:rPr>
          <w:rFonts w:hint="eastAsia" w:ascii="宋体" w:hAnsi="宋体"/>
          <w:color w:val="auto"/>
          <w:szCs w:val="21"/>
          <w:highlight w:val="none"/>
        </w:rPr>
        <w:t>十五、事故报告与应急救援</w:t>
      </w:r>
      <w:bookmarkEnd w:id="2045"/>
      <w:bookmarkEnd w:id="2046"/>
      <w:bookmarkEnd w:id="2047"/>
      <w:bookmarkEnd w:id="204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pPr>
        <w:spacing w:line="360" w:lineRule="auto"/>
        <w:ind w:firstLine="420" w:firstLineChars="200"/>
        <w:rPr>
          <w:rFonts w:ascii="宋体" w:hAnsi="宋体"/>
          <w:color w:val="auto"/>
          <w:szCs w:val="21"/>
          <w:highlight w:val="none"/>
        </w:rPr>
      </w:pPr>
      <w:bookmarkStart w:id="2049" w:name="_Toc532375716"/>
      <w:bookmarkStart w:id="2050" w:name="_Toc247431441"/>
      <w:bookmarkStart w:id="2051" w:name="_Toc239510307"/>
      <w:bookmarkStart w:id="2052" w:name="_Toc247418281"/>
      <w:r>
        <w:rPr>
          <w:rFonts w:hint="eastAsia" w:ascii="宋体" w:hAnsi="宋体"/>
          <w:color w:val="auto"/>
          <w:szCs w:val="21"/>
          <w:highlight w:val="none"/>
        </w:rPr>
        <w:t>十六、安全业绩考核</w:t>
      </w:r>
      <w:bookmarkEnd w:id="2049"/>
      <w:bookmarkEnd w:id="2050"/>
      <w:bookmarkEnd w:id="2051"/>
      <w:bookmarkEnd w:id="205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6"/>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签约合同价的4‰</w:t>
            </w:r>
          </w:p>
        </w:tc>
      </w:tr>
    </w:tbl>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（4）所称的“以上”包括本数，所称的“以下”不包括本数。</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ascii="宋体" w:hAnsi="宋体"/>
          <w:color w:val="auto"/>
          <w:szCs w:val="21"/>
          <w:highlight w:val="none"/>
        </w:rPr>
      </w:pPr>
      <w:bookmarkStart w:id="2053" w:name="_Toc532375717"/>
      <w:bookmarkStart w:id="2054" w:name="_Toc247418282"/>
      <w:bookmarkStart w:id="2055" w:name="_Toc239510308"/>
      <w:bookmarkStart w:id="2056" w:name="_Toc247431442"/>
      <w:r>
        <w:rPr>
          <w:rFonts w:hint="eastAsia" w:ascii="宋体" w:hAnsi="宋体"/>
          <w:color w:val="auto"/>
          <w:szCs w:val="21"/>
          <w:highlight w:val="none"/>
        </w:rPr>
        <w:t>十七、协议条款的修订</w:t>
      </w:r>
      <w:bookmarkEnd w:id="2053"/>
      <w:bookmarkEnd w:id="2054"/>
      <w:bookmarkEnd w:id="2055"/>
      <w:bookmarkEnd w:id="2056"/>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  包  人（</w:t>
      </w:r>
      <w:r>
        <w:rPr>
          <w:rFonts w:hint="eastAsia" w:ascii="宋体" w:hAnsi="宋体"/>
          <w:color w:val="auto"/>
          <w:szCs w:val="21"/>
          <w:highlight w:val="none"/>
          <w:lang w:val="en-US" w:eastAsia="zh-CN"/>
        </w:rPr>
        <w:t>单位</w:t>
      </w:r>
      <w:r>
        <w:rPr>
          <w:rFonts w:hint="eastAsia" w:ascii="宋体" w:hAnsi="宋体"/>
          <w:color w:val="auto"/>
          <w:szCs w:val="21"/>
          <w:highlight w:val="none"/>
        </w:rPr>
        <w:t>公章）：</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p>
    <w:p>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承  包  人（</w:t>
      </w:r>
      <w:r>
        <w:rPr>
          <w:rFonts w:hint="eastAsia" w:ascii="宋体" w:hAnsi="宋体"/>
          <w:color w:val="auto"/>
          <w:szCs w:val="21"/>
          <w:highlight w:val="none"/>
          <w:lang w:val="en-US" w:eastAsia="zh-CN"/>
        </w:rPr>
        <w:t>单位</w:t>
      </w:r>
      <w:r>
        <w:rPr>
          <w:rFonts w:hint="eastAsia" w:ascii="宋体" w:hAnsi="宋体"/>
          <w:color w:val="auto"/>
          <w:szCs w:val="21"/>
          <w:highlight w:val="none"/>
        </w:rPr>
        <w:t>公章）：</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p>
    <w:p>
      <w:pPr>
        <w:snapToGrid w:val="0"/>
        <w:spacing w:line="360" w:lineRule="auto"/>
        <w:jc w:val="left"/>
        <w:rPr>
          <w:rFonts w:ascii="宋体" w:hAnsi="宋体"/>
          <w:color w:val="auto"/>
          <w:kern w:val="0"/>
          <w:szCs w:val="21"/>
          <w:highlight w:val="none"/>
        </w:rPr>
      </w:pPr>
      <w:r>
        <w:rPr>
          <w:rFonts w:hint="eastAsia" w:ascii="宋体" w:hAnsi="宋体"/>
          <w:color w:val="auto"/>
          <w:szCs w:val="21"/>
          <w:highlight w:val="none"/>
        </w:rPr>
        <w:br w:type="page"/>
      </w:r>
    </w:p>
    <w:p>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w:t>
      </w:r>
    </w:p>
    <w:p>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保障农民工工资支付协议</w:t>
      </w:r>
    </w:p>
    <w:p>
      <w:pPr>
        <w:spacing w:before="156" w:beforeLines="50" w:after="156" w:afterLines="50" w:line="480" w:lineRule="auto"/>
        <w:jc w:val="both"/>
        <w:rPr>
          <w:rFonts w:hint="eastAsia" w:ascii="宋体" w:hAnsi="宋体" w:eastAsia="宋体" w:cs="宋体"/>
          <w:color w:val="auto"/>
          <w:sz w:val="21"/>
          <w:szCs w:val="21"/>
          <w:highlight w:val="none"/>
          <w:lang w:val="en-US" w:eastAsia="zh-CN"/>
        </w:rPr>
      </w:pPr>
      <w:r>
        <w:rPr>
          <w:rFonts w:hint="eastAsia" w:ascii="宋体" w:hAnsi="宋体" w:eastAsia="方正仿宋_GBK"/>
          <w:color w:val="auto"/>
          <w:szCs w:val="21"/>
          <w:highlight w:val="none"/>
          <w:lang w:val="en-US" w:eastAsia="zh-CN"/>
        </w:rPr>
        <w:t xml:space="preserve">    </w:t>
      </w:r>
      <w:r>
        <w:rPr>
          <w:rFonts w:hint="eastAsia" w:ascii="宋体" w:hAnsi="宋体" w:eastAsia="宋体" w:cs="宋体"/>
          <w:color w:val="auto"/>
          <w:sz w:val="21"/>
          <w:szCs w:val="21"/>
          <w:highlight w:val="none"/>
          <w:lang w:val="en-US" w:eastAsia="zh-CN"/>
        </w:rPr>
        <w:t>为在</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施工合同的实施过程中确保农民工工资拖欠问题重要性，贯彻落实好《保障农民工工资支付条例》和重庆市、垫江县有关政策规定，高度重视、依法保障农民工工资支付，维护农民工的切身利益，促进社会公平正义和社会和谐稳定。本工程发包人</w:t>
      </w:r>
      <w:r>
        <w:rPr>
          <w:rFonts w:hint="eastAsia" w:ascii="宋体" w:hAnsi="宋体" w:cs="宋体"/>
          <w:color w:val="auto"/>
          <w:sz w:val="21"/>
          <w:szCs w:val="21"/>
          <w:highlight w:val="none"/>
          <w:lang w:val="en-US" w:eastAsia="zh-CN"/>
        </w:rPr>
        <w:t>重庆明月山建设开发有限公司</w:t>
      </w:r>
      <w:r>
        <w:rPr>
          <w:rFonts w:hint="eastAsia" w:ascii="宋体" w:hAnsi="宋体" w:eastAsia="宋体" w:cs="宋体"/>
          <w:color w:val="auto"/>
          <w:sz w:val="21"/>
          <w:szCs w:val="21"/>
          <w:highlight w:val="none"/>
          <w:lang w:val="en-US" w:eastAsia="zh-CN"/>
        </w:rPr>
        <w:t>（发包人名称，以下简称“发包人”）与承包人   （承包人名称，以下简称“承包人”）特此签订保障农民工工资支付协议。</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一、发包人职责</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（一）建设单位职能职责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1.工程项目资金安排要落实到位；</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2.施工合同中，要依法约定人工费用支付条款，做到按月、足额拨付至施工总承包单位农民工工资专户；</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3.项目单位建立农民工工资协调机制和工资拖欠预防机制，发生农民工集体讨薪事件的，建设单位督促施工总承包单位及时处理，并向县人社部门、行业主管部门报告；</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4加强对施工总承包单位按时足额支付农民工工资的监督，督促施工总承包单位加强劳动用工管理，妥善处理因农民工工资支付产生的矛盾纠纷。</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（二）建设单位必须按月、足额支付农民工工资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1.总承包单位根据施工合同约定，按月申报农民工工资资料，建设单位每月足额向施工总承包单位开设的农民工工资专用账户拨付农民工工资。</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每月5号前，施工总承包单位必须按照以上要求据实申报农民工工资，业主项目部、造价部予以审核。原则上不采用按实际完成产值一定比例套算的模式（以实际产生的农民工工资为准），以确保真正在工地上做工的农民工能够领到工资。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3.每月15号前，建设单位根据施工总承包单位提供的申报资料完成资金支付审签流程，以确保能够及时支付到施工总承包单位的农民工工资专户上，施工总承包单位有足够的时间办理发放工作。</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4.建设单位根据施工总承包当月完成产值支付农民工工资，若人工费数大于当月已完工产值的 30%时，按当月已完工产值的30%拨付；若人工费数额小于当月已完工产值30%时，按实际人工费数额拨付。</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二、承包人职责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（一）施工总承包单位按规定存储农民工工资保证金</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施工总承包单位每月申报的农民工工资资料中，应当包括：农民工工资支付监控预警平台考勤数据或者《进出场考勤表》、经农民工本人签字确认并公示的《农民工工资支付表》、总包单位与分包单位签订的《委托支付协议》或《农民工工资代发委托书》、上月的《农民工工资银行支付凭证》以及在本工地公示公告的照片等资料。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（2）施工总承包单位必须按月如实申报，不得伪造出勤信息、提供虚假身份信息套取农民工工资，不得高估冒算农民工工资。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（3）施工总承包单位必须按照规定使用农民工工资支付监控预警平台。</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（4）根据《垫江县工程建设领域农民工工资保证金管理实施案》（垫江人社发〔2022〕71号）规定，及时办理农民工工资保证金存储。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施工总承包单位在收到中标通知书之日起20天内，必须按规定存储农民工工资保证金或申请开立银行保函。工资保证金实行专款专用，除用于清偿或先行清偿施工总承包企业所承包工程拖欠农民工工资外，不得用于其他用途。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（6）施工总承包企业与银行签订《农民工工资保证金存款协议书》之后，必须在3个工作日内报送县人社部门备案（须提供施工合同、营业执照副本等资料）。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（7）建设单位项目管理人员收集施工总承包单位存储农民工工资保证金的相关资料，并与文件精神进行比对，核实是否符合政策规定。</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（二）施工总承包单位使用农民工工资支付监控预警平台。</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根据重庆市、垫江县关于农民工工资支付监控预警平台建设使用管理的要求，要求施工总承包单位购买农民工工资支付监控预警平台设备，并接入使用。要依法将农民工工资专用账户信息、劳动合同签订情况、实名制管理信息、考勤表情况、工资支付表信息、工资支付信息等实时上传预警平台。建设单位项目管理人员有权进行现场核查、后台核查。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2.农民工《进出场考勤表》《农民工工资支付表》等信息，必须与预警平台考勤数据吻合，考勤率必须每天达到100%，建设单位项目管理人员有权进行后台核查比对。</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（三）施工总承包单位设立《维权信息告示牌》维权信息告示牌必须在本工地醒目位置设立；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（四）施工总承包单位落实“实名制”管理。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1.施工总承包单位（及分包单位）必须与所招用的农民工签订《劳动合同》，并进行用工实名登记，建立《职工花名册》等实名制管理台账。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2.施工总承包单位或分包单位订立劳动合同并进行实名登记的人员，未签订劳动合同的不得进入项目现场施工。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3.施工总承包单位必须每天对进出场的农民工实施考勤，如实填写《进出场考勤表》，实名管理。没有刷卡考勤的项目，农民工本人签字确认当天出勤情况。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（五）施工总承包单位落实“专户制”。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农民工工资专用账户的开立、撤销、使用、管理等，必须严格按照重庆市人力资源和社会保障局等11个部门关于印发《重庆市工程建设领域农民工工资专用账户管理实施细则》的通知（渝人社发〔2022〕45号）要求执行。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2.施工总承包单位必须在合同签订后20天内，按照规定开设农民工工资专用账户，并与建设单位、开户银行签订《资金管理三方协议》。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3.专用账户名称为“施工总承包单位名称+工程建设项目名+农民工工资专用账户”，专用账户专门用于该项目的农民工工资支付，不得挪作他用。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4.专用账户开立后，施工总承包单位应在20天之内报相关行业工程建设主管部门备案。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5.工程完毕后，专用账户上结余资金的转出，必须符合相关程序。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6.建设单位项目管理人员有权收集施工总承包单位开设农工工资专户的相关资料，以备查验。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（六）施工总承包单位落实“代发制”。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施工总承包单位对农民工工资支付负总责。推行分包单位农民工工资委托施工总承包单位代发制度（简称“总包代发制度”）。施工总承包单位与分包单位必须签订农民工工资《委托支付协议》或《农民工工资代发委托书》。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施工总承包单位（及分包单位）必须按月考核农民工工作量，结合预警平台考勤数据或书面考勤表，据实编制《农民工工资支付表》，不得伪造出勤信息、提供虚假身份信息套取农民工工资，不得高估冒算农民工工资。《农民工工资支付表》经农民工本人签字确认后，交总包单位备查。分包单位或班组每月应向施工总承包单位出具农民工工资已结清的承诺书。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实行总包代发制度的，分包单位必须以实名制为基础，按月考核农民工工作量并编制《农民工工资支付表》，经农民工本人签字确认后，与农民工考勤表、当月工程进度等情况一并交施工总承包单位，并协助总承包单位做好农民工工资支付工作。施工总承包单位应对分包单位劳动用工实施监督管理，审核分包单位编制的农民工考勤表、工资支付表等工资发放资料。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4.建设单位拨付至施工总承包单位的专户后，施工总承包单位向开户银行提供公示无异议的《农民工工资支付表》等工资发放资料，由银行打卡发放。农民工工资卡实行一人一卡、本人持卡。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5.银行代发结束后，施工总承包单位必须在本工地醒目位置张贴农民工工资已发放的公告，公告期不得少于5天，（不涉及农民工本人信息，如：XXX班组，工资总额数XX多，人数XX，数量等）并拍照打印留存。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6.施工总承包单位每月向建设单位申报农民工工资时，必须一并提交《进出场考勤表》、《农民工工资支付表》、《委托支付协议》或《农民工工资代发委托书》、上月的《农民工工资银 行支付凭证》以及在本工地公示公告的照片等资料。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三、违约责任</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1、承包人拖欠其工人或所雇人员工资或报酬，导致其工人或所雇人员向有关部门投诉、控告、检举或以聚集等方式讨要工资或报酬的违约责任根据具体情节，按10000-100000元/次扣除违约金。</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2、因农民工工资支付出现问题，扣款规则为:</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（1）因施工总承包单位未按国家法律法规和政策规定落实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一金三制”等要求的，根据垫治欠办发〔2021〕26号文件，属于或视为拖欠农民工工资行为的9种情形之一的，发生第一次，从工程结算款中扣除20000元作为违约处罚，发生第二次，从工程结算款中扣除40000元作为违约处罚，依次递增。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（2）通过伪造出勤信息、提供虚假身份信息、高估冒算农民工工资等手段套取农民工工资的，经查证属实的，按照套取金额的2倍，从工程结算款中扣除作为违约处罚，依次递增。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根据《保障农民工工资支付条例》第五十二条规定：单位或者个人编造虚假事实或者采取非法手段讨要农民工工资，或者以拖欠农民工工资为名讨要工程款、机械费、租赁费、材料费、进度款等各种手段涉及信访农民工工资的，经查证属实，在县级部门信访1次，按涉及信访金额的1倍从工程结算款中扣除，依信访次数1.2.3.......以1.2.3.....的倍数递增；在市级部门信访1次，按涉及信访金额的2倍从工程结算款中扣除，依信访次数1..2..3.......以2.4.6.....倍数递增，并同时纳入企业信用评价。</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被县级实地检查通报1次，从工程结算款中扣除20000元作为违约处罚，依信访次数1.2.3.......以1.2.3.....倍数递增；被市级实地检查通报1次，从工程结算款中扣除40000元作为违约处罚，依信访次数1.2.3.......以2.4.6.....倍数递增。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（5）施工总承包单位未按月申报农民工工资的，每发生1次扣除20000元，从工程结算款中扣除作为违约处罚 。</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（6）施工总承包单位未按规定使用农民工工资支付监控预警平台，从工程结算款中扣除20000元作为违约处罚。</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第七条 本协议涉及违约处罚的合计总金额不超过合同总价的20%。</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第八条 本《合同》为        (工程名称)施工承包合同的附件，与工程施工承包合同具有同等法律效力，经甲乙双方法定代表人(或其授权代表)签署，加盖公章立即生效。</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第九条 本《合同》 一式陆份，甲、乙双方各执贰份，送交项目所在地的水行政主管部门和人力资源与社会劳动保障部门各一份备案。</w:t>
      </w:r>
    </w:p>
    <w:p>
      <w:pPr>
        <w:keepNext w:val="0"/>
        <w:keepLines w:val="0"/>
        <w:pageBreakBefore w:val="0"/>
        <w:widowControl w:val="0"/>
        <w:kinsoku/>
        <w:wordWrap/>
        <w:overflowPunct/>
        <w:topLinePunct w:val="0"/>
        <w:bidi w:val="0"/>
        <w:spacing w:line="580" w:lineRule="exact"/>
        <w:ind w:firstLine="64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第十条 未尽事宜，双方另行协商或签订补充协议解决，补充协议及本合同附件与本合同具有同等法律效力。</w:t>
      </w:r>
    </w:p>
    <w:p>
      <w:pPr>
        <w:spacing w:line="58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w:t>
      </w:r>
    </w:p>
    <w:p>
      <w:pPr>
        <w:spacing w:line="5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1.农民工维权告示牌</w:t>
      </w:r>
    </w:p>
    <w:p>
      <w:pPr>
        <w:spacing w:line="580" w:lineRule="exact"/>
        <w:ind w:firstLine="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2.农民工花名册</w:t>
      </w:r>
    </w:p>
    <w:p>
      <w:pPr>
        <w:spacing w:line="580" w:lineRule="exact"/>
        <w:ind w:firstLine="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3.农民工工资表</w:t>
      </w:r>
    </w:p>
    <w:p>
      <w:pPr>
        <w:spacing w:line="580" w:lineRule="exact"/>
        <w:ind w:firstLine="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4.劳动用工及工资支付情况汇总表</w:t>
      </w:r>
    </w:p>
    <w:p>
      <w:pPr>
        <w:spacing w:line="594" w:lineRule="exact"/>
        <w:ind w:firstLine="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5.承诺书</w:t>
      </w:r>
    </w:p>
    <w:p>
      <w:pPr>
        <w:spacing w:line="594" w:lineRule="exact"/>
        <w:ind w:firstLine="64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6.农民工</w:t>
      </w:r>
      <w:r>
        <w:rPr>
          <w:rFonts w:hint="eastAsia" w:ascii="宋体" w:hAnsi="宋体" w:eastAsia="宋体" w:cs="宋体"/>
          <w:color w:val="auto"/>
          <w:sz w:val="21"/>
          <w:szCs w:val="21"/>
          <w:highlight w:val="none"/>
          <w:lang w:eastAsia="zh-CN"/>
        </w:rPr>
        <w:t>打卡原始记录</w:t>
      </w:r>
    </w:p>
    <w:p>
      <w:pPr>
        <w:spacing w:line="594" w:lineRule="exact"/>
        <w:ind w:firstLine="640"/>
        <w:jc w:val="left"/>
        <w:rPr>
          <w:rFonts w:hint="eastAsia" w:ascii="宋体" w:hAnsi="宋体" w:eastAsia="宋体" w:cs="宋体"/>
          <w:color w:val="auto"/>
          <w:sz w:val="21"/>
          <w:szCs w:val="21"/>
          <w:highlight w:val="none"/>
          <w:lang w:val="en-US" w:eastAsia="zh-CN"/>
        </w:rPr>
      </w:pPr>
    </w:p>
    <w:p>
      <w:pPr>
        <w:spacing w:line="594" w:lineRule="exact"/>
        <w:ind w:firstLine="640"/>
        <w:jc w:val="left"/>
        <w:rPr>
          <w:rFonts w:hint="eastAsia" w:ascii="宋体" w:hAnsi="宋体" w:eastAsia="宋体" w:cs="宋体"/>
          <w:color w:val="auto"/>
          <w:sz w:val="21"/>
          <w:szCs w:val="21"/>
          <w:highlight w:val="none"/>
          <w:lang w:val="en-US" w:eastAsia="zh-CN"/>
        </w:rPr>
      </w:pPr>
    </w:p>
    <w:p>
      <w:pPr>
        <w:spacing w:line="594" w:lineRule="exact"/>
        <w:ind w:firstLine="64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（以下无正文）</w:t>
      </w:r>
    </w:p>
    <w:p>
      <w:pPr>
        <w:spacing w:line="594" w:lineRule="exact"/>
        <w:rPr>
          <w:rFonts w:hint="eastAsia" w:ascii="宋体" w:hAnsi="宋体" w:eastAsia="宋体" w:cs="宋体"/>
          <w:color w:val="auto"/>
          <w:sz w:val="21"/>
          <w:szCs w:val="21"/>
          <w:highlight w:val="none"/>
          <w:lang w:val="en-US" w:eastAsia="zh-CN"/>
        </w:rPr>
      </w:pPr>
    </w:p>
    <w:p>
      <w:pPr>
        <w:spacing w:line="594" w:lineRule="exact"/>
        <w:ind w:firstLine="6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发包人（公章）：                  承包人（公章）：      </w:t>
      </w:r>
    </w:p>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pPr>
        <w:spacing w:line="594" w:lineRule="exact"/>
        <w:rPr>
          <w:rFonts w:hint="eastAsia" w:ascii="宋体" w:hAnsi="宋体" w:eastAsia="宋体" w:cs="宋体"/>
          <w:color w:val="auto"/>
          <w:sz w:val="21"/>
          <w:szCs w:val="21"/>
          <w:highlight w:val="none"/>
          <w:lang w:val="en-US" w:eastAsia="zh-CN"/>
        </w:rPr>
      </w:pPr>
    </w:p>
    <w:p>
      <w:pPr>
        <w:spacing w:line="594" w:lineRule="exact"/>
        <w:ind w:firstLine="640"/>
        <w:rPr>
          <w:rFonts w:hint="eastAsia" w:ascii="宋体" w:hAnsi="宋体" w:eastAsia="宋体" w:cs="宋体"/>
          <w:color w:val="auto"/>
          <w:sz w:val="21"/>
          <w:szCs w:val="21"/>
          <w:highlight w:val="none"/>
          <w:lang w:val="en-US" w:eastAsia="zh-CN"/>
        </w:rPr>
      </w:pPr>
    </w:p>
    <w:p>
      <w:pPr>
        <w:spacing w:line="594" w:lineRule="exact"/>
        <w:ind w:firstLine="6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                      法定代表人：</w:t>
      </w:r>
    </w:p>
    <w:p>
      <w:pPr>
        <w:spacing w:line="594" w:lineRule="exact"/>
        <w:ind w:firstLine="6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或委托代理人：                    或委托代理人： </w:t>
      </w:r>
    </w:p>
    <w:p>
      <w:pPr>
        <w:spacing w:line="594" w:lineRule="exact"/>
        <w:ind w:firstLine="6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经办人：                          经办人：</w:t>
      </w:r>
    </w:p>
    <w:p>
      <w:pPr>
        <w:spacing w:line="594" w:lineRule="exact"/>
        <w:ind w:firstLine="640"/>
        <w:rPr>
          <w:rFonts w:hint="eastAsia" w:ascii="宋体" w:hAnsi="宋体" w:eastAsia="宋体" w:cs="宋体"/>
          <w:color w:val="auto"/>
          <w:sz w:val="21"/>
          <w:szCs w:val="21"/>
          <w:highlight w:val="none"/>
          <w:lang w:val="en-US" w:eastAsia="zh-CN"/>
        </w:rPr>
      </w:pPr>
    </w:p>
    <w:p>
      <w:pPr>
        <w:spacing w:line="594" w:lineRule="exact"/>
        <w:ind w:firstLine="640"/>
        <w:rPr>
          <w:rFonts w:hint="eastAsia" w:ascii="宋体" w:hAnsi="宋体" w:eastAsia="宋体" w:cs="宋体"/>
          <w:color w:val="auto"/>
          <w:sz w:val="21"/>
          <w:szCs w:val="21"/>
          <w:highlight w:val="none"/>
          <w:lang w:val="en-US" w:eastAsia="zh-CN"/>
        </w:rPr>
      </w:pPr>
    </w:p>
    <w:p>
      <w:pPr>
        <w:spacing w:line="594" w:lineRule="exact"/>
        <w:ind w:firstLine="6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                       联系电话：</w:t>
      </w:r>
    </w:p>
    <w:p>
      <w:pPr>
        <w:spacing w:line="594" w:lineRule="exact"/>
        <w:ind w:firstLine="6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签订日期：  年  月 日            签订日期：  年  月 日</w:t>
      </w:r>
    </w:p>
    <w:p>
      <w:pPr>
        <w:spacing w:line="594" w:lineRule="exact"/>
        <w:ind w:firstLine="640"/>
        <w:rPr>
          <w:rFonts w:hint="default" w:ascii="Times New Roman" w:hAnsi="方正仿宋_GBK" w:eastAsia="方正仿宋_GBK" w:cs="Times New Roman"/>
          <w:color w:val="auto"/>
          <w:sz w:val="32"/>
          <w:szCs w:val="32"/>
          <w:highlight w:val="none"/>
          <w:lang w:val="en-US" w:eastAsia="zh-CN"/>
        </w:rPr>
      </w:pPr>
    </w:p>
    <w:p>
      <w:pPr>
        <w:spacing w:line="594" w:lineRule="exact"/>
        <w:rPr>
          <w:rFonts w:hint="eastAsia" w:ascii="宋体" w:hAnsi="宋体" w:eastAsia="宋体" w:cs="宋体"/>
          <w:color w:val="auto"/>
          <w:sz w:val="21"/>
          <w:szCs w:val="21"/>
          <w:highlight w:val="none"/>
          <w:lang w:val="en-US" w:eastAsia="zh-CN"/>
        </w:rPr>
      </w:pPr>
    </w:p>
    <w:tbl>
      <w:tblPr>
        <w:tblStyle w:val="326"/>
        <w:tblW w:w="8990" w:type="dxa"/>
        <w:tblInd w:w="3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2"/>
        <w:gridCol w:w="4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9" w:hRule="atLeast"/>
        </w:trPr>
        <w:tc>
          <w:tcPr>
            <w:tcW w:w="8990" w:type="dxa"/>
            <w:gridSpan w:val="2"/>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54" w:lineRule="exact"/>
              <w:ind w:firstLine="641"/>
              <w:jc w:val="center"/>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54" w:lineRule="exact"/>
              <w:ind w:firstLine="641"/>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农民工维权告示牌</w:t>
            </w:r>
          </w:p>
          <w:p>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项目全体农民工：</w:t>
            </w:r>
          </w:p>
          <w:p>
            <w:pPr>
              <w:keepNext w:val="0"/>
              <w:keepLines w:val="0"/>
              <w:pageBreakBefore w:val="0"/>
              <w:widowControl w:val="0"/>
              <w:kinsoku/>
              <w:wordWrap/>
              <w:overflowPunct/>
              <w:topLinePunct w:val="0"/>
              <w:autoSpaceDE/>
              <w:autoSpaceDN/>
              <w:bidi w:val="0"/>
              <w:adjustRightInd/>
              <w:snapToGrid/>
              <w:spacing w:line="454" w:lineRule="exact"/>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为保障你在本项目劳动期间的合法权益，帮助你依法有序维权，现将有关情况告示如下：</w:t>
            </w:r>
          </w:p>
          <w:p>
            <w:pPr>
              <w:keepNext w:val="0"/>
              <w:keepLines w:val="0"/>
              <w:pageBreakBefore w:val="0"/>
              <w:widowControl w:val="0"/>
              <w:kinsoku/>
              <w:wordWrap/>
              <w:overflowPunct/>
              <w:topLinePunct w:val="0"/>
              <w:autoSpaceDE/>
              <w:autoSpaceDN/>
              <w:bidi w:val="0"/>
              <w:adjustRightInd/>
              <w:snapToGrid/>
              <w:spacing w:line="454" w:lineRule="exact"/>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◆农民工劳动保障权益主要内容：</w:t>
            </w:r>
          </w:p>
          <w:p>
            <w:pPr>
              <w:keepNext w:val="0"/>
              <w:keepLines w:val="0"/>
              <w:pageBreakBefore w:val="0"/>
              <w:widowControl w:val="0"/>
              <w:kinsoku/>
              <w:wordWrap/>
              <w:overflowPunct/>
              <w:topLinePunct w:val="0"/>
              <w:autoSpaceDE/>
              <w:autoSpaceDN/>
              <w:bidi w:val="0"/>
              <w:adjustRightInd/>
              <w:snapToGrid/>
              <w:spacing w:line="454" w:lineRule="exact"/>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建筑领域直接招用农民工的施工企业或劳务分包企业，必须依照《中华人民共和国劳动法》、</w:t>
            </w:r>
          </w:p>
          <w:p>
            <w:pPr>
              <w:keepNext w:val="0"/>
              <w:keepLines w:val="0"/>
              <w:pageBreakBefore w:val="0"/>
              <w:widowControl w:val="0"/>
              <w:kinsoku/>
              <w:wordWrap/>
              <w:overflowPunct/>
              <w:topLinePunct w:val="0"/>
              <w:autoSpaceDE/>
              <w:autoSpaceDN/>
              <w:bidi w:val="0"/>
              <w:adjustRightInd/>
              <w:snapToGrid/>
              <w:spacing w:line="454" w:lineRule="exact"/>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《中华人民共和国劳动合同法》的规定，与农民工签订劳动合同，并提倡签订集体合同。</w:t>
            </w:r>
          </w:p>
          <w:p>
            <w:pPr>
              <w:keepNext w:val="0"/>
              <w:keepLines w:val="0"/>
              <w:pageBreakBefore w:val="0"/>
              <w:widowControl w:val="0"/>
              <w:kinsoku/>
              <w:wordWrap/>
              <w:overflowPunct/>
              <w:topLinePunct w:val="0"/>
              <w:autoSpaceDE/>
              <w:autoSpaceDN/>
              <w:bidi w:val="0"/>
              <w:adjustRightInd/>
              <w:snapToGrid/>
              <w:spacing w:line="454" w:lineRule="exact"/>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建筑领域直接招用农民工的施工企业或劳务分包企业，必须按劳动合同约定或劳动保障法律</w:t>
            </w:r>
          </w:p>
          <w:p>
            <w:pPr>
              <w:keepNext w:val="0"/>
              <w:keepLines w:val="0"/>
              <w:pageBreakBefore w:val="0"/>
              <w:widowControl w:val="0"/>
              <w:kinsoku/>
              <w:wordWrap/>
              <w:overflowPunct/>
              <w:topLinePunct w:val="0"/>
              <w:autoSpaceDE/>
              <w:autoSpaceDN/>
              <w:bidi w:val="0"/>
              <w:adjustRightInd/>
              <w:snapToGrid/>
              <w:spacing w:line="454" w:lineRule="exact"/>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法规规定足额支付工资。</w:t>
            </w:r>
          </w:p>
          <w:p>
            <w:pPr>
              <w:keepNext w:val="0"/>
              <w:keepLines w:val="0"/>
              <w:pageBreakBefore w:val="0"/>
              <w:widowControl w:val="0"/>
              <w:kinsoku/>
              <w:wordWrap/>
              <w:overflowPunct/>
              <w:topLinePunct w:val="0"/>
              <w:autoSpaceDE/>
              <w:autoSpaceDN/>
              <w:bidi w:val="0"/>
              <w:adjustRightInd/>
              <w:snapToGrid/>
              <w:spacing w:line="454" w:lineRule="exact"/>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◆特别提醒</w:t>
            </w:r>
          </w:p>
          <w:p>
            <w:pPr>
              <w:keepNext w:val="0"/>
              <w:keepLines w:val="0"/>
              <w:pageBreakBefore w:val="0"/>
              <w:widowControl w:val="0"/>
              <w:kinsoku/>
              <w:wordWrap/>
              <w:overflowPunct/>
              <w:topLinePunct w:val="0"/>
              <w:autoSpaceDE/>
              <w:autoSpaceDN/>
              <w:bidi w:val="0"/>
              <w:adjustRightInd/>
              <w:snapToGrid/>
              <w:spacing w:line="454" w:lineRule="exact"/>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如果用人单位拒不与你签订劳动合同、集体合同，以及未按劳动合同、集体合同约定足额支 付工资，请及时向劳工监督员或劳工管理员反映有关情况，由其协调解决；同时也可向项目所在地劳动保障监察机构投诉。</w:t>
            </w:r>
          </w:p>
          <w:p>
            <w:pPr>
              <w:keepNext w:val="0"/>
              <w:keepLines w:val="0"/>
              <w:pageBreakBefore w:val="0"/>
              <w:widowControl w:val="0"/>
              <w:kinsoku/>
              <w:wordWrap/>
              <w:overflowPunct/>
              <w:topLinePunct w:val="0"/>
              <w:autoSpaceDE/>
              <w:autoSpaceDN/>
              <w:bidi w:val="0"/>
              <w:adjustRightInd/>
              <w:snapToGrid/>
              <w:spacing w:line="454" w:lineRule="exact"/>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为有效维护你的权益，你应妥善保留各种有效证据，如劳动合同或协议、工作证件、工资结算单等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02" w:type="dxa"/>
            <w:tcBorders>
              <w:top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施工企业劳工管理员： </w:t>
            </w:r>
          </w:p>
          <w:p>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分包企业劳工管理员： </w:t>
            </w:r>
          </w:p>
          <w:p>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建设单位劳工监督员：</w:t>
            </w:r>
          </w:p>
          <w:p>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劳动保障监察机构：</w:t>
            </w:r>
          </w:p>
          <w:p>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 ：</w:t>
            </w:r>
          </w:p>
          <w:p>
            <w:pPr>
              <w:pStyle w:val="34"/>
              <w:rPr>
                <w:rFonts w:hint="eastAsia" w:ascii="宋体" w:hAnsi="宋体" w:eastAsia="宋体" w:cs="宋体"/>
                <w:color w:val="auto"/>
                <w:sz w:val="21"/>
                <w:szCs w:val="21"/>
                <w:highlight w:val="none"/>
                <w:lang w:val="en-US" w:eastAsia="zh-CN"/>
              </w:rPr>
            </w:pPr>
          </w:p>
          <w:p>
            <w:pPr>
              <w:pStyle w:val="35"/>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p>
        </w:tc>
        <w:tc>
          <w:tcPr>
            <w:tcW w:w="4488" w:type="dxa"/>
            <w:tcBorders>
              <w:top w:val="nil"/>
              <w:left w:val="nil"/>
            </w:tcBorders>
            <w:noWrap w:val="0"/>
            <w:vAlign w:val="top"/>
          </w:tcPr>
          <w:p>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p>
        </w:tc>
      </w:tr>
    </w:tbl>
    <w:p>
      <w:pPr>
        <w:keepNext w:val="0"/>
        <w:keepLines w:val="0"/>
        <w:pageBreakBefore w:val="0"/>
        <w:widowControl w:val="0"/>
        <w:kinsoku/>
        <w:wordWrap/>
        <w:overflowPunct/>
        <w:topLinePunct w:val="0"/>
        <w:autoSpaceDE/>
        <w:autoSpaceDN/>
        <w:bidi w:val="0"/>
        <w:adjustRightInd/>
        <w:snapToGrid/>
        <w:spacing w:line="454" w:lineRule="exact"/>
        <w:ind w:firstLine="641"/>
        <w:textAlignment w:val="auto"/>
        <w:rPr>
          <w:rFonts w:hint="eastAsia" w:ascii="Times New Roman" w:hAnsi="方正仿宋_GBK" w:eastAsia="方正仿宋_GBK" w:cs="Times New Roman"/>
          <w:color w:val="auto"/>
          <w:sz w:val="32"/>
          <w:szCs w:val="32"/>
          <w:highlight w:val="none"/>
          <w:lang w:val="en-US" w:eastAsia="zh-CN"/>
        </w:rPr>
      </w:pPr>
    </w:p>
    <w:p>
      <w:pPr>
        <w:spacing w:line="594" w:lineRule="exact"/>
        <w:ind w:firstLine="640"/>
        <w:rPr>
          <w:rFonts w:hint="eastAsia" w:ascii="Times New Roman" w:hAnsi="方正仿宋_GBK" w:eastAsia="方正仿宋_GBK" w:cs="Times New Roman"/>
          <w:color w:val="auto"/>
          <w:sz w:val="32"/>
          <w:szCs w:val="32"/>
          <w:highlight w:val="none"/>
          <w:lang w:val="en-US" w:eastAsia="zh-CN"/>
        </w:rPr>
        <w:sectPr>
          <w:footerReference r:id="rId8" w:type="default"/>
          <w:pgSz w:w="12340" w:h="17130"/>
          <w:pgMar w:top="1457" w:right="1134" w:bottom="1468" w:left="1417" w:header="0" w:footer="1329" w:gutter="0"/>
          <w:pgNumType w:fmt="decimal"/>
          <w:cols w:space="720" w:num="1"/>
        </w:sectPr>
      </w:pPr>
    </w:p>
    <w:p>
      <w:pPr>
        <w:spacing w:line="594" w:lineRule="exact"/>
        <w:ind w:firstLine="6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农民工花名册</w:t>
      </w:r>
    </w:p>
    <w:p>
      <w:pPr>
        <w:spacing w:line="594"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农民工花名册</w:t>
      </w:r>
    </w:p>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                                                     用工单位名称(盖章):</w:t>
      </w:r>
    </w:p>
    <w:tbl>
      <w:tblPr>
        <w:tblStyle w:val="326"/>
        <w:tblW w:w="94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626"/>
        <w:gridCol w:w="621"/>
        <w:gridCol w:w="1771"/>
        <w:gridCol w:w="762"/>
        <w:gridCol w:w="867"/>
        <w:gridCol w:w="875"/>
        <w:gridCol w:w="865"/>
        <w:gridCol w:w="865"/>
        <w:gridCol w:w="865"/>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47" w:type="dxa"/>
            <w:noWrap w:val="0"/>
            <w:vAlign w:val="top"/>
          </w:tcPr>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626" w:type="dxa"/>
            <w:noWrap w:val="0"/>
            <w:vAlign w:val="top"/>
          </w:tcPr>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  名</w:t>
            </w:r>
          </w:p>
        </w:tc>
        <w:tc>
          <w:tcPr>
            <w:tcW w:w="621" w:type="dxa"/>
            <w:noWrap w:val="0"/>
            <w:textDirection w:val="tbRlV"/>
            <w:vAlign w:val="top"/>
          </w:tcPr>
          <w:p>
            <w:pPr>
              <w:spacing w:line="594" w:lineRule="exact"/>
              <w:ind w:firstLine="6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性 别</w:t>
            </w:r>
          </w:p>
        </w:tc>
        <w:tc>
          <w:tcPr>
            <w:tcW w:w="1771" w:type="dxa"/>
            <w:noWrap w:val="0"/>
            <w:vAlign w:val="top"/>
          </w:tcPr>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身份证号</w:t>
            </w:r>
          </w:p>
        </w:tc>
        <w:tc>
          <w:tcPr>
            <w:tcW w:w="762" w:type="dxa"/>
            <w:noWrap w:val="0"/>
            <w:vAlign w:val="top"/>
          </w:tcPr>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w:t>
            </w:r>
          </w:p>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方式</w:t>
            </w:r>
          </w:p>
        </w:tc>
        <w:tc>
          <w:tcPr>
            <w:tcW w:w="867" w:type="dxa"/>
            <w:noWrap w:val="0"/>
            <w:vAlign w:val="top"/>
          </w:tcPr>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工种</w:t>
            </w:r>
          </w:p>
        </w:tc>
        <w:tc>
          <w:tcPr>
            <w:tcW w:w="875" w:type="dxa"/>
            <w:noWrap w:val="0"/>
            <w:vAlign w:val="top"/>
          </w:tcPr>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w:t>
            </w:r>
          </w:p>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岗位</w:t>
            </w:r>
          </w:p>
        </w:tc>
        <w:tc>
          <w:tcPr>
            <w:tcW w:w="865" w:type="dxa"/>
            <w:noWrap w:val="0"/>
            <w:vAlign w:val="top"/>
          </w:tcPr>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进场</w:t>
            </w:r>
          </w:p>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w:t>
            </w:r>
          </w:p>
        </w:tc>
        <w:tc>
          <w:tcPr>
            <w:tcW w:w="865" w:type="dxa"/>
            <w:noWrap w:val="0"/>
            <w:vAlign w:val="top"/>
          </w:tcPr>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劳动者签 名</w:t>
            </w:r>
          </w:p>
        </w:tc>
        <w:tc>
          <w:tcPr>
            <w:tcW w:w="865" w:type="dxa"/>
            <w:noWrap w:val="0"/>
            <w:vAlign w:val="top"/>
          </w:tcPr>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离场</w:t>
            </w:r>
          </w:p>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w:t>
            </w:r>
          </w:p>
        </w:tc>
        <w:tc>
          <w:tcPr>
            <w:tcW w:w="870" w:type="dxa"/>
            <w:noWrap w:val="0"/>
            <w:vAlign w:val="top"/>
          </w:tcPr>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劳动者签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4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6"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177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762"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0"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44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6"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177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762"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0"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4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6"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177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762"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0"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44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6"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177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762"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0"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4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6"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177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762"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0"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44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6"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177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762"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0"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4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6"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177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762"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0"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44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6"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177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762"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0"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44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6"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177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762"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0"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44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6"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177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762"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0"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4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6"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177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762"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0"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44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6"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62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1771"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762"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7"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65"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c>
          <w:tcPr>
            <w:tcW w:w="870" w:type="dxa"/>
            <w:noWrap w:val="0"/>
            <w:vAlign w:val="top"/>
          </w:tcPr>
          <w:p>
            <w:pPr>
              <w:spacing w:line="594" w:lineRule="exact"/>
              <w:ind w:firstLine="640"/>
              <w:rPr>
                <w:rFonts w:hint="eastAsia" w:ascii="宋体" w:hAnsi="宋体" w:eastAsia="宋体" w:cs="宋体"/>
                <w:color w:val="auto"/>
                <w:sz w:val="21"/>
                <w:szCs w:val="21"/>
                <w:highlight w:val="none"/>
                <w:lang w:val="en-US" w:eastAsia="zh-CN"/>
              </w:rPr>
            </w:pPr>
          </w:p>
        </w:tc>
      </w:tr>
    </w:tbl>
    <w:p>
      <w:pPr>
        <w:spacing w:line="594" w:lineRule="exact"/>
        <w:rPr>
          <w:rFonts w:hint="default" w:ascii="Times New Roman" w:hAnsi="方正仿宋_GBK" w:eastAsia="方正仿宋_GBK" w:cs="Times New Roman"/>
          <w:color w:val="auto"/>
          <w:sz w:val="32"/>
          <w:szCs w:val="32"/>
          <w:highlight w:val="none"/>
          <w:lang w:val="en-US" w:eastAsia="zh-CN"/>
        </w:rPr>
        <w:sectPr>
          <w:footerReference r:id="rId9" w:type="default"/>
          <w:pgSz w:w="12200" w:h="17030"/>
          <w:pgMar w:top="1447" w:right="894" w:bottom="400" w:left="1830" w:header="0" w:footer="828" w:gutter="0"/>
          <w:pgNumType w:fmt="decimal"/>
          <w:cols w:space="720" w:num="1"/>
        </w:sectPr>
      </w:pPr>
    </w:p>
    <w:p>
      <w:pPr>
        <w:spacing w:line="594" w:lineRule="exact"/>
        <w:jc w:val="both"/>
        <w:rPr>
          <w:rFonts w:hint="eastAsia" w:ascii="方正小标宋_GBK" w:hAnsi="方正小标宋_GBK" w:eastAsia="方正小标宋_GBK" w:cs="方正小标宋_GBK"/>
          <w:color w:val="auto"/>
          <w:sz w:val="44"/>
          <w:szCs w:val="44"/>
          <w:highlight w:val="none"/>
          <w:lang w:val="en-US" w:eastAsia="zh-CN"/>
        </w:rPr>
      </w:pPr>
    </w:p>
    <w:p>
      <w:pPr>
        <w:spacing w:line="594"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劳动用工及工资支付情况汇总表</w:t>
      </w:r>
    </w:p>
    <w:p>
      <w:pPr>
        <w:spacing w:line="594" w:lineRule="exact"/>
        <w:ind w:firstLine="6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          时 间 ：  年   季度</w:t>
      </w:r>
    </w:p>
    <w:tbl>
      <w:tblPr>
        <w:tblStyle w:val="326"/>
        <w:tblW w:w="8920" w:type="dxa"/>
        <w:tblInd w:w="3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1009"/>
        <w:gridCol w:w="1019"/>
        <w:gridCol w:w="1019"/>
        <w:gridCol w:w="1009"/>
        <w:gridCol w:w="1019"/>
        <w:gridCol w:w="1009"/>
        <w:gridCol w:w="1019"/>
        <w:gridCol w:w="1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794" w:type="dxa"/>
            <w:vMerge w:val="restart"/>
            <w:tcBorders>
              <w:bottom w:val="nil"/>
              <w:tl2br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304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用工变动情况</w:t>
            </w:r>
          </w:p>
        </w:tc>
        <w:tc>
          <w:tcPr>
            <w:tcW w:w="405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工资支付情况</w:t>
            </w:r>
          </w:p>
        </w:tc>
        <w:tc>
          <w:tcPr>
            <w:tcW w:w="10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794" w:type="dxa"/>
            <w:vMerge w:val="continue"/>
            <w:tcBorders>
              <w:top w:val="nil"/>
              <w:tl2br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当月离场人数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w:t>
            </w: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当月新增进场人数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w:t>
            </w: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月末</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农民工人数(人)</w:t>
            </w: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应付工资总额(元)</w:t>
            </w: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应付工资人数(人)</w:t>
            </w: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实付工资总额(元)</w:t>
            </w: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实付工资人数(人)</w:t>
            </w:r>
          </w:p>
        </w:tc>
        <w:tc>
          <w:tcPr>
            <w:tcW w:w="10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签订劳动合同人数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79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度第</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一月</w:t>
            </w: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79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度第</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二月</w:t>
            </w: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79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度第</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三月</w:t>
            </w: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79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季度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1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c>
          <w:tcPr>
            <w:tcW w:w="102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ascii="宋体" w:hAnsi="宋体" w:eastAsia="宋体" w:cs="宋体"/>
                <w:color w:val="auto"/>
                <w:sz w:val="21"/>
                <w:szCs w:val="21"/>
                <w:highlight w:val="none"/>
                <w:lang w:val="en-US" w:eastAsia="zh-CN"/>
              </w:rPr>
            </w:pPr>
          </w:p>
        </w:tc>
      </w:tr>
    </w:tbl>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用工单位负责人：        </w:t>
      </w:r>
    </w:p>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用工单位劳工管理员：      </w:t>
      </w:r>
    </w:p>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填表时间：</w:t>
      </w:r>
    </w:p>
    <w:p>
      <w:pPr>
        <w:spacing w:line="594"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注：此表为每季度末后5天内向项目所在地区县(自治县)劳动和社会保障行政部门报送。</w:t>
      </w:r>
    </w:p>
    <w:p>
      <w:pPr>
        <w:spacing w:line="594" w:lineRule="exact"/>
        <w:ind w:firstLine="640"/>
        <w:rPr>
          <w:rFonts w:hint="eastAsia" w:ascii="宋体" w:hAnsi="宋体" w:eastAsia="宋体" w:cs="宋体"/>
          <w:color w:val="auto"/>
          <w:sz w:val="21"/>
          <w:szCs w:val="21"/>
          <w:highlight w:val="none"/>
          <w:lang w:val="en-US" w:eastAsia="zh-CN"/>
        </w:rPr>
        <w:sectPr>
          <w:footerReference r:id="rId10" w:type="default"/>
          <w:pgSz w:w="12190" w:h="17030"/>
          <w:pgMar w:top="1447" w:right="1095" w:bottom="1552" w:left="1828" w:header="0" w:footer="1393" w:gutter="0"/>
          <w:pgNumType w:fmt="decimal"/>
          <w:cols w:space="720" w:num="1"/>
        </w:sectPr>
      </w:pPr>
      <w:r>
        <w:rPr>
          <w:rFonts w:hint="eastAsia" w:ascii="宋体" w:hAnsi="宋体" w:eastAsia="宋体" w:cs="宋体"/>
          <w:color w:val="auto"/>
          <w:sz w:val="21"/>
          <w:szCs w:val="21"/>
          <w:highlight w:val="none"/>
          <w:lang w:val="en-US" w:eastAsia="zh-CN"/>
        </w:rPr>
        <w:t>联系人：              联系电话：        传真：</w:t>
      </w:r>
    </w:p>
    <w:p>
      <w:pPr>
        <w:keepNext w:val="0"/>
        <w:keepLines w:val="0"/>
        <w:pageBreakBefore w:val="0"/>
        <w:widowControl w:val="0"/>
        <w:kinsoku/>
        <w:wordWrap/>
        <w:overflowPunct/>
        <w:topLinePunct w:val="0"/>
        <w:autoSpaceDE/>
        <w:autoSpaceDN/>
        <w:bidi w:val="0"/>
        <w:adjustRightInd w:val="0"/>
        <w:snapToGrid/>
        <w:spacing w:line="360" w:lineRule="auto"/>
        <w:jc w:val="both"/>
        <w:textAlignment w:val="auto"/>
        <w:outlineLvl w:val="9"/>
        <w:rPr>
          <w:rFonts w:hint="default" w:ascii="Times New Roman" w:hAnsi="Times New Roman" w:eastAsia="宋体" w:cs="Times New Roman"/>
          <w:b/>
          <w:bCs/>
          <w:color w:val="auto"/>
          <w:sz w:val="28"/>
          <w:szCs w:val="28"/>
          <w:highlight w:val="none"/>
          <w:lang w:eastAsia="zh-CN"/>
        </w:rPr>
      </w:pPr>
    </w:p>
    <w:p>
      <w:pPr>
        <w:pStyle w:val="3"/>
        <w:ind w:left="0" w:leftChars="0" w:firstLine="0" w:firstLineChars="0"/>
        <w:jc w:val="center"/>
        <w:rPr>
          <w:rFonts w:hint="default" w:ascii="Times New Roman" w:hAnsi="Times New Roman" w:eastAsia="宋体" w:cs="Times New Roman"/>
          <w:b/>
          <w:bCs/>
          <w:color w:val="auto"/>
          <w:sz w:val="32"/>
          <w:szCs w:val="32"/>
          <w:highlight w:val="none"/>
          <w:lang w:eastAsia="zh-CN"/>
        </w:rPr>
      </w:pPr>
      <w:bookmarkStart w:id="2057" w:name="_Toc18342"/>
      <w:r>
        <w:rPr>
          <w:rFonts w:hint="default" w:ascii="Times New Roman" w:hAnsi="Times New Roman" w:eastAsia="宋体" w:cs="Times New Roman"/>
          <w:b/>
          <w:bCs/>
          <w:color w:val="auto"/>
          <w:sz w:val="32"/>
          <w:szCs w:val="32"/>
          <w:highlight w:val="none"/>
          <w:lang w:eastAsia="zh-CN"/>
        </w:rPr>
        <w:t>承</w:t>
      </w:r>
      <w:r>
        <w:rPr>
          <w:rFonts w:hint="default" w:ascii="Times New Roman" w:hAnsi="Times New Roman" w:eastAsia="宋体" w:cs="Times New Roman"/>
          <w:b/>
          <w:bCs/>
          <w:color w:val="auto"/>
          <w:sz w:val="32"/>
          <w:szCs w:val="32"/>
          <w:highlight w:val="none"/>
          <w:lang w:val="en-US" w:eastAsia="zh-CN"/>
        </w:rPr>
        <w:t xml:space="preserve"> </w:t>
      </w:r>
      <w:r>
        <w:rPr>
          <w:rFonts w:hint="default" w:ascii="Times New Roman" w:hAnsi="Times New Roman" w:eastAsia="宋体" w:cs="Times New Roman"/>
          <w:b/>
          <w:bCs/>
          <w:color w:val="auto"/>
          <w:sz w:val="32"/>
          <w:szCs w:val="32"/>
          <w:highlight w:val="none"/>
          <w:lang w:eastAsia="zh-CN"/>
        </w:rPr>
        <w:t>诺</w:t>
      </w:r>
      <w:r>
        <w:rPr>
          <w:rFonts w:hint="default" w:ascii="Times New Roman" w:hAnsi="Times New Roman" w:eastAsia="宋体" w:cs="Times New Roman"/>
          <w:b/>
          <w:bCs/>
          <w:color w:val="auto"/>
          <w:sz w:val="32"/>
          <w:szCs w:val="32"/>
          <w:highlight w:val="none"/>
          <w:lang w:val="en-US" w:eastAsia="zh-CN"/>
        </w:rPr>
        <w:t xml:space="preserve"> </w:t>
      </w:r>
      <w:r>
        <w:rPr>
          <w:rFonts w:hint="default" w:ascii="Times New Roman" w:hAnsi="Times New Roman" w:eastAsia="宋体" w:cs="Times New Roman"/>
          <w:b/>
          <w:bCs/>
          <w:color w:val="auto"/>
          <w:sz w:val="32"/>
          <w:szCs w:val="32"/>
          <w:highlight w:val="none"/>
          <w:lang w:eastAsia="zh-CN"/>
        </w:rPr>
        <w:t>书</w:t>
      </w:r>
      <w:bookmarkEnd w:id="205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重庆明月山建设开发有限公司</w:t>
      </w:r>
      <w:r>
        <w:rPr>
          <w:rFonts w:hint="default" w:ascii="Times New Roman" w:hAnsi="Times New Roman" w:eastAsia="宋体" w:cs="Times New Roman"/>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我单位已中标</w:t>
      </w:r>
      <w:r>
        <w:rPr>
          <w:rFonts w:hint="default" w:ascii="Times New Roman" w:hAnsi="Times New Roman" w:eastAsia="宋体" w:cs="Times New Roman"/>
          <w:color w:val="auto"/>
          <w:sz w:val="24"/>
          <w:szCs w:val="24"/>
          <w:highlight w:val="none"/>
          <w:u w:val="single"/>
          <w:lang w:val="en-US" w:eastAsia="zh-CN"/>
        </w:rPr>
        <w:t xml:space="preserve">  </w:t>
      </w:r>
      <w:r>
        <w:rPr>
          <w:rFonts w:hint="eastAsia"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none"/>
          <w:lang w:val="en-US" w:eastAsia="zh-CN"/>
        </w:rPr>
        <w:t>，对贵单位在垫江县人民政府网上发出的该工程招标公告及相关的补遗资料、通知等全部内容予以确认，此工程项目为清单计价合同，并按其招标文件上工程量清单及图纸内容组织施工。其人员严格按照投标人员管理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right"/>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施工单位：</w:t>
      </w:r>
      <w:r>
        <w:rPr>
          <w:rFonts w:hint="eastAsia"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none"/>
          <w:lang w:val="en-US" w:eastAsia="zh-CN"/>
        </w:rPr>
        <w:t>（公章）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right"/>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法定代表人或委托代理人：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none"/>
          <w:lang w:val="en-US" w:eastAsia="zh-CN"/>
        </w:rPr>
        <w:t>（签字）</w:t>
      </w:r>
    </w:p>
    <w:p>
      <w:pPr>
        <w:rPr>
          <w:rFonts w:ascii="宋体" w:hAnsi="宋体"/>
          <w:color w:val="auto"/>
          <w:sz w:val="24"/>
          <w:highlight w:val="none"/>
        </w:rPr>
      </w:pPr>
      <w:r>
        <w:rPr>
          <w:rFonts w:ascii="宋体" w:hAnsi="宋体"/>
          <w:color w:val="auto"/>
          <w:sz w:val="24"/>
          <w:highlight w:val="none"/>
        </w:rPr>
        <w:br w:type="page"/>
      </w:r>
    </w:p>
    <w:p>
      <w:pPr>
        <w:spacing w:line="360" w:lineRule="auto"/>
        <w:rPr>
          <w:rFonts w:ascii="宋体" w:hAnsi="宋体"/>
          <w:color w:val="auto"/>
          <w:szCs w:val="21"/>
          <w:highlight w:val="none"/>
        </w:rPr>
      </w:pPr>
      <w:r>
        <w:rPr>
          <w:rFonts w:hint="eastAsia" w:ascii="宋体" w:hAnsi="宋体"/>
          <w:color w:val="auto"/>
          <w:szCs w:val="21"/>
          <w:highlight w:val="none"/>
        </w:rPr>
        <w:t>附件11：低价风险担保保函示范文本（独立保函）（如有）</w:t>
      </w:r>
    </w:p>
    <w:p>
      <w:pPr>
        <w:spacing w:line="360" w:lineRule="auto"/>
        <w:jc w:val="center"/>
        <w:rPr>
          <w:rFonts w:ascii="宋体" w:hAnsi="宋体" w:eastAsia="宋体" w:cs="宋体"/>
          <w:b/>
          <w:bCs/>
          <w:color w:val="auto"/>
          <w:szCs w:val="21"/>
          <w:highlight w:val="none"/>
        </w:rPr>
      </w:pPr>
    </w:p>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低价风险担保保函示范文本</w:t>
      </w:r>
    </w:p>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（独立保函）</w:t>
      </w:r>
    </w:p>
    <w:p>
      <w:pPr>
        <w:wordWrap w:val="0"/>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申请人：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地址：</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受益人：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地址：</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开立人：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地址：</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（受益人名称）： </w:t>
      </w:r>
    </w:p>
    <w:p>
      <w:pPr>
        <w:pStyle w:val="2"/>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（以下简称“申请人”）于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（以下简称“受益人”）的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（项目名称）的投标，收到受益人于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pPr>
        <w:pStyle w:val="2"/>
        <w:numPr>
          <w:ilvl w:val="0"/>
          <w:numId w:val="3"/>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二、本保函担保金额最高不超过人民币（大写）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三、本保函有效期自开立之日起至合同约定的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日止，最迟不超过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四、我方承诺，在收到受益人发来的书面付款通知后的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工作日内无条件支付，前述书面付款通知即为付款要求之单据，且应满足以下要求：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（1）付款通知到达的日期在本保函的有效期内；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（2）载明要求支付的金额；</w:t>
      </w:r>
    </w:p>
    <w:p>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（3）载明申请人未按照中标通知书、招标文件和投标文件约定签订合同或违反合同义务的条款和内容；</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（4）付款通知中应声明不存在招标文件约定、合同文件约定或我国法律规定免除申请人或开立人支付责任的情形；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（5）付款通知应在本保函有效期内到达的地址是：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受益人发出的书面付款通知应由其为鉴明受益人法定代表人（负责人）或授权代理人签名加盖公章。</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五、本保函项下的权利不得转让，不得设定担保。贵方未经我方书面同意转让本保函或其项下任何权利，对我方不发生法律效力。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六、与本保函有关的合同不成立、不生效、无效、被撤销、被解除，不影响本保函的独立有效。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八、本保函适用的法律为中华人民共和国法律，争议裁判管辖地为中华人民共和国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九、本保函自我方法定代表人或授权代表签名并加盖公章之日起生效。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 立 人：                              （公章）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法定代表人（或授权代表）：              （签名）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    址：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邮政编码：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电    话：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传    真：                 </w:t>
      </w:r>
    </w:p>
    <w:p>
      <w:pPr>
        <w:spacing w:line="360" w:lineRule="auto"/>
        <w:ind w:firstLine="420" w:firstLineChars="200"/>
        <w:rPr>
          <w:color w:val="auto"/>
          <w:highlight w:val="none"/>
        </w:rPr>
      </w:pPr>
      <w:r>
        <w:rPr>
          <w:rFonts w:hint="eastAsia" w:ascii="宋体" w:hAnsi="宋体" w:eastAsia="宋体" w:cs="宋体"/>
          <w:color w:val="auto"/>
          <w:szCs w:val="21"/>
          <w:highlight w:val="none"/>
        </w:rPr>
        <w:t>开立时间：      年      月</w:t>
      </w:r>
      <w:r>
        <w:rPr>
          <w:rFonts w:hint="eastAsia" w:ascii="宋体" w:hAnsi="宋体" w:eastAsia="宋体" w:cs="宋体"/>
          <w:color w:val="auto"/>
          <w:szCs w:val="21"/>
          <w:highlight w:val="none"/>
          <w:lang w:val="en-US" w:eastAsia="zh-CN"/>
        </w:rPr>
        <w:t xml:space="preserve">      日</w:t>
      </w: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p>
      <w:pPr>
        <w:spacing w:line="360" w:lineRule="auto"/>
        <w:jc w:val="left"/>
        <w:rPr>
          <w:rFonts w:ascii="宋体" w:hAnsi="宋体"/>
          <w:color w:val="auto"/>
          <w:sz w:val="24"/>
          <w:highlight w:val="none"/>
        </w:rPr>
      </w:pPr>
    </w:p>
    <w:bookmarkEnd w:id="584"/>
    <w:p>
      <w:pPr>
        <w:spacing w:line="360" w:lineRule="auto"/>
        <w:rPr>
          <w:rFonts w:ascii="宋体" w:hAnsi="宋体"/>
          <w:color w:val="auto"/>
          <w:szCs w:val="20"/>
          <w:highlight w:val="none"/>
        </w:rPr>
      </w:pPr>
    </w:p>
    <w:p>
      <w:pPr>
        <w:spacing w:line="240" w:lineRule="auto"/>
        <w:rPr>
          <w:rFonts w:ascii="宋体" w:hAnsi="宋体"/>
          <w:color w:val="auto"/>
          <w:szCs w:val="20"/>
          <w:highlight w:val="none"/>
        </w:rPr>
      </w:pPr>
      <w:r>
        <w:rPr>
          <w:rFonts w:ascii="宋体" w:hAnsi="宋体"/>
          <w:color w:val="auto"/>
          <w:szCs w:val="20"/>
          <w:highlight w:val="none"/>
        </w:rPr>
        <w:br w:type="page"/>
      </w:r>
    </w:p>
    <w:p>
      <w:pPr>
        <w:spacing w:line="360" w:lineRule="auto"/>
        <w:rPr>
          <w:rFonts w:ascii="宋体" w:hAnsi="宋体"/>
          <w:color w:val="auto"/>
          <w:szCs w:val="21"/>
          <w:highlight w:val="none"/>
        </w:rPr>
      </w:pPr>
      <w:r>
        <w:rPr>
          <w:rFonts w:hint="eastAsia" w:ascii="宋体" w:hAnsi="宋体"/>
          <w:color w:val="auto"/>
          <w:szCs w:val="20"/>
          <w:highlight w:val="none"/>
          <w:lang w:val="en-US" w:eastAsia="zh-CN"/>
        </w:rPr>
        <w:t>附件12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质量保证金保函</w:t>
      </w:r>
      <w:r>
        <w:rPr>
          <w:rFonts w:hint="eastAsia" w:ascii="宋体" w:hAnsi="宋体"/>
          <w:color w:val="auto"/>
          <w:szCs w:val="21"/>
          <w:highlight w:val="none"/>
        </w:rPr>
        <w:t>（如有）</w:t>
      </w:r>
    </w:p>
    <w:p>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p>
    <w:p>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工程质量保函示范文本</w:t>
      </w:r>
    </w:p>
    <w:p>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rPr>
          <w:rFonts w:hint="eastAsia" w:ascii="宋体" w:hAnsi="宋体" w:eastAsia="宋体" w:cs="宋体"/>
          <w:color w:val="auto"/>
          <w:kern w:val="2"/>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（受益人名称）： </w:t>
      </w:r>
    </w:p>
    <w:p>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工程（以下简称“本工程”）施工和有关事项协商一致共同签订</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（合同名称）合同编号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一、本保函担保范围：承包人未按照合同约定履行工程缺陷责任期内的保修义务，应当向贵方承担的违约责任和赔偿因此造成的损失、利息、律师费、诉讼费用等实现债权的费用。</w:t>
      </w:r>
    </w:p>
    <w:p>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三、本保函有效期（保证期间）为以下第</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种：</w:t>
      </w:r>
    </w:p>
    <w:p>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本保函有效期至</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p>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四、我方承诺，在收到受益人发来的书面索赔通知和本保函原件后的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个工作</w:t>
      </w:r>
      <w:r>
        <w:rPr>
          <w:rFonts w:hint="eastAsia" w:ascii="宋体" w:hAnsi="宋体" w:eastAsia="宋体" w:cs="宋体"/>
          <w:color w:val="auto"/>
          <w:kern w:val="2"/>
          <w:sz w:val="21"/>
          <w:szCs w:val="21"/>
          <w:highlight w:val="none"/>
        </w:rPr>
        <w:t>日内无条件支付至受益人指定账户，前述书面索赔通知即为付款要求之单据，且应满足以下要求：</w:t>
      </w:r>
    </w:p>
    <w:p>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（1）索赔通知到达的日期在本保函的有效期内；</w:t>
      </w:r>
    </w:p>
    <w:p>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（5）索赔通知应在本保函有效期内到达的地址是：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六、与本保函有关的合同不成立、不生效、无效、被撤销、被解除，不影响本保函的独立有效。 </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九、本保函自我方法定代表人或授权代表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pPr>
        <w:keepNext w:val="0"/>
        <w:keepLines w:val="0"/>
        <w:pageBreakBefore w:val="0"/>
        <w:widowControl w:val="0"/>
        <w:shd w:val="clear" w:color="auto" w:fill="auto"/>
        <w:kinsoku/>
        <w:wordWrap/>
        <w:topLinePunct w:val="0"/>
        <w:autoSpaceDE/>
        <w:autoSpaceDN/>
        <w:bidi w:val="0"/>
        <w:snapToGrid/>
        <w:spacing w:beforeLines="0" w:after="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spacing w:line="240" w:lineRule="exact"/>
        <w:ind w:firstLine="420" w:firstLineChars="200"/>
        <w:rPr>
          <w:rFonts w:ascii="宋体" w:hAnsi="宋体"/>
          <w:color w:val="auto"/>
          <w:szCs w:val="20"/>
          <w:highlight w:val="none"/>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rPr>
        <w:t>日</w:t>
      </w:r>
      <w:r>
        <w:rPr>
          <w:rFonts w:ascii="宋体" w:hAnsi="宋体"/>
          <w:color w:val="auto"/>
          <w:szCs w:val="20"/>
          <w:highlight w:val="none"/>
        </w:rPr>
        <w:br w:type="page"/>
      </w:r>
      <w:bookmarkStart w:id="2058" w:name="招标文件05章工程量清单"/>
      <w:bookmarkEnd w:id="2058"/>
    </w:p>
    <w:p>
      <w:pPr>
        <w:pStyle w:val="3"/>
        <w:numPr>
          <w:ilvl w:val="0"/>
          <w:numId w:val="4"/>
        </w:numPr>
        <w:spacing w:before="0" w:after="0" w:line="360" w:lineRule="auto"/>
        <w:jc w:val="center"/>
        <w:rPr>
          <w:rFonts w:hint="eastAsia" w:ascii="宋体" w:hAnsi="宋体"/>
          <w:color w:val="auto"/>
          <w:highlight w:val="none"/>
          <w:lang w:val="en-US" w:eastAsia="zh-CN"/>
        </w:rPr>
      </w:pPr>
      <w:bookmarkStart w:id="2059" w:name="_Toc509218843"/>
      <w:bookmarkStart w:id="2060" w:name="_Toc287607855"/>
      <w:bookmarkStart w:id="2061" w:name="_Toc287620797"/>
      <w:bookmarkStart w:id="2062" w:name="_Toc430530513"/>
      <w:bookmarkStart w:id="2063" w:name="_Toc534185822"/>
      <w:r>
        <w:rPr>
          <w:rFonts w:hint="eastAsia" w:ascii="宋体" w:hAnsi="宋体"/>
          <w:color w:val="auto"/>
          <w:highlight w:val="none"/>
        </w:rPr>
        <w:t xml:space="preserve"> </w:t>
      </w:r>
      <w:bookmarkStart w:id="2064" w:name="_Toc3325"/>
      <w:r>
        <w:rPr>
          <w:rFonts w:hint="eastAsia" w:ascii="宋体" w:hAnsi="宋体"/>
          <w:color w:val="auto"/>
          <w:highlight w:val="none"/>
        </w:rPr>
        <w:t>工程量清</w:t>
      </w:r>
      <w:bookmarkEnd w:id="2059"/>
      <w:bookmarkEnd w:id="2060"/>
      <w:bookmarkEnd w:id="2061"/>
      <w:bookmarkEnd w:id="2062"/>
      <w:bookmarkEnd w:id="2063"/>
      <w:bookmarkStart w:id="2065" w:name="招标文件05章工程量清单01"/>
      <w:bookmarkEnd w:id="2065"/>
      <w:bookmarkStart w:id="2066" w:name="_Toc287620798"/>
      <w:bookmarkStart w:id="2067" w:name="_Toc430530514"/>
      <w:bookmarkStart w:id="2068" w:name="_Toc224103477"/>
      <w:bookmarkStart w:id="2069" w:name="_Toc277082638"/>
      <w:bookmarkStart w:id="2070" w:name="_Toc287607856"/>
      <w:r>
        <w:rPr>
          <w:rFonts w:hint="eastAsia" w:ascii="宋体" w:hAnsi="宋体"/>
          <w:color w:val="auto"/>
          <w:highlight w:val="none"/>
          <w:lang w:val="en-US" w:eastAsia="zh-CN"/>
        </w:rPr>
        <w:t>单</w:t>
      </w:r>
      <w:bookmarkEnd w:id="2064"/>
    </w:p>
    <w:p>
      <w:pPr>
        <w:widowControl w:val="0"/>
        <w:numPr>
          <w:ilvl w:val="0"/>
          <w:numId w:val="0"/>
        </w:numPr>
        <w:jc w:val="both"/>
        <w:rPr>
          <w:rFonts w:hint="eastAsia"/>
          <w:color w:val="auto"/>
          <w:highlight w:val="none"/>
          <w:lang w:val="en-US" w:eastAsia="zh-CN"/>
        </w:rPr>
      </w:pPr>
    </w:p>
    <w:p>
      <w:pPr>
        <w:spacing w:line="360" w:lineRule="auto"/>
        <w:jc w:val="center"/>
        <w:rPr>
          <w:rFonts w:ascii="宋体" w:hAnsi="宋体"/>
          <w:color w:val="auto"/>
          <w:szCs w:val="20"/>
          <w:highlight w:val="none"/>
        </w:rPr>
      </w:pPr>
      <w:r>
        <w:rPr>
          <w:rFonts w:hint="eastAsia" w:ascii="宋体" w:hAnsi="宋体"/>
          <w:color w:val="auto"/>
          <w:szCs w:val="20"/>
          <w:highlight w:val="none"/>
        </w:rPr>
        <w:t>在</w:t>
      </w:r>
      <w:r>
        <w:rPr>
          <w:rFonts w:hint="eastAsia" w:ascii="宋体" w:hAnsi="宋体"/>
          <w:color w:val="auto"/>
          <w:szCs w:val="20"/>
          <w:highlight w:val="none"/>
          <w:u w:val="single"/>
          <w:lang w:eastAsia="zh-CN"/>
        </w:rPr>
        <w:t>垫江县人民政府网</w:t>
      </w:r>
      <w:r>
        <w:rPr>
          <w:rFonts w:hint="eastAsia" w:ascii="宋体" w:hAnsi="宋体"/>
          <w:color w:val="auto"/>
          <w:szCs w:val="20"/>
          <w:highlight w:val="none"/>
        </w:rPr>
        <w:t>下载。</w:t>
      </w:r>
    </w:p>
    <w:p>
      <w:pPr>
        <w:pStyle w:val="66"/>
        <w:rPr>
          <w:rFonts w:hint="eastAsia"/>
          <w:color w:val="auto"/>
          <w:highlight w:val="none"/>
          <w:lang w:val="en-US" w:eastAsia="zh-CN"/>
        </w:rPr>
        <w:sectPr>
          <w:footerReference r:id="rId11" w:type="default"/>
          <w:pgSz w:w="11906" w:h="16838"/>
          <w:pgMar w:top="1304" w:right="1134" w:bottom="1304" w:left="1304" w:header="851" w:footer="992" w:gutter="0"/>
          <w:cols w:space="720" w:num="1"/>
          <w:docGrid w:type="lines" w:linePitch="312" w:charSpace="0"/>
        </w:sectPr>
      </w:pPr>
    </w:p>
    <w:bookmarkEnd w:id="2066"/>
    <w:bookmarkEnd w:id="2067"/>
    <w:bookmarkEnd w:id="2068"/>
    <w:bookmarkEnd w:id="2069"/>
    <w:bookmarkEnd w:id="2070"/>
    <w:p>
      <w:pPr>
        <w:snapToGrid w:val="0"/>
        <w:spacing w:line="360" w:lineRule="auto"/>
        <w:jc w:val="both"/>
        <w:rPr>
          <w:rFonts w:ascii="宋体" w:hAnsi="宋体"/>
          <w:color w:val="auto"/>
          <w:szCs w:val="21"/>
          <w:highlight w:val="none"/>
        </w:rPr>
      </w:pPr>
    </w:p>
    <w:p>
      <w:pPr>
        <w:pStyle w:val="3"/>
        <w:spacing w:before="0" w:after="0" w:line="360" w:lineRule="auto"/>
        <w:jc w:val="center"/>
        <w:rPr>
          <w:rFonts w:ascii="宋体" w:hAnsi="宋体"/>
          <w:color w:val="auto"/>
          <w:sz w:val="52"/>
          <w:szCs w:val="52"/>
          <w:highlight w:val="none"/>
        </w:rPr>
      </w:pPr>
      <w:bookmarkStart w:id="2071" w:name="_Toc509218844"/>
      <w:bookmarkStart w:id="2072" w:name="_Toc534185823"/>
      <w:bookmarkStart w:id="2073" w:name="_Toc2716"/>
      <w:r>
        <w:rPr>
          <w:rFonts w:ascii="宋体" w:hAnsi="宋体"/>
          <w:color w:val="auto"/>
          <w:sz w:val="52"/>
          <w:szCs w:val="52"/>
          <w:highlight w:val="none"/>
        </w:rPr>
        <w:t>第 二 卷</w:t>
      </w:r>
      <w:bookmarkEnd w:id="2071"/>
      <w:bookmarkEnd w:id="2072"/>
      <w:bookmarkEnd w:id="2073"/>
    </w:p>
    <w:p>
      <w:pPr>
        <w:spacing w:line="360" w:lineRule="auto"/>
        <w:rPr>
          <w:rFonts w:ascii="宋体" w:hAnsi="宋体"/>
          <w:color w:val="auto"/>
          <w:szCs w:val="20"/>
          <w:highlight w:val="none"/>
        </w:rPr>
      </w:pPr>
      <w:r>
        <w:rPr>
          <w:rFonts w:ascii="宋体" w:hAnsi="宋体"/>
          <w:color w:val="auto"/>
          <w:szCs w:val="20"/>
          <w:highlight w:val="none"/>
        </w:rPr>
        <w:br w:type="page"/>
      </w:r>
    </w:p>
    <w:p>
      <w:pPr>
        <w:pStyle w:val="3"/>
        <w:spacing w:line="360" w:lineRule="auto"/>
        <w:jc w:val="center"/>
        <w:rPr>
          <w:rFonts w:ascii="宋体" w:hAnsi="宋体"/>
          <w:color w:val="auto"/>
          <w:highlight w:val="none"/>
        </w:rPr>
      </w:pPr>
      <w:bookmarkStart w:id="2074" w:name="招标文件06章图纸"/>
      <w:bookmarkEnd w:id="2074"/>
      <w:bookmarkStart w:id="2075" w:name="_Toc534185825"/>
      <w:bookmarkStart w:id="2076" w:name="_Toc287620803"/>
      <w:bookmarkStart w:id="2077" w:name="_Toc430530519"/>
      <w:bookmarkStart w:id="2078" w:name="_Toc287607861"/>
      <w:bookmarkStart w:id="2079" w:name="_Toc20887"/>
      <w:bookmarkStart w:id="2080" w:name="_Toc509218846"/>
      <w:r>
        <w:rPr>
          <w:rFonts w:hint="eastAsia" w:ascii="宋体" w:hAnsi="宋体"/>
          <w:color w:val="auto"/>
          <w:highlight w:val="none"/>
        </w:rPr>
        <w:t>第六章  图纸</w:t>
      </w:r>
      <w:bookmarkEnd w:id="2075"/>
      <w:bookmarkEnd w:id="2076"/>
      <w:bookmarkEnd w:id="2077"/>
      <w:bookmarkEnd w:id="2078"/>
      <w:bookmarkEnd w:id="2079"/>
      <w:bookmarkEnd w:id="2080"/>
    </w:p>
    <w:p>
      <w:pPr>
        <w:spacing w:line="360" w:lineRule="auto"/>
        <w:jc w:val="center"/>
        <w:rPr>
          <w:rFonts w:ascii="宋体" w:hAnsi="宋体"/>
          <w:color w:val="auto"/>
          <w:szCs w:val="20"/>
          <w:highlight w:val="none"/>
        </w:rPr>
      </w:pPr>
      <w:r>
        <w:rPr>
          <w:rFonts w:hint="eastAsia" w:ascii="宋体" w:hAnsi="宋体"/>
          <w:color w:val="auto"/>
          <w:szCs w:val="20"/>
          <w:highlight w:val="none"/>
        </w:rPr>
        <w:t>在</w:t>
      </w:r>
      <w:r>
        <w:rPr>
          <w:rFonts w:hint="eastAsia" w:ascii="宋体" w:hAnsi="宋体"/>
          <w:color w:val="auto"/>
          <w:szCs w:val="20"/>
          <w:highlight w:val="none"/>
          <w:u w:val="single"/>
          <w:lang w:eastAsia="zh-CN"/>
        </w:rPr>
        <w:t>垫江县人民政府网</w:t>
      </w:r>
      <w:r>
        <w:rPr>
          <w:rFonts w:hint="eastAsia" w:ascii="宋体" w:hAnsi="宋体"/>
          <w:color w:val="auto"/>
          <w:szCs w:val="20"/>
          <w:highlight w:val="none"/>
        </w:rPr>
        <w:t>下载。</w:t>
      </w:r>
    </w:p>
    <w:p>
      <w:pPr>
        <w:spacing w:line="360" w:lineRule="auto"/>
        <w:rPr>
          <w:rFonts w:ascii="宋体" w:hAnsi="宋体"/>
          <w:color w:val="auto"/>
          <w:szCs w:val="20"/>
          <w:highlight w:val="none"/>
        </w:rPr>
      </w:pPr>
      <w:bookmarkStart w:id="2081" w:name="招标文件06章图纸01"/>
      <w:bookmarkEnd w:id="2081"/>
      <w:bookmarkStart w:id="2082" w:name="_Toc430530520"/>
      <w:bookmarkStart w:id="2083" w:name="_Toc287620804"/>
    </w:p>
    <w:bookmarkEnd w:id="2082"/>
    <w:bookmarkEnd w:id="2083"/>
    <w:p>
      <w:pPr>
        <w:spacing w:line="360" w:lineRule="auto"/>
        <w:rPr>
          <w:rFonts w:ascii="宋体" w:hAnsi="宋体"/>
          <w:color w:val="auto"/>
          <w:highlight w:val="none"/>
        </w:rPr>
      </w:pPr>
      <w:r>
        <w:rPr>
          <w:rFonts w:ascii="宋体" w:hAnsi="宋体"/>
          <w:color w:val="auto"/>
          <w:szCs w:val="20"/>
          <w:highlight w:val="none"/>
        </w:rPr>
        <w:br w:type="page"/>
      </w:r>
    </w:p>
    <w:p>
      <w:pPr>
        <w:pStyle w:val="3"/>
        <w:spacing w:before="0" w:after="0" w:line="360" w:lineRule="auto"/>
        <w:jc w:val="center"/>
        <w:rPr>
          <w:rFonts w:ascii="宋体" w:hAnsi="宋体"/>
          <w:color w:val="auto"/>
          <w:sz w:val="52"/>
          <w:szCs w:val="52"/>
          <w:highlight w:val="none"/>
        </w:rPr>
      </w:pPr>
      <w:bookmarkStart w:id="2084" w:name="_Toc2767"/>
      <w:r>
        <w:rPr>
          <w:rFonts w:hint="eastAsia" w:ascii="宋体" w:hAnsi="宋体"/>
          <w:color w:val="auto"/>
          <w:sz w:val="52"/>
          <w:szCs w:val="52"/>
          <w:highlight w:val="none"/>
        </w:rPr>
        <w:t>第 三 卷</w:t>
      </w:r>
      <w:bookmarkEnd w:id="2084"/>
      <w:bookmarkStart w:id="2085" w:name="_Toc509218847"/>
      <w:bookmarkStart w:id="2086" w:name="_Toc536621880"/>
      <w:bookmarkStart w:id="2087" w:name="_Toc536796850"/>
      <w:bookmarkStart w:id="2088" w:name="_Toc13211764"/>
      <w:bookmarkStart w:id="2089" w:name="_Toc13211206"/>
      <w:bookmarkStart w:id="2090" w:name="_Toc536619968"/>
      <w:bookmarkStart w:id="2091" w:name="_Toc536797121"/>
      <w:bookmarkStart w:id="2092" w:name="_Toc536796986"/>
      <w:bookmarkStart w:id="2093" w:name="_Toc536620100"/>
      <w:bookmarkStart w:id="2094" w:name="_Toc534185826"/>
      <w:bookmarkStart w:id="2095" w:name="_Toc536797255"/>
      <w:bookmarkStart w:id="2096" w:name="_Toc13210772"/>
      <w:bookmarkStart w:id="2097" w:name="_Toc536797390"/>
      <w:bookmarkStart w:id="2098" w:name="_Toc536628344"/>
    </w:p>
    <w:bookmarkEnd w:id="2085"/>
    <w:p>
      <w:pPr>
        <w:rPr>
          <w:color w:val="auto"/>
          <w:highlight w:val="none"/>
        </w:rPr>
      </w:pPr>
      <w:r>
        <w:rPr>
          <w:color w:val="auto"/>
          <w:highlight w:val="none"/>
        </w:rPr>
        <w:br w:type="page"/>
      </w:r>
      <w:bookmarkEnd w:id="2086"/>
      <w:bookmarkEnd w:id="2087"/>
      <w:bookmarkEnd w:id="2088"/>
      <w:bookmarkEnd w:id="2089"/>
      <w:bookmarkEnd w:id="2090"/>
      <w:bookmarkEnd w:id="2091"/>
      <w:bookmarkEnd w:id="2092"/>
      <w:bookmarkEnd w:id="2093"/>
      <w:bookmarkEnd w:id="2094"/>
      <w:bookmarkEnd w:id="2095"/>
      <w:bookmarkEnd w:id="2096"/>
      <w:bookmarkEnd w:id="2097"/>
      <w:bookmarkEnd w:id="2098"/>
    </w:p>
    <w:p>
      <w:pPr>
        <w:pStyle w:val="3"/>
        <w:spacing w:line="360" w:lineRule="auto"/>
        <w:jc w:val="center"/>
        <w:rPr>
          <w:rFonts w:ascii="宋体" w:hAnsi="宋体"/>
          <w:color w:val="auto"/>
          <w:highlight w:val="none"/>
        </w:rPr>
      </w:pPr>
      <w:bookmarkStart w:id="2099" w:name="招标文件07章技术标准和要求"/>
      <w:bookmarkEnd w:id="2099"/>
      <w:bookmarkStart w:id="2100" w:name="_Toc2973"/>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2100"/>
      <w:bookmarkStart w:id="2101" w:name="招标文件07章技术标准和要求01"/>
      <w:bookmarkEnd w:id="2101"/>
      <w:bookmarkStart w:id="2102" w:name="_Toc287620808"/>
      <w:bookmarkStart w:id="2103" w:name="_Toc430530524"/>
    </w:p>
    <w:bookmarkEnd w:id="2102"/>
    <w:bookmarkEnd w:id="2103"/>
    <w:p>
      <w:pPr>
        <w:spacing w:line="360" w:lineRule="auto"/>
        <w:jc w:val="center"/>
        <w:rPr>
          <w:rStyle w:val="60"/>
          <w:color w:val="auto"/>
          <w:highlight w:val="none"/>
        </w:rPr>
      </w:pPr>
      <w:r>
        <w:rPr>
          <w:rFonts w:ascii="宋体" w:hAnsi="宋体"/>
          <w:color w:val="auto"/>
          <w:szCs w:val="21"/>
          <w:highlight w:val="none"/>
        </w:rPr>
        <w:t>由招标人根据招标项目的实际情况编写</w:t>
      </w:r>
      <w:r>
        <w:rPr>
          <w:rFonts w:hint="eastAsia" w:ascii="宋体" w:hAnsi="宋体"/>
          <w:color w:val="auto"/>
          <w:szCs w:val="21"/>
          <w:highlight w:val="none"/>
        </w:rPr>
        <w:t>（如有）。</w:t>
      </w:r>
    </w:p>
    <w:p>
      <w:pPr>
        <w:spacing w:line="360" w:lineRule="auto"/>
        <w:rPr>
          <w:rFonts w:ascii="宋体" w:hAnsi="宋体"/>
          <w:color w:val="auto"/>
          <w:highlight w:val="none"/>
        </w:rPr>
      </w:pPr>
      <w:r>
        <w:rPr>
          <w:rFonts w:ascii="宋体" w:hAnsi="宋体"/>
          <w:color w:val="auto"/>
          <w:highlight w:val="none"/>
        </w:rPr>
        <w:br w:type="page"/>
      </w:r>
    </w:p>
    <w:p>
      <w:pPr>
        <w:pStyle w:val="3"/>
        <w:spacing w:before="0" w:after="0" w:line="360" w:lineRule="auto"/>
        <w:jc w:val="center"/>
        <w:rPr>
          <w:rFonts w:ascii="宋体" w:hAnsi="宋体"/>
          <w:color w:val="auto"/>
          <w:sz w:val="52"/>
          <w:szCs w:val="52"/>
          <w:highlight w:val="none"/>
        </w:rPr>
      </w:pPr>
      <w:bookmarkStart w:id="2104" w:name="_Toc509218849"/>
      <w:bookmarkStart w:id="2105" w:name="_Toc16131"/>
      <w:bookmarkStart w:id="2106" w:name="_Toc534185827"/>
      <w:r>
        <w:rPr>
          <w:rFonts w:ascii="宋体" w:hAnsi="宋体"/>
          <w:color w:val="auto"/>
          <w:sz w:val="52"/>
          <w:szCs w:val="52"/>
          <w:highlight w:val="none"/>
        </w:rPr>
        <w:t>第 四 卷</w:t>
      </w:r>
      <w:bookmarkEnd w:id="2104"/>
      <w:bookmarkEnd w:id="2105"/>
      <w:bookmarkEnd w:id="2106"/>
      <w:bookmarkStart w:id="2107" w:name="_Toc13210775"/>
      <w:bookmarkStart w:id="2108" w:name="_Toc13211209"/>
      <w:bookmarkStart w:id="2109" w:name="_Toc536620102"/>
      <w:bookmarkStart w:id="2110" w:name="_Toc536797258"/>
      <w:bookmarkStart w:id="2111" w:name="_Toc13211767"/>
      <w:bookmarkStart w:id="2112" w:name="_Toc536621883"/>
      <w:bookmarkStart w:id="2113" w:name="_Toc536797124"/>
      <w:bookmarkStart w:id="2114" w:name="_Toc536628347"/>
      <w:bookmarkStart w:id="2115" w:name="_Toc536796989"/>
      <w:bookmarkStart w:id="2116" w:name="_Toc509218850"/>
      <w:bookmarkStart w:id="2117" w:name="_Toc536797393"/>
      <w:bookmarkStart w:id="2118" w:name="_Toc534185828"/>
      <w:bookmarkStart w:id="2119" w:name="_Toc536796853"/>
      <w:bookmarkStart w:id="2120" w:name="_Toc536619970"/>
    </w:p>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p>
      <w:pPr>
        <w:rPr>
          <w:color w:val="auto"/>
          <w:highlight w:val="none"/>
        </w:rPr>
      </w:pPr>
      <w:r>
        <w:rPr>
          <w:color w:val="auto"/>
          <w:highlight w:val="none"/>
        </w:rPr>
        <w:br w:type="page"/>
      </w:r>
      <w:bookmarkStart w:id="2121" w:name="招标文件08章投标文件格式"/>
      <w:bookmarkEnd w:id="2121"/>
      <w:bookmarkStart w:id="2122" w:name="_Toc287620812"/>
      <w:bookmarkStart w:id="2123" w:name="_Toc287607865"/>
    </w:p>
    <w:p>
      <w:pPr>
        <w:pStyle w:val="3"/>
        <w:spacing w:line="360" w:lineRule="auto"/>
        <w:jc w:val="center"/>
        <w:rPr>
          <w:rFonts w:ascii="宋体" w:hAnsi="宋体"/>
          <w:color w:val="auto"/>
          <w:highlight w:val="none"/>
        </w:rPr>
      </w:pPr>
      <w:bookmarkStart w:id="2124" w:name="_Toc534185829"/>
      <w:bookmarkStart w:id="2125" w:name="_Toc430530528"/>
      <w:bookmarkStart w:id="2126" w:name="_Toc4558"/>
      <w:bookmarkStart w:id="2127" w:name="_Toc509218852"/>
      <w:r>
        <w:rPr>
          <w:rFonts w:hint="eastAsia" w:ascii="宋体" w:hAnsi="宋体"/>
          <w:color w:val="auto"/>
          <w:highlight w:val="none"/>
        </w:rPr>
        <w:t>第八章  投标文件格式</w:t>
      </w:r>
      <w:bookmarkEnd w:id="2122"/>
      <w:bookmarkEnd w:id="2123"/>
      <w:bookmarkEnd w:id="2124"/>
      <w:bookmarkEnd w:id="2125"/>
      <w:bookmarkEnd w:id="2126"/>
      <w:bookmarkEnd w:id="2127"/>
    </w:p>
    <w:p>
      <w:pPr>
        <w:spacing w:line="360" w:lineRule="auto"/>
        <w:rPr>
          <w:rFonts w:ascii="宋体" w:hAnsi="宋体"/>
          <w:color w:val="auto"/>
          <w:sz w:val="32"/>
          <w:szCs w:val="32"/>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p>
      <w:pPr>
        <w:spacing w:line="360" w:lineRule="auto"/>
        <w:jc w:val="center"/>
        <w:rPr>
          <w:rFonts w:ascii="宋体" w:hAnsi="宋体"/>
          <w:color w:val="auto"/>
          <w:szCs w:val="20"/>
          <w:highlight w:val="none"/>
        </w:rPr>
      </w:pPr>
    </w:p>
    <w:bookmarkEnd w:id="577"/>
    <w:bookmarkEnd w:id="578"/>
    <w:bookmarkEnd w:id="579"/>
    <w:p>
      <w:pPr>
        <w:spacing w:line="360" w:lineRule="auto"/>
        <w:jc w:val="center"/>
        <w:outlineLvl w:val="0"/>
        <w:rPr>
          <w:rFonts w:ascii="宋体" w:hAnsi="宋体"/>
          <w:color w:val="auto"/>
          <w:szCs w:val="20"/>
          <w:highlight w:val="none"/>
        </w:rPr>
      </w:pPr>
      <w:bookmarkStart w:id="2128" w:name="_Toc26913"/>
      <w:bookmarkStart w:id="2129" w:name="_Toc26407"/>
      <w:r>
        <w:rPr>
          <w:rFonts w:hint="eastAsia" w:ascii="宋体" w:hAnsi="宋体"/>
          <w:b/>
          <w:bCs/>
          <w:color w:val="auto"/>
          <w:sz w:val="36"/>
          <w:szCs w:val="36"/>
          <w:highlight w:val="none"/>
        </w:rPr>
        <w:t>目  录</w:t>
      </w:r>
      <w:bookmarkEnd w:id="2128"/>
      <w:bookmarkEnd w:id="2129"/>
    </w:p>
    <w:p>
      <w:pPr>
        <w:spacing w:line="360" w:lineRule="auto"/>
        <w:outlineLvl w:val="0"/>
        <w:rPr>
          <w:rFonts w:ascii="宋体" w:hAnsi="宋体"/>
          <w:b/>
          <w:color w:val="auto"/>
          <w:highlight w:val="none"/>
        </w:rPr>
      </w:pPr>
      <w:bookmarkStart w:id="2130" w:name="_Toc32740"/>
      <w:bookmarkStart w:id="2131" w:name="_Toc6284"/>
      <w:r>
        <w:rPr>
          <w:rFonts w:hint="eastAsia" w:ascii="宋体" w:hAnsi="宋体"/>
          <w:b/>
          <w:color w:val="auto"/>
          <w:highlight w:val="none"/>
        </w:rPr>
        <w:t>一</w:t>
      </w:r>
      <w:r>
        <w:rPr>
          <w:rFonts w:ascii="宋体" w:hAnsi="宋体"/>
          <w:b/>
          <w:color w:val="auto"/>
          <w:highlight w:val="none"/>
        </w:rPr>
        <w:t>、投标函部分</w:t>
      </w:r>
      <w:bookmarkEnd w:id="2130"/>
      <w:bookmarkEnd w:id="2131"/>
    </w:p>
    <w:p>
      <w:pPr>
        <w:spacing w:line="360" w:lineRule="auto"/>
        <w:ind w:firstLine="420" w:firstLineChars="200"/>
        <w:rPr>
          <w:rFonts w:ascii="宋体" w:hAnsi="宋体"/>
          <w:color w:val="auto"/>
          <w:highlight w:val="none"/>
        </w:rPr>
      </w:pPr>
      <w:r>
        <w:rPr>
          <w:rFonts w:ascii="宋体" w:hAnsi="宋体"/>
          <w:color w:val="auto"/>
          <w:highlight w:val="none"/>
        </w:rPr>
        <w:t>（一）投标函</w:t>
      </w:r>
    </w:p>
    <w:p>
      <w:pPr>
        <w:spacing w:line="360" w:lineRule="auto"/>
        <w:ind w:firstLine="420" w:firstLineChars="200"/>
        <w:rPr>
          <w:rFonts w:ascii="宋体" w:hAnsi="宋体"/>
          <w:color w:val="auto"/>
          <w:highlight w:val="none"/>
        </w:rPr>
      </w:pPr>
      <w:r>
        <w:rPr>
          <w:rFonts w:ascii="宋体" w:hAnsi="宋体"/>
          <w:color w:val="auto"/>
          <w:highlight w:val="none"/>
        </w:rPr>
        <w:t>（二）投标函附录</w:t>
      </w:r>
    </w:p>
    <w:p>
      <w:pPr>
        <w:spacing w:line="360" w:lineRule="auto"/>
        <w:ind w:firstLine="420" w:firstLineChars="200"/>
        <w:rPr>
          <w:rFonts w:ascii="宋体" w:hAnsi="宋体"/>
          <w:color w:val="auto"/>
          <w:highlight w:val="none"/>
        </w:rPr>
      </w:pPr>
      <w:r>
        <w:rPr>
          <w:rFonts w:ascii="宋体" w:hAnsi="宋体"/>
          <w:color w:val="auto"/>
          <w:highlight w:val="none"/>
        </w:rPr>
        <w:t>（三）</w:t>
      </w:r>
      <w:r>
        <w:rPr>
          <w:rFonts w:hint="eastAsia" w:ascii="宋体" w:hAnsi="宋体"/>
          <w:color w:val="auto"/>
          <w:highlight w:val="none"/>
        </w:rPr>
        <w:t>法定代表人身份证明或附有法定代表人身份证明的授权委托书</w:t>
      </w:r>
    </w:p>
    <w:p>
      <w:pPr>
        <w:spacing w:line="360" w:lineRule="auto"/>
        <w:ind w:firstLine="420" w:firstLineChars="200"/>
        <w:rPr>
          <w:rFonts w:ascii="宋体" w:hAnsi="宋体"/>
          <w:color w:val="auto"/>
          <w:highlight w:val="none"/>
        </w:rPr>
      </w:pPr>
      <w:r>
        <w:rPr>
          <w:rFonts w:ascii="宋体" w:hAnsi="宋体"/>
          <w:color w:val="auto"/>
          <w:highlight w:val="none"/>
        </w:rPr>
        <w:t>（四）</w:t>
      </w:r>
      <w:r>
        <w:rPr>
          <w:rFonts w:hint="eastAsia" w:ascii="宋体" w:hAnsi="宋体"/>
          <w:color w:val="auto"/>
          <w:highlight w:val="none"/>
        </w:rPr>
        <w:t>低价风险担保</w:t>
      </w:r>
      <w:r>
        <w:rPr>
          <w:rFonts w:hint="eastAsia" w:ascii="宋体" w:hAnsi="宋体"/>
          <w:color w:val="auto"/>
          <w:highlight w:val="none"/>
          <w:lang w:val="en-US" w:eastAsia="zh-CN"/>
        </w:rPr>
        <w:t>提交</w:t>
      </w:r>
      <w:r>
        <w:rPr>
          <w:rFonts w:hint="eastAsia" w:ascii="宋体" w:hAnsi="宋体"/>
          <w:color w:val="auto"/>
          <w:highlight w:val="none"/>
        </w:rPr>
        <w:t>承诺书（如有）</w:t>
      </w:r>
    </w:p>
    <w:p>
      <w:pPr>
        <w:spacing w:line="360" w:lineRule="auto"/>
        <w:outlineLvl w:val="0"/>
        <w:rPr>
          <w:rFonts w:ascii="宋体" w:hAnsi="宋体"/>
          <w:b/>
          <w:color w:val="auto"/>
          <w:highlight w:val="none"/>
        </w:rPr>
      </w:pPr>
      <w:bookmarkStart w:id="2132" w:name="_Toc4411"/>
      <w:bookmarkStart w:id="2133" w:name="_Toc9602"/>
      <w:r>
        <w:rPr>
          <w:rFonts w:hint="eastAsia" w:ascii="宋体" w:hAnsi="宋体"/>
          <w:b/>
          <w:color w:val="auto"/>
          <w:highlight w:val="none"/>
        </w:rPr>
        <w:t>二</w:t>
      </w:r>
      <w:r>
        <w:rPr>
          <w:rFonts w:ascii="宋体" w:hAnsi="宋体"/>
          <w:b/>
          <w:color w:val="auto"/>
          <w:highlight w:val="none"/>
        </w:rPr>
        <w:t>、</w:t>
      </w:r>
      <w:r>
        <w:rPr>
          <w:rFonts w:hint="eastAsia" w:ascii="宋体" w:hAnsi="宋体"/>
          <w:b/>
          <w:color w:val="auto"/>
          <w:highlight w:val="none"/>
        </w:rPr>
        <w:t>经济</w:t>
      </w:r>
      <w:r>
        <w:rPr>
          <w:rFonts w:ascii="宋体" w:hAnsi="宋体"/>
          <w:b/>
          <w:color w:val="auto"/>
          <w:highlight w:val="none"/>
        </w:rPr>
        <w:t>部分</w:t>
      </w:r>
      <w:bookmarkEnd w:id="2132"/>
      <w:bookmarkEnd w:id="2133"/>
    </w:p>
    <w:p>
      <w:pPr>
        <w:spacing w:line="360" w:lineRule="auto"/>
        <w:ind w:firstLine="420" w:firstLineChars="200"/>
        <w:rPr>
          <w:rFonts w:ascii="宋体" w:hAnsi="宋体"/>
          <w:color w:val="auto"/>
          <w:highlight w:val="none"/>
        </w:rPr>
      </w:pPr>
      <w:r>
        <w:rPr>
          <w:rFonts w:hint="eastAsia" w:ascii="宋体" w:hAnsi="宋体"/>
          <w:color w:val="auto"/>
          <w:highlight w:val="none"/>
        </w:rPr>
        <w:t>已标价工程量清单</w:t>
      </w:r>
    </w:p>
    <w:p>
      <w:pPr>
        <w:spacing w:line="360" w:lineRule="auto"/>
        <w:outlineLvl w:val="0"/>
        <w:rPr>
          <w:rFonts w:ascii="宋体" w:hAnsi="宋体"/>
          <w:b/>
          <w:color w:val="auto"/>
          <w:highlight w:val="none"/>
        </w:rPr>
      </w:pPr>
      <w:bookmarkStart w:id="2134" w:name="_Toc7696"/>
      <w:bookmarkStart w:id="2135" w:name="_Toc30360"/>
      <w:r>
        <w:rPr>
          <w:rFonts w:hint="eastAsia" w:ascii="宋体" w:hAnsi="宋体"/>
          <w:b/>
          <w:color w:val="auto"/>
          <w:highlight w:val="none"/>
          <w:lang w:val="en-US" w:eastAsia="zh-CN"/>
        </w:rPr>
        <w:t>三</w:t>
      </w:r>
      <w:r>
        <w:rPr>
          <w:rFonts w:ascii="宋体" w:hAnsi="宋体"/>
          <w:b/>
          <w:color w:val="auto"/>
          <w:highlight w:val="none"/>
        </w:rPr>
        <w:t>、</w:t>
      </w:r>
      <w:r>
        <w:rPr>
          <w:rFonts w:hint="eastAsia" w:ascii="宋体" w:hAnsi="宋体"/>
          <w:b/>
          <w:color w:val="auto"/>
          <w:highlight w:val="none"/>
        </w:rPr>
        <w:t>资格审查部分</w:t>
      </w:r>
      <w:bookmarkEnd w:id="2134"/>
      <w:bookmarkEnd w:id="2135"/>
    </w:p>
    <w:p>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二</w:t>
      </w:r>
      <w:r>
        <w:rPr>
          <w:rFonts w:ascii="宋体" w:hAnsi="宋体"/>
          <w:color w:val="auto"/>
          <w:highlight w:val="none"/>
        </w:rPr>
        <w:t>）投标人基本情况表</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承诺</w:t>
      </w:r>
    </w:p>
    <w:p>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）其他资料</w:t>
      </w:r>
    </w:p>
    <w:p>
      <w:pPr>
        <w:pStyle w:val="4"/>
        <w:spacing w:line="360" w:lineRule="auto"/>
        <w:jc w:val="center"/>
        <w:outlineLvl w:val="0"/>
        <w:rPr>
          <w:rFonts w:ascii="宋体" w:hAnsi="宋体"/>
          <w:b w:val="0"/>
          <w:bCs w:val="0"/>
          <w:color w:val="auto"/>
          <w:sz w:val="44"/>
          <w:szCs w:val="44"/>
          <w:highlight w:val="none"/>
        </w:rPr>
      </w:pPr>
      <w:r>
        <w:rPr>
          <w:rFonts w:hint="eastAsia" w:ascii="宋体" w:hAnsi="宋体"/>
          <w:color w:val="auto"/>
          <w:highlight w:val="none"/>
        </w:rPr>
        <w:br w:type="page"/>
      </w:r>
      <w:bookmarkStart w:id="2136" w:name="_Toc18743"/>
      <w:bookmarkStart w:id="2137" w:name="_Toc12248"/>
      <w:bookmarkStart w:id="2138" w:name="_Toc33106472"/>
      <w:r>
        <w:rPr>
          <w:rFonts w:hint="eastAsia" w:ascii="宋体" w:hAnsi="宋体"/>
          <w:b w:val="0"/>
          <w:bCs w:val="0"/>
          <w:color w:val="auto"/>
          <w:sz w:val="44"/>
          <w:szCs w:val="44"/>
          <w:highlight w:val="none"/>
        </w:rPr>
        <w:t>一、投标函部分</w:t>
      </w:r>
      <w:bookmarkEnd w:id="2136"/>
      <w:bookmarkEnd w:id="2137"/>
      <w:bookmarkEnd w:id="2138"/>
    </w:p>
    <w:p>
      <w:pPr>
        <w:rPr>
          <w:rFonts w:hint="eastAsia" w:ascii="宋体" w:hAnsi="宋体"/>
          <w:color w:val="auto"/>
          <w:highlight w:val="none"/>
        </w:rPr>
      </w:pPr>
      <w:r>
        <w:rPr>
          <w:rFonts w:hint="eastAsia" w:ascii="宋体" w:hAnsi="宋体"/>
          <w:color w:val="auto"/>
          <w:highlight w:val="none"/>
        </w:rPr>
        <w:br w:type="page"/>
      </w:r>
    </w:p>
    <w:p>
      <w:pPr>
        <w:pStyle w:val="2"/>
        <w:rPr>
          <w:rFonts w:hint="eastAsia" w:ascii="宋体" w:hAnsi="宋体"/>
          <w:color w:val="auto"/>
          <w:highlight w:val="none"/>
        </w:rPr>
      </w:pPr>
    </w:p>
    <w:p>
      <w:pPr>
        <w:spacing w:line="360" w:lineRule="auto"/>
        <w:jc w:val="center"/>
        <w:outlineLvl w:val="1"/>
        <w:rPr>
          <w:rFonts w:hint="eastAsia" w:ascii="宋体" w:hAnsi="宋体"/>
          <w:color w:val="auto"/>
          <w:kern w:val="0"/>
          <w:sz w:val="32"/>
          <w:szCs w:val="32"/>
          <w:highlight w:val="none"/>
          <w:u w:val="single"/>
        </w:rPr>
      </w:pPr>
      <w:bookmarkStart w:id="2139" w:name="_Toc509218853"/>
      <w:bookmarkStart w:id="2140" w:name="_Toc536800771"/>
      <w:bookmarkStart w:id="2141" w:name="_Toc534185830"/>
      <w:r>
        <w:rPr>
          <w:rFonts w:hint="eastAsia" w:ascii="宋体" w:hAnsi="宋体"/>
          <w:b/>
          <w:color w:val="auto"/>
          <w:sz w:val="32"/>
          <w:szCs w:val="32"/>
          <w:highlight w:val="none"/>
        </w:rPr>
        <w:t xml:space="preserve"> </w:t>
      </w:r>
      <w:r>
        <w:rPr>
          <w:rFonts w:hint="eastAsia" w:ascii="宋体" w:hAnsi="宋体"/>
          <w:color w:val="auto"/>
          <w:kern w:val="0"/>
          <w:sz w:val="32"/>
          <w:szCs w:val="32"/>
          <w:highlight w:val="none"/>
          <w:u w:val="single"/>
        </w:rPr>
        <w:t xml:space="preserve">                   </w:t>
      </w:r>
      <w:bookmarkStart w:id="2142" w:name="_Toc15062"/>
      <w:bookmarkStart w:id="2143" w:name="_Toc7332"/>
      <w:r>
        <w:rPr>
          <w:rFonts w:hint="eastAsia" w:ascii="宋体" w:hAnsi="宋体"/>
          <w:color w:val="auto"/>
          <w:kern w:val="0"/>
          <w:sz w:val="32"/>
          <w:szCs w:val="32"/>
          <w:highlight w:val="none"/>
          <w:u w:val="single"/>
        </w:rPr>
        <w:t>（项目名称）</w:t>
      </w:r>
      <w:bookmarkEnd w:id="2142"/>
      <w:bookmarkEnd w:id="2143"/>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outlineLvl w:val="1"/>
        <w:rPr>
          <w:rFonts w:ascii="宋体" w:hAnsi="宋体"/>
          <w:color w:val="auto"/>
          <w:w w:val="99"/>
          <w:kern w:val="0"/>
          <w:sz w:val="28"/>
          <w:szCs w:val="28"/>
          <w:highlight w:val="none"/>
        </w:rPr>
      </w:pPr>
      <w:bookmarkStart w:id="2144" w:name="_Toc10673"/>
      <w:bookmarkStart w:id="2145" w:name="_Toc23881"/>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bookmarkEnd w:id="2144"/>
      <w:bookmarkEnd w:id="2145"/>
    </w:p>
    <w:p>
      <w:pPr>
        <w:tabs>
          <w:tab w:val="left" w:pos="6080"/>
          <w:tab w:val="left" w:pos="6640"/>
        </w:tabs>
        <w:autoSpaceDE w:val="0"/>
        <w:autoSpaceDN w:val="0"/>
        <w:adjustRightInd w:val="0"/>
        <w:snapToGrid w:val="0"/>
        <w:spacing w:after="156" w:afterLines="50" w:line="360" w:lineRule="auto"/>
        <w:jc w:val="center"/>
        <w:outlineLvl w:val="1"/>
        <w:rPr>
          <w:rFonts w:ascii="宋体" w:hAnsi="宋体"/>
          <w:color w:val="auto"/>
          <w:kern w:val="0"/>
          <w:sz w:val="28"/>
          <w:szCs w:val="28"/>
          <w:highlight w:val="none"/>
        </w:rPr>
      </w:pPr>
      <w:bookmarkStart w:id="2146" w:name="_Toc28919"/>
      <w:bookmarkStart w:id="2147" w:name="_Toc24155"/>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lang w:eastAsia="zh-CN"/>
        </w:rPr>
        <w:t>签名</w:t>
      </w:r>
      <w:r>
        <w:rPr>
          <w:rFonts w:ascii="宋体" w:hAnsi="宋体"/>
          <w:color w:val="auto"/>
          <w:w w:val="99"/>
          <w:kern w:val="0"/>
          <w:sz w:val="28"/>
          <w:szCs w:val="28"/>
          <w:highlight w:val="none"/>
        </w:rPr>
        <w:t>或盖章）</w:t>
      </w:r>
      <w:bookmarkEnd w:id="2146"/>
      <w:bookmarkEnd w:id="2147"/>
    </w:p>
    <w:p>
      <w:pPr>
        <w:tabs>
          <w:tab w:val="left" w:pos="2580"/>
          <w:tab w:val="left" w:pos="5940"/>
        </w:tabs>
        <w:autoSpaceDE w:val="0"/>
        <w:autoSpaceDN w:val="0"/>
        <w:adjustRightInd w:val="0"/>
        <w:snapToGrid w:val="0"/>
        <w:spacing w:line="360" w:lineRule="auto"/>
        <w:ind w:firstLine="2940"/>
        <w:jc w:val="left"/>
        <w:rPr>
          <w:rFonts w:hint="eastAsia" w:ascii="宋体" w:hAnsi="宋体" w:cs="宋体"/>
          <w:bCs/>
          <w:color w:val="auto"/>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highlight w:val="none"/>
        </w:rPr>
        <w:br w:type="page"/>
      </w:r>
      <w:bookmarkEnd w:id="2139"/>
      <w:bookmarkEnd w:id="2140"/>
      <w:bookmarkEnd w:id="2141"/>
      <w:bookmarkStart w:id="2148" w:name="_Toc287607866"/>
      <w:bookmarkStart w:id="2149" w:name="_Toc287620813"/>
      <w:bookmarkStart w:id="2150" w:name="_Toc430530529"/>
      <w:bookmarkStart w:id="2151" w:name="_Toc277082642"/>
      <w:bookmarkStart w:id="2152" w:name="_Toc224103494"/>
    </w:p>
    <w:bookmarkEnd w:id="2148"/>
    <w:bookmarkEnd w:id="2149"/>
    <w:bookmarkEnd w:id="2150"/>
    <w:bookmarkEnd w:id="2151"/>
    <w:bookmarkEnd w:id="2152"/>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 w:val="24"/>
          <w:szCs w:val="21"/>
          <w:highlight w:val="none"/>
        </w:rPr>
      </w:pP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（一）投标函</w:t>
      </w: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（二）投标函附录</w:t>
      </w: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（三）</w:t>
      </w:r>
      <w:r>
        <w:rPr>
          <w:rFonts w:hint="eastAsia" w:ascii="宋体" w:hAnsi="宋体"/>
          <w:color w:val="auto"/>
          <w:kern w:val="0"/>
          <w:sz w:val="24"/>
          <w:highlight w:val="none"/>
        </w:rPr>
        <w:t>法定代表人身份证明或附有法定代表人身份证明的授权委托书</w:t>
      </w: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（四）</w:t>
      </w:r>
      <w:r>
        <w:rPr>
          <w:rFonts w:hint="eastAsia" w:ascii="宋体" w:hAnsi="宋体"/>
          <w:color w:val="auto"/>
          <w:kern w:val="0"/>
          <w:sz w:val="24"/>
          <w:highlight w:val="none"/>
        </w:rPr>
        <w:t>低价风险担保</w:t>
      </w:r>
      <w:r>
        <w:rPr>
          <w:rFonts w:hint="eastAsia" w:ascii="宋体" w:hAnsi="宋体"/>
          <w:color w:val="auto"/>
          <w:kern w:val="0"/>
          <w:sz w:val="24"/>
          <w:highlight w:val="none"/>
          <w:lang w:val="en-US" w:eastAsia="zh-CN"/>
        </w:rPr>
        <w:t>提交</w:t>
      </w:r>
      <w:r>
        <w:rPr>
          <w:rFonts w:hint="eastAsia" w:ascii="宋体" w:hAnsi="宋体"/>
          <w:color w:val="auto"/>
          <w:kern w:val="0"/>
          <w:sz w:val="24"/>
          <w:highlight w:val="none"/>
        </w:rPr>
        <w:t>承诺书（如有）</w:t>
      </w:r>
    </w:p>
    <w:p>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cs="宋体"/>
          <w:b w:val="0"/>
          <w:color w:val="auto"/>
          <w:highlight w:val="none"/>
        </w:rPr>
      </w:pPr>
      <w:r>
        <w:rPr>
          <w:rFonts w:hint="eastAsia" w:ascii="宋体" w:hAnsi="宋体" w:cs="宋体"/>
          <w:color w:val="auto"/>
          <w:kern w:val="0"/>
          <w:sz w:val="28"/>
          <w:szCs w:val="28"/>
          <w:highlight w:val="none"/>
          <w:u w:val="single"/>
        </w:rPr>
        <w:br w:type="page"/>
      </w:r>
      <w:bookmarkStart w:id="2153" w:name="_Toc536800772"/>
      <w:bookmarkStart w:id="2154" w:name="_Toc534185831"/>
      <w:bookmarkStart w:id="2155" w:name="_Toc430530530"/>
      <w:bookmarkStart w:id="2156" w:name="_Toc655"/>
      <w:bookmarkStart w:id="2157" w:name="_Toc287620814"/>
      <w:bookmarkStart w:id="2158" w:name="_Toc509218854"/>
      <w:bookmarkStart w:id="2159" w:name="_Toc18904"/>
      <w:bookmarkStart w:id="2160" w:name="_Toc287607867"/>
      <w:bookmarkStart w:id="2161" w:name="_Toc224103495"/>
      <w:bookmarkStart w:id="2162" w:name="_Toc277082643"/>
      <w:r>
        <w:rPr>
          <w:rFonts w:hint="eastAsia" w:ascii="宋体" w:hAnsi="宋体" w:cs="宋体"/>
          <w:b w:val="0"/>
          <w:bCs w:val="0"/>
          <w:color w:val="auto"/>
          <w:highlight w:val="none"/>
        </w:rPr>
        <w:t>（一）投标函</w:t>
      </w:r>
      <w:bookmarkEnd w:id="2153"/>
      <w:bookmarkEnd w:id="2154"/>
      <w:bookmarkEnd w:id="2155"/>
      <w:bookmarkEnd w:id="2156"/>
      <w:bookmarkEnd w:id="2157"/>
      <w:bookmarkEnd w:id="2158"/>
      <w:bookmarkEnd w:id="2159"/>
      <w:bookmarkEnd w:id="2160"/>
      <w:bookmarkEnd w:id="2161"/>
      <w:bookmarkEnd w:id="2162"/>
    </w:p>
    <w:p>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val="en-US" w:eastAsia="zh-CN"/>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招标文件的全部内容，愿意以人民币（大写）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）的投标总报价进行报价，其中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达到招标文件的要求</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 xml:space="preserve"> 按合同约定实施和完成承包工程，修补工程中的任何缺陷，工程质量</w:t>
      </w:r>
      <w:r>
        <w:rPr>
          <w:rFonts w:hint="eastAsia" w:ascii="宋体" w:hAnsi="宋体"/>
          <w:snapToGrid w:val="0"/>
          <w:color w:val="auto"/>
          <w:kern w:val="0"/>
          <w:szCs w:val="21"/>
          <w:highlight w:val="none"/>
          <w:u w:val="single"/>
        </w:rPr>
        <w:t>达到招标文件的要求</w:t>
      </w:r>
      <w:r>
        <w:rPr>
          <w:rFonts w:ascii="宋体" w:hAnsi="宋体"/>
          <w:snapToGrid w:val="0"/>
          <w:color w:val="auto"/>
          <w:kern w:val="0"/>
          <w:szCs w:val="21"/>
          <w:highlight w:val="none"/>
        </w:rPr>
        <w:t>。</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响应招标文件规定的投标有效期，</w:t>
      </w:r>
      <w:r>
        <w:rPr>
          <w:rFonts w:ascii="宋体" w:hAnsi="宋体"/>
          <w:snapToGrid w:val="0"/>
          <w:color w:val="auto"/>
          <w:kern w:val="0"/>
          <w:szCs w:val="21"/>
          <w:highlight w:val="none"/>
        </w:rPr>
        <w:t>在投标有效期内不修改、撤销投标文件。</w:t>
      </w:r>
    </w:p>
    <w:p>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投标有效期</w:t>
      </w:r>
      <w:r>
        <w:rPr>
          <w:rFonts w:ascii="宋体" w:hAnsi="宋体"/>
          <w:snapToGrid w:val="0"/>
          <w:color w:val="auto"/>
          <w:kern w:val="0"/>
          <w:szCs w:val="21"/>
          <w:highlight w:val="none"/>
        </w:rPr>
        <w:t>一致，在此期间，若我方违反招投标有关法律、法规及本招标文件的相关规定，投标保证金的受益人为招标人。</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（3）我方承诺按照招标文件规定向你方递交履约担保。</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（5）我方承诺以不低于招标文件第七章 技术标准和要求中所列的技术指标和参数要求完成全部合同工程。</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在此声明，所递交的投标文件及有关资料内容完整、真实和准确，且不存在第二章“投标人</w:t>
      </w:r>
      <w:r>
        <w:rPr>
          <w:rFonts w:ascii="宋体" w:hAnsi="宋体"/>
          <w:snapToGrid w:val="0"/>
          <w:color w:val="auto"/>
          <w:kern w:val="0"/>
          <w:szCs w:val="21"/>
          <w:highlight w:val="none"/>
        </w:rPr>
        <w:t>须知”第 1.4.3 项规定的任何一种情形。同时我方承诺接受招标文件及附件、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jc w:val="right"/>
        <w:textAlignment w:val="auto"/>
        <w:rPr>
          <w:rFonts w:ascii="宋体" w:hAnsi="宋体"/>
          <w:snapToGrid w:val="0"/>
          <w:color w:val="auto"/>
          <w:kern w:val="0"/>
          <w:sz w:val="20"/>
          <w:szCs w:val="20"/>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pStyle w:val="5"/>
        <w:spacing w:before="0" w:line="360" w:lineRule="auto"/>
        <w:jc w:val="center"/>
        <w:outlineLvl w:val="1"/>
        <w:rPr>
          <w:rFonts w:ascii="宋体" w:hAnsi="宋体"/>
          <w:snapToGrid w:val="0"/>
          <w:color w:val="auto"/>
          <w:kern w:val="0"/>
          <w:szCs w:val="21"/>
          <w:highlight w:val="none"/>
        </w:rPr>
      </w:pPr>
      <w:r>
        <w:rPr>
          <w:rFonts w:hint="eastAsia" w:ascii="宋体" w:hAnsi="宋体" w:cs="宋体"/>
          <w:snapToGrid w:val="0"/>
          <w:color w:val="auto"/>
          <w:highlight w:val="none"/>
        </w:rPr>
        <w:br w:type="page"/>
      </w:r>
      <w:bookmarkStart w:id="2163" w:name="_Toc16253"/>
      <w:bookmarkStart w:id="2164" w:name="_Toc509218855"/>
      <w:bookmarkStart w:id="2165" w:name="_Toc886"/>
      <w:bookmarkStart w:id="2166" w:name="_Toc534185832"/>
      <w:bookmarkStart w:id="2167" w:name="_Toc287607869"/>
      <w:bookmarkStart w:id="2168" w:name="_Toc430530532"/>
      <w:bookmarkStart w:id="2169" w:name="_Toc277082645"/>
      <w:bookmarkStart w:id="2170" w:name="_Toc224103497"/>
      <w:bookmarkStart w:id="2171" w:name="_Toc287620816"/>
      <w:r>
        <w:rPr>
          <w:rFonts w:hint="eastAsia" w:ascii="宋体" w:hAnsi="宋体" w:cs="宋体"/>
          <w:b w:val="0"/>
          <w:bCs w:val="0"/>
          <w:color w:val="auto"/>
          <w:highlight w:val="none"/>
        </w:rPr>
        <w:t>（二）投标函附录</w:t>
      </w:r>
      <w:bookmarkEnd w:id="2163"/>
      <w:bookmarkEnd w:id="2164"/>
      <w:bookmarkEnd w:id="2165"/>
      <w:bookmarkEnd w:id="2166"/>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noWrap w:val="0"/>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noWrap w:val="0"/>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noWrap w:val="0"/>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noWrap w:val="0"/>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noWrap w:val="0"/>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noWrap w:val="0"/>
            <w:vAlign w:val="center"/>
          </w:tcPr>
          <w:p>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w:t>
            </w:r>
          </w:p>
        </w:tc>
        <w:tc>
          <w:tcPr>
            <w:tcW w:w="2582" w:type="dxa"/>
            <w:noWrap w:val="0"/>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noWrap w:val="0"/>
            <w:vAlign w:val="center"/>
          </w:tcPr>
          <w:p>
            <w:pPr>
              <w:tabs>
                <w:tab w:val="left" w:pos="2051"/>
              </w:tabs>
              <w:autoSpaceDE w:val="0"/>
              <w:autoSpaceDN w:val="0"/>
              <w:adjustRightInd w:val="0"/>
              <w:jc w:val="center"/>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w:t>
            </w:r>
          </w:p>
        </w:tc>
        <w:tc>
          <w:tcPr>
            <w:tcW w:w="2987" w:type="dxa"/>
            <w:noWrap w:val="0"/>
            <w:vAlign w:val="center"/>
          </w:tcPr>
          <w:p>
            <w:pPr>
              <w:tabs>
                <w:tab w:val="left" w:pos="1560"/>
              </w:tabs>
              <w:autoSpaceDE w:val="0"/>
              <w:autoSpaceDN w:val="0"/>
              <w:adjustRightInd w:val="0"/>
              <w:jc w:val="center"/>
              <w:rPr>
                <w:rFonts w:ascii="宋体" w:hAnsi="宋体"/>
                <w:snapToGrid w:val="0"/>
                <w:color w:val="auto"/>
                <w:kern w:val="0"/>
                <w:szCs w:val="21"/>
                <w:highlight w:val="none"/>
              </w:rPr>
            </w:pPr>
          </w:p>
        </w:tc>
        <w:tc>
          <w:tcPr>
            <w:tcW w:w="792" w:type="dxa"/>
            <w:noWrap w:val="0"/>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noWrap w:val="0"/>
            <w:vAlign w:val="center"/>
          </w:tcPr>
          <w:p>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582" w:type="dxa"/>
            <w:noWrap w:val="0"/>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分包</w:t>
            </w:r>
          </w:p>
        </w:tc>
        <w:tc>
          <w:tcPr>
            <w:tcW w:w="2388" w:type="dxa"/>
            <w:noWrap w:val="0"/>
            <w:vAlign w:val="center"/>
          </w:tcPr>
          <w:p>
            <w:pPr>
              <w:tabs>
                <w:tab w:val="left" w:pos="2051"/>
              </w:tabs>
              <w:autoSpaceDE w:val="0"/>
              <w:autoSpaceDN w:val="0"/>
              <w:adjustRightIn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w:t>
            </w:r>
          </w:p>
        </w:tc>
        <w:tc>
          <w:tcPr>
            <w:tcW w:w="2987" w:type="dxa"/>
            <w:noWrap w:val="0"/>
            <w:vAlign w:val="center"/>
          </w:tcPr>
          <w:p>
            <w:pPr>
              <w:autoSpaceDE w:val="0"/>
              <w:autoSpaceDN w:val="0"/>
              <w:adjustRightInd w:val="0"/>
              <w:jc w:val="center"/>
              <w:rPr>
                <w:rFonts w:ascii="宋体" w:hAnsi="宋体"/>
                <w:snapToGrid w:val="0"/>
                <w:color w:val="auto"/>
                <w:kern w:val="0"/>
                <w:szCs w:val="21"/>
                <w:highlight w:val="none"/>
              </w:rPr>
            </w:pPr>
          </w:p>
        </w:tc>
        <w:tc>
          <w:tcPr>
            <w:tcW w:w="792" w:type="dxa"/>
            <w:noWrap w:val="0"/>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noWrap w:val="0"/>
            <w:vAlign w:val="center"/>
          </w:tcPr>
          <w:p>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3</w:t>
            </w:r>
          </w:p>
        </w:tc>
        <w:tc>
          <w:tcPr>
            <w:tcW w:w="2582" w:type="dxa"/>
            <w:noWrap w:val="0"/>
            <w:vAlign w:val="center"/>
          </w:tcPr>
          <w:p>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工程质量</w:t>
            </w:r>
          </w:p>
        </w:tc>
        <w:tc>
          <w:tcPr>
            <w:tcW w:w="2388" w:type="dxa"/>
            <w:noWrap w:val="0"/>
            <w:vAlign w:val="center"/>
          </w:tcPr>
          <w:p>
            <w:pPr>
              <w:tabs>
                <w:tab w:val="left" w:pos="2051"/>
              </w:tabs>
              <w:autoSpaceDE w:val="0"/>
              <w:autoSpaceDN w:val="0"/>
              <w:adjustRightIn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w:t>
            </w:r>
          </w:p>
        </w:tc>
        <w:tc>
          <w:tcPr>
            <w:tcW w:w="2987" w:type="dxa"/>
            <w:noWrap w:val="0"/>
            <w:vAlign w:val="center"/>
          </w:tcPr>
          <w:p>
            <w:pPr>
              <w:autoSpaceDE w:val="0"/>
              <w:autoSpaceDN w:val="0"/>
              <w:adjustRightInd w:val="0"/>
              <w:jc w:val="center"/>
              <w:rPr>
                <w:rFonts w:ascii="宋体" w:hAnsi="宋体"/>
                <w:snapToGrid w:val="0"/>
                <w:color w:val="auto"/>
                <w:kern w:val="0"/>
                <w:szCs w:val="21"/>
                <w:highlight w:val="none"/>
              </w:rPr>
            </w:pPr>
          </w:p>
        </w:tc>
        <w:tc>
          <w:tcPr>
            <w:tcW w:w="792" w:type="dxa"/>
            <w:noWrap w:val="0"/>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noWrap w:val="0"/>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noWrap w:val="0"/>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noWrap w:val="0"/>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noWrap w:val="0"/>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noWrap w:val="0"/>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noWrap w:val="0"/>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noWrap w:val="0"/>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noWrap w:val="0"/>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noWrap w:val="0"/>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noWrap w:val="0"/>
            <w:vAlign w:val="center"/>
          </w:tcPr>
          <w:p>
            <w:pPr>
              <w:autoSpaceDE w:val="0"/>
              <w:autoSpaceDN w:val="0"/>
              <w:adjustRightInd w:val="0"/>
              <w:jc w:val="center"/>
              <w:rPr>
                <w:rFonts w:ascii="宋体" w:hAnsi="宋体"/>
                <w:snapToGrid w:val="0"/>
                <w:color w:val="auto"/>
                <w:kern w:val="0"/>
                <w:szCs w:val="21"/>
                <w:highlight w:val="none"/>
              </w:rPr>
            </w:pPr>
          </w:p>
        </w:tc>
      </w:tr>
    </w:tbl>
    <w:p>
      <w:pPr>
        <w:spacing w:line="360" w:lineRule="auto"/>
        <w:rPr>
          <w:rFonts w:ascii="宋体" w:hAnsi="宋体"/>
          <w:snapToGrid w:val="0"/>
          <w:color w:val="auto"/>
          <w:highlight w:val="none"/>
        </w:rPr>
      </w:pPr>
    </w:p>
    <w:p>
      <w:pPr>
        <w:tabs>
          <w:tab w:val="left" w:pos="7140"/>
          <w:tab w:val="left" w:pos="7560"/>
          <w:tab w:val="left" w:pos="8300"/>
        </w:tabs>
        <w:autoSpaceDE w:val="0"/>
        <w:autoSpaceDN w:val="0"/>
        <w:adjustRightInd w:val="0"/>
        <w:spacing w:line="360" w:lineRule="auto"/>
        <w:ind w:right="210"/>
        <w:jc w:val="right"/>
        <w:rPr>
          <w:rFonts w:hint="eastAsia"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pStyle w:val="2"/>
        <w:rPr>
          <w:rFonts w:hint="eastAsia" w:ascii="宋体" w:hAnsi="宋体"/>
          <w:snapToGrid w:val="0"/>
          <w:color w:val="auto"/>
          <w:kern w:val="0"/>
          <w:szCs w:val="21"/>
          <w:highlight w:val="none"/>
        </w:rPr>
      </w:pPr>
    </w:p>
    <w:p>
      <w:pPr>
        <w:pStyle w:val="2"/>
        <w:jc w:val="right"/>
        <w:rPr>
          <w:rFonts w:hint="eastAsia" w:ascii="宋体" w:hAnsi="宋体"/>
          <w:color w:val="auto"/>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签名</w:t>
      </w:r>
      <w:r>
        <w:rPr>
          <w:rFonts w:ascii="宋体" w:hAnsi="宋体"/>
          <w:snapToGrid w:val="0"/>
          <w:color w:val="auto"/>
          <w:kern w:val="0"/>
          <w:szCs w:val="21"/>
          <w:highlight w:val="none"/>
        </w:rPr>
        <w:t>或盖章）</w:t>
      </w:r>
      <w:r>
        <w:rPr>
          <w:rFonts w:hint="eastAsia" w:ascii="宋体" w:hAnsi="宋体"/>
          <w:color w:val="auto"/>
          <w:highlight w:val="none"/>
        </w:rPr>
        <w:br w:type="page"/>
      </w:r>
    </w:p>
    <w:p>
      <w:pPr>
        <w:pStyle w:val="5"/>
        <w:spacing w:before="0" w:line="360" w:lineRule="auto"/>
        <w:jc w:val="center"/>
        <w:outlineLvl w:val="1"/>
        <w:rPr>
          <w:rFonts w:ascii="宋体" w:hAnsi="宋体" w:cs="宋体"/>
          <w:b w:val="0"/>
          <w:bCs w:val="0"/>
          <w:color w:val="auto"/>
          <w:highlight w:val="none"/>
        </w:rPr>
      </w:pPr>
      <w:bookmarkStart w:id="2172" w:name="_Toc18898"/>
      <w:bookmarkStart w:id="2173" w:name="_Toc31686"/>
      <w:r>
        <w:rPr>
          <w:rFonts w:ascii="宋体" w:hAnsi="宋体" w:cs="宋体"/>
          <w:b w:val="0"/>
          <w:bCs w:val="0"/>
          <w:color w:val="auto"/>
          <w:highlight w:val="none"/>
        </w:rPr>
        <w:t>（</w:t>
      </w:r>
      <w:r>
        <w:rPr>
          <w:rFonts w:hint="eastAsia" w:ascii="宋体" w:hAnsi="宋体" w:cs="宋体"/>
          <w:b w:val="0"/>
          <w:bCs w:val="0"/>
          <w:color w:val="auto"/>
          <w:highlight w:val="none"/>
        </w:rPr>
        <w:t>三</w:t>
      </w:r>
      <w:r>
        <w:rPr>
          <w:rFonts w:ascii="宋体" w:hAnsi="宋体" w:cs="宋体"/>
          <w:b w:val="0"/>
          <w:bCs w:val="0"/>
          <w:color w:val="auto"/>
          <w:highlight w:val="none"/>
        </w:rPr>
        <w:t>）</w:t>
      </w:r>
      <w:r>
        <w:rPr>
          <w:rFonts w:hint="eastAsia" w:ascii="宋体" w:hAnsi="宋体" w:cs="宋体"/>
          <w:b w:val="0"/>
          <w:bCs w:val="0"/>
          <w:color w:val="auto"/>
          <w:highlight w:val="none"/>
        </w:rPr>
        <w:t>法定代表人身份证明或附有法定代表人身份证明的授权委托书</w:t>
      </w:r>
      <w:bookmarkEnd w:id="2167"/>
      <w:bookmarkEnd w:id="2168"/>
      <w:bookmarkEnd w:id="2169"/>
      <w:bookmarkEnd w:id="2170"/>
      <w:bookmarkEnd w:id="2171"/>
      <w:bookmarkEnd w:id="2172"/>
      <w:bookmarkEnd w:id="2173"/>
    </w:p>
    <w:p>
      <w:pPr>
        <w:spacing w:line="480" w:lineRule="auto"/>
        <w:jc w:val="center"/>
        <w:outlineLvl w:val="1"/>
        <w:rPr>
          <w:rFonts w:hint="eastAsia" w:ascii="宋体" w:hAnsi="宋体"/>
          <w:color w:val="auto"/>
          <w:sz w:val="28"/>
          <w:highlight w:val="none"/>
        </w:rPr>
      </w:pPr>
      <w:bookmarkStart w:id="2174" w:name="_Toc21794"/>
      <w:bookmarkStart w:id="2175" w:name="_Toc9929"/>
      <w:r>
        <w:rPr>
          <w:rFonts w:hint="eastAsia" w:ascii="宋体" w:hAnsi="宋体"/>
          <w:color w:val="auto"/>
          <w:sz w:val="28"/>
          <w:highlight w:val="none"/>
        </w:rPr>
        <w:t>法定代表人身份证明</w:t>
      </w:r>
      <w:bookmarkEnd w:id="2174"/>
      <w:bookmarkEnd w:id="2175"/>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hint="eastAsia"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（投标人名称）</w:t>
      </w:r>
      <w:r>
        <w:rPr>
          <w:rFonts w:ascii="宋体" w:hAnsi="宋体"/>
          <w:color w:val="auto"/>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hint="eastAsia" w:ascii="宋体" w:hAnsi="宋体"/>
          <w:color w:val="auto"/>
          <w:kern w:val="0"/>
          <w:szCs w:val="21"/>
          <w:highlight w:val="none"/>
        </w:rPr>
      </w:pPr>
      <w:r>
        <w:rPr>
          <w:rFonts w:ascii="宋体" w:hAnsi="宋体"/>
          <w:color w:val="auto"/>
          <w:kern w:val="0"/>
          <w:szCs w:val="21"/>
          <w:highlight w:val="none"/>
        </w:rPr>
        <w:t>特此证明。</w:t>
      </w:r>
    </w:p>
    <w:p>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附：法定代表人身份证扫描件（双面）</w:t>
      </w:r>
    </w:p>
    <w:p>
      <w:pPr>
        <w:autoSpaceDE w:val="0"/>
        <w:autoSpaceDN w:val="0"/>
        <w:adjustRightInd w:val="0"/>
        <w:snapToGrid w:val="0"/>
        <w:spacing w:line="360" w:lineRule="auto"/>
        <w:jc w:val="left"/>
        <w:rPr>
          <w:rFonts w:hint="eastAsia" w:ascii="宋体" w:hAnsi="宋体"/>
          <w:color w:val="auto"/>
          <w:szCs w:val="21"/>
          <w:highlight w:val="none"/>
        </w:rPr>
      </w:pPr>
    </w:p>
    <w:p>
      <w:pPr>
        <w:pStyle w:val="2"/>
        <w:spacing w:after="0" w:line="360" w:lineRule="auto"/>
        <w:rPr>
          <w:rFonts w:hint="eastAsia" w:ascii="宋体" w:hAnsi="宋体"/>
          <w:color w:val="auto"/>
          <w:szCs w:val="21"/>
          <w:highlight w:val="none"/>
        </w:rPr>
      </w:pPr>
    </w:p>
    <w:p>
      <w:pPr>
        <w:pStyle w:val="2"/>
        <w:spacing w:after="0" w:line="360" w:lineRule="auto"/>
        <w:rPr>
          <w:rFonts w:hint="eastAsia" w:ascii="宋体" w:hAnsi="宋体"/>
          <w:color w:val="auto"/>
          <w:szCs w:val="21"/>
          <w:highlight w:val="none"/>
        </w:rPr>
      </w:pPr>
    </w:p>
    <w:p>
      <w:pPr>
        <w:pStyle w:val="2"/>
        <w:spacing w:after="0" w:line="360" w:lineRule="auto"/>
        <w:rPr>
          <w:rFonts w:hint="eastAsia" w:ascii="宋体" w:hAnsi="宋体"/>
          <w:color w:val="auto"/>
          <w:szCs w:val="21"/>
          <w:highlight w:val="none"/>
        </w:rPr>
      </w:pPr>
    </w:p>
    <w:p>
      <w:pPr>
        <w:pStyle w:val="2"/>
        <w:spacing w:after="0" w:line="360" w:lineRule="auto"/>
        <w:rPr>
          <w:rFonts w:hint="eastAsia" w:ascii="宋体" w:hAnsi="宋体"/>
          <w:color w:val="auto"/>
          <w:szCs w:val="21"/>
          <w:highlight w:val="none"/>
        </w:rPr>
      </w:pPr>
    </w:p>
    <w:p>
      <w:pPr>
        <w:pStyle w:val="2"/>
        <w:spacing w:after="0" w:line="360" w:lineRule="auto"/>
        <w:rPr>
          <w:rFonts w:ascii="宋体" w:hAnsi="宋体"/>
          <w:color w:val="auto"/>
          <w:szCs w:val="21"/>
          <w:highlight w:val="none"/>
        </w:rPr>
      </w:pPr>
    </w:p>
    <w:p>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pStyle w:val="2"/>
        <w:rPr>
          <w:color w:val="auto"/>
          <w:highlight w:val="none"/>
        </w:rPr>
      </w:pPr>
    </w:p>
    <w:p>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outlineLvl w:val="1"/>
        <w:rPr>
          <w:rFonts w:ascii="宋体" w:hAnsi="宋体"/>
          <w:color w:val="auto"/>
          <w:kern w:val="0"/>
          <w:sz w:val="12"/>
          <w:szCs w:val="12"/>
          <w:highlight w:val="none"/>
        </w:rPr>
      </w:pPr>
      <w:r>
        <w:rPr>
          <w:rFonts w:ascii="宋体" w:hAnsi="宋体"/>
          <w:b/>
          <w:color w:val="auto"/>
          <w:kern w:val="0"/>
          <w:sz w:val="28"/>
          <w:szCs w:val="28"/>
          <w:highlight w:val="none"/>
        </w:rPr>
        <w:br w:type="page"/>
      </w:r>
      <w:bookmarkStart w:id="2176" w:name="_Toc10266"/>
      <w:bookmarkStart w:id="2177" w:name="_Toc8879"/>
      <w:r>
        <w:rPr>
          <w:rFonts w:ascii="宋体" w:hAnsi="宋体"/>
          <w:snapToGrid w:val="0"/>
          <w:color w:val="auto"/>
          <w:kern w:val="0"/>
          <w:sz w:val="32"/>
          <w:szCs w:val="32"/>
          <w:highlight w:val="none"/>
        </w:rPr>
        <w:t>授权委托书</w:t>
      </w:r>
      <w:bookmarkEnd w:id="2176"/>
      <w:bookmarkEnd w:id="2177"/>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ascii="宋体" w:hAnsi="宋体"/>
          <w:color w:val="auto"/>
          <w:spacing w:val="-1"/>
          <w:kern w:val="0"/>
          <w:szCs w:val="21"/>
          <w:highlight w:val="none"/>
          <w:u w:val="single"/>
        </w:rPr>
        <w:t>投</w:t>
      </w:r>
      <w:r>
        <w:rPr>
          <w:rFonts w:ascii="宋体" w:hAnsi="宋体"/>
          <w:color w:val="auto"/>
          <w:kern w:val="0"/>
          <w:szCs w:val="21"/>
          <w:highlight w:val="none"/>
          <w:u w:val="single"/>
        </w:rPr>
        <w:t>标人名称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为我方代理人。代理人根据授权，以我方名义签署、澄清、说明、补正、递交、撤回、修改</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hint="eastAsia" w:ascii="宋体" w:hAnsi="宋体"/>
          <w:color w:val="auto"/>
          <w:kern w:val="0"/>
          <w:sz w:val="20"/>
          <w:szCs w:val="20"/>
          <w:highlight w:val="none"/>
          <w:u w:val="single"/>
        </w:rPr>
      </w:pPr>
      <w:r>
        <w:rPr>
          <w:rFonts w:hint="eastAsia" w:ascii="宋体" w:hAnsi="宋体"/>
          <w:color w:val="auto"/>
          <w:kern w:val="0"/>
          <w:szCs w:val="21"/>
          <w:highlight w:val="none"/>
        </w:rPr>
        <w:t xml:space="preserve">委托代理人电话（手机）：                                                </w:t>
      </w:r>
    </w:p>
    <w:p>
      <w:pPr>
        <w:autoSpaceDE w:val="0"/>
        <w:autoSpaceDN w:val="0"/>
        <w:adjustRightInd w:val="0"/>
        <w:snapToGrid w:val="0"/>
        <w:spacing w:line="480" w:lineRule="auto"/>
        <w:jc w:val="left"/>
        <w:rPr>
          <w:rFonts w:hint="eastAsia" w:ascii="宋体" w:hAnsi="宋体"/>
          <w:color w:val="auto"/>
          <w:kern w:val="0"/>
          <w:sz w:val="20"/>
          <w:szCs w:val="20"/>
          <w:highlight w:val="none"/>
        </w:rPr>
      </w:pPr>
    </w:p>
    <w:p>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附：法定代表人和委托代理人身份证扫描件（双面）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highlight w:val="none"/>
        </w:rPr>
      </w:pPr>
      <w:r>
        <w:rPr>
          <w:rFonts w:hint="eastAsia" w:ascii="宋体" w:hAnsi="宋体"/>
          <w:color w:val="auto"/>
          <w:kern w:val="0"/>
          <w:szCs w:val="21"/>
          <w:highlight w:val="none"/>
        </w:rPr>
        <w:t xml:space="preserve"> </w:t>
      </w: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hint="eastAsia" w:ascii="宋体" w:hAnsi="宋体"/>
          <w:color w:val="auto"/>
          <w:highlight w:val="none"/>
        </w:rPr>
      </w:pPr>
      <w:r>
        <w:rPr>
          <w:rFonts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tabs>
          <w:tab w:val="left" w:pos="5760"/>
        </w:tabs>
        <w:autoSpaceDE w:val="0"/>
        <w:autoSpaceDN w:val="0"/>
        <w:adjustRightInd w:val="0"/>
        <w:rPr>
          <w:rFonts w:hint="eastAsia" w:ascii="宋体" w:hAnsi="宋体"/>
          <w:color w:val="auto"/>
          <w:kern w:val="0"/>
          <w:szCs w:val="21"/>
          <w:highlight w:val="none"/>
        </w:rPr>
      </w:pPr>
    </w:p>
    <w:p>
      <w:pPr>
        <w:pStyle w:val="5"/>
        <w:spacing w:before="0" w:line="360" w:lineRule="auto"/>
        <w:jc w:val="center"/>
        <w:outlineLvl w:val="1"/>
        <w:rPr>
          <w:rFonts w:ascii="宋体" w:hAnsi="宋体" w:cs="宋体"/>
          <w:b w:val="0"/>
          <w:bCs w:val="0"/>
          <w:color w:val="auto"/>
          <w:highlight w:val="none"/>
        </w:rPr>
      </w:pPr>
      <w:r>
        <w:rPr>
          <w:rFonts w:ascii="宋体" w:hAnsi="宋体" w:cs="宋体"/>
          <w:b w:val="0"/>
          <w:bCs w:val="0"/>
          <w:color w:val="auto"/>
          <w:highlight w:val="none"/>
        </w:rPr>
        <w:br w:type="page"/>
      </w:r>
      <w:bookmarkStart w:id="2178" w:name="_Toc19913"/>
      <w:bookmarkStart w:id="2179" w:name="_Toc13566"/>
      <w:r>
        <w:rPr>
          <w:rFonts w:ascii="宋体" w:hAnsi="宋体" w:cs="宋体"/>
          <w:b w:val="0"/>
          <w:bCs w:val="0"/>
          <w:color w:val="auto"/>
          <w:highlight w:val="none"/>
        </w:rPr>
        <w:t>（</w:t>
      </w:r>
      <w:r>
        <w:rPr>
          <w:rFonts w:hint="eastAsia" w:ascii="宋体" w:hAnsi="宋体" w:cs="宋体"/>
          <w:b w:val="0"/>
          <w:bCs w:val="0"/>
          <w:color w:val="auto"/>
          <w:highlight w:val="none"/>
        </w:rPr>
        <w:t>四</w:t>
      </w:r>
      <w:r>
        <w:rPr>
          <w:rFonts w:ascii="宋体" w:hAnsi="宋体" w:cs="宋体"/>
          <w:b w:val="0"/>
          <w:bCs w:val="0"/>
          <w:color w:val="auto"/>
          <w:highlight w:val="none"/>
        </w:rPr>
        <w:t>）</w:t>
      </w:r>
      <w:r>
        <w:rPr>
          <w:rFonts w:hint="eastAsia" w:ascii="宋体" w:hAnsi="宋体" w:cs="宋体"/>
          <w:b w:val="0"/>
          <w:bCs w:val="0"/>
          <w:color w:val="auto"/>
          <w:highlight w:val="none"/>
        </w:rPr>
        <w:t>低价风险担保</w:t>
      </w:r>
      <w:r>
        <w:rPr>
          <w:rFonts w:hint="eastAsia" w:ascii="宋体" w:hAnsi="宋体" w:cs="宋体"/>
          <w:b w:val="0"/>
          <w:bCs w:val="0"/>
          <w:color w:val="auto"/>
          <w:highlight w:val="none"/>
          <w:lang w:val="en-US" w:eastAsia="zh-CN"/>
        </w:rPr>
        <w:t>提交</w:t>
      </w:r>
      <w:r>
        <w:rPr>
          <w:rFonts w:hint="eastAsia" w:ascii="宋体" w:hAnsi="宋体" w:cs="宋体"/>
          <w:b w:val="0"/>
          <w:bCs w:val="0"/>
          <w:color w:val="auto"/>
          <w:highlight w:val="none"/>
        </w:rPr>
        <w:t>承诺书</w:t>
      </w:r>
      <w:bookmarkEnd w:id="2178"/>
      <w:bookmarkEnd w:id="2179"/>
    </w:p>
    <w:p>
      <w:pPr>
        <w:autoSpaceDE w:val="0"/>
        <w:autoSpaceDN w:val="0"/>
        <w:adjustRightInd w:val="0"/>
        <w:snapToGrid w:val="0"/>
        <w:spacing w:line="360" w:lineRule="auto"/>
        <w:jc w:val="center"/>
        <w:outlineLvl w:val="1"/>
        <w:rPr>
          <w:rFonts w:hint="eastAsia" w:ascii="宋体" w:hAnsi="宋体"/>
          <w:snapToGrid w:val="0"/>
          <w:color w:val="auto"/>
          <w:kern w:val="0"/>
          <w:sz w:val="28"/>
          <w:szCs w:val="28"/>
          <w:highlight w:val="none"/>
        </w:rPr>
      </w:pPr>
      <w:bookmarkStart w:id="2180" w:name="_Toc10889"/>
      <w:bookmarkStart w:id="2181" w:name="_Toc21534"/>
      <w:r>
        <w:rPr>
          <w:rFonts w:hint="eastAsia" w:ascii="宋体" w:hAnsi="宋体"/>
          <w:snapToGrid w:val="0"/>
          <w:color w:val="auto"/>
          <w:kern w:val="0"/>
          <w:sz w:val="28"/>
          <w:szCs w:val="28"/>
          <w:highlight w:val="none"/>
        </w:rPr>
        <w:t>（投标报价低于招标项目最高限价的85%时采用）</w:t>
      </w:r>
      <w:bookmarkEnd w:id="2180"/>
      <w:bookmarkEnd w:id="2181"/>
    </w:p>
    <w:p>
      <w:pPr>
        <w:autoSpaceDE w:val="0"/>
        <w:autoSpaceDN w:val="0"/>
        <w:adjustRightInd w:val="0"/>
        <w:snapToGrid w:val="0"/>
        <w:spacing w:line="360" w:lineRule="auto"/>
        <w:jc w:val="center"/>
        <w:rPr>
          <w:rFonts w:ascii="宋体" w:hAnsi="宋体"/>
          <w:snapToGrid w:val="0"/>
          <w:color w:val="auto"/>
          <w:kern w:val="0"/>
          <w:sz w:val="32"/>
          <w:szCs w:val="32"/>
          <w:highlight w:val="none"/>
        </w:rPr>
      </w:pPr>
    </w:p>
    <w:p>
      <w:pPr>
        <w:autoSpaceDE w:val="0"/>
        <w:autoSpaceDN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比选人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（投标人名称）</w:t>
      </w:r>
      <w:r>
        <w:rPr>
          <w:rFonts w:hint="eastAsia" w:ascii="宋体" w:hAnsi="宋体" w:cs="宋体"/>
          <w:snapToGrid w:val="0"/>
          <w:color w:val="auto"/>
          <w:kern w:val="0"/>
          <w:szCs w:val="21"/>
          <w:highlight w:val="none"/>
        </w:rPr>
        <w:t>参加了你</w:t>
      </w:r>
      <w:r>
        <w:rPr>
          <w:rFonts w:hint="eastAsia" w:ascii="宋体" w:hAnsi="宋体" w:cs="宋体"/>
          <w:snapToGrid w:val="0"/>
          <w:color w:val="auto"/>
          <w:kern w:val="0"/>
          <w:szCs w:val="21"/>
          <w:highlight w:val="none"/>
          <w:lang w:eastAsia="zh-CN"/>
        </w:rPr>
        <w:t>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的投标。我公司投标报价低于最高限价85</w:t>
      </w:r>
      <w:r>
        <w:rPr>
          <w:rFonts w:ascii="宋体" w:hAnsi="宋体" w:cs="宋体"/>
          <w:snapToGrid w:val="0"/>
          <w:color w:val="auto"/>
          <w:kern w:val="0"/>
          <w:szCs w:val="21"/>
          <w:highlight w:val="none"/>
        </w:rPr>
        <w:t>%</w:t>
      </w:r>
      <w:r>
        <w:rPr>
          <w:rFonts w:hint="eastAsia" w:ascii="宋体" w:hAnsi="宋体" w:cs="宋体"/>
          <w:snapToGrid w:val="0"/>
          <w:color w:val="auto"/>
          <w:kern w:val="0"/>
          <w:szCs w:val="21"/>
          <w:highlight w:val="none"/>
        </w:rPr>
        <w:t>，若获得中标资格，我公司承诺按照招标文件的规定递交低价风险担保。</w:t>
      </w:r>
      <w:r>
        <w:rPr>
          <w:rFonts w:hint="eastAsia" w:ascii="宋体" w:hAnsi="宋体" w:cs="宋体"/>
          <w:snapToGrid w:val="0"/>
          <w:color w:val="auto"/>
          <w:kern w:val="0"/>
          <w:szCs w:val="21"/>
          <w:highlight w:val="none"/>
          <w:lang w:val="en-US" w:eastAsia="zh-CN"/>
        </w:rPr>
        <w:t>同时，我公司</w:t>
      </w:r>
      <w:r>
        <w:rPr>
          <w:rFonts w:hint="eastAsia" w:ascii="宋体" w:hAnsi="宋体" w:cs="宋体"/>
          <w:snapToGrid w:val="0"/>
          <w:color w:val="auto"/>
          <w:kern w:val="0"/>
          <w:szCs w:val="21"/>
          <w:highlight w:val="none"/>
        </w:rPr>
        <w:t>已落实低价风险担保</w:t>
      </w:r>
      <w:r>
        <w:rPr>
          <w:rFonts w:hint="eastAsia" w:ascii="宋体" w:hAnsi="宋体" w:cs="宋体"/>
          <w:snapToGrid w:val="0"/>
          <w:color w:val="auto"/>
          <w:kern w:val="0"/>
          <w:szCs w:val="21"/>
          <w:highlight w:val="none"/>
          <w:lang w:val="en-US" w:eastAsia="zh-CN"/>
        </w:rPr>
        <w:t>的提交</w:t>
      </w:r>
      <w:r>
        <w:rPr>
          <w:rFonts w:hint="eastAsia" w:ascii="宋体" w:hAnsi="宋体" w:cs="宋体"/>
          <w:snapToGrid w:val="0"/>
          <w:color w:val="auto"/>
          <w:kern w:val="0"/>
          <w:szCs w:val="21"/>
          <w:highlight w:val="none"/>
        </w:rPr>
        <w:t>方案，承诺</w:t>
      </w:r>
      <w:r>
        <w:rPr>
          <w:rFonts w:hint="eastAsia" w:ascii="宋体" w:hAnsi="宋体" w:cs="宋体"/>
          <w:snapToGrid w:val="0"/>
          <w:color w:val="auto"/>
          <w:kern w:val="0"/>
          <w:szCs w:val="21"/>
          <w:highlight w:val="none"/>
          <w:lang w:val="en-US" w:eastAsia="zh-CN"/>
        </w:rPr>
        <w:t>如</w:t>
      </w:r>
      <w:r>
        <w:rPr>
          <w:rFonts w:hint="eastAsia" w:ascii="宋体" w:hAnsi="宋体" w:cs="宋体"/>
          <w:snapToGrid w:val="0"/>
          <w:color w:val="auto"/>
          <w:kern w:val="0"/>
          <w:szCs w:val="21"/>
          <w:highlight w:val="none"/>
        </w:rPr>
        <w:t>采用保函</w:t>
      </w:r>
      <w:r>
        <w:rPr>
          <w:rFonts w:hint="eastAsia" w:ascii="宋体" w:hAnsi="宋体" w:cs="宋体"/>
          <w:snapToGrid w:val="0"/>
          <w:color w:val="auto"/>
          <w:kern w:val="0"/>
          <w:szCs w:val="21"/>
          <w:highlight w:val="none"/>
          <w:lang w:val="en-US" w:eastAsia="zh-CN"/>
        </w:rPr>
        <w:t>形式提交低价风险担保</w:t>
      </w:r>
      <w:r>
        <w:rPr>
          <w:rFonts w:hint="eastAsia" w:ascii="宋体" w:hAnsi="宋体" w:cs="宋体"/>
          <w:snapToGrid w:val="0"/>
          <w:color w:val="auto"/>
          <w:kern w:val="0"/>
          <w:szCs w:val="21"/>
          <w:highlight w:val="none"/>
        </w:rPr>
        <w:t>，保函</w:t>
      </w:r>
      <w:r>
        <w:rPr>
          <w:rFonts w:hint="eastAsia" w:ascii="宋体" w:hAnsi="宋体" w:cs="宋体"/>
          <w:snapToGrid w:val="0"/>
          <w:color w:val="auto"/>
          <w:kern w:val="0"/>
          <w:szCs w:val="21"/>
          <w:highlight w:val="none"/>
          <w:lang w:val="en-US" w:eastAsia="zh-CN"/>
        </w:rPr>
        <w:t>的</w:t>
      </w:r>
      <w:r>
        <w:rPr>
          <w:rFonts w:hint="eastAsia" w:ascii="宋体" w:hAnsi="宋体" w:cs="宋体"/>
          <w:snapToGrid w:val="0"/>
          <w:color w:val="auto"/>
          <w:kern w:val="0"/>
          <w:szCs w:val="21"/>
          <w:highlight w:val="none"/>
        </w:rPr>
        <w:t>格式和内容符合招标文件</w:t>
      </w:r>
      <w:r>
        <w:rPr>
          <w:rFonts w:hint="eastAsia" w:ascii="宋体" w:hAnsi="宋体" w:cs="宋体"/>
          <w:snapToGrid w:val="0"/>
          <w:color w:val="auto"/>
          <w:kern w:val="0"/>
          <w:szCs w:val="21"/>
          <w:highlight w:val="none"/>
          <w:lang w:val="en-US" w:eastAsia="zh-CN"/>
        </w:rPr>
        <w:t>的</w:t>
      </w:r>
      <w:r>
        <w:rPr>
          <w:rFonts w:hint="eastAsia" w:ascii="宋体" w:hAnsi="宋体" w:cs="宋体"/>
          <w:snapToGrid w:val="0"/>
          <w:color w:val="auto"/>
          <w:kern w:val="0"/>
          <w:szCs w:val="21"/>
          <w:highlight w:val="none"/>
        </w:rPr>
        <w:t>要求</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否则，我公司愿承担招标文件中约定的，因未按规定递交低价风险担保的相应责任。</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pPr>
        <w:autoSpaceDE w:val="0"/>
        <w:autoSpaceDN w:val="0"/>
        <w:adjustRightInd w:val="0"/>
        <w:snapToGrid w:val="0"/>
        <w:spacing w:line="360" w:lineRule="auto"/>
        <w:rPr>
          <w:rFonts w:ascii="宋体" w:hAnsi="宋体" w:cs="宋体"/>
          <w:snapToGrid w:val="0"/>
          <w:color w:val="auto"/>
          <w:kern w:val="0"/>
          <w:sz w:val="32"/>
          <w:szCs w:val="32"/>
          <w:highlight w:val="none"/>
        </w:rPr>
      </w:pPr>
    </w:p>
    <w:p>
      <w:pPr>
        <w:autoSpaceDE w:val="0"/>
        <w:autoSpaceDN w:val="0"/>
        <w:adjustRightInd w:val="0"/>
        <w:snapToGrid w:val="0"/>
        <w:spacing w:line="360" w:lineRule="auto"/>
        <w:rPr>
          <w:rFonts w:ascii="宋体" w:hAnsi="宋体" w:cs="宋体"/>
          <w:snapToGrid w:val="0"/>
          <w:color w:val="auto"/>
          <w:kern w:val="0"/>
          <w:sz w:val="32"/>
          <w:szCs w:val="32"/>
          <w:highlight w:val="none"/>
        </w:rPr>
      </w:pPr>
    </w:p>
    <w:p>
      <w:pPr>
        <w:autoSpaceDE w:val="0"/>
        <w:autoSpaceDN w:val="0"/>
        <w:adjustRightInd w:val="0"/>
        <w:snapToGrid w:val="0"/>
        <w:spacing w:line="360" w:lineRule="auto"/>
        <w:rPr>
          <w:rFonts w:hint="eastAsia" w:ascii="宋体" w:hAnsi="宋体" w:cs="宋体"/>
          <w:snapToGrid w:val="0"/>
          <w:color w:val="auto"/>
          <w:kern w:val="0"/>
          <w:sz w:val="32"/>
          <w:szCs w:val="32"/>
          <w:highlight w:val="none"/>
        </w:rPr>
      </w:pPr>
    </w:p>
    <w:p>
      <w:pPr>
        <w:autoSpaceDE w:val="0"/>
        <w:autoSpaceDN w:val="0"/>
        <w:adjustRightInd w:val="0"/>
        <w:snapToGrid w:val="0"/>
        <w:spacing w:line="360" w:lineRule="auto"/>
        <w:rPr>
          <w:rFonts w:hint="eastAsia" w:ascii="宋体" w:hAnsi="宋体" w:cs="宋体"/>
          <w:snapToGrid w:val="0"/>
          <w:color w:val="auto"/>
          <w:kern w:val="0"/>
          <w:sz w:val="32"/>
          <w:szCs w:val="32"/>
          <w:highlight w:val="none"/>
        </w:rPr>
      </w:pPr>
    </w:p>
    <w:p>
      <w:pPr>
        <w:autoSpaceDE w:val="0"/>
        <w:autoSpaceDN w:val="0"/>
        <w:adjustRightInd w:val="0"/>
        <w:snapToGrid w:val="0"/>
        <w:spacing w:line="360" w:lineRule="auto"/>
        <w:rPr>
          <w:rFonts w:ascii="宋体" w:hAnsi="宋体" w:cs="宋体"/>
          <w:snapToGrid w:val="0"/>
          <w:color w:val="auto"/>
          <w:kern w:val="0"/>
          <w:sz w:val="32"/>
          <w:szCs w:val="32"/>
          <w:highlight w:val="none"/>
        </w:rPr>
      </w:pPr>
    </w:p>
    <w:p>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或盖章）</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p>
    <w:p>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spacing w:line="360" w:lineRule="auto"/>
        <w:ind w:firstLine="640" w:firstLineChars="200"/>
        <w:jc w:val="center"/>
        <w:rPr>
          <w:rFonts w:hint="eastAsia" w:ascii="宋体" w:hAnsi="宋体"/>
          <w:snapToGrid w:val="0"/>
          <w:color w:val="auto"/>
          <w:kern w:val="0"/>
          <w:sz w:val="32"/>
          <w:szCs w:val="32"/>
          <w:highlight w:val="none"/>
        </w:rPr>
      </w:pPr>
    </w:p>
    <w:p>
      <w:pPr>
        <w:spacing w:line="360" w:lineRule="auto"/>
        <w:ind w:firstLine="640" w:firstLineChars="200"/>
        <w:jc w:val="center"/>
        <w:rPr>
          <w:rFonts w:hint="eastAsia" w:ascii="宋体" w:hAnsi="宋体"/>
          <w:snapToGrid w:val="0"/>
          <w:color w:val="auto"/>
          <w:kern w:val="0"/>
          <w:sz w:val="32"/>
          <w:szCs w:val="32"/>
          <w:highlight w:val="none"/>
        </w:rPr>
      </w:pPr>
    </w:p>
    <w:p>
      <w:pPr>
        <w:spacing w:line="360" w:lineRule="auto"/>
        <w:ind w:firstLine="640" w:firstLineChars="200"/>
        <w:jc w:val="center"/>
        <w:rPr>
          <w:rFonts w:hint="eastAsia" w:ascii="宋体" w:hAnsi="宋体"/>
          <w:snapToGrid w:val="0"/>
          <w:color w:val="auto"/>
          <w:kern w:val="0"/>
          <w:sz w:val="32"/>
          <w:szCs w:val="32"/>
          <w:highlight w:val="none"/>
        </w:rPr>
      </w:pPr>
    </w:p>
    <w:p>
      <w:pPr>
        <w:spacing w:line="360" w:lineRule="auto"/>
        <w:ind w:firstLine="640" w:firstLineChars="200"/>
        <w:jc w:val="center"/>
        <w:rPr>
          <w:rFonts w:hint="eastAsia" w:ascii="宋体" w:hAnsi="宋体"/>
          <w:snapToGrid w:val="0"/>
          <w:color w:val="auto"/>
          <w:kern w:val="0"/>
          <w:sz w:val="32"/>
          <w:szCs w:val="32"/>
          <w:highlight w:val="none"/>
        </w:rPr>
      </w:pPr>
    </w:p>
    <w:p>
      <w:pPr>
        <w:spacing w:line="360" w:lineRule="auto"/>
        <w:ind w:firstLine="640" w:firstLineChars="200"/>
        <w:jc w:val="center"/>
        <w:rPr>
          <w:rFonts w:hint="eastAsia" w:ascii="宋体" w:hAnsi="宋体"/>
          <w:snapToGrid w:val="0"/>
          <w:color w:val="auto"/>
          <w:kern w:val="0"/>
          <w:sz w:val="32"/>
          <w:szCs w:val="32"/>
          <w:highlight w:val="none"/>
        </w:rPr>
      </w:pPr>
    </w:p>
    <w:p>
      <w:pPr>
        <w:spacing w:line="360" w:lineRule="auto"/>
        <w:ind w:firstLine="640" w:firstLineChars="200"/>
        <w:jc w:val="center"/>
        <w:rPr>
          <w:rFonts w:hint="eastAsia" w:ascii="宋体" w:hAnsi="宋体"/>
          <w:snapToGrid w:val="0"/>
          <w:color w:val="auto"/>
          <w:kern w:val="0"/>
          <w:sz w:val="32"/>
          <w:szCs w:val="32"/>
          <w:highlight w:val="none"/>
        </w:rPr>
      </w:pPr>
    </w:p>
    <w:p>
      <w:pPr>
        <w:pStyle w:val="4"/>
        <w:spacing w:line="360" w:lineRule="auto"/>
        <w:jc w:val="center"/>
        <w:outlineLvl w:val="0"/>
        <w:rPr>
          <w:rFonts w:ascii="宋体" w:hAnsi="宋体"/>
          <w:b w:val="0"/>
          <w:bCs w:val="0"/>
          <w:color w:val="auto"/>
          <w:sz w:val="44"/>
          <w:szCs w:val="44"/>
          <w:highlight w:val="none"/>
        </w:rPr>
      </w:pPr>
      <w:bookmarkStart w:id="2182" w:name="_Toc224103500"/>
      <w:r>
        <w:rPr>
          <w:rFonts w:hint="eastAsia" w:ascii="宋体" w:hAnsi="宋体" w:cs="宋体"/>
          <w:color w:val="auto"/>
          <w:highlight w:val="none"/>
        </w:rPr>
        <w:br w:type="page"/>
      </w:r>
      <w:bookmarkEnd w:id="2182"/>
      <w:bookmarkStart w:id="2183" w:name="_Toc24522"/>
      <w:bookmarkStart w:id="2184" w:name="_Toc2771"/>
      <w:bookmarkStart w:id="2185" w:name="_Toc7263"/>
      <w:r>
        <w:rPr>
          <w:rFonts w:hint="eastAsia" w:ascii="宋体" w:hAnsi="宋体"/>
          <w:b w:val="0"/>
          <w:bCs w:val="0"/>
          <w:color w:val="auto"/>
          <w:sz w:val="44"/>
          <w:szCs w:val="44"/>
          <w:highlight w:val="none"/>
        </w:rPr>
        <w:t>二、经济部分</w:t>
      </w:r>
      <w:bookmarkEnd w:id="2183"/>
      <w:bookmarkEnd w:id="2184"/>
      <w:bookmarkEnd w:id="2185"/>
    </w:p>
    <w:p>
      <w:pPr>
        <w:autoSpaceDE w:val="0"/>
        <w:autoSpaceDN w:val="0"/>
        <w:adjustRightInd w:val="0"/>
        <w:snapToGrid w:val="0"/>
        <w:spacing w:line="360" w:lineRule="auto"/>
        <w:jc w:val="center"/>
        <w:rPr>
          <w:rFonts w:ascii="宋体" w:hAnsi="宋体" w:cs="宋体"/>
          <w:color w:val="auto"/>
          <w:sz w:val="32"/>
          <w:szCs w:val="32"/>
          <w:highlight w:val="none"/>
        </w:rPr>
      </w:pPr>
    </w:p>
    <w:p>
      <w:pPr>
        <w:spacing w:line="360" w:lineRule="auto"/>
        <w:jc w:val="center"/>
        <w:rPr>
          <w:rFonts w:hint="eastAsia" w:ascii="宋体" w:hAnsi="宋体"/>
          <w:color w:val="auto"/>
          <w:kern w:val="0"/>
          <w:sz w:val="32"/>
          <w:szCs w:val="32"/>
          <w:highlight w:val="none"/>
        </w:rPr>
      </w:pPr>
      <w:r>
        <w:rPr>
          <w:rFonts w:ascii="宋体" w:hAnsi="宋体" w:cs="宋体"/>
          <w:color w:val="auto"/>
          <w:sz w:val="32"/>
          <w:szCs w:val="32"/>
          <w:highlight w:val="none"/>
        </w:rPr>
        <w:br w:type="page"/>
      </w:r>
      <w:r>
        <w:rPr>
          <w:rFonts w:hint="eastAsia" w:ascii="宋体" w:hAnsi="宋体"/>
          <w:color w:val="auto"/>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经济部分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lang w:eastAsia="zh-CN"/>
        </w:rPr>
        <w:t>签名</w:t>
      </w:r>
      <w:r>
        <w:rPr>
          <w:rFonts w:ascii="宋体" w:hAnsi="宋体"/>
          <w:color w:val="auto"/>
          <w:w w:val="99"/>
          <w:kern w:val="0"/>
          <w:sz w:val="28"/>
          <w:szCs w:val="28"/>
          <w:highlight w:val="none"/>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目录由投标人自行编制]</w:t>
      </w:r>
    </w:p>
    <w:p>
      <w:pPr>
        <w:pStyle w:val="5"/>
        <w:spacing w:before="0" w:after="0" w:line="240" w:lineRule="auto"/>
        <w:jc w:val="center"/>
        <w:rPr>
          <w:rFonts w:ascii="宋体" w:hAnsi="宋体"/>
          <w:b w:val="0"/>
          <w:bCs w:val="0"/>
          <w:color w:val="auto"/>
          <w:highlight w:val="none"/>
        </w:rPr>
      </w:pPr>
      <w:bookmarkStart w:id="2186" w:name="_Toc287620820"/>
      <w:bookmarkStart w:id="2187" w:name="_Toc287607873"/>
      <w:bookmarkStart w:id="2188" w:name="_Toc277082648"/>
      <w:bookmarkStart w:id="2189" w:name="_Toc430530535"/>
      <w:bookmarkStart w:id="2190" w:name="_Toc224103501"/>
      <w:r>
        <w:rPr>
          <w:rFonts w:ascii="宋体" w:hAnsi="宋体"/>
          <w:b w:val="0"/>
          <w:bCs w:val="0"/>
          <w:color w:val="auto"/>
          <w:kern w:val="0"/>
          <w:sz w:val="21"/>
          <w:szCs w:val="21"/>
          <w:highlight w:val="none"/>
        </w:rPr>
        <w:br w:type="page"/>
      </w:r>
      <w:bookmarkStart w:id="2191" w:name="_Toc10606"/>
      <w:bookmarkStart w:id="2192" w:name="_Toc4688"/>
      <w:bookmarkStart w:id="2193" w:name="_Toc5189"/>
      <w:r>
        <w:rPr>
          <w:rFonts w:hint="eastAsia" w:ascii="宋体" w:hAnsi="宋体"/>
          <w:b w:val="0"/>
          <w:bCs w:val="0"/>
          <w:color w:val="auto"/>
          <w:highlight w:val="none"/>
        </w:rPr>
        <w:t>（一）已标价工程量清单</w:t>
      </w:r>
      <w:bookmarkEnd w:id="2186"/>
      <w:bookmarkEnd w:id="2187"/>
      <w:bookmarkEnd w:id="2188"/>
      <w:bookmarkEnd w:id="2189"/>
      <w:bookmarkEnd w:id="2190"/>
      <w:bookmarkEnd w:id="2191"/>
      <w:bookmarkEnd w:id="2192"/>
      <w:bookmarkEnd w:id="2193"/>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pStyle w:val="4"/>
        <w:spacing w:line="360" w:lineRule="auto"/>
        <w:jc w:val="center"/>
        <w:outlineLvl w:val="0"/>
        <w:rPr>
          <w:rFonts w:hint="eastAsia" w:ascii="宋体" w:hAnsi="宋体" w:cs="宋体"/>
          <w:color w:val="auto"/>
          <w:sz w:val="44"/>
          <w:szCs w:val="44"/>
          <w:highlight w:val="none"/>
        </w:rPr>
      </w:pPr>
      <w:r>
        <w:rPr>
          <w:rFonts w:ascii="宋体" w:hAnsi="宋体"/>
          <w:color w:val="auto"/>
          <w:highlight w:val="none"/>
        </w:rPr>
        <w:br w:type="page"/>
      </w:r>
      <w:bookmarkStart w:id="2194" w:name="_Toc430530545"/>
      <w:bookmarkStart w:id="2195" w:name="_Toc3887"/>
      <w:bookmarkStart w:id="2196" w:name="_Toc224103510"/>
      <w:bookmarkStart w:id="2197" w:name="_Toc287620829"/>
      <w:bookmarkStart w:id="2198" w:name="_Toc287607882"/>
      <w:bookmarkStart w:id="2199" w:name="_Toc277082656"/>
      <w:bookmarkStart w:id="2200" w:name="_Toc2060"/>
      <w:r>
        <w:rPr>
          <w:rFonts w:hint="eastAsia" w:ascii="宋体" w:hAnsi="宋体" w:cs="Times New Roman"/>
          <w:b w:val="0"/>
          <w:bCs w:val="0"/>
          <w:color w:val="auto"/>
          <w:sz w:val="44"/>
          <w:szCs w:val="44"/>
          <w:highlight w:val="none"/>
          <w:lang w:val="en-US" w:eastAsia="zh-CN"/>
        </w:rPr>
        <w:t>三</w:t>
      </w:r>
      <w:r>
        <w:rPr>
          <w:rFonts w:hint="eastAsia" w:ascii="宋体" w:hAnsi="宋体" w:cs="Times New Roman"/>
          <w:b w:val="0"/>
          <w:bCs w:val="0"/>
          <w:color w:val="auto"/>
          <w:sz w:val="44"/>
          <w:szCs w:val="44"/>
          <w:highlight w:val="none"/>
        </w:rPr>
        <w:t>、</w:t>
      </w:r>
      <w:r>
        <w:rPr>
          <w:rFonts w:hint="eastAsia" w:ascii="宋体" w:hAnsi="宋体"/>
          <w:b w:val="0"/>
          <w:bCs w:val="0"/>
          <w:color w:val="auto"/>
          <w:sz w:val="44"/>
          <w:szCs w:val="44"/>
          <w:highlight w:val="none"/>
        </w:rPr>
        <w:t>资格审查资料</w:t>
      </w:r>
      <w:bookmarkEnd w:id="2194"/>
      <w:bookmarkEnd w:id="2195"/>
      <w:bookmarkEnd w:id="2196"/>
      <w:bookmarkEnd w:id="2197"/>
      <w:bookmarkEnd w:id="2198"/>
      <w:bookmarkEnd w:id="2199"/>
      <w:bookmarkEnd w:id="2200"/>
    </w:p>
    <w:p>
      <w:pPr>
        <w:spacing w:line="360" w:lineRule="auto"/>
        <w:jc w:val="center"/>
        <w:rPr>
          <w:rFonts w:hint="eastAsia" w:ascii="宋体" w:hAnsi="宋体"/>
          <w:color w:val="auto"/>
          <w:kern w:val="0"/>
          <w:sz w:val="32"/>
          <w:szCs w:val="32"/>
          <w:highlight w:val="none"/>
          <w:u w:val="single"/>
        </w:rPr>
      </w:pPr>
      <w:bookmarkStart w:id="2201" w:name="_Toc27983327"/>
      <w:r>
        <w:rPr>
          <w:rFonts w:ascii="宋体" w:hAnsi="宋体" w:cs="宋体"/>
          <w:color w:val="auto"/>
          <w:sz w:val="32"/>
          <w:szCs w:val="32"/>
          <w:highlight w:val="none"/>
        </w:rPr>
        <w:br w:type="page"/>
      </w:r>
      <w:r>
        <w:rPr>
          <w:rFonts w:hint="eastAsia" w:ascii="宋体" w:hAnsi="宋体"/>
          <w:color w:val="auto"/>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djustRightInd w:val="0"/>
        <w:snapToGrid w:val="0"/>
        <w:spacing w:line="264" w:lineRule="auto"/>
        <w:rPr>
          <w:rFonts w:ascii="宋体" w:hAnsi="宋体"/>
          <w:color w:val="auto"/>
          <w:szCs w:val="21"/>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lang w:eastAsia="zh-CN"/>
        </w:rPr>
        <w:t>签名</w:t>
      </w:r>
      <w:r>
        <w:rPr>
          <w:rFonts w:ascii="宋体" w:hAnsi="宋体"/>
          <w:color w:val="auto"/>
          <w:w w:val="99"/>
          <w:kern w:val="0"/>
          <w:sz w:val="28"/>
          <w:szCs w:val="28"/>
          <w:highlight w:val="none"/>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autoSpaceDE w:val="0"/>
        <w:autoSpaceDN w:val="0"/>
        <w:adjustRightInd w:val="0"/>
        <w:snapToGrid w:val="0"/>
        <w:jc w:val="center"/>
        <w:rPr>
          <w:rFonts w:hint="eastAsia" w:ascii="宋体" w:hAnsi="宋体"/>
          <w:color w:val="auto"/>
          <w:kern w:val="0"/>
          <w:sz w:val="36"/>
          <w:szCs w:val="36"/>
          <w:highlight w:val="none"/>
        </w:rPr>
      </w:pPr>
    </w:p>
    <w:p>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spacing w:line="360" w:lineRule="auto"/>
        <w:jc w:val="center"/>
        <w:rPr>
          <w:rFonts w:ascii="宋体" w:hAnsi="宋体"/>
          <w:b/>
          <w:color w:val="auto"/>
          <w:kern w:val="0"/>
          <w:sz w:val="32"/>
          <w:szCs w:val="32"/>
          <w:highlight w:val="none"/>
        </w:rPr>
      </w:pPr>
    </w:p>
    <w:p>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二</w:t>
      </w:r>
      <w:r>
        <w:rPr>
          <w:rFonts w:ascii="宋体" w:hAnsi="宋体"/>
          <w:color w:val="auto"/>
          <w:highlight w:val="none"/>
        </w:rPr>
        <w:t>）投标人基本情况表</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承诺</w:t>
      </w:r>
    </w:p>
    <w:p>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）其他资料</w:t>
      </w:r>
    </w:p>
    <w:p>
      <w:pPr>
        <w:pStyle w:val="2"/>
        <w:rPr>
          <w:rFonts w:ascii="宋体" w:hAnsi="宋体"/>
          <w:color w:val="auto"/>
          <w:szCs w:val="21"/>
          <w:highlight w:val="none"/>
        </w:rPr>
      </w:pPr>
    </w:p>
    <w:p>
      <w:pPr>
        <w:pStyle w:val="5"/>
        <w:spacing w:before="0" w:after="0" w:line="240" w:lineRule="auto"/>
        <w:jc w:val="center"/>
        <w:rPr>
          <w:rFonts w:hint="eastAsia" w:ascii="宋体" w:hAnsi="宋体"/>
          <w:color w:val="auto"/>
          <w:sz w:val="36"/>
          <w:szCs w:val="36"/>
          <w:highlight w:val="none"/>
        </w:rPr>
      </w:pPr>
      <w:bookmarkStart w:id="2202" w:name="_Toc430530546"/>
      <w:bookmarkStart w:id="2203" w:name="_Toc287620830"/>
      <w:bookmarkStart w:id="2204" w:name="_Toc277082657"/>
      <w:bookmarkStart w:id="2205" w:name="_Toc224103511"/>
      <w:bookmarkStart w:id="2206" w:name="_Toc287607883"/>
      <w:bookmarkStart w:id="2207" w:name="_Toc33106476"/>
      <w:r>
        <w:rPr>
          <w:rFonts w:hint="eastAsia" w:ascii="宋体" w:hAnsi="宋体"/>
          <w:b w:val="0"/>
          <w:bCs w:val="0"/>
          <w:color w:val="auto"/>
          <w:highlight w:val="none"/>
        </w:rPr>
        <w:br w:type="page"/>
      </w:r>
      <w:bookmarkStart w:id="2208" w:name="_Toc5401"/>
      <w:bookmarkStart w:id="2209" w:name="_Toc22048"/>
      <w:r>
        <w:rPr>
          <w:rFonts w:hint="eastAsia" w:ascii="宋体" w:hAnsi="宋体"/>
          <w:b w:val="0"/>
          <w:bCs w:val="0"/>
          <w:color w:val="auto"/>
          <w:highlight w:val="none"/>
        </w:rPr>
        <w:t>（一）法定代表人身份证明或附有法定代表人身份证明的授权委托书</w:t>
      </w:r>
      <w:bookmarkEnd w:id="2202"/>
      <w:bookmarkEnd w:id="2203"/>
      <w:bookmarkEnd w:id="2204"/>
      <w:bookmarkEnd w:id="2205"/>
      <w:bookmarkEnd w:id="2206"/>
      <w:bookmarkEnd w:id="2207"/>
      <w:bookmarkEnd w:id="2208"/>
      <w:bookmarkEnd w:id="2209"/>
    </w:p>
    <w:p>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hint="eastAsia"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（投标人名称）</w:t>
      </w:r>
      <w:r>
        <w:rPr>
          <w:rFonts w:ascii="宋体" w:hAnsi="宋体"/>
          <w:color w:val="auto"/>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hint="eastAsia" w:ascii="宋体" w:hAnsi="宋体"/>
          <w:color w:val="auto"/>
          <w:kern w:val="0"/>
          <w:szCs w:val="21"/>
          <w:highlight w:val="none"/>
        </w:rPr>
      </w:pPr>
      <w:r>
        <w:rPr>
          <w:rFonts w:ascii="宋体" w:hAnsi="宋体"/>
          <w:color w:val="auto"/>
          <w:kern w:val="0"/>
          <w:szCs w:val="21"/>
          <w:highlight w:val="none"/>
        </w:rPr>
        <w:t>特此证明。</w:t>
      </w:r>
    </w:p>
    <w:p>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附：法定代表人身份证扫描件（双面）</w:t>
      </w:r>
    </w:p>
    <w:p>
      <w:pPr>
        <w:autoSpaceDE w:val="0"/>
        <w:autoSpaceDN w:val="0"/>
        <w:adjustRightInd w:val="0"/>
        <w:snapToGrid w:val="0"/>
        <w:spacing w:line="360" w:lineRule="auto"/>
        <w:jc w:val="left"/>
        <w:rPr>
          <w:rFonts w:hint="eastAsia" w:ascii="宋体" w:hAnsi="宋体"/>
          <w:color w:val="auto"/>
          <w:szCs w:val="21"/>
          <w:highlight w:val="none"/>
        </w:rPr>
      </w:pPr>
    </w:p>
    <w:p>
      <w:pPr>
        <w:pStyle w:val="2"/>
        <w:spacing w:after="0" w:line="360" w:lineRule="auto"/>
        <w:rPr>
          <w:rFonts w:hint="eastAsia" w:ascii="宋体" w:hAnsi="宋体"/>
          <w:color w:val="auto"/>
          <w:szCs w:val="21"/>
          <w:highlight w:val="none"/>
        </w:rPr>
      </w:pPr>
    </w:p>
    <w:p>
      <w:pPr>
        <w:pStyle w:val="2"/>
        <w:spacing w:after="0" w:line="360" w:lineRule="auto"/>
        <w:rPr>
          <w:rFonts w:hint="eastAsia" w:ascii="宋体" w:hAnsi="宋体"/>
          <w:color w:val="auto"/>
          <w:szCs w:val="21"/>
          <w:highlight w:val="none"/>
        </w:rPr>
      </w:pPr>
    </w:p>
    <w:p>
      <w:pPr>
        <w:pStyle w:val="2"/>
        <w:spacing w:after="0" w:line="360" w:lineRule="auto"/>
        <w:rPr>
          <w:rFonts w:hint="eastAsia" w:ascii="宋体" w:hAnsi="宋体"/>
          <w:color w:val="auto"/>
          <w:szCs w:val="21"/>
          <w:highlight w:val="none"/>
        </w:rPr>
      </w:pPr>
    </w:p>
    <w:p>
      <w:pPr>
        <w:pStyle w:val="2"/>
        <w:spacing w:after="0" w:line="360" w:lineRule="auto"/>
        <w:rPr>
          <w:rFonts w:hint="eastAsia" w:ascii="宋体" w:hAnsi="宋体"/>
          <w:color w:val="auto"/>
          <w:szCs w:val="21"/>
          <w:highlight w:val="none"/>
        </w:rPr>
      </w:pPr>
    </w:p>
    <w:p>
      <w:pPr>
        <w:pStyle w:val="2"/>
        <w:spacing w:after="0" w:line="360" w:lineRule="auto"/>
        <w:rPr>
          <w:rFonts w:ascii="宋体" w:hAnsi="宋体"/>
          <w:color w:val="auto"/>
          <w:szCs w:val="21"/>
          <w:highlight w:val="none"/>
        </w:rPr>
      </w:pPr>
    </w:p>
    <w:p>
      <w:pPr>
        <w:tabs>
          <w:tab w:val="left" w:pos="3360"/>
        </w:tabs>
        <w:autoSpaceDE w:val="0"/>
        <w:autoSpaceDN w:val="0"/>
        <w:adjustRightInd w:val="0"/>
        <w:snapToGrid w:val="0"/>
        <w:spacing w:line="480" w:lineRule="auto"/>
        <w:ind w:firstLine="390" w:firstLineChars="186"/>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spacing w:line="360" w:lineRule="auto"/>
        <w:jc w:val="left"/>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rFonts w:ascii="宋体" w:hAnsi="宋体"/>
          <w:color w:val="auto"/>
          <w:highlight w:val="none"/>
        </w:rPr>
        <w:t>注：法定代表人身份证明需按上述格式填写完整，不可缺少内容。在此基础上增加内容的不影响其有效性</w:t>
      </w:r>
      <w:r>
        <w:rPr>
          <w:rFonts w:hint="eastAsia" w:ascii="宋体" w:hAnsi="宋体"/>
          <w:color w:val="auto"/>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ascii="宋体" w:hAnsi="宋体"/>
          <w:color w:val="auto"/>
          <w:spacing w:val="-1"/>
          <w:kern w:val="0"/>
          <w:szCs w:val="21"/>
          <w:highlight w:val="none"/>
          <w:u w:val="single"/>
        </w:rPr>
        <w:t>投</w:t>
      </w:r>
      <w:r>
        <w:rPr>
          <w:rFonts w:ascii="宋体" w:hAnsi="宋体"/>
          <w:color w:val="auto"/>
          <w:kern w:val="0"/>
          <w:szCs w:val="21"/>
          <w:highlight w:val="none"/>
          <w:u w:val="single"/>
        </w:rPr>
        <w:t>标人名称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为我方代理人。代理人根据授权，以我方名义签署、澄清、说明、补正、递交、撤回、修改</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hint="eastAsia" w:ascii="宋体" w:hAnsi="宋体"/>
          <w:color w:val="auto"/>
          <w:kern w:val="0"/>
          <w:sz w:val="20"/>
          <w:szCs w:val="20"/>
          <w:highlight w:val="none"/>
          <w:u w:val="single"/>
        </w:rPr>
      </w:pPr>
      <w:r>
        <w:rPr>
          <w:rFonts w:hint="eastAsia" w:ascii="宋体" w:hAnsi="宋体"/>
          <w:color w:val="auto"/>
          <w:kern w:val="0"/>
          <w:szCs w:val="21"/>
          <w:highlight w:val="none"/>
        </w:rPr>
        <w:t xml:space="preserve">委托代理人电话（手机）：                                                </w:t>
      </w:r>
    </w:p>
    <w:p>
      <w:pPr>
        <w:tabs>
          <w:tab w:val="left" w:pos="6825"/>
        </w:tabs>
        <w:autoSpaceDE w:val="0"/>
        <w:autoSpaceDN w:val="0"/>
        <w:adjustRightInd w:val="0"/>
        <w:snapToGrid w:val="0"/>
        <w:spacing w:line="480" w:lineRule="auto"/>
        <w:jc w:val="left"/>
        <w:rPr>
          <w:rFonts w:hint="eastAsia" w:ascii="宋体" w:hAnsi="宋体"/>
          <w:color w:val="auto"/>
          <w:kern w:val="0"/>
          <w:sz w:val="20"/>
          <w:szCs w:val="20"/>
          <w:highlight w:val="none"/>
        </w:rPr>
      </w:pPr>
    </w:p>
    <w:p>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附：法定代表人和委托代理人身份证扫描件（双面）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pPr>
        <w:autoSpaceDE w:val="0"/>
        <w:autoSpaceDN w:val="0"/>
        <w:adjustRightInd w:val="0"/>
        <w:snapToGrid w:val="0"/>
        <w:spacing w:line="480" w:lineRule="auto"/>
        <w:jc w:val="left"/>
        <w:rPr>
          <w:rFonts w:hint="eastAsia" w:ascii="宋体" w:hAnsi="宋体"/>
          <w:color w:val="auto"/>
          <w:kern w:val="0"/>
          <w:sz w:val="20"/>
          <w:szCs w:val="20"/>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highlight w:val="none"/>
        </w:rPr>
      </w:pPr>
      <w:r>
        <w:rPr>
          <w:rFonts w:hint="eastAsia" w:ascii="宋体" w:hAnsi="宋体"/>
          <w:color w:val="auto"/>
          <w:kern w:val="0"/>
          <w:szCs w:val="21"/>
          <w:highlight w:val="none"/>
        </w:rPr>
        <w:t xml:space="preserve"> </w:t>
      </w:r>
    </w:p>
    <w:p>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pStyle w:val="2"/>
        <w:rPr>
          <w:color w:val="auto"/>
          <w:highlight w:val="none"/>
        </w:rPr>
      </w:pPr>
    </w:p>
    <w:p>
      <w:pPr>
        <w:autoSpaceDE w:val="0"/>
        <w:autoSpaceDN w:val="0"/>
        <w:adjustRightInd w:val="0"/>
        <w:snapToGrid w:val="0"/>
        <w:jc w:val="center"/>
        <w:rPr>
          <w:rFonts w:ascii="宋体" w:hAnsi="宋体"/>
          <w:color w:val="auto"/>
          <w:highlight w:val="none"/>
        </w:rPr>
      </w:pPr>
      <w:r>
        <w:rPr>
          <w:rFonts w:ascii="宋体" w:hAnsi="宋体"/>
          <w:color w:val="auto"/>
          <w:highlight w:val="none"/>
        </w:rPr>
        <w:br w:type="page"/>
      </w:r>
    </w:p>
    <w:bookmarkEnd w:id="2201"/>
    <w:p>
      <w:pPr>
        <w:pStyle w:val="5"/>
        <w:spacing w:before="0" w:after="0" w:line="240" w:lineRule="auto"/>
        <w:jc w:val="center"/>
        <w:rPr>
          <w:rFonts w:ascii="宋体" w:hAnsi="宋体"/>
          <w:color w:val="auto"/>
          <w:highlight w:val="none"/>
        </w:rPr>
      </w:pPr>
      <w:bookmarkStart w:id="2210" w:name="_Toc8353"/>
      <w:bookmarkStart w:id="2211" w:name="_Toc8691"/>
      <w:bookmarkStart w:id="2212" w:name="_Toc33106478"/>
      <w:r>
        <w:rPr>
          <w:rFonts w:hint="eastAsia" w:ascii="宋体" w:hAnsi="宋体"/>
          <w:b w:val="0"/>
          <w:bCs w:val="0"/>
          <w:color w:val="auto"/>
          <w:highlight w:val="none"/>
        </w:rPr>
        <w:t>（</w:t>
      </w:r>
      <w:r>
        <w:rPr>
          <w:rFonts w:hint="eastAsia" w:ascii="宋体" w:hAnsi="宋体"/>
          <w:b w:val="0"/>
          <w:bCs w:val="0"/>
          <w:color w:val="auto"/>
          <w:highlight w:val="none"/>
          <w:lang w:val="en-US" w:eastAsia="zh-CN"/>
        </w:rPr>
        <w:t>二</w:t>
      </w:r>
      <w:r>
        <w:rPr>
          <w:rFonts w:hint="eastAsia" w:ascii="宋体" w:hAnsi="宋体"/>
          <w:b w:val="0"/>
          <w:bCs w:val="0"/>
          <w:color w:val="auto"/>
          <w:highlight w:val="none"/>
        </w:rPr>
        <w:t>）投标人基本情况表</w:t>
      </w:r>
      <w:bookmarkEnd w:id="2210"/>
      <w:bookmarkEnd w:id="2211"/>
      <w:bookmarkEnd w:id="2212"/>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投标人名称</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967" w:type="dxa"/>
            <w:vAlign w:val="center"/>
          </w:tcPr>
          <w:p>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highlight w:val="none"/>
              </w:rPr>
            </w:pPr>
          </w:p>
        </w:tc>
        <w:tc>
          <w:tcPr>
            <w:tcW w:w="925"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项目总工</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highlight w:val="none"/>
              </w:rPr>
            </w:pPr>
          </w:p>
        </w:tc>
        <w:tc>
          <w:tcPr>
            <w:tcW w:w="925"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bl>
    <w:p>
      <w:pPr>
        <w:spacing w:line="360" w:lineRule="auto"/>
        <w:rPr>
          <w:rFonts w:hint="eastAsia" w:ascii="宋体" w:hAnsi="宋体"/>
          <w:color w:val="auto"/>
          <w:szCs w:val="21"/>
          <w:highlight w:val="none"/>
        </w:rPr>
      </w:pPr>
    </w:p>
    <w:p>
      <w:pPr>
        <w:pStyle w:val="5"/>
        <w:spacing w:before="0" w:after="0" w:line="240" w:lineRule="auto"/>
        <w:jc w:val="center"/>
        <w:rPr>
          <w:rFonts w:ascii="宋体" w:hAnsi="宋体"/>
          <w:b w:val="0"/>
          <w:bCs w:val="0"/>
          <w:color w:val="auto"/>
          <w:highlight w:val="none"/>
        </w:rPr>
      </w:pPr>
      <w:bookmarkStart w:id="2213" w:name="_Toc17784"/>
      <w:bookmarkStart w:id="2214" w:name="_Toc33106479"/>
      <w:bookmarkStart w:id="2215" w:name="_Toc11694"/>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）项目管理机构</w:t>
      </w:r>
      <w:bookmarkEnd w:id="2213"/>
      <w:bookmarkEnd w:id="2214"/>
      <w:bookmarkEnd w:id="2215"/>
    </w:p>
    <w:p>
      <w:pPr>
        <w:spacing w:line="360" w:lineRule="auto"/>
        <w:rPr>
          <w:rFonts w:ascii="宋体" w:hAnsi="宋体"/>
          <w:color w:val="auto"/>
          <w:highlight w:val="none"/>
        </w:rPr>
      </w:pPr>
    </w:p>
    <w:p>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vAlign w:val="top"/>
          </w:tcPr>
          <w:p>
            <w:pPr>
              <w:autoSpaceDE w:val="0"/>
              <w:autoSpaceDN w:val="0"/>
              <w:adjustRightInd w:val="0"/>
              <w:snapToGrid w:val="0"/>
              <w:jc w:val="left"/>
              <w:rPr>
                <w:rFonts w:ascii="宋体" w:hAnsi="宋体"/>
                <w:color w:val="auto"/>
                <w:kern w:val="0"/>
                <w:szCs w:val="21"/>
                <w:highlight w:val="none"/>
              </w:rPr>
            </w:pPr>
          </w:p>
        </w:tc>
        <w:tc>
          <w:tcPr>
            <w:tcW w:w="734" w:type="dxa"/>
            <w:vMerge w:val="continue"/>
            <w:vAlign w:val="top"/>
          </w:tcPr>
          <w:p>
            <w:pPr>
              <w:autoSpaceDE w:val="0"/>
              <w:autoSpaceDN w:val="0"/>
              <w:adjustRightInd w:val="0"/>
              <w:snapToGrid w:val="0"/>
              <w:jc w:val="left"/>
              <w:rPr>
                <w:rFonts w:ascii="宋体" w:hAnsi="宋体"/>
                <w:color w:val="auto"/>
                <w:kern w:val="0"/>
                <w:szCs w:val="21"/>
                <w:highlight w:val="none"/>
              </w:rPr>
            </w:pPr>
          </w:p>
        </w:tc>
        <w:tc>
          <w:tcPr>
            <w:tcW w:w="776" w:type="dxa"/>
            <w:vMerge w:val="continue"/>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bl>
    <w:p>
      <w:pPr>
        <w:spacing w:line="20" w:lineRule="exact"/>
        <w:jc w:val="center"/>
        <w:rPr>
          <w:rFonts w:ascii="宋体" w:hAnsi="宋体"/>
          <w:color w:val="auto"/>
          <w:szCs w:val="21"/>
          <w:highlight w:val="none"/>
        </w:rPr>
      </w:pPr>
    </w:p>
    <w:p>
      <w:pPr>
        <w:spacing w:line="360" w:lineRule="auto"/>
        <w:ind w:firstLine="560" w:firstLineChars="200"/>
        <w:jc w:val="center"/>
        <w:rPr>
          <w:rFonts w:hint="eastAsia" w:ascii="宋体" w:hAnsi="宋体" w:cs="MingLiU"/>
          <w:color w:val="auto"/>
          <w:kern w:val="0"/>
          <w:sz w:val="28"/>
          <w:szCs w:val="28"/>
          <w:highlight w:val="none"/>
        </w:rPr>
      </w:pPr>
    </w:p>
    <w:p>
      <w:pPr>
        <w:spacing w:line="360" w:lineRule="auto"/>
        <w:ind w:firstLine="560" w:firstLineChars="200"/>
        <w:jc w:val="center"/>
        <w:rPr>
          <w:rFonts w:hint="eastAsia" w:ascii="宋体" w:hAnsi="宋体" w:cs="MingLiU"/>
          <w:color w:val="auto"/>
          <w:kern w:val="0"/>
          <w:sz w:val="28"/>
          <w:szCs w:val="28"/>
          <w:highlight w:val="none"/>
        </w:rPr>
      </w:pPr>
    </w:p>
    <w:p>
      <w:pPr>
        <w:spacing w:line="360" w:lineRule="auto"/>
        <w:ind w:firstLine="560" w:firstLineChars="200"/>
        <w:jc w:val="center"/>
        <w:rPr>
          <w:rFonts w:hint="eastAsia" w:ascii="宋体" w:hAnsi="宋体" w:cs="MingLiU"/>
          <w:color w:val="auto"/>
          <w:kern w:val="0"/>
          <w:sz w:val="28"/>
          <w:szCs w:val="28"/>
          <w:highlight w:val="none"/>
        </w:rPr>
      </w:pPr>
    </w:p>
    <w:p>
      <w:pPr>
        <w:spacing w:line="360" w:lineRule="auto"/>
        <w:ind w:firstLine="560" w:firstLineChars="200"/>
        <w:jc w:val="center"/>
        <w:rPr>
          <w:rFonts w:ascii="宋体" w:hAnsi="宋体"/>
          <w:color w:val="auto"/>
          <w:sz w:val="32"/>
          <w:szCs w:val="32"/>
          <w:highlight w:val="none"/>
        </w:rPr>
      </w:pPr>
      <w:r>
        <w:rPr>
          <w:rFonts w:hint="eastAsia" w:ascii="宋体" w:hAnsi="宋体" w:cs="MingLiU"/>
          <w:color w:val="auto"/>
          <w:kern w:val="0"/>
          <w:sz w:val="28"/>
          <w:szCs w:val="28"/>
          <w:highlight w:val="none"/>
          <w:lang w:val="en-US" w:eastAsia="zh-CN"/>
        </w:rPr>
        <w:t>主要人员</w:t>
      </w:r>
      <w:r>
        <w:rPr>
          <w:rFonts w:hint="eastAsia" w:ascii="宋体" w:hAnsi="宋体" w:cs="MingLiU"/>
          <w:color w:val="auto"/>
          <w:kern w:val="0"/>
          <w:sz w:val="28"/>
          <w:szCs w:val="28"/>
          <w:highlight w:val="none"/>
        </w:rPr>
        <w:t>简历表</w:t>
      </w:r>
    </w:p>
    <w:tbl>
      <w:tblPr>
        <w:tblStyle w:val="46"/>
        <w:tblW w:w="89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195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1020"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195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1020"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1957"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7688" w:type="dxa"/>
            <w:gridSpan w:val="8"/>
            <w:vAlign w:val="center"/>
          </w:tcPr>
          <w:p>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8994" w:type="dxa"/>
            <w:gridSpan w:val="9"/>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135" w:type="dxa"/>
            <w:gridSpan w:val="2"/>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135"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135"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135"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135"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135"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135"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135"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135"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135"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135"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135"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135"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135" w:type="dxa"/>
            <w:gridSpan w:val="2"/>
            <w:vAlign w:val="center"/>
          </w:tcPr>
          <w:p>
            <w:pPr>
              <w:autoSpaceDE w:val="0"/>
              <w:autoSpaceDN w:val="0"/>
              <w:adjustRightInd w:val="0"/>
              <w:snapToGrid w:val="0"/>
              <w:jc w:val="center"/>
              <w:rPr>
                <w:rFonts w:ascii="宋体" w:hAnsi="宋体"/>
                <w:color w:val="auto"/>
                <w:kern w:val="0"/>
                <w:szCs w:val="21"/>
                <w:highlight w:val="none"/>
              </w:rPr>
            </w:pPr>
          </w:p>
        </w:tc>
      </w:tr>
    </w:tbl>
    <w:p>
      <w:pPr>
        <w:spacing w:line="360" w:lineRule="auto"/>
        <w:rPr>
          <w:rFonts w:ascii="宋体" w:hAnsi="宋体"/>
          <w:color w:val="auto"/>
          <w:highlight w:val="none"/>
        </w:rPr>
      </w:pPr>
      <w:bookmarkStart w:id="2216" w:name="_Toc224103515"/>
    </w:p>
    <w:bookmarkEnd w:id="2216"/>
    <w:p>
      <w:pPr>
        <w:pStyle w:val="5"/>
        <w:spacing w:before="0" w:line="360" w:lineRule="auto"/>
        <w:jc w:val="center"/>
        <w:rPr>
          <w:rFonts w:hint="eastAsia" w:ascii="宋体" w:hAnsi="宋体"/>
          <w:b w:val="0"/>
          <w:color w:val="auto"/>
          <w:highlight w:val="none"/>
        </w:rPr>
      </w:pPr>
      <w:bookmarkStart w:id="2217" w:name="_Toc277082663"/>
      <w:bookmarkStart w:id="2218" w:name="_Toc287620839"/>
      <w:bookmarkStart w:id="2219" w:name="_Toc430530552"/>
      <w:bookmarkStart w:id="2220" w:name="_Toc224103520"/>
      <w:bookmarkStart w:id="2221" w:name="_Toc27983331"/>
      <w:bookmarkStart w:id="2222" w:name="_Toc534185843"/>
      <w:bookmarkStart w:id="2223" w:name="_Toc287607893"/>
      <w:bookmarkStart w:id="2224" w:name="_Toc509218866"/>
      <w:bookmarkStart w:id="2225" w:name="_Toc19228"/>
      <w:bookmarkStart w:id="2226" w:name="_Toc24712"/>
      <w:r>
        <w:rPr>
          <w:rFonts w:ascii="宋体" w:hAnsi="宋体"/>
          <w:b w:val="0"/>
          <w:color w:val="auto"/>
          <w:highlight w:val="none"/>
        </w:rPr>
        <w:t>（</w:t>
      </w:r>
      <w:r>
        <w:rPr>
          <w:rFonts w:hint="eastAsia" w:ascii="宋体" w:hAnsi="宋体"/>
          <w:b w:val="0"/>
          <w:color w:val="auto"/>
          <w:highlight w:val="none"/>
          <w:lang w:val="en-US" w:eastAsia="zh-CN"/>
        </w:rPr>
        <w:t>四</w:t>
      </w:r>
      <w:r>
        <w:rPr>
          <w:rFonts w:ascii="宋体" w:hAnsi="宋体"/>
          <w:b w:val="0"/>
          <w:color w:val="auto"/>
          <w:highlight w:val="none"/>
        </w:rPr>
        <w:t>）</w:t>
      </w:r>
      <w:bookmarkEnd w:id="2217"/>
      <w:bookmarkEnd w:id="2218"/>
      <w:bookmarkEnd w:id="2219"/>
      <w:bookmarkEnd w:id="2220"/>
      <w:bookmarkEnd w:id="2221"/>
      <w:bookmarkEnd w:id="2222"/>
      <w:bookmarkEnd w:id="2223"/>
      <w:bookmarkEnd w:id="2224"/>
      <w:r>
        <w:rPr>
          <w:rFonts w:hint="eastAsia" w:ascii="宋体" w:hAnsi="宋体"/>
          <w:b w:val="0"/>
          <w:color w:val="auto"/>
          <w:highlight w:val="none"/>
        </w:rPr>
        <w:t>承诺</w:t>
      </w:r>
      <w:bookmarkEnd w:id="2225"/>
      <w:bookmarkEnd w:id="2226"/>
    </w:p>
    <w:p>
      <w:pPr>
        <w:keepNext w:val="0"/>
        <w:keepLines w:val="0"/>
        <w:pageBreakBefore w:val="0"/>
        <w:widowControl w:val="0"/>
        <w:kinsoku/>
        <w:wordWrap/>
        <w:overflowPunct/>
        <w:topLinePunct w:val="0"/>
        <w:bidi w:val="0"/>
        <w:snapToGrid w:val="0"/>
        <w:spacing w:line="380" w:lineRule="exact"/>
        <w:textAlignment w:val="auto"/>
        <w:rPr>
          <w:rFonts w:hint="eastAsia"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比选人</w:t>
      </w:r>
      <w:r>
        <w:rPr>
          <w:rFonts w:hint="eastAsia" w:ascii="宋体" w:hAnsi="宋体"/>
          <w:color w:val="auto"/>
          <w:szCs w:val="21"/>
          <w:highlight w:val="none"/>
          <w:u w:val="single"/>
        </w:rPr>
        <w:t>名称）</w:t>
      </w:r>
      <w:r>
        <w:rPr>
          <w:rFonts w:hint="eastAsia" w:ascii="宋体" w:hAnsi="宋体"/>
          <w:color w:val="auto"/>
          <w:szCs w:val="21"/>
          <w:highlight w:val="none"/>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highlight w:val="none"/>
          <w:lang w:eastAsia="zh-CN"/>
        </w:rPr>
        <w:t>市级有关行业</w:t>
      </w:r>
      <w:r>
        <w:rPr>
          <w:rFonts w:hint="eastAsia" w:ascii="宋体" w:hAnsi="宋体"/>
          <w:color w:val="auto"/>
          <w:szCs w:val="21"/>
          <w:highlight w:val="none"/>
        </w:rPr>
        <w:t>主管部门暂停在渝承揽新业务且在暂停期内。</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2、我公司拟派的项目经理按注册建造师的相关规定到岗履职和未被禁止参与投标。</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2.2拟派的项目经理未被重庆市</w:t>
      </w:r>
      <w:r>
        <w:rPr>
          <w:rFonts w:hint="eastAsia" w:ascii="宋体" w:hAnsi="宋体"/>
          <w:color w:val="auto"/>
          <w:szCs w:val="21"/>
          <w:highlight w:val="none"/>
          <w:lang w:val="en-US" w:eastAsia="zh-CN"/>
        </w:rPr>
        <w:t>市级有关行业</w:t>
      </w:r>
      <w:r>
        <w:rPr>
          <w:rFonts w:hint="eastAsia" w:ascii="宋体" w:hAnsi="宋体"/>
          <w:color w:val="auto"/>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2.3为保证我公司拟派的项目经理到本项目到岗履职，我公司还承诺：</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rPr>
        <w:t xml:space="preserve"> 14 </w:t>
      </w:r>
      <w:r>
        <w:rPr>
          <w:rFonts w:hint="eastAsia" w:ascii="宋体" w:hAnsi="宋体"/>
          <w:color w:val="auto"/>
          <w:szCs w:val="21"/>
          <w:highlight w:val="none"/>
        </w:rPr>
        <w:t>日</w:t>
      </w:r>
      <w:r>
        <w:rPr>
          <w:rFonts w:hint="eastAsia" w:ascii="宋体" w:hAnsi="宋体"/>
          <w:i/>
          <w:iCs/>
          <w:color w:val="auto"/>
          <w:szCs w:val="21"/>
          <w:highlight w:val="none"/>
          <w:lang w:val="en-US" w:eastAsia="zh-CN"/>
        </w:rPr>
        <w:t>[提示：</w:t>
      </w:r>
      <w:r>
        <w:rPr>
          <w:rFonts w:hint="eastAsia" w:ascii="宋体" w:hAnsi="宋体"/>
          <w:i/>
          <w:iCs/>
          <w:color w:val="auto"/>
          <w:szCs w:val="21"/>
          <w:highlight w:val="none"/>
        </w:rPr>
        <w:t>7～30日</w:t>
      </w:r>
      <w:r>
        <w:rPr>
          <w:rFonts w:hint="eastAsia" w:ascii="宋体" w:hAnsi="宋体"/>
          <w:i/>
          <w:iCs/>
          <w:color w:val="auto"/>
          <w:szCs w:val="21"/>
          <w:highlight w:val="none"/>
          <w:lang w:val="en-US" w:eastAsia="zh-CN"/>
        </w:rPr>
        <w:t>]</w:t>
      </w:r>
      <w:r>
        <w:rPr>
          <w:rFonts w:hint="eastAsia" w:ascii="宋体" w:hAnsi="宋体"/>
          <w:color w:val="auto"/>
          <w:szCs w:val="21"/>
          <w:highlight w:val="none"/>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若我公司拟派项目经理放弃在其他项目中标或拟中标的将提供：①经中标或拟中标的其他项目建设单位同意的放弃中标函。</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eastAsia="zh-CN"/>
        </w:rPr>
        <w:t>贵单位</w:t>
      </w:r>
      <w:r>
        <w:rPr>
          <w:rFonts w:hint="eastAsia" w:ascii="宋体" w:hAnsi="宋体"/>
          <w:color w:val="auto"/>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highlight w:val="none"/>
          <w:lang w:eastAsia="zh-CN"/>
        </w:rPr>
        <w:t>贵单位</w:t>
      </w:r>
      <w:r>
        <w:rPr>
          <w:rFonts w:hint="eastAsia" w:ascii="宋体" w:hAnsi="宋体"/>
          <w:color w:val="auto"/>
          <w:szCs w:val="21"/>
          <w:highlight w:val="none"/>
        </w:rPr>
        <w:t>造成损失的，我公司依法承担违约赔偿责任。</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4、我公司在资格审查部分中提供的相关证明材料真实有效，不存在弄虚作假情形。</w:t>
      </w:r>
      <w:r>
        <w:rPr>
          <w:rFonts w:hint="eastAsia" w:ascii="宋体" w:hAnsi="宋体"/>
          <w:color w:val="auto"/>
          <w:szCs w:val="21"/>
          <w:highlight w:val="none"/>
          <w:u w:val="single"/>
          <w:lang w:eastAsia="zh-CN"/>
        </w:rPr>
        <w:t>贵单位</w:t>
      </w:r>
      <w:r>
        <w:rPr>
          <w:rFonts w:hint="eastAsia" w:ascii="宋体" w:hAnsi="宋体"/>
          <w:color w:val="auto"/>
          <w:szCs w:val="21"/>
          <w:highlight w:val="none"/>
          <w:u w:val="single"/>
        </w:rPr>
        <w:t>在合同签订前均有权对我</w:t>
      </w:r>
      <w:r>
        <w:rPr>
          <w:rFonts w:hint="eastAsia" w:ascii="宋体" w:hAnsi="宋体"/>
          <w:color w:val="auto"/>
          <w:szCs w:val="21"/>
          <w:highlight w:val="none"/>
          <w:u w:val="single"/>
          <w:lang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eastAsia="zh-CN"/>
        </w:rPr>
        <w:t>我公司</w:t>
      </w:r>
      <w:r>
        <w:rPr>
          <w:rFonts w:hint="eastAsia" w:ascii="宋体" w:hAnsi="宋体"/>
          <w:color w:val="auto"/>
          <w:szCs w:val="21"/>
          <w:highlight w:val="none"/>
          <w:u w:val="single"/>
        </w:rPr>
        <w:t>中标资格，并按相关法律法规报招标投标监督部门，投标保证金不予退还，我</w:t>
      </w:r>
      <w:r>
        <w:rPr>
          <w:rFonts w:hint="eastAsia" w:ascii="宋体" w:hAnsi="宋体"/>
          <w:color w:val="auto"/>
          <w:szCs w:val="21"/>
          <w:highlight w:val="none"/>
          <w:u w:val="single"/>
          <w:lang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5、我公司不存在第二章 投标人须知第 1.4.3 项规定的任何一种情形。</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6、我公司的投标文件符合第二章 投标人须知第 1.3.1 项的规定。</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7、我公司的投标文件符合第四章 合同条款及格式规定，投标文件中没有</w:t>
      </w:r>
      <w:r>
        <w:rPr>
          <w:rFonts w:hint="eastAsia" w:ascii="宋体" w:hAnsi="宋体"/>
          <w:color w:val="auto"/>
          <w:szCs w:val="21"/>
          <w:highlight w:val="none"/>
          <w:lang w:eastAsia="zh-CN"/>
        </w:rPr>
        <w:t>贵单位</w:t>
      </w:r>
      <w:r>
        <w:rPr>
          <w:rFonts w:hint="eastAsia" w:ascii="宋体" w:hAnsi="宋体"/>
          <w:color w:val="auto"/>
          <w:szCs w:val="21"/>
          <w:highlight w:val="none"/>
        </w:rPr>
        <w:t>不能接受的条件。</w:t>
      </w:r>
    </w:p>
    <w:p>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8、我公司的投标文件符合第七章 技术标准和要求（如有）。</w:t>
      </w:r>
    </w:p>
    <w:p>
      <w:pPr>
        <w:snapToGrid w:val="0"/>
        <w:spacing w:line="3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9、我公司接受招标文件中关于“不平衡报价”的相关约定（如有）。</w:t>
      </w:r>
    </w:p>
    <w:p>
      <w:pPr>
        <w:snapToGrid w:val="0"/>
        <w:spacing w:line="38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10、我公司接受招标文件中关于“不允许负数报价”的相关要求（如有）。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default" w:ascii="宋体" w:hAnsi="宋体"/>
          <w:color w:val="auto"/>
          <w:szCs w:val="21"/>
          <w:highlight w:val="none"/>
          <w:lang w:val="en-US"/>
        </w:rPr>
      </w:pP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p>
    <w:p>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38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keepNext w:val="0"/>
        <w:keepLines w:val="0"/>
        <w:pageBreakBefore w:val="0"/>
        <w:widowControl w:val="0"/>
        <w:tabs>
          <w:tab w:val="left" w:pos="6300"/>
        </w:tabs>
        <w:kinsoku/>
        <w:wordWrap/>
        <w:overflowPunct/>
        <w:topLinePunct w:val="0"/>
        <w:autoSpaceDE w:val="0"/>
        <w:autoSpaceDN w:val="0"/>
        <w:bidi w:val="0"/>
        <w:adjustRightInd w:val="0"/>
        <w:snapToGrid w:val="0"/>
        <w:spacing w:line="380" w:lineRule="exact"/>
        <w:ind w:firstLine="420" w:firstLineChars="200"/>
        <w:jc w:val="left"/>
        <w:textAlignment w:val="auto"/>
        <w:rPr>
          <w:rFonts w:hint="eastAsia"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或盖章）</w:t>
      </w:r>
    </w:p>
    <w:p>
      <w:pPr>
        <w:keepNext w:val="0"/>
        <w:keepLines w:val="0"/>
        <w:pageBreakBefore w:val="0"/>
        <w:widowControl w:val="0"/>
        <w:kinsoku/>
        <w:wordWrap/>
        <w:overflowPunct/>
        <w:topLinePunct w:val="0"/>
        <w:bidi w:val="0"/>
        <w:snapToGrid w:val="0"/>
        <w:spacing w:line="380" w:lineRule="exact"/>
        <w:ind w:firstLine="420" w:firstLineChars="200"/>
        <w:jc w:val="right"/>
        <w:textAlignment w:val="auto"/>
        <w:rPr>
          <w:rFonts w:hint="eastAsia" w:ascii="宋体" w:hAnsi="宋体"/>
          <w:color w:val="auto"/>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rPr>
          <w:rFonts w:hint="eastAsia"/>
          <w:color w:val="auto"/>
          <w:highlight w:val="none"/>
        </w:rPr>
      </w:pPr>
    </w:p>
    <w:p>
      <w:pPr>
        <w:rPr>
          <w:rFonts w:hint="eastAsia"/>
          <w:color w:val="auto"/>
          <w:highlight w:val="none"/>
        </w:rPr>
      </w:pPr>
    </w:p>
    <w:p>
      <w:pPr>
        <w:pStyle w:val="5"/>
        <w:spacing w:before="0" w:line="360" w:lineRule="auto"/>
        <w:jc w:val="center"/>
        <w:rPr>
          <w:rFonts w:hint="eastAsia" w:ascii="宋体" w:hAnsi="宋体"/>
          <w:b w:val="0"/>
          <w:color w:val="auto"/>
          <w:highlight w:val="none"/>
        </w:rPr>
      </w:pPr>
      <w:bookmarkStart w:id="2227" w:name="_Toc27983333"/>
      <w:r>
        <w:rPr>
          <w:rFonts w:ascii="宋体" w:hAnsi="宋体"/>
          <w:b w:val="0"/>
          <w:bCs w:val="0"/>
          <w:color w:val="auto"/>
          <w:sz w:val="21"/>
          <w:szCs w:val="24"/>
          <w:highlight w:val="none"/>
        </w:rPr>
        <w:br w:type="page"/>
      </w:r>
      <w:bookmarkStart w:id="2228" w:name="_Toc16171"/>
      <w:bookmarkStart w:id="2229" w:name="_Toc6666"/>
      <w:r>
        <w:rPr>
          <w:rFonts w:hint="eastAsia" w:ascii="宋体" w:hAnsi="宋体"/>
          <w:b w:val="0"/>
          <w:color w:val="auto"/>
          <w:highlight w:val="none"/>
        </w:rPr>
        <w:t>（</w:t>
      </w:r>
      <w:r>
        <w:rPr>
          <w:rFonts w:hint="eastAsia" w:ascii="宋体" w:hAnsi="宋体"/>
          <w:b w:val="0"/>
          <w:color w:val="auto"/>
          <w:highlight w:val="none"/>
          <w:lang w:val="en-US" w:eastAsia="zh-CN"/>
        </w:rPr>
        <w:t>五</w:t>
      </w:r>
      <w:r>
        <w:rPr>
          <w:rFonts w:hint="eastAsia" w:ascii="宋体" w:hAnsi="宋体"/>
          <w:b w:val="0"/>
          <w:color w:val="auto"/>
          <w:highlight w:val="none"/>
        </w:rPr>
        <w:t>）其他资料</w:t>
      </w:r>
      <w:bookmarkEnd w:id="2227"/>
      <w:bookmarkEnd w:id="2228"/>
      <w:bookmarkEnd w:id="2229"/>
    </w:p>
    <w:p>
      <w:pPr>
        <w:pStyle w:val="2"/>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投标保证金</w:t>
      </w:r>
    </w:p>
    <w:p>
      <w:pPr>
        <w:pStyle w:val="2"/>
        <w:ind w:firstLine="420" w:firstLineChars="200"/>
        <w:rPr>
          <w:rFonts w:hint="eastAsia" w:ascii="宋体" w:hAnsi="宋体"/>
          <w:i/>
          <w:color w:val="auto"/>
          <w:szCs w:val="21"/>
          <w:highlight w:val="none"/>
        </w:rPr>
      </w:pPr>
      <w:r>
        <w:rPr>
          <w:rFonts w:hint="eastAsia" w:ascii="宋体" w:hAnsi="宋体"/>
          <w:i/>
          <w:color w:val="auto"/>
          <w:szCs w:val="21"/>
          <w:highlight w:val="none"/>
        </w:rPr>
        <w:t>[提示：以转账支票或电汇形式交纳投标保证金的提供以下资料]</w:t>
      </w:r>
    </w:p>
    <w:p>
      <w:pPr>
        <w:pStyle w:val="2"/>
        <w:ind w:firstLine="420" w:firstLineChars="200"/>
        <w:rPr>
          <w:rFonts w:hint="eastAsia" w:ascii="宋体" w:hAnsi="宋体"/>
          <w:color w:val="auto"/>
          <w:szCs w:val="21"/>
          <w:highlight w:val="none"/>
        </w:rPr>
      </w:pPr>
      <w:r>
        <w:rPr>
          <w:rFonts w:hint="eastAsia" w:ascii="宋体" w:hAnsi="宋体"/>
          <w:color w:val="auto"/>
          <w:szCs w:val="21"/>
          <w:highlight w:val="none"/>
        </w:rPr>
        <w:t>（1）企业基本账户开户证明文件。</w:t>
      </w:r>
    </w:p>
    <w:p>
      <w:pPr>
        <w:spacing w:line="240" w:lineRule="auto"/>
        <w:ind w:firstLine="0" w:firstLineChars="0"/>
        <w:rPr>
          <w:rFonts w:hint="eastAsia" w:ascii="宋体" w:hAnsi="宋体"/>
          <w:color w:val="auto"/>
          <w:szCs w:val="21"/>
          <w:highlight w:val="none"/>
        </w:rPr>
      </w:pPr>
      <w:r>
        <w:rPr>
          <w:rFonts w:hint="eastAsia" w:ascii="宋体" w:hAnsi="宋体"/>
          <w:color w:val="auto"/>
          <w:szCs w:val="21"/>
          <w:highlight w:val="none"/>
        </w:rPr>
        <w:br w:type="page"/>
      </w:r>
    </w:p>
    <w:p>
      <w:pPr>
        <w:spacing w:line="240" w:lineRule="auto"/>
        <w:ind w:firstLine="0" w:firstLineChars="0"/>
        <w:jc w:val="right"/>
        <w:rPr>
          <w:rFonts w:hint="eastAsia" w:ascii="宋体" w:hAnsi="宋体"/>
          <w:color w:val="auto"/>
          <w:szCs w:val="21"/>
          <w:highlight w:val="none"/>
          <w:lang w:val="en-US" w:eastAsia="zh-CN"/>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 纸质</w:t>
      </w:r>
      <w:r>
        <w:rPr>
          <w:rFonts w:hint="eastAsia" w:ascii="宋体" w:hAnsi="宋体"/>
          <w:color w:val="auto"/>
          <w:szCs w:val="21"/>
          <w:highlight w:val="none"/>
          <w:lang w:val="en-US" w:eastAsia="zh-CN"/>
        </w:rPr>
        <w:t>投标</w:t>
      </w:r>
      <w:r>
        <w:rPr>
          <w:rFonts w:hint="eastAsia" w:ascii="宋体" w:hAnsi="宋体"/>
          <w:color w:val="auto"/>
          <w:szCs w:val="21"/>
          <w:highlight w:val="none"/>
        </w:rPr>
        <w:t>保函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u w:val="single"/>
        </w:rPr>
      </w:pP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r>
        <w:rPr>
          <w:rFonts w:hint="eastAsia" w:ascii="宋体" w:hAnsi="宋体" w:eastAsia="宋体" w:cs="宋体"/>
          <w:color w:val="auto"/>
          <w:kern w:val="2"/>
          <w:sz w:val="21"/>
          <w:szCs w:val="21"/>
          <w:highlight w:val="none"/>
          <w:lang w:eastAsia="zh-CN"/>
        </w:rPr>
        <w:t>：</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我方（即“开立人”）已获得通知，本保函申请人（即“投标人”）已响应贵方于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spacing w:val="-6"/>
          <w:kern w:val="0"/>
          <w:sz w:val="21"/>
          <w:szCs w:val="21"/>
          <w:highlight w:val="none"/>
          <w:lang w:val="en-US" w:eastAsia="zh-CN" w:bidi="ar-SA"/>
        </w:rPr>
        <w:t>就</w:t>
      </w:r>
      <w:r>
        <w:rPr>
          <w:rFonts w:hint="eastAsia" w:ascii="宋体" w:hAnsi="宋体" w:eastAsia="宋体" w:cs="宋体"/>
          <w:color w:val="auto"/>
          <w:spacing w:val="-6"/>
          <w:kern w:val="0"/>
          <w:sz w:val="21"/>
          <w:szCs w:val="21"/>
          <w:highlight w:val="none"/>
          <w:u w:val="single"/>
          <w:lang w:val="en-US" w:eastAsia="zh-CN" w:bidi="ar-SA"/>
        </w:rPr>
        <w:t xml:space="preserve">                   </w:t>
      </w:r>
      <w:r>
        <w:rPr>
          <w:rFonts w:hint="eastAsia" w:ascii="宋体" w:hAnsi="宋体" w:eastAsia="宋体" w:cs="宋体"/>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元（¥</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二、我方在投标人发生以下情形时承担保证担保责任：</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（1）投标人在开标后至投标有效期满之前撤销投标的； </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（2）投标人在收到中标通知后，不能或拒绝在中标通知书规定的时间内与贵方签订合同； </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（3）投标人在与贵方签订合同前，未在规定的时间内提交符合招标文件要求的履约担保；</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（4）投标人违反招标文件规定的其他情形。</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三、本保函为不可撤销、不可转让的见索即付保函。本保函有效期自开立之日起至投标有效期届满之日后的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止（提示：建议</w:t>
      </w:r>
      <w:r>
        <w:rPr>
          <w:rFonts w:hint="eastAsia" w:ascii="宋体" w:hAnsi="宋体" w:eastAsia="宋体" w:cs="宋体"/>
          <w:color w:val="auto"/>
          <w:kern w:val="2"/>
          <w:sz w:val="21"/>
          <w:szCs w:val="21"/>
          <w:highlight w:val="none"/>
          <w:lang w:val="en-US" w:eastAsia="zh-CN"/>
        </w:rPr>
        <w:t>30日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。投标有效期延长的，本保函有效期相应顺延，最迟不超过</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（提示：建议按保函有效期不超过</w:t>
      </w:r>
      <w:r>
        <w:rPr>
          <w:rFonts w:hint="eastAsia" w:ascii="宋体" w:hAnsi="宋体" w:eastAsia="宋体" w:cs="宋体"/>
          <w:color w:val="auto"/>
          <w:kern w:val="2"/>
          <w:sz w:val="21"/>
          <w:szCs w:val="21"/>
          <w:highlight w:val="none"/>
          <w:lang w:val="en-US" w:eastAsia="zh-CN"/>
        </w:rPr>
        <w:t>270日考虑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四、</w:t>
      </w:r>
      <w:r>
        <w:rPr>
          <w:rFonts w:hint="eastAsia" w:ascii="宋体" w:hAnsi="宋体" w:eastAsia="宋体" w:cs="宋体"/>
          <w:color w:val="auto"/>
          <w:kern w:val="2"/>
          <w:sz w:val="21"/>
          <w:szCs w:val="21"/>
          <w:highlight w:val="none"/>
        </w:rPr>
        <w:t>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个工作</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w:t>
      </w:r>
      <w:r>
        <w:rPr>
          <w:rFonts w:hint="eastAsia" w:ascii="宋体" w:hAnsi="宋体" w:eastAsia="宋体" w:cs="宋体"/>
          <w:color w:val="auto"/>
          <w:kern w:val="2"/>
          <w:sz w:val="21"/>
          <w:szCs w:val="21"/>
          <w:highlight w:val="none"/>
          <w:lang w:val="en-US" w:eastAsia="zh-CN"/>
        </w:rPr>
        <w:t>10—15个工作日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内无条件支付，前述书面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（3）载明申请人违反招投标文件规定的义务内容和具体条款；</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（4）声明不存在招标文件规定免除申请人或我方支付责任的情形；</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lang w:val="en-US" w:eastAsia="zh-CN"/>
        </w:rPr>
        <w:t>5</w:t>
      </w:r>
      <w:r>
        <w:rPr>
          <w:rFonts w:hint="eastAsia" w:ascii="宋体" w:hAnsi="宋体" w:eastAsia="宋体" w:cs="宋体"/>
          <w:color w:val="auto"/>
          <w:spacing w:val="0"/>
          <w:kern w:val="2"/>
          <w:sz w:val="21"/>
          <w:szCs w:val="21"/>
          <w:highlight w:val="none"/>
          <w:lang w:eastAsia="zh-CN"/>
        </w:rPr>
        <w:t>）索赔</w:t>
      </w:r>
      <w:r>
        <w:rPr>
          <w:rFonts w:hint="eastAsia" w:ascii="宋体" w:hAnsi="宋体" w:eastAsia="宋体" w:cs="宋体"/>
          <w:color w:val="auto"/>
          <w:spacing w:val="0"/>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受益人发出的书面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通知应由其为鉴明受益人法定代表人或授权代理人签</w:t>
      </w:r>
      <w:r>
        <w:rPr>
          <w:rFonts w:hint="eastAsia" w:ascii="宋体" w:hAnsi="宋体" w:eastAsia="宋体" w:cs="宋体"/>
          <w:color w:val="auto"/>
          <w:kern w:val="2"/>
          <w:sz w:val="21"/>
          <w:szCs w:val="21"/>
          <w:highlight w:val="none"/>
          <w:lang w:eastAsia="zh-CN"/>
        </w:rPr>
        <w:t>名</w:t>
      </w:r>
      <w:r>
        <w:rPr>
          <w:rFonts w:hint="eastAsia" w:ascii="宋体" w:hAnsi="宋体" w:eastAsia="宋体" w:cs="宋体"/>
          <w:color w:val="auto"/>
          <w:kern w:val="2"/>
          <w:sz w:val="21"/>
          <w:szCs w:val="21"/>
          <w:highlight w:val="none"/>
        </w:rPr>
        <w:t>并加盖公章。</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w:t>
      </w:r>
      <w:r>
        <w:rPr>
          <w:rFonts w:hint="eastAsia" w:ascii="宋体" w:hAnsi="宋体" w:eastAsia="宋体" w:cs="宋体"/>
          <w:color w:val="auto"/>
          <w:kern w:val="2"/>
          <w:sz w:val="21"/>
          <w:szCs w:val="21"/>
          <w:highlight w:val="none"/>
          <w:lang w:eastAsia="zh-CN"/>
        </w:rPr>
        <w:t>贵方</w:t>
      </w:r>
      <w:r>
        <w:rPr>
          <w:rFonts w:hint="eastAsia" w:ascii="宋体" w:hAnsi="宋体" w:eastAsia="宋体" w:cs="宋体"/>
          <w:color w:val="auto"/>
          <w:kern w:val="2"/>
          <w:sz w:val="21"/>
          <w:szCs w:val="21"/>
          <w:highlight w:val="none"/>
        </w:rPr>
        <w:t>未经我方书面同意转让本保函或其项下任何权利，对我方不发生法律效力。</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六、本保函项下的基础交易不成立、不生效、无效、被撤销、被解除，不影响本保函的独立有效。 </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七、受益人应在本保函到期后的</w:t>
      </w:r>
      <w:r>
        <w:rPr>
          <w:rFonts w:hint="eastAsia" w:ascii="宋体" w:hAnsi="宋体" w:eastAsia="宋体" w:cs="宋体"/>
          <w:color w:val="auto"/>
          <w:kern w:val="2"/>
          <w:sz w:val="21"/>
          <w:szCs w:val="21"/>
          <w:highlight w:val="none"/>
          <w:lang w:val="en-US" w:eastAsia="zh-CN"/>
        </w:rPr>
        <w:t>七</w:t>
      </w:r>
      <w:r>
        <w:rPr>
          <w:rFonts w:hint="eastAsia" w:ascii="宋体" w:hAnsi="宋体" w:eastAsia="宋体" w:cs="宋体"/>
          <w:color w:val="auto"/>
          <w:kern w:val="2"/>
          <w:sz w:val="21"/>
          <w:szCs w:val="21"/>
          <w:highlight w:val="none"/>
          <w:lang w:eastAsia="zh-CN"/>
        </w:rPr>
        <w:t>个工作</w:t>
      </w:r>
      <w:r>
        <w:rPr>
          <w:rFonts w:hint="eastAsia" w:ascii="宋体" w:hAnsi="宋体" w:eastAsia="宋体" w:cs="宋体"/>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八、</w:t>
      </w:r>
      <w:r>
        <w:rPr>
          <w:rFonts w:hint="eastAsia" w:ascii="宋体" w:hAnsi="宋体" w:eastAsia="宋体" w:cs="宋体"/>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九、</w:t>
      </w:r>
      <w:r>
        <w:rPr>
          <w:rFonts w:hint="eastAsia" w:ascii="宋体" w:hAnsi="宋体" w:eastAsia="宋体" w:cs="宋体"/>
          <w:color w:val="auto"/>
          <w:kern w:val="2"/>
          <w:sz w:val="21"/>
          <w:szCs w:val="21"/>
          <w:highlight w:val="none"/>
        </w:rPr>
        <w:t>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十</w:t>
      </w:r>
      <w:r>
        <w:rPr>
          <w:rFonts w:hint="eastAsia" w:ascii="宋体" w:hAnsi="宋体" w:eastAsia="宋体" w:cs="宋体"/>
          <w:color w:val="auto"/>
          <w:kern w:val="2"/>
          <w:sz w:val="21"/>
          <w:szCs w:val="21"/>
          <w:highlight w:val="none"/>
        </w:rPr>
        <w:t>、本保函自我方法定代表人或授权代表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并加盖公章之日起生效。</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eastAsia="zh-CN"/>
        </w:rPr>
        <w:t>十一、本保函在重庆市辖区范围内的核验地点：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（公章）</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法定代表人（或授权</w:t>
      </w:r>
      <w:r>
        <w:rPr>
          <w:rFonts w:hint="eastAsia" w:ascii="宋体" w:hAnsi="宋体" w:eastAsia="宋体" w:cs="宋体"/>
          <w:color w:val="auto"/>
          <w:kern w:val="2"/>
          <w:sz w:val="21"/>
          <w:szCs w:val="21"/>
          <w:highlight w:val="none"/>
          <w:lang w:eastAsia="zh-CN"/>
        </w:rPr>
        <w:t>代表</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eastAsia="宋体" w:cs="宋体"/>
          <w:color w:val="auto"/>
          <w:kern w:val="2"/>
          <w:sz w:val="21"/>
          <w:szCs w:val="21"/>
          <w:highlight w:val="none"/>
        </w:rPr>
        <w:t xml:space="preserve">开立时间：    年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月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日</w:t>
      </w:r>
      <w:r>
        <w:rPr>
          <w:rFonts w:hint="eastAsia" w:ascii="宋体" w:hAnsi="宋体"/>
          <w:color w:val="auto"/>
          <w:szCs w:val="21"/>
          <w:highlight w:val="none"/>
        </w:rPr>
        <w:br w:type="page"/>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rPr>
      </w:pPr>
    </w:p>
    <w:sectPr>
      <w:pgSz w:w="11906" w:h="16838"/>
      <w:pgMar w:top="1304" w:right="1134" w:bottom="1304" w:left="1304"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E5B426-3CA1-4EC6-946A-A708F01DFEA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书宋简体">
    <w:altName w:val="宋体"/>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0010101010101"/>
    <w:charset w:val="86"/>
    <w:family w:val="script"/>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embedRegular r:id="rId2" w:fontKey="{BEA3F29F-9AE8-42E6-A7B5-086196B4725E}"/>
  </w:font>
  <w:font w:name="Wingdings 2">
    <w:panose1 w:val="05020102010507070707"/>
    <w:charset w:val="02"/>
    <w:family w:val="roman"/>
    <w:pitch w:val="default"/>
    <w:sig w:usb0="00000000" w:usb1="00000000" w:usb2="00000000" w:usb3="00000000" w:csb0="80000000" w:csb1="00000000"/>
    <w:embedRegular r:id="rId3" w:fontKey="{ADEC85A8-424C-4E79-9F00-4DF4A547B2B2}"/>
  </w:font>
  <w:font w:name="Microsoft Sans Serif">
    <w:panose1 w:val="020B0604020202020204"/>
    <w:charset w:val="00"/>
    <w:family w:val="swiss"/>
    <w:pitch w:val="default"/>
    <w:sig w:usb0="E5002EFF" w:usb1="C000605B" w:usb2="00000029" w:usb3="00000000" w:csb0="200101FF" w:csb1="20280000"/>
    <w:embedRegular r:id="rId4" w:fontKey="{395EC810-BADE-4B48-BA21-83548A55A8D3}"/>
  </w:font>
  <w:font w:name="方正仿宋_GBK">
    <w:panose1 w:val="02000000000000000000"/>
    <w:charset w:val="86"/>
    <w:family w:val="auto"/>
    <w:pitch w:val="default"/>
    <w:sig w:usb0="A00002BF" w:usb1="38CF7CFA" w:usb2="00082016" w:usb3="00000000" w:csb0="00040001" w:csb1="00000000"/>
    <w:embedRegular r:id="rId5" w:fontKey="{5AD44382-7806-4F6C-BDCD-FC8243D84595}"/>
  </w:font>
  <w:font w:name="方正小标宋_GBK">
    <w:altName w:val="微软雅黑"/>
    <w:panose1 w:val="03000509000000000000"/>
    <w:charset w:val="86"/>
    <w:family w:val="auto"/>
    <w:pitch w:val="default"/>
    <w:sig w:usb0="00000000" w:usb1="00000000" w:usb2="00000000" w:usb3="00000000" w:csb0="00040000" w:csb1="00000000"/>
    <w:embedRegular r:id="rId6" w:fontKey="{1E23D4DD-A8CF-4120-AA78-4A63971839EE}"/>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- 2 -</w:t>
    </w:r>
    <w: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20</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4"/>
      </w:tabs>
      <w:spacing w:line="183" w:lineRule="auto"/>
      <w:rPr>
        <w:rFonts w:ascii="宋体" w:hAnsi="宋体" w:eastAsia="宋体" w:cs="宋体"/>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My/XLYAQAAsQ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zL9ctgBAACxAwAADgAAAAAAAAAB&#10;ACAAAAAiAQAAZHJzL2Uyb0RvYy54bWxQSwUGAAAAAAYABgBZAQAAbAUAAAAA&#10;">
              <v:fill on="f" focussize="0,0"/>
              <v:stroke on="f" weight="1.2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9"/>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DDS/3YAQAAsQ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MMNL/dgBAACxAwAADgAAAAAAAAAB&#10;ACAAAAAiAQAAZHJzL2Uyb0RvYy54bWxQSwUGAAAAAAYABgBZAQAAbAUAAAAA&#10;">
              <v:fill on="f" focussize="0,0"/>
              <v:stroke on="f" weight="1.2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71"/>
      <w:rPr>
        <w:rFonts w:ascii="宋体" w:hAnsi="宋体" w:eastAsia="宋体" w:cs="宋体"/>
        <w:sz w:val="16"/>
        <w:szCs w:val="16"/>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9"/>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4"/>
        <w:ind w:firstLine="360" w:firstLineChars="200"/>
        <w:rPr>
          <w:rFonts w:ascii="Times New Roman" w:hAnsi="Times New Roman" w:cs="Times New Roman"/>
          <w:lang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6A97A"/>
    <w:multiLevelType w:val="singleLevel"/>
    <w:tmpl w:val="A956A97A"/>
    <w:lvl w:ilvl="0" w:tentative="0">
      <w:start w:val="5"/>
      <w:numFmt w:val="chineseCounting"/>
      <w:suff w:val="space"/>
      <w:lvlText w:val="第%1章"/>
      <w:lvlJc w:val="left"/>
      <w:rPr>
        <w:rFonts w:hint="eastAsia"/>
      </w:rPr>
    </w:lvl>
  </w:abstractNum>
  <w:abstractNum w:abstractNumId="1">
    <w:nsid w:val="B9F8C5E1"/>
    <w:multiLevelType w:val="singleLevel"/>
    <w:tmpl w:val="B9F8C5E1"/>
    <w:lvl w:ilvl="0" w:tentative="0">
      <w:start w:val="1"/>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61027DAC"/>
    <w:multiLevelType w:val="singleLevel"/>
    <w:tmpl w:val="61027DAC"/>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mirrorMargins w:val="1"/>
  <w:bordersDoNotSurroundHeader w:val="0"/>
  <w:bordersDoNotSurroundFooter w:val="0"/>
  <w:hideSpellingErrors/>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172A27"/>
    <w:rsid w:val="00001345"/>
    <w:rsid w:val="00001A09"/>
    <w:rsid w:val="00001B1E"/>
    <w:rsid w:val="000027C8"/>
    <w:rsid w:val="0000285A"/>
    <w:rsid w:val="00002D86"/>
    <w:rsid w:val="00003A3F"/>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C7B15"/>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3290"/>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3A89"/>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7710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648B"/>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CAB"/>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6695"/>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2B4D"/>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774A"/>
    <w:rsid w:val="013E2FDB"/>
    <w:rsid w:val="0164104B"/>
    <w:rsid w:val="01DC4212"/>
    <w:rsid w:val="01E22EEF"/>
    <w:rsid w:val="02094019"/>
    <w:rsid w:val="02180C4F"/>
    <w:rsid w:val="024876E8"/>
    <w:rsid w:val="025A3D10"/>
    <w:rsid w:val="02E0504F"/>
    <w:rsid w:val="02E97045"/>
    <w:rsid w:val="02FB6E41"/>
    <w:rsid w:val="032C1F09"/>
    <w:rsid w:val="035A3286"/>
    <w:rsid w:val="03B64756"/>
    <w:rsid w:val="03FB06D5"/>
    <w:rsid w:val="0469325E"/>
    <w:rsid w:val="047A1299"/>
    <w:rsid w:val="047B14FB"/>
    <w:rsid w:val="048B07CE"/>
    <w:rsid w:val="04B33CE6"/>
    <w:rsid w:val="04BC223F"/>
    <w:rsid w:val="04D12E16"/>
    <w:rsid w:val="04E15217"/>
    <w:rsid w:val="04E83035"/>
    <w:rsid w:val="04FD01C0"/>
    <w:rsid w:val="055E0BF4"/>
    <w:rsid w:val="05A6640A"/>
    <w:rsid w:val="05D47115"/>
    <w:rsid w:val="06AB62C8"/>
    <w:rsid w:val="06C73992"/>
    <w:rsid w:val="073A04FC"/>
    <w:rsid w:val="0772543B"/>
    <w:rsid w:val="077305E3"/>
    <w:rsid w:val="079F4F94"/>
    <w:rsid w:val="07C55136"/>
    <w:rsid w:val="07CD0531"/>
    <w:rsid w:val="07D23B28"/>
    <w:rsid w:val="07FD0065"/>
    <w:rsid w:val="08D11764"/>
    <w:rsid w:val="08FA0F77"/>
    <w:rsid w:val="096E10A3"/>
    <w:rsid w:val="0A530C57"/>
    <w:rsid w:val="0A571439"/>
    <w:rsid w:val="0AA81371"/>
    <w:rsid w:val="0B1F0E32"/>
    <w:rsid w:val="0B242CDB"/>
    <w:rsid w:val="0B2D534F"/>
    <w:rsid w:val="0B9E444D"/>
    <w:rsid w:val="0BBF6BB4"/>
    <w:rsid w:val="0BF12592"/>
    <w:rsid w:val="0C345EBE"/>
    <w:rsid w:val="0C556F6C"/>
    <w:rsid w:val="0C7809C1"/>
    <w:rsid w:val="0CA2715E"/>
    <w:rsid w:val="0D7D2F98"/>
    <w:rsid w:val="0DF0688C"/>
    <w:rsid w:val="0E0B3EC4"/>
    <w:rsid w:val="0E1E3E17"/>
    <w:rsid w:val="0E2F6415"/>
    <w:rsid w:val="0E3015A8"/>
    <w:rsid w:val="0E383DBB"/>
    <w:rsid w:val="0ED111EF"/>
    <w:rsid w:val="0EF97C8B"/>
    <w:rsid w:val="0F3321D7"/>
    <w:rsid w:val="0F340AF5"/>
    <w:rsid w:val="0FFF3EA0"/>
    <w:rsid w:val="104A521B"/>
    <w:rsid w:val="10D4508F"/>
    <w:rsid w:val="10DA16C3"/>
    <w:rsid w:val="113A1037"/>
    <w:rsid w:val="11402131"/>
    <w:rsid w:val="116C6D9B"/>
    <w:rsid w:val="12144A4C"/>
    <w:rsid w:val="12274323"/>
    <w:rsid w:val="12792853"/>
    <w:rsid w:val="128E38FC"/>
    <w:rsid w:val="12977C5B"/>
    <w:rsid w:val="12CA19A9"/>
    <w:rsid w:val="131979D7"/>
    <w:rsid w:val="13753309"/>
    <w:rsid w:val="137E1546"/>
    <w:rsid w:val="13A740BB"/>
    <w:rsid w:val="13C3253D"/>
    <w:rsid w:val="13EC5FC0"/>
    <w:rsid w:val="14C77127"/>
    <w:rsid w:val="1517452C"/>
    <w:rsid w:val="153D308F"/>
    <w:rsid w:val="156C4FA6"/>
    <w:rsid w:val="158647F4"/>
    <w:rsid w:val="15D96070"/>
    <w:rsid w:val="15F202E1"/>
    <w:rsid w:val="160216D0"/>
    <w:rsid w:val="1641787C"/>
    <w:rsid w:val="1649653A"/>
    <w:rsid w:val="16860739"/>
    <w:rsid w:val="16AB203A"/>
    <w:rsid w:val="1705389A"/>
    <w:rsid w:val="170B5DA8"/>
    <w:rsid w:val="173931F9"/>
    <w:rsid w:val="174940E7"/>
    <w:rsid w:val="17656506"/>
    <w:rsid w:val="178D354C"/>
    <w:rsid w:val="17A66650"/>
    <w:rsid w:val="17EA48C1"/>
    <w:rsid w:val="17F45F59"/>
    <w:rsid w:val="180C6BE2"/>
    <w:rsid w:val="18146742"/>
    <w:rsid w:val="183E69BC"/>
    <w:rsid w:val="18701E4F"/>
    <w:rsid w:val="1881346C"/>
    <w:rsid w:val="188F2709"/>
    <w:rsid w:val="18A0023E"/>
    <w:rsid w:val="18A349BF"/>
    <w:rsid w:val="18AD3F21"/>
    <w:rsid w:val="18DE5562"/>
    <w:rsid w:val="192A5572"/>
    <w:rsid w:val="19935E0F"/>
    <w:rsid w:val="199B021E"/>
    <w:rsid w:val="19D67B1E"/>
    <w:rsid w:val="1A886516"/>
    <w:rsid w:val="1A8C3B1A"/>
    <w:rsid w:val="1AC55489"/>
    <w:rsid w:val="1B016E5B"/>
    <w:rsid w:val="1B5E62E3"/>
    <w:rsid w:val="1B8A18C6"/>
    <w:rsid w:val="1B983563"/>
    <w:rsid w:val="1BDC53F2"/>
    <w:rsid w:val="1C620459"/>
    <w:rsid w:val="1C7366B7"/>
    <w:rsid w:val="1C9B1BC8"/>
    <w:rsid w:val="1CBD66FD"/>
    <w:rsid w:val="1D130F0E"/>
    <w:rsid w:val="1D5D279C"/>
    <w:rsid w:val="1D721295"/>
    <w:rsid w:val="1D7E4261"/>
    <w:rsid w:val="1DBA42CB"/>
    <w:rsid w:val="1DC00253"/>
    <w:rsid w:val="1E1A7FBA"/>
    <w:rsid w:val="1E217E41"/>
    <w:rsid w:val="1E8E78CB"/>
    <w:rsid w:val="1F1C0E6C"/>
    <w:rsid w:val="1F3F7F6E"/>
    <w:rsid w:val="1F4D283F"/>
    <w:rsid w:val="1F68071B"/>
    <w:rsid w:val="20281966"/>
    <w:rsid w:val="209E5422"/>
    <w:rsid w:val="21122444"/>
    <w:rsid w:val="218C6806"/>
    <w:rsid w:val="21D05464"/>
    <w:rsid w:val="22385B62"/>
    <w:rsid w:val="2260408F"/>
    <w:rsid w:val="22FA20B6"/>
    <w:rsid w:val="232B3A85"/>
    <w:rsid w:val="23BB3852"/>
    <w:rsid w:val="23E62F23"/>
    <w:rsid w:val="23E67023"/>
    <w:rsid w:val="23FF584D"/>
    <w:rsid w:val="245C6B98"/>
    <w:rsid w:val="24C27484"/>
    <w:rsid w:val="24CB252C"/>
    <w:rsid w:val="250C2861"/>
    <w:rsid w:val="25D9208B"/>
    <w:rsid w:val="25F00525"/>
    <w:rsid w:val="260236E8"/>
    <w:rsid w:val="261F0915"/>
    <w:rsid w:val="26B113D9"/>
    <w:rsid w:val="26D24959"/>
    <w:rsid w:val="27084092"/>
    <w:rsid w:val="2713017F"/>
    <w:rsid w:val="271734C0"/>
    <w:rsid w:val="272B2C33"/>
    <w:rsid w:val="27505101"/>
    <w:rsid w:val="27820BC2"/>
    <w:rsid w:val="278E1A78"/>
    <w:rsid w:val="27CC5E4B"/>
    <w:rsid w:val="28043432"/>
    <w:rsid w:val="28CE1560"/>
    <w:rsid w:val="28F33199"/>
    <w:rsid w:val="291A6927"/>
    <w:rsid w:val="29AC3D11"/>
    <w:rsid w:val="29BC3A9C"/>
    <w:rsid w:val="2A092AB2"/>
    <w:rsid w:val="2A4B5B7C"/>
    <w:rsid w:val="2A64465C"/>
    <w:rsid w:val="2A674247"/>
    <w:rsid w:val="2A68533D"/>
    <w:rsid w:val="2A7E2845"/>
    <w:rsid w:val="2A991300"/>
    <w:rsid w:val="2AE64A3A"/>
    <w:rsid w:val="2B785C17"/>
    <w:rsid w:val="2BCD6D60"/>
    <w:rsid w:val="2BF5A70E"/>
    <w:rsid w:val="2C1C5785"/>
    <w:rsid w:val="2C37731C"/>
    <w:rsid w:val="2C4402A1"/>
    <w:rsid w:val="2C982A9C"/>
    <w:rsid w:val="2CEC10E5"/>
    <w:rsid w:val="2CF162E8"/>
    <w:rsid w:val="2D87411D"/>
    <w:rsid w:val="2D9D1A03"/>
    <w:rsid w:val="2DF94778"/>
    <w:rsid w:val="2E0B420B"/>
    <w:rsid w:val="2E2547BF"/>
    <w:rsid w:val="2E5F3C75"/>
    <w:rsid w:val="2F37683A"/>
    <w:rsid w:val="30854651"/>
    <w:rsid w:val="30C35E7B"/>
    <w:rsid w:val="31EE26C8"/>
    <w:rsid w:val="31FB698F"/>
    <w:rsid w:val="323A3E3E"/>
    <w:rsid w:val="32C7765E"/>
    <w:rsid w:val="32CA2532"/>
    <w:rsid w:val="32D9029E"/>
    <w:rsid w:val="33AC1C25"/>
    <w:rsid w:val="33B0446E"/>
    <w:rsid w:val="33EB3CEE"/>
    <w:rsid w:val="34142C4F"/>
    <w:rsid w:val="34AB4DE7"/>
    <w:rsid w:val="34B0337D"/>
    <w:rsid w:val="34C9605D"/>
    <w:rsid w:val="34E76882"/>
    <w:rsid w:val="350F5F0C"/>
    <w:rsid w:val="35FD4B22"/>
    <w:rsid w:val="3607373D"/>
    <w:rsid w:val="3627678C"/>
    <w:rsid w:val="36746E1E"/>
    <w:rsid w:val="36F529A6"/>
    <w:rsid w:val="371B42F4"/>
    <w:rsid w:val="376161AC"/>
    <w:rsid w:val="378C2150"/>
    <w:rsid w:val="37AE2B10"/>
    <w:rsid w:val="37F073E0"/>
    <w:rsid w:val="38431C78"/>
    <w:rsid w:val="387E353F"/>
    <w:rsid w:val="38B642D4"/>
    <w:rsid w:val="39517ED7"/>
    <w:rsid w:val="39534FCF"/>
    <w:rsid w:val="39B94D8B"/>
    <w:rsid w:val="39D76AC2"/>
    <w:rsid w:val="3AB73588"/>
    <w:rsid w:val="3ABF338F"/>
    <w:rsid w:val="3ACD09A4"/>
    <w:rsid w:val="3AE414BC"/>
    <w:rsid w:val="3AF42E20"/>
    <w:rsid w:val="3B11419E"/>
    <w:rsid w:val="3B222B91"/>
    <w:rsid w:val="3BD40429"/>
    <w:rsid w:val="3CCF267F"/>
    <w:rsid w:val="3CDF2357"/>
    <w:rsid w:val="3D5D2570"/>
    <w:rsid w:val="3DD94DF9"/>
    <w:rsid w:val="3E6443C0"/>
    <w:rsid w:val="3EEB31F8"/>
    <w:rsid w:val="3EFC0D98"/>
    <w:rsid w:val="3F004D6D"/>
    <w:rsid w:val="3F644550"/>
    <w:rsid w:val="401B42B1"/>
    <w:rsid w:val="401D42A1"/>
    <w:rsid w:val="403861BE"/>
    <w:rsid w:val="40565757"/>
    <w:rsid w:val="40DD7C7A"/>
    <w:rsid w:val="414601C0"/>
    <w:rsid w:val="415621B6"/>
    <w:rsid w:val="41650F9C"/>
    <w:rsid w:val="42004864"/>
    <w:rsid w:val="424A5077"/>
    <w:rsid w:val="426C0506"/>
    <w:rsid w:val="42AE426E"/>
    <w:rsid w:val="42B71D1D"/>
    <w:rsid w:val="43232629"/>
    <w:rsid w:val="43863141"/>
    <w:rsid w:val="43B73360"/>
    <w:rsid w:val="43D369D4"/>
    <w:rsid w:val="445115D2"/>
    <w:rsid w:val="447173A4"/>
    <w:rsid w:val="44B624A9"/>
    <w:rsid w:val="44FF0C3E"/>
    <w:rsid w:val="45156D9D"/>
    <w:rsid w:val="456E2077"/>
    <w:rsid w:val="45A55DFD"/>
    <w:rsid w:val="45B705F7"/>
    <w:rsid w:val="45D17A1D"/>
    <w:rsid w:val="46064ACA"/>
    <w:rsid w:val="46171BE8"/>
    <w:rsid w:val="46372397"/>
    <w:rsid w:val="46536F4D"/>
    <w:rsid w:val="473B0685"/>
    <w:rsid w:val="47411156"/>
    <w:rsid w:val="475C24EB"/>
    <w:rsid w:val="47733101"/>
    <w:rsid w:val="477D30ED"/>
    <w:rsid w:val="478F1D61"/>
    <w:rsid w:val="47AF75A2"/>
    <w:rsid w:val="47B343B5"/>
    <w:rsid w:val="480C5B3E"/>
    <w:rsid w:val="48270D4B"/>
    <w:rsid w:val="48376AB4"/>
    <w:rsid w:val="484C656D"/>
    <w:rsid w:val="488E6141"/>
    <w:rsid w:val="48D60657"/>
    <w:rsid w:val="48E72288"/>
    <w:rsid w:val="492E6109"/>
    <w:rsid w:val="492F1990"/>
    <w:rsid w:val="49376FD1"/>
    <w:rsid w:val="497273C6"/>
    <w:rsid w:val="4A621E0C"/>
    <w:rsid w:val="4A8E0342"/>
    <w:rsid w:val="4B2F2B3C"/>
    <w:rsid w:val="4C051C9C"/>
    <w:rsid w:val="4C0650FC"/>
    <w:rsid w:val="4C2F48E8"/>
    <w:rsid w:val="4D0922FF"/>
    <w:rsid w:val="4D0B6B9A"/>
    <w:rsid w:val="4D3F37D3"/>
    <w:rsid w:val="4D465B41"/>
    <w:rsid w:val="4DB92B07"/>
    <w:rsid w:val="4E3465C6"/>
    <w:rsid w:val="4E4D7031"/>
    <w:rsid w:val="4EA973E8"/>
    <w:rsid w:val="4EAC070E"/>
    <w:rsid w:val="4EFF0E96"/>
    <w:rsid w:val="4F0973FC"/>
    <w:rsid w:val="4F837F80"/>
    <w:rsid w:val="4FE56D34"/>
    <w:rsid w:val="50092009"/>
    <w:rsid w:val="501B3F38"/>
    <w:rsid w:val="503A3C26"/>
    <w:rsid w:val="509C4042"/>
    <w:rsid w:val="50AE5B33"/>
    <w:rsid w:val="50C529B2"/>
    <w:rsid w:val="50CB44F3"/>
    <w:rsid w:val="50F33EC0"/>
    <w:rsid w:val="51185ECD"/>
    <w:rsid w:val="511E40BF"/>
    <w:rsid w:val="514D16F8"/>
    <w:rsid w:val="51AE5717"/>
    <w:rsid w:val="51BC2454"/>
    <w:rsid w:val="52124463"/>
    <w:rsid w:val="5224261C"/>
    <w:rsid w:val="52627DAB"/>
    <w:rsid w:val="52E8059B"/>
    <w:rsid w:val="53204D14"/>
    <w:rsid w:val="53287732"/>
    <w:rsid w:val="5338000B"/>
    <w:rsid w:val="536F6135"/>
    <w:rsid w:val="537A6DDA"/>
    <w:rsid w:val="53BB67EB"/>
    <w:rsid w:val="540E33C8"/>
    <w:rsid w:val="547406A5"/>
    <w:rsid w:val="54902AE5"/>
    <w:rsid w:val="549239F0"/>
    <w:rsid w:val="54CA0AEC"/>
    <w:rsid w:val="54FE4CB3"/>
    <w:rsid w:val="551A2618"/>
    <w:rsid w:val="55512FE3"/>
    <w:rsid w:val="55C059BE"/>
    <w:rsid w:val="56B2378D"/>
    <w:rsid w:val="570E1B7D"/>
    <w:rsid w:val="573C6112"/>
    <w:rsid w:val="574949AA"/>
    <w:rsid w:val="576D2C49"/>
    <w:rsid w:val="580501AF"/>
    <w:rsid w:val="587D13BE"/>
    <w:rsid w:val="589658F5"/>
    <w:rsid w:val="591612EA"/>
    <w:rsid w:val="594F2A8B"/>
    <w:rsid w:val="59741916"/>
    <w:rsid w:val="59DD2FE2"/>
    <w:rsid w:val="59FD6874"/>
    <w:rsid w:val="5A0F6842"/>
    <w:rsid w:val="5A7D1893"/>
    <w:rsid w:val="5AA058D9"/>
    <w:rsid w:val="5AC16DDD"/>
    <w:rsid w:val="5AD9194A"/>
    <w:rsid w:val="5AF65560"/>
    <w:rsid w:val="5B4E5095"/>
    <w:rsid w:val="5B962018"/>
    <w:rsid w:val="5BAE468B"/>
    <w:rsid w:val="5BB66258"/>
    <w:rsid w:val="5BBB7978"/>
    <w:rsid w:val="5BC273C6"/>
    <w:rsid w:val="5C1178F0"/>
    <w:rsid w:val="5C436D2D"/>
    <w:rsid w:val="5C8C07FD"/>
    <w:rsid w:val="5C9B11DA"/>
    <w:rsid w:val="5CD478FD"/>
    <w:rsid w:val="5CE60D7D"/>
    <w:rsid w:val="5D431218"/>
    <w:rsid w:val="5D4361AE"/>
    <w:rsid w:val="5DB8520C"/>
    <w:rsid w:val="5E1D0CD6"/>
    <w:rsid w:val="5E520791"/>
    <w:rsid w:val="5E535EE5"/>
    <w:rsid w:val="5E7B2122"/>
    <w:rsid w:val="5E9D5287"/>
    <w:rsid w:val="5EC6593C"/>
    <w:rsid w:val="5EE4309A"/>
    <w:rsid w:val="5F1B0131"/>
    <w:rsid w:val="5F6829C1"/>
    <w:rsid w:val="5FAA1071"/>
    <w:rsid w:val="5FF655F4"/>
    <w:rsid w:val="603551EA"/>
    <w:rsid w:val="60626EEF"/>
    <w:rsid w:val="6105188D"/>
    <w:rsid w:val="61190549"/>
    <w:rsid w:val="61533A4A"/>
    <w:rsid w:val="619009B0"/>
    <w:rsid w:val="61C70043"/>
    <w:rsid w:val="61DF2C4E"/>
    <w:rsid w:val="621F4EBE"/>
    <w:rsid w:val="62251304"/>
    <w:rsid w:val="62634407"/>
    <w:rsid w:val="62CB6998"/>
    <w:rsid w:val="62D529B7"/>
    <w:rsid w:val="630B67BC"/>
    <w:rsid w:val="63767625"/>
    <w:rsid w:val="63D50725"/>
    <w:rsid w:val="63E45C9B"/>
    <w:rsid w:val="63FD5C20"/>
    <w:rsid w:val="64AA535B"/>
    <w:rsid w:val="64BA6126"/>
    <w:rsid w:val="652E734E"/>
    <w:rsid w:val="654939E3"/>
    <w:rsid w:val="65632BDF"/>
    <w:rsid w:val="656C2A0B"/>
    <w:rsid w:val="6572002E"/>
    <w:rsid w:val="658871DE"/>
    <w:rsid w:val="65A82464"/>
    <w:rsid w:val="65CC201A"/>
    <w:rsid w:val="65D01B96"/>
    <w:rsid w:val="66C043ED"/>
    <w:rsid w:val="66EF02BB"/>
    <w:rsid w:val="670648FC"/>
    <w:rsid w:val="6792042E"/>
    <w:rsid w:val="679C2F96"/>
    <w:rsid w:val="67EB6046"/>
    <w:rsid w:val="685444F2"/>
    <w:rsid w:val="68814B19"/>
    <w:rsid w:val="68A77392"/>
    <w:rsid w:val="68F54D97"/>
    <w:rsid w:val="69490586"/>
    <w:rsid w:val="69FA19C4"/>
    <w:rsid w:val="6A6A6FEF"/>
    <w:rsid w:val="6AAD2347"/>
    <w:rsid w:val="6B5F47B0"/>
    <w:rsid w:val="6BB20337"/>
    <w:rsid w:val="6C4756A6"/>
    <w:rsid w:val="6CCE1AA4"/>
    <w:rsid w:val="6CF50CA9"/>
    <w:rsid w:val="6D0E349F"/>
    <w:rsid w:val="6D3214C6"/>
    <w:rsid w:val="6D532409"/>
    <w:rsid w:val="6DA06F00"/>
    <w:rsid w:val="6DCC3677"/>
    <w:rsid w:val="6DFC00C1"/>
    <w:rsid w:val="6E2E04FD"/>
    <w:rsid w:val="6E6F07C3"/>
    <w:rsid w:val="6E825190"/>
    <w:rsid w:val="6E906D9A"/>
    <w:rsid w:val="6E9C0A6D"/>
    <w:rsid w:val="6EA02F2B"/>
    <w:rsid w:val="6EB428FB"/>
    <w:rsid w:val="6EFC09F4"/>
    <w:rsid w:val="6F074403"/>
    <w:rsid w:val="6F2B4E84"/>
    <w:rsid w:val="6FA678F9"/>
    <w:rsid w:val="6FB4571F"/>
    <w:rsid w:val="6FF758AD"/>
    <w:rsid w:val="7047792D"/>
    <w:rsid w:val="715F4A78"/>
    <w:rsid w:val="71671E50"/>
    <w:rsid w:val="719C1094"/>
    <w:rsid w:val="723D4B43"/>
    <w:rsid w:val="72950CCE"/>
    <w:rsid w:val="72B77BD7"/>
    <w:rsid w:val="72DB02EA"/>
    <w:rsid w:val="72DF0017"/>
    <w:rsid w:val="731A30D6"/>
    <w:rsid w:val="73E2490F"/>
    <w:rsid w:val="743B3304"/>
    <w:rsid w:val="74EB4D2A"/>
    <w:rsid w:val="74FE30DA"/>
    <w:rsid w:val="7547546B"/>
    <w:rsid w:val="757035C8"/>
    <w:rsid w:val="759620BF"/>
    <w:rsid w:val="759D68D9"/>
    <w:rsid w:val="75A11315"/>
    <w:rsid w:val="75CB444F"/>
    <w:rsid w:val="76684159"/>
    <w:rsid w:val="77862AE9"/>
    <w:rsid w:val="77863BCF"/>
    <w:rsid w:val="77A071CF"/>
    <w:rsid w:val="781466F3"/>
    <w:rsid w:val="782177E9"/>
    <w:rsid w:val="785C52A4"/>
    <w:rsid w:val="78D422C7"/>
    <w:rsid w:val="79072C58"/>
    <w:rsid w:val="79867B5E"/>
    <w:rsid w:val="79CD0EA3"/>
    <w:rsid w:val="7A9D0F2F"/>
    <w:rsid w:val="7AB46E49"/>
    <w:rsid w:val="7AE4454E"/>
    <w:rsid w:val="7B3F716E"/>
    <w:rsid w:val="7BDE7397"/>
    <w:rsid w:val="7C1B07EF"/>
    <w:rsid w:val="7C211FB3"/>
    <w:rsid w:val="7C5C3B46"/>
    <w:rsid w:val="7C6D071B"/>
    <w:rsid w:val="7C7C270C"/>
    <w:rsid w:val="7D2C717C"/>
    <w:rsid w:val="7D351A13"/>
    <w:rsid w:val="7DED533C"/>
    <w:rsid w:val="7E116F41"/>
    <w:rsid w:val="7E1A042F"/>
    <w:rsid w:val="7E602535"/>
    <w:rsid w:val="7EB048EF"/>
    <w:rsid w:val="7EDB3D59"/>
    <w:rsid w:val="7F8C4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6"/>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10"/>
    <w:qFormat/>
    <w:uiPriority w:val="0"/>
    <w:pPr>
      <w:keepNext/>
      <w:keepLines/>
      <w:spacing w:before="260" w:after="260" w:line="416" w:lineRule="auto"/>
      <w:outlineLvl w:val="2"/>
    </w:pPr>
    <w:rPr>
      <w:b/>
      <w:bCs/>
      <w:sz w:val="32"/>
      <w:szCs w:val="32"/>
    </w:rPr>
  </w:style>
  <w:style w:type="paragraph" w:styleId="6">
    <w:name w:val="heading 4"/>
    <w:basedOn w:val="1"/>
    <w:next w:val="1"/>
    <w:link w:val="16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83"/>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39"/>
    <w:qFormat/>
    <w:uiPriority w:val="0"/>
    <w:pPr>
      <w:keepNext/>
      <w:keepLines/>
      <w:ind w:firstLine="200" w:firstLineChars="200"/>
      <w:outlineLvl w:val="5"/>
    </w:pPr>
    <w:rPr>
      <w:rFonts w:hAnsi="Arial"/>
    </w:rPr>
  </w:style>
  <w:style w:type="paragraph" w:styleId="10">
    <w:name w:val="heading 7"/>
    <w:basedOn w:val="1"/>
    <w:next w:val="1"/>
    <w:link w:val="294"/>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53"/>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52"/>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6"/>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73"/>
    <w:qFormat/>
    <w:uiPriority w:val="0"/>
    <w:pPr>
      <w:shd w:val="clear" w:color="auto" w:fill="000080"/>
    </w:pPr>
  </w:style>
  <w:style w:type="paragraph" w:styleId="16">
    <w:name w:val="annotation text"/>
    <w:basedOn w:val="1"/>
    <w:link w:val="316"/>
    <w:qFormat/>
    <w:uiPriority w:val="99"/>
    <w:pPr>
      <w:jc w:val="left"/>
    </w:pPr>
  </w:style>
  <w:style w:type="paragraph" w:styleId="17">
    <w:name w:val="Body Text 3"/>
    <w:basedOn w:val="1"/>
    <w:link w:val="268"/>
    <w:qFormat/>
    <w:uiPriority w:val="0"/>
    <w:pPr>
      <w:spacing w:after="120"/>
    </w:pPr>
    <w:rPr>
      <w:sz w:val="16"/>
      <w:szCs w:val="16"/>
    </w:rPr>
  </w:style>
  <w:style w:type="paragraph" w:styleId="18">
    <w:name w:val="Body Text Indent"/>
    <w:basedOn w:val="1"/>
    <w:link w:val="251"/>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13"/>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77"/>
    <w:qFormat/>
    <w:uiPriority w:val="0"/>
    <w:pPr>
      <w:ind w:left="100" w:leftChars="2500"/>
    </w:pPr>
  </w:style>
  <w:style w:type="paragraph" w:styleId="26">
    <w:name w:val="Body Text Indent 2"/>
    <w:basedOn w:val="1"/>
    <w:link w:val="248"/>
    <w:autoRedefine/>
    <w:qFormat/>
    <w:uiPriority w:val="0"/>
    <w:pPr>
      <w:widowControl/>
      <w:spacing w:line="480" w:lineRule="auto"/>
      <w:ind w:firstLine="560"/>
      <w:jc w:val="left"/>
    </w:pPr>
    <w:rPr>
      <w:kern w:val="0"/>
      <w:sz w:val="28"/>
    </w:rPr>
  </w:style>
  <w:style w:type="paragraph" w:styleId="27">
    <w:name w:val="endnote text"/>
    <w:basedOn w:val="1"/>
    <w:link w:val="221"/>
    <w:qFormat/>
    <w:uiPriority w:val="0"/>
    <w:pPr>
      <w:widowControl/>
      <w:snapToGrid w:val="0"/>
      <w:jc w:val="left"/>
    </w:pPr>
    <w:rPr>
      <w:rFonts w:ascii="Arial" w:hAnsi="Arial" w:cs="Arial"/>
      <w:kern w:val="0"/>
      <w:sz w:val="20"/>
      <w:lang w:eastAsia="en-US"/>
    </w:rPr>
  </w:style>
  <w:style w:type="paragraph" w:styleId="28">
    <w:name w:val="Balloon Text"/>
    <w:basedOn w:val="1"/>
    <w:link w:val="216"/>
    <w:qFormat/>
    <w:uiPriority w:val="0"/>
    <w:rPr>
      <w:sz w:val="18"/>
      <w:szCs w:val="18"/>
    </w:rPr>
  </w:style>
  <w:style w:type="paragraph" w:styleId="29">
    <w:name w:val="footer"/>
    <w:basedOn w:val="1"/>
    <w:link w:val="208"/>
    <w:autoRedefine/>
    <w:qFormat/>
    <w:uiPriority w:val="0"/>
    <w:pPr>
      <w:tabs>
        <w:tab w:val="center" w:pos="4153"/>
        <w:tab w:val="right" w:pos="8306"/>
      </w:tabs>
      <w:snapToGrid w:val="0"/>
      <w:jc w:val="left"/>
    </w:pPr>
    <w:rPr>
      <w:sz w:val="18"/>
      <w:szCs w:val="18"/>
    </w:rPr>
  </w:style>
  <w:style w:type="paragraph" w:styleId="30">
    <w:name w:val="header"/>
    <w:basedOn w:val="1"/>
    <w:link w:val="302"/>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18"/>
    <w:qFormat/>
    <w:uiPriority w:val="0"/>
    <w:pPr>
      <w:widowControl/>
      <w:jc w:val="center"/>
    </w:pPr>
    <w:rPr>
      <w:kern w:val="0"/>
      <w:sz w:val="20"/>
      <w:u w:val="single"/>
      <w:lang w:eastAsia="en-US"/>
    </w:rPr>
  </w:style>
  <w:style w:type="paragraph" w:styleId="34">
    <w:name w:val="footnote text"/>
    <w:basedOn w:val="1"/>
    <w:next w:val="35"/>
    <w:link w:val="296"/>
    <w:autoRedefine/>
    <w:qFormat/>
    <w:uiPriority w:val="0"/>
    <w:pPr>
      <w:widowControl/>
      <w:snapToGrid w:val="0"/>
      <w:jc w:val="left"/>
    </w:pPr>
    <w:rPr>
      <w:rFonts w:ascii="Arial" w:hAnsi="Arial" w:cs="Arial"/>
      <w:kern w:val="0"/>
      <w:sz w:val="18"/>
      <w:szCs w:val="18"/>
      <w:lang w:eastAsia="en-US"/>
    </w:rPr>
  </w:style>
  <w:style w:type="paragraph" w:styleId="35">
    <w:name w:val="Body Text First Indent 2"/>
    <w:basedOn w:val="18"/>
    <w:next w:val="1"/>
    <w:qFormat/>
    <w:uiPriority w:val="0"/>
    <w:pPr>
      <w:ind w:firstLine="420" w:firstLineChars="200"/>
    </w:pPr>
    <w:rPr>
      <w:sz w:val="30"/>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55"/>
    <w:qFormat/>
    <w:uiPriority w:val="0"/>
    <w:pPr>
      <w:spacing w:line="360" w:lineRule="auto"/>
      <w:ind w:firstLine="280" w:firstLineChars="100"/>
    </w:pPr>
    <w:rPr>
      <w:rFonts w:ascii="宋体" w:hAnsi="宋体"/>
      <w:sz w:val="28"/>
      <w:szCs w:val="28"/>
    </w:rPr>
  </w:style>
  <w:style w:type="paragraph" w:styleId="38">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link w:val="242"/>
    <w:qFormat/>
    <w:uiPriority w:val="0"/>
    <w:rPr>
      <w:i/>
      <w:iCs/>
      <w:sz w:val="26"/>
    </w:rPr>
  </w:style>
  <w:style w:type="paragraph" w:styleId="41">
    <w:name w:val="HTML Preformatted"/>
    <w:basedOn w:val="1"/>
    <w:link w:val="17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qFormat/>
    <w:uiPriority w:val="0"/>
    <w:pPr>
      <w:spacing w:line="220" w:lineRule="exact"/>
      <w:jc w:val="center"/>
    </w:pPr>
    <w:rPr>
      <w:rFonts w:ascii="仿宋_GB2312" w:eastAsia="仿宋_GB2312"/>
      <w:szCs w:val="21"/>
    </w:rPr>
  </w:style>
  <w:style w:type="paragraph" w:styleId="44">
    <w:name w:val="Title"/>
    <w:basedOn w:val="1"/>
    <w:link w:val="247"/>
    <w:autoRedefine/>
    <w:qFormat/>
    <w:uiPriority w:val="0"/>
    <w:pPr>
      <w:widowControl/>
      <w:jc w:val="center"/>
    </w:pPr>
    <w:rPr>
      <w:kern w:val="0"/>
      <w:sz w:val="20"/>
      <w:u w:val="single"/>
      <w:lang w:eastAsia="en-US"/>
    </w:rPr>
  </w:style>
  <w:style w:type="paragraph" w:styleId="45">
    <w:name w:val="annotation subject"/>
    <w:basedOn w:val="16"/>
    <w:next w:val="16"/>
    <w:link w:val="291"/>
    <w:autoRedefine/>
    <w:qFormat/>
    <w:uiPriority w:val="0"/>
    <w:rPr>
      <w:b/>
      <w:bCs/>
    </w:rPr>
  </w:style>
  <w:style w:type="table" w:styleId="47">
    <w:name w:val="Table Grid"/>
    <w:basedOn w:val="4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autoRedefine/>
    <w:qFormat/>
    <w:uiPriority w:val="0"/>
    <w:rPr>
      <w:b/>
      <w:bCs/>
    </w:rPr>
  </w:style>
  <w:style w:type="character" w:styleId="50">
    <w:name w:val="endnote reference"/>
    <w:autoRedefine/>
    <w:qFormat/>
    <w:uiPriority w:val="0"/>
    <w:rPr>
      <w:vertAlign w:val="superscript"/>
    </w:rPr>
  </w:style>
  <w:style w:type="character" w:styleId="51">
    <w:name w:val="page number"/>
    <w:basedOn w:val="48"/>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i/>
      <w:iCs/>
    </w:rPr>
  </w:style>
  <w:style w:type="character" w:styleId="54">
    <w:name w:val="HTML Definition"/>
    <w:basedOn w:val="48"/>
    <w:autoRedefine/>
    <w:qFormat/>
    <w:uiPriority w:val="0"/>
  </w:style>
  <w:style w:type="character" w:styleId="55">
    <w:name w:val="HTML Typewriter"/>
    <w:basedOn w:val="48"/>
    <w:autoRedefine/>
    <w:qFormat/>
    <w:uiPriority w:val="0"/>
    <w:rPr>
      <w:rFonts w:hint="default" w:ascii="monospace" w:hAnsi="monospace" w:eastAsia="monospace" w:cs="monospace"/>
      <w:sz w:val="20"/>
    </w:rPr>
  </w:style>
  <w:style w:type="character" w:styleId="56">
    <w:name w:val="HTML Acronym"/>
    <w:basedOn w:val="48"/>
    <w:autoRedefine/>
    <w:qFormat/>
    <w:uiPriority w:val="0"/>
  </w:style>
  <w:style w:type="character" w:styleId="57">
    <w:name w:val="HTML Variable"/>
    <w:basedOn w:val="48"/>
    <w:autoRedefine/>
    <w:qFormat/>
    <w:uiPriority w:val="0"/>
  </w:style>
  <w:style w:type="character" w:styleId="58">
    <w:name w:val="Hyperlink"/>
    <w:autoRedefine/>
    <w:qFormat/>
    <w:uiPriority w:val="99"/>
    <w:rPr>
      <w:color w:val="0000FF"/>
      <w:u w:val="single"/>
    </w:rPr>
  </w:style>
  <w:style w:type="character" w:styleId="59">
    <w:name w:val="HTML Code"/>
    <w:basedOn w:val="48"/>
    <w:autoRedefine/>
    <w:qFormat/>
    <w:uiPriority w:val="0"/>
    <w:rPr>
      <w:rFonts w:ascii="monospace" w:hAnsi="monospace" w:eastAsia="monospace" w:cs="monospace"/>
      <w:sz w:val="20"/>
    </w:rPr>
  </w:style>
  <w:style w:type="character" w:styleId="60">
    <w:name w:val="annotation reference"/>
    <w:autoRedefine/>
    <w:qFormat/>
    <w:uiPriority w:val="0"/>
    <w:rPr>
      <w:sz w:val="21"/>
      <w:szCs w:val="21"/>
    </w:rPr>
  </w:style>
  <w:style w:type="character" w:styleId="61">
    <w:name w:val="HTML Cite"/>
    <w:basedOn w:val="48"/>
    <w:autoRedefine/>
    <w:qFormat/>
    <w:uiPriority w:val="0"/>
  </w:style>
  <w:style w:type="character" w:styleId="62">
    <w:name w:val="footnote reference"/>
    <w:autoRedefine/>
    <w:qFormat/>
    <w:uiPriority w:val="0"/>
    <w:rPr>
      <w:vertAlign w:val="superscript"/>
    </w:rPr>
  </w:style>
  <w:style w:type="character" w:styleId="63">
    <w:name w:val="HTML Keyboard"/>
    <w:basedOn w:val="48"/>
    <w:autoRedefine/>
    <w:qFormat/>
    <w:uiPriority w:val="0"/>
    <w:rPr>
      <w:rFonts w:hint="default" w:ascii="monospace" w:hAnsi="monospace" w:eastAsia="monospace" w:cs="monospace"/>
      <w:sz w:val="20"/>
    </w:rPr>
  </w:style>
  <w:style w:type="character" w:styleId="64">
    <w:name w:val="HTML Sample"/>
    <w:basedOn w:val="48"/>
    <w:autoRedefine/>
    <w:qFormat/>
    <w:uiPriority w:val="0"/>
    <w:rPr>
      <w:rFonts w:hint="default" w:ascii="monospace" w:hAnsi="monospace" w:eastAsia="monospace" w:cs="monospace"/>
    </w:rPr>
  </w:style>
  <w:style w:type="paragraph" w:customStyle="1" w:styleId="65">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6">
    <w:name w:val="Heading3"/>
    <w:basedOn w:val="1"/>
    <w:next w:val="1"/>
    <w:autoRedefine/>
    <w:qFormat/>
    <w:uiPriority w:val="99"/>
    <w:pPr>
      <w:spacing w:before="16"/>
      <w:jc w:val="left"/>
    </w:pPr>
    <w:rPr>
      <w:rFonts w:ascii="仿宋_GB2312" w:hAnsi="宋体" w:eastAsia="仿宋_GB2312" w:cs="仿宋_GB2312"/>
      <w:b/>
      <w:bCs/>
      <w:sz w:val="24"/>
      <w:szCs w:val="24"/>
    </w:rPr>
  </w:style>
  <w:style w:type="paragraph" w:customStyle="1" w:styleId="67">
    <w:name w:val="列出段落1"/>
    <w:basedOn w:val="1"/>
    <w:autoRedefine/>
    <w:qFormat/>
    <w:uiPriority w:val="99"/>
    <w:pPr>
      <w:ind w:firstLine="420" w:firstLineChars="200"/>
    </w:pPr>
    <w:rPr>
      <w:sz w:val="28"/>
      <w:szCs w:val="28"/>
    </w:rPr>
  </w:style>
  <w:style w:type="paragraph" w:customStyle="1" w:styleId="68">
    <w:name w:val="_Style 56"/>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9">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70">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72">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73">
    <w:name w:val="1 Char"/>
    <w:basedOn w:val="1"/>
    <w:autoRedefine/>
    <w:qFormat/>
    <w:uiPriority w:val="0"/>
    <w:pPr>
      <w:widowControl/>
      <w:spacing w:after="160" w:line="240" w:lineRule="exact"/>
      <w:jc w:val="left"/>
    </w:pPr>
    <w:rPr>
      <w:rFonts w:ascii="Calibri" w:hAnsi="Calibri"/>
      <w:szCs w:val="20"/>
    </w:rPr>
  </w:style>
  <w:style w:type="paragraph" w:customStyle="1" w:styleId="74">
    <w:name w:val="列表段落1"/>
    <w:basedOn w:val="1"/>
    <w:autoRedefine/>
    <w:qFormat/>
    <w:uiPriority w:val="34"/>
    <w:pPr>
      <w:ind w:firstLine="420" w:firstLineChars="200"/>
    </w:pPr>
    <w:rPr>
      <w:rFonts w:ascii="Calibri" w:hAnsi="Calibri"/>
    </w:rPr>
  </w:style>
  <w:style w:type="paragraph" w:customStyle="1" w:styleId="75">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6">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77">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78">
    <w:name w:val="TOC 标题2"/>
    <w:basedOn w:val="3"/>
    <w:next w:val="1"/>
    <w:autoRedefine/>
    <w:unhideWhenUsed/>
    <w:qFormat/>
    <w:uiPriority w:val="0"/>
    <w:pPr>
      <w:outlineLvl w:val="9"/>
    </w:pPr>
    <w:rPr>
      <w:rFonts w:ascii="Calibri" w:hAnsi="Calibri"/>
    </w:rPr>
  </w:style>
  <w:style w:type="paragraph" w:customStyle="1" w:styleId="79">
    <w:name w:val="样式1"/>
    <w:basedOn w:val="1"/>
    <w:next w:val="6"/>
    <w:autoRedefine/>
    <w:qFormat/>
    <w:uiPriority w:val="0"/>
    <w:pPr>
      <w:spacing w:line="360" w:lineRule="auto"/>
      <w:ind w:firstLine="420" w:firstLineChars="200"/>
    </w:pPr>
    <w:rPr>
      <w:rFonts w:ascii="宋体" w:hAnsi="宋体"/>
      <w:szCs w:val="21"/>
    </w:rPr>
  </w:style>
  <w:style w:type="paragraph" w:customStyle="1" w:styleId="80">
    <w:name w:val="列出段落111"/>
    <w:basedOn w:val="1"/>
    <w:autoRedefine/>
    <w:qFormat/>
    <w:uiPriority w:val="0"/>
    <w:pPr>
      <w:ind w:firstLine="420" w:firstLineChars="200"/>
    </w:pPr>
    <w:rPr>
      <w:sz w:val="28"/>
      <w:szCs w:val="28"/>
    </w:rPr>
  </w:style>
  <w:style w:type="paragraph" w:customStyle="1" w:styleId="81">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82">
    <w:name w:val="pa-27"/>
    <w:basedOn w:val="1"/>
    <w:autoRedefine/>
    <w:qFormat/>
    <w:uiPriority w:val="0"/>
    <w:pPr>
      <w:widowControl/>
      <w:spacing w:line="360" w:lineRule="atLeast"/>
      <w:ind w:firstLine="420"/>
    </w:pPr>
    <w:rPr>
      <w:rFonts w:ascii="宋体" w:hAnsi="宋体" w:cs="宋体"/>
      <w:kern w:val="0"/>
      <w:sz w:val="24"/>
    </w:rPr>
  </w:style>
  <w:style w:type="paragraph" w:customStyle="1" w:styleId="83">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4">
    <w:name w:val="_Style 72"/>
    <w:autoRedefine/>
    <w:qFormat/>
    <w:uiPriority w:val="0"/>
    <w:rPr>
      <w:rFonts w:ascii="Times New Roman" w:hAnsi="Times New Roman" w:eastAsia="宋体" w:cs="Times New Roman"/>
      <w:kern w:val="2"/>
      <w:sz w:val="21"/>
      <w:szCs w:val="24"/>
      <w:lang w:val="en-US" w:eastAsia="zh-CN" w:bidi="ar-SA"/>
    </w:rPr>
  </w:style>
  <w:style w:type="paragraph" w:customStyle="1" w:styleId="85">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86">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7">
    <w:name w:val="Char Char Char Char"/>
    <w:basedOn w:val="15"/>
    <w:autoRedefine/>
    <w:qFormat/>
    <w:uiPriority w:val="0"/>
    <w:pPr>
      <w:spacing w:line="360" w:lineRule="auto"/>
      <w:ind w:firstLine="200" w:firstLineChars="200"/>
    </w:pPr>
    <w:rPr>
      <w:rFonts w:ascii="Tahoma" w:hAnsi="Tahoma"/>
      <w:sz w:val="24"/>
    </w:rPr>
  </w:style>
  <w:style w:type="paragraph" w:customStyle="1" w:styleId="88">
    <w:name w:val="表格内容"/>
    <w:basedOn w:val="1"/>
    <w:autoRedefine/>
    <w:qFormat/>
    <w:uiPriority w:val="0"/>
    <w:pPr>
      <w:suppressLineNumbers/>
      <w:suppressAutoHyphens/>
    </w:pPr>
  </w:style>
  <w:style w:type="paragraph" w:customStyle="1" w:styleId="89">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91">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2">
    <w:name w:val="明显引用1"/>
    <w:basedOn w:val="1"/>
    <w:next w:val="1"/>
    <w:link w:val="286"/>
    <w:autoRedefine/>
    <w:qFormat/>
    <w:uiPriority w:val="0"/>
    <w:pPr>
      <w:pBdr>
        <w:bottom w:val="single" w:color="4F81BD" w:sz="4" w:space="4"/>
      </w:pBdr>
      <w:spacing w:before="200" w:after="280"/>
      <w:ind w:left="936" w:right="936"/>
    </w:pPr>
    <w:rPr>
      <w:b/>
      <w:bCs/>
      <w:i/>
      <w:iCs/>
      <w:color w:val="4F81BD"/>
      <w:szCs w:val="22"/>
    </w:rPr>
  </w:style>
  <w:style w:type="paragraph" w:customStyle="1" w:styleId="93">
    <w:name w:val="表体"/>
    <w:basedOn w:val="1"/>
    <w:next w:val="1"/>
    <w:autoRedefine/>
    <w:qFormat/>
    <w:uiPriority w:val="0"/>
    <w:pPr>
      <w:spacing w:line="0" w:lineRule="atLeast"/>
    </w:pPr>
    <w:rPr>
      <w:rFonts w:ascii="Calibri" w:hAnsi="Calibri"/>
      <w:b/>
      <w:snapToGrid w:val="0"/>
      <w:szCs w:val="20"/>
    </w:rPr>
  </w:style>
  <w:style w:type="paragraph" w:customStyle="1" w:styleId="94">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95">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6">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7">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98">
    <w:name w:val="p16"/>
    <w:basedOn w:val="1"/>
    <w:autoRedefine/>
    <w:qFormat/>
    <w:uiPriority w:val="0"/>
    <w:pPr>
      <w:widowControl/>
    </w:pPr>
    <w:rPr>
      <w:rFonts w:ascii="Calibri" w:hAnsi="Calibri" w:cs="宋体"/>
      <w:kern w:val="0"/>
      <w:szCs w:val="21"/>
    </w:rPr>
  </w:style>
  <w:style w:type="paragraph" w:customStyle="1" w:styleId="99">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0">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0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2">
    <w:name w:val="标题4"/>
    <w:basedOn w:val="4"/>
    <w:next w:val="20"/>
    <w:link w:val="297"/>
    <w:autoRedefine/>
    <w:qFormat/>
    <w:uiPriority w:val="0"/>
    <w:pPr>
      <w:spacing w:line="413" w:lineRule="auto"/>
    </w:pPr>
    <w:rPr>
      <w:rFonts w:ascii="Arial" w:hAnsi="Arial"/>
      <w:kern w:val="0"/>
      <w:sz w:val="24"/>
    </w:rPr>
  </w:style>
  <w:style w:type="paragraph" w:customStyle="1" w:styleId="103">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4">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WW-表格内容"/>
    <w:basedOn w:val="1"/>
    <w:qFormat/>
    <w:uiPriority w:val="0"/>
    <w:pPr>
      <w:suppressLineNumbers/>
      <w:suppressAutoHyphens/>
    </w:pPr>
  </w:style>
  <w:style w:type="paragraph" w:customStyle="1" w:styleId="107">
    <w:name w:val="Char"/>
    <w:basedOn w:val="1"/>
    <w:autoRedefine/>
    <w:qFormat/>
    <w:uiPriority w:val="0"/>
  </w:style>
  <w:style w:type="paragraph" w:customStyle="1" w:styleId="108">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09">
    <w:name w:val="Normal_47"/>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10">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1">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112">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11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14">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15">
    <w:name w:val="p15"/>
    <w:basedOn w:val="1"/>
    <w:qFormat/>
    <w:uiPriority w:val="0"/>
    <w:pPr>
      <w:widowControl/>
      <w:spacing w:after="120"/>
    </w:pPr>
    <w:rPr>
      <w:kern w:val="0"/>
      <w:szCs w:val="21"/>
    </w:rPr>
  </w:style>
  <w:style w:type="paragraph" w:customStyle="1" w:styleId="116">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17">
    <w:name w:val="正  文"/>
    <w:basedOn w:val="1"/>
    <w:qFormat/>
    <w:uiPriority w:val="0"/>
    <w:pPr>
      <w:spacing w:line="360" w:lineRule="auto"/>
      <w:ind w:firstLine="200" w:firstLineChars="200"/>
    </w:pPr>
    <w:rPr>
      <w:rFonts w:ascii="宋体" w:hAnsi="Calibri"/>
      <w:sz w:val="24"/>
    </w:rPr>
  </w:style>
  <w:style w:type="paragraph" w:customStyle="1" w:styleId="118">
    <w:name w:val="列出段落11"/>
    <w:basedOn w:val="1"/>
    <w:autoRedefine/>
    <w:qFormat/>
    <w:uiPriority w:val="0"/>
    <w:pPr>
      <w:ind w:firstLine="420" w:firstLineChars="200"/>
    </w:pPr>
    <w:rPr>
      <w:sz w:val="28"/>
      <w:szCs w:val="28"/>
    </w:rPr>
  </w:style>
  <w:style w:type="paragraph" w:customStyle="1" w:styleId="11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0">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21">
    <w:name w:val="_Style 96"/>
    <w:autoRedefine/>
    <w:semiHidden/>
    <w:qFormat/>
    <w:uiPriority w:val="99"/>
    <w:rPr>
      <w:rFonts w:ascii="Calibri" w:hAnsi="Calibri" w:eastAsia="宋体" w:cs="Times New Roman"/>
      <w:kern w:val="2"/>
      <w:sz w:val="21"/>
      <w:szCs w:val="24"/>
      <w:lang w:val="en-US" w:eastAsia="zh-CN" w:bidi="ar-SA"/>
    </w:rPr>
  </w:style>
  <w:style w:type="paragraph" w:customStyle="1" w:styleId="122">
    <w:name w:val="表格文字"/>
    <w:basedOn w:val="1"/>
    <w:autoRedefine/>
    <w:qFormat/>
    <w:uiPriority w:val="0"/>
    <w:pPr>
      <w:adjustRightInd w:val="0"/>
      <w:spacing w:line="420" w:lineRule="atLeast"/>
      <w:jc w:val="left"/>
      <w:textAlignment w:val="baseline"/>
    </w:pPr>
    <w:rPr>
      <w:kern w:val="0"/>
      <w:szCs w:val="20"/>
    </w:rPr>
  </w:style>
  <w:style w:type="paragraph" w:customStyle="1" w:styleId="123">
    <w:name w:val="表格"/>
    <w:basedOn w:val="1"/>
    <w:autoRedefine/>
    <w:qFormat/>
    <w:uiPriority w:val="0"/>
    <w:pPr>
      <w:jc w:val="center"/>
      <w:textAlignment w:val="center"/>
    </w:pPr>
    <w:rPr>
      <w:rFonts w:ascii="华文细黑" w:hAnsi="华文细黑"/>
      <w:kern w:val="0"/>
      <w:szCs w:val="20"/>
    </w:rPr>
  </w:style>
  <w:style w:type="paragraph" w:customStyle="1" w:styleId="124">
    <w:name w:val="Char1"/>
    <w:basedOn w:val="1"/>
    <w:autoRedefine/>
    <w:qFormat/>
    <w:uiPriority w:val="0"/>
  </w:style>
  <w:style w:type="paragraph" w:customStyle="1" w:styleId="125">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6">
    <w:name w:val="引用2"/>
    <w:basedOn w:val="1"/>
    <w:next w:val="1"/>
    <w:link w:val="249"/>
    <w:autoRedefine/>
    <w:qFormat/>
    <w:uiPriority w:val="0"/>
    <w:rPr>
      <w:i/>
      <w:iCs/>
      <w:color w:val="000000"/>
    </w:rPr>
  </w:style>
  <w:style w:type="paragraph" w:customStyle="1" w:styleId="127">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28">
    <w:name w:val="引用1"/>
    <w:basedOn w:val="1"/>
    <w:next w:val="1"/>
    <w:link w:val="199"/>
    <w:autoRedefine/>
    <w:qFormat/>
    <w:uiPriority w:val="0"/>
    <w:rPr>
      <w:i/>
      <w:iCs/>
      <w:color w:val="000000"/>
      <w:szCs w:val="22"/>
    </w:rPr>
  </w:style>
  <w:style w:type="paragraph" w:customStyle="1" w:styleId="12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3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31">
    <w:name w:val="Char2"/>
    <w:basedOn w:val="1"/>
    <w:qFormat/>
    <w:uiPriority w:val="0"/>
    <w:rPr>
      <w:rFonts w:ascii="Calibri" w:hAnsi="Calibri"/>
    </w:rPr>
  </w:style>
  <w:style w:type="paragraph" w:customStyle="1" w:styleId="132">
    <w:name w:val="标题5"/>
    <w:basedOn w:val="5"/>
    <w:link w:val="295"/>
    <w:autoRedefine/>
    <w:qFormat/>
    <w:uiPriority w:val="0"/>
    <w:pPr>
      <w:spacing w:line="413" w:lineRule="auto"/>
    </w:pPr>
    <w:rPr>
      <w:rFonts w:ascii="Arial" w:hAnsi="Arial"/>
      <w:kern w:val="0"/>
      <w:sz w:val="24"/>
    </w:rPr>
  </w:style>
  <w:style w:type="paragraph" w:customStyle="1" w:styleId="133">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5">
    <w:name w:val="表格标题"/>
    <w:basedOn w:val="88"/>
    <w:autoRedefine/>
    <w:qFormat/>
    <w:uiPriority w:val="0"/>
  </w:style>
  <w:style w:type="paragraph" w:customStyle="1" w:styleId="136">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37">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38">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9">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0">
    <w:name w:val="标题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1">
    <w:name w:val="WW-表格标题"/>
    <w:basedOn w:val="106"/>
    <w:autoRedefine/>
    <w:qFormat/>
    <w:uiPriority w:val="0"/>
  </w:style>
  <w:style w:type="paragraph" w:customStyle="1" w:styleId="142">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143">
    <w:name w:val="明显引用12"/>
    <w:basedOn w:val="1"/>
    <w:next w:val="1"/>
    <w:link w:val="259"/>
    <w:autoRedefine/>
    <w:qFormat/>
    <w:uiPriority w:val="30"/>
    <w:pPr>
      <w:pBdr>
        <w:bottom w:val="single" w:color="4F81BD" w:sz="4" w:space="4"/>
      </w:pBdr>
      <w:spacing w:before="200" w:after="280"/>
      <w:ind w:left="936" w:right="936"/>
    </w:pPr>
    <w:rPr>
      <w:b/>
      <w:bCs/>
      <w:i/>
      <w:iCs/>
      <w:color w:val="4F81BD"/>
      <w:szCs w:val="20"/>
    </w:rPr>
  </w:style>
  <w:style w:type="paragraph" w:customStyle="1" w:styleId="144">
    <w:name w:val="标准样式1"/>
    <w:basedOn w:val="1"/>
    <w:autoRedefine/>
    <w:qFormat/>
    <w:uiPriority w:val="0"/>
    <w:pPr>
      <w:spacing w:line="600" w:lineRule="exact"/>
      <w:ind w:firstLine="567"/>
    </w:pPr>
    <w:rPr>
      <w:rFonts w:ascii="Calibri" w:hAnsi="Calibri"/>
      <w:sz w:val="28"/>
    </w:rPr>
  </w:style>
  <w:style w:type="paragraph" w:customStyle="1" w:styleId="145">
    <w:name w:val="Char3"/>
    <w:basedOn w:val="1"/>
    <w:autoRedefine/>
    <w:qFormat/>
    <w:uiPriority w:val="0"/>
  </w:style>
  <w:style w:type="paragraph" w:customStyle="1" w:styleId="146">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147">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48">
    <w:name w:val="引用11"/>
    <w:basedOn w:val="1"/>
    <w:next w:val="1"/>
    <w:link w:val="273"/>
    <w:autoRedefine/>
    <w:qFormat/>
    <w:uiPriority w:val="29"/>
    <w:rPr>
      <w:i/>
      <w:iCs/>
      <w:color w:val="000000"/>
      <w:szCs w:val="20"/>
    </w:rPr>
  </w:style>
  <w:style w:type="paragraph" w:customStyle="1" w:styleId="149">
    <w:name w:val="_Style 87"/>
    <w:basedOn w:val="1"/>
    <w:autoRedefine/>
    <w:qFormat/>
    <w:uiPriority w:val="99"/>
    <w:pPr>
      <w:ind w:firstLine="420" w:firstLineChars="200"/>
    </w:pPr>
    <w:rPr>
      <w:rFonts w:ascii="Calibri" w:hAnsi="Calibri"/>
      <w:sz w:val="28"/>
      <w:szCs w:val="28"/>
    </w:rPr>
  </w:style>
  <w:style w:type="paragraph" w:customStyle="1" w:styleId="150">
    <w:name w:val="自定样式1"/>
    <w:basedOn w:val="1"/>
    <w:autoRedefine/>
    <w:qFormat/>
    <w:uiPriority w:val="0"/>
    <w:pPr>
      <w:suppressAutoHyphens/>
      <w:jc w:val="center"/>
    </w:pPr>
    <w:rPr>
      <w:rFonts w:ascii="宋体" w:hAnsi="宋体"/>
      <w:color w:val="000000"/>
      <w:sz w:val="18"/>
    </w:rPr>
  </w:style>
  <w:style w:type="paragraph" w:customStyle="1" w:styleId="151">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character" w:customStyle="1" w:styleId="153">
    <w:name w:val="未处理的提及1"/>
    <w:autoRedefine/>
    <w:unhideWhenUsed/>
    <w:qFormat/>
    <w:uiPriority w:val="99"/>
    <w:rPr>
      <w:color w:val="808080"/>
      <w:shd w:val="clear" w:color="auto" w:fill="E6E6E6"/>
    </w:rPr>
  </w:style>
  <w:style w:type="character" w:customStyle="1" w:styleId="154">
    <w:name w:val="正文文本 3 Char"/>
    <w:autoRedefine/>
    <w:qFormat/>
    <w:uiPriority w:val="0"/>
    <w:rPr>
      <w:kern w:val="2"/>
      <w:sz w:val="16"/>
      <w:szCs w:val="16"/>
    </w:rPr>
  </w:style>
  <w:style w:type="character" w:customStyle="1" w:styleId="155">
    <w:name w:val="正文文本缩进 Char2"/>
    <w:autoRedefine/>
    <w:semiHidden/>
    <w:qFormat/>
    <w:uiPriority w:val="99"/>
    <w:rPr>
      <w:rFonts w:ascii="Calibri" w:hAnsi="Calibri" w:eastAsia="宋体" w:cs="Times New Roman"/>
      <w:szCs w:val="24"/>
    </w:rPr>
  </w:style>
  <w:style w:type="character" w:customStyle="1" w:styleId="156">
    <w:name w:val="标题 3 Char"/>
    <w:autoRedefine/>
    <w:qFormat/>
    <w:uiPriority w:val="0"/>
    <w:rPr>
      <w:rFonts w:ascii="仿宋_GB2312" w:hAnsi="Calibri" w:eastAsia="仿宋_GB2312" w:cs="Times New Roman"/>
      <w:b/>
      <w:kern w:val="0"/>
      <w:sz w:val="24"/>
      <w:szCs w:val="28"/>
    </w:rPr>
  </w:style>
  <w:style w:type="character" w:customStyle="1" w:styleId="157">
    <w:name w:val="批注框文本 Char2"/>
    <w:autoRedefine/>
    <w:qFormat/>
    <w:uiPriority w:val="99"/>
    <w:rPr>
      <w:kern w:val="2"/>
      <w:sz w:val="18"/>
      <w:szCs w:val="18"/>
    </w:rPr>
  </w:style>
  <w:style w:type="character" w:customStyle="1" w:styleId="158">
    <w:name w:val="textcontents"/>
    <w:autoRedefine/>
    <w:qFormat/>
    <w:uiPriority w:val="0"/>
    <w:rPr>
      <w:rFonts w:cs="Times New Roman"/>
    </w:rPr>
  </w:style>
  <w:style w:type="character" w:customStyle="1" w:styleId="159">
    <w:name w:val="ht1"/>
    <w:autoRedefine/>
    <w:qFormat/>
    <w:uiPriority w:val="0"/>
    <w:rPr>
      <w:rFonts w:ascii="黑体" w:eastAsia="黑体"/>
      <w:b/>
      <w:bCs/>
    </w:rPr>
  </w:style>
  <w:style w:type="character" w:customStyle="1" w:styleId="160">
    <w:name w:val="标题 Char"/>
    <w:autoRedefine/>
    <w:qFormat/>
    <w:uiPriority w:val="0"/>
    <w:rPr>
      <w:rFonts w:ascii="Cambria" w:hAnsi="Cambria" w:eastAsia="宋体" w:cs="Times New Roman"/>
      <w:b/>
      <w:bCs/>
      <w:kern w:val="2"/>
      <w:sz w:val="32"/>
      <w:szCs w:val="32"/>
    </w:rPr>
  </w:style>
  <w:style w:type="character" w:customStyle="1" w:styleId="161">
    <w:name w:val="14t1"/>
    <w:autoRedefine/>
    <w:qFormat/>
    <w:uiPriority w:val="0"/>
    <w:rPr>
      <w:rFonts w:hint="eastAsia" w:ascii="宋体" w:hAnsi="宋体" w:eastAsia="宋体"/>
      <w:sz w:val="11"/>
      <w:szCs w:val="11"/>
    </w:rPr>
  </w:style>
  <w:style w:type="character" w:customStyle="1" w:styleId="162">
    <w:name w:val="Char Char36"/>
    <w:autoRedefine/>
    <w:qFormat/>
    <w:uiPriority w:val="0"/>
    <w:rPr>
      <w:rFonts w:ascii="仿宋_GB2312" w:eastAsia="仿宋_GB2312" w:cs="MingLiU"/>
      <w:b/>
      <w:sz w:val="24"/>
      <w:szCs w:val="28"/>
    </w:rPr>
  </w:style>
  <w:style w:type="character" w:customStyle="1" w:styleId="163">
    <w:name w:val="文档结构图 Char"/>
    <w:autoRedefine/>
    <w:qFormat/>
    <w:uiPriority w:val="0"/>
    <w:rPr>
      <w:rFonts w:ascii="宋体"/>
      <w:kern w:val="2"/>
      <w:sz w:val="18"/>
      <w:szCs w:val="18"/>
    </w:rPr>
  </w:style>
  <w:style w:type="character" w:customStyle="1" w:styleId="164">
    <w:name w:val="普通文字 Char Char2"/>
    <w:autoRedefine/>
    <w:qFormat/>
    <w:uiPriority w:val="0"/>
    <w:rPr>
      <w:rFonts w:ascii="宋体" w:hAnsi="Courier New"/>
      <w:kern w:val="2"/>
      <w:sz w:val="28"/>
      <w:szCs w:val="28"/>
    </w:rPr>
  </w:style>
  <w:style w:type="character" w:customStyle="1" w:styleId="165">
    <w:name w:val="HTML 预设格式 Char"/>
    <w:autoRedefine/>
    <w:qFormat/>
    <w:uiPriority w:val="0"/>
    <w:rPr>
      <w:rFonts w:ascii="宋体" w:hAnsi="宋体" w:eastAsia="宋体" w:cs="宋体"/>
      <w:color w:val="000000"/>
      <w:sz w:val="24"/>
      <w:szCs w:val="24"/>
    </w:rPr>
  </w:style>
  <w:style w:type="character" w:customStyle="1" w:styleId="166">
    <w:name w:val="纯文本 Char"/>
    <w:qFormat/>
    <w:uiPriority w:val="0"/>
    <w:rPr>
      <w:rFonts w:ascii="宋体" w:hAnsi="Courier New"/>
      <w:sz w:val="28"/>
      <w:szCs w:val="28"/>
    </w:rPr>
  </w:style>
  <w:style w:type="character" w:customStyle="1" w:styleId="167">
    <w:name w:val="批注框文本 Char"/>
    <w:qFormat/>
    <w:uiPriority w:val="0"/>
    <w:rPr>
      <w:sz w:val="18"/>
      <w:szCs w:val="18"/>
    </w:rPr>
  </w:style>
  <w:style w:type="character" w:customStyle="1" w:styleId="168">
    <w:name w:val="页脚 Char"/>
    <w:qFormat/>
    <w:uiPriority w:val="0"/>
    <w:rPr>
      <w:sz w:val="18"/>
      <w:szCs w:val="18"/>
    </w:rPr>
  </w:style>
  <w:style w:type="character" w:customStyle="1" w:styleId="169">
    <w:name w:val="标题 4 Char2"/>
    <w:link w:val="6"/>
    <w:qFormat/>
    <w:uiPriority w:val="0"/>
    <w:rPr>
      <w:rFonts w:ascii="宋体" w:hAnsi="宋体" w:eastAsia="宋体" w:cs="宋体"/>
      <w:b/>
      <w:bCs/>
      <w:sz w:val="24"/>
      <w:szCs w:val="24"/>
      <w:lang w:val="en-US" w:eastAsia="zh-CN" w:bidi="ar-SA"/>
    </w:rPr>
  </w:style>
  <w:style w:type="character" w:customStyle="1" w:styleId="170">
    <w:name w:val="正文文本缩进 3 Char"/>
    <w:qFormat/>
    <w:uiPriority w:val="0"/>
    <w:rPr>
      <w:kern w:val="2"/>
      <w:sz w:val="16"/>
      <w:szCs w:val="16"/>
    </w:rPr>
  </w:style>
  <w:style w:type="character" w:customStyle="1" w:styleId="171">
    <w:name w:val="标题 8 Char"/>
    <w:qFormat/>
    <w:uiPriority w:val="0"/>
    <w:rPr>
      <w:rFonts w:ascii="Arial" w:hAnsi="Arial" w:eastAsia="黑体" w:cs="Times New Roman"/>
      <w:sz w:val="24"/>
      <w:szCs w:val="24"/>
    </w:rPr>
  </w:style>
  <w:style w:type="character" w:customStyle="1" w:styleId="172">
    <w:name w:val="HTML 预设格式 Char3"/>
    <w:link w:val="41"/>
    <w:qFormat/>
    <w:uiPriority w:val="0"/>
    <w:rPr>
      <w:rFonts w:ascii="宋体" w:hAnsi="宋体" w:eastAsia="宋体" w:cs="宋体"/>
      <w:color w:val="000000"/>
      <w:sz w:val="24"/>
      <w:szCs w:val="24"/>
      <w:lang w:val="en-US" w:eastAsia="zh-CN" w:bidi="ar-SA"/>
    </w:rPr>
  </w:style>
  <w:style w:type="character" w:customStyle="1" w:styleId="173">
    <w:name w:val="文档结构图 Char4"/>
    <w:link w:val="15"/>
    <w:qFormat/>
    <w:uiPriority w:val="0"/>
    <w:rPr>
      <w:rFonts w:eastAsia="宋体"/>
      <w:kern w:val="2"/>
      <w:sz w:val="21"/>
      <w:szCs w:val="24"/>
      <w:lang w:val="en-US" w:eastAsia="zh-CN" w:bidi="ar-SA"/>
    </w:rPr>
  </w:style>
  <w:style w:type="character" w:customStyle="1" w:styleId="174">
    <w:name w:val="正文文本缩进 2 Char1"/>
    <w:qFormat/>
    <w:uiPriority w:val="0"/>
    <w:rPr>
      <w:sz w:val="28"/>
      <w:szCs w:val="24"/>
    </w:rPr>
  </w:style>
  <w:style w:type="character" w:customStyle="1" w:styleId="175">
    <w:name w:val="标题 5 Char1"/>
    <w:qFormat/>
    <w:uiPriority w:val="0"/>
    <w:rPr>
      <w:rFonts w:ascii="宋体" w:hAnsi="宋体" w:eastAsia="宋体" w:cs="宋体"/>
      <w:b/>
      <w:bCs/>
      <w:sz w:val="20"/>
      <w:szCs w:val="20"/>
    </w:rPr>
  </w:style>
  <w:style w:type="character" w:customStyle="1" w:styleId="176">
    <w:name w:val="批注文字 Char"/>
    <w:qFormat/>
    <w:uiPriority w:val="0"/>
    <w:rPr>
      <w:rFonts w:ascii="Times New Roman" w:hAnsi="Times New Roman" w:eastAsia="宋体" w:cs="Times New Roman"/>
      <w:kern w:val="2"/>
      <w:sz w:val="21"/>
      <w:szCs w:val="24"/>
    </w:rPr>
  </w:style>
  <w:style w:type="character" w:customStyle="1" w:styleId="177">
    <w:name w:val="日期 Char4"/>
    <w:link w:val="25"/>
    <w:qFormat/>
    <w:uiPriority w:val="0"/>
    <w:rPr>
      <w:rFonts w:eastAsia="宋体"/>
      <w:kern w:val="2"/>
      <w:sz w:val="21"/>
      <w:szCs w:val="24"/>
      <w:lang w:val="en-US" w:eastAsia="zh-CN" w:bidi="ar-SA"/>
    </w:rPr>
  </w:style>
  <w:style w:type="character" w:customStyle="1" w:styleId="178">
    <w:name w:val="style121"/>
    <w:qFormat/>
    <w:uiPriority w:val="0"/>
    <w:rPr>
      <w:rFonts w:hint="eastAsia" w:ascii="宋体" w:hAnsi="宋体" w:eastAsia="宋体"/>
      <w:sz w:val="18"/>
      <w:szCs w:val="18"/>
    </w:rPr>
  </w:style>
  <w:style w:type="character" w:customStyle="1" w:styleId="179">
    <w:name w:val="Section Char"/>
    <w:qFormat/>
    <w:uiPriority w:val="0"/>
    <w:rPr>
      <w:rFonts w:ascii="仿宋_GB2312" w:eastAsia="仿宋_GB2312" w:cs="MingLiU"/>
      <w:b/>
      <w:sz w:val="24"/>
      <w:szCs w:val="28"/>
      <w:lang w:val="en-US" w:eastAsia="zh-CN" w:bidi="ar-SA"/>
    </w:rPr>
  </w:style>
  <w:style w:type="character" w:customStyle="1" w:styleId="180">
    <w:name w:val="正文文本 3 Char1"/>
    <w:qFormat/>
    <w:uiPriority w:val="0"/>
    <w:rPr>
      <w:kern w:val="2"/>
      <w:sz w:val="16"/>
      <w:szCs w:val="16"/>
    </w:rPr>
  </w:style>
  <w:style w:type="character" w:customStyle="1" w:styleId="181">
    <w:name w:val="文档结构图 Char1"/>
    <w:qFormat/>
    <w:uiPriority w:val="0"/>
    <w:rPr>
      <w:rFonts w:ascii="宋体"/>
      <w:kern w:val="2"/>
      <w:sz w:val="18"/>
      <w:szCs w:val="18"/>
    </w:rPr>
  </w:style>
  <w:style w:type="character" w:customStyle="1" w:styleId="182">
    <w:name w:val="_Style 170"/>
    <w:qFormat/>
    <w:uiPriority w:val="0"/>
    <w:rPr>
      <w:i/>
      <w:iCs/>
      <w:color w:val="808080"/>
    </w:rPr>
  </w:style>
  <w:style w:type="character" w:customStyle="1" w:styleId="183">
    <w:name w:val="_Style 171"/>
    <w:qFormat/>
    <w:uiPriority w:val="0"/>
    <w:rPr>
      <w:b/>
      <w:bCs/>
      <w:smallCaps/>
      <w:color w:val="C0504D"/>
      <w:spacing w:val="5"/>
      <w:u w:val="single"/>
    </w:rPr>
  </w:style>
  <w:style w:type="character" w:customStyle="1" w:styleId="184">
    <w:name w:val="标题 9 Char"/>
    <w:qFormat/>
    <w:uiPriority w:val="0"/>
    <w:rPr>
      <w:rFonts w:ascii="Arial" w:hAnsi="Arial" w:eastAsia="黑体" w:cs="Times New Roman"/>
      <w:szCs w:val="21"/>
    </w:rPr>
  </w:style>
  <w:style w:type="character" w:customStyle="1" w:styleId="185">
    <w:name w:val="页眉 Char1"/>
    <w:semiHidden/>
    <w:qFormat/>
    <w:uiPriority w:val="99"/>
    <w:rPr>
      <w:kern w:val="2"/>
      <w:sz w:val="18"/>
      <w:szCs w:val="18"/>
    </w:rPr>
  </w:style>
  <w:style w:type="character" w:customStyle="1" w:styleId="186">
    <w:name w:val="_Style 174"/>
    <w:qFormat/>
    <w:uiPriority w:val="0"/>
    <w:rPr>
      <w:b/>
      <w:bCs/>
      <w:i/>
      <w:iCs/>
      <w:color w:val="4F81BD"/>
    </w:rPr>
  </w:style>
  <w:style w:type="character" w:customStyle="1" w:styleId="187">
    <w:name w:val="Char Char35"/>
    <w:qFormat/>
    <w:uiPriority w:val="0"/>
    <w:rPr>
      <w:rFonts w:ascii="仿宋_GB2312" w:eastAsia="仿宋_GB2312" w:cs="MingLiU"/>
      <w:b/>
      <w:sz w:val="24"/>
      <w:szCs w:val="28"/>
    </w:rPr>
  </w:style>
  <w:style w:type="character" w:customStyle="1" w:styleId="188">
    <w:name w:val="日期 Char2"/>
    <w:qFormat/>
    <w:uiPriority w:val="99"/>
    <w:rPr>
      <w:kern w:val="2"/>
      <w:sz w:val="21"/>
      <w:szCs w:val="24"/>
    </w:rPr>
  </w:style>
  <w:style w:type="character" w:customStyle="1" w:styleId="189">
    <w:name w:val="Char Char22"/>
    <w:qFormat/>
    <w:uiPriority w:val="0"/>
    <w:rPr>
      <w:b/>
      <w:bCs/>
      <w:kern w:val="2"/>
      <w:sz w:val="32"/>
      <w:szCs w:val="32"/>
    </w:rPr>
  </w:style>
  <w:style w:type="character" w:customStyle="1" w:styleId="190">
    <w:name w:val="正文文本缩进 2 Char2"/>
    <w:semiHidden/>
    <w:qFormat/>
    <w:uiPriority w:val="99"/>
    <w:rPr>
      <w:rFonts w:ascii="Calibri" w:hAnsi="Calibri" w:eastAsia="宋体" w:cs="Times New Roman"/>
      <w:szCs w:val="24"/>
    </w:rPr>
  </w:style>
  <w:style w:type="character" w:customStyle="1" w:styleId="191">
    <w:name w:val="明显强调1"/>
    <w:qFormat/>
    <w:uiPriority w:val="0"/>
    <w:rPr>
      <w:b/>
      <w:bCs/>
      <w:i/>
      <w:iCs/>
      <w:color w:val="4F81BD"/>
    </w:rPr>
  </w:style>
  <w:style w:type="character" w:customStyle="1" w:styleId="192">
    <w:name w:val="Char Char14"/>
    <w:qFormat/>
    <w:uiPriority w:val="0"/>
    <w:rPr>
      <w:kern w:val="2"/>
      <w:sz w:val="18"/>
      <w:szCs w:val="18"/>
    </w:rPr>
  </w:style>
  <w:style w:type="character" w:customStyle="1" w:styleId="193">
    <w:name w:val="s3"/>
    <w:qFormat/>
    <w:uiPriority w:val="0"/>
  </w:style>
  <w:style w:type="character" w:customStyle="1" w:styleId="194">
    <w:name w:val="标题 1 Char"/>
    <w:qFormat/>
    <w:uiPriority w:val="0"/>
    <w:rPr>
      <w:rFonts w:ascii="Times New Roman" w:hAnsi="Times New Roman" w:eastAsia="宋体" w:cs="Times New Roman"/>
      <w:b/>
      <w:bCs/>
      <w:kern w:val="44"/>
      <w:sz w:val="44"/>
      <w:szCs w:val="44"/>
    </w:rPr>
  </w:style>
  <w:style w:type="character" w:customStyle="1" w:styleId="195">
    <w:name w:val="日期 Char3"/>
    <w:semiHidden/>
    <w:qFormat/>
    <w:uiPriority w:val="99"/>
    <w:rPr>
      <w:rFonts w:ascii="Calibri" w:hAnsi="Calibri" w:eastAsia="宋体" w:cs="Times New Roman"/>
      <w:szCs w:val="24"/>
    </w:rPr>
  </w:style>
  <w:style w:type="character" w:customStyle="1" w:styleId="196">
    <w:name w:val="标题 1 Char2"/>
    <w:link w:val="3"/>
    <w:qFormat/>
    <w:uiPriority w:val="0"/>
    <w:rPr>
      <w:rFonts w:eastAsia="宋体"/>
      <w:b/>
      <w:bCs/>
      <w:kern w:val="44"/>
      <w:sz w:val="44"/>
      <w:szCs w:val="44"/>
      <w:lang w:val="en-US" w:eastAsia="zh-CN" w:bidi="ar-SA"/>
    </w:rPr>
  </w:style>
  <w:style w:type="character" w:customStyle="1" w:styleId="197">
    <w:name w:val="title11"/>
    <w:qFormat/>
    <w:uiPriority w:val="0"/>
    <w:rPr>
      <w:b/>
      <w:bCs/>
      <w:color w:val="FFFFFF"/>
      <w:sz w:val="11"/>
      <w:szCs w:val="11"/>
    </w:rPr>
  </w:style>
  <w:style w:type="character" w:customStyle="1" w:styleId="198">
    <w:name w:val="明显引用 Char2"/>
    <w:qFormat/>
    <w:uiPriority w:val="99"/>
    <w:rPr>
      <w:b/>
      <w:bCs/>
      <w:i/>
      <w:iCs/>
      <w:color w:val="4F81BD"/>
      <w:kern w:val="2"/>
      <w:sz w:val="21"/>
      <w:szCs w:val="24"/>
    </w:rPr>
  </w:style>
  <w:style w:type="character" w:customStyle="1" w:styleId="199">
    <w:name w:val="引用 字符"/>
    <w:link w:val="128"/>
    <w:qFormat/>
    <w:uiPriority w:val="0"/>
    <w:rPr>
      <w:i/>
      <w:iCs/>
      <w:color w:val="000000"/>
      <w:kern w:val="2"/>
      <w:sz w:val="21"/>
      <w:szCs w:val="22"/>
      <w:lang w:bidi="ar-SA"/>
    </w:rPr>
  </w:style>
  <w:style w:type="character" w:customStyle="1" w:styleId="200">
    <w:name w:val="批注框文本 Char3"/>
    <w:semiHidden/>
    <w:qFormat/>
    <w:uiPriority w:val="99"/>
    <w:rPr>
      <w:rFonts w:ascii="Calibri" w:hAnsi="Calibri" w:eastAsia="宋体" w:cs="Times New Roman"/>
      <w:sz w:val="18"/>
      <w:szCs w:val="18"/>
    </w:rPr>
  </w:style>
  <w:style w:type="character" w:customStyle="1" w:styleId="201">
    <w:name w:val="标题 2 Char2"/>
    <w:link w:val="4"/>
    <w:qFormat/>
    <w:uiPriority w:val="0"/>
    <w:rPr>
      <w:rFonts w:ascii="Cambria" w:hAnsi="Cambria" w:eastAsia="宋体"/>
      <w:b/>
      <w:bCs/>
      <w:kern w:val="2"/>
      <w:sz w:val="32"/>
      <w:szCs w:val="32"/>
      <w:lang w:val="en-US" w:eastAsia="zh-CN" w:bidi="ar-SA"/>
    </w:rPr>
  </w:style>
  <w:style w:type="character" w:customStyle="1" w:styleId="202">
    <w:name w:val="Char Char33"/>
    <w:qFormat/>
    <w:uiPriority w:val="0"/>
    <w:rPr>
      <w:rFonts w:ascii="仿宋_GB2312" w:eastAsia="仿宋_GB2312" w:cs="MingLiU"/>
      <w:b/>
      <w:sz w:val="24"/>
      <w:szCs w:val="28"/>
    </w:rPr>
  </w:style>
  <w:style w:type="character" w:customStyle="1" w:styleId="203">
    <w:name w:val="标题 2 Char"/>
    <w:qFormat/>
    <w:uiPriority w:val="0"/>
    <w:rPr>
      <w:rFonts w:ascii="仿宋_GB2312" w:hAnsi="Calibri" w:eastAsia="仿宋_GB2312" w:cs="Times New Roman"/>
      <w:b/>
      <w:spacing w:val="1"/>
      <w:w w:val="99"/>
      <w:kern w:val="0"/>
      <w:sz w:val="28"/>
      <w:szCs w:val="32"/>
    </w:rPr>
  </w:style>
  <w:style w:type="character" w:customStyle="1" w:styleId="204">
    <w:name w:val="l1"/>
    <w:basedOn w:val="48"/>
    <w:qFormat/>
    <w:uiPriority w:val="0"/>
  </w:style>
  <w:style w:type="character" w:customStyle="1" w:styleId="205">
    <w:name w:val="手改 Char Char"/>
    <w:qFormat/>
    <w:uiPriority w:val="0"/>
    <w:rPr>
      <w:kern w:val="2"/>
      <w:sz w:val="21"/>
      <w:szCs w:val="24"/>
    </w:rPr>
  </w:style>
  <w:style w:type="character" w:customStyle="1" w:styleId="206">
    <w:name w:val="style21"/>
    <w:qFormat/>
    <w:uiPriority w:val="0"/>
    <w:rPr>
      <w:b/>
      <w:bCs/>
      <w:sz w:val="28"/>
      <w:szCs w:val="28"/>
    </w:rPr>
  </w:style>
  <w:style w:type="character" w:customStyle="1" w:styleId="207">
    <w:name w:val="Char Char24"/>
    <w:qFormat/>
    <w:uiPriority w:val="0"/>
    <w:rPr>
      <w:b/>
      <w:bCs/>
      <w:kern w:val="44"/>
      <w:sz w:val="44"/>
      <w:szCs w:val="44"/>
    </w:rPr>
  </w:style>
  <w:style w:type="character" w:customStyle="1" w:styleId="208">
    <w:name w:val="页脚 Char2"/>
    <w:link w:val="29"/>
    <w:qFormat/>
    <w:uiPriority w:val="0"/>
    <w:rPr>
      <w:rFonts w:eastAsia="宋体"/>
      <w:kern w:val="2"/>
      <w:sz w:val="18"/>
      <w:szCs w:val="18"/>
      <w:lang w:val="en-US" w:eastAsia="zh-CN" w:bidi="ar-SA"/>
    </w:rPr>
  </w:style>
  <w:style w:type="character" w:customStyle="1" w:styleId="209">
    <w:name w:val="_Style 197"/>
    <w:qFormat/>
    <w:uiPriority w:val="0"/>
    <w:rPr>
      <w:b/>
      <w:bCs/>
      <w:smallCaps/>
      <w:spacing w:val="5"/>
    </w:rPr>
  </w:style>
  <w:style w:type="character" w:customStyle="1" w:styleId="210">
    <w:name w:val="纯文本 Char1"/>
    <w:qFormat/>
    <w:uiPriority w:val="0"/>
    <w:rPr>
      <w:rFonts w:ascii="宋体" w:hAnsi="Courier New" w:cs="Courier New"/>
      <w:kern w:val="2"/>
      <w:sz w:val="21"/>
      <w:szCs w:val="21"/>
    </w:rPr>
  </w:style>
  <w:style w:type="character" w:customStyle="1" w:styleId="211">
    <w:name w:val="尾注文本 Char"/>
    <w:qFormat/>
    <w:uiPriority w:val="0"/>
    <w:rPr>
      <w:kern w:val="2"/>
      <w:sz w:val="21"/>
      <w:szCs w:val="24"/>
    </w:rPr>
  </w:style>
  <w:style w:type="character" w:customStyle="1" w:styleId="212">
    <w:name w:val="日期 Char1"/>
    <w:qFormat/>
    <w:uiPriority w:val="0"/>
    <w:rPr>
      <w:kern w:val="2"/>
      <w:sz w:val="21"/>
      <w:szCs w:val="22"/>
    </w:rPr>
  </w:style>
  <w:style w:type="character" w:customStyle="1" w:styleId="213">
    <w:name w:val="纯文本 Char3"/>
    <w:link w:val="23"/>
    <w:qFormat/>
    <w:uiPriority w:val="0"/>
    <w:rPr>
      <w:rFonts w:ascii="宋体" w:hAnsi="Courier New" w:eastAsia="宋体" w:cs="Courier New"/>
      <w:kern w:val="2"/>
      <w:sz w:val="21"/>
      <w:szCs w:val="21"/>
      <w:lang w:val="en-US" w:eastAsia="zh-CN" w:bidi="ar-SA"/>
    </w:rPr>
  </w:style>
  <w:style w:type="character" w:customStyle="1" w:styleId="214">
    <w:name w:val="正文文本 Char1"/>
    <w:qFormat/>
    <w:uiPriority w:val="0"/>
    <w:rPr>
      <w:kern w:val="2"/>
      <w:sz w:val="21"/>
      <w:szCs w:val="22"/>
    </w:rPr>
  </w:style>
  <w:style w:type="character" w:customStyle="1" w:styleId="215">
    <w:name w:val="标题 9 Char1"/>
    <w:qFormat/>
    <w:uiPriority w:val="0"/>
    <w:rPr>
      <w:rFonts w:ascii="Times New Roman" w:hAnsi="Times New Roman" w:eastAsia="仿宋_GB2312" w:cs="Times New Roman"/>
      <w:sz w:val="30"/>
      <w:szCs w:val="20"/>
    </w:rPr>
  </w:style>
  <w:style w:type="character" w:customStyle="1" w:styleId="216">
    <w:name w:val="批注框文本 Char4"/>
    <w:link w:val="28"/>
    <w:qFormat/>
    <w:uiPriority w:val="0"/>
    <w:rPr>
      <w:rFonts w:eastAsia="宋体"/>
      <w:kern w:val="2"/>
      <w:sz w:val="18"/>
      <w:szCs w:val="18"/>
      <w:lang w:val="en-US" w:eastAsia="zh-CN" w:bidi="ar-SA"/>
    </w:rPr>
  </w:style>
  <w:style w:type="character" w:customStyle="1" w:styleId="217">
    <w:name w:val="脚注文本 Char1"/>
    <w:qFormat/>
    <w:uiPriority w:val="0"/>
    <w:rPr>
      <w:rFonts w:ascii="Arial" w:hAnsi="Arial" w:cs="Arial"/>
      <w:sz w:val="18"/>
      <w:szCs w:val="18"/>
      <w:lang w:eastAsia="en-US"/>
    </w:rPr>
  </w:style>
  <w:style w:type="character" w:customStyle="1" w:styleId="218">
    <w:name w:val="正文文本缩进 Char"/>
    <w:qFormat/>
    <w:uiPriority w:val="0"/>
    <w:rPr>
      <w:rFonts w:ascii="黑体" w:hAnsi="宋体" w:eastAsia="黑体"/>
      <w:color w:val="000000"/>
      <w:sz w:val="28"/>
      <w:szCs w:val="32"/>
    </w:rPr>
  </w:style>
  <w:style w:type="character" w:customStyle="1" w:styleId="219">
    <w:name w:val="HTML 预设格式 Char1"/>
    <w:qFormat/>
    <w:uiPriority w:val="0"/>
    <w:rPr>
      <w:rFonts w:ascii="宋体" w:hAnsi="宋体" w:cs="宋体"/>
      <w:color w:val="000000"/>
      <w:sz w:val="24"/>
      <w:szCs w:val="24"/>
    </w:rPr>
  </w:style>
  <w:style w:type="character" w:customStyle="1" w:styleId="220">
    <w:name w:val="引用 Char3"/>
    <w:qFormat/>
    <w:uiPriority w:val="29"/>
    <w:rPr>
      <w:rFonts w:ascii="Calibri" w:hAnsi="Calibri" w:eastAsia="宋体" w:cs="Times New Roman"/>
      <w:i/>
      <w:iCs/>
      <w:color w:val="000000"/>
      <w:szCs w:val="24"/>
    </w:rPr>
  </w:style>
  <w:style w:type="character" w:customStyle="1" w:styleId="221">
    <w:name w:val="尾注文本 Char3"/>
    <w:link w:val="27"/>
    <w:qFormat/>
    <w:uiPriority w:val="0"/>
    <w:rPr>
      <w:rFonts w:ascii="Arial" w:hAnsi="Arial" w:eastAsia="宋体" w:cs="Arial"/>
      <w:szCs w:val="24"/>
      <w:lang w:val="en-US" w:eastAsia="en-US" w:bidi="ar-SA"/>
    </w:rPr>
  </w:style>
  <w:style w:type="character" w:customStyle="1" w:styleId="222">
    <w:name w:val="标题 7 Char1"/>
    <w:qFormat/>
    <w:uiPriority w:val="0"/>
    <w:rPr>
      <w:rFonts w:ascii="Times New Roman" w:hAnsi="Times New Roman" w:eastAsia="仿宋_GB2312" w:cs="Times New Roman"/>
      <w:sz w:val="30"/>
      <w:szCs w:val="20"/>
    </w:rPr>
  </w:style>
  <w:style w:type="character" w:customStyle="1" w:styleId="223">
    <w:name w:val="普通文字 Char Char1"/>
    <w:qFormat/>
    <w:uiPriority w:val="0"/>
    <w:rPr>
      <w:rFonts w:ascii="宋体" w:hAnsi="Courier New"/>
      <w:kern w:val="2"/>
      <w:sz w:val="28"/>
      <w:szCs w:val="28"/>
    </w:rPr>
  </w:style>
  <w:style w:type="character" w:customStyle="1" w:styleId="224">
    <w:name w:val="明显参考1"/>
    <w:qFormat/>
    <w:uiPriority w:val="0"/>
    <w:rPr>
      <w:b/>
      <w:bCs/>
      <w:smallCaps/>
      <w:color w:val="C0504D"/>
      <w:spacing w:val="5"/>
      <w:u w:val="single"/>
    </w:rPr>
  </w:style>
  <w:style w:type="character" w:customStyle="1" w:styleId="225">
    <w:name w:val="正文文本缩进 Char1"/>
    <w:qFormat/>
    <w:uiPriority w:val="0"/>
    <w:rPr>
      <w:kern w:val="2"/>
      <w:sz w:val="21"/>
      <w:szCs w:val="24"/>
    </w:rPr>
  </w:style>
  <w:style w:type="character" w:customStyle="1" w:styleId="226">
    <w:name w:val="页眉 Char"/>
    <w:qFormat/>
    <w:uiPriority w:val="0"/>
    <w:rPr>
      <w:sz w:val="18"/>
      <w:szCs w:val="18"/>
    </w:rPr>
  </w:style>
  <w:style w:type="character" w:customStyle="1" w:styleId="227">
    <w:name w:val="style31"/>
    <w:qFormat/>
    <w:uiPriority w:val="0"/>
    <w:rPr>
      <w:sz w:val="10"/>
      <w:szCs w:val="10"/>
    </w:rPr>
  </w:style>
  <w:style w:type="character" w:customStyle="1" w:styleId="228">
    <w:name w:val="日期 Char"/>
    <w:qFormat/>
    <w:uiPriority w:val="0"/>
    <w:rPr>
      <w:rFonts w:eastAsia="宋体"/>
      <w:szCs w:val="24"/>
    </w:rPr>
  </w:style>
  <w:style w:type="character" w:customStyle="1" w:styleId="229">
    <w:name w:val="标题 1 Char1"/>
    <w:qFormat/>
    <w:uiPriority w:val="0"/>
    <w:rPr>
      <w:rFonts w:ascii="Times New Roman" w:hAnsi="Times New Roman" w:eastAsia="宋体" w:cs="Times New Roman"/>
      <w:b/>
      <w:bCs/>
      <w:kern w:val="44"/>
      <w:sz w:val="44"/>
      <w:szCs w:val="44"/>
    </w:rPr>
  </w:style>
  <w:style w:type="character" w:customStyle="1" w:styleId="230">
    <w:name w:val="main_tdbg_7601"/>
    <w:qFormat/>
    <w:uiPriority w:val="0"/>
    <w:rPr>
      <w:sz w:val="14"/>
      <w:szCs w:val="14"/>
    </w:rPr>
  </w:style>
  <w:style w:type="character" w:customStyle="1" w:styleId="231">
    <w:name w:val="尾注文本 Char1"/>
    <w:qFormat/>
    <w:uiPriority w:val="0"/>
    <w:rPr>
      <w:rFonts w:ascii="Arial" w:hAnsi="Arial" w:cs="Arial"/>
      <w:szCs w:val="24"/>
      <w:lang w:eastAsia="en-US"/>
    </w:rPr>
  </w:style>
  <w:style w:type="character" w:customStyle="1" w:styleId="232">
    <w:name w:val="副标题 Char2"/>
    <w:qFormat/>
    <w:uiPriority w:val="11"/>
    <w:rPr>
      <w:rFonts w:ascii="Cambria" w:hAnsi="Cambria" w:eastAsia="宋体" w:cs="Times New Roman"/>
      <w:b/>
      <w:bCs/>
      <w:kern w:val="28"/>
      <w:sz w:val="32"/>
      <w:szCs w:val="32"/>
    </w:rPr>
  </w:style>
  <w:style w:type="character" w:customStyle="1" w:styleId="233">
    <w:name w:val="正文文本缩进 3 Char2"/>
    <w:semiHidden/>
    <w:qFormat/>
    <w:uiPriority w:val="99"/>
    <w:rPr>
      <w:rFonts w:ascii="Calibri" w:hAnsi="Calibri" w:eastAsia="宋体" w:cs="Times New Roman"/>
      <w:sz w:val="16"/>
      <w:szCs w:val="16"/>
    </w:rPr>
  </w:style>
  <w:style w:type="character" w:customStyle="1" w:styleId="234">
    <w:name w:val="Char Char34"/>
    <w:qFormat/>
    <w:uiPriority w:val="0"/>
    <w:rPr>
      <w:rFonts w:ascii="仿宋_GB2312" w:eastAsia="仿宋_GB2312" w:cs="MingLiU"/>
      <w:b/>
      <w:spacing w:val="1"/>
      <w:w w:val="99"/>
      <w:sz w:val="28"/>
      <w:szCs w:val="32"/>
    </w:rPr>
  </w:style>
  <w:style w:type="character" w:customStyle="1" w:styleId="235">
    <w:name w:val="docpro"/>
    <w:basedOn w:val="48"/>
    <w:qFormat/>
    <w:uiPriority w:val="0"/>
  </w:style>
  <w:style w:type="character" w:customStyle="1" w:styleId="236">
    <w:name w:val="正文文本 Char4"/>
    <w:link w:val="2"/>
    <w:qFormat/>
    <w:uiPriority w:val="0"/>
    <w:rPr>
      <w:rFonts w:eastAsia="宋体"/>
      <w:kern w:val="2"/>
      <w:sz w:val="21"/>
      <w:szCs w:val="24"/>
      <w:lang w:val="en-US" w:eastAsia="zh-CN" w:bidi="ar-SA"/>
    </w:rPr>
  </w:style>
  <w:style w:type="character" w:customStyle="1" w:styleId="237">
    <w:name w:val="ITTHEADER1 Char"/>
    <w:qFormat/>
    <w:uiPriority w:val="0"/>
    <w:rPr>
      <w:rFonts w:eastAsia="黑体"/>
      <w:kern w:val="2"/>
      <w:sz w:val="44"/>
      <w:szCs w:val="44"/>
      <w:lang w:val="en-US" w:eastAsia="zh-CN" w:bidi="ar-SA"/>
    </w:rPr>
  </w:style>
  <w:style w:type="character" w:customStyle="1" w:styleId="238">
    <w:name w:val="副标题 Char"/>
    <w:qFormat/>
    <w:uiPriority w:val="0"/>
    <w:rPr>
      <w:rFonts w:ascii="Cambria" w:hAnsi="Cambria" w:eastAsia="宋体" w:cs="Times New Roman"/>
      <w:b/>
      <w:bCs/>
      <w:kern w:val="28"/>
      <w:sz w:val="32"/>
      <w:szCs w:val="32"/>
    </w:rPr>
  </w:style>
  <w:style w:type="character" w:customStyle="1" w:styleId="239">
    <w:name w:val="标题 6 Char2"/>
    <w:link w:val="8"/>
    <w:qFormat/>
    <w:uiPriority w:val="0"/>
    <w:rPr>
      <w:rFonts w:hAnsi="Arial" w:eastAsia="仿宋_GB2312"/>
      <w:sz w:val="30"/>
      <w:lang w:val="en-US" w:eastAsia="zh-CN" w:bidi="ar-SA"/>
    </w:rPr>
  </w:style>
  <w:style w:type="character" w:customStyle="1" w:styleId="240">
    <w:name w:val="标题 Char2"/>
    <w:qFormat/>
    <w:uiPriority w:val="10"/>
    <w:rPr>
      <w:rFonts w:ascii="Cambria" w:hAnsi="Cambria" w:eastAsia="宋体" w:cs="Times New Roman"/>
      <w:b/>
      <w:bCs/>
      <w:sz w:val="32"/>
      <w:szCs w:val="32"/>
    </w:rPr>
  </w:style>
  <w:style w:type="character" w:customStyle="1" w:styleId="241">
    <w:name w:val="正文文本 Char2"/>
    <w:qFormat/>
    <w:uiPriority w:val="99"/>
    <w:rPr>
      <w:kern w:val="2"/>
      <w:sz w:val="21"/>
      <w:szCs w:val="24"/>
    </w:rPr>
  </w:style>
  <w:style w:type="character" w:customStyle="1" w:styleId="242">
    <w:name w:val="正文文本 2 Char"/>
    <w:link w:val="40"/>
    <w:qFormat/>
    <w:uiPriority w:val="0"/>
    <w:rPr>
      <w:i/>
      <w:iCs/>
      <w:kern w:val="2"/>
      <w:sz w:val="26"/>
      <w:szCs w:val="24"/>
    </w:rPr>
  </w:style>
  <w:style w:type="character" w:customStyle="1" w:styleId="243">
    <w:name w:val="0d1471"/>
    <w:qFormat/>
    <w:uiPriority w:val="0"/>
    <w:rPr>
      <w:color w:val="000000"/>
      <w:sz w:val="11"/>
      <w:szCs w:val="11"/>
      <w:u w:val="none"/>
    </w:rPr>
  </w:style>
  <w:style w:type="character" w:customStyle="1" w:styleId="244">
    <w:name w:val="批注主题 Char"/>
    <w:qFormat/>
    <w:uiPriority w:val="0"/>
    <w:rPr>
      <w:rFonts w:ascii="宋体" w:hAnsi="宋体" w:eastAsia="宋体"/>
      <w:kern w:val="2"/>
      <w:sz w:val="24"/>
      <w:szCs w:val="28"/>
      <w:lang w:val="en-US" w:eastAsia="zh-CN" w:bidi="ar-SA"/>
    </w:rPr>
  </w:style>
  <w:style w:type="character" w:customStyle="1" w:styleId="245">
    <w:name w:val="正文文本 2 Char1"/>
    <w:semiHidden/>
    <w:qFormat/>
    <w:uiPriority w:val="99"/>
    <w:rPr>
      <w:rFonts w:ascii="Calibri" w:hAnsi="Calibri" w:eastAsia="宋体" w:cs="Times New Roman"/>
      <w:szCs w:val="24"/>
    </w:rPr>
  </w:style>
  <w:style w:type="character" w:customStyle="1" w:styleId="246">
    <w:name w:val="批注框文本 Char1"/>
    <w:qFormat/>
    <w:uiPriority w:val="0"/>
    <w:rPr>
      <w:kern w:val="2"/>
      <w:sz w:val="18"/>
      <w:szCs w:val="18"/>
    </w:rPr>
  </w:style>
  <w:style w:type="character" w:customStyle="1" w:styleId="247">
    <w:name w:val="标题 Char3"/>
    <w:link w:val="44"/>
    <w:qFormat/>
    <w:uiPriority w:val="0"/>
    <w:rPr>
      <w:rFonts w:eastAsia="宋体"/>
      <w:szCs w:val="24"/>
      <w:u w:val="single"/>
      <w:lang w:val="en-US" w:eastAsia="en-US" w:bidi="ar-SA"/>
    </w:rPr>
  </w:style>
  <w:style w:type="character" w:customStyle="1" w:styleId="248">
    <w:name w:val="正文文本缩进 2 Char3"/>
    <w:link w:val="26"/>
    <w:qFormat/>
    <w:uiPriority w:val="0"/>
    <w:rPr>
      <w:rFonts w:eastAsia="宋体"/>
      <w:sz w:val="28"/>
      <w:szCs w:val="24"/>
      <w:lang w:val="en-US" w:eastAsia="zh-CN" w:bidi="ar-SA"/>
    </w:rPr>
  </w:style>
  <w:style w:type="character" w:customStyle="1" w:styleId="249">
    <w:name w:val="引用 Char"/>
    <w:link w:val="126"/>
    <w:qFormat/>
    <w:uiPriority w:val="0"/>
    <w:rPr>
      <w:rFonts w:ascii="Times New Roman" w:hAnsi="Times New Roman" w:eastAsia="宋体" w:cs="Times New Roman"/>
      <w:i/>
      <w:iCs/>
      <w:color w:val="000000"/>
      <w:kern w:val="2"/>
      <w:sz w:val="21"/>
      <w:szCs w:val="24"/>
    </w:rPr>
  </w:style>
  <w:style w:type="character" w:customStyle="1" w:styleId="250">
    <w:name w:val="font161"/>
    <w:qFormat/>
    <w:uiPriority w:val="0"/>
    <w:rPr>
      <w:b/>
      <w:bCs/>
      <w:sz w:val="32"/>
      <w:szCs w:val="32"/>
    </w:rPr>
  </w:style>
  <w:style w:type="character" w:customStyle="1" w:styleId="251">
    <w:name w:val="正文文本缩进 Char3"/>
    <w:link w:val="18"/>
    <w:qFormat/>
    <w:uiPriority w:val="0"/>
    <w:rPr>
      <w:rFonts w:eastAsia="宋体"/>
      <w:kern w:val="2"/>
      <w:sz w:val="21"/>
      <w:szCs w:val="24"/>
      <w:lang w:val="en-US" w:eastAsia="zh-CN" w:bidi="ar-SA"/>
    </w:rPr>
  </w:style>
  <w:style w:type="character" w:customStyle="1" w:styleId="252">
    <w:name w:val="标题 9 Char2"/>
    <w:link w:val="12"/>
    <w:qFormat/>
    <w:uiPriority w:val="0"/>
    <w:rPr>
      <w:rFonts w:eastAsia="仿宋_GB2312"/>
      <w:sz w:val="30"/>
      <w:lang w:val="en-US" w:eastAsia="zh-CN" w:bidi="ar-SA"/>
    </w:rPr>
  </w:style>
  <w:style w:type="character" w:customStyle="1" w:styleId="253">
    <w:name w:val="标题 8 Char2"/>
    <w:link w:val="11"/>
    <w:qFormat/>
    <w:uiPriority w:val="0"/>
    <w:rPr>
      <w:rFonts w:hAnsi="Arial" w:eastAsia="仿宋_GB2312"/>
      <w:sz w:val="30"/>
      <w:lang w:val="en-US" w:eastAsia="zh-CN" w:bidi="ar-SA"/>
    </w:rPr>
  </w:style>
  <w:style w:type="character" w:customStyle="1" w:styleId="254">
    <w:name w:val="Char Char32"/>
    <w:qFormat/>
    <w:uiPriority w:val="0"/>
    <w:rPr>
      <w:rFonts w:ascii="仿宋_GB2312" w:eastAsia="仿宋_GB2312" w:cs="MingLiU"/>
      <w:b/>
      <w:spacing w:val="1"/>
      <w:w w:val="99"/>
      <w:sz w:val="28"/>
      <w:szCs w:val="32"/>
    </w:rPr>
  </w:style>
  <w:style w:type="character" w:customStyle="1" w:styleId="255">
    <w:name w:val="正文文本缩进 3 Char3"/>
    <w:link w:val="37"/>
    <w:qFormat/>
    <w:uiPriority w:val="0"/>
    <w:rPr>
      <w:rFonts w:ascii="宋体" w:hAnsi="宋体" w:eastAsia="宋体"/>
      <w:kern w:val="2"/>
      <w:sz w:val="28"/>
      <w:szCs w:val="28"/>
      <w:lang w:val="en-US" w:eastAsia="zh-CN" w:bidi="ar-SA"/>
    </w:rPr>
  </w:style>
  <w:style w:type="character" w:customStyle="1" w:styleId="256">
    <w:name w:val="标题 2 Char1"/>
    <w:link w:val="4"/>
    <w:qFormat/>
    <w:uiPriority w:val="0"/>
    <w:rPr>
      <w:rFonts w:ascii="Cambria" w:hAnsi="Cambria" w:eastAsia="宋体" w:cs="Times New Roman"/>
      <w:b/>
      <w:bCs/>
      <w:kern w:val="2"/>
      <w:sz w:val="32"/>
      <w:szCs w:val="32"/>
    </w:rPr>
  </w:style>
  <w:style w:type="character" w:customStyle="1" w:styleId="257">
    <w:name w:val="ss16"/>
    <w:qFormat/>
    <w:uiPriority w:val="0"/>
    <w:rPr>
      <w:rFonts w:hint="eastAsia" w:ascii="宋体" w:hAnsi="宋体" w:eastAsia="宋体"/>
      <w:color w:val="000000"/>
      <w:sz w:val="9"/>
      <w:szCs w:val="9"/>
    </w:rPr>
  </w:style>
  <w:style w:type="character" w:customStyle="1" w:styleId="258">
    <w:name w:val="批注主题 Char3"/>
    <w:semiHidden/>
    <w:qFormat/>
    <w:uiPriority w:val="99"/>
    <w:rPr>
      <w:rFonts w:ascii="Calibri" w:hAnsi="Calibri" w:eastAsia="宋体" w:cs="Times New Roman"/>
      <w:b/>
      <w:bCs/>
      <w:szCs w:val="24"/>
    </w:rPr>
  </w:style>
  <w:style w:type="character" w:customStyle="1" w:styleId="259">
    <w:name w:val="明显引用 Char1"/>
    <w:link w:val="143"/>
    <w:qFormat/>
    <w:uiPriority w:val="30"/>
    <w:rPr>
      <w:b/>
      <w:bCs/>
      <w:i/>
      <w:iCs/>
      <w:color w:val="4F81BD"/>
      <w:kern w:val="2"/>
      <w:sz w:val="21"/>
    </w:rPr>
  </w:style>
  <w:style w:type="character" w:customStyle="1" w:styleId="260">
    <w:name w:val="HTML 预设格式 Char2"/>
    <w:semiHidden/>
    <w:qFormat/>
    <w:uiPriority w:val="99"/>
    <w:rPr>
      <w:rFonts w:ascii="Courier New" w:hAnsi="Courier New" w:eastAsia="宋体" w:cs="Courier New"/>
      <w:sz w:val="20"/>
      <w:szCs w:val="20"/>
    </w:rPr>
  </w:style>
  <w:style w:type="character" w:customStyle="1" w:styleId="261">
    <w:name w:val="Char Char17"/>
    <w:qFormat/>
    <w:uiPriority w:val="0"/>
    <w:rPr>
      <w:kern w:val="2"/>
      <w:sz w:val="26"/>
      <w:szCs w:val="24"/>
    </w:rPr>
  </w:style>
  <w:style w:type="character" w:customStyle="1" w:styleId="262">
    <w:name w:val="标题 3 Char1"/>
    <w:qFormat/>
    <w:uiPriority w:val="0"/>
    <w:rPr>
      <w:rFonts w:ascii="Times New Roman" w:hAnsi="Times New Roman" w:eastAsia="宋体" w:cs="Times New Roman"/>
      <w:b/>
      <w:bCs/>
      <w:kern w:val="2"/>
      <w:sz w:val="32"/>
      <w:szCs w:val="32"/>
    </w:rPr>
  </w:style>
  <w:style w:type="character" w:customStyle="1" w:styleId="263">
    <w:name w:val="标题 5 Char"/>
    <w:qFormat/>
    <w:uiPriority w:val="0"/>
    <w:rPr>
      <w:rFonts w:ascii="Calibri" w:hAnsi="Calibri" w:eastAsia="宋体" w:cs="Times New Roman"/>
      <w:b/>
      <w:bCs/>
      <w:sz w:val="28"/>
      <w:szCs w:val="28"/>
    </w:rPr>
  </w:style>
  <w:style w:type="character" w:customStyle="1" w:styleId="264">
    <w:name w:val="页脚 Char1"/>
    <w:semiHidden/>
    <w:qFormat/>
    <w:uiPriority w:val="99"/>
    <w:rPr>
      <w:kern w:val="2"/>
      <w:sz w:val="18"/>
      <w:szCs w:val="18"/>
    </w:rPr>
  </w:style>
  <w:style w:type="character" w:customStyle="1" w:styleId="265">
    <w:name w:val="unnamed1"/>
    <w:basedOn w:val="48"/>
    <w:qFormat/>
    <w:uiPriority w:val="0"/>
  </w:style>
  <w:style w:type="character" w:customStyle="1" w:styleId="266">
    <w:name w:val="Char Char9"/>
    <w:qFormat/>
    <w:locked/>
    <w:uiPriority w:val="0"/>
    <w:rPr>
      <w:rFonts w:ascii="仿宋_GB2312" w:eastAsia="仿宋_GB2312" w:cs="MingLiU"/>
      <w:b/>
      <w:sz w:val="24"/>
      <w:szCs w:val="28"/>
      <w:lang w:val="en-US" w:eastAsia="zh-CN" w:bidi="ar-SA"/>
    </w:rPr>
  </w:style>
  <w:style w:type="character" w:customStyle="1" w:styleId="267">
    <w:name w:val="批注主题 Char1"/>
    <w:qFormat/>
    <w:uiPriority w:val="0"/>
    <w:rPr>
      <w:b/>
      <w:bCs/>
      <w:kern w:val="2"/>
      <w:sz w:val="21"/>
      <w:szCs w:val="22"/>
    </w:rPr>
  </w:style>
  <w:style w:type="character" w:customStyle="1" w:styleId="268">
    <w:name w:val="正文文本 3 Char3"/>
    <w:link w:val="17"/>
    <w:qFormat/>
    <w:uiPriority w:val="0"/>
    <w:rPr>
      <w:rFonts w:eastAsia="宋体"/>
      <w:kern w:val="2"/>
      <w:sz w:val="16"/>
      <w:szCs w:val="16"/>
      <w:lang w:val="en-US" w:eastAsia="zh-CN" w:bidi="ar-SA"/>
    </w:rPr>
  </w:style>
  <w:style w:type="character" w:customStyle="1" w:styleId="269">
    <w:name w:val="纯文本 Char2"/>
    <w:semiHidden/>
    <w:qFormat/>
    <w:uiPriority w:val="99"/>
    <w:rPr>
      <w:rFonts w:ascii="宋体" w:hAnsi="Courier New" w:eastAsia="宋体" w:cs="Courier New"/>
      <w:szCs w:val="21"/>
    </w:rPr>
  </w:style>
  <w:style w:type="character" w:customStyle="1" w:styleId="270">
    <w:name w:val="intel3"/>
    <w:basedOn w:val="48"/>
    <w:qFormat/>
    <w:uiPriority w:val="0"/>
  </w:style>
  <w:style w:type="character" w:customStyle="1" w:styleId="271">
    <w:name w:val="subhead1"/>
    <w:qFormat/>
    <w:uiPriority w:val="0"/>
    <w:rPr>
      <w:rFonts w:hint="default" w:ascii="Tahoma" w:hAnsi="Tahoma" w:cs="Tahoma"/>
      <w:color w:val="000000"/>
      <w:sz w:val="18"/>
      <w:szCs w:val="18"/>
      <w:u w:val="none"/>
      <w:shd w:val="clear" w:color="auto" w:fill="FFFFFF"/>
    </w:rPr>
  </w:style>
  <w:style w:type="character" w:customStyle="1" w:styleId="272">
    <w:name w:val="脚注文本 Char"/>
    <w:qFormat/>
    <w:uiPriority w:val="0"/>
    <w:rPr>
      <w:rFonts w:ascii="Arial" w:hAnsi="Arial" w:eastAsia="宋体" w:cs="Arial"/>
      <w:sz w:val="18"/>
      <w:szCs w:val="18"/>
      <w:lang w:eastAsia="en-US"/>
    </w:rPr>
  </w:style>
  <w:style w:type="character" w:customStyle="1" w:styleId="273">
    <w:name w:val="引用 Char1"/>
    <w:link w:val="148"/>
    <w:qFormat/>
    <w:uiPriority w:val="29"/>
    <w:rPr>
      <w:i/>
      <w:iCs/>
      <w:color w:val="000000"/>
      <w:kern w:val="2"/>
      <w:sz w:val="21"/>
    </w:rPr>
  </w:style>
  <w:style w:type="character" w:customStyle="1" w:styleId="274">
    <w:name w:val="正文文本缩进 2 Char"/>
    <w:qFormat/>
    <w:uiPriority w:val="0"/>
    <w:rPr>
      <w:kern w:val="2"/>
      <w:sz w:val="21"/>
      <w:szCs w:val="24"/>
    </w:rPr>
  </w:style>
  <w:style w:type="character" w:customStyle="1" w:styleId="275">
    <w:name w:val="脚注文本 Char2"/>
    <w:semiHidden/>
    <w:qFormat/>
    <w:uiPriority w:val="99"/>
    <w:rPr>
      <w:rFonts w:ascii="Calibri" w:hAnsi="Calibri" w:eastAsia="宋体" w:cs="Times New Roman"/>
      <w:sz w:val="18"/>
      <w:szCs w:val="18"/>
    </w:rPr>
  </w:style>
  <w:style w:type="character" w:customStyle="1" w:styleId="276">
    <w:name w:val="ca-141"/>
    <w:qFormat/>
    <w:uiPriority w:val="0"/>
    <w:rPr>
      <w:rFonts w:hint="eastAsia" w:ascii="仿宋_GB2312" w:eastAsia="仿宋_GB2312"/>
      <w:sz w:val="21"/>
      <w:szCs w:val="21"/>
    </w:rPr>
  </w:style>
  <w:style w:type="character" w:customStyle="1" w:styleId="277">
    <w:name w:val="标题 Char1"/>
    <w:qFormat/>
    <w:uiPriority w:val="10"/>
    <w:rPr>
      <w:szCs w:val="24"/>
      <w:u w:val="single"/>
      <w:lang w:eastAsia="en-US"/>
    </w:rPr>
  </w:style>
  <w:style w:type="character" w:customStyle="1" w:styleId="278">
    <w:name w:val="style161"/>
    <w:qFormat/>
    <w:uiPriority w:val="0"/>
    <w:rPr>
      <w:b/>
      <w:bCs/>
      <w:color w:val="333333"/>
    </w:rPr>
  </w:style>
  <w:style w:type="character" w:customStyle="1" w:styleId="279">
    <w:name w:val="Char Char11"/>
    <w:qFormat/>
    <w:locked/>
    <w:uiPriority w:val="0"/>
    <w:rPr>
      <w:rFonts w:eastAsia="黑体"/>
      <w:kern w:val="2"/>
      <w:sz w:val="44"/>
      <w:szCs w:val="44"/>
      <w:lang w:val="en-US" w:eastAsia="zh-CN" w:bidi="ar-SA"/>
    </w:rPr>
  </w:style>
  <w:style w:type="character" w:customStyle="1" w:styleId="280">
    <w:name w:val="标题 7 Char"/>
    <w:qFormat/>
    <w:uiPriority w:val="0"/>
    <w:rPr>
      <w:rFonts w:ascii="Calibri" w:hAnsi="Calibri" w:eastAsia="宋体" w:cs="Times New Roman"/>
      <w:b/>
      <w:bCs/>
      <w:sz w:val="24"/>
      <w:szCs w:val="24"/>
    </w:rPr>
  </w:style>
  <w:style w:type="character" w:customStyle="1" w:styleId="281">
    <w:name w:val="批注文字 Char1"/>
    <w:qFormat/>
    <w:uiPriority w:val="99"/>
    <w:rPr>
      <w:rFonts w:ascii="Times New Roman" w:hAnsi="Times New Roman" w:eastAsia="宋体" w:cs="Times New Roman"/>
      <w:szCs w:val="24"/>
    </w:rPr>
  </w:style>
  <w:style w:type="character" w:customStyle="1" w:styleId="282">
    <w:name w:val="明显引用 Char"/>
    <w:qFormat/>
    <w:uiPriority w:val="0"/>
    <w:rPr>
      <w:rFonts w:ascii="Times New Roman" w:hAnsi="Times New Roman" w:eastAsia="宋体" w:cs="Times New Roman"/>
      <w:b/>
      <w:bCs/>
      <w:i/>
      <w:iCs/>
      <w:color w:val="4F81BD"/>
      <w:kern w:val="2"/>
      <w:sz w:val="21"/>
      <w:szCs w:val="24"/>
    </w:rPr>
  </w:style>
  <w:style w:type="character" w:customStyle="1" w:styleId="283">
    <w:name w:val="标题 5 Char2"/>
    <w:link w:val="7"/>
    <w:qFormat/>
    <w:uiPriority w:val="0"/>
    <w:rPr>
      <w:rFonts w:ascii="宋体" w:hAnsi="宋体" w:eastAsia="宋体" w:cs="宋体"/>
      <w:b/>
      <w:bCs/>
      <w:lang w:val="en-US" w:eastAsia="zh-CN" w:bidi="ar-SA"/>
    </w:rPr>
  </w:style>
  <w:style w:type="character" w:customStyle="1" w:styleId="284">
    <w:name w:val="正文文本缩进 3 Char1"/>
    <w:qFormat/>
    <w:uiPriority w:val="0"/>
    <w:rPr>
      <w:rFonts w:ascii="宋体" w:hAnsi="宋体"/>
      <w:kern w:val="2"/>
      <w:sz w:val="28"/>
      <w:szCs w:val="28"/>
    </w:rPr>
  </w:style>
  <w:style w:type="character" w:customStyle="1" w:styleId="285">
    <w:name w:val="正文文本 Char"/>
    <w:qFormat/>
    <w:uiPriority w:val="0"/>
    <w:rPr>
      <w:sz w:val="26"/>
      <w:szCs w:val="24"/>
    </w:rPr>
  </w:style>
  <w:style w:type="character" w:customStyle="1" w:styleId="286">
    <w:name w:val="明显引用 字符"/>
    <w:link w:val="92"/>
    <w:qFormat/>
    <w:uiPriority w:val="0"/>
    <w:rPr>
      <w:b/>
      <w:bCs/>
      <w:i/>
      <w:iCs/>
      <w:color w:val="4F81BD"/>
      <w:kern w:val="2"/>
      <w:sz w:val="21"/>
      <w:szCs w:val="22"/>
      <w:lang w:bidi="ar-SA"/>
    </w:rPr>
  </w:style>
  <w:style w:type="character" w:customStyle="1" w:styleId="287">
    <w:name w:val="Char Char12"/>
    <w:qFormat/>
    <w:uiPriority w:val="0"/>
    <w:rPr>
      <w:rFonts w:eastAsia="黑体"/>
      <w:kern w:val="2"/>
      <w:sz w:val="44"/>
      <w:szCs w:val="44"/>
      <w:lang w:val="en-US" w:eastAsia="zh-CN" w:bidi="ar-SA"/>
    </w:rPr>
  </w:style>
  <w:style w:type="character" w:customStyle="1" w:styleId="288">
    <w:name w:val="标题 4 Char"/>
    <w:qFormat/>
    <w:uiPriority w:val="0"/>
    <w:rPr>
      <w:rFonts w:ascii="仿宋_GB2312" w:hAnsi="Calibri" w:eastAsia="仿宋_GB2312" w:cs="Times New Roman"/>
      <w:b/>
      <w:kern w:val="0"/>
      <w:sz w:val="24"/>
      <w:szCs w:val="28"/>
    </w:rPr>
  </w:style>
  <w:style w:type="character" w:customStyle="1" w:styleId="289">
    <w:name w:val="明显引用 Char3"/>
    <w:qFormat/>
    <w:uiPriority w:val="30"/>
    <w:rPr>
      <w:rFonts w:ascii="Calibri" w:hAnsi="Calibri" w:eastAsia="宋体" w:cs="Times New Roman"/>
      <w:b/>
      <w:bCs/>
      <w:i/>
      <w:iCs/>
      <w:color w:val="4F81BD"/>
      <w:szCs w:val="24"/>
    </w:rPr>
  </w:style>
  <w:style w:type="character" w:customStyle="1" w:styleId="290">
    <w:name w:val="引用 Char2"/>
    <w:qFormat/>
    <w:uiPriority w:val="99"/>
    <w:rPr>
      <w:i/>
      <w:iCs/>
      <w:color w:val="000000"/>
      <w:kern w:val="2"/>
      <w:sz w:val="21"/>
      <w:szCs w:val="24"/>
    </w:rPr>
  </w:style>
  <w:style w:type="character" w:customStyle="1" w:styleId="291">
    <w:name w:val="批注主题 Char4"/>
    <w:link w:val="45"/>
    <w:qFormat/>
    <w:uiPriority w:val="0"/>
    <w:rPr>
      <w:rFonts w:eastAsia="宋体"/>
      <w:b/>
      <w:bCs/>
      <w:kern w:val="2"/>
      <w:sz w:val="21"/>
      <w:szCs w:val="24"/>
      <w:lang w:val="en-US" w:eastAsia="zh-CN" w:bidi="ar-SA"/>
    </w:rPr>
  </w:style>
  <w:style w:type="character" w:customStyle="1" w:styleId="292">
    <w:name w:val="不明显强调1"/>
    <w:qFormat/>
    <w:uiPriority w:val="0"/>
    <w:rPr>
      <w:i/>
      <w:iCs/>
      <w:color w:val="808080"/>
    </w:rPr>
  </w:style>
  <w:style w:type="character" w:customStyle="1" w:styleId="293">
    <w:name w:val="color_red1"/>
    <w:qFormat/>
    <w:uiPriority w:val="0"/>
    <w:rPr>
      <w:color w:val="FA0004"/>
    </w:rPr>
  </w:style>
  <w:style w:type="character" w:customStyle="1" w:styleId="294">
    <w:name w:val="标题 7 Char2"/>
    <w:link w:val="10"/>
    <w:qFormat/>
    <w:uiPriority w:val="0"/>
    <w:rPr>
      <w:rFonts w:eastAsia="仿宋_GB2312"/>
      <w:sz w:val="30"/>
      <w:lang w:val="en-US" w:eastAsia="zh-CN" w:bidi="ar-SA"/>
    </w:rPr>
  </w:style>
  <w:style w:type="character" w:customStyle="1" w:styleId="295">
    <w:name w:val="标题5 Char Char"/>
    <w:link w:val="132"/>
    <w:qFormat/>
    <w:uiPriority w:val="0"/>
    <w:rPr>
      <w:rFonts w:ascii="Arial" w:hAnsi="Arial"/>
      <w:b/>
      <w:bCs/>
      <w:sz w:val="24"/>
      <w:szCs w:val="32"/>
      <w:lang w:bidi="ar-SA"/>
    </w:rPr>
  </w:style>
  <w:style w:type="character" w:customStyle="1" w:styleId="296">
    <w:name w:val="脚注文本 Char3"/>
    <w:link w:val="34"/>
    <w:qFormat/>
    <w:uiPriority w:val="0"/>
    <w:rPr>
      <w:rFonts w:ascii="Arial" w:hAnsi="Arial" w:eastAsia="宋体" w:cs="Arial"/>
      <w:sz w:val="18"/>
      <w:szCs w:val="18"/>
      <w:lang w:val="en-US" w:eastAsia="en-US" w:bidi="ar-SA"/>
    </w:rPr>
  </w:style>
  <w:style w:type="character" w:customStyle="1" w:styleId="297">
    <w:name w:val="标题4 Char Char"/>
    <w:link w:val="102"/>
    <w:qFormat/>
    <w:uiPriority w:val="0"/>
    <w:rPr>
      <w:rFonts w:ascii="Arial" w:hAnsi="Arial"/>
      <w:b/>
      <w:bCs/>
      <w:sz w:val="24"/>
      <w:szCs w:val="32"/>
      <w:lang w:bidi="ar-SA"/>
    </w:rPr>
  </w:style>
  <w:style w:type="character" w:customStyle="1" w:styleId="298">
    <w:name w:val="Char Char13"/>
    <w:autoRedefine/>
    <w:qFormat/>
    <w:uiPriority w:val="0"/>
    <w:rPr>
      <w:kern w:val="2"/>
      <w:sz w:val="18"/>
      <w:szCs w:val="18"/>
    </w:rPr>
  </w:style>
  <w:style w:type="character" w:customStyle="1" w:styleId="299">
    <w:name w:val="文档结构图 Char2"/>
    <w:qFormat/>
    <w:uiPriority w:val="99"/>
    <w:rPr>
      <w:kern w:val="2"/>
      <w:sz w:val="21"/>
      <w:szCs w:val="24"/>
      <w:shd w:val="clear" w:color="auto" w:fill="000080"/>
    </w:rPr>
  </w:style>
  <w:style w:type="character" w:customStyle="1" w:styleId="300">
    <w:name w:val="批注文字 Char2"/>
    <w:qFormat/>
    <w:uiPriority w:val="0"/>
    <w:rPr>
      <w:rFonts w:ascii="Calibri" w:hAnsi="Calibri" w:eastAsia="宋体" w:cs="Times New Roman"/>
      <w:szCs w:val="24"/>
    </w:rPr>
  </w:style>
  <w:style w:type="character" w:customStyle="1" w:styleId="301">
    <w:name w:val="标题 8 Char1"/>
    <w:qFormat/>
    <w:uiPriority w:val="0"/>
    <w:rPr>
      <w:rFonts w:ascii="Times New Roman" w:hAnsi="Arial" w:eastAsia="仿宋_GB2312" w:cs="Times New Roman"/>
      <w:sz w:val="30"/>
      <w:szCs w:val="20"/>
    </w:rPr>
  </w:style>
  <w:style w:type="character" w:customStyle="1" w:styleId="302">
    <w:name w:val="页眉 Char2"/>
    <w:link w:val="30"/>
    <w:qFormat/>
    <w:uiPriority w:val="0"/>
    <w:rPr>
      <w:rFonts w:eastAsia="宋体"/>
      <w:kern w:val="2"/>
      <w:sz w:val="18"/>
      <w:szCs w:val="18"/>
      <w:lang w:val="en-US" w:eastAsia="zh-CN" w:bidi="ar-SA"/>
    </w:rPr>
  </w:style>
  <w:style w:type="character" w:customStyle="1" w:styleId="303">
    <w:name w:val="Char Char21"/>
    <w:qFormat/>
    <w:uiPriority w:val="0"/>
    <w:rPr>
      <w:rFonts w:ascii="宋体" w:hAnsi="宋体" w:cs="宋体"/>
      <w:b/>
      <w:bCs/>
      <w:sz w:val="24"/>
      <w:szCs w:val="24"/>
    </w:rPr>
  </w:style>
  <w:style w:type="character" w:customStyle="1" w:styleId="304">
    <w:name w:val="标题 6 Char1"/>
    <w:qFormat/>
    <w:uiPriority w:val="0"/>
    <w:rPr>
      <w:rFonts w:ascii="Times New Roman" w:hAnsi="Arial" w:eastAsia="仿宋_GB2312" w:cs="Times New Roman"/>
      <w:sz w:val="30"/>
      <w:szCs w:val="20"/>
    </w:rPr>
  </w:style>
  <w:style w:type="character" w:customStyle="1" w:styleId="305">
    <w:name w:val="_Style 293"/>
    <w:qFormat/>
    <w:uiPriority w:val="0"/>
    <w:rPr>
      <w:smallCaps/>
      <w:color w:val="C0504D"/>
      <w:u w:val="single"/>
    </w:rPr>
  </w:style>
  <w:style w:type="character" w:customStyle="1" w:styleId="306">
    <w:name w:val="副标题 Char1"/>
    <w:qFormat/>
    <w:uiPriority w:val="0"/>
    <w:rPr>
      <w:szCs w:val="24"/>
      <w:u w:val="single"/>
      <w:lang w:eastAsia="en-US"/>
    </w:rPr>
  </w:style>
  <w:style w:type="character" w:customStyle="1" w:styleId="307">
    <w:name w:val="正文文本 Char3"/>
    <w:semiHidden/>
    <w:qFormat/>
    <w:uiPriority w:val="99"/>
    <w:rPr>
      <w:rFonts w:ascii="Calibri" w:hAnsi="Calibri" w:eastAsia="宋体" w:cs="Times New Roman"/>
      <w:szCs w:val="24"/>
    </w:rPr>
  </w:style>
  <w:style w:type="character" w:customStyle="1" w:styleId="308">
    <w:name w:val="标题 4 Char1"/>
    <w:qFormat/>
    <w:uiPriority w:val="0"/>
    <w:rPr>
      <w:rFonts w:ascii="宋体" w:hAnsi="宋体" w:eastAsia="宋体" w:cs="宋体"/>
      <w:b/>
      <w:bCs/>
      <w:sz w:val="24"/>
      <w:szCs w:val="24"/>
    </w:rPr>
  </w:style>
  <w:style w:type="character" w:customStyle="1" w:styleId="309">
    <w:name w:val="文档结构图 Char3"/>
    <w:semiHidden/>
    <w:qFormat/>
    <w:uiPriority w:val="99"/>
    <w:rPr>
      <w:rFonts w:ascii="宋体" w:hAnsi="Calibri" w:eastAsia="宋体" w:cs="Times New Roman"/>
      <w:sz w:val="18"/>
      <w:szCs w:val="18"/>
    </w:rPr>
  </w:style>
  <w:style w:type="character" w:customStyle="1" w:styleId="310">
    <w:name w:val="标题 3 Char2"/>
    <w:link w:val="5"/>
    <w:qFormat/>
    <w:uiPriority w:val="0"/>
    <w:rPr>
      <w:rFonts w:eastAsia="宋体"/>
      <w:b/>
      <w:bCs/>
      <w:kern w:val="2"/>
      <w:sz w:val="32"/>
      <w:szCs w:val="32"/>
      <w:lang w:val="en-US" w:eastAsia="zh-CN" w:bidi="ar-SA"/>
    </w:rPr>
  </w:style>
  <w:style w:type="character" w:customStyle="1" w:styleId="311">
    <w:name w:val="正文文本 3 Char2"/>
    <w:semiHidden/>
    <w:qFormat/>
    <w:uiPriority w:val="99"/>
    <w:rPr>
      <w:rFonts w:ascii="Calibri" w:hAnsi="Calibri" w:eastAsia="宋体" w:cs="Times New Roman"/>
      <w:sz w:val="16"/>
      <w:szCs w:val="16"/>
    </w:rPr>
  </w:style>
  <w:style w:type="character" w:customStyle="1" w:styleId="312">
    <w:name w:val="Char Char23"/>
    <w:qFormat/>
    <w:uiPriority w:val="0"/>
    <w:rPr>
      <w:rFonts w:ascii="Cambria" w:hAnsi="Cambria" w:eastAsia="宋体" w:cs="Times New Roman"/>
      <w:b/>
      <w:bCs/>
      <w:kern w:val="2"/>
      <w:sz w:val="32"/>
      <w:szCs w:val="32"/>
    </w:rPr>
  </w:style>
  <w:style w:type="character" w:customStyle="1" w:styleId="313">
    <w:name w:val="尾注文本 Char2"/>
    <w:semiHidden/>
    <w:qFormat/>
    <w:uiPriority w:val="99"/>
    <w:rPr>
      <w:rFonts w:ascii="Calibri" w:hAnsi="Calibri" w:eastAsia="宋体" w:cs="Times New Roman"/>
      <w:szCs w:val="24"/>
    </w:rPr>
  </w:style>
  <w:style w:type="character" w:customStyle="1" w:styleId="314">
    <w:name w:val="书籍标题1"/>
    <w:qFormat/>
    <w:uiPriority w:val="0"/>
    <w:rPr>
      <w:b/>
      <w:bCs/>
      <w:smallCaps/>
      <w:spacing w:val="5"/>
    </w:rPr>
  </w:style>
  <w:style w:type="character" w:customStyle="1" w:styleId="315">
    <w:name w:val="ITTHEADER2 Char"/>
    <w:qFormat/>
    <w:uiPriority w:val="0"/>
    <w:rPr>
      <w:rFonts w:ascii="仿宋_GB2312" w:eastAsia="仿宋_GB2312" w:cs="MingLiU"/>
      <w:b/>
      <w:spacing w:val="1"/>
      <w:w w:val="99"/>
      <w:sz w:val="28"/>
      <w:szCs w:val="32"/>
      <w:lang w:val="en-US" w:eastAsia="zh-CN" w:bidi="ar-SA"/>
    </w:rPr>
  </w:style>
  <w:style w:type="character" w:customStyle="1" w:styleId="316">
    <w:name w:val="批注文字 Char3"/>
    <w:link w:val="16"/>
    <w:qFormat/>
    <w:uiPriority w:val="99"/>
    <w:rPr>
      <w:rFonts w:eastAsia="宋体"/>
      <w:kern w:val="2"/>
      <w:sz w:val="21"/>
      <w:szCs w:val="24"/>
      <w:lang w:val="en-US" w:eastAsia="zh-CN" w:bidi="ar-SA"/>
    </w:rPr>
  </w:style>
  <w:style w:type="character" w:customStyle="1" w:styleId="317">
    <w:name w:val="批注文字 Char Char"/>
    <w:qFormat/>
    <w:uiPriority w:val="0"/>
    <w:rPr>
      <w:rFonts w:ascii="宋体" w:hAnsi="Times New Roman" w:eastAsia="宋体" w:cs="Times New Roman"/>
      <w:sz w:val="28"/>
      <w:szCs w:val="20"/>
    </w:rPr>
  </w:style>
  <w:style w:type="character" w:customStyle="1" w:styleId="318">
    <w:name w:val="副标题 Char3"/>
    <w:link w:val="33"/>
    <w:qFormat/>
    <w:uiPriority w:val="0"/>
    <w:rPr>
      <w:rFonts w:eastAsia="宋体"/>
      <w:szCs w:val="24"/>
      <w:u w:val="single"/>
      <w:lang w:val="en-US" w:eastAsia="en-US" w:bidi="ar-SA"/>
    </w:rPr>
  </w:style>
  <w:style w:type="character" w:customStyle="1" w:styleId="319">
    <w:name w:val="批注主题 Char2"/>
    <w:qFormat/>
    <w:uiPriority w:val="99"/>
    <w:rPr>
      <w:b/>
      <w:bCs/>
      <w:kern w:val="2"/>
      <w:sz w:val="21"/>
      <w:szCs w:val="24"/>
    </w:rPr>
  </w:style>
  <w:style w:type="character" w:customStyle="1" w:styleId="320">
    <w:name w:val="normaltext1"/>
    <w:qFormat/>
    <w:uiPriority w:val="0"/>
    <w:rPr>
      <w:rFonts w:hint="default" w:ascii="ˎ̥" w:hAnsi="ˎ̥"/>
      <w:sz w:val="9"/>
      <w:szCs w:val="9"/>
    </w:rPr>
  </w:style>
  <w:style w:type="character" w:customStyle="1" w:styleId="321">
    <w:name w:val="不明显参考1"/>
    <w:qFormat/>
    <w:uiPriority w:val="0"/>
    <w:rPr>
      <w:smallCaps/>
      <w:color w:val="C0504D"/>
      <w:u w:val="single"/>
    </w:rPr>
  </w:style>
  <w:style w:type="character" w:customStyle="1" w:styleId="322">
    <w:name w:val="标题 6 Char"/>
    <w:qFormat/>
    <w:uiPriority w:val="0"/>
    <w:rPr>
      <w:rFonts w:ascii="Arial" w:hAnsi="Arial" w:eastAsia="黑体" w:cs="Times New Roman"/>
      <w:b/>
      <w:bCs/>
      <w:sz w:val="24"/>
      <w:szCs w:val="24"/>
    </w:rPr>
  </w:style>
  <w:style w:type="paragraph" w:customStyle="1" w:styleId="32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24">
    <w:name w:val="_Style 1"/>
    <w:basedOn w:val="1"/>
    <w:qFormat/>
    <w:uiPriority w:val="34"/>
    <w:pPr>
      <w:ind w:firstLine="420" w:firstLineChars="200"/>
    </w:pPr>
  </w:style>
  <w:style w:type="paragraph" w:customStyle="1" w:styleId="325">
    <w:name w:val="正文2"/>
    <w:basedOn w:val="1"/>
    <w:next w:val="1"/>
    <w:qFormat/>
    <w:uiPriority w:val="0"/>
    <w:pPr>
      <w:spacing w:before="156" w:line="360" w:lineRule="auto"/>
      <w:ind w:firstLine="510" w:firstLineChars="200"/>
    </w:pPr>
    <w:rPr>
      <w:sz w:val="28"/>
      <w:szCs w:val="20"/>
    </w:rPr>
  </w:style>
  <w:style w:type="table" w:customStyle="1" w:styleId="3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505922-67C7-4134-B828-BC3318B14306}">
  <ds:schemaRefs/>
</ds:datastoreItem>
</file>

<file path=docProps/app.xml><?xml version="1.0" encoding="utf-8"?>
<Properties xmlns="http://schemas.openxmlformats.org/officeDocument/2006/extended-properties" xmlns:vt="http://schemas.openxmlformats.org/officeDocument/2006/docPropsVTypes">
  <Template>Normal</Template>
  <Pages>197</Pages>
  <Words>19309</Words>
  <Characters>20422</Characters>
  <Lines>1160</Lines>
  <Paragraphs>326</Paragraphs>
  <TotalTime>1</TotalTime>
  <ScaleCrop>false</ScaleCrop>
  <LinksUpToDate>false</LinksUpToDate>
  <CharactersWithSpaces>21717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2021-12-17T18:44:00Z</dcterms:created>
  <dc:creator>USER</dc:creator>
  <cp:lastModifiedBy>WPS_1664260647</cp:lastModifiedBy>
  <cp:lastPrinted>2024-07-16T08:58:00Z</cp:lastPrinted>
  <dcterms:modified xsi:type="dcterms:W3CDTF">2025-09-27T13:01:50Z</dcterms:modified>
  <dc:title>第一卷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42178D0225AB4366B3677EFA1BAA518D_13</vt:lpwstr>
  </property>
  <property fmtid="{D5CDD505-2E9C-101B-9397-08002B2CF9AE}" pid="4" name="KSOTemplateDocerSaveRecord">
    <vt:lpwstr>eyJoZGlkIjoiNDQ3ODllMzRlZTZjNzhmYTBjMTQ1MzY2ZTVhYmEyZDAiLCJ1c2VySWQiOiI4NDY5MTQzODkifQ==</vt:lpwstr>
  </property>
</Properties>
</file>