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3CBDB">
      <w:pPr>
        <w:jc w:val="center"/>
        <w:rPr>
          <w:rFonts w:ascii="宋体" w:hAnsi="宋体"/>
          <w:b/>
          <w:color w:val="auto"/>
          <w:sz w:val="44"/>
          <w:szCs w:val="44"/>
          <w:highlight w:val="none"/>
        </w:rPr>
      </w:pPr>
      <w:bookmarkStart w:id="0" w:name="_Toc287620665"/>
    </w:p>
    <w:p w14:paraId="43A3A55E">
      <w:pPr>
        <w:spacing w:line="360" w:lineRule="auto"/>
        <w:jc w:val="center"/>
        <w:rPr>
          <w:rFonts w:hint="eastAsia" w:ascii="宋体" w:hAnsi="宋体" w:eastAsia="宋体"/>
          <w:color w:val="auto"/>
          <w:kern w:val="0"/>
          <w:sz w:val="72"/>
          <w:szCs w:val="72"/>
          <w:highlight w:val="none"/>
          <w:lang w:eastAsia="zh-CN"/>
        </w:rPr>
      </w:pPr>
      <w:r>
        <w:rPr>
          <w:rFonts w:hint="eastAsia" w:ascii="宋体" w:hAnsi="宋体" w:cs="宋体"/>
          <w:color w:val="auto"/>
          <w:sz w:val="44"/>
          <w:szCs w:val="44"/>
          <w:highlight w:val="none"/>
          <w:lang w:eastAsia="zh-CN"/>
        </w:rPr>
        <w:t>宝鼎山建(构)筑物排危整治工程（第二次）</w:t>
      </w:r>
    </w:p>
    <w:p w14:paraId="46EB7AE0">
      <w:pPr>
        <w:autoSpaceDE w:val="0"/>
        <w:autoSpaceDN w:val="0"/>
        <w:adjustRightInd w:val="0"/>
        <w:snapToGrid w:val="0"/>
        <w:spacing w:line="360" w:lineRule="auto"/>
        <w:jc w:val="left"/>
        <w:rPr>
          <w:rFonts w:ascii="宋体" w:hAnsi="宋体"/>
          <w:color w:val="auto"/>
          <w:kern w:val="0"/>
          <w:sz w:val="20"/>
          <w:szCs w:val="20"/>
          <w:highlight w:val="none"/>
        </w:rPr>
      </w:pPr>
    </w:p>
    <w:p w14:paraId="1AB0C83B">
      <w:pPr>
        <w:autoSpaceDE w:val="0"/>
        <w:autoSpaceDN w:val="0"/>
        <w:adjustRightInd w:val="0"/>
        <w:snapToGrid w:val="0"/>
        <w:spacing w:line="360" w:lineRule="auto"/>
        <w:jc w:val="left"/>
        <w:rPr>
          <w:rFonts w:ascii="宋体" w:hAnsi="宋体"/>
          <w:color w:val="auto"/>
          <w:kern w:val="0"/>
          <w:sz w:val="20"/>
          <w:szCs w:val="20"/>
          <w:highlight w:val="none"/>
        </w:rPr>
      </w:pPr>
    </w:p>
    <w:p w14:paraId="428CF6F2">
      <w:pPr>
        <w:autoSpaceDE w:val="0"/>
        <w:autoSpaceDN w:val="0"/>
        <w:adjustRightInd w:val="0"/>
        <w:snapToGrid w:val="0"/>
        <w:spacing w:line="360" w:lineRule="auto"/>
        <w:jc w:val="left"/>
        <w:rPr>
          <w:rFonts w:ascii="宋体" w:hAnsi="宋体"/>
          <w:color w:val="auto"/>
          <w:kern w:val="0"/>
          <w:sz w:val="20"/>
          <w:szCs w:val="20"/>
          <w:highlight w:val="none"/>
        </w:rPr>
      </w:pPr>
    </w:p>
    <w:p w14:paraId="28FAFB54">
      <w:pPr>
        <w:autoSpaceDE w:val="0"/>
        <w:autoSpaceDN w:val="0"/>
        <w:adjustRightInd w:val="0"/>
        <w:snapToGrid w:val="0"/>
        <w:spacing w:line="360" w:lineRule="auto"/>
        <w:jc w:val="left"/>
        <w:rPr>
          <w:rFonts w:ascii="宋体" w:hAnsi="宋体"/>
          <w:color w:val="auto"/>
          <w:kern w:val="0"/>
          <w:sz w:val="20"/>
          <w:szCs w:val="20"/>
          <w:highlight w:val="none"/>
        </w:rPr>
      </w:pPr>
    </w:p>
    <w:p w14:paraId="4D8EC850">
      <w:pPr>
        <w:autoSpaceDE w:val="0"/>
        <w:autoSpaceDN w:val="0"/>
        <w:adjustRightInd w:val="0"/>
        <w:snapToGrid w:val="0"/>
        <w:spacing w:line="360" w:lineRule="auto"/>
        <w:jc w:val="left"/>
        <w:rPr>
          <w:rFonts w:ascii="宋体" w:hAnsi="宋体"/>
          <w:color w:val="auto"/>
          <w:kern w:val="0"/>
          <w:sz w:val="20"/>
          <w:szCs w:val="20"/>
          <w:highlight w:val="none"/>
        </w:rPr>
      </w:pPr>
    </w:p>
    <w:p w14:paraId="384B119B">
      <w:pPr>
        <w:pStyle w:val="2"/>
        <w:rPr>
          <w:rFonts w:ascii="宋体" w:hAnsi="宋体"/>
          <w:color w:val="auto"/>
          <w:kern w:val="0"/>
          <w:sz w:val="20"/>
          <w:szCs w:val="20"/>
          <w:highlight w:val="none"/>
        </w:rPr>
      </w:pPr>
    </w:p>
    <w:p w14:paraId="26EC23EF">
      <w:pPr>
        <w:rPr>
          <w:color w:val="auto"/>
          <w:highlight w:val="none"/>
        </w:rPr>
      </w:pPr>
    </w:p>
    <w:p w14:paraId="469534B3">
      <w:pPr>
        <w:rPr>
          <w:color w:val="auto"/>
          <w:highlight w:val="none"/>
        </w:rPr>
      </w:pPr>
    </w:p>
    <w:p w14:paraId="29CA7E82">
      <w:pPr>
        <w:autoSpaceDE w:val="0"/>
        <w:autoSpaceDN w:val="0"/>
        <w:adjustRightInd w:val="0"/>
        <w:snapToGrid w:val="0"/>
        <w:spacing w:line="360" w:lineRule="auto"/>
        <w:jc w:val="left"/>
        <w:rPr>
          <w:rFonts w:ascii="宋体" w:hAnsi="宋体"/>
          <w:color w:val="auto"/>
          <w:kern w:val="0"/>
          <w:sz w:val="20"/>
          <w:szCs w:val="20"/>
          <w:highlight w:val="none"/>
        </w:rPr>
      </w:pPr>
    </w:p>
    <w:p w14:paraId="1355F265">
      <w:pPr>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val="en-US" w:eastAsia="zh-CN"/>
        </w:rPr>
        <w:t xml:space="preserve">竞 争 性 比 选 </w:t>
      </w:r>
      <w:r>
        <w:rPr>
          <w:rFonts w:ascii="宋体" w:hAnsi="宋体"/>
          <w:color w:val="auto"/>
          <w:kern w:val="0"/>
          <w:sz w:val="72"/>
          <w:szCs w:val="72"/>
          <w:highlight w:val="none"/>
        </w:rPr>
        <w:t>文</w:t>
      </w:r>
      <w:r>
        <w:rPr>
          <w:rFonts w:hint="eastAsia" w:ascii="宋体" w:hAnsi="宋体"/>
          <w:color w:val="auto"/>
          <w:kern w:val="0"/>
          <w:sz w:val="72"/>
          <w:szCs w:val="72"/>
          <w:highlight w:val="none"/>
          <w:lang w:val="en-US" w:eastAsia="zh-CN"/>
        </w:rPr>
        <w:t xml:space="preserve"> </w:t>
      </w:r>
      <w:r>
        <w:rPr>
          <w:rFonts w:ascii="宋体" w:hAnsi="宋体"/>
          <w:color w:val="auto"/>
          <w:kern w:val="0"/>
          <w:sz w:val="72"/>
          <w:szCs w:val="72"/>
          <w:highlight w:val="none"/>
        </w:rPr>
        <w:t>件</w:t>
      </w:r>
    </w:p>
    <w:p w14:paraId="0DE47BF8">
      <w:pPr>
        <w:autoSpaceDE w:val="0"/>
        <w:autoSpaceDN w:val="0"/>
        <w:adjustRightInd w:val="0"/>
        <w:snapToGrid w:val="0"/>
        <w:spacing w:line="360" w:lineRule="auto"/>
        <w:jc w:val="left"/>
        <w:rPr>
          <w:rFonts w:ascii="宋体" w:hAnsi="宋体"/>
          <w:color w:val="auto"/>
          <w:kern w:val="0"/>
          <w:sz w:val="10"/>
          <w:szCs w:val="10"/>
          <w:highlight w:val="none"/>
        </w:rPr>
      </w:pPr>
    </w:p>
    <w:p w14:paraId="0F2D0078">
      <w:pPr>
        <w:autoSpaceDE w:val="0"/>
        <w:autoSpaceDN w:val="0"/>
        <w:adjustRightInd w:val="0"/>
        <w:snapToGrid w:val="0"/>
        <w:spacing w:line="360" w:lineRule="auto"/>
        <w:jc w:val="left"/>
        <w:rPr>
          <w:rFonts w:ascii="宋体" w:hAnsi="宋体"/>
          <w:color w:val="auto"/>
          <w:kern w:val="0"/>
          <w:sz w:val="20"/>
          <w:szCs w:val="20"/>
          <w:highlight w:val="none"/>
        </w:rPr>
      </w:pPr>
    </w:p>
    <w:p w14:paraId="43DA3373">
      <w:pPr>
        <w:autoSpaceDE w:val="0"/>
        <w:autoSpaceDN w:val="0"/>
        <w:adjustRightInd w:val="0"/>
        <w:snapToGrid w:val="0"/>
        <w:spacing w:line="360" w:lineRule="auto"/>
        <w:jc w:val="left"/>
        <w:rPr>
          <w:rFonts w:ascii="宋体" w:hAnsi="宋体"/>
          <w:color w:val="auto"/>
          <w:kern w:val="0"/>
          <w:sz w:val="20"/>
          <w:szCs w:val="20"/>
          <w:highlight w:val="none"/>
        </w:rPr>
      </w:pPr>
    </w:p>
    <w:p w14:paraId="3CC3C716">
      <w:pPr>
        <w:autoSpaceDE w:val="0"/>
        <w:autoSpaceDN w:val="0"/>
        <w:adjustRightInd w:val="0"/>
        <w:snapToGrid w:val="0"/>
        <w:spacing w:line="360" w:lineRule="auto"/>
        <w:jc w:val="left"/>
        <w:rPr>
          <w:rFonts w:ascii="宋体" w:hAnsi="宋体"/>
          <w:color w:val="auto"/>
          <w:kern w:val="0"/>
          <w:sz w:val="20"/>
          <w:szCs w:val="20"/>
          <w:highlight w:val="none"/>
        </w:rPr>
      </w:pPr>
    </w:p>
    <w:p w14:paraId="122362B9">
      <w:pPr>
        <w:autoSpaceDE w:val="0"/>
        <w:autoSpaceDN w:val="0"/>
        <w:adjustRightInd w:val="0"/>
        <w:snapToGrid w:val="0"/>
        <w:spacing w:line="360" w:lineRule="auto"/>
        <w:jc w:val="left"/>
        <w:rPr>
          <w:rFonts w:ascii="宋体" w:hAnsi="宋体"/>
          <w:color w:val="auto"/>
          <w:kern w:val="0"/>
          <w:sz w:val="20"/>
          <w:szCs w:val="20"/>
          <w:highlight w:val="none"/>
        </w:rPr>
      </w:pPr>
    </w:p>
    <w:p w14:paraId="10D29388">
      <w:pPr>
        <w:autoSpaceDE w:val="0"/>
        <w:autoSpaceDN w:val="0"/>
        <w:adjustRightInd w:val="0"/>
        <w:snapToGrid w:val="0"/>
        <w:spacing w:line="360" w:lineRule="auto"/>
        <w:jc w:val="left"/>
        <w:rPr>
          <w:rFonts w:ascii="宋体" w:hAnsi="宋体"/>
          <w:color w:val="auto"/>
          <w:kern w:val="0"/>
          <w:sz w:val="20"/>
          <w:szCs w:val="20"/>
          <w:highlight w:val="none"/>
        </w:rPr>
      </w:pPr>
    </w:p>
    <w:p w14:paraId="63A4DC4E">
      <w:pPr>
        <w:autoSpaceDE w:val="0"/>
        <w:autoSpaceDN w:val="0"/>
        <w:adjustRightInd w:val="0"/>
        <w:snapToGrid w:val="0"/>
        <w:spacing w:line="360" w:lineRule="auto"/>
        <w:jc w:val="left"/>
        <w:rPr>
          <w:rFonts w:ascii="宋体" w:hAnsi="宋体"/>
          <w:color w:val="auto"/>
          <w:kern w:val="0"/>
          <w:sz w:val="20"/>
          <w:szCs w:val="20"/>
          <w:highlight w:val="none"/>
        </w:rPr>
      </w:pPr>
    </w:p>
    <w:p w14:paraId="22777C82">
      <w:pPr>
        <w:autoSpaceDE w:val="0"/>
        <w:autoSpaceDN w:val="0"/>
        <w:adjustRightInd w:val="0"/>
        <w:snapToGrid w:val="0"/>
        <w:spacing w:line="360" w:lineRule="auto"/>
        <w:rPr>
          <w:rFonts w:ascii="宋体" w:hAnsi="宋体"/>
          <w:color w:val="auto"/>
          <w:kern w:val="0"/>
          <w:sz w:val="20"/>
          <w:szCs w:val="20"/>
          <w:highlight w:val="none"/>
        </w:rPr>
      </w:pPr>
    </w:p>
    <w:p w14:paraId="79640714">
      <w:pPr>
        <w:autoSpaceDE w:val="0"/>
        <w:autoSpaceDN w:val="0"/>
        <w:adjustRightInd w:val="0"/>
        <w:snapToGrid w:val="0"/>
        <w:spacing w:line="360" w:lineRule="auto"/>
        <w:rPr>
          <w:rFonts w:ascii="宋体" w:hAnsi="宋体"/>
          <w:color w:val="auto"/>
          <w:kern w:val="0"/>
          <w:sz w:val="20"/>
          <w:szCs w:val="20"/>
          <w:highlight w:val="none"/>
        </w:rPr>
      </w:pPr>
    </w:p>
    <w:p w14:paraId="16774534">
      <w:pPr>
        <w:autoSpaceDE w:val="0"/>
        <w:autoSpaceDN w:val="0"/>
        <w:adjustRightInd w:val="0"/>
        <w:snapToGrid w:val="0"/>
        <w:spacing w:line="360" w:lineRule="auto"/>
        <w:rPr>
          <w:rFonts w:ascii="宋体" w:hAnsi="宋体"/>
          <w:color w:val="auto"/>
          <w:kern w:val="0"/>
          <w:sz w:val="20"/>
          <w:szCs w:val="20"/>
          <w:highlight w:val="none"/>
        </w:rPr>
      </w:pPr>
    </w:p>
    <w:p w14:paraId="13299F25">
      <w:pPr>
        <w:tabs>
          <w:tab w:val="left" w:pos="6219"/>
        </w:tabs>
        <w:autoSpaceDE w:val="0"/>
        <w:autoSpaceDN w:val="0"/>
        <w:adjustRightInd w:val="0"/>
        <w:snapToGrid w:val="0"/>
        <w:spacing w:line="360" w:lineRule="auto"/>
        <w:jc w:val="center"/>
        <w:rPr>
          <w:rFonts w:ascii="宋体" w:hAnsi="宋体"/>
          <w:bCs/>
          <w:color w:val="auto"/>
          <w:w w:val="99"/>
          <w:kern w:val="0"/>
          <w:sz w:val="28"/>
          <w:szCs w:val="28"/>
          <w:highlight w:val="none"/>
        </w:rPr>
      </w:pPr>
      <w:r>
        <w:rPr>
          <w:rFonts w:ascii="宋体" w:hAnsi="宋体"/>
          <w:bCs/>
          <w:color w:val="auto"/>
          <w:w w:val="99"/>
          <w:kern w:val="0"/>
          <w:sz w:val="28"/>
          <w:szCs w:val="28"/>
          <w:highlight w:val="none"/>
        </w:rPr>
        <w:t>招</w:t>
      </w:r>
      <w:r>
        <w:rPr>
          <w:rFonts w:hint="eastAsia" w:ascii="宋体" w:hAnsi="宋体"/>
          <w:bCs/>
          <w:color w:val="auto"/>
          <w:w w:val="99"/>
          <w:kern w:val="0"/>
          <w:sz w:val="28"/>
          <w:szCs w:val="28"/>
          <w:highlight w:val="none"/>
        </w:rPr>
        <w:t xml:space="preserve">   </w:t>
      </w:r>
      <w:r>
        <w:rPr>
          <w:rFonts w:ascii="宋体" w:hAnsi="宋体"/>
          <w:bCs/>
          <w:color w:val="auto"/>
          <w:w w:val="99"/>
          <w:kern w:val="0"/>
          <w:sz w:val="28"/>
          <w:szCs w:val="28"/>
          <w:highlight w:val="none"/>
        </w:rPr>
        <w:t>标</w:t>
      </w:r>
      <w:r>
        <w:rPr>
          <w:rFonts w:hint="eastAsia" w:ascii="宋体" w:hAnsi="宋体"/>
          <w:bCs/>
          <w:color w:val="auto"/>
          <w:w w:val="99"/>
          <w:kern w:val="0"/>
          <w:sz w:val="28"/>
          <w:szCs w:val="28"/>
          <w:highlight w:val="none"/>
        </w:rPr>
        <w:t xml:space="preserve">   </w:t>
      </w:r>
      <w:r>
        <w:rPr>
          <w:rFonts w:ascii="宋体" w:hAnsi="宋体"/>
          <w:bCs/>
          <w:color w:val="auto"/>
          <w:w w:val="99"/>
          <w:kern w:val="0"/>
          <w:sz w:val="28"/>
          <w:szCs w:val="28"/>
          <w:highlight w:val="none"/>
        </w:rPr>
        <w:t>人：</w:t>
      </w:r>
      <w:r>
        <w:rPr>
          <w:rFonts w:hint="eastAsia" w:ascii="宋体" w:hAnsi="宋体"/>
          <w:bCs/>
          <w:color w:val="auto"/>
          <w:kern w:val="0"/>
          <w:sz w:val="28"/>
          <w:szCs w:val="28"/>
          <w:highlight w:val="none"/>
          <w:u w:val="single"/>
          <w:lang w:eastAsia="zh-CN"/>
        </w:rPr>
        <w:t>重庆明月山建设开发有限公司</w:t>
      </w:r>
      <w:r>
        <w:rPr>
          <w:rFonts w:ascii="宋体" w:hAnsi="宋体"/>
          <w:bCs/>
          <w:color w:val="auto"/>
          <w:kern w:val="0"/>
          <w:sz w:val="28"/>
          <w:szCs w:val="28"/>
          <w:highlight w:val="none"/>
          <w:u w:val="single"/>
        </w:rPr>
        <w:t xml:space="preserve">  </w:t>
      </w:r>
      <w:r>
        <w:rPr>
          <w:rFonts w:ascii="宋体" w:hAnsi="宋体"/>
          <w:bCs/>
          <w:color w:val="auto"/>
          <w:w w:val="99"/>
          <w:kern w:val="0"/>
          <w:sz w:val="28"/>
          <w:szCs w:val="28"/>
          <w:highlight w:val="none"/>
        </w:rPr>
        <w:t>（盖单位法人章）</w:t>
      </w:r>
    </w:p>
    <w:p w14:paraId="0F2E8E08">
      <w:pPr>
        <w:tabs>
          <w:tab w:val="left" w:pos="6252"/>
        </w:tabs>
        <w:autoSpaceDE w:val="0"/>
        <w:autoSpaceDN w:val="0"/>
        <w:adjustRightInd w:val="0"/>
        <w:snapToGrid w:val="0"/>
        <w:spacing w:line="360" w:lineRule="auto"/>
        <w:jc w:val="center"/>
        <w:rPr>
          <w:rFonts w:ascii="宋体" w:hAnsi="宋体"/>
          <w:bCs/>
          <w:color w:val="auto"/>
          <w:w w:val="99"/>
          <w:kern w:val="0"/>
          <w:sz w:val="28"/>
          <w:szCs w:val="28"/>
          <w:highlight w:val="none"/>
        </w:rPr>
      </w:pPr>
      <w:r>
        <w:rPr>
          <w:rFonts w:ascii="宋体" w:hAnsi="宋体"/>
          <w:bCs/>
          <w:color w:val="auto"/>
          <w:spacing w:val="8"/>
          <w:kern w:val="0"/>
          <w:sz w:val="28"/>
          <w:szCs w:val="28"/>
          <w:highlight w:val="none"/>
        </w:rPr>
        <w:t>招标代理机构：</w:t>
      </w:r>
      <w:r>
        <w:rPr>
          <w:rFonts w:hint="eastAsia" w:ascii="宋体" w:hAnsi="宋体"/>
          <w:bCs/>
          <w:color w:val="auto"/>
          <w:kern w:val="0"/>
          <w:sz w:val="28"/>
          <w:szCs w:val="28"/>
          <w:highlight w:val="none"/>
          <w:u w:val="single"/>
          <w:lang w:eastAsia="zh-CN"/>
        </w:rPr>
        <w:t>重庆立生实业有限公司</w:t>
      </w:r>
      <w:r>
        <w:rPr>
          <w:rFonts w:ascii="宋体" w:hAnsi="宋体"/>
          <w:bCs/>
          <w:color w:val="auto"/>
          <w:kern w:val="0"/>
          <w:sz w:val="28"/>
          <w:szCs w:val="28"/>
          <w:highlight w:val="none"/>
          <w:u w:val="single"/>
        </w:rPr>
        <w:t xml:space="preserve">  </w:t>
      </w:r>
      <w:r>
        <w:rPr>
          <w:rFonts w:ascii="宋体" w:hAnsi="宋体"/>
          <w:bCs/>
          <w:color w:val="auto"/>
          <w:w w:val="99"/>
          <w:kern w:val="0"/>
          <w:sz w:val="28"/>
          <w:szCs w:val="28"/>
          <w:highlight w:val="none"/>
        </w:rPr>
        <w:t>（盖单位法人章）</w:t>
      </w:r>
    </w:p>
    <w:p w14:paraId="3B42EF52">
      <w:pPr>
        <w:autoSpaceDE w:val="0"/>
        <w:autoSpaceDN w:val="0"/>
        <w:adjustRightInd w:val="0"/>
        <w:snapToGrid w:val="0"/>
        <w:spacing w:line="360" w:lineRule="auto"/>
        <w:jc w:val="center"/>
        <w:rPr>
          <w:rFonts w:ascii="宋体" w:hAnsi="宋体"/>
          <w:bCs/>
          <w:color w:val="auto"/>
          <w:kern w:val="0"/>
          <w:sz w:val="20"/>
          <w:szCs w:val="20"/>
          <w:highlight w:val="none"/>
        </w:rPr>
      </w:pPr>
    </w:p>
    <w:p w14:paraId="4AF70A98">
      <w:pPr>
        <w:autoSpaceDE w:val="0"/>
        <w:autoSpaceDN w:val="0"/>
        <w:adjustRightInd w:val="0"/>
        <w:snapToGrid w:val="0"/>
        <w:spacing w:line="360" w:lineRule="auto"/>
        <w:rPr>
          <w:rFonts w:ascii="宋体" w:hAnsi="宋体"/>
          <w:bCs/>
          <w:color w:val="auto"/>
          <w:kern w:val="0"/>
          <w:sz w:val="28"/>
          <w:szCs w:val="28"/>
          <w:highlight w:val="none"/>
        </w:rPr>
      </w:pPr>
    </w:p>
    <w:p w14:paraId="574668B4">
      <w:pPr>
        <w:autoSpaceDE w:val="0"/>
        <w:autoSpaceDN w:val="0"/>
        <w:adjustRightInd w:val="0"/>
        <w:snapToGrid w:val="0"/>
        <w:spacing w:line="360" w:lineRule="auto"/>
        <w:rPr>
          <w:rFonts w:ascii="宋体" w:hAnsi="宋体"/>
          <w:bCs/>
          <w:color w:val="auto"/>
          <w:kern w:val="0"/>
          <w:sz w:val="20"/>
          <w:szCs w:val="20"/>
          <w:highlight w:val="none"/>
        </w:rPr>
      </w:pPr>
    </w:p>
    <w:p w14:paraId="685B61BD">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bookmarkStart w:id="1" w:name="_Toc509218549"/>
      <w:bookmarkStart w:id="2" w:name="_Toc536796736"/>
      <w:bookmarkStart w:id="3" w:name="_Toc13210649"/>
      <w:bookmarkStart w:id="4" w:name="_Toc536621766"/>
      <w:bookmarkStart w:id="5" w:name="_Toc536797277"/>
      <w:r>
        <w:rPr>
          <w:rFonts w:hint="eastAsia" w:ascii="宋体" w:hAnsi="宋体"/>
          <w:bCs/>
          <w:color w:val="auto"/>
          <w:spacing w:val="8"/>
          <w:kern w:val="0"/>
          <w:sz w:val="28"/>
          <w:szCs w:val="28"/>
          <w:highlight w:val="none"/>
          <w:u w:val="single"/>
          <w:lang w:val="en-US" w:eastAsia="zh-CN"/>
        </w:rPr>
        <w:t xml:space="preserve"> </w:t>
      </w:r>
      <w:r>
        <w:rPr>
          <w:rFonts w:hint="eastAsia" w:ascii="宋体" w:hAnsi="宋体"/>
          <w:bCs/>
          <w:color w:val="auto"/>
          <w:spacing w:val="8"/>
          <w:kern w:val="0"/>
          <w:sz w:val="28"/>
          <w:szCs w:val="28"/>
          <w:highlight w:val="none"/>
          <w:u w:val="single"/>
        </w:rPr>
        <w:t>202</w:t>
      </w:r>
      <w:r>
        <w:rPr>
          <w:rFonts w:hint="eastAsia" w:ascii="宋体" w:hAnsi="宋体"/>
          <w:bCs/>
          <w:color w:val="auto"/>
          <w:spacing w:val="8"/>
          <w:kern w:val="0"/>
          <w:sz w:val="28"/>
          <w:szCs w:val="28"/>
          <w:highlight w:val="none"/>
          <w:u w:val="single"/>
          <w:lang w:val="en-US" w:eastAsia="zh-CN"/>
        </w:rPr>
        <w:t xml:space="preserve">5 </w:t>
      </w:r>
      <w:r>
        <w:rPr>
          <w:rFonts w:ascii="宋体" w:hAnsi="宋体"/>
          <w:bCs/>
          <w:color w:val="auto"/>
          <w:spacing w:val="8"/>
          <w:kern w:val="0"/>
          <w:sz w:val="28"/>
          <w:szCs w:val="28"/>
          <w:highlight w:val="none"/>
        </w:rPr>
        <w:t>年</w:t>
      </w:r>
      <w:r>
        <w:rPr>
          <w:rFonts w:hint="eastAsia" w:ascii="宋体" w:hAnsi="宋体"/>
          <w:bCs/>
          <w:color w:val="auto"/>
          <w:spacing w:val="8"/>
          <w:kern w:val="0"/>
          <w:sz w:val="28"/>
          <w:szCs w:val="28"/>
          <w:highlight w:val="none"/>
          <w:u w:val="single"/>
        </w:rPr>
        <w:t xml:space="preserve"> </w:t>
      </w:r>
      <w:r>
        <w:rPr>
          <w:rFonts w:hint="eastAsia" w:ascii="宋体" w:hAnsi="宋体"/>
          <w:bCs/>
          <w:color w:val="auto"/>
          <w:spacing w:val="8"/>
          <w:kern w:val="0"/>
          <w:sz w:val="28"/>
          <w:szCs w:val="28"/>
          <w:highlight w:val="none"/>
          <w:u w:val="single"/>
          <w:lang w:val="en-US" w:eastAsia="zh-CN"/>
        </w:rPr>
        <w:t xml:space="preserve">08 </w:t>
      </w:r>
      <w:r>
        <w:rPr>
          <w:rFonts w:ascii="宋体" w:hAnsi="宋体"/>
          <w:bCs/>
          <w:color w:val="auto"/>
          <w:spacing w:val="8"/>
          <w:kern w:val="0"/>
          <w:sz w:val="28"/>
          <w:szCs w:val="28"/>
          <w:highlight w:val="none"/>
        </w:rPr>
        <w:t>月</w:t>
      </w:r>
      <w:bookmarkEnd w:id="1"/>
      <w:bookmarkEnd w:id="2"/>
      <w:bookmarkEnd w:id="3"/>
      <w:bookmarkEnd w:id="4"/>
      <w:bookmarkEnd w:id="5"/>
    </w:p>
    <w:p w14:paraId="0EFB1AF9">
      <w:pPr>
        <w:pStyle w:val="3"/>
        <w:spacing w:line="360" w:lineRule="auto"/>
        <w:rPr>
          <w:rFonts w:ascii="宋体" w:hAnsi="宋体"/>
          <w:color w:val="auto"/>
          <w:w w:val="99"/>
          <w:kern w:val="0"/>
          <w:sz w:val="24"/>
          <w:highlight w:val="none"/>
        </w:rPr>
        <w:sectPr>
          <w:headerReference r:id="rId4" w:type="default"/>
          <w:pgSz w:w="11907" w:h="16840"/>
          <w:pgMar w:top="1304" w:right="1134" w:bottom="1304" w:left="1304" w:header="851" w:footer="992" w:gutter="0"/>
          <w:pgNumType w:fmt="numberInDash" w:start="1"/>
          <w:cols w:space="720" w:num="1"/>
          <w:docGrid w:linePitch="312" w:charSpace="0"/>
        </w:sectPr>
      </w:pPr>
    </w:p>
    <w:p w14:paraId="2E8BFB38">
      <w:pPr>
        <w:pStyle w:val="68"/>
        <w:jc w:val="center"/>
        <w:rPr>
          <w:rFonts w:ascii="宋体" w:hAnsi="宋体"/>
          <w:color w:val="auto"/>
          <w:sz w:val="44"/>
          <w:szCs w:val="44"/>
          <w:highlight w:val="none"/>
        </w:rPr>
      </w:pPr>
      <w:bookmarkStart w:id="6" w:name="_Toc23843"/>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6"/>
    </w:p>
    <w:p w14:paraId="3A1E5B1A">
      <w:pPr>
        <w:pStyle w:val="31"/>
        <w:tabs>
          <w:tab w:val="right" w:leader="dot" w:pos="9469"/>
        </w:tabs>
        <w:rPr>
          <w:color w:val="auto"/>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rFonts w:ascii="宋体" w:hAnsi="宋体"/>
          <w:color w:val="auto"/>
          <w:highlight w:val="none"/>
        </w:rPr>
        <w:fldChar w:fldCharType="begin"/>
      </w:r>
      <w:r>
        <w:rPr>
          <w:rFonts w:ascii="宋体" w:hAnsi="宋体"/>
          <w:color w:val="auto"/>
          <w:highlight w:val="none"/>
        </w:rPr>
        <w:instrText xml:space="preserve"> HYPERLINK \l _Toc12392 </w:instrText>
      </w:r>
      <w:r>
        <w:rPr>
          <w:rFonts w:ascii="宋体" w:hAnsi="宋体"/>
          <w:color w:val="auto"/>
          <w:highlight w:val="none"/>
        </w:rPr>
        <w:fldChar w:fldCharType="separate"/>
      </w:r>
      <w:r>
        <w:rPr>
          <w:rFonts w:hint="eastAsia" w:ascii="宋体" w:hAnsi="宋体"/>
          <w:color w:val="auto"/>
          <w:szCs w:val="52"/>
          <w:highlight w:val="none"/>
        </w:rPr>
        <w:t>第 一 卷</w:t>
      </w:r>
      <w:r>
        <w:rPr>
          <w:color w:val="auto"/>
          <w:highlight w:val="none"/>
        </w:rPr>
        <w:tab/>
      </w:r>
      <w:r>
        <w:rPr>
          <w:color w:val="auto"/>
          <w:highlight w:val="none"/>
        </w:rPr>
        <w:fldChar w:fldCharType="begin"/>
      </w:r>
      <w:r>
        <w:rPr>
          <w:color w:val="auto"/>
          <w:highlight w:val="none"/>
        </w:rPr>
        <w:instrText xml:space="preserve"> PAGEREF _Toc12392 \h </w:instrText>
      </w:r>
      <w:r>
        <w:rPr>
          <w:color w:val="auto"/>
          <w:highlight w:val="none"/>
        </w:rPr>
        <w:fldChar w:fldCharType="separate"/>
      </w:r>
      <w:r>
        <w:rPr>
          <w:color w:val="auto"/>
          <w:highlight w:val="none"/>
        </w:rPr>
        <w:t>2</w:t>
      </w:r>
      <w:r>
        <w:rPr>
          <w:color w:val="auto"/>
          <w:highlight w:val="none"/>
        </w:rPr>
        <w:fldChar w:fldCharType="end"/>
      </w:r>
      <w:r>
        <w:rPr>
          <w:rFonts w:ascii="宋体" w:hAnsi="宋体"/>
          <w:color w:val="auto"/>
          <w:highlight w:val="none"/>
        </w:rPr>
        <w:fldChar w:fldCharType="end"/>
      </w:r>
    </w:p>
    <w:p w14:paraId="3940FF23">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_Toc5187 </w:instrText>
      </w:r>
      <w:r>
        <w:rPr>
          <w:rFonts w:ascii="宋体" w:hAnsi="宋体"/>
          <w:bCs/>
          <w:color w:val="auto"/>
          <w:szCs w:val="20"/>
          <w:highlight w:val="none"/>
          <w:lang w:val="zh-CN"/>
        </w:rPr>
        <w:fldChar w:fldCharType="separate"/>
      </w:r>
      <w:r>
        <w:rPr>
          <w:rFonts w:ascii="宋体" w:hAnsi="宋体"/>
          <w:snapToGrid w:val="0"/>
          <w:color w:val="auto"/>
          <w:kern w:val="0"/>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_Toc5187 \h </w:instrText>
      </w:r>
      <w:r>
        <w:rPr>
          <w:color w:val="auto"/>
          <w:highlight w:val="none"/>
        </w:rPr>
        <w:fldChar w:fldCharType="separate"/>
      </w:r>
      <w:r>
        <w:rPr>
          <w:color w:val="auto"/>
          <w:highlight w:val="none"/>
        </w:rPr>
        <w:t>3</w:t>
      </w:r>
      <w:r>
        <w:rPr>
          <w:color w:val="auto"/>
          <w:highlight w:val="none"/>
        </w:rPr>
        <w:fldChar w:fldCharType="end"/>
      </w:r>
      <w:r>
        <w:rPr>
          <w:rFonts w:ascii="宋体" w:hAnsi="宋体"/>
          <w:bCs/>
          <w:color w:val="auto"/>
          <w:szCs w:val="20"/>
          <w:highlight w:val="none"/>
          <w:lang w:val="zh-CN"/>
        </w:rPr>
        <w:fldChar w:fldCharType="end"/>
      </w:r>
    </w:p>
    <w:p w14:paraId="37D5E9DE">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_Toc916 </w:instrText>
      </w:r>
      <w:r>
        <w:rPr>
          <w:rFonts w:ascii="宋体" w:hAnsi="宋体"/>
          <w:bCs/>
          <w:color w:val="auto"/>
          <w:szCs w:val="20"/>
          <w:highlight w:val="none"/>
          <w:lang w:val="zh-CN"/>
        </w:rPr>
        <w:fldChar w:fldCharType="separate"/>
      </w:r>
      <w:r>
        <w:rPr>
          <w:rFonts w:ascii="宋体" w:hAnsi="宋体"/>
          <w:snapToGrid w:val="0"/>
          <w:color w:val="auto"/>
          <w:kern w:val="0"/>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_Toc916 \h </w:instrText>
      </w:r>
      <w:r>
        <w:rPr>
          <w:color w:val="auto"/>
          <w:highlight w:val="none"/>
        </w:rPr>
        <w:fldChar w:fldCharType="separate"/>
      </w:r>
      <w:r>
        <w:rPr>
          <w:color w:val="auto"/>
          <w:highlight w:val="none"/>
        </w:rPr>
        <w:t>5</w:t>
      </w:r>
      <w:r>
        <w:rPr>
          <w:color w:val="auto"/>
          <w:highlight w:val="none"/>
        </w:rPr>
        <w:fldChar w:fldCharType="end"/>
      </w:r>
      <w:r>
        <w:rPr>
          <w:rFonts w:ascii="宋体" w:hAnsi="宋体"/>
          <w:bCs/>
          <w:color w:val="auto"/>
          <w:szCs w:val="20"/>
          <w:highlight w:val="none"/>
          <w:lang w:val="zh-CN"/>
        </w:rPr>
        <w:fldChar w:fldCharType="end"/>
      </w:r>
    </w:p>
    <w:p w14:paraId="7D849369">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_Toc23923 </w:instrText>
      </w:r>
      <w:r>
        <w:rPr>
          <w:rFonts w:ascii="宋体" w:hAnsi="宋体"/>
          <w:bCs/>
          <w:color w:val="auto"/>
          <w:szCs w:val="20"/>
          <w:highlight w:val="none"/>
          <w:lang w:val="zh-CN"/>
        </w:rPr>
        <w:fldChar w:fldCharType="separate"/>
      </w:r>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r>
        <w:rPr>
          <w:color w:val="auto"/>
          <w:highlight w:val="none"/>
        </w:rPr>
        <w:tab/>
      </w:r>
      <w:r>
        <w:rPr>
          <w:color w:val="auto"/>
          <w:highlight w:val="none"/>
        </w:rPr>
        <w:fldChar w:fldCharType="begin"/>
      </w:r>
      <w:r>
        <w:rPr>
          <w:color w:val="auto"/>
          <w:highlight w:val="none"/>
        </w:rPr>
        <w:instrText xml:space="preserve"> PAGEREF _Toc23923 \h </w:instrText>
      </w:r>
      <w:r>
        <w:rPr>
          <w:color w:val="auto"/>
          <w:highlight w:val="none"/>
        </w:rPr>
        <w:fldChar w:fldCharType="separate"/>
      </w:r>
      <w:r>
        <w:rPr>
          <w:color w:val="auto"/>
          <w:highlight w:val="none"/>
        </w:rPr>
        <w:t>32</w:t>
      </w:r>
      <w:r>
        <w:rPr>
          <w:color w:val="auto"/>
          <w:highlight w:val="none"/>
        </w:rPr>
        <w:fldChar w:fldCharType="end"/>
      </w:r>
      <w:r>
        <w:rPr>
          <w:rFonts w:ascii="宋体" w:hAnsi="宋体"/>
          <w:bCs/>
          <w:color w:val="auto"/>
          <w:szCs w:val="20"/>
          <w:highlight w:val="none"/>
          <w:lang w:val="zh-CN"/>
        </w:rPr>
        <w:fldChar w:fldCharType="end"/>
      </w:r>
    </w:p>
    <w:p w14:paraId="7D83C052">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_Toc14185 </w:instrText>
      </w:r>
      <w:r>
        <w:rPr>
          <w:rFonts w:ascii="宋体" w:hAnsi="宋体"/>
          <w:bCs/>
          <w:color w:val="auto"/>
          <w:szCs w:val="20"/>
          <w:highlight w:val="none"/>
          <w:lang w:val="zh-CN"/>
        </w:rPr>
        <w:fldChar w:fldCharType="separate"/>
      </w:r>
      <w:r>
        <w:rPr>
          <w:rFonts w:hint="eastAsia" w:ascii="宋体" w:hAnsi="宋体"/>
          <w:color w:val="auto"/>
          <w:kern w:val="0"/>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_Toc14185 \h </w:instrText>
      </w:r>
      <w:r>
        <w:rPr>
          <w:color w:val="auto"/>
          <w:highlight w:val="none"/>
        </w:rPr>
        <w:fldChar w:fldCharType="separate"/>
      </w:r>
      <w:r>
        <w:rPr>
          <w:color w:val="auto"/>
          <w:highlight w:val="none"/>
        </w:rPr>
        <w:t>40</w:t>
      </w:r>
      <w:r>
        <w:rPr>
          <w:color w:val="auto"/>
          <w:highlight w:val="none"/>
        </w:rPr>
        <w:fldChar w:fldCharType="end"/>
      </w:r>
      <w:r>
        <w:rPr>
          <w:rFonts w:ascii="宋体" w:hAnsi="宋体"/>
          <w:bCs/>
          <w:color w:val="auto"/>
          <w:szCs w:val="20"/>
          <w:highlight w:val="none"/>
          <w:lang w:val="zh-CN"/>
        </w:rPr>
        <w:fldChar w:fldCharType="end"/>
      </w:r>
    </w:p>
    <w:p w14:paraId="1993F76B">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_Toc3325 </w:instrText>
      </w:r>
      <w:r>
        <w:rPr>
          <w:rFonts w:ascii="宋体" w:hAnsi="宋体"/>
          <w:bCs/>
          <w:color w:val="auto"/>
          <w:szCs w:val="20"/>
          <w:highlight w:val="none"/>
          <w:lang w:val="zh-CN"/>
        </w:rPr>
        <w:fldChar w:fldCharType="separate"/>
      </w:r>
      <w:r>
        <w:rPr>
          <w:rFonts w:hint="eastAsia" w:ascii="宋体" w:hAnsi="宋体"/>
          <w:color w:val="auto"/>
          <w:highlight w:val="none"/>
          <w:lang w:val="en-US" w:eastAsia="zh-CN"/>
        </w:rPr>
        <w:t xml:space="preserve">第五章 </w:t>
      </w:r>
      <w:r>
        <w:rPr>
          <w:rFonts w:hint="eastAsia" w:ascii="宋体" w:hAnsi="宋体"/>
          <w:color w:val="auto"/>
          <w:highlight w:val="none"/>
        </w:rPr>
        <w:t>工程量清</w:t>
      </w:r>
      <w:r>
        <w:rPr>
          <w:rFonts w:hint="eastAsia" w:ascii="宋体" w:hAnsi="宋体"/>
          <w:color w:val="auto"/>
          <w:highlight w:val="none"/>
          <w:lang w:val="en-US" w:eastAsia="zh-CN"/>
        </w:rPr>
        <w:t>单</w:t>
      </w:r>
      <w:r>
        <w:rPr>
          <w:color w:val="auto"/>
          <w:highlight w:val="none"/>
        </w:rPr>
        <w:tab/>
      </w:r>
      <w:r>
        <w:rPr>
          <w:color w:val="auto"/>
          <w:highlight w:val="none"/>
        </w:rPr>
        <w:fldChar w:fldCharType="begin"/>
      </w:r>
      <w:r>
        <w:rPr>
          <w:color w:val="auto"/>
          <w:highlight w:val="none"/>
        </w:rPr>
        <w:instrText xml:space="preserve"> PAGEREF _Toc3325 \h </w:instrText>
      </w:r>
      <w:r>
        <w:rPr>
          <w:color w:val="auto"/>
          <w:highlight w:val="none"/>
        </w:rPr>
        <w:fldChar w:fldCharType="separate"/>
      </w:r>
      <w:r>
        <w:rPr>
          <w:color w:val="auto"/>
          <w:highlight w:val="none"/>
        </w:rPr>
        <w:t>163</w:t>
      </w:r>
      <w:r>
        <w:rPr>
          <w:color w:val="auto"/>
          <w:highlight w:val="none"/>
        </w:rPr>
        <w:fldChar w:fldCharType="end"/>
      </w:r>
      <w:r>
        <w:rPr>
          <w:rFonts w:ascii="宋体" w:hAnsi="宋体"/>
          <w:bCs/>
          <w:color w:val="auto"/>
          <w:szCs w:val="20"/>
          <w:highlight w:val="none"/>
          <w:lang w:val="zh-CN"/>
        </w:rPr>
        <w:fldChar w:fldCharType="end"/>
      </w:r>
    </w:p>
    <w:p w14:paraId="67425DB7">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_Toc2716 </w:instrText>
      </w:r>
      <w:r>
        <w:rPr>
          <w:rFonts w:ascii="宋体" w:hAnsi="宋体"/>
          <w:bCs/>
          <w:color w:val="auto"/>
          <w:szCs w:val="20"/>
          <w:highlight w:val="none"/>
          <w:lang w:val="zh-CN"/>
        </w:rPr>
        <w:fldChar w:fldCharType="separate"/>
      </w:r>
      <w:r>
        <w:rPr>
          <w:rFonts w:ascii="宋体" w:hAnsi="宋体"/>
          <w:color w:val="auto"/>
          <w:szCs w:val="52"/>
          <w:highlight w:val="none"/>
        </w:rPr>
        <w:t>第 二 卷</w:t>
      </w:r>
      <w:r>
        <w:rPr>
          <w:color w:val="auto"/>
          <w:highlight w:val="none"/>
        </w:rPr>
        <w:tab/>
      </w:r>
      <w:r>
        <w:rPr>
          <w:color w:val="auto"/>
          <w:highlight w:val="none"/>
        </w:rPr>
        <w:fldChar w:fldCharType="begin"/>
      </w:r>
      <w:r>
        <w:rPr>
          <w:color w:val="auto"/>
          <w:highlight w:val="none"/>
        </w:rPr>
        <w:instrText xml:space="preserve"> PAGEREF _Toc2716 \h </w:instrText>
      </w:r>
      <w:r>
        <w:rPr>
          <w:color w:val="auto"/>
          <w:highlight w:val="none"/>
        </w:rPr>
        <w:fldChar w:fldCharType="separate"/>
      </w:r>
      <w:r>
        <w:rPr>
          <w:color w:val="auto"/>
          <w:highlight w:val="none"/>
        </w:rPr>
        <w:t>164</w:t>
      </w:r>
      <w:r>
        <w:rPr>
          <w:color w:val="auto"/>
          <w:highlight w:val="none"/>
        </w:rPr>
        <w:fldChar w:fldCharType="end"/>
      </w:r>
      <w:r>
        <w:rPr>
          <w:rFonts w:ascii="宋体" w:hAnsi="宋体"/>
          <w:bCs/>
          <w:color w:val="auto"/>
          <w:szCs w:val="20"/>
          <w:highlight w:val="none"/>
          <w:lang w:val="zh-CN"/>
        </w:rPr>
        <w:fldChar w:fldCharType="end"/>
      </w:r>
    </w:p>
    <w:p w14:paraId="10723021">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_Toc20887 </w:instrText>
      </w:r>
      <w:r>
        <w:rPr>
          <w:rFonts w:ascii="宋体" w:hAnsi="宋体"/>
          <w:bCs/>
          <w:color w:val="auto"/>
          <w:szCs w:val="20"/>
          <w:highlight w:val="none"/>
          <w:lang w:val="zh-CN"/>
        </w:rPr>
        <w:fldChar w:fldCharType="separate"/>
      </w:r>
      <w:r>
        <w:rPr>
          <w:rFonts w:hint="eastAsia" w:ascii="宋体" w:hAnsi="宋体"/>
          <w:color w:val="auto"/>
          <w:highlight w:val="none"/>
        </w:rPr>
        <w:t>第六章  图纸</w:t>
      </w:r>
      <w:r>
        <w:rPr>
          <w:color w:val="auto"/>
          <w:highlight w:val="none"/>
        </w:rPr>
        <w:tab/>
      </w:r>
      <w:r>
        <w:rPr>
          <w:color w:val="auto"/>
          <w:highlight w:val="none"/>
        </w:rPr>
        <w:fldChar w:fldCharType="begin"/>
      </w:r>
      <w:r>
        <w:rPr>
          <w:color w:val="auto"/>
          <w:highlight w:val="none"/>
        </w:rPr>
        <w:instrText xml:space="preserve"> PAGEREF _Toc20887 \h </w:instrText>
      </w:r>
      <w:r>
        <w:rPr>
          <w:color w:val="auto"/>
          <w:highlight w:val="none"/>
        </w:rPr>
        <w:fldChar w:fldCharType="separate"/>
      </w:r>
      <w:r>
        <w:rPr>
          <w:color w:val="auto"/>
          <w:highlight w:val="none"/>
        </w:rPr>
        <w:t>165</w:t>
      </w:r>
      <w:r>
        <w:rPr>
          <w:color w:val="auto"/>
          <w:highlight w:val="none"/>
        </w:rPr>
        <w:fldChar w:fldCharType="end"/>
      </w:r>
      <w:r>
        <w:rPr>
          <w:rFonts w:ascii="宋体" w:hAnsi="宋体"/>
          <w:bCs/>
          <w:color w:val="auto"/>
          <w:szCs w:val="20"/>
          <w:highlight w:val="none"/>
          <w:lang w:val="zh-CN"/>
        </w:rPr>
        <w:fldChar w:fldCharType="end"/>
      </w:r>
    </w:p>
    <w:p w14:paraId="50CF5CEA">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_Toc2767 </w:instrText>
      </w:r>
      <w:r>
        <w:rPr>
          <w:rFonts w:ascii="宋体" w:hAnsi="宋体"/>
          <w:bCs/>
          <w:color w:val="auto"/>
          <w:szCs w:val="20"/>
          <w:highlight w:val="none"/>
          <w:lang w:val="zh-CN"/>
        </w:rPr>
        <w:fldChar w:fldCharType="separate"/>
      </w:r>
      <w:r>
        <w:rPr>
          <w:rFonts w:hint="eastAsia" w:ascii="宋体" w:hAnsi="宋体"/>
          <w:color w:val="auto"/>
          <w:szCs w:val="52"/>
          <w:highlight w:val="none"/>
        </w:rPr>
        <w:t>第 三 卷</w:t>
      </w:r>
      <w:r>
        <w:rPr>
          <w:color w:val="auto"/>
          <w:highlight w:val="none"/>
        </w:rPr>
        <w:tab/>
      </w:r>
      <w:r>
        <w:rPr>
          <w:color w:val="auto"/>
          <w:highlight w:val="none"/>
        </w:rPr>
        <w:fldChar w:fldCharType="begin"/>
      </w:r>
      <w:r>
        <w:rPr>
          <w:color w:val="auto"/>
          <w:highlight w:val="none"/>
        </w:rPr>
        <w:instrText xml:space="preserve"> PAGEREF _Toc2767 \h </w:instrText>
      </w:r>
      <w:r>
        <w:rPr>
          <w:color w:val="auto"/>
          <w:highlight w:val="none"/>
        </w:rPr>
        <w:fldChar w:fldCharType="separate"/>
      </w:r>
      <w:r>
        <w:rPr>
          <w:color w:val="auto"/>
          <w:highlight w:val="none"/>
        </w:rPr>
        <w:t>166</w:t>
      </w:r>
      <w:r>
        <w:rPr>
          <w:color w:val="auto"/>
          <w:highlight w:val="none"/>
        </w:rPr>
        <w:fldChar w:fldCharType="end"/>
      </w:r>
      <w:r>
        <w:rPr>
          <w:rFonts w:ascii="宋体" w:hAnsi="宋体"/>
          <w:bCs/>
          <w:color w:val="auto"/>
          <w:szCs w:val="20"/>
          <w:highlight w:val="none"/>
          <w:lang w:val="zh-CN"/>
        </w:rPr>
        <w:fldChar w:fldCharType="end"/>
      </w:r>
    </w:p>
    <w:p w14:paraId="16A994A5">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_Toc2973 </w:instrText>
      </w:r>
      <w:r>
        <w:rPr>
          <w:rFonts w:ascii="宋体" w:hAnsi="宋体"/>
          <w:bCs/>
          <w:color w:val="auto"/>
          <w:szCs w:val="20"/>
          <w:highlight w:val="none"/>
          <w:lang w:val="zh-CN"/>
        </w:rPr>
        <w:fldChar w:fldCharType="separate"/>
      </w:r>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r>
        <w:rPr>
          <w:color w:val="auto"/>
          <w:highlight w:val="none"/>
        </w:rPr>
        <w:tab/>
      </w:r>
      <w:r>
        <w:rPr>
          <w:color w:val="auto"/>
          <w:highlight w:val="none"/>
        </w:rPr>
        <w:fldChar w:fldCharType="begin"/>
      </w:r>
      <w:r>
        <w:rPr>
          <w:color w:val="auto"/>
          <w:highlight w:val="none"/>
        </w:rPr>
        <w:instrText xml:space="preserve"> PAGEREF _Toc2973 \h </w:instrText>
      </w:r>
      <w:r>
        <w:rPr>
          <w:color w:val="auto"/>
          <w:highlight w:val="none"/>
        </w:rPr>
        <w:fldChar w:fldCharType="separate"/>
      </w:r>
      <w:r>
        <w:rPr>
          <w:color w:val="auto"/>
          <w:highlight w:val="none"/>
        </w:rPr>
        <w:t>167</w:t>
      </w:r>
      <w:r>
        <w:rPr>
          <w:color w:val="auto"/>
          <w:highlight w:val="none"/>
        </w:rPr>
        <w:fldChar w:fldCharType="end"/>
      </w:r>
      <w:r>
        <w:rPr>
          <w:rFonts w:ascii="宋体" w:hAnsi="宋体"/>
          <w:bCs/>
          <w:color w:val="auto"/>
          <w:szCs w:val="20"/>
          <w:highlight w:val="none"/>
          <w:lang w:val="zh-CN"/>
        </w:rPr>
        <w:fldChar w:fldCharType="end"/>
      </w:r>
    </w:p>
    <w:p w14:paraId="284F37B0">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_Toc16131 </w:instrText>
      </w:r>
      <w:r>
        <w:rPr>
          <w:rFonts w:ascii="宋体" w:hAnsi="宋体"/>
          <w:bCs/>
          <w:color w:val="auto"/>
          <w:szCs w:val="20"/>
          <w:highlight w:val="none"/>
          <w:lang w:val="zh-CN"/>
        </w:rPr>
        <w:fldChar w:fldCharType="separate"/>
      </w:r>
      <w:r>
        <w:rPr>
          <w:rFonts w:ascii="宋体" w:hAnsi="宋体"/>
          <w:color w:val="auto"/>
          <w:szCs w:val="52"/>
          <w:highlight w:val="none"/>
        </w:rPr>
        <w:t>第 四 卷</w:t>
      </w:r>
      <w:r>
        <w:rPr>
          <w:color w:val="auto"/>
          <w:highlight w:val="none"/>
        </w:rPr>
        <w:tab/>
      </w:r>
      <w:r>
        <w:rPr>
          <w:color w:val="auto"/>
          <w:highlight w:val="none"/>
        </w:rPr>
        <w:fldChar w:fldCharType="begin"/>
      </w:r>
      <w:r>
        <w:rPr>
          <w:color w:val="auto"/>
          <w:highlight w:val="none"/>
        </w:rPr>
        <w:instrText xml:space="preserve"> PAGEREF _Toc16131 \h </w:instrText>
      </w:r>
      <w:r>
        <w:rPr>
          <w:color w:val="auto"/>
          <w:highlight w:val="none"/>
        </w:rPr>
        <w:fldChar w:fldCharType="separate"/>
      </w:r>
      <w:r>
        <w:rPr>
          <w:color w:val="auto"/>
          <w:highlight w:val="none"/>
        </w:rPr>
        <w:t>168</w:t>
      </w:r>
      <w:r>
        <w:rPr>
          <w:color w:val="auto"/>
          <w:highlight w:val="none"/>
        </w:rPr>
        <w:fldChar w:fldCharType="end"/>
      </w:r>
      <w:r>
        <w:rPr>
          <w:rFonts w:ascii="宋体" w:hAnsi="宋体"/>
          <w:bCs/>
          <w:color w:val="auto"/>
          <w:szCs w:val="20"/>
          <w:highlight w:val="none"/>
          <w:lang w:val="zh-CN"/>
        </w:rPr>
        <w:fldChar w:fldCharType="end"/>
      </w:r>
    </w:p>
    <w:p w14:paraId="1B737E6C">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_Toc4558 </w:instrText>
      </w:r>
      <w:r>
        <w:rPr>
          <w:rFonts w:ascii="宋体" w:hAnsi="宋体"/>
          <w:bCs/>
          <w:color w:val="auto"/>
          <w:szCs w:val="20"/>
          <w:highlight w:val="none"/>
          <w:lang w:val="zh-CN"/>
        </w:rPr>
        <w:fldChar w:fldCharType="separate"/>
      </w:r>
      <w:r>
        <w:rPr>
          <w:rFonts w:hint="eastAsia" w:ascii="宋体" w:hAnsi="宋体"/>
          <w:color w:val="auto"/>
          <w:highlight w:val="none"/>
        </w:rPr>
        <w:t>第八章  投标文件格式</w:t>
      </w:r>
      <w:r>
        <w:rPr>
          <w:color w:val="auto"/>
          <w:highlight w:val="none"/>
        </w:rPr>
        <w:tab/>
      </w:r>
      <w:r>
        <w:rPr>
          <w:color w:val="auto"/>
          <w:highlight w:val="none"/>
        </w:rPr>
        <w:fldChar w:fldCharType="begin"/>
      </w:r>
      <w:r>
        <w:rPr>
          <w:color w:val="auto"/>
          <w:highlight w:val="none"/>
        </w:rPr>
        <w:instrText xml:space="preserve"> PAGEREF _Toc4558 \h </w:instrText>
      </w:r>
      <w:r>
        <w:rPr>
          <w:color w:val="auto"/>
          <w:highlight w:val="none"/>
        </w:rPr>
        <w:fldChar w:fldCharType="separate"/>
      </w:r>
      <w:r>
        <w:rPr>
          <w:color w:val="auto"/>
          <w:highlight w:val="none"/>
        </w:rPr>
        <w:t>169</w:t>
      </w:r>
      <w:r>
        <w:rPr>
          <w:color w:val="auto"/>
          <w:highlight w:val="none"/>
        </w:rPr>
        <w:fldChar w:fldCharType="end"/>
      </w:r>
      <w:r>
        <w:rPr>
          <w:rFonts w:ascii="宋体" w:hAnsi="宋体"/>
          <w:bCs/>
          <w:color w:val="auto"/>
          <w:szCs w:val="20"/>
          <w:highlight w:val="none"/>
          <w:lang w:val="zh-CN"/>
        </w:rPr>
        <w:fldChar w:fldCharType="end"/>
      </w:r>
    </w:p>
    <w:p w14:paraId="05E50BC4">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_Toc18743 </w:instrText>
      </w:r>
      <w:r>
        <w:rPr>
          <w:rFonts w:ascii="宋体" w:hAnsi="宋体"/>
          <w:bCs/>
          <w:color w:val="auto"/>
          <w:szCs w:val="20"/>
          <w:highlight w:val="none"/>
          <w:lang w:val="zh-CN"/>
        </w:rPr>
        <w:fldChar w:fldCharType="separate"/>
      </w:r>
      <w:r>
        <w:rPr>
          <w:rFonts w:hint="eastAsia" w:ascii="宋体" w:hAnsi="宋体"/>
          <w:bCs w:val="0"/>
          <w:color w:val="auto"/>
          <w:szCs w:val="44"/>
          <w:highlight w:val="none"/>
        </w:rPr>
        <w:t>一、投标函部分</w:t>
      </w:r>
      <w:r>
        <w:rPr>
          <w:color w:val="auto"/>
          <w:highlight w:val="none"/>
        </w:rPr>
        <w:tab/>
      </w:r>
      <w:r>
        <w:rPr>
          <w:color w:val="auto"/>
          <w:highlight w:val="none"/>
        </w:rPr>
        <w:fldChar w:fldCharType="begin"/>
      </w:r>
      <w:r>
        <w:rPr>
          <w:color w:val="auto"/>
          <w:highlight w:val="none"/>
        </w:rPr>
        <w:instrText xml:space="preserve"> PAGEREF _Toc18743 \h </w:instrText>
      </w:r>
      <w:r>
        <w:rPr>
          <w:color w:val="auto"/>
          <w:highlight w:val="none"/>
        </w:rPr>
        <w:fldChar w:fldCharType="separate"/>
      </w:r>
      <w:r>
        <w:rPr>
          <w:color w:val="auto"/>
          <w:highlight w:val="none"/>
        </w:rPr>
        <w:t>171</w:t>
      </w:r>
      <w:r>
        <w:rPr>
          <w:color w:val="auto"/>
          <w:highlight w:val="none"/>
        </w:rPr>
        <w:fldChar w:fldCharType="end"/>
      </w:r>
      <w:r>
        <w:rPr>
          <w:rFonts w:ascii="宋体" w:hAnsi="宋体"/>
          <w:bCs/>
          <w:color w:val="auto"/>
          <w:szCs w:val="20"/>
          <w:highlight w:val="none"/>
          <w:lang w:val="zh-CN"/>
        </w:rPr>
        <w:fldChar w:fldCharType="end"/>
      </w:r>
    </w:p>
    <w:p w14:paraId="60A99FF3">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_Toc24522 </w:instrText>
      </w:r>
      <w:r>
        <w:rPr>
          <w:rFonts w:ascii="宋体" w:hAnsi="宋体"/>
          <w:bCs/>
          <w:color w:val="auto"/>
          <w:szCs w:val="20"/>
          <w:highlight w:val="none"/>
          <w:lang w:val="zh-CN"/>
        </w:rPr>
        <w:fldChar w:fldCharType="separate"/>
      </w:r>
      <w:r>
        <w:rPr>
          <w:rFonts w:hint="eastAsia" w:ascii="宋体" w:hAnsi="宋体"/>
          <w:bCs w:val="0"/>
          <w:color w:val="auto"/>
          <w:szCs w:val="44"/>
          <w:highlight w:val="none"/>
        </w:rPr>
        <w:t>二、经济部分</w:t>
      </w:r>
      <w:r>
        <w:rPr>
          <w:color w:val="auto"/>
          <w:highlight w:val="none"/>
        </w:rPr>
        <w:tab/>
      </w:r>
      <w:r>
        <w:rPr>
          <w:color w:val="auto"/>
          <w:highlight w:val="none"/>
        </w:rPr>
        <w:fldChar w:fldCharType="begin"/>
      </w:r>
      <w:r>
        <w:rPr>
          <w:color w:val="auto"/>
          <w:highlight w:val="none"/>
        </w:rPr>
        <w:instrText xml:space="preserve"> PAGEREF _Toc24522 \h </w:instrText>
      </w:r>
      <w:r>
        <w:rPr>
          <w:color w:val="auto"/>
          <w:highlight w:val="none"/>
        </w:rPr>
        <w:fldChar w:fldCharType="separate"/>
      </w:r>
      <w:r>
        <w:rPr>
          <w:color w:val="auto"/>
          <w:highlight w:val="none"/>
        </w:rPr>
        <w:t>179</w:t>
      </w:r>
      <w:r>
        <w:rPr>
          <w:color w:val="auto"/>
          <w:highlight w:val="none"/>
        </w:rPr>
        <w:fldChar w:fldCharType="end"/>
      </w:r>
      <w:r>
        <w:rPr>
          <w:rFonts w:ascii="宋体" w:hAnsi="宋体"/>
          <w:bCs/>
          <w:color w:val="auto"/>
          <w:szCs w:val="20"/>
          <w:highlight w:val="none"/>
          <w:lang w:val="zh-CN"/>
        </w:rPr>
        <w:fldChar w:fldCharType="end"/>
      </w:r>
    </w:p>
    <w:p w14:paraId="344F85ED">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_Toc2060 </w:instrText>
      </w:r>
      <w:r>
        <w:rPr>
          <w:rFonts w:ascii="宋体" w:hAnsi="宋体"/>
          <w:bCs/>
          <w:color w:val="auto"/>
          <w:szCs w:val="20"/>
          <w:highlight w:val="none"/>
          <w:lang w:val="zh-CN"/>
        </w:rPr>
        <w:fldChar w:fldCharType="separate"/>
      </w:r>
      <w:r>
        <w:rPr>
          <w:rFonts w:hint="eastAsia" w:ascii="宋体" w:hAnsi="宋体" w:cs="Times New Roman"/>
          <w:bCs w:val="0"/>
          <w:color w:val="auto"/>
          <w:szCs w:val="44"/>
          <w:highlight w:val="none"/>
          <w:lang w:val="en-US" w:eastAsia="zh-CN"/>
        </w:rPr>
        <w:t>三</w:t>
      </w:r>
      <w:r>
        <w:rPr>
          <w:rFonts w:hint="eastAsia" w:ascii="宋体" w:hAnsi="宋体" w:cs="Times New Roman"/>
          <w:bCs w:val="0"/>
          <w:color w:val="auto"/>
          <w:szCs w:val="44"/>
          <w:highlight w:val="none"/>
        </w:rPr>
        <w:t>、</w:t>
      </w:r>
      <w:r>
        <w:rPr>
          <w:rFonts w:hint="eastAsia" w:ascii="宋体" w:hAnsi="宋体"/>
          <w:bCs w:val="0"/>
          <w:color w:val="auto"/>
          <w:szCs w:val="44"/>
          <w:highlight w:val="none"/>
        </w:rPr>
        <w:t>资格审查资料</w:t>
      </w:r>
      <w:r>
        <w:rPr>
          <w:color w:val="auto"/>
          <w:highlight w:val="none"/>
        </w:rPr>
        <w:tab/>
      </w:r>
      <w:r>
        <w:rPr>
          <w:color w:val="auto"/>
          <w:highlight w:val="none"/>
        </w:rPr>
        <w:fldChar w:fldCharType="begin"/>
      </w:r>
      <w:r>
        <w:rPr>
          <w:color w:val="auto"/>
          <w:highlight w:val="none"/>
        </w:rPr>
        <w:instrText xml:space="preserve"> PAGEREF _Toc2060 \h </w:instrText>
      </w:r>
      <w:r>
        <w:rPr>
          <w:color w:val="auto"/>
          <w:highlight w:val="none"/>
        </w:rPr>
        <w:fldChar w:fldCharType="separate"/>
      </w:r>
      <w:r>
        <w:rPr>
          <w:color w:val="auto"/>
          <w:highlight w:val="none"/>
        </w:rPr>
        <w:t>183</w:t>
      </w:r>
      <w:r>
        <w:rPr>
          <w:color w:val="auto"/>
          <w:highlight w:val="none"/>
        </w:rPr>
        <w:fldChar w:fldCharType="end"/>
      </w:r>
      <w:r>
        <w:rPr>
          <w:rFonts w:ascii="宋体" w:hAnsi="宋体"/>
          <w:bCs/>
          <w:color w:val="auto"/>
          <w:szCs w:val="20"/>
          <w:highlight w:val="none"/>
          <w:lang w:val="zh-CN"/>
        </w:rPr>
        <w:fldChar w:fldCharType="end"/>
      </w:r>
    </w:p>
    <w:p w14:paraId="1ABF42B7">
      <w:pPr>
        <w:pStyle w:val="22"/>
        <w:tabs>
          <w:tab w:val="right" w:leader="dot" w:pos="9469"/>
        </w:tabs>
        <w:rPr>
          <w:color w:val="auto"/>
          <w:highlight w:val="none"/>
        </w:rPr>
      </w:pPr>
    </w:p>
    <w:p w14:paraId="173106E6">
      <w:pPr>
        <w:rPr>
          <w:rFonts w:ascii="宋体" w:hAnsi="宋体"/>
          <w:color w:val="auto"/>
          <w:highlight w:val="none"/>
        </w:rPr>
      </w:pPr>
      <w:r>
        <w:rPr>
          <w:rFonts w:ascii="宋体" w:hAnsi="宋体"/>
          <w:bCs/>
          <w:color w:val="auto"/>
          <w:szCs w:val="20"/>
          <w:highlight w:val="none"/>
          <w:lang w:val="zh-CN"/>
        </w:rPr>
        <w:fldChar w:fldCharType="end"/>
      </w:r>
    </w:p>
    <w:bookmarkEnd w:id="0"/>
    <w:p w14:paraId="47CFC7CA">
      <w:pPr>
        <w:spacing w:line="20" w:lineRule="exact"/>
        <w:rPr>
          <w:rFonts w:ascii="宋体" w:hAnsi="宋体"/>
          <w:color w:val="auto"/>
          <w:highlight w:val="none"/>
        </w:rPr>
      </w:pPr>
      <w:bookmarkStart w:id="7" w:name="_Toc430530414"/>
    </w:p>
    <w:p w14:paraId="7DFAD527">
      <w:pPr>
        <w:spacing w:line="20" w:lineRule="exact"/>
        <w:jc w:val="left"/>
        <w:rPr>
          <w:rFonts w:ascii="宋体" w:hAnsi="宋体"/>
          <w:color w:val="auto"/>
          <w:highlight w:val="none"/>
        </w:rPr>
        <w:sectPr>
          <w:footerReference r:id="rId5" w:type="default"/>
          <w:pgSz w:w="11907" w:h="16840"/>
          <w:pgMar w:top="1304" w:right="1134" w:bottom="1304" w:left="1304" w:header="851" w:footer="992" w:gutter="0"/>
          <w:pgNumType w:fmt="numberInDash" w:start="1"/>
          <w:cols w:space="720" w:num="1"/>
          <w:docGrid w:linePitch="312" w:charSpace="0"/>
        </w:sectPr>
      </w:pPr>
    </w:p>
    <w:bookmarkEnd w:id="7"/>
    <w:p w14:paraId="08E9D6D3">
      <w:pPr>
        <w:spacing w:line="360" w:lineRule="auto"/>
        <w:rPr>
          <w:rFonts w:ascii="宋体" w:hAnsi="宋体"/>
          <w:color w:val="auto"/>
          <w:highlight w:val="none"/>
        </w:rPr>
      </w:pPr>
    </w:p>
    <w:p w14:paraId="7D58D9FF">
      <w:pPr>
        <w:pStyle w:val="3"/>
        <w:spacing w:before="0" w:after="0" w:line="480" w:lineRule="auto"/>
        <w:jc w:val="center"/>
        <w:rPr>
          <w:rFonts w:ascii="宋体" w:hAnsi="宋体"/>
          <w:color w:val="auto"/>
          <w:sz w:val="52"/>
          <w:szCs w:val="52"/>
          <w:highlight w:val="none"/>
        </w:rPr>
      </w:pPr>
      <w:bookmarkStart w:id="8" w:name="_Toc12392"/>
      <w:bookmarkStart w:id="9" w:name="_Toc509218690"/>
      <w:r>
        <w:rPr>
          <w:rFonts w:hint="eastAsia" w:ascii="宋体" w:hAnsi="宋体"/>
          <w:color w:val="auto"/>
          <w:sz w:val="52"/>
          <w:szCs w:val="52"/>
          <w:highlight w:val="none"/>
        </w:rPr>
        <w:t>第 一 卷</w:t>
      </w:r>
      <w:bookmarkEnd w:id="8"/>
      <w:bookmarkEnd w:id="9"/>
    </w:p>
    <w:p w14:paraId="592DDE1E">
      <w:pPr>
        <w:spacing w:line="200" w:lineRule="exact"/>
        <w:rPr>
          <w:rFonts w:ascii="宋体" w:hAnsi="宋体"/>
          <w:color w:val="auto"/>
          <w:highlight w:val="none"/>
        </w:rPr>
      </w:pPr>
      <w:r>
        <w:rPr>
          <w:rFonts w:ascii="宋体" w:hAnsi="宋体"/>
          <w:color w:val="auto"/>
          <w:highlight w:val="none"/>
        </w:rPr>
        <w:br w:type="page"/>
      </w:r>
    </w:p>
    <w:p w14:paraId="52BFD67B">
      <w:pPr>
        <w:pStyle w:val="3"/>
        <w:spacing w:line="360" w:lineRule="auto"/>
        <w:jc w:val="center"/>
        <w:rPr>
          <w:rFonts w:ascii="宋体" w:hAnsi="宋体"/>
          <w:snapToGrid w:val="0"/>
          <w:color w:val="auto"/>
          <w:kern w:val="0"/>
          <w:highlight w:val="none"/>
        </w:rPr>
      </w:pPr>
      <w:bookmarkStart w:id="10" w:name="_Toc509218691"/>
      <w:bookmarkStart w:id="11" w:name="_Toc277082535"/>
      <w:bookmarkStart w:id="12" w:name="_Toc287620666"/>
      <w:bookmarkStart w:id="13" w:name="_Toc287607727"/>
      <w:bookmarkStart w:id="14" w:name="_Toc430530415"/>
      <w:bookmarkStart w:id="15" w:name="_Toc224103298"/>
      <w:bookmarkStart w:id="16" w:name="_Toc5187"/>
      <w:r>
        <w:rPr>
          <w:rFonts w:ascii="宋体" w:hAnsi="宋体"/>
          <w:snapToGrid w:val="0"/>
          <w:color w:val="auto"/>
          <w:kern w:val="0"/>
          <w:highlight w:val="none"/>
        </w:rPr>
        <w:t>第一章  招标公告</w:t>
      </w:r>
      <w:bookmarkEnd w:id="10"/>
      <w:bookmarkEnd w:id="11"/>
      <w:bookmarkEnd w:id="12"/>
      <w:bookmarkEnd w:id="13"/>
      <w:bookmarkEnd w:id="14"/>
      <w:bookmarkEnd w:id="15"/>
      <w:bookmarkEnd w:id="16"/>
    </w:p>
    <w:p w14:paraId="6050C799">
      <w:pPr>
        <w:autoSpaceDE w:val="0"/>
        <w:autoSpaceDN w:val="0"/>
        <w:adjustRightInd w:val="0"/>
        <w:snapToGrid w:val="0"/>
        <w:spacing w:line="360" w:lineRule="auto"/>
        <w:jc w:val="center"/>
        <w:rPr>
          <w:rFonts w:ascii="宋体" w:hAnsi="宋体"/>
          <w:snapToGrid w:val="0"/>
          <w:color w:val="auto"/>
          <w:kern w:val="0"/>
          <w:sz w:val="28"/>
          <w:szCs w:val="28"/>
          <w:highlight w:val="none"/>
        </w:rPr>
      </w:pPr>
      <w:r>
        <w:rPr>
          <w:rFonts w:hint="eastAsia" w:ascii="宋体" w:hAnsi="宋体"/>
          <w:snapToGrid w:val="0"/>
          <w:color w:val="auto"/>
          <w:w w:val="99"/>
          <w:kern w:val="0"/>
          <w:sz w:val="28"/>
          <w:szCs w:val="28"/>
          <w:highlight w:val="none"/>
          <w:u w:val="single"/>
          <w:lang w:eastAsia="zh-CN"/>
        </w:rPr>
        <w:t>宝鼎山建(构)筑物排危整治工程（第二次）</w:t>
      </w:r>
      <w:r>
        <w:rPr>
          <w:rFonts w:ascii="宋体" w:hAnsi="宋体"/>
          <w:snapToGrid w:val="0"/>
          <w:color w:val="auto"/>
          <w:w w:val="99"/>
          <w:kern w:val="0"/>
          <w:sz w:val="28"/>
          <w:szCs w:val="28"/>
          <w:highlight w:val="none"/>
        </w:rPr>
        <w:t>招标公告</w:t>
      </w:r>
    </w:p>
    <w:p w14:paraId="5A288695">
      <w:pPr>
        <w:pStyle w:val="4"/>
        <w:spacing w:before="100" w:after="100" w:line="460" w:lineRule="exact"/>
        <w:rPr>
          <w:rFonts w:ascii="宋体" w:hAnsi="宋体"/>
          <w:snapToGrid w:val="0"/>
          <w:color w:val="auto"/>
          <w:sz w:val="28"/>
          <w:szCs w:val="28"/>
          <w:highlight w:val="none"/>
        </w:rPr>
      </w:pPr>
      <w:bookmarkStart w:id="17" w:name="_Toc224103299"/>
      <w:bookmarkStart w:id="18" w:name="_Toc200359238"/>
      <w:bookmarkStart w:id="19" w:name="_Toc287607728"/>
      <w:bookmarkStart w:id="20" w:name="_Toc287620667"/>
      <w:bookmarkStart w:id="21" w:name="_Toc509218692"/>
      <w:bookmarkStart w:id="22" w:name="_Toc277082536"/>
      <w:bookmarkStart w:id="23" w:name="_Toc430530416"/>
      <w:bookmarkStart w:id="24" w:name="_Toc200359427"/>
      <w:bookmarkStart w:id="25" w:name="_Toc24268"/>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招标条件</w:t>
      </w:r>
      <w:bookmarkEnd w:id="17"/>
      <w:bookmarkEnd w:id="18"/>
      <w:bookmarkEnd w:id="19"/>
      <w:bookmarkEnd w:id="20"/>
      <w:bookmarkEnd w:id="21"/>
      <w:bookmarkEnd w:id="22"/>
      <w:bookmarkEnd w:id="23"/>
      <w:bookmarkEnd w:id="24"/>
      <w:bookmarkEnd w:id="25"/>
    </w:p>
    <w:p w14:paraId="3B4E692E">
      <w:pPr>
        <w:widowControl/>
        <w:spacing w:line="360" w:lineRule="auto"/>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本比选项目</w:t>
      </w:r>
      <w:r>
        <w:rPr>
          <w:rFonts w:hint="eastAsia" w:ascii="宋体" w:hAnsi="宋体" w:cs="宋体"/>
          <w:color w:val="auto"/>
          <w:szCs w:val="21"/>
          <w:highlight w:val="none"/>
          <w:u w:val="single"/>
          <w:lang w:eastAsia="zh-CN"/>
        </w:rPr>
        <w:t>宝鼎山建(构)筑物排危整治工程（第二次），</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lang w:eastAsia="zh-CN"/>
        </w:rPr>
        <w:t>业主自筹</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100% </w:t>
      </w:r>
      <w:r>
        <w:rPr>
          <w:rFonts w:ascii="宋体" w:hAnsi="宋体"/>
          <w:snapToGrid w:val="0"/>
          <w:color w:val="auto"/>
          <w:kern w:val="0"/>
          <w:szCs w:val="21"/>
          <w:highlight w:val="none"/>
        </w:rPr>
        <w:t>，招标人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lang w:eastAsia="zh-CN"/>
        </w:rPr>
        <w:t>重庆明月山建设开发有限公司</w:t>
      </w:r>
      <w:r>
        <w:rPr>
          <w:rFonts w:ascii="宋体" w:hAnsi="宋体"/>
          <w:snapToGrid w:val="0"/>
          <w:color w:val="auto"/>
          <w:kern w:val="0"/>
          <w:position w:val="-2"/>
          <w:szCs w:val="21"/>
          <w:highlight w:val="none"/>
        </w:rPr>
        <w:t>。项目已具备招标条件，现对</w:t>
      </w:r>
      <w:r>
        <w:rPr>
          <w:rFonts w:hint="eastAsia" w:ascii="宋体" w:hAnsi="宋体"/>
          <w:snapToGrid w:val="0"/>
          <w:color w:val="auto"/>
          <w:kern w:val="0"/>
          <w:position w:val="-2"/>
          <w:szCs w:val="21"/>
          <w:highlight w:val="none"/>
          <w:u w:val="single"/>
        </w:rPr>
        <w:t>该项目</w:t>
      </w:r>
      <w:r>
        <w:rPr>
          <w:rFonts w:ascii="宋体" w:hAnsi="宋体"/>
          <w:snapToGrid w:val="0"/>
          <w:color w:val="auto"/>
          <w:kern w:val="0"/>
          <w:position w:val="-2"/>
          <w:szCs w:val="21"/>
          <w:highlight w:val="none"/>
        </w:rPr>
        <w:t>进行</w:t>
      </w:r>
      <w:r>
        <w:rPr>
          <w:rFonts w:hint="eastAsia" w:ascii="宋体" w:hAnsi="宋体"/>
          <w:snapToGrid w:val="0"/>
          <w:color w:val="auto"/>
          <w:kern w:val="0"/>
          <w:position w:val="-2"/>
          <w:szCs w:val="21"/>
          <w:highlight w:val="none"/>
          <w:lang w:val="en-US" w:eastAsia="zh-CN"/>
        </w:rPr>
        <w:t>竞争性比选</w:t>
      </w:r>
      <w:r>
        <w:rPr>
          <w:rFonts w:ascii="宋体" w:hAnsi="宋体"/>
          <w:snapToGrid w:val="0"/>
          <w:color w:val="auto"/>
          <w:kern w:val="0"/>
          <w:position w:val="-2"/>
          <w:szCs w:val="21"/>
          <w:highlight w:val="none"/>
        </w:rPr>
        <w:t>。</w:t>
      </w:r>
    </w:p>
    <w:p w14:paraId="34437B01">
      <w:pPr>
        <w:pStyle w:val="4"/>
        <w:spacing w:before="100" w:after="100" w:line="460" w:lineRule="exact"/>
        <w:rPr>
          <w:rFonts w:ascii="宋体" w:hAnsi="宋体"/>
          <w:snapToGrid w:val="0"/>
          <w:color w:val="auto"/>
          <w:sz w:val="28"/>
          <w:szCs w:val="28"/>
          <w:highlight w:val="none"/>
        </w:rPr>
      </w:pPr>
      <w:bookmarkStart w:id="26" w:name="_Toc277082537"/>
      <w:bookmarkStart w:id="27" w:name="_Toc200359428"/>
      <w:bookmarkStart w:id="28" w:name="_Toc287607729"/>
      <w:bookmarkStart w:id="29" w:name="_Toc509218693"/>
      <w:bookmarkStart w:id="30" w:name="_Toc287620668"/>
      <w:bookmarkStart w:id="31" w:name="_Toc200359239"/>
      <w:bookmarkStart w:id="32" w:name="_Toc224103300"/>
      <w:bookmarkStart w:id="33" w:name="_Toc430530417"/>
      <w:bookmarkStart w:id="34" w:name="_Toc21273"/>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项目概况与招标范围</w:t>
      </w:r>
      <w:bookmarkEnd w:id="26"/>
      <w:bookmarkEnd w:id="27"/>
      <w:bookmarkEnd w:id="28"/>
      <w:bookmarkEnd w:id="29"/>
      <w:bookmarkEnd w:id="30"/>
      <w:bookmarkEnd w:id="31"/>
      <w:bookmarkEnd w:id="32"/>
      <w:bookmarkEnd w:id="33"/>
      <w:bookmarkEnd w:id="34"/>
    </w:p>
    <w:p w14:paraId="59A206E6">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垫江县</w:t>
      </w:r>
      <w:r>
        <w:rPr>
          <w:rFonts w:hint="eastAsia" w:ascii="宋体" w:hAnsi="宋体"/>
          <w:snapToGrid w:val="0"/>
          <w:color w:val="auto"/>
          <w:kern w:val="0"/>
          <w:szCs w:val="21"/>
          <w:highlight w:val="none"/>
          <w:u w:val="single"/>
        </w:rPr>
        <w:t xml:space="preserve"> </w:t>
      </w:r>
    </w:p>
    <w:p w14:paraId="092C7E39">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lang w:val="en-US" w:eastAsia="zh-CN"/>
        </w:rPr>
        <w:t>宝鼎山建(构)筑物排危整治工程</w:t>
      </w:r>
      <w:r>
        <w:rPr>
          <w:rFonts w:hint="eastAsia" w:ascii="宋体" w:hAnsi="宋体" w:cs="宋体"/>
          <w:color w:val="auto"/>
          <w:szCs w:val="21"/>
          <w:highlight w:val="none"/>
          <w:u w:val="single"/>
          <w:lang w:val="en-US" w:eastAsia="zh-CN"/>
        </w:rPr>
        <w:t>。</w:t>
      </w:r>
    </w:p>
    <w:p w14:paraId="56C195A1">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2.3 ☑本次招标项目合同估算金额：</w:t>
      </w:r>
      <w:r>
        <w:rPr>
          <w:rFonts w:hint="eastAsia" w:ascii="宋体" w:hAnsi="宋体"/>
          <w:snapToGrid w:val="0"/>
          <w:color w:val="auto"/>
          <w:kern w:val="0"/>
          <w:szCs w:val="21"/>
          <w:highlight w:val="none"/>
          <w:u w:val="single"/>
          <w:lang w:val="en-US" w:eastAsia="zh-CN"/>
        </w:rPr>
        <w:t xml:space="preserve"> 816662.67</w:t>
      </w:r>
      <w:r>
        <w:rPr>
          <w:rFonts w:hint="eastAsia" w:ascii="宋体" w:hAnsi="宋体"/>
          <w:snapToGrid w:val="0"/>
          <w:color w:val="auto"/>
          <w:kern w:val="0"/>
          <w:szCs w:val="21"/>
          <w:highlight w:val="none"/>
          <w:u w:val="single"/>
        </w:rPr>
        <w:t xml:space="preserve">元  </w:t>
      </w:r>
    </w:p>
    <w:p w14:paraId="4BD95AF3">
      <w:pPr>
        <w:widowControl/>
        <w:adjustRightInd w:val="0"/>
        <w:spacing w:after="196"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2.4 招标范围：</w:t>
      </w:r>
      <w:r>
        <w:rPr>
          <w:rFonts w:hint="eastAsia" w:ascii="宋体" w:hAnsi="宋体" w:cs="宋体"/>
          <w:color w:val="auto"/>
          <w:kern w:val="0"/>
          <w:szCs w:val="21"/>
          <w:highlight w:val="none"/>
          <w:u w:val="single"/>
          <w:shd w:val="clear" w:color="auto" w:fill="FFFFFF"/>
          <w:lang w:bidi="ar"/>
        </w:rPr>
        <w:t>包括招标人所提供的施工设计图所示范围内的所有内容，具体以招标人提供的图纸、工程量清单、答疑资料、澄清资料、其他补遗资料等相关内容为准</w:t>
      </w:r>
      <w:r>
        <w:rPr>
          <w:rFonts w:hint="eastAsia" w:ascii="宋体" w:hAnsi="宋体" w:cs="宋体"/>
          <w:color w:val="auto"/>
          <w:kern w:val="0"/>
          <w:szCs w:val="21"/>
          <w:highlight w:val="none"/>
          <w:shd w:val="clear" w:color="auto" w:fill="FFFFFF"/>
          <w:lang w:bidi="ar"/>
        </w:rPr>
        <w:t>。</w:t>
      </w:r>
    </w:p>
    <w:p w14:paraId="2F051337">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2.5 工期要求：</w:t>
      </w:r>
      <w:r>
        <w:rPr>
          <w:rFonts w:hint="eastAsia" w:ascii="宋体" w:hAnsi="宋体"/>
          <w:snapToGrid w:val="0"/>
          <w:color w:val="auto"/>
          <w:kern w:val="0"/>
          <w:szCs w:val="21"/>
          <w:highlight w:val="none"/>
          <w:u w:val="single"/>
        </w:rPr>
        <w:t>45日历天</w:t>
      </w:r>
      <w:r>
        <w:rPr>
          <w:rFonts w:hint="eastAsia" w:ascii="宋体" w:hAnsi="宋体"/>
          <w:snapToGrid w:val="0"/>
          <w:color w:val="auto"/>
          <w:kern w:val="0"/>
          <w:szCs w:val="21"/>
          <w:highlight w:val="none"/>
          <w:u w:val="single"/>
          <w:lang w:eastAsia="zh-CN"/>
        </w:rPr>
        <w:t>。</w:t>
      </w:r>
    </w:p>
    <w:p w14:paraId="77A32CC2">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缺陷责任期要求：</w:t>
      </w:r>
      <w:r>
        <w:rPr>
          <w:rFonts w:hint="eastAsia" w:ascii="宋体" w:hAnsi="宋体"/>
          <w:snapToGrid w:val="0"/>
          <w:color w:val="auto"/>
          <w:kern w:val="0"/>
          <w:szCs w:val="21"/>
          <w:highlight w:val="none"/>
          <w:u w:val="single"/>
        </w:rPr>
        <w:t xml:space="preserve"> 24个月</w:t>
      </w:r>
    </w:p>
    <w:p w14:paraId="2F364715">
      <w:pPr>
        <w:pStyle w:val="4"/>
        <w:spacing w:before="100" w:after="100" w:line="460" w:lineRule="exact"/>
        <w:rPr>
          <w:rFonts w:ascii="宋体" w:hAnsi="宋体"/>
          <w:snapToGrid w:val="0"/>
          <w:color w:val="auto"/>
          <w:sz w:val="28"/>
          <w:szCs w:val="28"/>
          <w:highlight w:val="none"/>
        </w:rPr>
      </w:pPr>
      <w:bookmarkStart w:id="35" w:name="_Toc287607730"/>
      <w:bookmarkStart w:id="36" w:name="_Toc6121"/>
      <w:bookmarkStart w:id="37" w:name="_Toc430530418"/>
      <w:bookmarkStart w:id="38" w:name="_Toc287620669"/>
      <w:bookmarkStart w:id="39" w:name="_Toc509218694"/>
      <w:bookmarkStart w:id="40" w:name="_Toc224103301"/>
      <w:bookmarkStart w:id="41" w:name="_Toc277082538"/>
      <w:bookmarkStart w:id="42" w:name="_Toc200359429"/>
      <w:bookmarkStart w:id="43" w:name="_Toc200359240"/>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投标人资格要求</w:t>
      </w:r>
      <w:bookmarkEnd w:id="35"/>
      <w:bookmarkEnd w:id="36"/>
      <w:bookmarkEnd w:id="37"/>
      <w:bookmarkEnd w:id="38"/>
      <w:bookmarkEnd w:id="39"/>
      <w:bookmarkEnd w:id="40"/>
      <w:bookmarkEnd w:id="41"/>
      <w:bookmarkEnd w:id="42"/>
      <w:bookmarkEnd w:id="43"/>
    </w:p>
    <w:p w14:paraId="57CA318C">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本次招标要求投标人须具备</w:t>
      </w:r>
      <w:r>
        <w:rPr>
          <w:rFonts w:hint="eastAsia" w:ascii="宋体" w:hAnsi="宋体"/>
          <w:snapToGrid w:val="0"/>
          <w:color w:val="auto"/>
          <w:kern w:val="0"/>
          <w:szCs w:val="21"/>
          <w:highlight w:val="none"/>
        </w:rPr>
        <w:t>以下条件：</w:t>
      </w:r>
    </w:p>
    <w:p w14:paraId="22F37CB7">
      <w:pPr>
        <w:autoSpaceDE w:val="0"/>
        <w:autoSpaceDN w:val="0"/>
        <w:adjustRightInd w:val="0"/>
        <w:snapToGri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3.1.1 本次招标要求投标人具备的资质条件：具备建设行政主管部门颁发的有效的</w:t>
      </w:r>
      <w:r>
        <w:rPr>
          <w:rFonts w:hint="eastAsia" w:ascii="宋体" w:hAnsi="宋体"/>
          <w:snapToGrid w:val="0"/>
          <w:color w:val="auto"/>
          <w:kern w:val="0"/>
          <w:szCs w:val="21"/>
          <w:highlight w:val="none"/>
          <w:lang w:eastAsia="zh-CN"/>
        </w:rPr>
        <w:t>建筑工程施工总承包三级及以上资质</w:t>
      </w:r>
      <w:r>
        <w:rPr>
          <w:rFonts w:hint="eastAsia" w:ascii="宋体" w:hAnsi="宋体"/>
          <w:snapToGrid w:val="0"/>
          <w:color w:val="auto"/>
          <w:kern w:val="0"/>
          <w:szCs w:val="21"/>
          <w:highlight w:val="none"/>
        </w:rPr>
        <w:t>；</w:t>
      </w:r>
    </w:p>
    <w:p w14:paraId="3EFCCBB9">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☑3.1.2 本次招标要求投标人具备的业绩条件：</w:t>
      </w:r>
      <w:r>
        <w:rPr>
          <w:rFonts w:hint="eastAsia" w:ascii="宋体" w:hAnsi="宋体"/>
          <w:snapToGrid w:val="0"/>
          <w:color w:val="auto"/>
          <w:kern w:val="0"/>
          <w:szCs w:val="21"/>
          <w:highlight w:val="none"/>
          <w:u w:val="single"/>
        </w:rPr>
        <w:t xml:space="preserve">无 </w:t>
      </w:r>
      <w:r>
        <w:rPr>
          <w:rFonts w:hint="eastAsia" w:ascii="宋体" w:hAnsi="宋体"/>
          <w:snapToGrid w:val="0"/>
          <w:color w:val="auto"/>
          <w:kern w:val="0"/>
          <w:szCs w:val="21"/>
          <w:highlight w:val="none"/>
        </w:rPr>
        <w:t>；</w:t>
      </w:r>
    </w:p>
    <w:p w14:paraId="566808C1">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highlight w:val="none"/>
        </w:rPr>
      </w:pPr>
      <w:r>
        <w:rPr>
          <w:rFonts w:hint="eastAsia" w:ascii="宋体" w:hAnsi="宋体"/>
          <w:snapToGrid w:val="0"/>
          <w:color w:val="auto"/>
          <w:kern w:val="0"/>
          <w:szCs w:val="21"/>
          <w:highlight w:val="none"/>
        </w:rPr>
        <w:t>3.1.3 投标人还应在人员、设备、资金等方面具有相应的施工能力，详见</w:t>
      </w:r>
      <w:r>
        <w:rPr>
          <w:rFonts w:hint="eastAsia" w:ascii="宋体" w:hAnsi="宋体"/>
          <w:snapToGrid w:val="0"/>
          <w:color w:val="auto"/>
          <w:kern w:val="0"/>
          <w:szCs w:val="21"/>
          <w:highlight w:val="none"/>
          <w:lang w:eastAsia="zh-CN"/>
        </w:rPr>
        <w:t>竞争性比选文件</w:t>
      </w:r>
      <w:r>
        <w:rPr>
          <w:rFonts w:hint="eastAsia" w:ascii="宋体" w:hAnsi="宋体"/>
          <w:snapToGrid w:val="0"/>
          <w:color w:val="auto"/>
          <w:kern w:val="0"/>
          <w:szCs w:val="21"/>
          <w:highlight w:val="none"/>
        </w:rPr>
        <w:t>第二章投标人须知前附表第1.4.1项内容。</w:t>
      </w:r>
    </w:p>
    <w:p w14:paraId="3A3AEA51">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  本次招标</w:t>
      </w:r>
      <w:r>
        <w:rPr>
          <w:rFonts w:hint="eastAsia" w:ascii="宋体" w:hAnsi="宋体"/>
          <w:snapToGrid w:val="0"/>
          <w:color w:val="auto"/>
          <w:kern w:val="0"/>
          <w:szCs w:val="21"/>
          <w:highlight w:val="none"/>
        </w:rPr>
        <w:t>□接受 ☑不接受</w:t>
      </w:r>
      <w:r>
        <w:rPr>
          <w:rFonts w:ascii="宋体" w:hAnsi="宋体"/>
          <w:snapToGrid w:val="0"/>
          <w:color w:val="auto"/>
          <w:kern w:val="0"/>
          <w:szCs w:val="21"/>
          <w:highlight w:val="none"/>
        </w:rPr>
        <w:t>联合体投标。</w:t>
      </w:r>
    </w:p>
    <w:p w14:paraId="649EFA7B">
      <w:pPr>
        <w:pStyle w:val="4"/>
        <w:spacing w:before="100" w:after="100" w:line="460" w:lineRule="exact"/>
        <w:rPr>
          <w:rFonts w:ascii="宋体" w:hAnsi="宋体"/>
          <w:snapToGrid w:val="0"/>
          <w:color w:val="auto"/>
          <w:sz w:val="28"/>
          <w:szCs w:val="28"/>
          <w:highlight w:val="none"/>
        </w:rPr>
      </w:pPr>
      <w:bookmarkStart w:id="44" w:name="_Toc277082539"/>
      <w:bookmarkStart w:id="45" w:name="_Toc287620670"/>
      <w:bookmarkStart w:id="46" w:name="_Toc200359430"/>
      <w:bookmarkStart w:id="47" w:name="_Toc200359241"/>
      <w:bookmarkStart w:id="48" w:name="_Toc224103302"/>
      <w:bookmarkStart w:id="49" w:name="_Toc509218695"/>
      <w:bookmarkStart w:id="50" w:name="_Toc430530419"/>
      <w:bookmarkStart w:id="51" w:name="_Toc19462"/>
      <w:bookmarkStart w:id="52" w:name="_Toc287607731"/>
      <w:r>
        <w:rPr>
          <w:rFonts w:ascii="宋体" w:hAnsi="宋体"/>
          <w:snapToGrid w:val="0"/>
          <w:color w:val="auto"/>
          <w:sz w:val="28"/>
          <w:szCs w:val="28"/>
          <w:highlight w:val="none"/>
        </w:rPr>
        <w:t xml:space="preserve">4.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val="en-US" w:eastAsia="zh-CN"/>
        </w:rPr>
        <w:t>竞争性比选</w:t>
      </w:r>
      <w:r>
        <w:rPr>
          <w:rFonts w:ascii="宋体" w:hAnsi="宋体"/>
          <w:snapToGrid w:val="0"/>
          <w:color w:val="auto"/>
          <w:sz w:val="28"/>
          <w:szCs w:val="28"/>
          <w:highlight w:val="none"/>
        </w:rPr>
        <w:t>文件的获取</w:t>
      </w:r>
      <w:bookmarkEnd w:id="44"/>
      <w:bookmarkEnd w:id="45"/>
      <w:bookmarkEnd w:id="46"/>
      <w:bookmarkEnd w:id="47"/>
      <w:bookmarkEnd w:id="48"/>
      <w:bookmarkEnd w:id="49"/>
      <w:bookmarkEnd w:id="50"/>
      <w:bookmarkEnd w:id="51"/>
      <w:bookmarkEnd w:id="52"/>
    </w:p>
    <w:p w14:paraId="66D41847">
      <w:pPr>
        <w:tabs>
          <w:tab w:val="left" w:pos="2420"/>
          <w:tab w:val="left" w:pos="5445"/>
        </w:tabs>
        <w:autoSpaceDE w:val="0"/>
        <w:autoSpaceDN w:val="0"/>
        <w:adjustRightInd w:val="0"/>
        <w:snapToGrid w:val="0"/>
        <w:spacing w:line="450" w:lineRule="exact"/>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4.1  </w:t>
      </w:r>
      <w:r>
        <w:rPr>
          <w:rFonts w:ascii="宋体" w:hAnsi="宋体"/>
          <w:snapToGrid w:val="0"/>
          <w:color w:val="auto"/>
          <w:kern w:val="0"/>
          <w:szCs w:val="21"/>
          <w:highlight w:val="none"/>
        </w:rPr>
        <w:t>凡有意参加投标者，请于</w:t>
      </w:r>
      <w:r>
        <w:rPr>
          <w:rFonts w:hint="eastAsia" w:ascii="宋体" w:hAnsi="宋体"/>
          <w:snapToGrid w:val="0"/>
          <w:color w:val="auto"/>
          <w:kern w:val="0"/>
          <w:szCs w:val="21"/>
          <w:highlight w:val="none"/>
          <w:u w:val="single"/>
          <w:lang w:val="en-US" w:eastAsia="zh-CN"/>
        </w:rPr>
        <w:t>2025</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8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5</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日（北京时间，下同）起在</w:t>
      </w:r>
      <w:r>
        <w:rPr>
          <w:rFonts w:hint="eastAsia" w:ascii="宋体" w:hAnsi="宋体"/>
          <w:snapToGrid w:val="0"/>
          <w:color w:val="auto"/>
          <w:kern w:val="0"/>
          <w:szCs w:val="21"/>
          <w:highlight w:val="none"/>
          <w:u w:val="single"/>
          <w:lang w:eastAsia="zh-CN"/>
        </w:rPr>
        <w:t>垫江县人民政府网</w:t>
      </w:r>
      <w:r>
        <w:rPr>
          <w:rFonts w:ascii="宋体" w:hAnsi="宋体"/>
          <w:snapToGrid w:val="0"/>
          <w:color w:val="auto"/>
          <w:kern w:val="0"/>
          <w:szCs w:val="21"/>
          <w:highlight w:val="none"/>
        </w:rPr>
        <w:t>下载</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、工程量清单、图纸澄清、修改、补充通知、最高限价通知等全部内容。不管下载与否都视为潜在投标人全部知晓有关招投标过程和全部内容。</w:t>
      </w:r>
    </w:p>
    <w:p w14:paraId="565A5536">
      <w:pPr>
        <w:pStyle w:val="4"/>
        <w:spacing w:before="100" w:after="100" w:line="460" w:lineRule="exact"/>
        <w:rPr>
          <w:rFonts w:ascii="宋体" w:hAnsi="宋体"/>
          <w:snapToGrid w:val="0"/>
          <w:color w:val="auto"/>
          <w:sz w:val="28"/>
          <w:szCs w:val="28"/>
          <w:highlight w:val="none"/>
        </w:rPr>
      </w:pPr>
      <w:bookmarkStart w:id="53" w:name="_Toc277082540"/>
      <w:bookmarkStart w:id="54" w:name="_Toc12533"/>
      <w:bookmarkStart w:id="55" w:name="_Toc430530420"/>
      <w:bookmarkStart w:id="56" w:name="_Toc287620671"/>
      <w:bookmarkStart w:id="57" w:name="_Toc224103303"/>
      <w:bookmarkStart w:id="58" w:name="_Toc200359242"/>
      <w:bookmarkStart w:id="59" w:name="_Toc200359431"/>
      <w:bookmarkStart w:id="60" w:name="_Toc287607732"/>
      <w:bookmarkStart w:id="61" w:name="_Toc509218696"/>
      <w:r>
        <w:rPr>
          <w:rFonts w:ascii="宋体" w:hAnsi="宋体"/>
          <w:snapToGrid w:val="0"/>
          <w:color w:val="auto"/>
          <w:sz w:val="28"/>
          <w:szCs w:val="28"/>
          <w:highlight w:val="none"/>
        </w:rPr>
        <w:t xml:space="preserve">5.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投标文件的递交</w:t>
      </w:r>
      <w:bookmarkEnd w:id="53"/>
      <w:bookmarkEnd w:id="54"/>
      <w:bookmarkEnd w:id="55"/>
      <w:bookmarkEnd w:id="56"/>
      <w:bookmarkEnd w:id="57"/>
      <w:bookmarkEnd w:id="58"/>
      <w:bookmarkEnd w:id="59"/>
      <w:bookmarkEnd w:id="60"/>
      <w:bookmarkEnd w:id="61"/>
    </w:p>
    <w:p w14:paraId="0F13D8C4">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5.1  投标文件递交的截止时间（投标截止时间，下同）为</w:t>
      </w:r>
      <w:r>
        <w:rPr>
          <w:rFonts w:hint="eastAsia" w:ascii="宋体" w:hAnsi="宋体"/>
          <w:snapToGrid w:val="0"/>
          <w:color w:val="auto"/>
          <w:kern w:val="0"/>
          <w:szCs w:val="21"/>
          <w:highlight w:val="none"/>
          <w:u w:val="single"/>
          <w:lang w:val="en-US" w:eastAsia="zh-CN"/>
        </w:rPr>
        <w:t xml:space="preserve"> 2025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 xml:space="preserve"> 8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12</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00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分，地点为</w:t>
      </w:r>
      <w:r>
        <w:rPr>
          <w:rFonts w:hint="eastAsia" w:ascii="宋体" w:hAnsi="宋体"/>
          <w:snapToGrid w:val="0"/>
          <w:color w:val="auto"/>
          <w:kern w:val="0"/>
          <w:szCs w:val="21"/>
          <w:highlight w:val="none"/>
          <w:u w:val="single"/>
        </w:rPr>
        <w:t xml:space="preserve"> 垫江县县级机关3号综合楼</w:t>
      </w:r>
      <w:r>
        <w:rPr>
          <w:rFonts w:hint="eastAsia" w:ascii="宋体" w:hAnsi="宋体"/>
          <w:snapToGrid w:val="0"/>
          <w:color w:val="auto"/>
          <w:kern w:val="0"/>
          <w:szCs w:val="21"/>
          <w:highlight w:val="none"/>
          <w:u w:val="single"/>
          <w:lang w:eastAsia="zh-CN"/>
        </w:rPr>
        <w:t>重庆明月山建设开发有限公司</w:t>
      </w:r>
      <w:r>
        <w:rPr>
          <w:rFonts w:hint="eastAsia" w:ascii="宋体" w:hAnsi="宋体"/>
          <w:snapToGrid w:val="0"/>
          <w:color w:val="auto"/>
          <w:kern w:val="0"/>
          <w:szCs w:val="21"/>
          <w:highlight w:val="none"/>
          <w:u w:val="single"/>
          <w:lang w:val="en-US" w:eastAsia="zh-CN"/>
        </w:rPr>
        <w:t>601#</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04B06C26">
      <w:pPr>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5.2  逾期送达的或者未送达指定地点的投标文件，招标人不予受理。</w:t>
      </w:r>
    </w:p>
    <w:p w14:paraId="1CCD6345">
      <w:pPr>
        <w:pStyle w:val="4"/>
        <w:spacing w:before="100" w:after="100" w:line="460" w:lineRule="exact"/>
        <w:rPr>
          <w:rFonts w:ascii="宋体" w:hAnsi="宋体"/>
          <w:snapToGrid w:val="0"/>
          <w:color w:val="auto"/>
          <w:sz w:val="28"/>
          <w:szCs w:val="28"/>
          <w:highlight w:val="none"/>
        </w:rPr>
      </w:pPr>
      <w:bookmarkStart w:id="62" w:name="_Toc224103304"/>
      <w:bookmarkStart w:id="63" w:name="_Toc200359243"/>
      <w:bookmarkStart w:id="64" w:name="_Toc509218697"/>
      <w:bookmarkStart w:id="65" w:name="_Toc9091"/>
      <w:bookmarkStart w:id="66" w:name="_Toc430530421"/>
      <w:bookmarkStart w:id="67" w:name="_Toc287620672"/>
      <w:bookmarkStart w:id="68" w:name="_Toc277082541"/>
      <w:bookmarkStart w:id="69" w:name="_Toc200359432"/>
      <w:bookmarkStart w:id="70" w:name="_Toc287607733"/>
      <w:r>
        <w:rPr>
          <w:rFonts w:ascii="宋体" w:hAnsi="宋体"/>
          <w:snapToGrid w:val="0"/>
          <w:color w:val="auto"/>
          <w:sz w:val="28"/>
          <w:szCs w:val="28"/>
          <w:highlight w:val="none"/>
        </w:rPr>
        <w:t xml:space="preserve">6.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62"/>
      <w:bookmarkEnd w:id="63"/>
      <w:bookmarkEnd w:id="64"/>
      <w:bookmarkEnd w:id="65"/>
      <w:bookmarkEnd w:id="66"/>
      <w:bookmarkEnd w:id="67"/>
      <w:bookmarkEnd w:id="68"/>
      <w:bookmarkEnd w:id="69"/>
      <w:bookmarkEnd w:id="70"/>
    </w:p>
    <w:p w14:paraId="49E3DE8F">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本次招标公告在</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垫江县人民政府网</w:t>
      </w:r>
      <w:r>
        <w:rPr>
          <w:rFonts w:ascii="宋体" w:hAnsi="宋体"/>
          <w:snapToGrid w:val="0"/>
          <w:color w:val="auto"/>
          <w:kern w:val="0"/>
          <w:szCs w:val="21"/>
          <w:highlight w:val="none"/>
        </w:rPr>
        <w:t>上发布。</w:t>
      </w:r>
    </w:p>
    <w:p w14:paraId="71B070EA">
      <w:pPr>
        <w:pStyle w:val="4"/>
        <w:spacing w:before="100" w:after="100" w:line="460" w:lineRule="exact"/>
        <w:rPr>
          <w:rFonts w:ascii="宋体" w:hAnsi="宋体"/>
          <w:snapToGrid w:val="0"/>
          <w:color w:val="auto"/>
          <w:sz w:val="28"/>
          <w:szCs w:val="28"/>
          <w:highlight w:val="none"/>
        </w:rPr>
      </w:pPr>
      <w:bookmarkStart w:id="71" w:name="_Toc14396"/>
      <w:bookmarkStart w:id="72" w:name="_Toc509218698"/>
      <w:bookmarkStart w:id="73" w:name="_Toc430530422"/>
      <w:bookmarkStart w:id="74" w:name="_Toc287607734"/>
      <w:bookmarkStart w:id="75" w:name="_Toc287620673"/>
      <w:bookmarkStart w:id="76" w:name="_Toc224103305"/>
      <w:bookmarkStart w:id="77" w:name="_Toc277082542"/>
      <w:r>
        <w:rPr>
          <w:rFonts w:ascii="宋体" w:hAnsi="宋体"/>
          <w:snapToGrid w:val="0"/>
          <w:color w:val="auto"/>
          <w:sz w:val="28"/>
          <w:szCs w:val="28"/>
          <w:highlight w:val="none"/>
        </w:rPr>
        <w:t xml:space="preserve">7.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联系方式</w:t>
      </w:r>
      <w:bookmarkEnd w:id="71"/>
      <w:bookmarkEnd w:id="72"/>
      <w:bookmarkEnd w:id="73"/>
      <w:bookmarkEnd w:id="74"/>
      <w:bookmarkEnd w:id="75"/>
      <w:bookmarkEnd w:id="76"/>
      <w:bookmarkEnd w:id="77"/>
    </w:p>
    <w:p w14:paraId="64587643">
      <w:pPr>
        <w:tabs>
          <w:tab w:val="left" w:pos="5140"/>
          <w:tab w:val="left" w:pos="85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招 标 人：</w:t>
      </w:r>
      <w:r>
        <w:rPr>
          <w:rFonts w:hint="eastAsia" w:ascii="宋体" w:hAnsi="宋体"/>
          <w:snapToGrid w:val="0"/>
          <w:color w:val="auto"/>
          <w:kern w:val="0"/>
          <w:szCs w:val="21"/>
          <w:highlight w:val="none"/>
          <w:u w:val="single"/>
          <w:lang w:eastAsia="zh-CN"/>
        </w:rPr>
        <w:t>重庆明月山建设开发有限公司</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招标代理机构：</w:t>
      </w:r>
      <w:r>
        <w:rPr>
          <w:rFonts w:ascii="宋体" w:hAnsi="宋体"/>
          <w:snapToGrid w:val="0"/>
          <w:color w:val="auto"/>
          <w:kern w:val="0"/>
          <w:szCs w:val="21"/>
          <w:highlight w:val="none"/>
          <w:u w:val="single"/>
        </w:rPr>
        <w:t xml:space="preserve"> </w:t>
      </w:r>
      <w:r>
        <w:rPr>
          <w:rFonts w:hint="eastAsia" w:ascii="宋体" w:hAnsi="宋体" w:cs="宋体"/>
          <w:color w:val="auto"/>
          <w:szCs w:val="21"/>
          <w:highlight w:val="none"/>
          <w:u w:val="single"/>
          <w:shd w:val="clear" w:color="auto" w:fill="FFFFFF"/>
          <w:lang w:eastAsia="zh-CN"/>
        </w:rPr>
        <w:t>重庆立生实业有限公司</w:t>
      </w:r>
      <w:r>
        <w:rPr>
          <w:rFonts w:ascii="宋体" w:hAnsi="宋体"/>
          <w:snapToGrid w:val="0"/>
          <w:color w:val="auto"/>
          <w:kern w:val="0"/>
          <w:szCs w:val="21"/>
          <w:highlight w:val="none"/>
          <w:u w:val="single"/>
        </w:rPr>
        <w:t xml:space="preserve">    </w:t>
      </w:r>
    </w:p>
    <w:p w14:paraId="0B2A2E4C">
      <w:pPr>
        <w:tabs>
          <w:tab w:val="left" w:pos="5140"/>
          <w:tab w:val="left" w:pos="8420"/>
        </w:tabs>
        <w:autoSpaceDE w:val="0"/>
        <w:autoSpaceDN w:val="0"/>
        <w:adjustRightInd w:val="0"/>
        <w:snapToGrid w:val="0"/>
        <w:spacing w:line="450" w:lineRule="exact"/>
        <w:ind w:left="6300" w:leftChars="200" w:hanging="5880" w:hangingChars="2800"/>
        <w:jc w:val="left"/>
        <w:rPr>
          <w:rFonts w:hint="eastAsia" w:ascii="宋体" w:hAnsi="宋体" w:eastAsia="宋体" w:cs="宋体"/>
          <w:color w:val="auto"/>
          <w:szCs w:val="21"/>
          <w:highlight w:val="none"/>
          <w:u w:val="single"/>
          <w:shd w:val="clear" w:color="auto" w:fill="FFFFFF"/>
          <w:lang w:eastAsia="zh-CN"/>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址：</w:t>
      </w:r>
      <w:r>
        <w:rPr>
          <w:rFonts w:hint="eastAsia" w:ascii="宋体" w:hAnsi="宋体"/>
          <w:snapToGrid w:val="0"/>
          <w:color w:val="auto"/>
          <w:kern w:val="0"/>
          <w:szCs w:val="21"/>
          <w:highlight w:val="none"/>
          <w:u w:val="single"/>
        </w:rPr>
        <w:t>垫江县县级机关3号综合楼</w:t>
      </w:r>
      <w:r>
        <w:rPr>
          <w:rFonts w:hint="eastAsia" w:ascii="宋体" w:hAnsi="宋体" w:cs="宋体"/>
          <w:color w:val="auto"/>
          <w:szCs w:val="21"/>
          <w:highlight w:val="none"/>
          <w:u w:val="single"/>
          <w:shd w:val="clear" w:color="auto" w:fill="FFFFFF"/>
        </w:rPr>
        <w:t xml:space="preserve"> </w:t>
      </w:r>
      <w:r>
        <w:rPr>
          <w:rFonts w:hint="eastAsia" w:ascii="宋体" w:hAnsi="宋体" w:cs="宋体"/>
          <w:color w:val="auto"/>
          <w:szCs w:val="21"/>
          <w:highlight w:val="none"/>
          <w:u w:val="single"/>
          <w:shd w:val="clear" w:color="auto" w:fill="FFFFFF"/>
          <w:lang w:val="en-US" w:eastAsia="zh-CN"/>
        </w:rPr>
        <w:t xml:space="preserve">       </w:t>
      </w:r>
      <w:r>
        <w:rPr>
          <w:rFonts w:hint="eastAsia" w:ascii="宋体" w:hAnsi="宋体" w:cs="宋体"/>
          <w:color w:val="auto"/>
          <w:szCs w:val="21"/>
          <w:highlight w:val="none"/>
          <w:shd w:val="clear" w:color="auto" w:fill="FFFFFF"/>
        </w:rPr>
        <w:t>地   址</w:t>
      </w:r>
      <w:r>
        <w:rPr>
          <w:rFonts w:hint="eastAsia" w:ascii="宋体" w:hAnsi="宋体" w:cs="宋体"/>
          <w:color w:val="auto"/>
          <w:szCs w:val="21"/>
          <w:highlight w:val="none"/>
          <w:u w:val="single"/>
          <w:shd w:val="clear" w:color="auto" w:fill="FFFFFF"/>
        </w:rPr>
        <w:t>：</w:t>
      </w:r>
      <w:r>
        <w:rPr>
          <w:rFonts w:hint="eastAsia" w:ascii="宋体" w:hAnsi="宋体"/>
          <w:snapToGrid w:val="0"/>
          <w:color w:val="auto"/>
          <w:kern w:val="0"/>
          <w:position w:val="-3"/>
          <w:szCs w:val="21"/>
          <w:highlight w:val="none"/>
          <w:u w:val="single"/>
          <w:lang w:eastAsia="zh-CN"/>
        </w:rPr>
        <w:t>重庆市垫江县财富大厦14楼</w:t>
      </w:r>
    </w:p>
    <w:p w14:paraId="0F49089A">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联 系 人：</w:t>
      </w:r>
      <w:r>
        <w:rPr>
          <w:rFonts w:hint="eastAsia" w:ascii="宋体" w:hAnsi="宋体"/>
          <w:snapToGrid w:val="0"/>
          <w:color w:val="auto"/>
          <w:kern w:val="0"/>
          <w:szCs w:val="21"/>
          <w:highlight w:val="none"/>
          <w:u w:val="single"/>
          <w:lang w:val="en-US" w:eastAsia="zh-CN"/>
        </w:rPr>
        <w:t>廖</w:t>
      </w:r>
      <w:r>
        <w:rPr>
          <w:rFonts w:hint="eastAsia" w:ascii="宋体" w:hAnsi="宋体"/>
          <w:snapToGrid w:val="0"/>
          <w:color w:val="auto"/>
          <w:kern w:val="0"/>
          <w:szCs w:val="21"/>
          <w:highlight w:val="none"/>
          <w:u w:val="single"/>
        </w:rPr>
        <w:t xml:space="preserve">老师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联 系 人：</w:t>
      </w:r>
      <w:r>
        <w:rPr>
          <w:rFonts w:hint="eastAsia" w:ascii="宋体" w:hAnsi="宋体"/>
          <w:snapToGrid w:val="0"/>
          <w:color w:val="auto"/>
          <w:kern w:val="0"/>
          <w:szCs w:val="21"/>
          <w:highlight w:val="none"/>
          <w:u w:val="single"/>
          <w:lang w:val="en-US" w:eastAsia="zh-CN"/>
        </w:rPr>
        <w:t>朱</w:t>
      </w:r>
      <w:r>
        <w:rPr>
          <w:rFonts w:hint="eastAsia" w:ascii="宋体" w:hAnsi="宋体"/>
          <w:snapToGrid w:val="0"/>
          <w:color w:val="auto"/>
          <w:kern w:val="0"/>
          <w:szCs w:val="21"/>
          <w:highlight w:val="none"/>
          <w:u w:val="single"/>
          <w:lang w:eastAsia="zh-CN"/>
        </w:rPr>
        <w:t>老师</w:t>
      </w:r>
      <w:r>
        <w:rPr>
          <w:rFonts w:ascii="宋体" w:hAnsi="宋体"/>
          <w:snapToGrid w:val="0"/>
          <w:color w:val="auto"/>
          <w:kern w:val="0"/>
          <w:szCs w:val="21"/>
          <w:highlight w:val="none"/>
          <w:u w:val="single"/>
        </w:rPr>
        <w:t xml:space="preserve">                       </w:t>
      </w:r>
    </w:p>
    <w:p w14:paraId="197B4BE0">
      <w:pPr>
        <w:tabs>
          <w:tab w:val="left" w:pos="5140"/>
          <w:tab w:val="left" w:pos="8420"/>
        </w:tabs>
        <w:autoSpaceDE w:val="0"/>
        <w:autoSpaceDN w:val="0"/>
        <w:adjustRightInd w:val="0"/>
        <w:snapToGrid w:val="0"/>
        <w:spacing w:line="400" w:lineRule="exact"/>
        <w:ind w:firstLine="420" w:firstLineChars="20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电    话：</w:t>
      </w:r>
      <w:r>
        <w:rPr>
          <w:rFonts w:hint="eastAsia" w:ascii="宋体" w:hAnsi="宋体"/>
          <w:snapToGrid w:val="0"/>
          <w:color w:val="auto"/>
          <w:kern w:val="0"/>
          <w:szCs w:val="21"/>
          <w:highlight w:val="none"/>
          <w:u w:val="single"/>
          <w:lang w:val="en-US" w:eastAsia="zh-CN"/>
        </w:rPr>
        <w:t>023-81869659/</w:t>
      </w:r>
      <w:r>
        <w:rPr>
          <w:rFonts w:hint="eastAsia" w:ascii="宋体" w:hAnsi="宋体"/>
          <w:snapToGrid w:val="0"/>
          <w:color w:val="auto"/>
          <w:kern w:val="0"/>
          <w:szCs w:val="21"/>
          <w:highlight w:val="none"/>
          <w:u w:val="single"/>
        </w:rPr>
        <w:t>13896600775</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电    话：</w:t>
      </w:r>
      <w:r>
        <w:rPr>
          <w:rFonts w:hint="eastAsia" w:ascii="宋体" w:hAnsi="宋体" w:cs="宋体"/>
          <w:color w:val="auto"/>
          <w:szCs w:val="21"/>
          <w:highlight w:val="none"/>
          <w:u w:val="single"/>
          <w:shd w:val="clear" w:color="auto" w:fill="FFFFFF"/>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15215147947</w:t>
      </w:r>
      <w:r>
        <w:rPr>
          <w:rFonts w:hint="eastAsia" w:ascii="宋体" w:hAnsi="宋体"/>
          <w:snapToGrid w:val="0"/>
          <w:color w:val="auto"/>
          <w:kern w:val="0"/>
          <w:szCs w:val="21"/>
          <w:highlight w:val="none"/>
          <w:u w:val="single"/>
        </w:rPr>
        <w:t xml:space="preserve">                    </w:t>
      </w:r>
    </w:p>
    <w:p w14:paraId="2B03B481">
      <w:pPr>
        <w:autoSpaceDE w:val="0"/>
        <w:autoSpaceDN w:val="0"/>
        <w:adjustRightInd w:val="0"/>
        <w:snapToGrid w:val="0"/>
        <w:spacing w:line="440" w:lineRule="exact"/>
        <w:ind w:firstLine="3906" w:firstLineChars="1860"/>
        <w:jc w:val="right"/>
        <w:rPr>
          <w:rFonts w:ascii="宋体" w:hAnsi="宋体"/>
          <w:snapToGrid w:val="0"/>
          <w:color w:val="auto"/>
          <w:kern w:val="0"/>
          <w:sz w:val="20"/>
          <w:szCs w:val="20"/>
          <w:highlight w:val="none"/>
        </w:rPr>
      </w:pP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202</w:t>
      </w:r>
      <w:r>
        <w:rPr>
          <w:rFonts w:hint="eastAsia" w:ascii="宋体" w:hAnsi="宋体"/>
          <w:snapToGrid w:val="0"/>
          <w:color w:val="auto"/>
          <w:kern w:val="0"/>
          <w:szCs w:val="21"/>
          <w:highlight w:val="none"/>
          <w:u w:val="single"/>
          <w:lang w:val="en-US" w:eastAsia="zh-CN"/>
        </w:rPr>
        <w:t>5</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8 </w:t>
      </w:r>
      <w:r>
        <w:rPr>
          <w:rFonts w:ascii="宋体" w:hAnsi="宋体"/>
          <w:snapToGrid w:val="0"/>
          <w:color w:val="auto"/>
          <w:kern w:val="0"/>
          <w:szCs w:val="21"/>
          <w:highlight w:val="none"/>
        </w:rPr>
        <w:t>月</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5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7161BD2E">
      <w:pPr>
        <w:pStyle w:val="3"/>
        <w:spacing w:before="0" w:after="0" w:line="200" w:lineRule="exact"/>
        <w:jc w:val="center"/>
        <w:rPr>
          <w:rFonts w:ascii="宋体" w:hAnsi="宋体"/>
          <w:snapToGrid w:val="0"/>
          <w:color w:val="auto"/>
          <w:kern w:val="0"/>
          <w:szCs w:val="21"/>
          <w:highlight w:val="none"/>
        </w:rPr>
      </w:pPr>
      <w:r>
        <w:rPr>
          <w:rFonts w:ascii="宋体" w:hAnsi="宋体"/>
          <w:snapToGrid w:val="0"/>
          <w:color w:val="auto"/>
          <w:kern w:val="0"/>
          <w:szCs w:val="21"/>
          <w:highlight w:val="none"/>
        </w:rPr>
        <w:br w:type="page"/>
      </w:r>
      <w:bookmarkStart w:id="78" w:name="_Toc430530423"/>
      <w:bookmarkStart w:id="79" w:name="_Toc287607735"/>
      <w:bookmarkStart w:id="80" w:name="_Toc287620674"/>
      <w:bookmarkStart w:id="81" w:name="_Toc224103306"/>
    </w:p>
    <w:bookmarkEnd w:id="78"/>
    <w:bookmarkEnd w:id="79"/>
    <w:bookmarkEnd w:id="80"/>
    <w:bookmarkEnd w:id="81"/>
    <w:p w14:paraId="17FCCF4B">
      <w:pPr>
        <w:pStyle w:val="3"/>
        <w:spacing w:line="360" w:lineRule="auto"/>
        <w:jc w:val="center"/>
        <w:rPr>
          <w:rFonts w:ascii="宋体" w:hAnsi="宋体"/>
          <w:bCs w:val="0"/>
          <w:snapToGrid w:val="0"/>
          <w:color w:val="auto"/>
          <w:kern w:val="0"/>
          <w:highlight w:val="none"/>
        </w:rPr>
      </w:pPr>
      <w:bookmarkStart w:id="82" w:name="_Toc430530432"/>
      <w:bookmarkStart w:id="83" w:name="_Toc287607744"/>
      <w:bookmarkStart w:id="84" w:name="_Toc287620683"/>
      <w:bookmarkStart w:id="85" w:name="_Toc224103315"/>
      <w:bookmarkStart w:id="86" w:name="_Toc916"/>
      <w:r>
        <w:rPr>
          <w:rFonts w:ascii="宋体" w:hAnsi="宋体"/>
          <w:snapToGrid w:val="0"/>
          <w:color w:val="auto"/>
          <w:kern w:val="0"/>
          <w:highlight w:val="none"/>
        </w:rPr>
        <w:t>第二章  投标人须知</w:t>
      </w:r>
      <w:bookmarkEnd w:id="82"/>
      <w:bookmarkEnd w:id="83"/>
      <w:bookmarkEnd w:id="84"/>
      <w:bookmarkEnd w:id="85"/>
      <w:bookmarkEnd w:id="86"/>
      <w:bookmarkStart w:id="87" w:name="_Toc430530433"/>
      <w:bookmarkStart w:id="88" w:name="_Toc277082551"/>
      <w:bookmarkStart w:id="89" w:name="_Toc287620684"/>
      <w:bookmarkStart w:id="90" w:name="_Toc224103316"/>
      <w:bookmarkStart w:id="91" w:name="_Toc287607745"/>
    </w:p>
    <w:p w14:paraId="1597B8C3">
      <w:pPr>
        <w:pStyle w:val="4"/>
        <w:spacing w:before="100" w:after="100" w:line="360" w:lineRule="auto"/>
        <w:rPr>
          <w:rFonts w:ascii="宋体" w:hAnsi="宋体"/>
          <w:color w:val="auto"/>
          <w:highlight w:val="none"/>
        </w:rPr>
      </w:pPr>
      <w:bookmarkStart w:id="92" w:name="_Toc22770"/>
      <w:bookmarkStart w:id="93" w:name="_Toc509218708"/>
      <w:r>
        <w:rPr>
          <w:rFonts w:hint="eastAsia" w:ascii="宋体" w:hAnsi="宋体"/>
          <w:color w:val="auto"/>
          <w:highlight w:val="none"/>
        </w:rPr>
        <w:t>投标人须知前附表</w:t>
      </w:r>
      <w:bookmarkEnd w:id="87"/>
      <w:bookmarkEnd w:id="88"/>
      <w:bookmarkEnd w:id="89"/>
      <w:bookmarkEnd w:id="90"/>
      <w:bookmarkEnd w:id="91"/>
      <w:bookmarkEnd w:id="92"/>
      <w:bookmarkEnd w:id="93"/>
    </w:p>
    <w:p w14:paraId="069F9B87">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正文内容不允许修改。若投标人须知前附表与正文不一致的地方，以投标人须知前附表为准。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72E927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3E025808">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2009F431">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14:paraId="40CD4A08">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203915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ECBF9D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5511E67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招标人</w:t>
            </w:r>
          </w:p>
        </w:tc>
        <w:tc>
          <w:tcPr>
            <w:tcW w:w="6490" w:type="dxa"/>
            <w:vAlign w:val="center"/>
          </w:tcPr>
          <w:p w14:paraId="47664988">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r>
              <w:rPr>
                <w:rFonts w:hint="eastAsia" w:ascii="宋体" w:hAnsi="宋体"/>
                <w:color w:val="auto"/>
                <w:kern w:val="0"/>
                <w:szCs w:val="21"/>
                <w:highlight w:val="none"/>
                <w:lang w:eastAsia="zh-CN"/>
              </w:rPr>
              <w:t>重庆明月山建设开发有限公司</w:t>
            </w:r>
            <w:r>
              <w:rPr>
                <w:rFonts w:hint="eastAsia" w:ascii="宋体" w:hAnsi="宋体"/>
                <w:color w:val="auto"/>
                <w:kern w:val="0"/>
                <w:szCs w:val="21"/>
                <w:highlight w:val="none"/>
              </w:rPr>
              <w:t xml:space="preserve"> </w:t>
            </w:r>
          </w:p>
          <w:p w14:paraId="047396AB">
            <w:pPr>
              <w:snapToGrid w:val="0"/>
              <w:spacing w:line="400" w:lineRule="exact"/>
              <w:rPr>
                <w:rFonts w:hint="eastAsia" w:ascii="宋体" w:hAnsi="宋体" w:eastAsia="宋体"/>
                <w:color w:val="auto"/>
                <w:kern w:val="0"/>
                <w:szCs w:val="21"/>
                <w:highlight w:val="none"/>
                <w:u w:val="none"/>
                <w:lang w:eastAsia="zh-CN"/>
              </w:rPr>
            </w:pPr>
            <w:r>
              <w:rPr>
                <w:rFonts w:ascii="宋体" w:hAnsi="宋体"/>
                <w:color w:val="auto"/>
                <w:kern w:val="0"/>
                <w:szCs w:val="21"/>
                <w:highlight w:val="none"/>
              </w:rPr>
              <w:t>地址：</w:t>
            </w:r>
            <w:r>
              <w:rPr>
                <w:rFonts w:hint="eastAsia" w:ascii="宋体" w:hAnsi="宋体"/>
                <w:snapToGrid w:val="0"/>
                <w:color w:val="auto"/>
                <w:kern w:val="0"/>
                <w:szCs w:val="21"/>
                <w:highlight w:val="none"/>
                <w:u w:val="none"/>
              </w:rPr>
              <w:t>垫江县县级机关3号综合楼</w:t>
            </w:r>
          </w:p>
          <w:p w14:paraId="12A9AF77">
            <w:pPr>
              <w:snapToGrid w:val="0"/>
              <w:spacing w:line="400" w:lineRule="exact"/>
              <w:rPr>
                <w:rFonts w:ascii="宋体" w:hAnsi="宋体"/>
                <w:color w:val="auto"/>
                <w:kern w:val="0"/>
                <w:szCs w:val="21"/>
                <w:highlight w:val="none"/>
              </w:rPr>
            </w:pPr>
            <w:r>
              <w:rPr>
                <w:rFonts w:ascii="宋体" w:hAnsi="宋体"/>
                <w:color w:val="auto"/>
                <w:kern w:val="0"/>
                <w:szCs w:val="21"/>
                <w:highlight w:val="none"/>
              </w:rPr>
              <w:t>联系人：</w:t>
            </w:r>
            <w:r>
              <w:rPr>
                <w:rFonts w:hint="eastAsia" w:ascii="宋体" w:hAnsi="宋体"/>
                <w:color w:val="auto"/>
                <w:kern w:val="0"/>
                <w:szCs w:val="21"/>
                <w:highlight w:val="none"/>
                <w:lang w:val="en-US" w:eastAsia="zh-CN"/>
              </w:rPr>
              <w:t>廖</w:t>
            </w:r>
            <w:r>
              <w:rPr>
                <w:rFonts w:hint="eastAsia" w:ascii="宋体" w:hAnsi="宋体"/>
                <w:color w:val="auto"/>
                <w:kern w:val="0"/>
                <w:szCs w:val="21"/>
                <w:highlight w:val="none"/>
              </w:rPr>
              <w:t>老师</w:t>
            </w:r>
          </w:p>
          <w:p w14:paraId="37BF3A50">
            <w:pPr>
              <w:snapToGrid w:val="0"/>
              <w:spacing w:line="400" w:lineRule="exact"/>
              <w:rPr>
                <w:rFonts w:hint="eastAsia" w:ascii="宋体" w:hAnsi="宋体" w:eastAsia="宋体"/>
                <w:color w:val="auto"/>
                <w:kern w:val="0"/>
                <w:szCs w:val="21"/>
                <w:highlight w:val="none"/>
                <w:lang w:eastAsia="zh-CN"/>
              </w:rPr>
            </w:pPr>
            <w:r>
              <w:rPr>
                <w:rFonts w:ascii="宋体" w:hAnsi="宋体"/>
                <w:color w:val="auto"/>
                <w:kern w:val="0"/>
                <w:szCs w:val="21"/>
                <w:highlight w:val="none"/>
              </w:rPr>
              <w:t>电话：</w:t>
            </w:r>
            <w:r>
              <w:rPr>
                <w:rFonts w:hint="eastAsia" w:ascii="宋体" w:hAnsi="宋体"/>
                <w:color w:val="auto"/>
                <w:kern w:val="0"/>
                <w:szCs w:val="21"/>
                <w:highlight w:val="none"/>
                <w:lang w:val="en-US" w:eastAsia="zh-CN"/>
              </w:rPr>
              <w:t>023-81869659/</w:t>
            </w:r>
            <w:r>
              <w:rPr>
                <w:rFonts w:hint="eastAsia" w:ascii="宋体" w:hAnsi="宋体"/>
                <w:color w:val="auto"/>
                <w:kern w:val="0"/>
                <w:szCs w:val="21"/>
                <w:highlight w:val="none"/>
              </w:rPr>
              <w:t>13896600775</w:t>
            </w:r>
          </w:p>
        </w:tc>
      </w:tr>
      <w:tr w14:paraId="4EAD11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FDB24A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63960EC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招标代理机构</w:t>
            </w:r>
          </w:p>
        </w:tc>
        <w:tc>
          <w:tcPr>
            <w:tcW w:w="6490" w:type="dxa"/>
            <w:vAlign w:val="center"/>
          </w:tcPr>
          <w:p w14:paraId="157884A8">
            <w:pPr>
              <w:snapToGrid w:val="0"/>
              <w:spacing w:line="400" w:lineRule="exact"/>
              <w:rPr>
                <w:rFonts w:hint="eastAsia" w:ascii="宋体" w:hAnsi="宋体" w:eastAsia="宋体"/>
                <w:color w:val="auto"/>
                <w:kern w:val="0"/>
                <w:szCs w:val="21"/>
                <w:highlight w:val="none"/>
                <w:lang w:eastAsia="zh-CN"/>
              </w:rPr>
            </w:pPr>
            <w:r>
              <w:rPr>
                <w:rFonts w:ascii="宋体" w:hAnsi="宋体"/>
                <w:color w:val="auto"/>
                <w:kern w:val="0"/>
                <w:szCs w:val="21"/>
                <w:highlight w:val="none"/>
              </w:rPr>
              <w:t>名称：</w:t>
            </w:r>
            <w:r>
              <w:rPr>
                <w:rFonts w:hint="eastAsia" w:ascii="宋体" w:hAnsi="宋体" w:cs="宋体"/>
                <w:color w:val="auto"/>
                <w:szCs w:val="21"/>
                <w:highlight w:val="none"/>
                <w:shd w:val="clear" w:color="auto" w:fill="FFFFFF"/>
                <w:lang w:eastAsia="zh-CN"/>
              </w:rPr>
              <w:t>重庆立生实业有限公司</w:t>
            </w:r>
          </w:p>
          <w:p w14:paraId="7DE61A27">
            <w:pPr>
              <w:snapToGrid w:val="0"/>
              <w:spacing w:line="400" w:lineRule="exact"/>
              <w:rPr>
                <w:rFonts w:hint="eastAsia" w:ascii="宋体" w:hAnsi="宋体" w:eastAsia="宋体"/>
                <w:color w:val="auto"/>
                <w:kern w:val="0"/>
                <w:szCs w:val="21"/>
                <w:highlight w:val="none"/>
                <w:lang w:eastAsia="zh-CN"/>
              </w:rPr>
            </w:pPr>
            <w:r>
              <w:rPr>
                <w:rFonts w:ascii="宋体" w:hAnsi="宋体"/>
                <w:color w:val="auto"/>
                <w:kern w:val="0"/>
                <w:szCs w:val="21"/>
                <w:highlight w:val="none"/>
              </w:rPr>
              <w:t>地址：</w:t>
            </w:r>
            <w:r>
              <w:rPr>
                <w:rFonts w:hint="eastAsia" w:ascii="宋体" w:hAnsi="宋体"/>
                <w:color w:val="auto"/>
                <w:kern w:val="0"/>
                <w:szCs w:val="21"/>
                <w:highlight w:val="none"/>
                <w:lang w:eastAsia="zh-CN"/>
              </w:rPr>
              <w:t>重庆市垫江县财富大厦14楼</w:t>
            </w:r>
          </w:p>
          <w:p w14:paraId="58E264AA">
            <w:pPr>
              <w:snapToGrid w:val="0"/>
              <w:spacing w:line="400" w:lineRule="exact"/>
              <w:rPr>
                <w:rFonts w:hint="eastAsia" w:ascii="宋体" w:hAnsi="宋体" w:eastAsia="宋体"/>
                <w:color w:val="auto"/>
                <w:kern w:val="0"/>
                <w:szCs w:val="21"/>
                <w:highlight w:val="none"/>
                <w:lang w:eastAsia="zh-CN"/>
              </w:rPr>
            </w:pPr>
            <w:r>
              <w:rPr>
                <w:rFonts w:ascii="宋体" w:hAnsi="宋体"/>
                <w:color w:val="auto"/>
                <w:kern w:val="0"/>
                <w:szCs w:val="21"/>
                <w:highlight w:val="none"/>
              </w:rPr>
              <w:t>联系人：</w:t>
            </w:r>
            <w:r>
              <w:rPr>
                <w:rFonts w:hint="eastAsia" w:ascii="宋体" w:hAnsi="宋体"/>
                <w:snapToGrid w:val="0"/>
                <w:color w:val="auto"/>
                <w:kern w:val="0"/>
                <w:szCs w:val="21"/>
                <w:highlight w:val="none"/>
                <w:lang w:val="en-US" w:eastAsia="zh-CN"/>
              </w:rPr>
              <w:t>朱</w:t>
            </w:r>
            <w:r>
              <w:rPr>
                <w:rFonts w:hint="eastAsia" w:ascii="宋体" w:hAnsi="宋体"/>
                <w:snapToGrid w:val="0"/>
                <w:color w:val="auto"/>
                <w:kern w:val="0"/>
                <w:szCs w:val="21"/>
                <w:highlight w:val="none"/>
                <w:lang w:eastAsia="zh-CN"/>
              </w:rPr>
              <w:t>老师</w:t>
            </w:r>
          </w:p>
          <w:p w14:paraId="3413E70E">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snapToGrid w:val="0"/>
                <w:color w:val="auto"/>
                <w:kern w:val="0"/>
                <w:szCs w:val="21"/>
                <w:highlight w:val="none"/>
                <w:lang w:eastAsia="zh-CN"/>
              </w:rPr>
              <w:t>15215147947</w:t>
            </w:r>
            <w:r>
              <w:rPr>
                <w:rFonts w:hint="eastAsia" w:ascii="宋体" w:hAnsi="宋体"/>
                <w:snapToGrid w:val="0"/>
                <w:color w:val="auto"/>
                <w:kern w:val="0"/>
                <w:szCs w:val="21"/>
                <w:highlight w:val="none"/>
              </w:rPr>
              <w:t xml:space="preserve"> </w:t>
            </w:r>
            <w:r>
              <w:rPr>
                <w:rFonts w:hint="eastAsia" w:ascii="宋体" w:hAnsi="宋体" w:cs="宋体"/>
                <w:color w:val="auto"/>
                <w:szCs w:val="21"/>
                <w:highlight w:val="none"/>
                <w:shd w:val="clear" w:color="auto" w:fill="FFFFFF"/>
              </w:rPr>
              <w:t xml:space="preserve"> </w:t>
            </w:r>
          </w:p>
        </w:tc>
      </w:tr>
      <w:tr w14:paraId="31858D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4ABFD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146943B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490" w:type="dxa"/>
            <w:vAlign w:val="center"/>
          </w:tcPr>
          <w:p w14:paraId="2770A8FD">
            <w:pPr>
              <w:snapToGrid w:val="0"/>
              <w:spacing w:line="400" w:lineRule="exact"/>
              <w:jc w:val="left"/>
              <w:rPr>
                <w:rFonts w:hint="eastAsia" w:ascii="宋体" w:hAnsi="宋体" w:eastAsia="宋体"/>
                <w:color w:val="auto"/>
                <w:szCs w:val="21"/>
                <w:highlight w:val="none"/>
                <w:lang w:eastAsia="zh-CN"/>
              </w:rPr>
            </w:pPr>
            <w:r>
              <w:rPr>
                <w:rFonts w:hint="eastAsia" w:ascii="宋体" w:hAnsi="宋体" w:cs="宋体"/>
                <w:color w:val="auto"/>
                <w:szCs w:val="21"/>
                <w:highlight w:val="none"/>
                <w:u w:val="single"/>
                <w:lang w:eastAsia="zh-CN"/>
              </w:rPr>
              <w:t>宝鼎山建(构)筑物排危整治工程（第二次）</w:t>
            </w:r>
          </w:p>
        </w:tc>
      </w:tr>
      <w:tr w14:paraId="7790D6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B9AEA5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09E9B0E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建设地点</w:t>
            </w:r>
          </w:p>
        </w:tc>
        <w:tc>
          <w:tcPr>
            <w:tcW w:w="6490" w:type="dxa"/>
            <w:vAlign w:val="center"/>
          </w:tcPr>
          <w:p w14:paraId="255A36A5">
            <w:pPr>
              <w:snapToGrid w:val="0"/>
              <w:spacing w:line="400" w:lineRule="exact"/>
              <w:jc w:val="left"/>
              <w:rPr>
                <w:rFonts w:hint="eastAsia" w:ascii="宋体" w:hAnsi="宋体" w:eastAsia="宋体"/>
                <w:color w:val="auto"/>
                <w:szCs w:val="21"/>
                <w:highlight w:val="none"/>
                <w:lang w:eastAsia="zh-CN"/>
              </w:rPr>
            </w:pP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垫江县</w:t>
            </w:r>
          </w:p>
        </w:tc>
      </w:tr>
      <w:tr w14:paraId="4493F7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C45BD0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14:paraId="3F2D18B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建设规模</w:t>
            </w:r>
          </w:p>
        </w:tc>
        <w:tc>
          <w:tcPr>
            <w:tcW w:w="6490" w:type="dxa"/>
            <w:vAlign w:val="center"/>
          </w:tcPr>
          <w:p w14:paraId="4C371F2A">
            <w:pPr>
              <w:snapToGrid w:val="0"/>
              <w:spacing w:line="400" w:lineRule="exact"/>
              <w:ind w:firstLine="420" w:firstLineChars="200"/>
              <w:jc w:val="left"/>
              <w:rPr>
                <w:rFonts w:hint="default" w:ascii="宋体" w:hAnsi="宋体" w:eastAsia="宋体"/>
                <w:color w:val="auto"/>
                <w:szCs w:val="21"/>
                <w:highlight w:val="none"/>
                <w:u w:val="single"/>
                <w:lang w:val="en-US" w:eastAsia="zh-CN"/>
              </w:rPr>
            </w:pPr>
            <w:r>
              <w:rPr>
                <w:rFonts w:hint="eastAsia" w:ascii="宋体" w:hAnsi="宋体"/>
                <w:snapToGrid w:val="0"/>
                <w:color w:val="auto"/>
                <w:kern w:val="0"/>
                <w:szCs w:val="21"/>
                <w:highlight w:val="none"/>
                <w:u w:val="single"/>
                <w:lang w:val="en-US" w:eastAsia="zh-CN"/>
              </w:rPr>
              <w:t>宝鼎山建(构)筑物排危整治工程</w:t>
            </w:r>
            <w:bookmarkStart w:id="2230" w:name="_GoBack"/>
            <w:bookmarkEnd w:id="2230"/>
          </w:p>
        </w:tc>
      </w:tr>
      <w:tr w14:paraId="63C978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9D26ED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57DC2CD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p>
        </w:tc>
        <w:tc>
          <w:tcPr>
            <w:tcW w:w="6490" w:type="dxa"/>
            <w:vAlign w:val="center"/>
          </w:tcPr>
          <w:p w14:paraId="308E53F2">
            <w:pPr>
              <w:snapToGrid w:val="0"/>
              <w:spacing w:line="400" w:lineRule="exact"/>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u w:val="single"/>
                <w:lang w:eastAsia="zh-CN"/>
              </w:rPr>
              <w:t>业主自筹</w:t>
            </w:r>
            <w:r>
              <w:rPr>
                <w:rFonts w:hint="eastAsia" w:ascii="宋体" w:hAnsi="宋体"/>
                <w:color w:val="auto"/>
                <w:szCs w:val="21"/>
                <w:highlight w:val="none"/>
                <w:u w:val="single"/>
              </w:rPr>
              <w:t xml:space="preserve"> </w:t>
            </w:r>
          </w:p>
        </w:tc>
      </w:tr>
      <w:tr w14:paraId="5EEFB8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11DF39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3953456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14:paraId="252DFFE7">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100%</w:t>
            </w:r>
          </w:p>
        </w:tc>
      </w:tr>
      <w:tr w14:paraId="0DCF7B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14:paraId="537804D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1.2.3</w:t>
            </w:r>
          </w:p>
        </w:tc>
        <w:tc>
          <w:tcPr>
            <w:tcW w:w="1644" w:type="dxa"/>
            <w:vAlign w:val="center"/>
          </w:tcPr>
          <w:p w14:paraId="11A22BC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14:paraId="135C90F2">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已落实</w:t>
            </w:r>
          </w:p>
        </w:tc>
      </w:tr>
      <w:tr w14:paraId="0C4E5D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766D6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2FB03E7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招标范围</w:t>
            </w:r>
          </w:p>
        </w:tc>
        <w:tc>
          <w:tcPr>
            <w:tcW w:w="6490" w:type="dxa"/>
            <w:vAlign w:val="center"/>
          </w:tcPr>
          <w:p w14:paraId="50E529CA">
            <w:pPr>
              <w:snapToGrid w:val="0"/>
              <w:spacing w:line="400" w:lineRule="exact"/>
              <w:ind w:firstLine="420" w:firstLineChars="200"/>
              <w:rPr>
                <w:rFonts w:ascii="宋体" w:hAnsi="宋体"/>
                <w:i/>
                <w:color w:val="auto"/>
                <w:szCs w:val="21"/>
                <w:highlight w:val="none"/>
              </w:rPr>
            </w:pPr>
            <w:r>
              <w:rPr>
                <w:rFonts w:hint="eastAsia" w:ascii="宋体" w:hAnsi="宋体" w:cs="宋体"/>
                <w:color w:val="auto"/>
                <w:kern w:val="0"/>
                <w:szCs w:val="21"/>
                <w:highlight w:val="none"/>
                <w:u w:val="single"/>
                <w:shd w:val="clear" w:color="auto" w:fill="FFFFFF"/>
                <w:lang w:bidi="ar"/>
              </w:rPr>
              <w:t>包括招标人所提供的施工设计图所示范围内的所有内容，具体以招标人提供的图纸、工程量清单、答疑资料、澄清资料、其他补遗资料等相关内容为准</w:t>
            </w:r>
            <w:r>
              <w:rPr>
                <w:rFonts w:hint="eastAsia" w:ascii="宋体" w:hAnsi="宋体" w:cs="宋体"/>
                <w:color w:val="auto"/>
                <w:kern w:val="0"/>
                <w:szCs w:val="21"/>
                <w:highlight w:val="none"/>
                <w:shd w:val="clear" w:color="auto" w:fill="FFFFFF"/>
                <w:lang w:bidi="ar"/>
              </w:rPr>
              <w:t>。</w:t>
            </w:r>
          </w:p>
        </w:tc>
      </w:tr>
      <w:tr w14:paraId="2DA637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40F7A8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1838BD1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计划工期</w:t>
            </w:r>
          </w:p>
          <w:p w14:paraId="792CCE5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缺陷责任期</w:t>
            </w:r>
          </w:p>
        </w:tc>
        <w:tc>
          <w:tcPr>
            <w:tcW w:w="6490" w:type="dxa"/>
            <w:vAlign w:val="center"/>
          </w:tcPr>
          <w:p w14:paraId="7EA5BD0A">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color w:val="auto"/>
                <w:kern w:val="0"/>
                <w:szCs w:val="21"/>
                <w:highlight w:val="none"/>
              </w:rPr>
              <w:t>工期：</w:t>
            </w:r>
            <w:r>
              <w:rPr>
                <w:rFonts w:hint="eastAsia" w:ascii="宋体" w:hAnsi="宋体"/>
                <w:snapToGrid w:val="0"/>
                <w:color w:val="auto"/>
                <w:kern w:val="0"/>
                <w:szCs w:val="21"/>
                <w:highlight w:val="none"/>
                <w:u w:val="single"/>
                <w:lang w:val="en-US" w:eastAsia="zh-CN"/>
              </w:rPr>
              <w:t>45</w:t>
            </w:r>
            <w:r>
              <w:rPr>
                <w:rFonts w:hint="eastAsia" w:ascii="宋体" w:hAnsi="宋体"/>
                <w:snapToGrid w:val="0"/>
                <w:color w:val="auto"/>
                <w:kern w:val="0"/>
                <w:szCs w:val="21"/>
                <w:highlight w:val="none"/>
                <w:u w:val="single"/>
              </w:rPr>
              <w:t>日历天</w:t>
            </w:r>
            <w:r>
              <w:rPr>
                <w:rFonts w:hint="eastAsia" w:ascii="宋体" w:hAnsi="宋体"/>
                <w:snapToGrid w:val="0"/>
                <w:color w:val="auto"/>
                <w:kern w:val="0"/>
                <w:szCs w:val="21"/>
                <w:highlight w:val="none"/>
                <w:u w:val="single"/>
                <w:lang w:eastAsia="zh-CN"/>
              </w:rPr>
              <w:t>。</w:t>
            </w:r>
          </w:p>
          <w:p w14:paraId="7D4D62F9">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缺陷责任期：</w:t>
            </w:r>
            <w:r>
              <w:rPr>
                <w:rFonts w:hint="eastAsia" w:ascii="宋体" w:hAnsi="宋体"/>
                <w:snapToGrid w:val="0"/>
                <w:color w:val="auto"/>
                <w:kern w:val="0"/>
                <w:szCs w:val="21"/>
                <w:highlight w:val="none"/>
                <w:u w:val="single"/>
              </w:rPr>
              <w:t xml:space="preserve"> 24个月</w:t>
            </w:r>
          </w:p>
        </w:tc>
      </w:tr>
      <w:tr w14:paraId="304C84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32C49A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25FD1F8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14:paraId="0BCFDD8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满足相关质量要求规范及图纸要求，工程质量达到合格。</w:t>
            </w:r>
          </w:p>
        </w:tc>
      </w:tr>
      <w:tr w14:paraId="41BA67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1335" w:type="dxa"/>
            <w:vAlign w:val="center"/>
          </w:tcPr>
          <w:p w14:paraId="2159B058">
            <w:pPr>
              <w:snapToGrid w:val="0"/>
              <w:spacing w:line="400" w:lineRule="exact"/>
              <w:jc w:val="center"/>
              <w:rPr>
                <w:rFonts w:ascii="宋体" w:hAnsi="宋体"/>
                <w:color w:val="auto"/>
                <w:kern w:val="0"/>
                <w:szCs w:val="21"/>
                <w:highlight w:val="none"/>
              </w:rPr>
            </w:pPr>
          </w:p>
          <w:p w14:paraId="3AACF09E">
            <w:pPr>
              <w:snapToGrid w:val="0"/>
              <w:spacing w:line="400" w:lineRule="exact"/>
              <w:jc w:val="center"/>
              <w:rPr>
                <w:rFonts w:ascii="宋体" w:hAnsi="宋体"/>
                <w:color w:val="auto"/>
                <w:kern w:val="0"/>
                <w:szCs w:val="21"/>
                <w:highlight w:val="none"/>
              </w:rPr>
            </w:pPr>
          </w:p>
          <w:p w14:paraId="66092F7A">
            <w:pPr>
              <w:snapToGrid w:val="0"/>
              <w:spacing w:line="400" w:lineRule="exact"/>
              <w:jc w:val="center"/>
              <w:rPr>
                <w:rFonts w:ascii="宋体" w:hAnsi="宋体"/>
                <w:color w:val="auto"/>
                <w:kern w:val="0"/>
                <w:szCs w:val="21"/>
                <w:highlight w:val="none"/>
              </w:rPr>
            </w:pPr>
          </w:p>
          <w:p w14:paraId="73E0FDCA">
            <w:pPr>
              <w:snapToGrid w:val="0"/>
              <w:spacing w:line="400" w:lineRule="exact"/>
              <w:jc w:val="center"/>
              <w:rPr>
                <w:rFonts w:ascii="宋体" w:hAnsi="宋体"/>
                <w:color w:val="auto"/>
                <w:kern w:val="0"/>
                <w:szCs w:val="21"/>
                <w:highlight w:val="none"/>
              </w:rPr>
            </w:pPr>
          </w:p>
          <w:p w14:paraId="53F54148">
            <w:pPr>
              <w:snapToGrid w:val="0"/>
              <w:spacing w:line="400" w:lineRule="exact"/>
              <w:jc w:val="center"/>
              <w:rPr>
                <w:rFonts w:ascii="宋体" w:hAnsi="宋体"/>
                <w:color w:val="auto"/>
                <w:kern w:val="0"/>
                <w:szCs w:val="21"/>
                <w:highlight w:val="none"/>
              </w:rPr>
            </w:pPr>
          </w:p>
          <w:p w14:paraId="18E93B09">
            <w:pPr>
              <w:snapToGrid w:val="0"/>
              <w:spacing w:line="400" w:lineRule="exact"/>
              <w:jc w:val="center"/>
              <w:rPr>
                <w:rFonts w:ascii="宋体" w:hAnsi="宋体"/>
                <w:color w:val="auto"/>
                <w:kern w:val="0"/>
                <w:szCs w:val="21"/>
                <w:highlight w:val="none"/>
              </w:rPr>
            </w:pPr>
          </w:p>
          <w:p w14:paraId="6CE3D416">
            <w:pPr>
              <w:snapToGrid w:val="0"/>
              <w:spacing w:line="400" w:lineRule="exact"/>
              <w:jc w:val="center"/>
              <w:rPr>
                <w:rFonts w:ascii="宋体" w:hAnsi="宋体"/>
                <w:color w:val="auto"/>
                <w:kern w:val="0"/>
                <w:szCs w:val="21"/>
                <w:highlight w:val="none"/>
              </w:rPr>
            </w:pPr>
          </w:p>
          <w:p w14:paraId="437D602F">
            <w:pPr>
              <w:snapToGrid w:val="0"/>
              <w:spacing w:line="400" w:lineRule="exact"/>
              <w:jc w:val="center"/>
              <w:rPr>
                <w:rFonts w:ascii="宋体" w:hAnsi="宋体"/>
                <w:color w:val="auto"/>
                <w:kern w:val="0"/>
                <w:szCs w:val="21"/>
                <w:highlight w:val="none"/>
              </w:rPr>
            </w:pPr>
          </w:p>
          <w:p w14:paraId="0E4FA5FF">
            <w:pPr>
              <w:snapToGrid w:val="0"/>
              <w:spacing w:line="400" w:lineRule="exact"/>
              <w:jc w:val="center"/>
              <w:rPr>
                <w:rFonts w:ascii="宋体" w:hAnsi="宋体"/>
                <w:color w:val="auto"/>
                <w:kern w:val="0"/>
                <w:szCs w:val="21"/>
                <w:highlight w:val="none"/>
              </w:rPr>
            </w:pPr>
          </w:p>
          <w:p w14:paraId="7E10EF54">
            <w:pPr>
              <w:snapToGrid w:val="0"/>
              <w:spacing w:line="400" w:lineRule="exact"/>
              <w:jc w:val="center"/>
              <w:rPr>
                <w:rFonts w:ascii="宋体" w:hAnsi="宋体"/>
                <w:color w:val="auto"/>
                <w:kern w:val="0"/>
                <w:szCs w:val="21"/>
                <w:highlight w:val="none"/>
              </w:rPr>
            </w:pPr>
          </w:p>
          <w:p w14:paraId="44027711">
            <w:pPr>
              <w:snapToGrid w:val="0"/>
              <w:spacing w:line="400" w:lineRule="exact"/>
              <w:jc w:val="center"/>
              <w:rPr>
                <w:rFonts w:ascii="宋体" w:hAnsi="宋体"/>
                <w:color w:val="auto"/>
                <w:kern w:val="0"/>
                <w:szCs w:val="21"/>
                <w:highlight w:val="none"/>
              </w:rPr>
            </w:pPr>
          </w:p>
          <w:p w14:paraId="0693CE12">
            <w:pPr>
              <w:snapToGrid w:val="0"/>
              <w:spacing w:line="400" w:lineRule="exact"/>
              <w:jc w:val="center"/>
              <w:rPr>
                <w:rFonts w:ascii="宋体" w:hAnsi="宋体"/>
                <w:color w:val="auto"/>
                <w:kern w:val="0"/>
                <w:szCs w:val="21"/>
                <w:highlight w:val="none"/>
              </w:rPr>
            </w:pPr>
          </w:p>
          <w:p w14:paraId="548663DF">
            <w:pPr>
              <w:snapToGrid w:val="0"/>
              <w:spacing w:line="400" w:lineRule="exact"/>
              <w:jc w:val="center"/>
              <w:rPr>
                <w:rFonts w:ascii="宋体" w:hAnsi="宋体"/>
                <w:color w:val="auto"/>
                <w:kern w:val="0"/>
                <w:szCs w:val="21"/>
                <w:highlight w:val="none"/>
              </w:rPr>
            </w:pPr>
          </w:p>
          <w:p w14:paraId="3E687ABA">
            <w:pPr>
              <w:snapToGrid w:val="0"/>
              <w:spacing w:line="400" w:lineRule="exact"/>
              <w:jc w:val="center"/>
              <w:rPr>
                <w:rFonts w:ascii="宋体" w:hAnsi="宋体"/>
                <w:color w:val="auto"/>
                <w:kern w:val="0"/>
                <w:szCs w:val="21"/>
                <w:highlight w:val="none"/>
              </w:rPr>
            </w:pPr>
          </w:p>
          <w:p w14:paraId="5B51D082">
            <w:pPr>
              <w:snapToGrid w:val="0"/>
              <w:spacing w:line="400" w:lineRule="exact"/>
              <w:jc w:val="center"/>
              <w:rPr>
                <w:rFonts w:ascii="宋体" w:hAnsi="宋体"/>
                <w:color w:val="auto"/>
                <w:kern w:val="0"/>
                <w:szCs w:val="21"/>
                <w:highlight w:val="none"/>
              </w:rPr>
            </w:pPr>
          </w:p>
          <w:p w14:paraId="793B05A2">
            <w:pPr>
              <w:snapToGrid w:val="0"/>
              <w:spacing w:line="400" w:lineRule="exact"/>
              <w:jc w:val="center"/>
              <w:rPr>
                <w:rFonts w:ascii="宋体" w:hAnsi="宋体"/>
                <w:color w:val="auto"/>
                <w:kern w:val="0"/>
                <w:szCs w:val="21"/>
                <w:highlight w:val="none"/>
              </w:rPr>
            </w:pPr>
          </w:p>
          <w:p w14:paraId="5D1A0D4C">
            <w:pPr>
              <w:snapToGrid w:val="0"/>
              <w:spacing w:line="400" w:lineRule="exact"/>
              <w:jc w:val="center"/>
              <w:rPr>
                <w:rFonts w:ascii="宋体" w:hAnsi="宋体"/>
                <w:color w:val="auto"/>
                <w:kern w:val="0"/>
                <w:szCs w:val="21"/>
                <w:highlight w:val="none"/>
              </w:rPr>
            </w:pPr>
          </w:p>
          <w:p w14:paraId="655C05C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7532B713">
            <w:pPr>
              <w:snapToGrid w:val="0"/>
              <w:spacing w:line="400" w:lineRule="exact"/>
              <w:jc w:val="center"/>
              <w:rPr>
                <w:rFonts w:ascii="宋体" w:hAnsi="宋体"/>
                <w:color w:val="auto"/>
                <w:kern w:val="0"/>
                <w:szCs w:val="21"/>
                <w:highlight w:val="none"/>
              </w:rPr>
            </w:pPr>
          </w:p>
          <w:p w14:paraId="5A50AF54">
            <w:pPr>
              <w:snapToGrid w:val="0"/>
              <w:spacing w:line="400" w:lineRule="exact"/>
              <w:jc w:val="center"/>
              <w:rPr>
                <w:rFonts w:ascii="宋体" w:hAnsi="宋体"/>
                <w:color w:val="auto"/>
                <w:kern w:val="0"/>
                <w:szCs w:val="21"/>
                <w:highlight w:val="none"/>
              </w:rPr>
            </w:pPr>
          </w:p>
          <w:p w14:paraId="580705AC">
            <w:pPr>
              <w:snapToGrid w:val="0"/>
              <w:spacing w:line="400" w:lineRule="exact"/>
              <w:jc w:val="center"/>
              <w:rPr>
                <w:rFonts w:ascii="宋体" w:hAnsi="宋体"/>
                <w:color w:val="auto"/>
                <w:kern w:val="0"/>
                <w:szCs w:val="21"/>
                <w:highlight w:val="none"/>
              </w:rPr>
            </w:pPr>
          </w:p>
          <w:p w14:paraId="354C7101">
            <w:pPr>
              <w:snapToGrid w:val="0"/>
              <w:spacing w:line="400" w:lineRule="exact"/>
              <w:jc w:val="center"/>
              <w:rPr>
                <w:rFonts w:ascii="宋体" w:hAnsi="宋体"/>
                <w:color w:val="auto"/>
                <w:kern w:val="0"/>
                <w:szCs w:val="21"/>
                <w:highlight w:val="none"/>
              </w:rPr>
            </w:pPr>
          </w:p>
          <w:p w14:paraId="33A54830">
            <w:pPr>
              <w:snapToGrid w:val="0"/>
              <w:spacing w:line="400" w:lineRule="exact"/>
              <w:jc w:val="center"/>
              <w:rPr>
                <w:rFonts w:ascii="宋体" w:hAnsi="宋体"/>
                <w:color w:val="auto"/>
                <w:kern w:val="0"/>
                <w:szCs w:val="21"/>
                <w:highlight w:val="none"/>
              </w:rPr>
            </w:pPr>
          </w:p>
          <w:p w14:paraId="517512B3">
            <w:pPr>
              <w:snapToGrid w:val="0"/>
              <w:spacing w:line="400" w:lineRule="exact"/>
              <w:jc w:val="center"/>
              <w:rPr>
                <w:rFonts w:ascii="宋体" w:hAnsi="宋体"/>
                <w:color w:val="auto"/>
                <w:kern w:val="0"/>
                <w:szCs w:val="21"/>
                <w:highlight w:val="none"/>
              </w:rPr>
            </w:pPr>
          </w:p>
          <w:p w14:paraId="6558DFE3">
            <w:pPr>
              <w:snapToGrid w:val="0"/>
              <w:spacing w:line="400" w:lineRule="exact"/>
              <w:jc w:val="center"/>
              <w:rPr>
                <w:rFonts w:ascii="宋体" w:hAnsi="宋体"/>
                <w:color w:val="auto"/>
                <w:kern w:val="0"/>
                <w:szCs w:val="21"/>
                <w:highlight w:val="none"/>
              </w:rPr>
            </w:pPr>
          </w:p>
          <w:p w14:paraId="66313A59">
            <w:pPr>
              <w:snapToGrid w:val="0"/>
              <w:spacing w:line="400" w:lineRule="exact"/>
              <w:jc w:val="center"/>
              <w:rPr>
                <w:rFonts w:ascii="宋体" w:hAnsi="宋体"/>
                <w:color w:val="auto"/>
                <w:kern w:val="0"/>
                <w:szCs w:val="21"/>
                <w:highlight w:val="none"/>
              </w:rPr>
            </w:pPr>
          </w:p>
          <w:p w14:paraId="29CA25EC">
            <w:pPr>
              <w:snapToGrid w:val="0"/>
              <w:spacing w:line="400" w:lineRule="exact"/>
              <w:jc w:val="center"/>
              <w:rPr>
                <w:rFonts w:ascii="宋体" w:hAnsi="宋体"/>
                <w:color w:val="auto"/>
                <w:kern w:val="0"/>
                <w:szCs w:val="21"/>
                <w:highlight w:val="none"/>
              </w:rPr>
            </w:pPr>
          </w:p>
          <w:p w14:paraId="26912A11">
            <w:pPr>
              <w:snapToGrid w:val="0"/>
              <w:spacing w:line="400" w:lineRule="exact"/>
              <w:jc w:val="center"/>
              <w:rPr>
                <w:rFonts w:ascii="宋体" w:hAnsi="宋体"/>
                <w:color w:val="auto"/>
                <w:kern w:val="0"/>
                <w:szCs w:val="21"/>
                <w:highlight w:val="none"/>
              </w:rPr>
            </w:pPr>
          </w:p>
          <w:p w14:paraId="52D38BBE">
            <w:pPr>
              <w:snapToGrid w:val="0"/>
              <w:spacing w:line="400" w:lineRule="exact"/>
              <w:jc w:val="center"/>
              <w:rPr>
                <w:rFonts w:ascii="宋体" w:hAnsi="宋体"/>
                <w:color w:val="auto"/>
                <w:kern w:val="0"/>
                <w:szCs w:val="21"/>
                <w:highlight w:val="none"/>
              </w:rPr>
            </w:pPr>
          </w:p>
          <w:p w14:paraId="2BD53637">
            <w:pPr>
              <w:snapToGrid w:val="0"/>
              <w:spacing w:line="400" w:lineRule="exact"/>
              <w:jc w:val="center"/>
              <w:rPr>
                <w:rFonts w:ascii="宋体" w:hAnsi="宋体"/>
                <w:color w:val="auto"/>
                <w:kern w:val="0"/>
                <w:szCs w:val="21"/>
                <w:highlight w:val="none"/>
              </w:rPr>
            </w:pPr>
          </w:p>
          <w:p w14:paraId="6459CFE3">
            <w:pPr>
              <w:snapToGrid w:val="0"/>
              <w:spacing w:line="400" w:lineRule="exact"/>
              <w:jc w:val="center"/>
              <w:rPr>
                <w:rFonts w:ascii="宋体" w:hAnsi="宋体"/>
                <w:color w:val="auto"/>
                <w:kern w:val="0"/>
                <w:szCs w:val="21"/>
                <w:highlight w:val="none"/>
              </w:rPr>
            </w:pPr>
          </w:p>
          <w:p w14:paraId="12B2039A">
            <w:pPr>
              <w:snapToGrid w:val="0"/>
              <w:spacing w:line="400" w:lineRule="exact"/>
              <w:jc w:val="center"/>
              <w:rPr>
                <w:rFonts w:ascii="宋体" w:hAnsi="宋体"/>
                <w:color w:val="auto"/>
                <w:kern w:val="0"/>
                <w:szCs w:val="21"/>
                <w:highlight w:val="none"/>
              </w:rPr>
            </w:pPr>
          </w:p>
          <w:p w14:paraId="364F73AF">
            <w:pPr>
              <w:snapToGrid w:val="0"/>
              <w:spacing w:line="400" w:lineRule="exact"/>
              <w:jc w:val="center"/>
              <w:rPr>
                <w:rFonts w:ascii="宋体" w:hAnsi="宋体"/>
                <w:color w:val="auto"/>
                <w:kern w:val="0"/>
                <w:szCs w:val="21"/>
                <w:highlight w:val="none"/>
              </w:rPr>
            </w:pPr>
          </w:p>
          <w:p w14:paraId="6039952D">
            <w:pPr>
              <w:snapToGrid w:val="0"/>
              <w:spacing w:line="400" w:lineRule="exact"/>
              <w:jc w:val="center"/>
              <w:rPr>
                <w:rFonts w:ascii="宋体" w:hAnsi="宋体"/>
                <w:color w:val="auto"/>
                <w:kern w:val="0"/>
                <w:szCs w:val="21"/>
                <w:highlight w:val="none"/>
              </w:rPr>
            </w:pPr>
          </w:p>
          <w:p w14:paraId="0D86010F">
            <w:pPr>
              <w:snapToGrid w:val="0"/>
              <w:spacing w:line="400" w:lineRule="exact"/>
              <w:jc w:val="center"/>
              <w:rPr>
                <w:rFonts w:ascii="宋体" w:hAnsi="宋体"/>
                <w:color w:val="auto"/>
                <w:kern w:val="0"/>
                <w:szCs w:val="21"/>
                <w:highlight w:val="none"/>
              </w:rPr>
            </w:pPr>
          </w:p>
          <w:p w14:paraId="7EA9AC50">
            <w:pPr>
              <w:snapToGrid w:val="0"/>
              <w:spacing w:line="400" w:lineRule="exact"/>
              <w:jc w:val="center"/>
              <w:rPr>
                <w:rFonts w:ascii="宋体" w:hAnsi="宋体"/>
                <w:color w:val="auto"/>
                <w:kern w:val="0"/>
                <w:szCs w:val="21"/>
                <w:highlight w:val="none"/>
              </w:rPr>
            </w:pPr>
          </w:p>
          <w:p w14:paraId="6A3D62D8">
            <w:pPr>
              <w:snapToGrid w:val="0"/>
              <w:spacing w:line="400" w:lineRule="exact"/>
              <w:jc w:val="center"/>
              <w:rPr>
                <w:rFonts w:ascii="宋体" w:hAnsi="宋体"/>
                <w:color w:val="auto"/>
                <w:kern w:val="0"/>
                <w:szCs w:val="21"/>
                <w:highlight w:val="none"/>
              </w:rPr>
            </w:pPr>
          </w:p>
          <w:p w14:paraId="278CCAB7">
            <w:pPr>
              <w:snapToGrid w:val="0"/>
              <w:spacing w:line="400" w:lineRule="exact"/>
              <w:jc w:val="center"/>
              <w:rPr>
                <w:rFonts w:ascii="宋体" w:hAnsi="宋体"/>
                <w:color w:val="auto"/>
                <w:kern w:val="0"/>
                <w:szCs w:val="21"/>
                <w:highlight w:val="none"/>
              </w:rPr>
            </w:pPr>
          </w:p>
          <w:p w14:paraId="6A5D3767">
            <w:pPr>
              <w:snapToGrid w:val="0"/>
              <w:spacing w:line="400" w:lineRule="exact"/>
              <w:jc w:val="center"/>
              <w:rPr>
                <w:rFonts w:ascii="宋体" w:hAnsi="宋体"/>
                <w:color w:val="auto"/>
                <w:kern w:val="0"/>
                <w:szCs w:val="21"/>
                <w:highlight w:val="none"/>
              </w:rPr>
            </w:pPr>
          </w:p>
          <w:p w14:paraId="1F1D7419">
            <w:pPr>
              <w:snapToGrid w:val="0"/>
              <w:spacing w:line="400" w:lineRule="exact"/>
              <w:jc w:val="center"/>
              <w:rPr>
                <w:rFonts w:ascii="宋体" w:hAnsi="宋体"/>
                <w:color w:val="auto"/>
                <w:kern w:val="0"/>
                <w:szCs w:val="21"/>
                <w:highlight w:val="none"/>
              </w:rPr>
            </w:pPr>
          </w:p>
          <w:p w14:paraId="40045C5B">
            <w:pPr>
              <w:snapToGrid w:val="0"/>
              <w:spacing w:line="400" w:lineRule="exact"/>
              <w:jc w:val="center"/>
              <w:rPr>
                <w:rFonts w:ascii="宋体" w:hAnsi="宋体"/>
                <w:color w:val="auto"/>
                <w:kern w:val="0"/>
                <w:szCs w:val="21"/>
                <w:highlight w:val="none"/>
              </w:rPr>
            </w:pPr>
          </w:p>
          <w:p w14:paraId="429D754C">
            <w:pPr>
              <w:snapToGrid w:val="0"/>
              <w:spacing w:line="400" w:lineRule="exact"/>
              <w:jc w:val="center"/>
              <w:rPr>
                <w:rFonts w:ascii="宋体" w:hAnsi="宋体"/>
                <w:color w:val="auto"/>
                <w:kern w:val="0"/>
                <w:szCs w:val="21"/>
                <w:highlight w:val="none"/>
              </w:rPr>
            </w:pPr>
          </w:p>
          <w:p w14:paraId="3FDC1646">
            <w:pPr>
              <w:snapToGrid w:val="0"/>
              <w:spacing w:line="400" w:lineRule="exact"/>
              <w:jc w:val="center"/>
              <w:rPr>
                <w:rFonts w:ascii="宋体" w:hAnsi="宋体"/>
                <w:color w:val="auto"/>
                <w:kern w:val="0"/>
                <w:szCs w:val="21"/>
                <w:highlight w:val="none"/>
              </w:rPr>
            </w:pPr>
          </w:p>
          <w:p w14:paraId="5DC60C71">
            <w:pPr>
              <w:snapToGrid w:val="0"/>
              <w:spacing w:line="400" w:lineRule="exact"/>
              <w:jc w:val="center"/>
              <w:rPr>
                <w:rFonts w:ascii="宋体" w:hAnsi="宋体"/>
                <w:color w:val="auto"/>
                <w:kern w:val="0"/>
                <w:szCs w:val="21"/>
                <w:highlight w:val="none"/>
              </w:rPr>
            </w:pPr>
          </w:p>
          <w:p w14:paraId="27FE97EF">
            <w:pPr>
              <w:snapToGrid w:val="0"/>
              <w:spacing w:line="400" w:lineRule="exact"/>
              <w:jc w:val="center"/>
              <w:rPr>
                <w:rFonts w:ascii="宋体" w:hAnsi="宋体"/>
                <w:color w:val="auto"/>
                <w:kern w:val="0"/>
                <w:szCs w:val="21"/>
                <w:highlight w:val="none"/>
              </w:rPr>
            </w:pPr>
          </w:p>
          <w:p w14:paraId="0F1C1D21">
            <w:pPr>
              <w:snapToGrid w:val="0"/>
              <w:spacing w:line="400" w:lineRule="exact"/>
              <w:jc w:val="center"/>
              <w:rPr>
                <w:rFonts w:ascii="宋体" w:hAnsi="宋体"/>
                <w:color w:val="auto"/>
                <w:kern w:val="0"/>
                <w:szCs w:val="21"/>
                <w:highlight w:val="none"/>
              </w:rPr>
            </w:pPr>
          </w:p>
          <w:p w14:paraId="6BD2A7C9">
            <w:pPr>
              <w:snapToGrid w:val="0"/>
              <w:spacing w:line="400" w:lineRule="exact"/>
              <w:jc w:val="center"/>
              <w:rPr>
                <w:rFonts w:ascii="宋体" w:hAnsi="宋体"/>
                <w:color w:val="auto"/>
                <w:kern w:val="0"/>
                <w:szCs w:val="21"/>
                <w:highlight w:val="none"/>
              </w:rPr>
            </w:pPr>
          </w:p>
          <w:p w14:paraId="375A89EA">
            <w:pPr>
              <w:snapToGrid w:val="0"/>
              <w:spacing w:line="400" w:lineRule="exact"/>
              <w:jc w:val="center"/>
              <w:rPr>
                <w:rFonts w:ascii="宋体" w:hAnsi="宋体"/>
                <w:color w:val="auto"/>
                <w:kern w:val="0"/>
                <w:szCs w:val="21"/>
                <w:highlight w:val="none"/>
              </w:rPr>
            </w:pPr>
          </w:p>
          <w:p w14:paraId="4C256049">
            <w:pPr>
              <w:snapToGrid w:val="0"/>
              <w:spacing w:line="400" w:lineRule="exact"/>
              <w:jc w:val="center"/>
              <w:rPr>
                <w:rFonts w:ascii="宋体" w:hAnsi="宋体"/>
                <w:color w:val="auto"/>
                <w:kern w:val="0"/>
                <w:szCs w:val="21"/>
                <w:highlight w:val="none"/>
              </w:rPr>
            </w:pPr>
          </w:p>
          <w:p w14:paraId="49DDAF1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4EB223DD">
            <w:pPr>
              <w:snapToGrid w:val="0"/>
              <w:spacing w:line="400" w:lineRule="exact"/>
              <w:jc w:val="center"/>
              <w:rPr>
                <w:rFonts w:ascii="宋体" w:hAnsi="宋体"/>
                <w:color w:val="auto"/>
                <w:kern w:val="0"/>
                <w:szCs w:val="21"/>
                <w:highlight w:val="none"/>
              </w:rPr>
            </w:pPr>
          </w:p>
          <w:p w14:paraId="7F1499DF">
            <w:pPr>
              <w:snapToGrid w:val="0"/>
              <w:spacing w:line="400" w:lineRule="exact"/>
              <w:jc w:val="center"/>
              <w:rPr>
                <w:rFonts w:ascii="宋体" w:hAnsi="宋体"/>
                <w:color w:val="auto"/>
                <w:kern w:val="0"/>
                <w:szCs w:val="21"/>
                <w:highlight w:val="none"/>
              </w:rPr>
            </w:pPr>
          </w:p>
          <w:p w14:paraId="5201A585">
            <w:pPr>
              <w:snapToGrid w:val="0"/>
              <w:spacing w:line="400" w:lineRule="exact"/>
              <w:jc w:val="center"/>
              <w:rPr>
                <w:rFonts w:ascii="宋体" w:hAnsi="宋体"/>
                <w:color w:val="auto"/>
                <w:kern w:val="0"/>
                <w:szCs w:val="21"/>
                <w:highlight w:val="none"/>
              </w:rPr>
            </w:pPr>
          </w:p>
          <w:p w14:paraId="11949B19">
            <w:pPr>
              <w:snapToGrid w:val="0"/>
              <w:spacing w:line="400" w:lineRule="exact"/>
              <w:jc w:val="center"/>
              <w:rPr>
                <w:rFonts w:ascii="宋体" w:hAnsi="宋体"/>
                <w:color w:val="auto"/>
                <w:kern w:val="0"/>
                <w:szCs w:val="21"/>
                <w:highlight w:val="none"/>
              </w:rPr>
            </w:pPr>
          </w:p>
          <w:p w14:paraId="62368D10">
            <w:pPr>
              <w:snapToGrid w:val="0"/>
              <w:spacing w:line="400" w:lineRule="exact"/>
              <w:jc w:val="center"/>
              <w:rPr>
                <w:rFonts w:ascii="宋体" w:hAnsi="宋体"/>
                <w:color w:val="auto"/>
                <w:kern w:val="0"/>
                <w:szCs w:val="21"/>
                <w:highlight w:val="none"/>
              </w:rPr>
            </w:pPr>
          </w:p>
          <w:p w14:paraId="02E4049E">
            <w:pPr>
              <w:snapToGrid w:val="0"/>
              <w:spacing w:line="400" w:lineRule="exact"/>
              <w:jc w:val="center"/>
              <w:rPr>
                <w:rFonts w:ascii="宋体" w:hAnsi="宋体"/>
                <w:color w:val="auto"/>
                <w:kern w:val="0"/>
                <w:szCs w:val="21"/>
                <w:highlight w:val="none"/>
              </w:rPr>
            </w:pPr>
          </w:p>
          <w:p w14:paraId="35154282">
            <w:pPr>
              <w:snapToGrid w:val="0"/>
              <w:spacing w:line="400" w:lineRule="exact"/>
              <w:jc w:val="center"/>
              <w:rPr>
                <w:rFonts w:ascii="宋体" w:hAnsi="宋体"/>
                <w:color w:val="auto"/>
                <w:kern w:val="0"/>
                <w:szCs w:val="21"/>
                <w:highlight w:val="none"/>
              </w:rPr>
            </w:pPr>
          </w:p>
          <w:p w14:paraId="63B82C45">
            <w:pPr>
              <w:snapToGrid w:val="0"/>
              <w:spacing w:line="400" w:lineRule="exact"/>
              <w:jc w:val="center"/>
              <w:rPr>
                <w:rFonts w:ascii="宋体" w:hAnsi="宋体"/>
                <w:color w:val="auto"/>
                <w:kern w:val="0"/>
                <w:szCs w:val="21"/>
                <w:highlight w:val="none"/>
              </w:rPr>
            </w:pPr>
          </w:p>
          <w:p w14:paraId="0177A0CB">
            <w:pPr>
              <w:snapToGrid w:val="0"/>
              <w:spacing w:line="400" w:lineRule="exact"/>
              <w:jc w:val="center"/>
              <w:rPr>
                <w:rFonts w:ascii="宋体" w:hAnsi="宋体"/>
                <w:color w:val="auto"/>
                <w:kern w:val="0"/>
                <w:szCs w:val="21"/>
                <w:highlight w:val="none"/>
              </w:rPr>
            </w:pPr>
          </w:p>
          <w:p w14:paraId="65121466">
            <w:pPr>
              <w:snapToGrid w:val="0"/>
              <w:spacing w:line="400" w:lineRule="exact"/>
              <w:jc w:val="center"/>
              <w:rPr>
                <w:rFonts w:ascii="宋体" w:hAnsi="宋体"/>
                <w:color w:val="auto"/>
                <w:kern w:val="0"/>
                <w:szCs w:val="21"/>
                <w:highlight w:val="none"/>
              </w:rPr>
            </w:pPr>
          </w:p>
          <w:p w14:paraId="6D89EA91">
            <w:pPr>
              <w:snapToGrid w:val="0"/>
              <w:spacing w:line="400" w:lineRule="exact"/>
              <w:jc w:val="center"/>
              <w:rPr>
                <w:rFonts w:ascii="宋体" w:hAnsi="宋体"/>
                <w:color w:val="auto"/>
                <w:kern w:val="0"/>
                <w:szCs w:val="21"/>
                <w:highlight w:val="none"/>
              </w:rPr>
            </w:pPr>
          </w:p>
          <w:p w14:paraId="2C236317">
            <w:pPr>
              <w:snapToGrid w:val="0"/>
              <w:spacing w:line="400" w:lineRule="exact"/>
              <w:jc w:val="center"/>
              <w:rPr>
                <w:rFonts w:ascii="宋体" w:hAnsi="宋体"/>
                <w:color w:val="auto"/>
                <w:kern w:val="0"/>
                <w:szCs w:val="21"/>
                <w:highlight w:val="none"/>
              </w:rPr>
            </w:pPr>
          </w:p>
          <w:p w14:paraId="709ADF06">
            <w:pPr>
              <w:snapToGrid w:val="0"/>
              <w:spacing w:line="400" w:lineRule="exact"/>
              <w:jc w:val="both"/>
              <w:rPr>
                <w:rFonts w:ascii="宋体" w:hAnsi="宋体"/>
                <w:color w:val="auto"/>
                <w:kern w:val="0"/>
                <w:szCs w:val="21"/>
                <w:highlight w:val="none"/>
              </w:rPr>
            </w:pPr>
          </w:p>
        </w:tc>
        <w:tc>
          <w:tcPr>
            <w:tcW w:w="1644" w:type="dxa"/>
            <w:vAlign w:val="center"/>
          </w:tcPr>
          <w:p w14:paraId="7BE0CBB3">
            <w:pPr>
              <w:snapToGrid w:val="0"/>
              <w:spacing w:line="400" w:lineRule="exact"/>
              <w:jc w:val="center"/>
              <w:rPr>
                <w:rFonts w:ascii="宋体" w:hAnsi="宋体"/>
                <w:color w:val="auto"/>
                <w:kern w:val="0"/>
                <w:szCs w:val="21"/>
                <w:highlight w:val="none"/>
              </w:rPr>
            </w:pPr>
          </w:p>
          <w:p w14:paraId="1A23CAF1">
            <w:pPr>
              <w:snapToGrid w:val="0"/>
              <w:spacing w:line="400" w:lineRule="exact"/>
              <w:jc w:val="center"/>
              <w:rPr>
                <w:rFonts w:ascii="宋体" w:hAnsi="宋体"/>
                <w:color w:val="auto"/>
                <w:kern w:val="0"/>
                <w:szCs w:val="21"/>
                <w:highlight w:val="none"/>
              </w:rPr>
            </w:pPr>
          </w:p>
          <w:p w14:paraId="03887B75">
            <w:pPr>
              <w:snapToGrid w:val="0"/>
              <w:spacing w:line="400" w:lineRule="exact"/>
              <w:jc w:val="center"/>
              <w:rPr>
                <w:rFonts w:ascii="宋体" w:hAnsi="宋体"/>
                <w:color w:val="auto"/>
                <w:kern w:val="0"/>
                <w:szCs w:val="21"/>
                <w:highlight w:val="none"/>
              </w:rPr>
            </w:pPr>
          </w:p>
          <w:p w14:paraId="425A6DF6">
            <w:pPr>
              <w:snapToGrid w:val="0"/>
              <w:spacing w:line="400" w:lineRule="exact"/>
              <w:jc w:val="center"/>
              <w:rPr>
                <w:rFonts w:ascii="宋体" w:hAnsi="宋体"/>
                <w:color w:val="auto"/>
                <w:kern w:val="0"/>
                <w:szCs w:val="21"/>
                <w:highlight w:val="none"/>
              </w:rPr>
            </w:pPr>
          </w:p>
          <w:p w14:paraId="4EEFC4F7">
            <w:pPr>
              <w:snapToGrid w:val="0"/>
              <w:spacing w:line="400" w:lineRule="exact"/>
              <w:jc w:val="center"/>
              <w:rPr>
                <w:rFonts w:ascii="宋体" w:hAnsi="宋体"/>
                <w:color w:val="auto"/>
                <w:kern w:val="0"/>
                <w:szCs w:val="21"/>
                <w:highlight w:val="none"/>
              </w:rPr>
            </w:pPr>
          </w:p>
          <w:p w14:paraId="5AED9732">
            <w:pPr>
              <w:snapToGrid w:val="0"/>
              <w:spacing w:line="400" w:lineRule="exact"/>
              <w:jc w:val="center"/>
              <w:rPr>
                <w:rFonts w:ascii="宋体" w:hAnsi="宋体"/>
                <w:color w:val="auto"/>
                <w:kern w:val="0"/>
                <w:szCs w:val="21"/>
                <w:highlight w:val="none"/>
              </w:rPr>
            </w:pPr>
          </w:p>
          <w:p w14:paraId="18993324">
            <w:pPr>
              <w:snapToGrid w:val="0"/>
              <w:spacing w:line="400" w:lineRule="exact"/>
              <w:jc w:val="center"/>
              <w:rPr>
                <w:rFonts w:ascii="宋体" w:hAnsi="宋体"/>
                <w:color w:val="auto"/>
                <w:kern w:val="0"/>
                <w:szCs w:val="21"/>
                <w:highlight w:val="none"/>
              </w:rPr>
            </w:pPr>
          </w:p>
          <w:p w14:paraId="688352C0">
            <w:pPr>
              <w:snapToGrid w:val="0"/>
              <w:spacing w:line="400" w:lineRule="exact"/>
              <w:jc w:val="center"/>
              <w:rPr>
                <w:rFonts w:ascii="宋体" w:hAnsi="宋体"/>
                <w:color w:val="auto"/>
                <w:kern w:val="0"/>
                <w:szCs w:val="21"/>
                <w:highlight w:val="none"/>
              </w:rPr>
            </w:pPr>
          </w:p>
          <w:p w14:paraId="1F431D3E">
            <w:pPr>
              <w:snapToGrid w:val="0"/>
              <w:spacing w:line="400" w:lineRule="exact"/>
              <w:jc w:val="center"/>
              <w:rPr>
                <w:rFonts w:ascii="宋体" w:hAnsi="宋体"/>
                <w:color w:val="auto"/>
                <w:kern w:val="0"/>
                <w:szCs w:val="21"/>
                <w:highlight w:val="none"/>
              </w:rPr>
            </w:pPr>
          </w:p>
          <w:p w14:paraId="39111838">
            <w:pPr>
              <w:snapToGrid w:val="0"/>
              <w:spacing w:line="400" w:lineRule="exact"/>
              <w:jc w:val="center"/>
              <w:rPr>
                <w:rFonts w:ascii="宋体" w:hAnsi="宋体"/>
                <w:color w:val="auto"/>
                <w:kern w:val="0"/>
                <w:szCs w:val="21"/>
                <w:highlight w:val="none"/>
              </w:rPr>
            </w:pPr>
          </w:p>
          <w:p w14:paraId="088B5DE3">
            <w:pPr>
              <w:snapToGrid w:val="0"/>
              <w:spacing w:line="400" w:lineRule="exact"/>
              <w:jc w:val="center"/>
              <w:rPr>
                <w:rFonts w:ascii="宋体" w:hAnsi="宋体"/>
                <w:color w:val="auto"/>
                <w:kern w:val="0"/>
                <w:szCs w:val="21"/>
                <w:highlight w:val="none"/>
              </w:rPr>
            </w:pPr>
          </w:p>
          <w:p w14:paraId="237B90DF">
            <w:pPr>
              <w:snapToGrid w:val="0"/>
              <w:spacing w:line="400" w:lineRule="exact"/>
              <w:jc w:val="center"/>
              <w:rPr>
                <w:rFonts w:ascii="宋体" w:hAnsi="宋体"/>
                <w:color w:val="auto"/>
                <w:kern w:val="0"/>
                <w:szCs w:val="21"/>
                <w:highlight w:val="none"/>
              </w:rPr>
            </w:pPr>
          </w:p>
          <w:p w14:paraId="2BD4C366">
            <w:pPr>
              <w:snapToGrid w:val="0"/>
              <w:spacing w:line="400" w:lineRule="exact"/>
              <w:jc w:val="center"/>
              <w:rPr>
                <w:rFonts w:ascii="宋体" w:hAnsi="宋体"/>
                <w:color w:val="auto"/>
                <w:kern w:val="0"/>
                <w:szCs w:val="21"/>
                <w:highlight w:val="none"/>
              </w:rPr>
            </w:pPr>
          </w:p>
          <w:p w14:paraId="3B341439">
            <w:pPr>
              <w:snapToGrid w:val="0"/>
              <w:spacing w:line="400" w:lineRule="exact"/>
              <w:jc w:val="center"/>
              <w:rPr>
                <w:rFonts w:ascii="宋体" w:hAnsi="宋体"/>
                <w:color w:val="auto"/>
                <w:kern w:val="0"/>
                <w:szCs w:val="21"/>
                <w:highlight w:val="none"/>
              </w:rPr>
            </w:pPr>
          </w:p>
          <w:p w14:paraId="65C2D3B0">
            <w:pPr>
              <w:snapToGrid w:val="0"/>
              <w:spacing w:line="400" w:lineRule="exact"/>
              <w:jc w:val="center"/>
              <w:rPr>
                <w:rFonts w:ascii="宋体" w:hAnsi="宋体"/>
                <w:color w:val="auto"/>
                <w:kern w:val="0"/>
                <w:szCs w:val="21"/>
                <w:highlight w:val="none"/>
              </w:rPr>
            </w:pPr>
          </w:p>
          <w:p w14:paraId="7D9A8A94">
            <w:pPr>
              <w:snapToGrid w:val="0"/>
              <w:spacing w:line="400" w:lineRule="exact"/>
              <w:jc w:val="center"/>
              <w:rPr>
                <w:rFonts w:ascii="宋体" w:hAnsi="宋体"/>
                <w:color w:val="auto"/>
                <w:kern w:val="0"/>
                <w:szCs w:val="21"/>
                <w:highlight w:val="none"/>
              </w:rPr>
            </w:pPr>
          </w:p>
          <w:p w14:paraId="710E47C2">
            <w:pPr>
              <w:snapToGrid w:val="0"/>
              <w:spacing w:line="400" w:lineRule="exact"/>
              <w:jc w:val="center"/>
              <w:rPr>
                <w:rFonts w:ascii="宋体" w:hAnsi="宋体"/>
                <w:color w:val="auto"/>
                <w:kern w:val="0"/>
                <w:szCs w:val="21"/>
                <w:highlight w:val="none"/>
              </w:rPr>
            </w:pPr>
          </w:p>
          <w:p w14:paraId="00E17DC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6731DE0F">
            <w:pPr>
              <w:snapToGrid w:val="0"/>
              <w:spacing w:line="400" w:lineRule="exact"/>
              <w:jc w:val="center"/>
              <w:rPr>
                <w:rFonts w:ascii="宋体" w:hAnsi="宋体"/>
                <w:color w:val="auto"/>
                <w:kern w:val="0"/>
                <w:szCs w:val="21"/>
                <w:highlight w:val="none"/>
              </w:rPr>
            </w:pPr>
          </w:p>
          <w:p w14:paraId="7785F201">
            <w:pPr>
              <w:snapToGrid w:val="0"/>
              <w:spacing w:line="400" w:lineRule="exact"/>
              <w:jc w:val="center"/>
              <w:rPr>
                <w:rFonts w:ascii="宋体" w:hAnsi="宋体"/>
                <w:color w:val="auto"/>
                <w:kern w:val="0"/>
                <w:szCs w:val="21"/>
                <w:highlight w:val="none"/>
              </w:rPr>
            </w:pPr>
          </w:p>
          <w:p w14:paraId="301AB74D">
            <w:pPr>
              <w:snapToGrid w:val="0"/>
              <w:spacing w:line="400" w:lineRule="exact"/>
              <w:jc w:val="center"/>
              <w:rPr>
                <w:rFonts w:ascii="宋体" w:hAnsi="宋体"/>
                <w:color w:val="auto"/>
                <w:kern w:val="0"/>
                <w:szCs w:val="21"/>
                <w:highlight w:val="none"/>
              </w:rPr>
            </w:pPr>
          </w:p>
          <w:p w14:paraId="500271A4">
            <w:pPr>
              <w:snapToGrid w:val="0"/>
              <w:spacing w:line="400" w:lineRule="exact"/>
              <w:jc w:val="center"/>
              <w:rPr>
                <w:rFonts w:ascii="宋体" w:hAnsi="宋体"/>
                <w:color w:val="auto"/>
                <w:kern w:val="0"/>
                <w:szCs w:val="21"/>
                <w:highlight w:val="none"/>
              </w:rPr>
            </w:pPr>
          </w:p>
          <w:p w14:paraId="2192FC0D">
            <w:pPr>
              <w:snapToGrid w:val="0"/>
              <w:spacing w:line="400" w:lineRule="exact"/>
              <w:jc w:val="center"/>
              <w:rPr>
                <w:rFonts w:ascii="宋体" w:hAnsi="宋体"/>
                <w:color w:val="auto"/>
                <w:kern w:val="0"/>
                <w:szCs w:val="21"/>
                <w:highlight w:val="none"/>
              </w:rPr>
            </w:pPr>
          </w:p>
          <w:p w14:paraId="4D17A43B">
            <w:pPr>
              <w:snapToGrid w:val="0"/>
              <w:spacing w:line="400" w:lineRule="exact"/>
              <w:jc w:val="center"/>
              <w:rPr>
                <w:rFonts w:ascii="宋体" w:hAnsi="宋体"/>
                <w:color w:val="auto"/>
                <w:kern w:val="0"/>
                <w:szCs w:val="21"/>
                <w:highlight w:val="none"/>
              </w:rPr>
            </w:pPr>
          </w:p>
          <w:p w14:paraId="2F8F1E07">
            <w:pPr>
              <w:snapToGrid w:val="0"/>
              <w:spacing w:line="400" w:lineRule="exact"/>
              <w:jc w:val="center"/>
              <w:rPr>
                <w:rFonts w:ascii="宋体" w:hAnsi="宋体"/>
                <w:color w:val="auto"/>
                <w:kern w:val="0"/>
                <w:szCs w:val="21"/>
                <w:highlight w:val="none"/>
              </w:rPr>
            </w:pPr>
          </w:p>
          <w:p w14:paraId="777ADC94">
            <w:pPr>
              <w:snapToGrid w:val="0"/>
              <w:spacing w:line="400" w:lineRule="exact"/>
              <w:jc w:val="center"/>
              <w:rPr>
                <w:rFonts w:ascii="宋体" w:hAnsi="宋体"/>
                <w:color w:val="auto"/>
                <w:kern w:val="0"/>
                <w:szCs w:val="21"/>
                <w:highlight w:val="none"/>
              </w:rPr>
            </w:pPr>
          </w:p>
          <w:p w14:paraId="21FD7434">
            <w:pPr>
              <w:snapToGrid w:val="0"/>
              <w:spacing w:line="400" w:lineRule="exact"/>
              <w:jc w:val="center"/>
              <w:rPr>
                <w:rFonts w:ascii="宋体" w:hAnsi="宋体"/>
                <w:color w:val="auto"/>
                <w:kern w:val="0"/>
                <w:szCs w:val="21"/>
                <w:highlight w:val="none"/>
              </w:rPr>
            </w:pPr>
          </w:p>
          <w:p w14:paraId="1797642C">
            <w:pPr>
              <w:snapToGrid w:val="0"/>
              <w:spacing w:line="400" w:lineRule="exact"/>
              <w:jc w:val="center"/>
              <w:rPr>
                <w:rFonts w:ascii="宋体" w:hAnsi="宋体"/>
                <w:color w:val="auto"/>
                <w:kern w:val="0"/>
                <w:szCs w:val="21"/>
                <w:highlight w:val="none"/>
              </w:rPr>
            </w:pPr>
          </w:p>
          <w:p w14:paraId="309DB93C">
            <w:pPr>
              <w:snapToGrid w:val="0"/>
              <w:spacing w:line="400" w:lineRule="exact"/>
              <w:jc w:val="center"/>
              <w:rPr>
                <w:rFonts w:ascii="宋体" w:hAnsi="宋体"/>
                <w:color w:val="auto"/>
                <w:kern w:val="0"/>
                <w:szCs w:val="21"/>
                <w:highlight w:val="none"/>
              </w:rPr>
            </w:pPr>
          </w:p>
          <w:p w14:paraId="7C0B9EA6">
            <w:pPr>
              <w:snapToGrid w:val="0"/>
              <w:spacing w:line="400" w:lineRule="exact"/>
              <w:jc w:val="center"/>
              <w:rPr>
                <w:rFonts w:ascii="宋体" w:hAnsi="宋体"/>
                <w:color w:val="auto"/>
                <w:kern w:val="0"/>
                <w:szCs w:val="21"/>
                <w:highlight w:val="none"/>
              </w:rPr>
            </w:pPr>
          </w:p>
          <w:p w14:paraId="2F3E364B">
            <w:pPr>
              <w:snapToGrid w:val="0"/>
              <w:spacing w:line="400" w:lineRule="exact"/>
              <w:jc w:val="center"/>
              <w:rPr>
                <w:rFonts w:ascii="宋体" w:hAnsi="宋体"/>
                <w:color w:val="auto"/>
                <w:kern w:val="0"/>
                <w:szCs w:val="21"/>
                <w:highlight w:val="none"/>
              </w:rPr>
            </w:pPr>
          </w:p>
          <w:p w14:paraId="1A0D939C">
            <w:pPr>
              <w:snapToGrid w:val="0"/>
              <w:spacing w:line="400" w:lineRule="exact"/>
              <w:jc w:val="center"/>
              <w:rPr>
                <w:rFonts w:ascii="宋体" w:hAnsi="宋体"/>
                <w:color w:val="auto"/>
                <w:kern w:val="0"/>
                <w:szCs w:val="21"/>
                <w:highlight w:val="none"/>
              </w:rPr>
            </w:pPr>
          </w:p>
          <w:p w14:paraId="3360297A">
            <w:pPr>
              <w:snapToGrid w:val="0"/>
              <w:spacing w:line="400" w:lineRule="exact"/>
              <w:jc w:val="center"/>
              <w:rPr>
                <w:rFonts w:ascii="宋体" w:hAnsi="宋体"/>
                <w:color w:val="auto"/>
                <w:kern w:val="0"/>
                <w:szCs w:val="21"/>
                <w:highlight w:val="none"/>
              </w:rPr>
            </w:pPr>
          </w:p>
          <w:p w14:paraId="617E08C6">
            <w:pPr>
              <w:snapToGrid w:val="0"/>
              <w:spacing w:line="400" w:lineRule="exact"/>
              <w:jc w:val="center"/>
              <w:rPr>
                <w:rFonts w:ascii="宋体" w:hAnsi="宋体"/>
                <w:color w:val="auto"/>
                <w:kern w:val="0"/>
                <w:szCs w:val="21"/>
                <w:highlight w:val="none"/>
              </w:rPr>
            </w:pPr>
          </w:p>
          <w:p w14:paraId="077C0E43">
            <w:pPr>
              <w:snapToGrid w:val="0"/>
              <w:spacing w:line="400" w:lineRule="exact"/>
              <w:jc w:val="center"/>
              <w:rPr>
                <w:rFonts w:ascii="宋体" w:hAnsi="宋体"/>
                <w:color w:val="auto"/>
                <w:kern w:val="0"/>
                <w:szCs w:val="21"/>
                <w:highlight w:val="none"/>
              </w:rPr>
            </w:pPr>
          </w:p>
          <w:p w14:paraId="44D55336">
            <w:pPr>
              <w:snapToGrid w:val="0"/>
              <w:spacing w:line="400" w:lineRule="exact"/>
              <w:jc w:val="center"/>
              <w:rPr>
                <w:rFonts w:ascii="宋体" w:hAnsi="宋体"/>
                <w:color w:val="auto"/>
                <w:kern w:val="0"/>
                <w:szCs w:val="21"/>
                <w:highlight w:val="none"/>
              </w:rPr>
            </w:pPr>
          </w:p>
          <w:p w14:paraId="333A93D8">
            <w:pPr>
              <w:snapToGrid w:val="0"/>
              <w:spacing w:line="400" w:lineRule="exact"/>
              <w:jc w:val="center"/>
              <w:rPr>
                <w:rFonts w:ascii="宋体" w:hAnsi="宋体"/>
                <w:color w:val="auto"/>
                <w:kern w:val="0"/>
                <w:szCs w:val="21"/>
                <w:highlight w:val="none"/>
              </w:rPr>
            </w:pPr>
          </w:p>
          <w:p w14:paraId="58DAADC2">
            <w:pPr>
              <w:snapToGrid w:val="0"/>
              <w:spacing w:line="400" w:lineRule="exact"/>
              <w:jc w:val="center"/>
              <w:rPr>
                <w:rFonts w:ascii="宋体" w:hAnsi="宋体"/>
                <w:color w:val="auto"/>
                <w:kern w:val="0"/>
                <w:szCs w:val="21"/>
                <w:highlight w:val="none"/>
              </w:rPr>
            </w:pPr>
          </w:p>
          <w:p w14:paraId="2872AEB9">
            <w:pPr>
              <w:snapToGrid w:val="0"/>
              <w:spacing w:line="400" w:lineRule="exact"/>
              <w:jc w:val="center"/>
              <w:rPr>
                <w:rFonts w:ascii="宋体" w:hAnsi="宋体"/>
                <w:color w:val="auto"/>
                <w:kern w:val="0"/>
                <w:szCs w:val="21"/>
                <w:highlight w:val="none"/>
              </w:rPr>
            </w:pPr>
          </w:p>
          <w:p w14:paraId="7A1AC890">
            <w:pPr>
              <w:snapToGrid w:val="0"/>
              <w:spacing w:line="400" w:lineRule="exact"/>
              <w:jc w:val="center"/>
              <w:rPr>
                <w:rFonts w:ascii="宋体" w:hAnsi="宋体"/>
                <w:color w:val="auto"/>
                <w:kern w:val="0"/>
                <w:szCs w:val="21"/>
                <w:highlight w:val="none"/>
              </w:rPr>
            </w:pPr>
          </w:p>
          <w:p w14:paraId="17D382A3">
            <w:pPr>
              <w:snapToGrid w:val="0"/>
              <w:spacing w:line="400" w:lineRule="exact"/>
              <w:jc w:val="center"/>
              <w:rPr>
                <w:rFonts w:ascii="宋体" w:hAnsi="宋体"/>
                <w:color w:val="auto"/>
                <w:kern w:val="0"/>
                <w:szCs w:val="21"/>
                <w:highlight w:val="none"/>
              </w:rPr>
            </w:pPr>
          </w:p>
          <w:p w14:paraId="5CA4F8C8">
            <w:pPr>
              <w:snapToGrid w:val="0"/>
              <w:spacing w:line="400" w:lineRule="exact"/>
              <w:jc w:val="center"/>
              <w:rPr>
                <w:rFonts w:ascii="宋体" w:hAnsi="宋体"/>
                <w:color w:val="auto"/>
                <w:kern w:val="0"/>
                <w:szCs w:val="21"/>
                <w:highlight w:val="none"/>
              </w:rPr>
            </w:pPr>
          </w:p>
          <w:p w14:paraId="0F03C8B9">
            <w:pPr>
              <w:snapToGrid w:val="0"/>
              <w:spacing w:line="400" w:lineRule="exact"/>
              <w:jc w:val="center"/>
              <w:rPr>
                <w:rFonts w:ascii="宋体" w:hAnsi="宋体"/>
                <w:color w:val="auto"/>
                <w:kern w:val="0"/>
                <w:szCs w:val="21"/>
                <w:highlight w:val="none"/>
              </w:rPr>
            </w:pPr>
          </w:p>
          <w:p w14:paraId="2FAF23B2">
            <w:pPr>
              <w:snapToGrid w:val="0"/>
              <w:spacing w:line="400" w:lineRule="exact"/>
              <w:jc w:val="center"/>
              <w:rPr>
                <w:rFonts w:ascii="宋体" w:hAnsi="宋体"/>
                <w:color w:val="auto"/>
                <w:kern w:val="0"/>
                <w:szCs w:val="21"/>
                <w:highlight w:val="none"/>
              </w:rPr>
            </w:pPr>
          </w:p>
          <w:p w14:paraId="34F10A01">
            <w:pPr>
              <w:snapToGrid w:val="0"/>
              <w:spacing w:line="400" w:lineRule="exact"/>
              <w:jc w:val="center"/>
              <w:rPr>
                <w:rFonts w:ascii="宋体" w:hAnsi="宋体"/>
                <w:color w:val="auto"/>
                <w:kern w:val="0"/>
                <w:szCs w:val="21"/>
                <w:highlight w:val="none"/>
              </w:rPr>
            </w:pPr>
          </w:p>
          <w:p w14:paraId="20CBA6CB">
            <w:pPr>
              <w:snapToGrid w:val="0"/>
              <w:spacing w:line="400" w:lineRule="exact"/>
              <w:jc w:val="center"/>
              <w:rPr>
                <w:rFonts w:ascii="宋体" w:hAnsi="宋体"/>
                <w:color w:val="auto"/>
                <w:kern w:val="0"/>
                <w:szCs w:val="21"/>
                <w:highlight w:val="none"/>
              </w:rPr>
            </w:pPr>
          </w:p>
          <w:p w14:paraId="6A67A7B3">
            <w:pPr>
              <w:snapToGrid w:val="0"/>
              <w:spacing w:line="400" w:lineRule="exact"/>
              <w:jc w:val="center"/>
              <w:rPr>
                <w:rFonts w:ascii="宋体" w:hAnsi="宋体"/>
                <w:color w:val="auto"/>
                <w:kern w:val="0"/>
                <w:szCs w:val="21"/>
                <w:highlight w:val="none"/>
              </w:rPr>
            </w:pPr>
          </w:p>
          <w:p w14:paraId="4D188405">
            <w:pPr>
              <w:snapToGrid w:val="0"/>
              <w:spacing w:line="400" w:lineRule="exact"/>
              <w:jc w:val="center"/>
              <w:rPr>
                <w:rFonts w:ascii="宋体" w:hAnsi="宋体"/>
                <w:color w:val="auto"/>
                <w:kern w:val="0"/>
                <w:szCs w:val="21"/>
                <w:highlight w:val="none"/>
              </w:rPr>
            </w:pPr>
          </w:p>
          <w:p w14:paraId="6B13243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217D4EF0">
            <w:pPr>
              <w:snapToGrid w:val="0"/>
              <w:spacing w:line="400" w:lineRule="exact"/>
              <w:jc w:val="center"/>
              <w:rPr>
                <w:rFonts w:ascii="宋体" w:hAnsi="宋体"/>
                <w:color w:val="auto"/>
                <w:kern w:val="0"/>
                <w:szCs w:val="21"/>
                <w:highlight w:val="none"/>
              </w:rPr>
            </w:pPr>
          </w:p>
          <w:p w14:paraId="7500EF59">
            <w:pPr>
              <w:snapToGrid w:val="0"/>
              <w:spacing w:line="400" w:lineRule="exact"/>
              <w:jc w:val="center"/>
              <w:rPr>
                <w:rFonts w:ascii="宋体" w:hAnsi="宋体"/>
                <w:color w:val="auto"/>
                <w:kern w:val="0"/>
                <w:szCs w:val="21"/>
                <w:highlight w:val="none"/>
              </w:rPr>
            </w:pPr>
          </w:p>
          <w:p w14:paraId="31E38F8A">
            <w:pPr>
              <w:snapToGrid w:val="0"/>
              <w:spacing w:line="400" w:lineRule="exact"/>
              <w:jc w:val="center"/>
              <w:rPr>
                <w:rFonts w:ascii="宋体" w:hAnsi="宋体"/>
                <w:color w:val="auto"/>
                <w:kern w:val="0"/>
                <w:szCs w:val="21"/>
                <w:highlight w:val="none"/>
              </w:rPr>
            </w:pPr>
          </w:p>
          <w:p w14:paraId="7E0DDC8A">
            <w:pPr>
              <w:snapToGrid w:val="0"/>
              <w:spacing w:line="400" w:lineRule="exact"/>
              <w:jc w:val="center"/>
              <w:rPr>
                <w:rFonts w:ascii="宋体" w:hAnsi="宋体"/>
                <w:color w:val="auto"/>
                <w:kern w:val="0"/>
                <w:szCs w:val="21"/>
                <w:highlight w:val="none"/>
              </w:rPr>
            </w:pPr>
          </w:p>
          <w:p w14:paraId="7C2FC0BE">
            <w:pPr>
              <w:snapToGrid w:val="0"/>
              <w:spacing w:line="400" w:lineRule="exact"/>
              <w:jc w:val="center"/>
              <w:rPr>
                <w:rFonts w:ascii="宋体" w:hAnsi="宋体"/>
                <w:color w:val="auto"/>
                <w:kern w:val="0"/>
                <w:szCs w:val="21"/>
                <w:highlight w:val="none"/>
              </w:rPr>
            </w:pPr>
          </w:p>
          <w:p w14:paraId="3029256E">
            <w:pPr>
              <w:snapToGrid w:val="0"/>
              <w:spacing w:line="400" w:lineRule="exact"/>
              <w:jc w:val="center"/>
              <w:rPr>
                <w:rFonts w:ascii="宋体" w:hAnsi="宋体"/>
                <w:color w:val="auto"/>
                <w:kern w:val="0"/>
                <w:szCs w:val="21"/>
                <w:highlight w:val="none"/>
              </w:rPr>
            </w:pPr>
          </w:p>
          <w:p w14:paraId="3D35016A">
            <w:pPr>
              <w:snapToGrid w:val="0"/>
              <w:spacing w:line="400" w:lineRule="exact"/>
              <w:jc w:val="center"/>
              <w:rPr>
                <w:rFonts w:ascii="宋体" w:hAnsi="宋体"/>
                <w:color w:val="auto"/>
                <w:kern w:val="0"/>
                <w:szCs w:val="21"/>
                <w:highlight w:val="none"/>
              </w:rPr>
            </w:pPr>
          </w:p>
          <w:p w14:paraId="310646DF">
            <w:pPr>
              <w:snapToGrid w:val="0"/>
              <w:spacing w:line="400" w:lineRule="exact"/>
              <w:jc w:val="center"/>
              <w:rPr>
                <w:rFonts w:ascii="宋体" w:hAnsi="宋体"/>
                <w:color w:val="auto"/>
                <w:kern w:val="0"/>
                <w:szCs w:val="21"/>
                <w:highlight w:val="none"/>
              </w:rPr>
            </w:pPr>
          </w:p>
          <w:p w14:paraId="66D8B6AA">
            <w:pPr>
              <w:snapToGrid w:val="0"/>
              <w:spacing w:line="400" w:lineRule="exact"/>
              <w:jc w:val="center"/>
              <w:rPr>
                <w:rFonts w:ascii="宋体" w:hAnsi="宋体"/>
                <w:color w:val="auto"/>
                <w:kern w:val="0"/>
                <w:szCs w:val="21"/>
                <w:highlight w:val="none"/>
              </w:rPr>
            </w:pPr>
          </w:p>
          <w:p w14:paraId="43699C89">
            <w:pPr>
              <w:snapToGrid w:val="0"/>
              <w:spacing w:line="400" w:lineRule="exact"/>
              <w:rPr>
                <w:rFonts w:ascii="宋体" w:hAnsi="宋体"/>
                <w:color w:val="auto"/>
                <w:kern w:val="0"/>
                <w:szCs w:val="21"/>
                <w:highlight w:val="none"/>
              </w:rPr>
            </w:pPr>
          </w:p>
        </w:tc>
        <w:tc>
          <w:tcPr>
            <w:tcW w:w="6490" w:type="dxa"/>
            <w:vAlign w:val="center"/>
          </w:tcPr>
          <w:p w14:paraId="7A838976">
            <w:pPr>
              <w:autoSpaceDE w:val="0"/>
              <w:autoSpaceDN w:val="0"/>
              <w:adjustRightInd w:val="0"/>
              <w:snapToGrid w:val="0"/>
              <w:spacing w:line="400" w:lineRule="exact"/>
              <w:ind w:firstLine="420" w:firstLineChars="200"/>
              <w:rPr>
                <w:rFonts w:ascii="宋体" w:hAnsi="宋体"/>
                <w:color w:val="auto"/>
                <w:szCs w:val="21"/>
                <w:highlight w:val="none"/>
              </w:rPr>
            </w:pPr>
            <w:bookmarkStart w:id="94" w:name="OLE_LINK1"/>
            <w:r>
              <w:rPr>
                <w:rFonts w:ascii="宋体" w:hAnsi="宋体"/>
                <w:color w:val="auto"/>
                <w:szCs w:val="21"/>
                <w:highlight w:val="none"/>
              </w:rPr>
              <w:t>本工程施工招标实行资格后审，投标人应</w:t>
            </w:r>
            <w:bookmarkStart w:id="95" w:name="一是"/>
            <w:bookmarkEnd w:id="95"/>
            <w:r>
              <w:rPr>
                <w:rFonts w:ascii="宋体" w:hAnsi="宋体"/>
                <w:color w:val="auto"/>
                <w:szCs w:val="21"/>
                <w:highlight w:val="none"/>
              </w:rPr>
              <w:t>具备以下资格条件：</w:t>
            </w:r>
          </w:p>
          <w:bookmarkEnd w:id="94"/>
          <w:p w14:paraId="4A7F8670">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1.资质条件、营业执照及安全生产条件</w:t>
            </w:r>
          </w:p>
          <w:p w14:paraId="3FF79C37">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（1）具备建设行政主管部门颁发的有效的</w:t>
            </w:r>
            <w:r>
              <w:rPr>
                <w:rFonts w:hint="eastAsia" w:ascii="宋体" w:hAnsi="宋体"/>
                <w:color w:val="auto"/>
                <w:szCs w:val="21"/>
                <w:highlight w:val="none"/>
                <w:lang w:eastAsia="zh-CN"/>
              </w:rPr>
              <w:t>建筑工程施工总承包三级及以上资质</w:t>
            </w:r>
            <w:r>
              <w:rPr>
                <w:rFonts w:ascii="宋体" w:hAnsi="宋体"/>
                <w:color w:val="auto"/>
                <w:szCs w:val="21"/>
                <w:highlight w:val="none"/>
              </w:rPr>
              <w:t>。</w:t>
            </w:r>
          </w:p>
          <w:p w14:paraId="07F96D9F">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w:t>
            </w:r>
            <w:r>
              <w:rPr>
                <w:rFonts w:hint="eastAsia" w:ascii="宋体" w:hAnsi="宋体"/>
                <w:color w:val="auto"/>
                <w:szCs w:val="21"/>
                <w:highlight w:val="none"/>
                <w:lang w:eastAsia="zh-CN"/>
              </w:rPr>
              <w:t>投标文件中</w:t>
            </w:r>
            <w:r>
              <w:rPr>
                <w:rFonts w:ascii="宋体" w:hAnsi="宋体"/>
                <w:color w:val="auto"/>
                <w:szCs w:val="21"/>
                <w:highlight w:val="none"/>
              </w:rPr>
              <w:t>提供</w:t>
            </w:r>
            <w:r>
              <w:rPr>
                <w:rFonts w:hint="eastAsia" w:ascii="宋体" w:hAnsi="宋体"/>
                <w:color w:val="auto"/>
                <w:szCs w:val="21"/>
                <w:highlight w:val="none"/>
              </w:rPr>
              <w:t>有效的资质证书</w:t>
            </w:r>
            <w:r>
              <w:rPr>
                <w:rFonts w:ascii="宋体" w:hAnsi="宋体"/>
                <w:color w:val="auto"/>
                <w:szCs w:val="21"/>
                <w:highlight w:val="none"/>
              </w:rPr>
              <w:t>。</w:t>
            </w:r>
          </w:p>
          <w:p w14:paraId="6D65BD5A">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（2）具备有效的营业执照。</w:t>
            </w:r>
          </w:p>
          <w:p w14:paraId="14BD501C">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w:t>
            </w:r>
            <w:r>
              <w:rPr>
                <w:rFonts w:hint="eastAsia" w:ascii="宋体" w:hAnsi="宋体"/>
                <w:color w:val="auto"/>
                <w:szCs w:val="21"/>
                <w:highlight w:val="none"/>
                <w:lang w:eastAsia="zh-CN"/>
              </w:rPr>
              <w:t>投标文件中</w:t>
            </w:r>
            <w:r>
              <w:rPr>
                <w:rFonts w:ascii="宋体" w:hAnsi="宋体"/>
                <w:color w:val="auto"/>
                <w:szCs w:val="21"/>
                <w:highlight w:val="none"/>
              </w:rPr>
              <w:t>提供有效的营业执照。</w:t>
            </w:r>
            <w:r>
              <w:rPr>
                <w:rFonts w:hint="eastAsia" w:ascii="宋体" w:hAnsi="宋体"/>
                <w:color w:val="auto"/>
                <w:szCs w:val="21"/>
                <w:highlight w:val="none"/>
              </w:rPr>
              <w:t>注：不得将投标人营业执照记载的经营范围作为评审因素。</w:t>
            </w:r>
          </w:p>
          <w:p w14:paraId="210CBF6D">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（3）具备建设行政主管部门颁发的有效的安全生产许可证，企业</w:t>
            </w:r>
            <w:r>
              <w:rPr>
                <w:rFonts w:hint="eastAsia" w:ascii="宋体" w:hAnsi="宋体"/>
                <w:color w:val="auto"/>
                <w:szCs w:val="21"/>
                <w:highlight w:val="none"/>
              </w:rPr>
              <w:t>主要</w:t>
            </w:r>
            <w:r>
              <w:rPr>
                <w:rFonts w:ascii="宋体" w:hAnsi="宋体"/>
                <w:color w:val="auto"/>
                <w:szCs w:val="21"/>
                <w:highlight w:val="none"/>
              </w:rPr>
              <w:t>负责人、拟担任该项目项目经理具备相应的由建设行政主管部门颁发的有效的安全生产考核合格证书</w:t>
            </w:r>
            <w:r>
              <w:rPr>
                <w:rFonts w:hint="eastAsia" w:ascii="宋体" w:hAnsi="宋体"/>
                <w:color w:val="auto"/>
                <w:szCs w:val="21"/>
                <w:highlight w:val="none"/>
              </w:rPr>
              <w:t>。</w:t>
            </w:r>
          </w:p>
          <w:p w14:paraId="404C5A6E">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投标人须在</w:t>
            </w:r>
            <w:r>
              <w:rPr>
                <w:rFonts w:hint="eastAsia" w:ascii="宋体" w:hAnsi="宋体"/>
                <w:color w:val="auto"/>
                <w:szCs w:val="21"/>
                <w:highlight w:val="none"/>
                <w:lang w:eastAsia="zh-CN"/>
              </w:rPr>
              <w:t>投标文件中</w:t>
            </w:r>
            <w:r>
              <w:rPr>
                <w:rFonts w:hint="eastAsia" w:ascii="宋体" w:hAnsi="宋体"/>
                <w:color w:val="auto"/>
                <w:szCs w:val="21"/>
                <w:highlight w:val="none"/>
              </w:rPr>
              <w:t>提供有效的安全生产许可证</w:t>
            </w:r>
            <w:r>
              <w:rPr>
                <w:rFonts w:ascii="宋体" w:hAnsi="宋体"/>
                <w:color w:val="auto"/>
                <w:szCs w:val="21"/>
                <w:highlight w:val="none"/>
              </w:rPr>
              <w:t>及安全生产考核合格证书。</w:t>
            </w:r>
          </w:p>
          <w:p w14:paraId="7D84A4AA">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eastAsia="zh-CN"/>
              </w:rPr>
              <w:t>☑</w:t>
            </w:r>
            <w:r>
              <w:rPr>
                <w:rFonts w:ascii="宋体" w:hAnsi="宋体"/>
                <w:b/>
                <w:color w:val="auto"/>
                <w:szCs w:val="21"/>
                <w:highlight w:val="none"/>
              </w:rPr>
              <w:t>2.财务要求</w:t>
            </w:r>
          </w:p>
          <w:p w14:paraId="10180884">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u w:val="single"/>
                <w:lang w:val="en-US" w:eastAsia="zh-CN"/>
              </w:rPr>
              <w:t>无</w:t>
            </w:r>
            <w:r>
              <w:rPr>
                <w:rFonts w:ascii="宋体" w:hAnsi="宋体"/>
                <w:color w:val="auto"/>
                <w:kern w:val="0"/>
                <w:szCs w:val="21"/>
                <w:highlight w:val="none"/>
              </w:rPr>
              <w:t xml:space="preserve"> </w:t>
            </w:r>
          </w:p>
          <w:p w14:paraId="115E3543">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3.业绩要求</w:t>
            </w:r>
          </w:p>
          <w:p w14:paraId="1CC98F5F">
            <w:pPr>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无</w:t>
            </w:r>
          </w:p>
          <w:p w14:paraId="3632874D">
            <w:pPr>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4.投标截止日投标资格情况</w:t>
            </w:r>
          </w:p>
          <w:p w14:paraId="3578678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投标人自行承诺（格式见第八章投标文件格式）不得存在下列情形之一：</w:t>
            </w:r>
          </w:p>
          <w:p w14:paraId="6E57B720">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0FBE85D5">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28E9155D">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14:paraId="25501543">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1323F16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Theme="minorEastAsia" w:hAnsiTheme="minorEastAsia" w:eastAsiaTheme="minorEastAsia" w:cstheme="minorEastAsia"/>
                <w:color w:val="auto"/>
                <w:szCs w:val="21"/>
                <w:highlight w:val="none"/>
              </w:rPr>
              <w:t>市级有关行业</w:t>
            </w:r>
            <w:r>
              <w:rPr>
                <w:rFonts w:hint="eastAsia" w:ascii="宋体" w:hAnsi="宋体"/>
                <w:color w:val="auto"/>
                <w:szCs w:val="21"/>
                <w:highlight w:val="none"/>
              </w:rPr>
              <w:t>主管部门暂停在渝承揽新业务且在暂停期内。</w:t>
            </w:r>
          </w:p>
          <w:p w14:paraId="34519344">
            <w:pPr>
              <w:spacing w:line="400" w:lineRule="exact"/>
              <w:ind w:firstLine="420" w:firstLineChars="200"/>
              <w:rPr>
                <w:color w:val="auto"/>
                <w:highlight w:val="none"/>
              </w:rPr>
            </w:pPr>
            <w:r>
              <w:rPr>
                <w:rFonts w:hint="eastAsia"/>
                <w:color w:val="auto"/>
                <w:highlight w:val="none"/>
              </w:rPr>
              <w:t>投标人须在</w:t>
            </w:r>
            <w:r>
              <w:rPr>
                <w:rFonts w:hint="eastAsia"/>
                <w:color w:val="auto"/>
                <w:highlight w:val="none"/>
                <w:lang w:eastAsia="zh-CN"/>
              </w:rPr>
              <w:t>投标文件中</w:t>
            </w:r>
            <w:r>
              <w:rPr>
                <w:rFonts w:hint="eastAsia"/>
                <w:color w:val="auto"/>
                <w:highlight w:val="none"/>
              </w:rPr>
              <w:t>提供承诺。</w:t>
            </w:r>
          </w:p>
          <w:p w14:paraId="6958CAF8">
            <w:pPr>
              <w:spacing w:line="400" w:lineRule="exact"/>
              <w:ind w:firstLine="420" w:firstLineChars="200"/>
              <w:rPr>
                <w:color w:val="auto"/>
                <w:highlight w:val="none"/>
              </w:rPr>
            </w:pPr>
            <w:r>
              <w:rPr>
                <w:rFonts w:hint="eastAsia"/>
                <w:color w:val="auto"/>
                <w:highlight w:val="none"/>
              </w:rPr>
              <w:t>上述第（2）、（3）款信用状况在开标环节进行查询，查询结果交由评标委员会评审，若投标人针对上述第（2）、（3）款的承诺内容与查询结果不符，由评标委员会作否决投标处理。</w:t>
            </w:r>
          </w:p>
          <w:p w14:paraId="0ABDE2FD">
            <w:pPr>
              <w:spacing w:line="400" w:lineRule="exact"/>
              <w:ind w:firstLine="420" w:firstLineChars="200"/>
              <w:rPr>
                <w:rFonts w:ascii="宋体" w:hAnsi="宋体"/>
                <w:b/>
                <w:color w:val="auto"/>
                <w:szCs w:val="21"/>
                <w:highlight w:val="none"/>
              </w:rPr>
            </w:pPr>
            <w:r>
              <w:rPr>
                <w:rFonts w:hint="eastAsia"/>
                <w:color w:val="auto"/>
                <w:highlight w:val="none"/>
              </w:rPr>
              <w:t>注：投标人是否因有不良行为记分、进入重点关注名单或黑名单而被限制投标的，以开标环节信用状况查询结果为准。</w:t>
            </w:r>
          </w:p>
          <w:p w14:paraId="29D38299">
            <w:pPr>
              <w:autoSpaceDE w:val="0"/>
              <w:autoSpaceDN w:val="0"/>
              <w:adjustRightInd w:val="0"/>
              <w:snapToGrid w:val="0"/>
              <w:spacing w:line="400" w:lineRule="exact"/>
              <w:ind w:firstLine="422" w:firstLineChars="200"/>
              <w:rPr>
                <w:rFonts w:ascii="宋体" w:hAnsi="宋体" w:cs="宋体"/>
                <w:b/>
                <w:color w:val="auto"/>
                <w:kern w:val="0"/>
                <w:szCs w:val="21"/>
                <w:highlight w:val="none"/>
                <w:lang w:bidi="ar"/>
              </w:rPr>
            </w:pPr>
            <w:r>
              <w:rPr>
                <w:rFonts w:hint="eastAsia" w:ascii="宋体" w:hAnsi="宋体" w:cs="宋体"/>
                <w:b/>
                <w:color w:val="auto"/>
                <w:kern w:val="0"/>
                <w:szCs w:val="21"/>
                <w:highlight w:val="none"/>
                <w:lang w:bidi="ar"/>
              </w:rPr>
              <w:t>5、项目经理资格</w:t>
            </w:r>
          </w:p>
          <w:p w14:paraId="37339847">
            <w:pPr>
              <w:spacing w:line="400" w:lineRule="exact"/>
              <w:ind w:firstLine="420" w:firstLineChars="200"/>
              <w:rPr>
                <w:rFonts w:ascii="宋体" w:hAnsi="宋体"/>
                <w:bCs/>
                <w:snapToGrid w:val="0"/>
                <w:color w:val="auto"/>
                <w:highlight w:val="none"/>
              </w:rPr>
            </w:pPr>
            <w:r>
              <w:rPr>
                <w:rFonts w:hint="eastAsia" w:ascii="宋体" w:hAnsi="宋体" w:cs="宋体"/>
                <w:color w:val="auto"/>
                <w:szCs w:val="21"/>
                <w:highlight w:val="none"/>
              </w:rPr>
              <w:t>5.1</w:t>
            </w:r>
            <w:r>
              <w:rPr>
                <w:rFonts w:hint="eastAsia" w:ascii="宋体" w:hAnsi="宋体"/>
                <w:bCs/>
                <w:snapToGrid w:val="0"/>
                <w:color w:val="auto"/>
                <w:highlight w:val="none"/>
              </w:rPr>
              <w:t>项目经理：1 人。</w:t>
            </w:r>
          </w:p>
          <w:p w14:paraId="0628F7DC">
            <w:pPr>
              <w:snapToGrid w:val="0"/>
              <w:spacing w:line="400" w:lineRule="exact"/>
              <w:ind w:firstLine="420" w:firstLineChars="200"/>
              <w:rPr>
                <w:rFonts w:hint="eastAsia" w:ascii="宋体" w:hAnsi="宋体"/>
                <w:color w:val="auto"/>
                <w:szCs w:val="21"/>
                <w:highlight w:val="none"/>
                <w:u w:val="single"/>
              </w:rPr>
            </w:pPr>
            <w:r>
              <w:rPr>
                <w:rFonts w:hint="eastAsia" w:ascii="宋体" w:hAnsi="宋体" w:cs="宋体"/>
                <w:color w:val="auto"/>
                <w:szCs w:val="21"/>
                <w:highlight w:val="none"/>
              </w:rPr>
              <w:t>5.1.1</w:t>
            </w:r>
            <w:r>
              <w:rPr>
                <w:rFonts w:hint="eastAsia" w:ascii="宋体" w:hAnsi="宋体"/>
                <w:color w:val="auto"/>
                <w:szCs w:val="21"/>
                <w:highlight w:val="none"/>
              </w:rPr>
              <w:t>投标人拟派的</w:t>
            </w:r>
            <w:r>
              <w:rPr>
                <w:rFonts w:ascii="宋体" w:hAnsi="宋体"/>
                <w:color w:val="auto"/>
                <w:szCs w:val="21"/>
                <w:highlight w:val="none"/>
              </w:rPr>
              <w:t>项目经理必须已在</w:t>
            </w:r>
            <w:r>
              <w:rPr>
                <w:rFonts w:hint="eastAsia" w:ascii="宋体" w:hAnsi="宋体"/>
                <w:color w:val="auto"/>
                <w:szCs w:val="21"/>
                <w:highlight w:val="none"/>
              </w:rPr>
              <w:t>投标人本</w:t>
            </w:r>
            <w:r>
              <w:rPr>
                <w:rFonts w:ascii="宋体" w:hAnsi="宋体"/>
                <w:color w:val="auto"/>
                <w:szCs w:val="21"/>
                <w:highlight w:val="none"/>
              </w:rPr>
              <w:t>单位注册并应具有</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建筑</w:t>
            </w:r>
            <w:r>
              <w:rPr>
                <w:rFonts w:hint="eastAsia" w:ascii="宋体" w:hAnsi="宋体"/>
                <w:color w:val="auto"/>
                <w:szCs w:val="21"/>
                <w:highlight w:val="none"/>
                <w:u w:val="single"/>
              </w:rPr>
              <w:t>工程</w:t>
            </w:r>
            <w:r>
              <w:rPr>
                <w:rFonts w:hint="eastAsia" w:ascii="宋体" w:hAnsi="宋体"/>
                <w:color w:val="auto"/>
                <w:szCs w:val="21"/>
                <w:highlight w:val="none"/>
              </w:rPr>
              <w:t>专业</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贰</w:t>
            </w:r>
            <w:r>
              <w:rPr>
                <w:rFonts w:hint="eastAsia" w:ascii="宋体" w:hAnsi="宋体"/>
                <w:color w:val="auto"/>
                <w:szCs w:val="21"/>
                <w:highlight w:val="none"/>
                <w:u w:val="single"/>
              </w:rPr>
              <w:t xml:space="preserve"> </w:t>
            </w:r>
            <w:r>
              <w:rPr>
                <w:rFonts w:ascii="宋体" w:hAnsi="宋体"/>
                <w:color w:val="auto"/>
                <w:szCs w:val="21"/>
                <w:highlight w:val="none"/>
                <w:u w:val="single"/>
              </w:rPr>
              <w:t>级及以上</w:t>
            </w:r>
            <w:r>
              <w:rPr>
                <w:rFonts w:ascii="宋体" w:hAnsi="宋体"/>
                <w:color w:val="auto"/>
                <w:szCs w:val="21"/>
                <w:highlight w:val="none"/>
              </w:rPr>
              <w:t>注册建造师执业资格</w:t>
            </w:r>
            <w:r>
              <w:rPr>
                <w:rFonts w:hint="eastAsia" w:ascii="宋体" w:hAnsi="宋体" w:cs="宋体"/>
                <w:color w:val="auto"/>
                <w:szCs w:val="21"/>
                <w:highlight w:val="none"/>
              </w:rPr>
              <w:t>。</w:t>
            </w:r>
          </w:p>
          <w:p w14:paraId="65505E56">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5.1.2项目经理承诺要求：投标人须承诺拟派项目经理按注册建造师的相关规定到岗履职和未被禁止参与投标。</w:t>
            </w:r>
          </w:p>
          <w:p w14:paraId="433FD4B9">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5.1.2.1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w:t>
            </w:r>
            <w:r>
              <w:rPr>
                <w:rFonts w:hint="eastAsia" w:ascii="宋体" w:hAnsi="宋体"/>
                <w:color w:val="auto"/>
                <w:szCs w:val="21"/>
                <w:highlight w:val="none"/>
                <w:lang w:eastAsia="zh-CN"/>
              </w:rPr>
              <w:t>比选人</w:t>
            </w:r>
            <w:r>
              <w:rPr>
                <w:rFonts w:hint="eastAsia" w:ascii="宋体" w:hAnsi="宋体"/>
                <w:color w:val="auto"/>
                <w:szCs w:val="21"/>
                <w:highlight w:val="none"/>
              </w:rPr>
              <w:t>造成损失的，投标人依法承担违约赔偿责任。拟派项目经理中标后不得随意更换。</w:t>
            </w:r>
          </w:p>
          <w:p w14:paraId="1C376274">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5.1.2.2未被禁止参与投标承诺要求：承诺拟派项目经理未被重庆市</w:t>
            </w:r>
            <w:r>
              <w:rPr>
                <w:rFonts w:hint="eastAsia" w:ascii="宋体" w:hAnsi="宋体"/>
                <w:color w:val="auto"/>
                <w:szCs w:val="21"/>
                <w:highlight w:val="none"/>
                <w:lang w:val="en-US" w:eastAsia="zh-CN"/>
              </w:rPr>
              <w:t>市级有关行业</w:t>
            </w:r>
            <w:r>
              <w:rPr>
                <w:rFonts w:hint="eastAsia" w:ascii="宋体" w:hAnsi="宋体"/>
                <w:color w:val="auto"/>
                <w:szCs w:val="21"/>
                <w:highlight w:val="none"/>
              </w:rPr>
              <w:t>主管部门暂停在渝承揽新业务。若被暂停在渝承揽新业务但仍参加投标，将被否决投标；已取得中标候选人资格或中标资格的，</w:t>
            </w:r>
            <w:r>
              <w:rPr>
                <w:rFonts w:hint="eastAsia" w:ascii="宋体" w:hAnsi="宋体"/>
                <w:color w:val="auto"/>
                <w:szCs w:val="21"/>
                <w:highlight w:val="none"/>
                <w:lang w:eastAsia="zh-CN"/>
              </w:rPr>
              <w:t>比选人</w:t>
            </w:r>
            <w:r>
              <w:rPr>
                <w:rFonts w:hint="eastAsia" w:ascii="宋体" w:hAnsi="宋体"/>
                <w:color w:val="auto"/>
                <w:szCs w:val="21"/>
                <w:highlight w:val="none"/>
              </w:rPr>
              <w:t>有权取消其中标候选人资格或中标资格；给</w:t>
            </w:r>
            <w:r>
              <w:rPr>
                <w:rFonts w:hint="eastAsia" w:ascii="宋体" w:hAnsi="宋体"/>
                <w:color w:val="auto"/>
                <w:szCs w:val="21"/>
                <w:highlight w:val="none"/>
                <w:lang w:eastAsia="zh-CN"/>
              </w:rPr>
              <w:t>比选人</w:t>
            </w:r>
            <w:r>
              <w:rPr>
                <w:rFonts w:hint="eastAsia" w:ascii="宋体" w:hAnsi="宋体"/>
                <w:color w:val="auto"/>
                <w:szCs w:val="21"/>
                <w:highlight w:val="none"/>
              </w:rPr>
              <w:t>造成损失的，投标人依法承担违约赔偿责任。</w:t>
            </w:r>
          </w:p>
          <w:p w14:paraId="79892233">
            <w:pPr>
              <w:snapToGrid w:val="0"/>
              <w:spacing w:line="400" w:lineRule="exact"/>
              <w:ind w:firstLine="420" w:firstLineChars="200"/>
              <w:rPr>
                <w:rFonts w:ascii="宋体" w:hAnsi="宋体"/>
                <w:color w:val="auto"/>
                <w:highlight w:val="none"/>
              </w:rPr>
            </w:pPr>
            <w:r>
              <w:rPr>
                <w:rFonts w:hint="eastAsia" w:ascii="宋体" w:hAnsi="宋体"/>
                <w:color w:val="auto"/>
                <w:szCs w:val="21"/>
                <w:highlight w:val="none"/>
              </w:rPr>
              <w:t>5.1.2.3</w:t>
            </w:r>
            <w:r>
              <w:rPr>
                <w:rFonts w:ascii="宋体" w:hAnsi="宋体"/>
                <w:color w:val="auto"/>
                <w:highlight w:val="none"/>
              </w:rPr>
              <w:t>项目经理的其它承诺要求：为保证</w:t>
            </w:r>
            <w:r>
              <w:rPr>
                <w:rFonts w:hint="eastAsia" w:ascii="宋体" w:hAnsi="宋体"/>
                <w:color w:val="auto"/>
                <w:highlight w:val="none"/>
                <w:lang w:val="en-US" w:eastAsia="zh-CN"/>
              </w:rPr>
              <w:t>投标人</w:t>
            </w:r>
            <w:r>
              <w:rPr>
                <w:rFonts w:ascii="宋体" w:hAnsi="宋体"/>
                <w:color w:val="auto"/>
                <w:highlight w:val="none"/>
              </w:rPr>
              <w:t>拟派的项目经理到本项目到岗履职，</w:t>
            </w:r>
            <w:r>
              <w:rPr>
                <w:rFonts w:hint="eastAsia" w:ascii="宋体" w:hAnsi="宋体"/>
                <w:color w:val="auto"/>
                <w:highlight w:val="none"/>
                <w:lang w:val="en-US" w:eastAsia="zh-CN"/>
              </w:rPr>
              <w:t>投标人</w:t>
            </w:r>
            <w:r>
              <w:rPr>
                <w:rFonts w:ascii="宋体" w:hAnsi="宋体"/>
                <w:color w:val="auto"/>
                <w:highlight w:val="none"/>
              </w:rPr>
              <w:t>还需承诺：</w:t>
            </w:r>
          </w:p>
          <w:p w14:paraId="6A7C05F4">
            <w:pPr>
              <w:snapToGrid w:val="0"/>
              <w:spacing w:line="400" w:lineRule="exact"/>
              <w:ind w:firstLine="420" w:firstLineChars="200"/>
              <w:rPr>
                <w:rFonts w:hint="default" w:ascii="宋体" w:hAnsi="宋体"/>
                <w:color w:val="auto"/>
                <w:highlight w:val="none"/>
              </w:rPr>
            </w:pPr>
            <w:r>
              <w:rPr>
                <w:rFonts w:ascii="宋体" w:hAnsi="宋体"/>
                <w:color w:val="auto"/>
                <w:highlight w:val="none"/>
              </w:rPr>
              <w:t>若</w:t>
            </w:r>
            <w:r>
              <w:rPr>
                <w:rFonts w:hint="eastAsia" w:ascii="宋体" w:hAnsi="宋体"/>
                <w:color w:val="auto"/>
                <w:highlight w:val="none"/>
                <w:lang w:val="en-US" w:eastAsia="zh-CN"/>
              </w:rPr>
              <w:t>投标人</w:t>
            </w:r>
            <w:r>
              <w:rPr>
                <w:rFonts w:ascii="宋体" w:hAnsi="宋体"/>
                <w:color w:val="auto"/>
                <w:highlight w:val="none"/>
              </w:rPr>
              <w:t>拟派本项目的项目经理有在其他项目任职的情形的（或有在其他项目中标或拟中标的情形的），应在收到中标通知书后</w:t>
            </w:r>
            <w:r>
              <w:rPr>
                <w:rFonts w:ascii="宋体" w:hAnsi="宋体"/>
                <w:color w:val="auto"/>
                <w:highlight w:val="none"/>
                <w:u w:val="single"/>
              </w:rPr>
              <w:t xml:space="preserve"> 14 </w:t>
            </w:r>
            <w:r>
              <w:rPr>
                <w:rFonts w:ascii="宋体" w:hAnsi="宋体"/>
                <w:color w:val="auto"/>
                <w:highlight w:val="none"/>
              </w:rPr>
              <w:t>日内，办理完成放弃在其他项目任职的手续（或办理完成放弃在其他项目中标</w:t>
            </w:r>
            <w:r>
              <w:rPr>
                <w:rFonts w:hint="eastAsia" w:ascii="宋体" w:hAnsi="宋体"/>
                <w:color w:val="auto"/>
                <w:highlight w:val="none"/>
              </w:rPr>
              <w:t>或拟中标</w:t>
            </w:r>
            <w:r>
              <w:rPr>
                <w:rFonts w:ascii="宋体" w:hAnsi="宋体"/>
                <w:color w:val="auto"/>
                <w:highlight w:val="none"/>
              </w:rPr>
              <w:t>的手续），</w:t>
            </w:r>
            <w:r>
              <w:rPr>
                <w:rFonts w:hint="eastAsia" w:ascii="宋体" w:hAnsi="宋体"/>
                <w:color w:val="auto"/>
                <w:highlight w:val="none"/>
                <w:lang w:eastAsia="zh-CN"/>
              </w:rPr>
              <w:t>比选人</w:t>
            </w:r>
            <w:r>
              <w:rPr>
                <w:rFonts w:ascii="宋体" w:hAnsi="宋体"/>
                <w:color w:val="auto"/>
                <w:highlight w:val="none"/>
              </w:rPr>
              <w:t>在合同签订前有权对</w:t>
            </w:r>
            <w:r>
              <w:rPr>
                <w:rFonts w:hint="eastAsia" w:ascii="宋体" w:hAnsi="宋体"/>
                <w:color w:val="auto"/>
                <w:highlight w:val="none"/>
                <w:lang w:val="en-US" w:eastAsia="zh-CN"/>
              </w:rPr>
              <w:t>投标人</w:t>
            </w:r>
            <w:r>
              <w:rPr>
                <w:rFonts w:ascii="宋体" w:hAnsi="宋体"/>
                <w:color w:val="auto"/>
                <w:highlight w:val="none"/>
              </w:rPr>
              <w:t>拟派项目经理在其他项目的任职情形（或在其他项目的中标或拟中标情形）进行核查，若与</w:t>
            </w:r>
            <w:r>
              <w:rPr>
                <w:rFonts w:hint="eastAsia" w:ascii="宋体" w:hAnsi="宋体"/>
                <w:color w:val="auto"/>
                <w:highlight w:val="none"/>
                <w:lang w:val="en-US" w:eastAsia="zh-CN"/>
              </w:rPr>
              <w:t>投标人</w:t>
            </w:r>
            <w:r>
              <w:rPr>
                <w:rFonts w:ascii="宋体" w:hAnsi="宋体"/>
                <w:color w:val="auto"/>
                <w:highlight w:val="none"/>
              </w:rPr>
              <w:t>承诺内容不符或</w:t>
            </w:r>
            <w:r>
              <w:rPr>
                <w:rFonts w:hint="eastAsia" w:ascii="宋体" w:hAnsi="宋体"/>
                <w:color w:val="auto"/>
                <w:highlight w:val="none"/>
                <w:lang w:val="en-US" w:eastAsia="zh-CN"/>
              </w:rPr>
              <w:t>投标人</w:t>
            </w:r>
            <w:r>
              <w:rPr>
                <w:rFonts w:ascii="宋体" w:hAnsi="宋体"/>
                <w:color w:val="auto"/>
                <w:highlight w:val="none"/>
              </w:rPr>
              <w:t>未在上述时间内按照招标文件规定递交放弃在其他项目任职、中标或拟中标的相关资料，视为</w:t>
            </w:r>
            <w:r>
              <w:rPr>
                <w:rFonts w:hint="eastAsia" w:ascii="宋体" w:hAnsi="宋体"/>
                <w:color w:val="auto"/>
                <w:highlight w:val="none"/>
                <w:lang w:val="en-US" w:eastAsia="zh-CN"/>
              </w:rPr>
              <w:t>投标人</w:t>
            </w:r>
            <w:r>
              <w:rPr>
                <w:rFonts w:ascii="宋体" w:hAnsi="宋体"/>
                <w:color w:val="auto"/>
                <w:highlight w:val="none"/>
              </w:rPr>
              <w:t>放弃中标资格，</w:t>
            </w:r>
            <w:r>
              <w:rPr>
                <w:rFonts w:hint="eastAsia" w:ascii="宋体" w:hAnsi="宋体"/>
                <w:color w:val="auto"/>
                <w:highlight w:val="none"/>
                <w:lang w:eastAsia="zh-CN"/>
              </w:rPr>
              <w:t>比选人</w:t>
            </w:r>
            <w:r>
              <w:rPr>
                <w:rFonts w:ascii="宋体" w:hAnsi="宋体"/>
                <w:color w:val="auto"/>
                <w:highlight w:val="none"/>
              </w:rPr>
              <w:t>不退还其投标保证金。在合同签订时，</w:t>
            </w:r>
            <w:r>
              <w:rPr>
                <w:rFonts w:hint="eastAsia" w:ascii="宋体" w:hAnsi="宋体"/>
                <w:color w:val="auto"/>
                <w:highlight w:val="none"/>
                <w:lang w:val="en-US" w:eastAsia="zh-CN"/>
              </w:rPr>
              <w:t>投标人</w:t>
            </w:r>
            <w:r>
              <w:rPr>
                <w:rFonts w:ascii="宋体" w:hAnsi="宋体"/>
                <w:color w:val="auto"/>
                <w:highlight w:val="none"/>
              </w:rPr>
              <w:t>需确保拟派项目经理符合《建筑施工企业项目经理资质管理办法》规定的项目经理任职条件，否则视为</w:t>
            </w:r>
            <w:r>
              <w:rPr>
                <w:rFonts w:hint="eastAsia" w:ascii="宋体" w:hAnsi="宋体"/>
                <w:color w:val="auto"/>
                <w:highlight w:val="none"/>
                <w:lang w:val="en-US" w:eastAsia="zh-CN"/>
              </w:rPr>
              <w:t>投标人</w:t>
            </w:r>
            <w:r>
              <w:rPr>
                <w:rFonts w:ascii="宋体" w:hAnsi="宋体"/>
                <w:color w:val="auto"/>
                <w:highlight w:val="none"/>
              </w:rPr>
              <w:t>放弃中标资格，</w:t>
            </w:r>
            <w:r>
              <w:rPr>
                <w:rFonts w:hint="eastAsia" w:ascii="宋体" w:hAnsi="宋体"/>
                <w:color w:val="auto"/>
                <w:highlight w:val="none"/>
                <w:lang w:eastAsia="zh-CN"/>
              </w:rPr>
              <w:t>比选人</w:t>
            </w:r>
            <w:r>
              <w:rPr>
                <w:rFonts w:ascii="宋体" w:hAnsi="宋体"/>
                <w:color w:val="auto"/>
                <w:highlight w:val="none"/>
              </w:rPr>
              <w:t>不退还其投标保证金</w:t>
            </w:r>
            <w:r>
              <w:rPr>
                <w:rFonts w:hint="default" w:ascii="宋体" w:hAnsi="宋体"/>
                <w:color w:val="auto"/>
                <w:highlight w:val="none"/>
              </w:rPr>
              <w:t>。</w:t>
            </w:r>
          </w:p>
          <w:p w14:paraId="3A6506FB">
            <w:pPr>
              <w:snapToGrid w:val="0"/>
              <w:spacing w:line="400" w:lineRule="exact"/>
              <w:ind w:firstLine="420" w:firstLineChars="200"/>
              <w:rPr>
                <w:rFonts w:hint="default" w:ascii="宋体" w:hAnsi="宋体"/>
                <w:color w:val="auto"/>
                <w:highlight w:val="none"/>
              </w:rPr>
            </w:pPr>
            <w:r>
              <w:rPr>
                <w:rFonts w:hint="default" w:ascii="宋体" w:hAnsi="宋体"/>
                <w:color w:val="auto"/>
                <w:highlight w:val="none"/>
              </w:rPr>
              <w:t>放弃在其他项目任职的需提供</w:t>
            </w:r>
            <w:r>
              <w:rPr>
                <w:rFonts w:hint="eastAsia" w:ascii="宋体" w:hAnsi="宋体"/>
                <w:color w:val="auto"/>
                <w:highlight w:val="none"/>
                <w:lang w:eastAsia="zh-CN"/>
              </w:rPr>
              <w:t>：</w:t>
            </w:r>
            <w:r>
              <w:rPr>
                <w:rFonts w:hint="default" w:ascii="宋体" w:hAnsi="宋体"/>
                <w:color w:val="auto"/>
                <w:highlight w:val="none"/>
              </w:rPr>
              <w:t>①</w:t>
            </w:r>
            <w:r>
              <w:rPr>
                <w:rFonts w:hint="eastAsia" w:ascii="宋体" w:hAnsi="宋体"/>
                <w:color w:val="auto"/>
                <w:highlight w:val="none"/>
                <w:lang w:val="en-US" w:eastAsia="zh-CN"/>
              </w:rPr>
              <w:t>经</w:t>
            </w:r>
            <w:r>
              <w:rPr>
                <w:rFonts w:hint="default" w:ascii="宋体" w:hAnsi="宋体"/>
                <w:color w:val="auto"/>
                <w:highlight w:val="none"/>
              </w:rPr>
              <w:t>业主或建设单位同意任职变更的文件；②负责项目监管的行业行政主管部门出具同意任职变更的证明材料。</w:t>
            </w:r>
          </w:p>
          <w:p w14:paraId="3EA5E7C8">
            <w:pPr>
              <w:snapToGrid w:val="0"/>
              <w:spacing w:line="400" w:lineRule="exact"/>
              <w:ind w:firstLine="420" w:firstLineChars="200"/>
              <w:rPr>
                <w:rFonts w:hint="eastAsia" w:ascii="宋体" w:hAnsi="宋体"/>
                <w:color w:val="auto"/>
                <w:szCs w:val="21"/>
                <w:highlight w:val="none"/>
              </w:rPr>
            </w:pPr>
            <w:r>
              <w:rPr>
                <w:rFonts w:hint="default" w:ascii="宋体" w:hAnsi="宋体"/>
                <w:color w:val="auto"/>
                <w:highlight w:val="none"/>
              </w:rPr>
              <w:t>放弃在其他项目中标或拟中标的需提供</w:t>
            </w:r>
            <w:r>
              <w:rPr>
                <w:rFonts w:hint="eastAsia" w:ascii="宋体" w:hAnsi="宋体"/>
                <w:color w:val="auto"/>
                <w:highlight w:val="none"/>
                <w:lang w:eastAsia="zh-CN"/>
              </w:rPr>
              <w:t>：</w:t>
            </w:r>
            <w:r>
              <w:rPr>
                <w:rFonts w:hint="default" w:ascii="宋体" w:hAnsi="宋体"/>
                <w:color w:val="auto"/>
                <w:highlight w:val="none"/>
              </w:rPr>
              <w:t>①经中标或拟中标的其他项目建设单位同意的放弃中标函</w:t>
            </w:r>
            <w:r>
              <w:rPr>
                <w:rFonts w:hint="eastAsia" w:ascii="宋体" w:hAnsi="宋体"/>
                <w:color w:val="auto"/>
                <w:szCs w:val="21"/>
                <w:highlight w:val="none"/>
              </w:rPr>
              <w:t>。</w:t>
            </w:r>
          </w:p>
          <w:p w14:paraId="21F8C879">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5.1.2.4未提供上述承诺或承诺内容不符合要求的，由评标委员会作否决投标处理</w:t>
            </w:r>
            <w:r>
              <w:rPr>
                <w:rFonts w:hint="default" w:ascii="宋体" w:hAnsi="宋体" w:eastAsia="宋体"/>
                <w:color w:val="auto"/>
                <w:sz w:val="21"/>
                <w:highlight w:val="none"/>
              </w:rPr>
              <w:t>。</w:t>
            </w:r>
          </w:p>
          <w:p w14:paraId="50972AFC">
            <w:pPr>
              <w:snapToGrid w:val="0"/>
              <w:spacing w:line="400" w:lineRule="exact"/>
              <w:ind w:firstLine="420" w:firstLineChars="200"/>
              <w:rPr>
                <w:rFonts w:hint="eastAsia" w:eastAsia="宋体"/>
                <w:color w:val="auto"/>
                <w:highlight w:val="none"/>
                <w:lang w:eastAsia="zh-CN"/>
              </w:rPr>
            </w:pPr>
            <w:r>
              <w:rPr>
                <w:rFonts w:hint="eastAsia"/>
                <w:color w:val="auto"/>
                <w:highlight w:val="none"/>
              </w:rPr>
              <w:t>投标人</w:t>
            </w:r>
            <w:r>
              <w:rPr>
                <w:rFonts w:hint="eastAsia"/>
                <w:color w:val="auto"/>
                <w:highlight w:val="none"/>
                <w:lang w:eastAsia="zh-CN"/>
              </w:rPr>
              <w:t>必</w:t>
            </w:r>
            <w:r>
              <w:rPr>
                <w:rFonts w:hint="eastAsia"/>
                <w:color w:val="auto"/>
                <w:highlight w:val="none"/>
              </w:rPr>
              <w:t>须在投标文件资格审查部分提供有效的拟派项目经理身份证、建造师注册证、投标人为其交纳的养老保险证明材料，拟派项目经理到岗履职和未被禁止参与投标的承诺（承诺格式见第</w:t>
            </w:r>
            <w:r>
              <w:rPr>
                <w:rFonts w:hint="eastAsia"/>
                <w:color w:val="auto"/>
                <w:highlight w:val="none"/>
                <w:lang w:eastAsia="zh-CN"/>
              </w:rPr>
              <w:t>八</w:t>
            </w:r>
            <w:r>
              <w:rPr>
                <w:rFonts w:hint="eastAsia"/>
                <w:color w:val="auto"/>
                <w:highlight w:val="none"/>
              </w:rPr>
              <w:t>章投标文件格式）</w:t>
            </w:r>
            <w:r>
              <w:rPr>
                <w:rFonts w:hint="eastAsia"/>
                <w:color w:val="auto"/>
                <w:highlight w:val="none"/>
                <w:lang w:eastAsia="zh-CN"/>
              </w:rPr>
              <w:t>。</w:t>
            </w:r>
          </w:p>
          <w:p w14:paraId="32D4C043">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注：</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提供拟派的项目经理为一级建造师或重庆市二级建造师注册人员的，必须提供建造师电子注册证书，且该建造师电子注册证书须由建造师本人在个人签名处手写本人签名。</w:t>
            </w:r>
          </w:p>
          <w:p w14:paraId="7E07D933">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重庆市以外的省级住房城乡建设主管部门对二级建造师电子注册证书使用有明确规定的，从其规定。未规定使用电子注册证书的，可提供纸质证书扫描件。</w:t>
            </w:r>
          </w:p>
          <w:p w14:paraId="2DEFC9C2">
            <w:pPr>
              <w:autoSpaceDE w:val="0"/>
              <w:autoSpaceDN w:val="0"/>
              <w:adjustRightInd w:val="0"/>
              <w:snapToGrid w:val="0"/>
              <w:spacing w:line="400" w:lineRule="exact"/>
              <w:ind w:firstLine="420" w:firstLineChars="200"/>
              <w:rPr>
                <w:rFonts w:hint="eastAsia"/>
                <w:color w:val="auto"/>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建造师电子注册证书本人手写签名与签名图像笔迹是否一致不作为否决投标的情形。</w:t>
            </w:r>
          </w:p>
          <w:p w14:paraId="59F3C6C9">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6.其他要求</w:t>
            </w:r>
          </w:p>
          <w:p w14:paraId="3B9536FF">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（1）</w:t>
            </w:r>
            <w:r>
              <w:rPr>
                <w:rFonts w:ascii="宋体" w:hAnsi="宋体"/>
                <w:color w:val="auto"/>
                <w:szCs w:val="21"/>
                <w:highlight w:val="none"/>
              </w:rPr>
              <w:t>项目技术负责人：</w:t>
            </w:r>
          </w:p>
          <w:p w14:paraId="5343269C">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应具有</w:t>
            </w:r>
            <w:r>
              <w:rPr>
                <w:rFonts w:hint="eastAsia" w:ascii="宋体" w:hAnsi="宋体"/>
                <w:color w:val="auto"/>
                <w:szCs w:val="21"/>
                <w:highlight w:val="none"/>
                <w:u w:val="single"/>
              </w:rPr>
              <w:t>工程类中级及以</w:t>
            </w:r>
            <w:r>
              <w:rPr>
                <w:rFonts w:ascii="宋体" w:hAnsi="宋体"/>
                <w:color w:val="auto"/>
                <w:szCs w:val="21"/>
                <w:highlight w:val="none"/>
                <w:u w:val="single"/>
              </w:rPr>
              <w:t>上</w:t>
            </w:r>
            <w:r>
              <w:rPr>
                <w:rFonts w:ascii="宋体" w:hAnsi="宋体"/>
                <w:color w:val="auto"/>
                <w:szCs w:val="21"/>
                <w:highlight w:val="none"/>
              </w:rPr>
              <w:t>职称；</w:t>
            </w:r>
          </w:p>
          <w:p w14:paraId="7FCF9B90">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投标人须在投标文件资格审查部分提供拟派技术负责人身份证、职称证及投标人本单位为其缴纳的养老保险证明材料。</w:t>
            </w:r>
          </w:p>
          <w:p w14:paraId="5E9DD150">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（2）</w:t>
            </w:r>
            <w:r>
              <w:rPr>
                <w:rFonts w:ascii="宋体" w:hAnsi="宋体"/>
                <w:color w:val="auto"/>
                <w:szCs w:val="21"/>
                <w:highlight w:val="none"/>
              </w:rPr>
              <w:t>主要管理人员：</w:t>
            </w:r>
          </w:p>
          <w:p w14:paraId="2517EDC8">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招标人可取消其中标资格，给招标人造成损失的，投标人依法承担违约赔偿责任。</w:t>
            </w:r>
          </w:p>
          <w:p w14:paraId="53801D99">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投标人须在投标文件资格审查部分提供承诺（承诺格式见第八章投标文件格式）。</w:t>
            </w:r>
          </w:p>
          <w:p w14:paraId="2A15A196">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3</w:t>
            </w:r>
            <w:r>
              <w:rPr>
                <w:rFonts w:ascii="宋体" w:hAnsi="宋体"/>
                <w:color w:val="auto"/>
                <w:kern w:val="0"/>
                <w:szCs w:val="21"/>
                <w:highlight w:val="none"/>
              </w:rPr>
              <w:t>）委托代理人</w:t>
            </w:r>
            <w:r>
              <w:rPr>
                <w:rFonts w:hint="eastAsia" w:ascii="宋体" w:hAnsi="宋体"/>
                <w:color w:val="auto"/>
                <w:kern w:val="0"/>
                <w:szCs w:val="21"/>
                <w:highlight w:val="none"/>
              </w:rPr>
              <w:t>：</w:t>
            </w:r>
          </w:p>
          <w:p w14:paraId="43C26917">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委托代理人必须为投标人本单位</w:t>
            </w:r>
            <w:r>
              <w:rPr>
                <w:rFonts w:hint="eastAsia" w:ascii="宋体" w:hAnsi="宋体"/>
                <w:color w:val="auto"/>
                <w:kern w:val="0"/>
                <w:szCs w:val="21"/>
                <w:highlight w:val="none"/>
              </w:rPr>
              <w:t>人员</w:t>
            </w:r>
            <w:r>
              <w:rPr>
                <w:rFonts w:ascii="宋体" w:hAnsi="宋体"/>
                <w:color w:val="auto"/>
                <w:kern w:val="0"/>
                <w:szCs w:val="21"/>
                <w:highlight w:val="none"/>
              </w:rPr>
              <w:t>。</w:t>
            </w:r>
          </w:p>
          <w:p w14:paraId="4BBB0298">
            <w:pPr>
              <w:spacing w:line="400" w:lineRule="exact"/>
              <w:ind w:firstLine="420" w:firstLineChars="200"/>
              <w:rPr>
                <w:rFonts w:ascii="宋体" w:hAnsi="宋体" w:cs="宋体"/>
                <w:color w:val="auto"/>
                <w:szCs w:val="21"/>
                <w:highlight w:val="none"/>
              </w:rPr>
            </w:pPr>
            <w:r>
              <w:rPr>
                <w:rFonts w:hint="eastAsia" w:ascii="宋体" w:hAnsi="宋体"/>
                <w:color w:val="auto"/>
                <w:kern w:val="0"/>
                <w:szCs w:val="21"/>
                <w:highlight w:val="none"/>
              </w:rPr>
              <w:t>投标人</w:t>
            </w:r>
            <w:r>
              <w:rPr>
                <w:rFonts w:ascii="宋体" w:hAnsi="宋体"/>
                <w:color w:val="auto"/>
                <w:kern w:val="0"/>
                <w:szCs w:val="21"/>
                <w:highlight w:val="none"/>
              </w:rPr>
              <w:t>须</w:t>
            </w:r>
            <w:r>
              <w:rPr>
                <w:rFonts w:hint="eastAsia" w:ascii="宋体" w:hAnsi="宋体"/>
                <w:color w:val="auto"/>
                <w:kern w:val="0"/>
                <w:szCs w:val="21"/>
                <w:highlight w:val="none"/>
              </w:rPr>
              <w:t>在投标文件资格审查部分</w:t>
            </w:r>
            <w:r>
              <w:rPr>
                <w:rFonts w:ascii="宋体" w:hAnsi="宋体"/>
                <w:color w:val="auto"/>
                <w:kern w:val="0"/>
                <w:szCs w:val="21"/>
                <w:highlight w:val="none"/>
              </w:rPr>
              <w:t>提供</w:t>
            </w:r>
            <w:r>
              <w:rPr>
                <w:rFonts w:hint="eastAsia" w:ascii="宋体" w:hAnsi="宋体"/>
                <w:color w:val="auto"/>
                <w:kern w:val="0"/>
                <w:szCs w:val="21"/>
                <w:highlight w:val="none"/>
              </w:rPr>
              <w:t>投标人为该</w:t>
            </w:r>
            <w:r>
              <w:rPr>
                <w:rFonts w:ascii="宋体" w:hAnsi="宋体"/>
                <w:color w:val="auto"/>
                <w:kern w:val="0"/>
                <w:szCs w:val="21"/>
                <w:highlight w:val="none"/>
              </w:rPr>
              <w:t>委托代理人</w:t>
            </w:r>
            <w:r>
              <w:rPr>
                <w:rFonts w:hint="eastAsia" w:ascii="宋体" w:hAnsi="宋体"/>
                <w:color w:val="auto"/>
                <w:kern w:val="0"/>
                <w:szCs w:val="21"/>
                <w:highlight w:val="none"/>
              </w:rPr>
              <w:t>缴纳的养老保险证明。否则，将由评标委员会作否决投标处理。</w:t>
            </w:r>
          </w:p>
          <w:p w14:paraId="73A4A662">
            <w:pPr>
              <w:autoSpaceDE w:val="0"/>
              <w:autoSpaceDN w:val="0"/>
              <w:adjustRightInd w:val="0"/>
              <w:snapToGrid w:val="0"/>
              <w:spacing w:line="400" w:lineRule="exact"/>
              <w:ind w:firstLine="417" w:firstLineChars="198"/>
              <w:rPr>
                <w:rFonts w:hint="eastAsia" w:ascii="宋体" w:hAnsi="宋体" w:cs="宋体"/>
                <w:b/>
                <w:color w:val="auto"/>
                <w:szCs w:val="21"/>
                <w:highlight w:val="none"/>
              </w:rPr>
            </w:pPr>
            <w:r>
              <w:rPr>
                <w:rFonts w:hint="eastAsia" w:ascii="宋体" w:hAnsi="宋体" w:cs="宋体"/>
                <w:b/>
                <w:color w:val="auto"/>
                <w:szCs w:val="21"/>
                <w:highlight w:val="none"/>
              </w:rPr>
              <w:t>特别说明：</w:t>
            </w:r>
          </w:p>
          <w:p w14:paraId="3A3AA11B">
            <w:pPr>
              <w:autoSpaceDE w:val="0"/>
              <w:autoSpaceDN w:val="0"/>
              <w:adjustRightInd w:val="0"/>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上述要求</w:t>
            </w:r>
            <w:r>
              <w:rPr>
                <w:rFonts w:hint="eastAsia" w:ascii="宋体" w:hAnsi="宋体" w:cs="宋体"/>
                <w:color w:val="auto"/>
                <w:szCs w:val="21"/>
                <w:highlight w:val="none"/>
              </w:rPr>
              <w:t>须提交的相关证明材料均为扫描件</w:t>
            </w:r>
            <w:r>
              <w:rPr>
                <w:rFonts w:hint="eastAsia" w:ascii="宋体" w:hAnsi="宋体" w:cs="宋体"/>
                <w:color w:val="auto"/>
                <w:szCs w:val="21"/>
                <w:highlight w:val="none"/>
                <w:lang w:eastAsia="zh-CN"/>
              </w:rPr>
              <w:t>（原件或复印件的扫描件均可），</w:t>
            </w:r>
            <w:r>
              <w:rPr>
                <w:rFonts w:hint="eastAsia" w:ascii="宋体" w:hAnsi="宋体" w:cs="宋体"/>
                <w:color w:val="auto"/>
                <w:szCs w:val="21"/>
                <w:highlight w:val="none"/>
              </w:rPr>
              <w:t>扫描件须清晰可辨，</w:t>
            </w:r>
            <w:r>
              <w:rPr>
                <w:rFonts w:hint="eastAsia" w:ascii="宋体" w:hAnsi="宋体" w:cs="宋体"/>
                <w:color w:val="auto"/>
                <w:kern w:val="0"/>
                <w:szCs w:val="21"/>
                <w:highlight w:val="none"/>
              </w:rPr>
              <w:t>有一条不满足</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则投标文件由评标委员会</w:t>
            </w:r>
            <w:r>
              <w:rPr>
                <w:rFonts w:hint="eastAsia" w:ascii="宋体" w:hAnsi="宋体" w:cs="宋体"/>
                <w:color w:val="auto"/>
                <w:szCs w:val="21"/>
                <w:highlight w:val="none"/>
              </w:rPr>
              <w:t>作否决投标处理</w:t>
            </w:r>
            <w:r>
              <w:rPr>
                <w:rFonts w:hint="eastAsia" w:ascii="宋体" w:hAnsi="宋体" w:cs="宋体"/>
                <w:color w:val="auto"/>
                <w:kern w:val="0"/>
                <w:szCs w:val="21"/>
                <w:highlight w:val="none"/>
              </w:rPr>
              <w:t>。</w:t>
            </w:r>
          </w:p>
          <w:p w14:paraId="0A1158B3">
            <w:pPr>
              <w:autoSpaceDE w:val="0"/>
              <w:autoSpaceDN w:val="0"/>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（2）投标人须自行承诺其提供的上述相关证明材料真实有效，不存在弄虚作假情形（格式见第</w:t>
            </w:r>
            <w:r>
              <w:rPr>
                <w:rFonts w:hint="eastAsia" w:ascii="宋体" w:hAnsi="宋体" w:cs="宋体"/>
                <w:color w:val="auto"/>
                <w:szCs w:val="21"/>
                <w:highlight w:val="none"/>
                <w:lang w:eastAsia="zh-CN"/>
              </w:rPr>
              <w:t>八</w:t>
            </w:r>
            <w:r>
              <w:rPr>
                <w:rFonts w:hint="eastAsia" w:ascii="宋体" w:hAnsi="宋体" w:cs="宋体"/>
                <w:color w:val="auto"/>
                <w:szCs w:val="21"/>
                <w:highlight w:val="none"/>
              </w:rPr>
              <w:t>章投标文件格式）。</w:t>
            </w:r>
            <w:r>
              <w:rPr>
                <w:rFonts w:hint="eastAsia" w:ascii="宋体" w:hAnsi="宋体" w:cs="宋体"/>
                <w:color w:val="auto"/>
                <w:szCs w:val="21"/>
                <w:highlight w:val="none"/>
                <w:u w:val="single"/>
                <w:lang w:eastAsia="zh-CN"/>
              </w:rPr>
              <w:t>比选人</w:t>
            </w:r>
            <w:r>
              <w:rPr>
                <w:rFonts w:hint="eastAsia" w:ascii="宋体" w:hAnsi="宋体" w:cs="宋体"/>
                <w:color w:val="auto"/>
                <w:szCs w:val="21"/>
                <w:highlight w:val="none"/>
                <w:u w:val="single"/>
              </w:rPr>
              <w:t>在合同签订前均有权对投标人提供的资料进行核实，若发现弄虚作假，</w:t>
            </w:r>
            <w:r>
              <w:rPr>
                <w:rFonts w:hint="eastAsia" w:ascii="宋体" w:hAnsi="宋体" w:cs="宋体"/>
                <w:color w:val="auto"/>
                <w:szCs w:val="21"/>
                <w:highlight w:val="none"/>
                <w:u w:val="single"/>
                <w:lang w:val="en-US" w:eastAsia="zh-CN"/>
              </w:rPr>
              <w:t>按相关规定</w:t>
            </w:r>
            <w:r>
              <w:rPr>
                <w:rFonts w:hint="eastAsia" w:ascii="宋体" w:hAnsi="宋体" w:cs="宋体"/>
                <w:color w:val="auto"/>
                <w:szCs w:val="21"/>
                <w:highlight w:val="none"/>
                <w:u w:val="single"/>
              </w:rPr>
              <w:t>取消其中标资格，并按相关法律法规报招标投标监督部门，其投标保证金不予退还，投标人承担因此造成的相关责任并赔偿相应损失</w:t>
            </w:r>
            <w:r>
              <w:rPr>
                <w:rFonts w:hint="eastAsia" w:ascii="宋体" w:hAnsi="宋体" w:cs="宋体"/>
                <w:color w:val="auto"/>
                <w:szCs w:val="21"/>
                <w:highlight w:val="none"/>
              </w:rPr>
              <w:t>。</w:t>
            </w:r>
          </w:p>
          <w:p w14:paraId="1D733B80">
            <w:pPr>
              <w:spacing w:line="40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（3）本招标文件中所要求的人员养老保险证明要求如下：</w:t>
            </w:r>
          </w:p>
          <w:p w14:paraId="5F49C198">
            <w:pPr>
              <w:spacing w:line="40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①</w:t>
            </w:r>
            <w:r>
              <w:rPr>
                <w:rFonts w:hint="eastAsia" w:ascii="宋体" w:hAnsi="宋体" w:cs="宋体"/>
                <w:bCs/>
                <w:color w:val="auto"/>
                <w:kern w:val="0"/>
                <w:szCs w:val="21"/>
                <w:highlight w:val="none"/>
                <w:lang w:val="en-US" w:eastAsia="zh-CN"/>
              </w:rPr>
              <w:t>企业</w:t>
            </w:r>
            <w:r>
              <w:rPr>
                <w:rFonts w:hint="eastAsia" w:ascii="宋体" w:hAnsi="宋体" w:cs="宋体"/>
                <w:bCs/>
                <w:color w:val="auto"/>
                <w:kern w:val="0"/>
                <w:szCs w:val="21"/>
                <w:highlight w:val="none"/>
              </w:rPr>
              <w:t>提供养老保险证明，事业单位提供养老保险证明或行政主管部门在编证明。</w:t>
            </w:r>
          </w:p>
          <w:p w14:paraId="4242EA99">
            <w:pPr>
              <w:spacing w:line="400" w:lineRule="exact"/>
              <w:ind w:firstLine="420" w:firstLineChars="200"/>
              <w:rPr>
                <w:rFonts w:ascii="宋体" w:hAnsi="宋体"/>
                <w:bCs/>
                <w:snapToGrid w:val="0"/>
                <w:color w:val="auto"/>
                <w:kern w:val="0"/>
                <w:szCs w:val="21"/>
                <w:highlight w:val="none"/>
              </w:rPr>
            </w:pPr>
            <w:r>
              <w:rPr>
                <w:rFonts w:hint="eastAsia" w:ascii="宋体" w:hAnsi="宋体" w:cs="宋体"/>
                <w:bCs/>
                <w:color w:val="auto"/>
                <w:kern w:val="0"/>
                <w:szCs w:val="21"/>
                <w:highlight w:val="none"/>
              </w:rPr>
              <w:t>②</w:t>
            </w:r>
            <w:r>
              <w:rPr>
                <w:rFonts w:hint="eastAsia" w:ascii="宋体" w:hAnsi="宋体" w:cs="宋体"/>
                <w:bCs/>
                <w:snapToGrid w:val="0"/>
                <w:color w:val="auto"/>
                <w:kern w:val="0"/>
                <w:szCs w:val="21"/>
                <w:highlight w:val="none"/>
              </w:rPr>
              <w:t>项目经理、</w:t>
            </w:r>
            <w:r>
              <w:rPr>
                <w:rFonts w:ascii="宋体" w:hAnsi="宋体"/>
                <w:bCs/>
                <w:snapToGrid w:val="0"/>
                <w:color w:val="auto"/>
                <w:kern w:val="0"/>
                <w:szCs w:val="21"/>
                <w:highlight w:val="none"/>
              </w:rPr>
              <w:t>项目技术负责人</w:t>
            </w:r>
            <w:r>
              <w:rPr>
                <w:rFonts w:hint="eastAsia" w:ascii="宋体" w:hAnsi="宋体" w:cs="宋体"/>
                <w:bCs/>
                <w:snapToGrid w:val="0"/>
                <w:color w:val="auto"/>
                <w:kern w:val="0"/>
                <w:szCs w:val="21"/>
                <w:highlight w:val="none"/>
              </w:rPr>
              <w:t>和委托代理人的</w:t>
            </w:r>
            <w:r>
              <w:rPr>
                <w:rFonts w:hint="eastAsia" w:ascii="宋体" w:hAnsi="宋体" w:cs="宋体"/>
                <w:bCs/>
                <w:snapToGrid w:val="0"/>
                <w:color w:val="auto"/>
                <w:kern w:val="0"/>
                <w:szCs w:val="21"/>
                <w:highlight w:val="none"/>
                <w:lang w:val="en-US" w:eastAsia="zh-CN"/>
              </w:rPr>
              <w:t>连续</w:t>
            </w:r>
            <w:r>
              <w:rPr>
                <w:rFonts w:hint="eastAsia" w:ascii="宋体" w:hAnsi="宋体" w:cs="宋体"/>
                <w:bCs/>
                <w:snapToGrid w:val="0"/>
                <w:color w:val="auto"/>
                <w:kern w:val="0"/>
                <w:szCs w:val="21"/>
                <w:highlight w:val="none"/>
              </w:rPr>
              <w:t>养老保险证明期限</w:t>
            </w:r>
            <w:r>
              <w:rPr>
                <w:rFonts w:hint="eastAsia" w:ascii="宋体" w:hAnsi="宋体" w:cs="宋体"/>
                <w:bCs/>
                <w:snapToGrid w:val="0"/>
                <w:color w:val="auto"/>
                <w:kern w:val="0"/>
                <w:szCs w:val="21"/>
                <w:highlight w:val="none"/>
                <w:lang w:val="en-US" w:eastAsia="zh-CN"/>
              </w:rPr>
              <w:t>须包含</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u w:val="single"/>
                <w:lang w:val="en-US" w:eastAsia="zh-CN"/>
              </w:rPr>
              <w:t>2025</w:t>
            </w:r>
            <w:r>
              <w:rPr>
                <w:rFonts w:hint="eastAsia" w:ascii="宋体" w:hAnsi="宋体" w:cs="宋体"/>
                <w:bCs/>
                <w:snapToGrid w:val="0"/>
                <w:color w:val="auto"/>
                <w:kern w:val="0"/>
                <w:szCs w:val="21"/>
                <w:highlight w:val="none"/>
              </w:rPr>
              <w:t>年</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u w:val="single"/>
                <w:lang w:val="en-US" w:eastAsia="zh-CN"/>
              </w:rPr>
              <w:t>1</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rPr>
              <w:t>月至</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u w:val="single"/>
                <w:lang w:val="en-US" w:eastAsia="zh-CN"/>
              </w:rPr>
              <w:t>2025</w:t>
            </w:r>
            <w:r>
              <w:rPr>
                <w:rFonts w:hint="eastAsia" w:ascii="宋体" w:hAnsi="宋体" w:cs="宋体"/>
                <w:bCs/>
                <w:snapToGrid w:val="0"/>
                <w:color w:val="auto"/>
                <w:kern w:val="0"/>
                <w:szCs w:val="21"/>
                <w:highlight w:val="none"/>
              </w:rPr>
              <w:t>年</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u w:val="single"/>
                <w:lang w:val="en-US" w:eastAsia="zh-CN"/>
              </w:rPr>
              <w:t>6</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rPr>
              <w:t>月</w:t>
            </w:r>
            <w:r>
              <w:rPr>
                <w:rFonts w:hint="eastAsia" w:ascii="宋体" w:hAnsi="宋体" w:cs="宋体"/>
                <w:bCs/>
                <w:color w:val="auto"/>
                <w:szCs w:val="21"/>
                <w:highlight w:val="none"/>
              </w:rPr>
              <w:t>。提供的养老保险参保证明</w:t>
            </w:r>
            <w:r>
              <w:rPr>
                <w:rFonts w:hint="eastAsia" w:ascii="宋体" w:hAnsi="宋体"/>
                <w:bCs/>
                <w:color w:val="auto"/>
                <w:szCs w:val="21"/>
                <w:highlight w:val="none"/>
              </w:rPr>
              <w:t>须体现上述人员的姓名、身份证号（或社保号）、单位名称、本单位参保时间（或起始参保时间）</w:t>
            </w:r>
            <w:r>
              <w:rPr>
                <w:rFonts w:hint="eastAsia" w:ascii="宋体" w:hAnsi="宋体" w:cs="宋体"/>
                <w:bCs/>
                <w:color w:val="auto"/>
                <w:szCs w:val="21"/>
                <w:highlight w:val="none"/>
              </w:rPr>
              <w:t>，并带有社保部门公章或社保部门的有效电子印章。</w:t>
            </w:r>
          </w:p>
        </w:tc>
      </w:tr>
      <w:tr w14:paraId="044649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A290C7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48FB4AD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14:paraId="3130606C">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不接受</w:t>
            </w:r>
          </w:p>
        </w:tc>
      </w:tr>
      <w:tr w14:paraId="3836B8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C8B068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1F95867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14:paraId="227A3BC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不组织</w:t>
            </w:r>
          </w:p>
        </w:tc>
      </w:tr>
      <w:tr w14:paraId="13CD12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88165C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0F6EC5E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14:paraId="44D9F08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不召开</w:t>
            </w:r>
          </w:p>
        </w:tc>
      </w:tr>
      <w:tr w14:paraId="258E4E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739DBB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14:paraId="52D1473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14:paraId="4ECF11E5">
            <w:pPr>
              <w:snapToGrid w:val="0"/>
              <w:spacing w:line="400" w:lineRule="exact"/>
              <w:ind w:firstLine="420" w:firstLineChars="200"/>
              <w:rPr>
                <w:color w:val="auto"/>
                <w:highlight w:val="none"/>
              </w:rPr>
            </w:pPr>
            <w:r>
              <w:rPr>
                <w:rFonts w:hint="eastAsia"/>
                <w:color w:val="auto"/>
                <w:highlight w:val="none"/>
              </w:rPr>
              <w:t>☑</w:t>
            </w:r>
            <w:r>
              <w:rPr>
                <w:color w:val="auto"/>
                <w:highlight w:val="none"/>
              </w:rPr>
              <w:t>不允许</w:t>
            </w:r>
          </w:p>
        </w:tc>
      </w:tr>
      <w:tr w14:paraId="7E130D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FE308E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05C7ABA3">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竞争性比选文件</w:t>
            </w:r>
            <w:r>
              <w:rPr>
                <w:rFonts w:ascii="宋体" w:hAnsi="宋体"/>
                <w:color w:val="auto"/>
                <w:kern w:val="0"/>
                <w:szCs w:val="21"/>
                <w:highlight w:val="none"/>
              </w:rPr>
              <w:t>的其他材料</w:t>
            </w:r>
          </w:p>
        </w:tc>
        <w:tc>
          <w:tcPr>
            <w:tcW w:w="6490" w:type="dxa"/>
            <w:vAlign w:val="center"/>
          </w:tcPr>
          <w:p w14:paraId="760007F2">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招标人发出的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18820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Align w:val="center"/>
          </w:tcPr>
          <w:p w14:paraId="30E9BC44">
            <w:pPr>
              <w:snapToGrid w:val="0"/>
              <w:spacing w:line="4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2.2.1</w:t>
            </w:r>
          </w:p>
        </w:tc>
        <w:tc>
          <w:tcPr>
            <w:tcW w:w="1644" w:type="dxa"/>
            <w:vAlign w:val="center"/>
          </w:tcPr>
          <w:p w14:paraId="627CFFFA">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490" w:type="dxa"/>
            <w:vAlign w:val="center"/>
          </w:tcPr>
          <w:p w14:paraId="7CA2F9B2">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详见招标公告规定的投标截止时间。</w:t>
            </w:r>
          </w:p>
        </w:tc>
      </w:tr>
      <w:tr w14:paraId="68CDB8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4BFED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2.2.3</w:t>
            </w:r>
          </w:p>
        </w:tc>
        <w:tc>
          <w:tcPr>
            <w:tcW w:w="1644" w:type="dxa"/>
            <w:vAlign w:val="center"/>
          </w:tcPr>
          <w:p w14:paraId="3BAA0CE5">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招标人对</w:t>
            </w:r>
            <w:r>
              <w:rPr>
                <w:rFonts w:hint="eastAsia" w:ascii="宋体" w:hAnsi="宋体"/>
                <w:color w:val="auto"/>
                <w:kern w:val="0"/>
                <w:szCs w:val="21"/>
                <w:highlight w:val="none"/>
                <w:lang w:eastAsia="zh-CN"/>
              </w:rPr>
              <w:t>竞争性比选文件</w:t>
            </w:r>
            <w:r>
              <w:rPr>
                <w:rFonts w:ascii="宋体" w:hAnsi="宋体"/>
                <w:color w:val="auto"/>
                <w:kern w:val="0"/>
                <w:szCs w:val="21"/>
                <w:highlight w:val="none"/>
              </w:rPr>
              <w:t>进行</w:t>
            </w:r>
            <w:r>
              <w:rPr>
                <w:rFonts w:hint="eastAsia" w:ascii="宋体" w:hAnsi="宋体"/>
                <w:color w:val="auto"/>
                <w:kern w:val="0"/>
                <w:szCs w:val="21"/>
                <w:highlight w:val="none"/>
              </w:rPr>
              <w:t>修改</w:t>
            </w:r>
            <w:r>
              <w:rPr>
                <w:rFonts w:ascii="宋体" w:hAnsi="宋体"/>
                <w:color w:val="auto"/>
                <w:kern w:val="0"/>
                <w:szCs w:val="21"/>
                <w:highlight w:val="none"/>
              </w:rPr>
              <w:t>的时间</w:t>
            </w:r>
          </w:p>
        </w:tc>
        <w:tc>
          <w:tcPr>
            <w:tcW w:w="6490" w:type="dxa"/>
            <w:vAlign w:val="center"/>
          </w:tcPr>
          <w:p w14:paraId="712D963F">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日的，须相应延后投标截止时间。</w:t>
            </w:r>
          </w:p>
        </w:tc>
      </w:tr>
      <w:tr w14:paraId="5682EC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B5F0BB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50212592">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构成投标文件的其他材料</w:t>
            </w:r>
          </w:p>
        </w:tc>
        <w:tc>
          <w:tcPr>
            <w:tcW w:w="6490" w:type="dxa"/>
            <w:vAlign w:val="center"/>
          </w:tcPr>
          <w:p w14:paraId="7820B597">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投标人的书面澄清、说明和补正（但不得改变投标文件的实质性内容）</w:t>
            </w:r>
          </w:p>
        </w:tc>
      </w:tr>
      <w:tr w14:paraId="5C6353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81EE2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3.2</w:t>
            </w:r>
          </w:p>
        </w:tc>
        <w:tc>
          <w:tcPr>
            <w:tcW w:w="1644" w:type="dxa"/>
            <w:vAlign w:val="center"/>
          </w:tcPr>
          <w:p w14:paraId="1F9B151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投标报价</w:t>
            </w:r>
          </w:p>
        </w:tc>
        <w:tc>
          <w:tcPr>
            <w:tcW w:w="6490" w:type="dxa"/>
            <w:vAlign w:val="center"/>
          </w:tcPr>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90"/>
            </w:tblGrid>
            <w:tr w14:paraId="16065E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90" w:type="dxa"/>
                  <w:noWrap w:val="0"/>
                  <w:vAlign w:val="center"/>
                </w:tcPr>
                <w:p w14:paraId="2A289F06">
                  <w:pPr>
                    <w:pStyle w:val="2"/>
                    <w:tabs>
                      <w:tab w:val="left" w:pos="546"/>
                      <w:tab w:val="left" w:pos="711"/>
                    </w:tabs>
                    <w:snapToGrid w:val="0"/>
                    <w:spacing w:after="0" w:line="400" w:lineRule="exact"/>
                    <w:ind w:firstLine="420" w:firstLineChars="200"/>
                    <w:rPr>
                      <w:rFonts w:hint="eastAsia" w:ascii="宋体" w:hAnsi="宋体" w:cs="宋体"/>
                      <w:color w:val="auto"/>
                      <w:szCs w:val="21"/>
                      <w:highlight w:val="none"/>
                      <w:lang w:eastAsia="zh-CN"/>
                    </w:rPr>
                  </w:pPr>
                  <w:r>
                    <w:rPr>
                      <w:rFonts w:ascii="宋体" w:hAnsi="宋体"/>
                      <w:color w:val="auto"/>
                      <w:szCs w:val="21"/>
                      <w:highlight w:val="none"/>
                    </w:rPr>
                    <w:t>1.</w:t>
                  </w:r>
                  <w:r>
                    <w:rPr>
                      <w:rFonts w:hint="eastAsia" w:ascii="宋体" w:hAnsi="宋体" w:cs="宋体"/>
                      <w:color w:val="auto"/>
                      <w:szCs w:val="21"/>
                      <w:highlight w:val="none"/>
                    </w:rPr>
                    <w:t>使用国有资金投资的建设工程发承包，必须采用工程量清单计价。工程量清单应采用综合单价计价</w:t>
                  </w:r>
                </w:p>
                <w:p w14:paraId="3FCE812D">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投标人应按《建设工程工程量清单计价规范》（GB50500-2013）及重庆市相关工程量清单计价规则的要求填写相应清单表格。投标人应按本须知、《重庆市建设工程费用定额》（CQFYDE-2018）、《重庆市住房和城乡建设委员会关于适用增值税新税率调整建设工程计价依据的通知》（渝建〔2019〕143号）和第五章“工程量清单”的要求填写相应清单表格。投标人的投标报价应是本章投标人须知前附表第1.3.1项中所述的本工程合同段招标范围内的全部工程的投标报价，并以投标人在工程量清单中提出的单价或总价</w:t>
                  </w:r>
                  <w:r>
                    <w:rPr>
                      <w:rFonts w:ascii="宋体" w:hAnsi="宋体" w:cs="宋体"/>
                      <w:color w:val="auto"/>
                      <w:szCs w:val="21"/>
                      <w:highlight w:val="none"/>
                    </w:rPr>
                    <w:footnoteReference w:id="0"/>
                  </w:r>
                  <w:r>
                    <w:rPr>
                      <w:rFonts w:hint="eastAsia" w:ascii="宋体" w:hAnsi="宋体" w:cs="宋体"/>
                      <w:color w:val="auto"/>
                      <w:szCs w:val="21"/>
                      <w:highlight w:val="none"/>
                    </w:rPr>
                    <w:t>为依据。</w:t>
                  </w:r>
                </w:p>
                <w:p w14:paraId="7DEE9FA8">
                  <w:pPr>
                    <w:tabs>
                      <w:tab w:val="left" w:pos="546"/>
                      <w:tab w:val="left" w:pos="711"/>
                    </w:tabs>
                    <w:snapToGrid w:val="0"/>
                    <w:spacing w:line="400" w:lineRule="exact"/>
                    <w:ind w:left="6" w:leftChars="3"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投标人应认真填写工程量清单中所列的本合同各工程子目的单价或总价。投标人没有填入单价或总价的工程子目，招标人将认为该子目的价款已包括在工程量清单其他子目的单价和总价中。投标人必须按招标工程量清单填报价格。项目编码、项目名称、项目特征、计量单位、工程量必须与招标工程量清单一致。否则交由评标委员会作</w:t>
                  </w:r>
                  <w:r>
                    <w:rPr>
                      <w:rFonts w:hint="eastAsia" w:ascii="宋体" w:hAnsi="宋体"/>
                      <w:color w:val="auto"/>
                      <w:szCs w:val="21"/>
                      <w:highlight w:val="none"/>
                    </w:rPr>
                    <w:t>否决投标处理。</w:t>
                  </w:r>
                </w:p>
                <w:p w14:paraId="6FF5539E">
                  <w:pPr>
                    <w:tabs>
                      <w:tab w:val="left" w:pos="546"/>
                      <w:tab w:val="left" w:pos="711"/>
                    </w:tabs>
                    <w:snapToGrid w:val="0"/>
                    <w:spacing w:line="400" w:lineRule="exact"/>
                    <w:ind w:left="6" w:leftChars="3" w:firstLine="420" w:firstLineChars="200"/>
                    <w:rPr>
                      <w:rFonts w:ascii="宋体" w:hAnsi="宋体"/>
                      <w:color w:val="auto"/>
                      <w:szCs w:val="21"/>
                      <w:highlight w:val="none"/>
                    </w:rPr>
                  </w:pPr>
                  <w:r>
                    <w:rPr>
                      <w:rFonts w:hint="eastAsia" w:ascii="宋体" w:hAnsi="宋体"/>
                      <w:color w:val="auto"/>
                      <w:szCs w:val="21"/>
                      <w:highlight w:val="none"/>
                    </w:rPr>
                    <w:t>注：评标过程中，评标委员会可以运用评标系统辅助工具对投标人投标工程量清单进行清标。当清标结果显红时，评标委员会应深入了解显红的原因后，对照招标文件否决投标情况一览表的规定，对确实不满足招标文件相关要求的，方可作否决投标处理。</w:t>
                  </w:r>
                </w:p>
                <w:p w14:paraId="1E90BC34">
                  <w:pPr>
                    <w:tabs>
                      <w:tab w:val="left" w:pos="546"/>
                      <w:tab w:val="left" w:pos="711"/>
                    </w:tabs>
                    <w:snapToGrid w:val="0"/>
                    <w:spacing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投标函中的总报价与已标价工程量清单总报价</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一致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工程量清单总报价与依据单价、工程数量、分部分项工程合价计算出的结果</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一致，由评标委员会作否决投标处理。</w:t>
                  </w:r>
                </w:p>
                <w:p w14:paraId="38054509">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u w:val="single"/>
                    </w:rPr>
                    <w:t>（1）在合同实施期间，单价和总价按专用合同条款第11条的规定可调整。</w:t>
                  </w:r>
                </w:p>
                <w:p w14:paraId="2637733F">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rPr>
                    <w:t>（2）增值税计税方法由招标人依据国家税法规定选择：</w:t>
                  </w:r>
                </w:p>
                <w:p w14:paraId="20D70615">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一般计税法</w:t>
                  </w:r>
                </w:p>
                <w:p w14:paraId="7C22707E">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如发现工程量清单中的数量与图纸中数量不一致，应于本须知第2.2.1项中规定的时间前书面通知招标人核查，除非招标人以修改的形式予以更正，否则，应以工程量清单中列出的数量为准。</w:t>
                  </w:r>
                </w:p>
                <w:p w14:paraId="3ADA2D2A">
                  <w:pPr>
                    <w:tabs>
                      <w:tab w:val="left" w:pos="546"/>
                      <w:tab w:val="left" w:pos="711"/>
                    </w:tabs>
                    <w:snapToGrid w:val="0"/>
                    <w:spacing w:line="400" w:lineRule="exact"/>
                    <w:ind w:firstLine="420" w:firstLineChars="200"/>
                    <w:rPr>
                      <w:rFonts w:ascii="宋体" w:hAnsi="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招标人在工程量清单中所列出的暂列金额、暂估价等暂定金额，投标人不得修改</w:t>
                  </w:r>
                  <w:r>
                    <w:rPr>
                      <w:rFonts w:hint="eastAsia" w:ascii="宋体" w:hAnsi="宋体"/>
                      <w:color w:val="auto"/>
                      <w:szCs w:val="21"/>
                      <w:highlight w:val="none"/>
                    </w:rPr>
                    <w:t>，否则由评标委员会作否决投标处理。</w:t>
                  </w:r>
                </w:p>
                <w:p w14:paraId="50AE98BB">
                  <w:pPr>
                    <w:tabs>
                      <w:tab w:val="left" w:pos="546"/>
                      <w:tab w:val="left" w:pos="711"/>
                    </w:tabs>
                    <w:snapToGrid w:val="0"/>
                    <w:spacing w:line="400" w:lineRule="exact"/>
                    <w:ind w:firstLine="420" w:firstLineChars="200"/>
                    <w:rPr>
                      <w:rFonts w:ascii="宋体" w:hAnsi="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本工程招标将设置投标总报价最高限价</w:t>
                  </w:r>
                  <w:r>
                    <w:rPr>
                      <w:rFonts w:hint="eastAsia" w:ascii="宋体" w:hAnsi="宋体" w:cs="宋体"/>
                      <w:color w:val="auto"/>
                      <w:szCs w:val="21"/>
                      <w:highlight w:val="none"/>
                      <w:lang w:val="en-US" w:eastAsia="zh-CN"/>
                    </w:rPr>
                    <w:t>为：</w:t>
                  </w:r>
                  <w:r>
                    <w:rPr>
                      <w:rFonts w:hint="eastAsia" w:ascii="宋体" w:hAnsi="宋体" w:cs="宋体"/>
                      <w:color w:val="auto"/>
                      <w:szCs w:val="21"/>
                      <w:highlight w:val="none"/>
                      <w:u w:val="single"/>
                      <w:lang w:val="en-US" w:eastAsia="zh-CN"/>
                    </w:rPr>
                    <w:t xml:space="preserve"> 816662.67元</w:t>
                  </w:r>
                  <w:r>
                    <w:rPr>
                      <w:rFonts w:hint="eastAsia" w:ascii="宋体" w:hAnsi="宋体" w:cs="宋体"/>
                      <w:color w:val="auto"/>
                      <w:szCs w:val="21"/>
                      <w:highlight w:val="none"/>
                    </w:rPr>
                    <w:t>，其中安全文明施工费</w:t>
                  </w:r>
                  <w:r>
                    <w:rPr>
                      <w:rFonts w:hint="eastAsia" w:ascii="宋体" w:hAnsi="宋体" w:cs="宋体"/>
                      <w:color w:val="auto"/>
                      <w:szCs w:val="21"/>
                      <w:highlight w:val="none"/>
                      <w:lang w:val="en-US" w:eastAsia="zh-CN"/>
                    </w:rPr>
                    <w:t>暂定金额为</w:t>
                  </w:r>
                  <w:r>
                    <w:rPr>
                      <w:rFonts w:hint="eastAsia" w:ascii="宋体" w:hAnsi="宋体" w:cs="宋体"/>
                      <w:color w:val="auto"/>
                      <w:szCs w:val="21"/>
                      <w:highlight w:val="none"/>
                    </w:rPr>
                    <w:t>:</w:t>
                  </w:r>
                  <w:r>
                    <w:rPr>
                      <w:rFonts w:hint="eastAsia" w:ascii="宋体" w:hAnsi="宋体" w:cs="宋体"/>
                      <w:color w:val="auto"/>
                      <w:szCs w:val="21"/>
                      <w:highlight w:val="none"/>
                      <w:u w:val="single"/>
                      <w:lang w:val="en-US" w:eastAsia="zh-CN"/>
                    </w:rPr>
                    <w:t>27525.65元</w:t>
                  </w:r>
                  <w:r>
                    <w:rPr>
                      <w:rFonts w:hint="eastAsia" w:ascii="宋体" w:hAnsi="宋体" w:cs="宋体"/>
                      <w:color w:val="auto"/>
                      <w:szCs w:val="21"/>
                      <w:highlight w:val="none"/>
                      <w:u w:val="none"/>
                      <w:lang w:val="en-US" w:eastAsia="zh-CN"/>
                    </w:rPr>
                    <w:t>，</w:t>
                  </w:r>
                  <w:r>
                    <w:rPr>
                      <w:rFonts w:hint="eastAsia" w:ascii="宋体" w:hAnsi="宋体" w:cs="宋体"/>
                      <w:color w:val="auto"/>
                      <w:szCs w:val="21"/>
                      <w:highlight w:val="none"/>
                    </w:rPr>
                    <w:t>投标人的投标总报价不得超过投标总报价最高限价，否则由评标委员会作</w:t>
                  </w:r>
                  <w:r>
                    <w:rPr>
                      <w:rFonts w:hint="eastAsia" w:ascii="宋体" w:hAnsi="宋体"/>
                      <w:color w:val="auto"/>
                      <w:szCs w:val="21"/>
                      <w:highlight w:val="none"/>
                    </w:rPr>
                    <w:t>否决投标处理。</w:t>
                  </w:r>
                </w:p>
                <w:p w14:paraId="2AAB70A8">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本工程招标将设置全部清单综合单价最高限价，全部清单综合单价最高限价</w:t>
                  </w:r>
                  <w:r>
                    <w:rPr>
                      <w:rFonts w:hint="eastAsia" w:ascii="宋体" w:hAnsi="宋体" w:cs="宋体"/>
                      <w:color w:val="auto"/>
                      <w:szCs w:val="21"/>
                      <w:highlight w:val="none"/>
                      <w:lang w:val="en-US" w:eastAsia="zh-CN"/>
                    </w:rPr>
                    <w:t>随招标文件一起发布</w:t>
                  </w:r>
                  <w:r>
                    <w:rPr>
                      <w:rFonts w:hint="eastAsia" w:ascii="宋体" w:hAnsi="宋体" w:cs="宋体"/>
                      <w:color w:val="auto"/>
                      <w:szCs w:val="21"/>
                      <w:highlight w:val="none"/>
                    </w:rPr>
                    <w:t>，投标人的每项清单综合单价报价不得超过每项清单综合单价最高限价，否则由评标委员会作否决投标处理。</w:t>
                  </w:r>
                </w:p>
                <w:p w14:paraId="5ED6E6F1">
                  <w:pPr>
                    <w:pStyle w:val="2"/>
                    <w:spacing w:after="0" w:line="400" w:lineRule="exact"/>
                    <w:ind w:firstLine="420" w:firstLineChars="200"/>
                    <w:rPr>
                      <w:rFonts w:hint="eastAsia" w:ascii="宋体" w:hAnsi="宋体" w:eastAsia="宋体" w:cs="宋体"/>
                      <w:color w:val="auto"/>
                      <w:szCs w:val="21"/>
                      <w:highlight w:val="none"/>
                      <w:lang w:eastAsia="zh-CN"/>
                    </w:rPr>
                  </w:pPr>
                  <w:r>
                    <w:rPr>
                      <w:rFonts w:ascii="宋体" w:hAnsi="宋体" w:cs="宋体"/>
                      <w:color w:val="auto"/>
                      <w:szCs w:val="21"/>
                      <w:highlight w:val="none"/>
                    </w:rPr>
                    <w:t>9.安全文明施工费：</w:t>
                  </w:r>
                  <w:r>
                    <w:rPr>
                      <w:rFonts w:hint="eastAsia" w:ascii="宋体" w:hAnsi="宋体" w:cs="宋体"/>
                      <w:color w:val="auto"/>
                      <w:szCs w:val="21"/>
                      <w:highlight w:val="none"/>
                    </w:rPr>
                    <w:t>27525.65</w:t>
                  </w:r>
                  <w:r>
                    <w:rPr>
                      <w:rFonts w:hint="eastAsia" w:ascii="宋体" w:hAnsi="宋体" w:cs="宋体"/>
                      <w:color w:val="auto"/>
                      <w:szCs w:val="21"/>
                      <w:highlight w:val="none"/>
                      <w:lang w:eastAsia="zh-CN"/>
                    </w:rPr>
                    <w:t>元</w:t>
                  </w:r>
                </w:p>
                <w:p w14:paraId="3677CB41">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9.1</w:t>
                  </w:r>
                  <w:r>
                    <w:rPr>
                      <w:rFonts w:hint="eastAsia" w:ascii="宋体" w:hAnsi="宋体" w:cs="宋体"/>
                      <w:color w:val="auto"/>
                      <w:szCs w:val="21"/>
                      <w:highlight w:val="none"/>
                    </w:rPr>
                    <w:t>根据《重庆城乡建设委员会关于印发</w:t>
                  </w:r>
                  <w:r>
                    <w:rPr>
                      <w:rFonts w:ascii="宋体" w:hAnsi="宋体" w:cs="宋体"/>
                      <w:color w:val="auto"/>
                      <w:szCs w:val="21"/>
                      <w:highlight w:val="none"/>
                    </w:rPr>
                    <w:t>&lt;</w:t>
                  </w:r>
                  <w:r>
                    <w:rPr>
                      <w:rFonts w:hint="eastAsia" w:ascii="宋体" w:hAnsi="宋体" w:cs="宋体"/>
                      <w:color w:val="auto"/>
                      <w:szCs w:val="21"/>
                      <w:highlight w:val="none"/>
                    </w:rPr>
                    <w:t>重庆市建设工程安全文明施工费计取及使用管理规定</w:t>
                  </w:r>
                  <w:r>
                    <w:rPr>
                      <w:rFonts w:ascii="宋体" w:hAnsi="宋体" w:cs="宋体"/>
                      <w:color w:val="auto"/>
                      <w:szCs w:val="21"/>
                      <w:highlight w:val="none"/>
                    </w:rPr>
                    <w:t>&gt;</w:t>
                  </w:r>
                  <w:r>
                    <w:rPr>
                      <w:rFonts w:hint="eastAsia" w:ascii="宋体" w:hAnsi="宋体" w:cs="宋体"/>
                      <w:color w:val="auto"/>
                      <w:szCs w:val="21"/>
                      <w:highlight w:val="none"/>
                    </w:rPr>
                    <w:t>的通知》（渝建发〔2014〕25号）规定，安全文明施工费由安全施工费、文明施工费、环境保护费及临时设施费组成。</w:t>
                  </w:r>
                </w:p>
                <w:p w14:paraId="18A550D0">
                  <w:pPr>
                    <w:pStyle w:val="95"/>
                    <w:spacing w:line="400" w:lineRule="exact"/>
                    <w:ind w:firstLineChars="200"/>
                    <w:rPr>
                      <w:color w:val="auto"/>
                      <w:sz w:val="21"/>
                      <w:szCs w:val="21"/>
                      <w:highlight w:val="none"/>
                    </w:rPr>
                  </w:pPr>
                  <w:r>
                    <w:rPr>
                      <w:color w:val="auto"/>
                      <w:sz w:val="21"/>
                      <w:szCs w:val="21"/>
                      <w:highlight w:val="none"/>
                    </w:rPr>
                    <w:t>9.2本工程安全文明施工费由招标人根据《建设工程工程量清单计价规范》（GB50500-2013）、《重庆市建设工程工程量清单计价规则》（CQJJGZ-2013）、《</w:t>
                  </w:r>
                  <w:r>
                    <w:rPr>
                      <w:rFonts w:hint="eastAsia"/>
                      <w:color w:val="auto"/>
                      <w:sz w:val="21"/>
                      <w:szCs w:val="21"/>
                      <w:highlight w:val="none"/>
                    </w:rPr>
                    <w:t>重庆市城乡建设委员会</w:t>
                  </w:r>
                  <w:r>
                    <w:rPr>
                      <w:color w:val="auto"/>
                      <w:sz w:val="21"/>
                      <w:szCs w:val="21"/>
                      <w:highlight w:val="none"/>
                    </w:rPr>
                    <w:t>关于印发&lt;重庆市建设工程安全文明施工费计取及使用管理规定&gt;的通知》（渝建发</w:t>
                  </w:r>
                  <w:r>
                    <w:rPr>
                      <w:rFonts w:hint="eastAsia"/>
                      <w:color w:val="auto"/>
                      <w:sz w:val="21"/>
                      <w:szCs w:val="21"/>
                      <w:highlight w:val="none"/>
                    </w:rPr>
                    <w:t>〔</w:t>
                  </w:r>
                  <w:r>
                    <w:rPr>
                      <w:color w:val="auto"/>
                      <w:sz w:val="21"/>
                      <w:szCs w:val="21"/>
                      <w:highlight w:val="none"/>
                    </w:rPr>
                    <w:t>2014</w:t>
                  </w:r>
                  <w:r>
                    <w:rPr>
                      <w:rFonts w:hint="eastAsia"/>
                      <w:color w:val="auto"/>
                      <w:sz w:val="21"/>
                      <w:szCs w:val="21"/>
                      <w:highlight w:val="none"/>
                    </w:rPr>
                    <w:t>〕</w:t>
                  </w:r>
                  <w:r>
                    <w:rPr>
                      <w:color w:val="auto"/>
                      <w:sz w:val="21"/>
                      <w:szCs w:val="21"/>
                      <w:highlight w:val="none"/>
                    </w:rPr>
                    <w:t>25号）</w:t>
                  </w:r>
                  <w:r>
                    <w:rPr>
                      <w:rFonts w:hint="eastAsia"/>
                      <w:color w:val="auto"/>
                      <w:sz w:val="21"/>
                      <w:szCs w:val="21"/>
                      <w:highlight w:val="none"/>
                    </w:rPr>
                    <w:t>、《重庆市住房和城乡建设委员会关于调整建设施工现场形象品质提升安全文明施工费计取的通知》（渝建管〔2020〕97号）</w:t>
                  </w:r>
                  <w:r>
                    <w:rPr>
                      <w:color w:val="auto"/>
                      <w:sz w:val="21"/>
                      <w:szCs w:val="21"/>
                      <w:highlight w:val="none"/>
                    </w:rPr>
                    <w:t>、</w:t>
                  </w:r>
                  <w:r>
                    <w:rPr>
                      <w:rFonts w:hint="eastAsia"/>
                      <w:color w:val="auto"/>
                      <w:sz w:val="21"/>
                      <w:szCs w:val="21"/>
                      <w:highlight w:val="none"/>
                    </w:rPr>
                    <w:t>《重庆市建设工程费用定额》（CQFYDE-2018）、《重庆市住房和城乡建设委员会关于适用增值税新税率调整建设工程计价依据的通知》（渝建〔2019〕143号）</w:t>
                  </w:r>
                  <w:r>
                    <w:rPr>
                      <w:color w:val="auto"/>
                      <w:sz w:val="21"/>
                      <w:szCs w:val="21"/>
                      <w:highlight w:val="none"/>
                    </w:rPr>
                    <w:t>的相关规定和费用标准单列计算，安全文明施工费为暂定金额，与最高限价一起公布。《投标函》中的安全文明施工费</w:t>
                  </w:r>
                  <w:r>
                    <w:rPr>
                      <w:rFonts w:hint="eastAsia"/>
                      <w:color w:val="auto"/>
                      <w:sz w:val="21"/>
                      <w:szCs w:val="21"/>
                      <w:highlight w:val="none"/>
                      <w:lang w:val="en-US" w:eastAsia="zh-CN"/>
                    </w:rPr>
                    <w:t>金额或工程量清单中安全文明施工费的汇总金额未</w:t>
                  </w:r>
                  <w:r>
                    <w:rPr>
                      <w:color w:val="auto"/>
                      <w:sz w:val="21"/>
                      <w:szCs w:val="21"/>
                      <w:highlight w:val="none"/>
                    </w:rPr>
                    <w:t>按照招标人给出的暂定金额填报</w:t>
                  </w:r>
                  <w:r>
                    <w:rPr>
                      <w:rFonts w:hint="eastAsia"/>
                      <w:color w:val="auto"/>
                      <w:sz w:val="21"/>
                      <w:szCs w:val="21"/>
                      <w:highlight w:val="none"/>
                      <w:lang w:val="en-US" w:eastAsia="zh-CN"/>
                    </w:rPr>
                    <w:t>的</w:t>
                  </w:r>
                  <w:r>
                    <w:rPr>
                      <w:color w:val="auto"/>
                      <w:sz w:val="21"/>
                      <w:szCs w:val="21"/>
                      <w:highlight w:val="none"/>
                    </w:rPr>
                    <w:t>，视为对招标文件不作实质性响应，其投标文件</w:t>
                  </w:r>
                  <w:r>
                    <w:rPr>
                      <w:rFonts w:hint="eastAsia"/>
                      <w:color w:val="auto"/>
                      <w:sz w:val="21"/>
                      <w:szCs w:val="21"/>
                      <w:highlight w:val="none"/>
                    </w:rPr>
                    <w:t>由评标委员会</w:t>
                  </w:r>
                  <w:r>
                    <w:rPr>
                      <w:color w:val="auto"/>
                      <w:sz w:val="21"/>
                      <w:szCs w:val="21"/>
                      <w:highlight w:val="none"/>
                    </w:rPr>
                    <w:t>作否决投标处理。</w:t>
                  </w:r>
                  <w:r>
                    <w:rPr>
                      <w:rFonts w:hint="eastAsia"/>
                      <w:color w:val="auto"/>
                      <w:sz w:val="21"/>
                      <w:szCs w:val="21"/>
                      <w:highlight w:val="none"/>
                    </w:rPr>
                    <w:t>注：采用全费用清单计价的项目，安全文明施工费仅针对《投标函》中的安全文明施工费进行评审。</w:t>
                  </w:r>
                </w:p>
                <w:p w14:paraId="6BD5B729">
                  <w:pPr>
                    <w:tabs>
                      <w:tab w:val="left" w:pos="546"/>
                      <w:tab w:val="left" w:pos="711"/>
                    </w:tabs>
                    <w:snapToGrid w:val="0"/>
                    <w:spacing w:line="400" w:lineRule="exact"/>
                    <w:ind w:firstLine="420" w:firstLineChars="200"/>
                    <w:rPr>
                      <w:rFonts w:ascii="宋体" w:hAnsi="宋体" w:cs="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本工程所需材料（含设备）价格由投标人参照重庆市建设工</w:t>
                  </w:r>
                  <w:r>
                    <w:rPr>
                      <w:rFonts w:hint="eastAsia" w:ascii="宋体" w:hAnsi="宋体" w:cs="宋体"/>
                      <w:color w:val="auto"/>
                      <w:szCs w:val="21"/>
                      <w:highlight w:val="none"/>
                    </w:rPr>
                    <w:t>程造价管理总站发布的《重庆工程造价信息》或工程造价管理机构发布的工程造价信息（造价信息引用时限为招标公告发布日期前一期），并结合市场行情及自身实力进行自主报价。</w:t>
                  </w:r>
                </w:p>
                <w:p w14:paraId="1A0E737F">
                  <w:pPr>
                    <w:pStyle w:val="2"/>
                    <w:tabs>
                      <w:tab w:val="left" w:pos="546"/>
                      <w:tab w:val="left" w:pos="711"/>
                    </w:tabs>
                    <w:snapToGrid w:val="0"/>
                    <w:spacing w:after="0"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11.本项目建筑安装材料价格风险按照《重庆市城乡建设委员会关于进一步加强建筑安装材料价格风险管控的指导意见》（渝建〔2018〕61号）执行。本项目主要材料及设备价格风险内容、范围及调整方法为：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详见专用合同</w:t>
                  </w:r>
                  <w:r>
                    <w:rPr>
                      <w:rFonts w:hint="eastAsia" w:ascii="宋体" w:hAnsi="宋体" w:cs="宋体"/>
                      <w:color w:val="auto"/>
                      <w:szCs w:val="21"/>
                      <w:highlight w:val="none"/>
                      <w:u w:val="single"/>
                    </w:rPr>
                    <w:t xml:space="preserve"> </w:t>
                  </w:r>
                </w:p>
                <w:p w14:paraId="3BE0C5A4">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本项目所采用技术、工艺和产品等必须执行重庆市住房和城乡建设委员会关于发布《重庆市建设领域禁止、限制使用落后技术通告（2019年版）（渝建发〔2019〕25号）的规定。</w:t>
                  </w:r>
                </w:p>
                <w:p w14:paraId="49C24A80">
                  <w:pPr>
                    <w:pStyle w:val="2"/>
                    <w:tabs>
                      <w:tab w:val="left" w:pos="546"/>
                      <w:tab w:val="left" w:pos="711"/>
                    </w:tabs>
                    <w:snapToGrid w:val="0"/>
                    <w:spacing w:after="0" w:line="400" w:lineRule="exact"/>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本工程主体结构若需混凝土，则必须使用商品混凝土，不得自建搅拌站。</w:t>
                  </w:r>
                </w:p>
              </w:tc>
            </w:tr>
          </w:tbl>
          <w:p w14:paraId="76A2883C">
            <w:pPr>
              <w:snapToGrid w:val="0"/>
              <w:spacing w:line="400" w:lineRule="exact"/>
              <w:ind w:firstLine="420" w:firstLineChars="200"/>
              <w:rPr>
                <w:rFonts w:ascii="宋体" w:hAnsi="宋体"/>
                <w:color w:val="auto"/>
                <w:szCs w:val="21"/>
                <w:highlight w:val="none"/>
              </w:rPr>
            </w:pPr>
          </w:p>
        </w:tc>
      </w:tr>
      <w:tr w14:paraId="50B1CC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F61D41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3A2450F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14:paraId="6857B91C">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90</w:t>
            </w:r>
            <w:r>
              <w:rPr>
                <w:rFonts w:ascii="宋体" w:hAnsi="宋体"/>
                <w:color w:val="auto"/>
                <w:szCs w:val="21"/>
                <w:highlight w:val="none"/>
                <w:u w:val="single"/>
              </w:rPr>
              <w:t xml:space="preserve">  </w:t>
            </w:r>
            <w:r>
              <w:rPr>
                <w:rFonts w:ascii="宋体" w:hAnsi="宋体"/>
                <w:color w:val="auto"/>
                <w:szCs w:val="21"/>
                <w:highlight w:val="none"/>
              </w:rPr>
              <w:t>日历天（从提交投标文件截止日起计算）</w:t>
            </w:r>
          </w:p>
        </w:tc>
      </w:tr>
      <w:tr w14:paraId="066DC5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C04293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14:paraId="1C48460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14:paraId="70648726">
            <w:pPr>
              <w:snapToGrid w:val="0"/>
              <w:spacing w:line="400" w:lineRule="exact"/>
              <w:ind w:firstLine="420" w:firstLineChars="200"/>
              <w:rPr>
                <w:color w:val="auto"/>
                <w:highlight w:val="none"/>
              </w:rPr>
            </w:pPr>
            <w:r>
              <w:rPr>
                <w:rFonts w:hint="eastAsia"/>
                <w:color w:val="auto"/>
                <w:highlight w:val="none"/>
              </w:rPr>
              <w:t>一、以转账支票或电汇形式交纳投标保证金</w:t>
            </w:r>
          </w:p>
          <w:p w14:paraId="1331CE31">
            <w:pPr>
              <w:snapToGrid w:val="0"/>
              <w:spacing w:line="400" w:lineRule="exact"/>
              <w:ind w:firstLine="420" w:firstLineChars="200"/>
              <w:rPr>
                <w:color w:val="auto"/>
                <w:highlight w:val="none"/>
              </w:rPr>
            </w:pPr>
            <w:r>
              <w:rPr>
                <w:rFonts w:hint="eastAsia"/>
                <w:color w:val="auto"/>
                <w:highlight w:val="none"/>
              </w:rPr>
              <w:t>1. 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rFonts w:hint="eastAsia" w:ascii="宋体" w:hAnsi="宋体"/>
                <w:color w:val="auto"/>
                <w:kern w:val="0"/>
                <w:szCs w:val="21"/>
                <w:highlight w:val="none"/>
              </w:rPr>
              <w:t>不满足上述要求的投标保证金</w:t>
            </w:r>
            <w:r>
              <w:rPr>
                <w:rFonts w:ascii="宋体" w:hAnsi="宋体"/>
                <w:color w:val="auto"/>
                <w:kern w:val="0"/>
                <w:szCs w:val="21"/>
                <w:highlight w:val="none"/>
              </w:rPr>
              <w:t>无效。</w:t>
            </w:r>
          </w:p>
          <w:p w14:paraId="0C254F3B">
            <w:pPr>
              <w:snapToGrid w:val="0"/>
              <w:spacing w:line="400" w:lineRule="exact"/>
              <w:ind w:firstLine="420" w:firstLineChars="200"/>
              <w:rPr>
                <w:color w:val="auto"/>
                <w:highlight w:val="none"/>
              </w:rPr>
            </w:pPr>
            <w:r>
              <w:rPr>
                <w:rFonts w:hint="eastAsia"/>
                <w:color w:val="auto"/>
                <w:highlight w:val="none"/>
              </w:rPr>
              <w:t>投标人自行考虑汇入时间风险，如同城汇入、异地汇入、跨行汇入的时间要求。</w:t>
            </w:r>
          </w:p>
          <w:p w14:paraId="425D54F1">
            <w:pPr>
              <w:snapToGrid w:val="0"/>
              <w:spacing w:line="400" w:lineRule="exact"/>
              <w:ind w:firstLine="420" w:firstLineChars="200"/>
              <w:rPr>
                <w:rFonts w:ascii="宋体" w:hAnsi="宋体" w:cs="宋体"/>
                <w:i/>
                <w:iCs/>
                <w:color w:val="auto"/>
                <w:highlight w:val="none"/>
              </w:rPr>
            </w:pPr>
            <w:r>
              <w:rPr>
                <w:rFonts w:hint="eastAsia"/>
                <w:color w:val="auto"/>
                <w:highlight w:val="none"/>
              </w:rPr>
              <w:t>2. 以转账支票或电汇形式提交投标保证金的金额：</w:t>
            </w:r>
            <w:r>
              <w:rPr>
                <w:rFonts w:hint="eastAsia"/>
                <w:color w:val="auto"/>
                <w:highlight w:val="none"/>
                <w:u w:val="single"/>
                <w:lang w:val="en-US" w:eastAsia="zh-CN"/>
              </w:rPr>
              <w:t>1.6</w:t>
            </w:r>
            <w:r>
              <w:rPr>
                <w:rFonts w:hint="eastAsia"/>
                <w:color w:val="auto"/>
                <w:highlight w:val="none"/>
              </w:rPr>
              <w:t>万元整（人民币）。</w:t>
            </w:r>
          </w:p>
          <w:p w14:paraId="47F740D0">
            <w:pPr>
              <w:snapToGrid w:val="0"/>
              <w:spacing w:line="400" w:lineRule="exact"/>
              <w:ind w:firstLine="420" w:firstLineChars="200"/>
              <w:rPr>
                <w:color w:val="auto"/>
                <w:highlight w:val="none"/>
              </w:rPr>
            </w:pPr>
            <w:r>
              <w:rPr>
                <w:rFonts w:hint="eastAsia"/>
                <w:color w:val="auto"/>
                <w:highlight w:val="none"/>
              </w:rPr>
              <w:t>3. 投标保证金账户及账号：</w:t>
            </w:r>
          </w:p>
          <w:p w14:paraId="3E73FC1B">
            <w:pPr>
              <w:snapToGrid w:val="0"/>
              <w:spacing w:line="400" w:lineRule="exact"/>
              <w:ind w:firstLine="420" w:firstLineChars="200"/>
              <w:rPr>
                <w:rFonts w:hint="eastAsia"/>
                <w:color w:val="auto"/>
                <w:highlight w:val="none"/>
              </w:rPr>
            </w:pPr>
            <w:r>
              <w:rPr>
                <w:rFonts w:hint="eastAsia"/>
                <w:color w:val="auto"/>
                <w:highlight w:val="none"/>
              </w:rPr>
              <w:t>户  名：</w:t>
            </w:r>
            <w:r>
              <w:rPr>
                <w:rFonts w:hint="eastAsia"/>
                <w:color w:val="auto"/>
                <w:highlight w:val="none"/>
                <w:lang w:eastAsia="zh-CN"/>
              </w:rPr>
              <w:t>重庆明月山建设开发有限公司</w:t>
            </w:r>
            <w:r>
              <w:rPr>
                <w:rFonts w:hint="eastAsia"/>
                <w:color w:val="auto"/>
                <w:highlight w:val="none"/>
              </w:rPr>
              <w:t xml:space="preserve"> </w:t>
            </w:r>
          </w:p>
          <w:p w14:paraId="30373C32">
            <w:pPr>
              <w:snapToGrid w:val="0"/>
              <w:spacing w:line="400" w:lineRule="exact"/>
              <w:ind w:firstLine="420" w:firstLineChars="200"/>
              <w:rPr>
                <w:rFonts w:hint="eastAsia" w:eastAsia="宋体"/>
                <w:color w:val="auto"/>
                <w:highlight w:val="none"/>
                <w:lang w:eastAsia="zh-CN"/>
              </w:rPr>
            </w:pPr>
            <w:r>
              <w:rPr>
                <w:rFonts w:hint="eastAsia"/>
                <w:color w:val="auto"/>
                <w:highlight w:val="none"/>
              </w:rPr>
              <w:t>账  号：</w:t>
            </w:r>
            <w:r>
              <w:rPr>
                <w:rFonts w:hint="eastAsia"/>
                <w:color w:val="auto"/>
                <w:highlight w:val="none"/>
                <w:lang w:val="en-US" w:eastAsia="zh-CN"/>
              </w:rPr>
              <w:t xml:space="preserve"> 重庆农村商业银行股份有限公司垫江支行桂财分理处</w:t>
            </w:r>
          </w:p>
          <w:p w14:paraId="2BCB3EDF">
            <w:pPr>
              <w:snapToGrid w:val="0"/>
              <w:spacing w:line="400" w:lineRule="exact"/>
              <w:ind w:firstLine="420" w:firstLineChars="200"/>
              <w:rPr>
                <w:rFonts w:hint="eastAsia" w:eastAsia="宋体"/>
                <w:color w:val="auto"/>
                <w:highlight w:val="none"/>
                <w:lang w:eastAsia="zh-CN"/>
              </w:rPr>
            </w:pPr>
            <w:r>
              <w:rPr>
                <w:rFonts w:hint="eastAsia"/>
                <w:color w:val="auto"/>
                <w:highlight w:val="none"/>
              </w:rPr>
              <w:t>开户行：</w:t>
            </w:r>
            <w:r>
              <w:rPr>
                <w:rFonts w:hint="eastAsia"/>
                <w:color w:val="auto"/>
                <w:highlight w:val="none"/>
                <w:lang w:val="en-US" w:eastAsia="zh-CN"/>
              </w:rPr>
              <w:t xml:space="preserve"> 2512010120010002786</w:t>
            </w:r>
          </w:p>
          <w:p w14:paraId="56CEF22A">
            <w:pPr>
              <w:snapToGrid w:val="0"/>
              <w:spacing w:line="400" w:lineRule="exact"/>
              <w:ind w:firstLine="420" w:firstLineChars="200"/>
              <w:rPr>
                <w:color w:val="auto"/>
                <w:highlight w:val="none"/>
              </w:rPr>
            </w:pPr>
            <w:r>
              <w:rPr>
                <w:rFonts w:hint="eastAsia"/>
                <w:color w:val="auto"/>
                <w:highlight w:val="none"/>
              </w:rPr>
              <w:t>投标人须在投标文件</w:t>
            </w:r>
            <w:r>
              <w:rPr>
                <w:rFonts w:hint="eastAsia" w:ascii="宋体" w:hAnsi="宋体"/>
                <w:color w:val="auto"/>
                <w:kern w:val="0"/>
                <w:szCs w:val="21"/>
                <w:highlight w:val="none"/>
              </w:rPr>
              <w:t>“其他资料”中</w:t>
            </w:r>
            <w:r>
              <w:rPr>
                <w:rFonts w:hint="eastAsia"/>
                <w:color w:val="auto"/>
                <w:highlight w:val="none"/>
              </w:rPr>
              <w:t>提供企业基本账户开户证明文件。</w:t>
            </w:r>
          </w:p>
          <w:p w14:paraId="288E9B38">
            <w:pPr>
              <w:snapToGrid w:val="0"/>
              <w:spacing w:line="400" w:lineRule="exact"/>
              <w:ind w:firstLine="420" w:firstLineChars="200"/>
              <w:rPr>
                <w:color w:val="auto"/>
                <w:highlight w:val="none"/>
                <w:u w:val="single"/>
              </w:rPr>
            </w:pPr>
            <w:r>
              <w:rPr>
                <w:rFonts w:hint="eastAsia"/>
                <w:color w:val="auto"/>
                <w:highlight w:val="none"/>
              </w:rPr>
              <w:t>4. 投标人必须在付款凭证备注栏中注明是“</w:t>
            </w:r>
            <w:r>
              <w:rPr>
                <w:rFonts w:hint="eastAsia"/>
                <w:color w:val="auto"/>
                <w:highlight w:val="none"/>
                <w:u w:val="single"/>
                <w:lang w:eastAsia="zh-CN"/>
              </w:rPr>
              <w:t>宝鼎山建(构)筑物排危整治工程（第二次）</w:t>
            </w:r>
            <w:r>
              <w:rPr>
                <w:rFonts w:hint="eastAsia"/>
                <w:color w:val="auto"/>
                <w:highlight w:val="none"/>
              </w:rPr>
              <w:t>项目投标保证金”。项目名称可简写成：</w:t>
            </w:r>
            <w:r>
              <w:rPr>
                <w:rFonts w:hint="eastAsia"/>
                <w:color w:val="auto"/>
                <w:highlight w:val="none"/>
                <w:u w:val="single"/>
                <w:lang w:eastAsia="zh-CN"/>
              </w:rPr>
              <w:t>宝鼎山整治工程</w:t>
            </w:r>
            <w:r>
              <w:rPr>
                <w:rFonts w:hint="eastAsia"/>
                <w:color w:val="auto"/>
                <w:highlight w:val="none"/>
                <w:u w:val="single"/>
              </w:rPr>
              <w:t xml:space="preserve"> </w:t>
            </w:r>
            <w:r>
              <w:rPr>
                <w:rFonts w:hint="eastAsia"/>
                <w:color w:val="auto"/>
                <w:highlight w:val="none"/>
              </w:rPr>
              <w:t>。</w:t>
            </w:r>
          </w:p>
          <w:p w14:paraId="54AE6D44">
            <w:pPr>
              <w:snapToGrid w:val="0"/>
              <w:spacing w:line="400" w:lineRule="exact"/>
              <w:ind w:firstLine="420" w:firstLineChars="200"/>
              <w:rPr>
                <w:color w:val="auto"/>
                <w:highlight w:val="none"/>
              </w:rPr>
            </w:pPr>
            <w:r>
              <w:rPr>
                <w:rFonts w:hint="eastAsia"/>
                <w:color w:val="auto"/>
                <w:highlight w:val="none"/>
              </w:rPr>
              <w:t>5. 投标保证金有效期与投标有效期一致。</w:t>
            </w:r>
          </w:p>
          <w:p w14:paraId="4D796D30">
            <w:pPr>
              <w:snapToGrid w:val="0"/>
              <w:spacing w:line="400" w:lineRule="exact"/>
              <w:ind w:firstLine="420" w:firstLineChars="200"/>
              <w:rPr>
                <w:color w:val="auto"/>
                <w:highlight w:val="none"/>
              </w:rPr>
            </w:pPr>
            <w:r>
              <w:rPr>
                <w:rFonts w:hint="eastAsia"/>
                <w:color w:val="auto"/>
                <w:highlight w:val="none"/>
              </w:rPr>
              <w:t>二、投标保证金的退还</w:t>
            </w:r>
          </w:p>
          <w:p w14:paraId="5D20CF8D">
            <w:pPr>
              <w:snapToGrid w:val="0"/>
              <w:spacing w:line="400" w:lineRule="exact"/>
              <w:ind w:firstLine="420" w:firstLineChars="200"/>
              <w:jc w:val="left"/>
              <w:rPr>
                <w:rFonts w:hint="eastAsia"/>
                <w:color w:val="auto"/>
                <w:highlight w:val="none"/>
              </w:rPr>
            </w:pPr>
            <w:r>
              <w:rPr>
                <w:rFonts w:hint="eastAsia"/>
                <w:color w:val="auto"/>
                <w:highlight w:val="none"/>
              </w:rPr>
              <w:t>所有参与比选</w:t>
            </w:r>
            <w:r>
              <w:rPr>
                <w:rFonts w:hint="eastAsia"/>
                <w:color w:val="auto"/>
                <w:highlight w:val="none"/>
                <w:lang w:val="en-US" w:eastAsia="zh-CN"/>
              </w:rPr>
              <w:t>投标人</w:t>
            </w:r>
            <w:r>
              <w:rPr>
                <w:rFonts w:hint="eastAsia"/>
                <w:color w:val="auto"/>
                <w:highlight w:val="none"/>
              </w:rPr>
              <w:t>的</w:t>
            </w:r>
            <w:r>
              <w:rPr>
                <w:rFonts w:hint="eastAsia"/>
                <w:color w:val="auto"/>
                <w:highlight w:val="none"/>
                <w:lang w:val="en-US" w:eastAsia="zh-CN"/>
              </w:rPr>
              <w:t>投标</w:t>
            </w:r>
            <w:r>
              <w:rPr>
                <w:rFonts w:hint="eastAsia"/>
                <w:color w:val="auto"/>
                <w:highlight w:val="none"/>
              </w:rPr>
              <w:t>保证金在</w:t>
            </w:r>
            <w:r>
              <w:rPr>
                <w:rFonts w:hint="eastAsia"/>
                <w:color w:val="auto"/>
                <w:highlight w:val="none"/>
                <w:lang w:val="en-US" w:eastAsia="zh-CN"/>
              </w:rPr>
              <w:t>中标人</w:t>
            </w:r>
            <w:r>
              <w:rPr>
                <w:rFonts w:hint="eastAsia"/>
                <w:color w:val="auto"/>
                <w:highlight w:val="none"/>
              </w:rPr>
              <w:t>签订合同后10个工作日内无息退还到</w:t>
            </w:r>
            <w:r>
              <w:rPr>
                <w:rFonts w:hint="eastAsia"/>
                <w:color w:val="auto"/>
                <w:highlight w:val="none"/>
                <w:lang w:val="en-US" w:eastAsia="zh-CN"/>
              </w:rPr>
              <w:t>投标人</w:t>
            </w:r>
            <w:r>
              <w:rPr>
                <w:rFonts w:hint="eastAsia"/>
                <w:color w:val="auto"/>
                <w:highlight w:val="none"/>
              </w:rPr>
              <w:t>交款账户（</w:t>
            </w:r>
            <w:r>
              <w:rPr>
                <w:rFonts w:hint="eastAsia"/>
                <w:color w:val="auto"/>
                <w:highlight w:val="none"/>
                <w:lang w:val="en-US" w:eastAsia="zh-CN"/>
              </w:rPr>
              <w:t>投标人</w:t>
            </w:r>
            <w:r>
              <w:rPr>
                <w:rFonts w:hint="eastAsia"/>
                <w:color w:val="auto"/>
                <w:highlight w:val="none"/>
              </w:rPr>
              <w:t>需提供收据）。</w:t>
            </w:r>
          </w:p>
          <w:p w14:paraId="506431F7">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三</w:t>
            </w:r>
            <w:r>
              <w:rPr>
                <w:rFonts w:ascii="宋体" w:hAnsi="宋体"/>
                <w:color w:val="auto"/>
                <w:kern w:val="0"/>
                <w:szCs w:val="21"/>
                <w:highlight w:val="none"/>
              </w:rPr>
              <w:t>、</w:t>
            </w:r>
            <w:r>
              <w:rPr>
                <w:rFonts w:hint="eastAsia" w:ascii="宋体" w:hAnsi="宋体"/>
                <w:color w:val="auto"/>
                <w:kern w:val="0"/>
                <w:szCs w:val="21"/>
                <w:highlight w:val="none"/>
              </w:rPr>
              <w:t>以纸质投标保函形式交纳投标保证金</w:t>
            </w:r>
          </w:p>
          <w:p w14:paraId="0B131BC7">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纸质投标保函</w:t>
            </w:r>
            <w:r>
              <w:rPr>
                <w:rFonts w:ascii="宋体" w:hAnsi="宋体"/>
                <w:color w:val="auto"/>
                <w:kern w:val="0"/>
                <w:szCs w:val="21"/>
                <w:highlight w:val="none"/>
              </w:rPr>
              <w:t>交纳形式及要求：</w:t>
            </w:r>
          </w:p>
          <w:p w14:paraId="62BE063E">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（1）缴纳形式：</w:t>
            </w:r>
            <w:r>
              <w:rPr>
                <w:rFonts w:hint="eastAsia" w:ascii="宋体" w:hAnsi="宋体"/>
                <w:color w:val="auto"/>
                <w:kern w:val="0"/>
                <w:szCs w:val="21"/>
                <w:highlight w:val="none"/>
                <w:lang w:val="en-US" w:eastAsia="zh-CN"/>
              </w:rPr>
              <w:t>纸质投标保函</w:t>
            </w:r>
            <w:r>
              <w:rPr>
                <w:rFonts w:hint="eastAsia" w:ascii="宋体" w:hAnsi="宋体"/>
                <w:color w:val="auto"/>
                <w:kern w:val="0"/>
                <w:szCs w:val="21"/>
                <w:highlight w:val="none"/>
              </w:rPr>
              <w:t>包括银行保函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保证保险和担保保函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其示范文本详见第八章投标文件格式。投标人提交的纸质投标保函应</w:t>
            </w:r>
            <w:r>
              <w:rPr>
                <w:rFonts w:hint="eastAsia" w:ascii="宋体" w:hAnsi="宋体"/>
                <w:color w:val="auto"/>
                <w:kern w:val="0"/>
                <w:szCs w:val="21"/>
                <w:highlight w:val="none"/>
              </w:rPr>
              <w:t>严格执行</w:t>
            </w:r>
            <w:r>
              <w:rPr>
                <w:rFonts w:hint="eastAsia" w:ascii="宋体" w:hAnsi="宋体"/>
                <w:color w:val="auto"/>
                <w:kern w:val="0"/>
                <w:szCs w:val="21"/>
                <w:highlight w:val="none"/>
                <w:lang w:val="en-US" w:eastAsia="zh-CN"/>
              </w:rPr>
              <w:t>其</w:t>
            </w:r>
            <w:r>
              <w:rPr>
                <w:rFonts w:hint="eastAsia" w:ascii="宋体" w:hAnsi="宋体"/>
                <w:color w:val="auto"/>
                <w:kern w:val="0"/>
                <w:szCs w:val="21"/>
                <w:highlight w:val="none"/>
              </w:rPr>
              <w:t>示范文本，不得对示范文本中的实质性内容进行修改</w:t>
            </w:r>
            <w:r>
              <w:rPr>
                <w:rFonts w:hint="eastAsia" w:ascii="宋体" w:hAnsi="宋体"/>
                <w:color w:val="auto"/>
                <w:kern w:val="0"/>
                <w:szCs w:val="21"/>
                <w:highlight w:val="none"/>
                <w:lang w:eastAsia="zh-CN"/>
              </w:rPr>
              <w:t>。</w:t>
            </w:r>
          </w:p>
          <w:p w14:paraId="1478B379">
            <w:pPr>
              <w:snapToGrid w:val="0"/>
              <w:spacing w:line="400" w:lineRule="exact"/>
              <w:ind w:firstLine="420" w:firstLineChars="200"/>
              <w:rPr>
                <w:rFonts w:hint="eastAsia" w:ascii="宋体" w:hAnsi="宋体"/>
                <w:color w:val="auto"/>
                <w:kern w:val="0"/>
                <w:szCs w:val="21"/>
                <w:highlight w:val="none"/>
                <w:lang w:val="en-US" w:eastAsia="zh-CN"/>
              </w:rPr>
            </w:pPr>
            <w:r>
              <w:rPr>
                <w:rFonts w:ascii="宋体" w:hAnsi="宋体"/>
                <w:color w:val="auto"/>
                <w:kern w:val="0"/>
                <w:szCs w:val="21"/>
                <w:highlight w:val="none"/>
              </w:rPr>
              <w:t>（</w:t>
            </w:r>
            <w:r>
              <w:rPr>
                <w:rFonts w:hint="default" w:ascii="宋体" w:hAnsi="宋体"/>
                <w:color w:val="auto"/>
                <w:kern w:val="0"/>
                <w:szCs w:val="21"/>
                <w:highlight w:val="none"/>
                <w:lang w:val="en-US"/>
              </w:rPr>
              <w:t>2</w:t>
            </w:r>
            <w:r>
              <w:rPr>
                <w:rFonts w:ascii="宋体" w:hAnsi="宋体"/>
                <w:color w:val="auto"/>
                <w:kern w:val="0"/>
                <w:szCs w:val="21"/>
                <w:highlight w:val="none"/>
              </w:rPr>
              <w:t>）具体要求：</w:t>
            </w:r>
            <w:r>
              <w:rPr>
                <w:rFonts w:hint="eastAsia" w:ascii="宋体" w:hAnsi="宋体"/>
                <w:color w:val="auto"/>
                <w:kern w:val="0"/>
                <w:szCs w:val="21"/>
                <w:highlight w:val="none"/>
                <w:lang w:val="en-US" w:eastAsia="zh-CN"/>
              </w:rPr>
              <w:t>纸质投标</w:t>
            </w:r>
            <w:r>
              <w:rPr>
                <w:rFonts w:hint="eastAsia" w:ascii="宋体" w:hAnsi="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纸质投标</w:t>
            </w:r>
            <w:r>
              <w:rPr>
                <w:rFonts w:hint="eastAsia" w:ascii="宋体" w:hAnsi="宋体"/>
                <w:color w:val="auto"/>
                <w:kern w:val="0"/>
                <w:szCs w:val="21"/>
                <w:highlight w:val="none"/>
                <w:lang w:eastAsia="zh-CN"/>
              </w:rPr>
              <w:t>保函应合法合规，符合招投标行政监督部门、行业主管部门和金融监管部门的相关规定，满足招标文件约定要求。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投标人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纸质投标</w:t>
            </w:r>
            <w:r>
              <w:rPr>
                <w:rFonts w:hint="eastAsia" w:ascii="宋体" w:hAnsi="宋体"/>
                <w:color w:val="auto"/>
                <w:kern w:val="0"/>
                <w:szCs w:val="21"/>
                <w:highlight w:val="none"/>
              </w:rPr>
              <w:t>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投标人对所提交的纸质投标保函的真实性、合法性、有效性负责。</w:t>
            </w:r>
          </w:p>
          <w:p w14:paraId="7DBCA9CF">
            <w:pPr>
              <w:snapToGrid w:val="0"/>
              <w:spacing w:line="4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投标人</w:t>
            </w:r>
            <w:r>
              <w:rPr>
                <w:rFonts w:hint="eastAsia" w:ascii="宋体" w:hAnsi="宋体"/>
                <w:color w:val="auto"/>
                <w:kern w:val="0"/>
                <w:szCs w:val="21"/>
                <w:highlight w:val="none"/>
              </w:rPr>
              <w:t>须在投标文件资格审查部分“其他资料”中</w:t>
            </w:r>
            <w:r>
              <w:rPr>
                <w:rFonts w:ascii="宋体" w:hAnsi="宋体"/>
                <w:color w:val="auto"/>
                <w:kern w:val="0"/>
                <w:szCs w:val="21"/>
                <w:highlight w:val="none"/>
              </w:rPr>
              <w:t>提供</w:t>
            </w:r>
            <w:r>
              <w:rPr>
                <w:rFonts w:hint="eastAsia" w:ascii="宋体" w:hAnsi="宋体"/>
                <w:color w:val="auto"/>
                <w:kern w:val="0"/>
                <w:szCs w:val="21"/>
                <w:highlight w:val="none"/>
              </w:rPr>
              <w:t>纸质</w:t>
            </w:r>
            <w:r>
              <w:rPr>
                <w:rFonts w:ascii="宋体" w:hAnsi="宋体"/>
                <w:color w:val="auto"/>
                <w:kern w:val="0"/>
                <w:szCs w:val="21"/>
                <w:highlight w:val="none"/>
              </w:rPr>
              <w:t>投标保函</w:t>
            </w:r>
            <w:r>
              <w:rPr>
                <w:rFonts w:hint="eastAsia" w:ascii="宋体" w:hAnsi="宋体"/>
                <w:color w:val="auto"/>
                <w:kern w:val="0"/>
                <w:szCs w:val="21"/>
                <w:highlight w:val="none"/>
              </w:rPr>
              <w:t>扫描件，纸质</w:t>
            </w:r>
            <w:r>
              <w:rPr>
                <w:rFonts w:ascii="宋体" w:hAnsi="宋体"/>
                <w:color w:val="auto"/>
                <w:kern w:val="0"/>
                <w:szCs w:val="21"/>
                <w:highlight w:val="none"/>
              </w:rPr>
              <w:t>投标保函</w:t>
            </w:r>
            <w:r>
              <w:rPr>
                <w:rFonts w:hint="eastAsia" w:ascii="宋体" w:hAnsi="宋体"/>
                <w:color w:val="auto"/>
                <w:kern w:val="0"/>
                <w:szCs w:val="21"/>
                <w:highlight w:val="none"/>
              </w:rPr>
              <w:t>原件应当于投标截止时间前在开标现场递交招标人保管。</w:t>
            </w:r>
          </w:p>
          <w:p w14:paraId="0213257E">
            <w:pPr>
              <w:snapToGrid w:val="0"/>
              <w:spacing w:line="400" w:lineRule="exact"/>
              <w:ind w:firstLine="420" w:firstLineChars="200"/>
              <w:rPr>
                <w:color w:val="auto"/>
                <w:highlight w:val="none"/>
              </w:rPr>
            </w:pPr>
            <w:r>
              <w:rPr>
                <w:rFonts w:hint="eastAsia"/>
                <w:color w:val="auto"/>
                <w:highlight w:val="none"/>
              </w:rPr>
              <w:t>若投标截止时间延期，则纸质投标保函递交的截止时间和投标截止时间保持一致。</w:t>
            </w:r>
          </w:p>
          <w:p w14:paraId="04BAAF7E">
            <w:pPr>
              <w:snapToGrid w:val="0"/>
              <w:spacing w:line="400" w:lineRule="exact"/>
              <w:ind w:firstLine="420" w:firstLineChars="200"/>
              <w:rPr>
                <w:color w:val="auto"/>
                <w:highlight w:val="none"/>
              </w:rPr>
            </w:pPr>
            <w:r>
              <w:rPr>
                <w:rFonts w:hint="eastAsia" w:ascii="宋体" w:hAnsi="宋体"/>
                <w:color w:val="auto"/>
                <w:kern w:val="0"/>
                <w:szCs w:val="21"/>
                <w:highlight w:val="none"/>
              </w:rPr>
              <w:t>不满足上述要求的纸质</w:t>
            </w:r>
            <w:r>
              <w:rPr>
                <w:rFonts w:ascii="宋体" w:hAnsi="宋体"/>
                <w:color w:val="auto"/>
                <w:kern w:val="0"/>
                <w:szCs w:val="21"/>
                <w:highlight w:val="none"/>
              </w:rPr>
              <w:t>投标保函无效。</w:t>
            </w:r>
          </w:p>
          <w:p w14:paraId="30CF853A">
            <w:pPr>
              <w:numPr>
                <w:ilvl w:val="0"/>
                <w:numId w:val="0"/>
              </w:numPr>
              <w:snapToGrid w:val="0"/>
              <w:spacing w:line="400" w:lineRule="exact"/>
              <w:ind w:firstLine="420" w:firstLineChars="200"/>
              <w:rPr>
                <w:rFonts w:hint="eastAsia" w:eastAsia="宋体"/>
                <w:color w:val="auto"/>
                <w:highlight w:val="none"/>
                <w:lang w:eastAsia="zh-CN"/>
              </w:rPr>
            </w:pPr>
            <w:r>
              <w:rPr>
                <w:rFonts w:hint="eastAsia" w:ascii="Times New Roman" w:hAnsi="Times New Roman" w:eastAsia="宋体" w:cs="Times New Roman"/>
                <w:color w:val="auto"/>
                <w:kern w:val="2"/>
                <w:sz w:val="21"/>
                <w:szCs w:val="24"/>
                <w:highlight w:val="none"/>
                <w:lang w:val="en-US" w:eastAsia="zh-CN" w:bidi="ar-SA"/>
              </w:rPr>
              <w:t>2.</w:t>
            </w:r>
            <w:r>
              <w:rPr>
                <w:rFonts w:hint="eastAsia"/>
                <w:color w:val="auto"/>
                <w:highlight w:val="none"/>
              </w:rPr>
              <w:t>以纸质投标保函形式担保的</w:t>
            </w:r>
            <w:r>
              <w:rPr>
                <w:color w:val="auto"/>
                <w:highlight w:val="none"/>
              </w:rPr>
              <w:t>投标保证金的金额</w:t>
            </w:r>
            <w:r>
              <w:rPr>
                <w:rFonts w:ascii="宋体" w:hAnsi="宋体"/>
                <w:color w:val="auto"/>
                <w:kern w:val="0"/>
                <w:szCs w:val="21"/>
                <w:highlight w:val="none"/>
              </w:rPr>
              <w:t>：</w:t>
            </w:r>
            <w:r>
              <w:rPr>
                <w:rFonts w:hint="eastAsia" w:ascii="宋体" w:hAnsi="宋体"/>
                <w:color w:val="auto"/>
                <w:kern w:val="0"/>
                <w:szCs w:val="21"/>
                <w:highlight w:val="none"/>
                <w:u w:val="single"/>
                <w:lang w:val="en-US" w:eastAsia="zh-CN"/>
              </w:rPr>
              <w:t xml:space="preserve"> 1.6 </w:t>
            </w:r>
            <w:r>
              <w:rPr>
                <w:rFonts w:ascii="宋体" w:hAnsi="宋体"/>
                <w:color w:val="auto"/>
                <w:kern w:val="0"/>
                <w:szCs w:val="21"/>
                <w:highlight w:val="none"/>
              </w:rPr>
              <w:t>万元整（人民币）</w:t>
            </w:r>
            <w:r>
              <w:rPr>
                <w:rFonts w:hint="eastAsia" w:ascii="宋体" w:hAnsi="宋体"/>
                <w:color w:val="auto"/>
                <w:kern w:val="0"/>
                <w:szCs w:val="21"/>
                <w:highlight w:val="none"/>
                <w:lang w:eastAsia="zh-CN"/>
              </w:rPr>
              <w:t>。</w:t>
            </w:r>
          </w:p>
          <w:p w14:paraId="768DB7D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3. </w:t>
            </w:r>
            <w:r>
              <w:rPr>
                <w:rFonts w:ascii="宋体" w:hAnsi="宋体"/>
                <w:color w:val="auto"/>
                <w:kern w:val="0"/>
                <w:szCs w:val="21"/>
                <w:highlight w:val="none"/>
              </w:rPr>
              <w:t>投标人须</w:t>
            </w:r>
            <w:r>
              <w:rPr>
                <w:rFonts w:hint="eastAsia"/>
                <w:color w:val="auto"/>
                <w:highlight w:val="none"/>
              </w:rPr>
              <w:t>在</w:t>
            </w:r>
            <w:r>
              <w:rPr>
                <w:rFonts w:hint="eastAsia" w:ascii="宋体" w:hAnsi="宋体"/>
                <w:color w:val="auto"/>
                <w:kern w:val="0"/>
                <w:szCs w:val="21"/>
                <w:highlight w:val="none"/>
              </w:rPr>
              <w:t>纸质投标保函</w:t>
            </w:r>
            <w:r>
              <w:rPr>
                <w:rFonts w:hint="eastAsia" w:ascii="宋体" w:hAnsi="宋体"/>
                <w:color w:val="auto"/>
                <w:kern w:val="0"/>
                <w:szCs w:val="21"/>
                <w:highlight w:val="none"/>
                <w:lang w:val="en-US" w:eastAsia="zh-CN"/>
              </w:rPr>
              <w:t>中注明</w:t>
            </w:r>
            <w:r>
              <w:rPr>
                <w:rFonts w:hint="eastAsia" w:ascii="宋体" w:hAnsi="宋体"/>
                <w:color w:val="auto"/>
                <w:kern w:val="0"/>
                <w:szCs w:val="21"/>
                <w:highlight w:val="none"/>
              </w:rPr>
              <w:t>在重庆市辖区范围内的核验</w:t>
            </w:r>
            <w:r>
              <w:rPr>
                <w:rFonts w:hint="eastAsia" w:ascii="宋体" w:hAnsi="宋体"/>
                <w:color w:val="auto"/>
                <w:kern w:val="0"/>
                <w:szCs w:val="21"/>
                <w:highlight w:val="none"/>
                <w:lang w:val="en-US" w:eastAsia="zh-CN"/>
              </w:rPr>
              <w:t>地址和核验方式，并</w:t>
            </w:r>
            <w:r>
              <w:rPr>
                <w:rFonts w:hint="eastAsia" w:ascii="宋体" w:hAnsi="宋体"/>
                <w:color w:val="auto"/>
                <w:kern w:val="0"/>
                <w:szCs w:val="21"/>
                <w:highlight w:val="none"/>
              </w:rPr>
              <w:t>确保其递交的纸质</w:t>
            </w:r>
            <w:r>
              <w:rPr>
                <w:rFonts w:ascii="宋体" w:hAnsi="宋体"/>
                <w:color w:val="auto"/>
                <w:kern w:val="0"/>
                <w:szCs w:val="21"/>
                <w:highlight w:val="none"/>
              </w:rPr>
              <w:t>投标保函能在</w:t>
            </w:r>
            <w:r>
              <w:rPr>
                <w:rFonts w:hint="eastAsia" w:ascii="宋体" w:hAnsi="宋体"/>
                <w:color w:val="auto"/>
                <w:kern w:val="0"/>
                <w:szCs w:val="21"/>
                <w:highlight w:val="none"/>
                <w:lang w:val="en-US" w:eastAsia="zh-CN"/>
              </w:rPr>
              <w:t>开立人在渝的总部或者分支机构进行</w:t>
            </w:r>
            <w:r>
              <w:rPr>
                <w:rFonts w:hint="eastAsia" w:ascii="宋体" w:hAnsi="宋体"/>
                <w:color w:val="auto"/>
                <w:kern w:val="0"/>
                <w:szCs w:val="21"/>
                <w:highlight w:val="none"/>
              </w:rPr>
              <w:t>核验。</w:t>
            </w:r>
          </w:p>
          <w:p w14:paraId="428C9B1A">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 投标人在开标现场递交的纸质投标保函原件应与投标文件中提供的纸质投标保函扫描件一致，否则由评标委员会作否决投标处理。</w:t>
            </w:r>
          </w:p>
          <w:p w14:paraId="13BDDCF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 在发出中标通知书前，招标人应当对投标人（至少中标候选人或中标人）</w:t>
            </w:r>
            <w:r>
              <w:rPr>
                <w:rFonts w:hint="eastAsia" w:ascii="宋体" w:hAnsi="宋体"/>
                <w:color w:val="auto"/>
                <w:kern w:val="0"/>
                <w:szCs w:val="21"/>
                <w:highlight w:val="none"/>
                <w:lang w:val="en-US" w:eastAsia="zh-CN"/>
              </w:rPr>
              <w:t>递交</w:t>
            </w:r>
            <w:r>
              <w:rPr>
                <w:rFonts w:hint="eastAsia" w:ascii="宋体" w:hAnsi="宋体"/>
                <w:color w:val="auto"/>
                <w:kern w:val="0"/>
                <w:szCs w:val="21"/>
                <w:highlight w:val="none"/>
              </w:rPr>
              <w:t>的纸质投标保函</w:t>
            </w:r>
            <w:r>
              <w:rPr>
                <w:rFonts w:hint="eastAsia" w:ascii="宋体" w:hAnsi="宋体"/>
                <w:color w:val="auto"/>
                <w:kern w:val="0"/>
                <w:szCs w:val="21"/>
                <w:highlight w:val="none"/>
                <w:lang w:val="en-US" w:eastAsia="zh-CN"/>
              </w:rPr>
              <w:t>的真实性、合法性、有效性进行核验，对核验不合格或无法按纸质投标保函注明的核验地点、核验方式进行核验的，视为投标人未提交纸质投标保函</w:t>
            </w:r>
            <w:r>
              <w:rPr>
                <w:rFonts w:hint="eastAsia" w:ascii="宋体" w:hAnsi="宋体"/>
                <w:color w:val="auto"/>
                <w:kern w:val="0"/>
                <w:szCs w:val="21"/>
                <w:highlight w:val="none"/>
              </w:rPr>
              <w:t>，对</w:t>
            </w:r>
            <w:r>
              <w:rPr>
                <w:rFonts w:hint="eastAsia" w:ascii="宋体" w:hAnsi="宋体"/>
                <w:color w:val="auto"/>
                <w:szCs w:val="21"/>
                <w:highlight w:val="none"/>
              </w:rPr>
              <w:t>已取得中标候选人资格或中标资格的投标人，</w:t>
            </w:r>
            <w:r>
              <w:rPr>
                <w:rFonts w:hint="eastAsia" w:ascii="宋体" w:hAnsi="宋体" w:eastAsia="宋体" w:cs="宋体"/>
                <w:color w:val="auto"/>
                <w:szCs w:val="21"/>
                <w:highlight w:val="none"/>
                <w:lang w:val="en-US" w:eastAsia="zh-CN"/>
              </w:rPr>
              <w:t>按相关规定</w:t>
            </w:r>
            <w:r>
              <w:rPr>
                <w:rFonts w:hint="eastAsia" w:ascii="宋体" w:hAnsi="宋体"/>
                <w:color w:val="auto"/>
                <w:szCs w:val="21"/>
                <w:highlight w:val="none"/>
              </w:rPr>
              <w:t>取消中标候选人资格或中标资格</w:t>
            </w:r>
            <w:r>
              <w:rPr>
                <w:rFonts w:hint="eastAsia" w:ascii="宋体" w:hAnsi="宋体"/>
                <w:color w:val="auto"/>
                <w:kern w:val="0"/>
                <w:szCs w:val="21"/>
                <w:highlight w:val="none"/>
              </w:rPr>
              <w:t>，</w:t>
            </w:r>
            <w:r>
              <w:rPr>
                <w:rFonts w:hint="eastAsia" w:ascii="宋体" w:hAnsi="宋体"/>
                <w:color w:val="auto"/>
                <w:szCs w:val="21"/>
                <w:highlight w:val="none"/>
              </w:rPr>
              <w:t>给招标人造成损失的，投标人依法承担赔偿责任。</w:t>
            </w:r>
            <w:r>
              <w:rPr>
                <w:rFonts w:hint="eastAsia" w:ascii="宋体" w:hAnsi="宋体"/>
                <w:color w:val="auto"/>
                <w:kern w:val="0"/>
                <w:szCs w:val="21"/>
                <w:highlight w:val="none"/>
                <w:lang w:val="en-US" w:eastAsia="zh-CN"/>
              </w:rPr>
              <w:t>投标人提交的纸质投标</w:t>
            </w:r>
            <w:r>
              <w:rPr>
                <w:rFonts w:hint="eastAsia" w:ascii="宋体" w:hAnsi="宋体"/>
                <w:color w:val="auto"/>
                <w:szCs w:val="21"/>
                <w:highlight w:val="none"/>
              </w:rPr>
              <w:t>保函涉及弄虚作假或其他违法违规</w:t>
            </w:r>
            <w:r>
              <w:rPr>
                <w:rFonts w:hint="eastAsia" w:ascii="宋体" w:hAnsi="宋体"/>
                <w:color w:val="auto"/>
                <w:szCs w:val="21"/>
                <w:highlight w:val="none"/>
                <w:lang w:val="en-US" w:eastAsia="zh-CN"/>
              </w:rPr>
              <w:t>情形</w:t>
            </w:r>
            <w:r>
              <w:rPr>
                <w:rFonts w:hint="eastAsia" w:ascii="宋体" w:hAnsi="宋体"/>
                <w:color w:val="auto"/>
                <w:szCs w:val="21"/>
                <w:highlight w:val="none"/>
              </w:rPr>
              <w:t>的，移送相关部门处理</w:t>
            </w:r>
            <w:r>
              <w:rPr>
                <w:rFonts w:ascii="宋体" w:hAnsi="宋体"/>
                <w:color w:val="auto"/>
                <w:kern w:val="0"/>
                <w:szCs w:val="21"/>
                <w:highlight w:val="none"/>
              </w:rPr>
              <w:t>。</w:t>
            </w:r>
          </w:p>
          <w:p w14:paraId="039D1C03">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四</w:t>
            </w:r>
            <w:r>
              <w:rPr>
                <w:rFonts w:ascii="宋体" w:hAnsi="宋体"/>
                <w:color w:val="auto"/>
                <w:kern w:val="0"/>
                <w:szCs w:val="21"/>
                <w:highlight w:val="none"/>
              </w:rPr>
              <w:t>、</w:t>
            </w:r>
            <w:r>
              <w:rPr>
                <w:rFonts w:hint="eastAsia" w:ascii="宋体" w:hAnsi="宋体"/>
                <w:color w:val="auto"/>
                <w:kern w:val="0"/>
                <w:szCs w:val="21"/>
                <w:highlight w:val="none"/>
              </w:rPr>
              <w:t>纸质</w:t>
            </w:r>
            <w:r>
              <w:rPr>
                <w:rFonts w:ascii="宋体" w:hAnsi="宋体"/>
                <w:color w:val="auto"/>
                <w:kern w:val="0"/>
                <w:szCs w:val="21"/>
                <w:highlight w:val="none"/>
              </w:rPr>
              <w:t>投标保函的</w:t>
            </w:r>
            <w:r>
              <w:rPr>
                <w:rFonts w:hint="eastAsia" w:ascii="宋体" w:hAnsi="宋体"/>
                <w:color w:val="auto"/>
                <w:kern w:val="0"/>
                <w:szCs w:val="21"/>
                <w:highlight w:val="none"/>
              </w:rPr>
              <w:t>退还、注销</w:t>
            </w:r>
          </w:p>
          <w:p w14:paraId="4224C094">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招标人应当在法定时间内确定中标人，向中标人发出中标通知书，同时向除中标候选人以外的其他投标人退还</w:t>
            </w:r>
            <w:r>
              <w:rPr>
                <w:rFonts w:hint="eastAsia" w:ascii="宋体" w:hAnsi="宋体"/>
                <w:color w:val="auto"/>
                <w:kern w:val="0"/>
                <w:szCs w:val="21"/>
                <w:highlight w:val="none"/>
              </w:rPr>
              <w:t>纸质</w:t>
            </w:r>
            <w:r>
              <w:rPr>
                <w:rFonts w:ascii="宋体" w:hAnsi="宋体"/>
                <w:color w:val="auto"/>
                <w:kern w:val="0"/>
                <w:szCs w:val="21"/>
                <w:highlight w:val="none"/>
              </w:rPr>
              <w:t>投标保函并书面通知相关</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本项目准予提前注销</w:t>
            </w:r>
            <w:r>
              <w:rPr>
                <w:rFonts w:hint="eastAsia" w:ascii="宋体" w:hAnsi="宋体"/>
                <w:color w:val="auto"/>
                <w:kern w:val="0"/>
                <w:szCs w:val="21"/>
                <w:highlight w:val="none"/>
              </w:rPr>
              <w:t>纸质</w:t>
            </w:r>
            <w:r>
              <w:rPr>
                <w:rFonts w:ascii="宋体" w:hAnsi="宋体"/>
                <w:color w:val="auto"/>
                <w:kern w:val="0"/>
                <w:szCs w:val="21"/>
                <w:highlight w:val="none"/>
              </w:rPr>
              <w:t>投标保函。具体注销事宜由投标人与</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协商。</w:t>
            </w:r>
          </w:p>
          <w:p w14:paraId="1C05F4AD">
            <w:pPr>
              <w:snapToGrid w:val="0"/>
              <w:spacing w:line="400" w:lineRule="exact"/>
              <w:ind w:firstLine="420" w:firstLineChars="200"/>
              <w:jc w:val="left"/>
              <w:rPr>
                <w:rFonts w:hint="default" w:eastAsia="宋体"/>
                <w:lang w:val="en-US" w:eastAsia="zh-CN"/>
              </w:rPr>
            </w:pPr>
            <w:r>
              <w:rPr>
                <w:rFonts w:ascii="宋体" w:hAnsi="宋体"/>
                <w:color w:val="auto"/>
                <w:kern w:val="0"/>
                <w:szCs w:val="21"/>
                <w:highlight w:val="none"/>
              </w:rPr>
              <w:t>招标人应在法定时间内和中标人</w:t>
            </w:r>
            <w:r>
              <w:rPr>
                <w:rFonts w:hint="eastAsia" w:ascii="宋体" w:hAnsi="宋体"/>
                <w:color w:val="auto"/>
                <w:kern w:val="0"/>
                <w:szCs w:val="21"/>
                <w:highlight w:val="none"/>
              </w:rPr>
              <w:t>签订</w:t>
            </w:r>
            <w:r>
              <w:rPr>
                <w:rFonts w:ascii="宋体" w:hAnsi="宋体"/>
                <w:color w:val="auto"/>
                <w:kern w:val="0"/>
                <w:szCs w:val="21"/>
                <w:highlight w:val="none"/>
              </w:rPr>
              <w:t>合同，并同时书面通知相关</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向中标人和其他中标候选人注销</w:t>
            </w:r>
            <w:r>
              <w:rPr>
                <w:rFonts w:hint="eastAsia" w:ascii="宋体" w:hAnsi="宋体"/>
                <w:color w:val="auto"/>
                <w:kern w:val="0"/>
                <w:szCs w:val="21"/>
                <w:highlight w:val="none"/>
              </w:rPr>
              <w:t>纸质</w:t>
            </w:r>
            <w:r>
              <w:rPr>
                <w:rFonts w:ascii="宋体" w:hAnsi="宋体"/>
                <w:color w:val="auto"/>
                <w:kern w:val="0"/>
                <w:szCs w:val="21"/>
                <w:highlight w:val="none"/>
              </w:rPr>
              <w:t>投标保函。具体注销事宜由投标人与</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协商。</w:t>
            </w:r>
          </w:p>
        </w:tc>
      </w:tr>
      <w:tr w14:paraId="30AAB5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C038A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14:paraId="7696ACA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219DFD79">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14:paraId="2BA68233">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7BB3B5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FB854F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57E79D7A">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投标文件格式要求</w:t>
            </w:r>
          </w:p>
        </w:tc>
        <w:tc>
          <w:tcPr>
            <w:tcW w:w="6490" w:type="dxa"/>
            <w:vAlign w:val="center"/>
          </w:tcPr>
          <w:p w14:paraId="4E9C3179">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编制投标文件时不得对第八章“投标文件格式”的相应要素作实质性修改，否则视为重大偏差，由评标委员会作否决投标处理。</w:t>
            </w:r>
          </w:p>
        </w:tc>
      </w:tr>
      <w:tr w14:paraId="359A7D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D148A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3FC2B73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14:paraId="5892EA27">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14:paraId="3DC3FFB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未按上述规定执行的，交由评标委员会作否决投标处理。</w:t>
            </w:r>
          </w:p>
        </w:tc>
      </w:tr>
      <w:tr w14:paraId="37D53B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68D7D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4204F4F8">
            <w:pPr>
              <w:snapToGrid w:val="0"/>
              <w:spacing w:line="400" w:lineRule="exact"/>
              <w:rPr>
                <w:rFonts w:ascii="宋体" w:hAnsi="宋体"/>
                <w:color w:val="auto"/>
                <w:spacing w:val="-6"/>
                <w:kern w:val="0"/>
                <w:szCs w:val="21"/>
                <w:highlight w:val="none"/>
              </w:rPr>
            </w:pPr>
            <w:r>
              <w:rPr>
                <w:rFonts w:ascii="宋体" w:hAnsi="宋体"/>
                <w:color w:val="auto"/>
                <w:spacing w:val="-6"/>
                <w:kern w:val="0"/>
                <w:szCs w:val="21"/>
                <w:highlight w:val="none"/>
              </w:rPr>
              <w:t>投标文件的份数</w:t>
            </w:r>
          </w:p>
        </w:tc>
        <w:tc>
          <w:tcPr>
            <w:tcW w:w="6490" w:type="dxa"/>
            <w:vAlign w:val="center"/>
          </w:tcPr>
          <w:p w14:paraId="218A58AD">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投标文件正本</w:t>
            </w:r>
            <w:r>
              <w:rPr>
                <w:rFonts w:hint="eastAsia" w:ascii="宋体" w:hAnsi="宋体"/>
                <w:color w:val="auto"/>
                <w:kern w:val="0"/>
                <w:szCs w:val="21"/>
                <w:highlight w:val="none"/>
              </w:rPr>
              <w:t>1份、副本2份，电子版形式（光盘）1份。当副本和正本不一致时，以正本为准。否则由评标委员会作否决投标处理。</w:t>
            </w:r>
          </w:p>
          <w:p w14:paraId="45972859">
            <w:pPr>
              <w:autoSpaceDE w:val="0"/>
              <w:autoSpaceDN w:val="0"/>
              <w:adjustRightInd w:val="0"/>
              <w:snapToGrid w:val="0"/>
              <w:spacing w:after="93" w:afterLines="30" w:line="400" w:lineRule="exact"/>
              <w:ind w:firstLine="420" w:firstLineChars="200"/>
              <w:rPr>
                <w:rFonts w:ascii="宋体" w:hAnsi="宋体"/>
                <w:i/>
                <w:color w:val="auto"/>
                <w:kern w:val="0"/>
                <w:szCs w:val="21"/>
                <w:highlight w:val="none"/>
              </w:rPr>
            </w:pPr>
            <w:r>
              <w:rPr>
                <w:rFonts w:hint="eastAsia" w:ascii="宋体" w:hAnsi="宋体"/>
                <w:color w:val="auto"/>
                <w:kern w:val="0"/>
                <w:szCs w:val="21"/>
                <w:highlight w:val="none"/>
              </w:rPr>
              <w:t>电子版形式（光盘）应包含</w:t>
            </w:r>
            <w:r>
              <w:rPr>
                <w:rFonts w:hint="eastAsia" w:ascii="宋体" w:hAnsi="宋体"/>
                <w:color w:val="auto"/>
                <w:kern w:val="0"/>
                <w:szCs w:val="21"/>
                <w:highlight w:val="none"/>
                <w:lang w:val="en-US" w:eastAsia="zh-CN"/>
              </w:rPr>
              <w:t>完整投标文件的扫描件</w:t>
            </w:r>
            <w:r>
              <w:rPr>
                <w:rFonts w:hint="eastAsia" w:ascii="宋体" w:hAnsi="宋体"/>
                <w:color w:val="auto"/>
                <w:kern w:val="0"/>
                <w:szCs w:val="21"/>
                <w:highlight w:val="none"/>
              </w:rPr>
              <w:t>。</w:t>
            </w:r>
          </w:p>
        </w:tc>
      </w:tr>
      <w:tr w14:paraId="10DE19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35" w:type="dxa"/>
            <w:vAlign w:val="center"/>
          </w:tcPr>
          <w:p w14:paraId="5535CF4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3.7.5</w:t>
            </w:r>
          </w:p>
        </w:tc>
        <w:tc>
          <w:tcPr>
            <w:tcW w:w="1644" w:type="dxa"/>
            <w:vAlign w:val="center"/>
          </w:tcPr>
          <w:p w14:paraId="11B2350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编制</w:t>
            </w:r>
            <w:r>
              <w:rPr>
                <w:rFonts w:ascii="宋体" w:hAnsi="宋体"/>
                <w:color w:val="auto"/>
                <w:kern w:val="0"/>
                <w:szCs w:val="21"/>
                <w:highlight w:val="none"/>
              </w:rPr>
              <w:t>要求</w:t>
            </w:r>
          </w:p>
        </w:tc>
        <w:tc>
          <w:tcPr>
            <w:tcW w:w="6490" w:type="dxa"/>
            <w:vAlign w:val="center"/>
          </w:tcPr>
          <w:p w14:paraId="19E7EF3D">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具体要求：</w:t>
            </w:r>
          </w:p>
          <w:p w14:paraId="762C516F">
            <w:pPr>
              <w:adjustRightInd w:val="0"/>
              <w:snapToGrid w:val="0"/>
              <w:spacing w:line="400" w:lineRule="exact"/>
              <w:ind w:firstLine="420" w:firstLineChars="200"/>
              <w:rPr>
                <w:rStyle w:val="60"/>
                <w:color w:val="auto"/>
                <w:highlight w:val="none"/>
              </w:rPr>
            </w:pPr>
            <w:r>
              <w:rPr>
                <w:rFonts w:ascii="宋体" w:hAnsi="宋体"/>
                <w:color w:val="auto"/>
                <w:szCs w:val="21"/>
                <w:highlight w:val="none"/>
              </w:rPr>
              <w:t>应按照第八章规定格式装订成册，</w:t>
            </w:r>
            <w:r>
              <w:rPr>
                <w:rFonts w:hint="eastAsia" w:asciiTheme="minorEastAsia" w:hAnsiTheme="minorEastAsia" w:eastAsiaTheme="minorEastAsia" w:cstheme="minorEastAsia"/>
                <w:color w:val="auto"/>
                <w:szCs w:val="21"/>
                <w:highlight w:val="none"/>
                <w:lang w:val="en-US" w:eastAsia="zh-CN"/>
              </w:rPr>
              <w:t>原则上</w:t>
            </w:r>
            <w:r>
              <w:rPr>
                <w:rFonts w:ascii="宋体" w:hAnsi="宋体"/>
                <w:color w:val="auto"/>
                <w:szCs w:val="21"/>
                <w:highlight w:val="none"/>
              </w:rPr>
              <w:t>应编制目录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但不得将目录编制作为评审因素</w:t>
            </w:r>
            <w:r>
              <w:rPr>
                <w:rFonts w:hint="eastAsia" w:ascii="宋体" w:hAnsi="宋体"/>
                <w:color w:val="auto"/>
                <w:szCs w:val="21"/>
                <w:highlight w:val="none"/>
                <w:lang w:eastAsia="zh-CN"/>
              </w:rPr>
              <w:t>）</w:t>
            </w:r>
            <w:r>
              <w:rPr>
                <w:rFonts w:ascii="宋体" w:hAnsi="宋体"/>
                <w:color w:val="auto"/>
                <w:szCs w:val="21"/>
                <w:highlight w:val="none"/>
              </w:rPr>
              <w:t>，标注页码。</w:t>
            </w:r>
          </w:p>
        </w:tc>
      </w:tr>
      <w:tr w14:paraId="78E739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2BF895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14:paraId="48245F8B">
            <w:pPr>
              <w:snapToGrid w:val="0"/>
              <w:spacing w:line="400" w:lineRule="exact"/>
              <w:jc w:val="center"/>
              <w:rPr>
                <w:rFonts w:ascii="宋体" w:hAnsi="宋体"/>
                <w:color w:val="auto"/>
                <w:spacing w:val="-6"/>
                <w:kern w:val="0"/>
                <w:szCs w:val="21"/>
                <w:highlight w:val="none"/>
              </w:rPr>
            </w:pPr>
            <w:r>
              <w:rPr>
                <w:rFonts w:ascii="宋体" w:hAnsi="宋体"/>
                <w:color w:val="auto"/>
                <w:spacing w:val="-6"/>
                <w:kern w:val="0"/>
                <w:szCs w:val="21"/>
                <w:highlight w:val="none"/>
              </w:rPr>
              <w:t>投标文件的密封</w:t>
            </w:r>
          </w:p>
        </w:tc>
        <w:tc>
          <w:tcPr>
            <w:tcW w:w="6490" w:type="dxa"/>
            <w:vAlign w:val="center"/>
          </w:tcPr>
          <w:p w14:paraId="7A9EA20F">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投标文件袋使用“投标文件”大袋。</w:t>
            </w:r>
          </w:p>
        </w:tc>
      </w:tr>
      <w:tr w14:paraId="3BBE57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7425D2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14:paraId="534684C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封套上写明</w:t>
            </w:r>
          </w:p>
        </w:tc>
        <w:tc>
          <w:tcPr>
            <w:tcW w:w="6490" w:type="dxa"/>
            <w:vAlign w:val="center"/>
          </w:tcPr>
          <w:p w14:paraId="09C73436">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应在</w:t>
            </w:r>
            <w:r>
              <w:rPr>
                <w:rFonts w:ascii="宋体" w:hAnsi="宋体"/>
                <w:color w:val="auto"/>
                <w:szCs w:val="21"/>
                <w:highlight w:val="none"/>
              </w:rPr>
              <w:t xml:space="preserve"> </w:t>
            </w:r>
            <w:r>
              <w:rPr>
                <w:rFonts w:ascii="宋体" w:hAnsi="宋体"/>
                <w:color w:val="auto"/>
                <w:kern w:val="0"/>
                <w:szCs w:val="21"/>
                <w:highlight w:val="none"/>
              </w:rPr>
              <w:t>“投标文件”袋封套上写明如下内容：</w:t>
            </w:r>
          </w:p>
          <w:p w14:paraId="593E3C45">
            <w:pPr>
              <w:snapToGrid w:val="0"/>
              <w:spacing w:line="400" w:lineRule="exact"/>
              <w:ind w:firstLine="420" w:firstLineChars="200"/>
              <w:rPr>
                <w:rFonts w:ascii="宋体" w:hAnsi="宋体"/>
                <w:color w:val="auto"/>
                <w:kern w:val="0"/>
                <w:szCs w:val="21"/>
                <w:highlight w:val="none"/>
                <w:u w:val="single"/>
              </w:rPr>
            </w:pPr>
            <w:r>
              <w:rPr>
                <w:rFonts w:ascii="宋体" w:hAnsi="宋体"/>
                <w:color w:val="auto"/>
                <w:kern w:val="0"/>
                <w:szCs w:val="21"/>
                <w:highlight w:val="none"/>
              </w:rPr>
              <w:t>招标人名称：</w:t>
            </w:r>
            <w:r>
              <w:rPr>
                <w:rFonts w:hint="eastAsia" w:ascii="宋体" w:hAnsi="宋体"/>
                <w:color w:val="auto"/>
                <w:kern w:val="0"/>
                <w:szCs w:val="21"/>
                <w:highlight w:val="none"/>
                <w:u w:val="single"/>
              </w:rPr>
              <w:t xml:space="preserve">            </w:t>
            </w:r>
          </w:p>
          <w:p w14:paraId="7904CE5F">
            <w:pPr>
              <w:snapToGrid w:val="0"/>
              <w:spacing w:line="40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rPr>
              <w:t>投标人名称：</w:t>
            </w:r>
            <w:r>
              <w:rPr>
                <w:rFonts w:hint="eastAsia" w:ascii="宋体" w:hAnsi="宋体"/>
                <w:color w:val="auto"/>
                <w:kern w:val="0"/>
                <w:szCs w:val="21"/>
                <w:highlight w:val="none"/>
                <w:u w:val="single"/>
              </w:rPr>
              <w:t xml:space="preserve">            </w:t>
            </w:r>
          </w:p>
          <w:p w14:paraId="7F9AA765">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u w:val="single"/>
              </w:rPr>
              <w:t xml:space="preserve">                （项目名称）</w:t>
            </w:r>
            <w:r>
              <w:rPr>
                <w:rFonts w:ascii="宋体" w:hAnsi="宋体"/>
                <w:color w:val="auto"/>
                <w:kern w:val="0"/>
                <w:szCs w:val="21"/>
                <w:highlight w:val="none"/>
              </w:rPr>
              <w:t>投标文件</w:t>
            </w:r>
          </w:p>
          <w:p w14:paraId="34AB5154">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14:paraId="144E50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53535C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3D08FEB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递交投标文件地点</w:t>
            </w:r>
          </w:p>
        </w:tc>
        <w:tc>
          <w:tcPr>
            <w:tcW w:w="6490" w:type="dxa"/>
            <w:vAlign w:val="center"/>
          </w:tcPr>
          <w:p w14:paraId="192CB2D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default" w:ascii="宋体" w:hAnsi="宋体"/>
                <w:bCs/>
                <w:color w:val="auto"/>
                <w:szCs w:val="21"/>
                <w:highlight w:val="none"/>
                <w:lang w:val="en-US"/>
              </w:rPr>
            </w:pPr>
            <w:r>
              <w:rPr>
                <w:rFonts w:hint="eastAsia" w:ascii="宋体" w:hAnsi="宋体"/>
                <w:snapToGrid w:val="0"/>
                <w:color w:val="auto"/>
                <w:kern w:val="0"/>
                <w:szCs w:val="21"/>
                <w:highlight w:val="none"/>
                <w:u w:val="single"/>
              </w:rPr>
              <w:t>垫江县县级机关3号综合楼</w:t>
            </w:r>
            <w:r>
              <w:rPr>
                <w:rFonts w:hint="eastAsia" w:ascii="宋体" w:hAnsi="宋体"/>
                <w:snapToGrid w:val="0"/>
                <w:color w:val="auto"/>
                <w:kern w:val="0"/>
                <w:szCs w:val="21"/>
                <w:highlight w:val="none"/>
                <w:u w:val="single"/>
                <w:lang w:eastAsia="zh-CN"/>
              </w:rPr>
              <w:t>重庆明月山建设开发有限公司</w:t>
            </w:r>
            <w:r>
              <w:rPr>
                <w:rFonts w:hint="eastAsia" w:ascii="宋体" w:hAnsi="宋体"/>
                <w:snapToGrid w:val="0"/>
                <w:color w:val="auto"/>
                <w:kern w:val="0"/>
                <w:szCs w:val="21"/>
                <w:highlight w:val="none"/>
                <w:u w:val="single"/>
                <w:lang w:val="en-US" w:eastAsia="zh-CN"/>
              </w:rPr>
              <w:t>601#</w:t>
            </w:r>
          </w:p>
        </w:tc>
      </w:tr>
      <w:tr w14:paraId="4AC38A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302E5D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14:paraId="12616CC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是否退还投标文件</w:t>
            </w:r>
          </w:p>
        </w:tc>
        <w:tc>
          <w:tcPr>
            <w:tcW w:w="6490" w:type="dxa"/>
            <w:vAlign w:val="center"/>
          </w:tcPr>
          <w:p w14:paraId="7EA3479F">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否</w:t>
            </w:r>
          </w:p>
        </w:tc>
      </w:tr>
      <w:tr w14:paraId="3956A8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0A9F4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7088EFF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14:paraId="30066EC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14:paraId="15316B10">
            <w:pPr>
              <w:snapToGrid w:val="0"/>
              <w:spacing w:line="400" w:lineRule="exact"/>
              <w:rPr>
                <w:rFonts w:ascii="宋体" w:hAnsi="宋体"/>
                <w:color w:val="auto"/>
                <w:kern w:val="0"/>
                <w:szCs w:val="21"/>
                <w:highlight w:val="none"/>
              </w:rPr>
            </w:pPr>
            <w:r>
              <w:rPr>
                <w:rFonts w:ascii="宋体" w:hAnsi="宋体"/>
                <w:color w:val="auto"/>
                <w:kern w:val="0"/>
                <w:szCs w:val="21"/>
                <w:highlight w:val="none"/>
              </w:rPr>
              <w:t>开标时间：同投标截止时间</w:t>
            </w:r>
          </w:p>
          <w:p w14:paraId="278F9B7A">
            <w:pPr>
              <w:snapToGrid w:val="0"/>
              <w:spacing w:line="400" w:lineRule="exact"/>
              <w:rPr>
                <w:rFonts w:hint="default" w:ascii="宋体" w:hAnsi="宋体"/>
                <w:bCs/>
                <w:color w:val="auto"/>
                <w:szCs w:val="21"/>
                <w:highlight w:val="none"/>
                <w:lang w:val="en-US"/>
              </w:rPr>
            </w:pPr>
            <w:r>
              <w:rPr>
                <w:rFonts w:ascii="宋体" w:hAnsi="宋体"/>
                <w:color w:val="auto"/>
                <w:kern w:val="0"/>
                <w:szCs w:val="21"/>
                <w:highlight w:val="none"/>
              </w:rPr>
              <w:t>开标地点：</w:t>
            </w:r>
            <w:r>
              <w:rPr>
                <w:rFonts w:hint="eastAsia" w:ascii="宋体" w:hAnsi="宋体"/>
                <w:snapToGrid w:val="0"/>
                <w:color w:val="auto"/>
                <w:kern w:val="0"/>
                <w:szCs w:val="21"/>
                <w:highlight w:val="none"/>
                <w:u w:val="single"/>
              </w:rPr>
              <w:t>垫江县县级机关3号综合楼</w:t>
            </w:r>
            <w:r>
              <w:rPr>
                <w:rFonts w:hint="eastAsia" w:ascii="宋体" w:hAnsi="宋体"/>
                <w:snapToGrid w:val="0"/>
                <w:color w:val="auto"/>
                <w:kern w:val="0"/>
                <w:szCs w:val="21"/>
                <w:highlight w:val="none"/>
                <w:u w:val="single"/>
                <w:lang w:eastAsia="zh-CN"/>
              </w:rPr>
              <w:t>重庆明月山建设开发有限公司</w:t>
            </w:r>
            <w:r>
              <w:rPr>
                <w:rFonts w:hint="eastAsia" w:ascii="宋体" w:hAnsi="宋体"/>
                <w:snapToGrid w:val="0"/>
                <w:color w:val="auto"/>
                <w:kern w:val="0"/>
                <w:szCs w:val="21"/>
                <w:highlight w:val="none"/>
                <w:u w:val="single"/>
                <w:lang w:val="en-US" w:eastAsia="zh-CN"/>
              </w:rPr>
              <w:t>601#</w:t>
            </w:r>
          </w:p>
        </w:tc>
      </w:tr>
      <w:tr w14:paraId="7D5A8B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778C089">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5.2</w:t>
            </w:r>
          </w:p>
        </w:tc>
        <w:tc>
          <w:tcPr>
            <w:tcW w:w="1644" w:type="dxa"/>
            <w:vAlign w:val="center"/>
          </w:tcPr>
          <w:p w14:paraId="5AADD249">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开标程序</w:t>
            </w:r>
          </w:p>
        </w:tc>
        <w:tc>
          <w:tcPr>
            <w:tcW w:w="6490" w:type="dxa"/>
            <w:vAlign w:val="center"/>
          </w:tcPr>
          <w:p w14:paraId="5D941F5D">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主持人按下列程序进行开标：</w:t>
            </w:r>
          </w:p>
          <w:p w14:paraId="4FFA39E1">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 核验参加开标会议的投标人的法定代表人或</w:t>
            </w:r>
            <w:r>
              <w:rPr>
                <w:rFonts w:hint="eastAsia" w:ascii="宋体" w:hAnsi="宋体"/>
                <w:color w:val="auto"/>
                <w:szCs w:val="21"/>
                <w:highlight w:val="none"/>
              </w:rPr>
              <w:t>委托代理人</w:t>
            </w:r>
            <w:r>
              <w:rPr>
                <w:rFonts w:ascii="宋体" w:hAnsi="宋体"/>
                <w:color w:val="auto"/>
                <w:szCs w:val="21"/>
                <w:highlight w:val="none"/>
              </w:rPr>
              <w:t>本人身份证（原件），核验委托代理人的授权委托书</w:t>
            </w:r>
            <w:r>
              <w:rPr>
                <w:rFonts w:hint="eastAsia" w:ascii="宋体" w:hAnsi="宋体"/>
                <w:color w:val="auto"/>
                <w:szCs w:val="21"/>
                <w:highlight w:val="none"/>
              </w:rPr>
              <w:t>、养老保险证明材料复印件</w:t>
            </w:r>
            <w:r>
              <w:rPr>
                <w:rFonts w:ascii="宋体" w:hAnsi="宋体"/>
                <w:color w:val="auto"/>
                <w:szCs w:val="21"/>
                <w:highlight w:val="none"/>
              </w:rPr>
              <w:t>，以确认其身份合法有效；</w:t>
            </w:r>
            <w:r>
              <w:rPr>
                <w:rFonts w:hint="eastAsia" w:ascii="宋体" w:hAnsi="宋体"/>
                <w:color w:val="auto"/>
                <w:szCs w:val="21"/>
                <w:highlight w:val="none"/>
              </w:rPr>
              <w:t>若经核实委托代理人提供资料与实际不符的，不得参加开标会。核验合格的法定代表人或委托代理人可自行选择是否参加开标会，不参加开标会的视为默认开标结果。</w:t>
            </w:r>
          </w:p>
          <w:p w14:paraId="32B5D73B">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宣布开标纪律</w:t>
            </w:r>
            <w:r>
              <w:rPr>
                <w:rFonts w:hint="eastAsia" w:ascii="宋体" w:hAnsi="宋体"/>
                <w:color w:val="auto"/>
                <w:szCs w:val="21"/>
                <w:highlight w:val="none"/>
              </w:rPr>
              <w:t>。</w:t>
            </w:r>
          </w:p>
          <w:p w14:paraId="790A92E3">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 宣布开标人、唱标人、记录人、监标人等有关人员姓名</w:t>
            </w:r>
            <w:r>
              <w:rPr>
                <w:rFonts w:hint="eastAsia" w:ascii="宋体" w:hAnsi="宋体"/>
                <w:color w:val="auto"/>
                <w:szCs w:val="21"/>
                <w:highlight w:val="none"/>
              </w:rPr>
              <w:t>。</w:t>
            </w:r>
          </w:p>
          <w:p w14:paraId="7EEF60C7">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 公布在投标截止时间前递交投标文件的投标人名称</w:t>
            </w:r>
            <w:r>
              <w:rPr>
                <w:rFonts w:hint="eastAsia" w:ascii="宋体" w:hAnsi="宋体"/>
                <w:color w:val="auto"/>
                <w:szCs w:val="21"/>
                <w:highlight w:val="none"/>
              </w:rPr>
              <w:t>。</w:t>
            </w:r>
          </w:p>
          <w:p w14:paraId="31727303">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5. </w:t>
            </w:r>
            <w:r>
              <w:rPr>
                <w:rFonts w:hint="eastAsia" w:ascii="宋体" w:hAnsi="宋体"/>
                <w:color w:val="auto"/>
                <w:szCs w:val="21"/>
                <w:highlight w:val="none"/>
              </w:rPr>
              <w:t>投标文件的密封检查：投标人可对自己的投标文件封装情况进行检查，以确认其投标文件密封完好。</w:t>
            </w:r>
          </w:p>
          <w:p w14:paraId="32C839C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 汇总投标保证金交纳情况</w:t>
            </w:r>
          </w:p>
          <w:p w14:paraId="6F81A0E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6.1 展示以电子转账方式递交投标保证金的保证金交纳情况。</w:t>
            </w:r>
          </w:p>
          <w:p w14:paraId="0BE43C3F">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7. 公布最高限价</w:t>
            </w:r>
            <w:r>
              <w:rPr>
                <w:rFonts w:hint="eastAsia" w:ascii="宋体" w:hAnsi="宋体"/>
                <w:color w:val="auto"/>
                <w:szCs w:val="21"/>
                <w:highlight w:val="none"/>
              </w:rPr>
              <w:t>，采用经评审最低投标价法的还需计算最高限价的85%数值，以便评标委员会评审。</w:t>
            </w:r>
          </w:p>
          <w:p w14:paraId="7912705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逐单位随机开启投标文件。开启投标文件大袋；公布投标人名称、投标报价、质量要求、工期及其他内容并记录在案</w:t>
            </w:r>
            <w:r>
              <w:rPr>
                <w:rFonts w:hint="eastAsia" w:ascii="宋体" w:hAnsi="宋体"/>
                <w:color w:val="auto"/>
                <w:szCs w:val="21"/>
                <w:highlight w:val="none"/>
              </w:rPr>
              <w:t>。</w:t>
            </w:r>
          </w:p>
          <w:p w14:paraId="64C5D556">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 投标人对开标有异议的，应当场提出，由招标人或代理机构当场答复，并记录到开标记录表中。异议处理完毕后，汇总开标情况，打印开标记录表。</w:t>
            </w:r>
          </w:p>
          <w:p w14:paraId="6830E102">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ascii="宋体" w:hAnsi="宋体"/>
                <w:color w:val="auto"/>
                <w:szCs w:val="21"/>
                <w:highlight w:val="none"/>
              </w:rPr>
              <w:t>. 投标人代表、招标人代表、监标人、</w:t>
            </w:r>
            <w:r>
              <w:rPr>
                <w:rFonts w:hint="eastAsia" w:ascii="宋体" w:hAnsi="宋体"/>
                <w:color w:val="auto"/>
                <w:szCs w:val="21"/>
                <w:highlight w:val="none"/>
              </w:rPr>
              <w:t>主持人、</w:t>
            </w:r>
            <w:r>
              <w:rPr>
                <w:rFonts w:ascii="宋体" w:hAnsi="宋体"/>
                <w:color w:val="auto"/>
                <w:szCs w:val="21"/>
                <w:highlight w:val="none"/>
              </w:rPr>
              <w:t>记录人等有关人员在开标记录上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14:paraId="7A339E3C">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ascii="宋体" w:hAnsi="宋体"/>
                <w:color w:val="auto"/>
                <w:szCs w:val="21"/>
                <w:highlight w:val="none"/>
              </w:rPr>
              <w:t>. 开标结束。</w:t>
            </w:r>
          </w:p>
        </w:tc>
      </w:tr>
      <w:tr w14:paraId="629152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DE7F73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677F96D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14:paraId="693BF256">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由招标人按法律法规及相关规定依法组建评标委员会</w:t>
            </w:r>
            <w:r>
              <w:rPr>
                <w:rFonts w:hint="eastAsia" w:ascii="宋体" w:hAnsi="宋体"/>
                <w:color w:val="auto"/>
                <w:kern w:val="0"/>
                <w:szCs w:val="21"/>
                <w:highlight w:val="none"/>
              </w:rPr>
              <w:t>。</w:t>
            </w:r>
          </w:p>
        </w:tc>
      </w:tr>
      <w:tr w14:paraId="00DF0B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42F4EF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14:paraId="179D57FF">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14:paraId="09287AED">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是</w:t>
            </w:r>
          </w:p>
          <w:p w14:paraId="5B8DB66D">
            <w:pPr>
              <w:snapToGrid w:val="0"/>
              <w:spacing w:line="400" w:lineRule="exact"/>
              <w:ind w:firstLine="420" w:firstLineChars="200"/>
              <w:rPr>
                <w:rFonts w:ascii="宋体" w:hAnsi="宋体"/>
                <w:i/>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否，推荐经评审合格的</w:t>
            </w:r>
            <w:r>
              <w:rPr>
                <w:rFonts w:hint="eastAsia" w:ascii="宋体" w:hAnsi="宋体"/>
                <w:color w:val="auto"/>
                <w:kern w:val="0"/>
                <w:szCs w:val="21"/>
                <w:highlight w:val="none"/>
              </w:rPr>
              <w:t>报价</w:t>
            </w:r>
            <w:r>
              <w:rPr>
                <w:rFonts w:ascii="宋体" w:hAnsi="宋体"/>
                <w:color w:val="auto"/>
                <w:kern w:val="0"/>
                <w:szCs w:val="21"/>
                <w:highlight w:val="none"/>
              </w:rPr>
              <w:t>由低到高排名前三名为中标候选人。</w:t>
            </w:r>
          </w:p>
        </w:tc>
      </w:tr>
      <w:tr w14:paraId="60F5CA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5F71F1D">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14:paraId="60257096">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14:paraId="42007013">
            <w:pPr>
              <w:snapToGrid w:val="0"/>
              <w:spacing w:line="400" w:lineRule="exact"/>
              <w:ind w:firstLine="420" w:firstLineChars="200"/>
              <w:rPr>
                <w:rFonts w:ascii="宋体" w:hAnsi="宋体"/>
                <w:color w:val="auto"/>
                <w:kern w:val="0"/>
                <w:szCs w:val="21"/>
                <w:highlight w:val="none"/>
              </w:rPr>
            </w:pPr>
            <w:r>
              <w:rPr>
                <w:rFonts w:hint="eastAsia" w:ascii="宋体" w:hAnsi="宋体" w:cs="宋体"/>
                <w:color w:val="auto"/>
                <w:szCs w:val="21"/>
                <w:highlight w:val="none"/>
              </w:rPr>
              <w:t>招标人在收到评标报告后3日内将评标结果在</w:t>
            </w:r>
            <w:r>
              <w:rPr>
                <w:rFonts w:hint="eastAsia" w:ascii="宋体" w:hAnsi="宋体" w:cs="宋体"/>
                <w:color w:val="auto"/>
                <w:szCs w:val="21"/>
                <w:highlight w:val="none"/>
                <w:u w:val="single"/>
                <w:lang w:eastAsia="zh-CN"/>
              </w:rPr>
              <w:t>垫江县人民政府网</w:t>
            </w:r>
            <w:r>
              <w:rPr>
                <w:rFonts w:hint="eastAsia" w:ascii="宋体" w:hAnsi="宋体" w:cs="宋体"/>
                <w:color w:val="auto"/>
                <w:szCs w:val="21"/>
                <w:highlight w:val="none"/>
              </w:rPr>
              <w:t>上进行公示，公示期为3日。</w:t>
            </w:r>
          </w:p>
        </w:tc>
      </w:tr>
      <w:tr w14:paraId="67A5D8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F6DF4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14:paraId="3DC7F06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p>
        </w:tc>
        <w:tc>
          <w:tcPr>
            <w:tcW w:w="6490" w:type="dxa"/>
            <w:vAlign w:val="center"/>
          </w:tcPr>
          <w:p w14:paraId="522C10D1">
            <w:pPr>
              <w:numPr>
                <w:ilvl w:val="0"/>
                <w:numId w:val="1"/>
              </w:num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中标人是否提供履约担保：</w:t>
            </w:r>
            <w:r>
              <w:rPr>
                <w:rFonts w:hint="eastAsia" w:ascii="宋体" w:hAnsi="宋体"/>
                <w:color w:val="auto"/>
                <w:kern w:val="0"/>
                <w:szCs w:val="21"/>
                <w:highlight w:val="none"/>
                <w:u w:val="single"/>
              </w:rPr>
              <w:t>提供</w:t>
            </w:r>
            <w:r>
              <w:rPr>
                <w:rFonts w:hint="eastAsia" w:ascii="宋体" w:hAnsi="宋体"/>
                <w:color w:val="auto"/>
                <w:kern w:val="0"/>
                <w:szCs w:val="21"/>
                <w:highlight w:val="none"/>
              </w:rPr>
              <w:t>。</w:t>
            </w:r>
          </w:p>
          <w:p w14:paraId="3D8EDFAD">
            <w:pPr>
              <w:numPr>
                <w:ilvl w:val="0"/>
                <w:numId w:val="0"/>
              </w:num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2、中标人提供履约担保的形式、金额及期限：</w:t>
            </w:r>
          </w:p>
          <w:p w14:paraId="4B7D183B">
            <w:pPr>
              <w:snapToGrid w:val="0"/>
              <w:spacing w:line="400" w:lineRule="exact"/>
              <w:ind w:firstLine="420" w:firstLineChars="200"/>
              <w:rPr>
                <w:rFonts w:hint="eastAsia" w:ascii="宋体" w:hAnsi="宋体"/>
                <w:color w:val="auto"/>
                <w:kern w:val="0"/>
                <w:szCs w:val="21"/>
                <w:highlight w:val="none"/>
                <w:lang w:val="en-US" w:eastAsia="zh-CN"/>
              </w:rPr>
            </w:pPr>
            <w:r>
              <w:rPr>
                <w:rFonts w:hint="eastAsia" w:ascii="宋体" w:hAnsi="宋体"/>
                <w:color w:val="auto"/>
                <w:kern w:val="0"/>
                <w:szCs w:val="21"/>
                <w:highlight w:val="none"/>
              </w:rPr>
              <w:t>（1）履约担保的形式：现金或</w:t>
            </w:r>
            <w:r>
              <w:rPr>
                <w:rFonts w:hint="eastAsia" w:ascii="宋体" w:hAnsi="宋体"/>
                <w:color w:val="auto"/>
                <w:kern w:val="0"/>
                <w:szCs w:val="21"/>
                <w:highlight w:val="none"/>
                <w:lang w:val="en-US" w:eastAsia="zh-CN"/>
              </w:rPr>
              <w:t>履约</w:t>
            </w:r>
            <w:r>
              <w:rPr>
                <w:rFonts w:hint="eastAsia" w:ascii="宋体" w:hAnsi="宋体"/>
                <w:color w:val="auto"/>
                <w:kern w:val="0"/>
                <w:szCs w:val="21"/>
                <w:highlight w:val="none"/>
              </w:rPr>
              <w:t>保函或现金+</w:t>
            </w:r>
            <w:r>
              <w:rPr>
                <w:rFonts w:hint="eastAsia" w:ascii="宋体" w:hAnsi="宋体"/>
                <w:color w:val="auto"/>
                <w:kern w:val="0"/>
                <w:szCs w:val="21"/>
                <w:highlight w:val="none"/>
                <w:lang w:val="en-US" w:eastAsia="zh-CN"/>
              </w:rPr>
              <w:t>履约</w:t>
            </w:r>
            <w:r>
              <w:rPr>
                <w:rFonts w:hint="eastAsia" w:ascii="宋体" w:hAnsi="宋体"/>
                <w:color w:val="auto"/>
                <w:kern w:val="0"/>
                <w:szCs w:val="21"/>
                <w:highlight w:val="none"/>
              </w:rPr>
              <w:t>保函的组合</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保函包括银行保函、保证保险和担保保函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其示范文本详见第四章合同条款及格式附件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中标人提交的履约保函应</w:t>
            </w:r>
            <w:r>
              <w:rPr>
                <w:rFonts w:hint="eastAsia" w:ascii="宋体" w:hAnsi="宋体"/>
                <w:color w:val="auto"/>
                <w:kern w:val="0"/>
                <w:szCs w:val="21"/>
                <w:highlight w:val="none"/>
              </w:rPr>
              <w:t>严格执行</w:t>
            </w:r>
            <w:r>
              <w:rPr>
                <w:rFonts w:hint="eastAsia" w:ascii="宋体" w:hAnsi="宋体"/>
                <w:color w:val="auto"/>
                <w:kern w:val="0"/>
                <w:szCs w:val="21"/>
                <w:highlight w:val="none"/>
                <w:lang w:val="en-US" w:eastAsia="zh-CN"/>
              </w:rPr>
              <w:t>其</w:t>
            </w:r>
            <w:r>
              <w:rPr>
                <w:rFonts w:hint="eastAsia" w:ascii="宋体" w:hAnsi="宋体"/>
                <w:color w:val="auto"/>
                <w:kern w:val="0"/>
                <w:szCs w:val="21"/>
                <w:highlight w:val="none"/>
              </w:rPr>
              <w:t>示范文本，不得对示范文本中的实质性内容进行修改</w:t>
            </w:r>
            <w:r>
              <w:rPr>
                <w:rFonts w:hint="eastAsia" w:ascii="宋体" w:hAnsi="宋体"/>
                <w:color w:val="auto"/>
                <w:szCs w:val="21"/>
                <w:highlight w:val="none"/>
                <w:lang w:val="en-US" w:eastAsia="zh-CN"/>
              </w:rPr>
              <w:t>。</w:t>
            </w:r>
          </w:p>
          <w:p w14:paraId="0BA1EF33">
            <w:pPr>
              <w:snapToGrid w:val="0"/>
              <w:spacing w:line="400" w:lineRule="exact"/>
              <w:ind w:firstLine="420" w:firstLineChars="200"/>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（2）具体要求：履约保函</w:t>
            </w:r>
            <w:r>
              <w:rPr>
                <w:rFonts w:hint="eastAsia" w:ascii="宋体" w:hAnsi="宋体"/>
                <w:color w:val="auto"/>
                <w:kern w:val="0"/>
                <w:szCs w:val="21"/>
                <w:highlight w:val="none"/>
              </w:rPr>
              <w:t>的开立人应当是具有相应资格的银行、保险机构、融资担保公司，其信用资质、履约能力、担保能力、赔付流程、安全保密等应符合</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w:t>
            </w:r>
            <w:r>
              <w:rPr>
                <w:rFonts w:hint="eastAsia" w:ascii="宋体" w:hAnsi="宋体"/>
                <w:color w:val="auto"/>
                <w:kern w:val="0"/>
                <w:szCs w:val="21"/>
                <w:highlight w:val="none"/>
                <w:lang w:eastAsia="zh-CN"/>
              </w:rPr>
              <w:t>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中标人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履约保函（包括纸质保函或电子保函）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履约保函为纸质保函的，纸质保函应注明在</w:t>
            </w:r>
            <w:r>
              <w:rPr>
                <w:rFonts w:hint="eastAsia" w:ascii="宋体" w:hAnsi="宋体"/>
                <w:color w:val="auto"/>
                <w:kern w:val="0"/>
                <w:szCs w:val="21"/>
                <w:highlight w:val="none"/>
              </w:rPr>
              <w:t>重庆市辖区范围内的核验地址和核验方式</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并确保该纸质保函能在开立人在渝的总部或者分支机构进行核验</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中标人对所提交的履约保函的真实性、合法性、有效性负责。</w:t>
            </w:r>
          </w:p>
          <w:p w14:paraId="2C996DEA">
            <w:pPr>
              <w:snapToGrid w:val="0"/>
              <w:spacing w:line="400" w:lineRule="exact"/>
              <w:ind w:firstLine="420" w:firstLineChars="200"/>
              <w:rPr>
                <w:rFonts w:hint="eastAsia" w:ascii="宋体" w:hAnsi="宋体"/>
                <w:color w:val="auto"/>
                <w:kern w:val="0"/>
                <w:szCs w:val="21"/>
                <w:highlight w:val="none"/>
                <w:lang w:eastAsia="zh-CN"/>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）履约担保的金额：</w:t>
            </w:r>
            <w:r>
              <w:rPr>
                <w:rFonts w:hint="eastAsia" w:ascii="宋体" w:hAnsi="宋体"/>
                <w:color w:val="auto"/>
                <w:kern w:val="0"/>
                <w:szCs w:val="21"/>
                <w:highlight w:val="none"/>
                <w:u w:val="single"/>
              </w:rPr>
              <w:t xml:space="preserve"> 中标合同金额的</w:t>
            </w:r>
            <w:r>
              <w:rPr>
                <w:rFonts w:hint="eastAsia" w:ascii="宋体" w:hAnsi="宋体"/>
                <w:color w:val="auto"/>
                <w:kern w:val="0"/>
                <w:szCs w:val="21"/>
                <w:highlight w:val="none"/>
                <w:u w:val="single"/>
                <w:lang w:val="en-US" w:eastAsia="zh-CN"/>
              </w:rPr>
              <w:t>10%</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。①红名单优惠：红名单中的中标人履约担保金额为应缴纳金额的</w:t>
            </w:r>
            <w:r>
              <w:rPr>
                <w:rFonts w:hint="eastAsia"/>
                <w:color w:val="auto"/>
                <w:highlight w:val="none"/>
                <w:u w:val="single"/>
              </w:rPr>
              <w:t xml:space="preserve"> </w:t>
            </w:r>
            <w:r>
              <w:rPr>
                <w:rFonts w:hint="eastAsia"/>
                <w:color w:val="auto"/>
                <w:highlight w:val="none"/>
                <w:u w:val="single"/>
                <w:lang w:val="en-US" w:eastAsia="zh-CN"/>
              </w:rPr>
              <w:t>80%</w:t>
            </w:r>
            <w:r>
              <w:rPr>
                <w:rFonts w:hint="eastAsia"/>
                <w:color w:val="auto"/>
                <w:highlight w:val="none"/>
                <w:u w:val="single"/>
              </w:rPr>
              <w:t xml:space="preserve">  </w:t>
            </w:r>
            <w:r>
              <w:rPr>
                <w:rFonts w:hint="eastAsia" w:ascii="宋体" w:hAnsi="宋体"/>
                <w:color w:val="auto"/>
                <w:kern w:val="0"/>
                <w:szCs w:val="21"/>
                <w:highlight w:val="none"/>
                <w:lang w:eastAsia="zh-CN"/>
              </w:rPr>
              <w:t>。</w:t>
            </w:r>
          </w:p>
          <w:p w14:paraId="39333600">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②红名单认定标准：</w:t>
            </w:r>
          </w:p>
          <w:p w14:paraId="4DFBEC5B">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非联合体中标的，须中标人所属红名单类别包含在招标范围内；中标人是否属于红名单，以</w:t>
            </w:r>
            <w:r>
              <w:rPr>
                <w:rFonts w:hint="eastAsia" w:ascii="宋体" w:hAnsi="宋体"/>
                <w:color w:val="auto"/>
                <w:kern w:val="0"/>
                <w:szCs w:val="21"/>
                <w:highlight w:val="none"/>
                <w:u w:val="single"/>
              </w:rPr>
              <w:t>开标环节信用状况查询结果为准</w:t>
            </w:r>
            <w:r>
              <w:rPr>
                <w:rFonts w:hint="eastAsia" w:ascii="宋体" w:hAnsi="宋体"/>
                <w:color w:val="auto"/>
                <w:kern w:val="0"/>
                <w:szCs w:val="21"/>
                <w:highlight w:val="none"/>
              </w:rPr>
              <w:t>为准。</w:t>
            </w:r>
          </w:p>
          <w:p w14:paraId="4044F549">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）履约担保的提交时间：见专用合同条款。</w:t>
            </w:r>
          </w:p>
          <w:p w14:paraId="0C196153">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）履约担保的期限：见专用合同条款。</w:t>
            </w:r>
          </w:p>
          <w:p w14:paraId="6CB960D0">
            <w:pPr>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6</w:t>
            </w:r>
            <w:r>
              <w:rPr>
                <w:rFonts w:hint="eastAsia" w:ascii="宋体" w:hAnsi="宋体"/>
                <w:color w:val="auto"/>
                <w:kern w:val="0"/>
                <w:szCs w:val="21"/>
                <w:highlight w:val="none"/>
              </w:rPr>
              <w:t>）履约担保的退还时间：见专用合同条款。</w:t>
            </w:r>
          </w:p>
        </w:tc>
      </w:tr>
      <w:tr w14:paraId="5BF114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FF00D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7B7AB6A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14:paraId="25F8F150">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1.按投标人须知第8.1（1）执行；</w:t>
            </w:r>
          </w:p>
          <w:p w14:paraId="7F167B03">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2.按投标人须知第8.1（2）执行；</w:t>
            </w:r>
          </w:p>
          <w:p w14:paraId="3153EF54">
            <w:pPr>
              <w:snapToGrid w:val="0"/>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按投标人须知第8.1（3）执行；</w:t>
            </w:r>
          </w:p>
          <w:p w14:paraId="6042FA59">
            <w:pPr>
              <w:snapToGrid w:val="0"/>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按投标人须知第8.1（4）执行</w:t>
            </w:r>
            <w:r>
              <w:rPr>
                <w:rFonts w:hint="eastAsia" w:ascii="宋体" w:hAnsi="宋体"/>
                <w:color w:val="auto"/>
                <w:kern w:val="0"/>
                <w:szCs w:val="21"/>
                <w:highlight w:val="none"/>
              </w:rPr>
              <w:t>。</w:t>
            </w:r>
          </w:p>
          <w:p w14:paraId="34B2F7F0">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注：本款只适用于首次招标。</w:t>
            </w:r>
          </w:p>
        </w:tc>
      </w:tr>
      <w:tr w14:paraId="74FE38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05E47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567EE4F3">
            <w:pPr>
              <w:snapToGrid w:val="0"/>
              <w:spacing w:line="400" w:lineRule="exact"/>
              <w:jc w:val="center"/>
              <w:rPr>
                <w:color w:val="auto"/>
                <w:highlight w:val="none"/>
              </w:rPr>
            </w:pPr>
            <w:bookmarkStart w:id="96" w:name="_Toc13210670"/>
            <w:bookmarkStart w:id="97" w:name="_Toc16930431"/>
            <w:bookmarkStart w:id="98" w:name="_Toc509218709"/>
            <w:bookmarkStart w:id="99" w:name="_Toc430530434"/>
            <w:bookmarkStart w:id="100" w:name="_Toc536628250"/>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96"/>
            <w:bookmarkEnd w:id="97"/>
            <w:bookmarkEnd w:id="98"/>
            <w:bookmarkEnd w:id="99"/>
            <w:bookmarkEnd w:id="100"/>
          </w:p>
        </w:tc>
        <w:tc>
          <w:tcPr>
            <w:tcW w:w="6490" w:type="dxa"/>
            <w:vAlign w:val="center"/>
          </w:tcPr>
          <w:p w14:paraId="499DE77B">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14:paraId="1CDC0B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3E63DF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14:paraId="28A906C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572B5E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DE9E63C">
            <w:pPr>
              <w:snapToGrid w:val="0"/>
              <w:spacing w:line="400" w:lineRule="exact"/>
              <w:jc w:val="center"/>
              <w:rPr>
                <w:rFonts w:hint="eastAsia" w:ascii="宋体" w:hAnsi="宋体" w:eastAsia="宋体"/>
                <w:color w:val="auto"/>
                <w:kern w:val="0"/>
                <w:szCs w:val="21"/>
                <w:highlight w:val="none"/>
                <w:lang w:val="en-US" w:eastAsia="zh-CN"/>
              </w:rPr>
            </w:pPr>
            <w:r>
              <w:rPr>
                <w:rFonts w:ascii="宋体" w:hAnsi="宋体"/>
                <w:color w:val="auto"/>
                <w:kern w:val="0"/>
                <w:szCs w:val="21"/>
                <w:highlight w:val="none"/>
              </w:rPr>
              <w:t>10.</w:t>
            </w:r>
            <w:r>
              <w:rPr>
                <w:rFonts w:hint="eastAsia" w:ascii="宋体" w:hAnsi="宋体"/>
                <w:color w:val="auto"/>
                <w:kern w:val="0"/>
                <w:szCs w:val="21"/>
                <w:highlight w:val="none"/>
                <w:lang w:val="en-US" w:eastAsia="zh-CN"/>
              </w:rPr>
              <w:t>1</w:t>
            </w:r>
          </w:p>
        </w:tc>
        <w:tc>
          <w:tcPr>
            <w:tcW w:w="1644" w:type="dxa"/>
            <w:vAlign w:val="center"/>
          </w:tcPr>
          <w:p w14:paraId="5C19F88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异议、</w:t>
            </w:r>
            <w:r>
              <w:rPr>
                <w:rFonts w:ascii="宋体" w:hAnsi="宋体"/>
                <w:color w:val="auto"/>
                <w:kern w:val="0"/>
                <w:szCs w:val="21"/>
                <w:highlight w:val="none"/>
              </w:rPr>
              <w:t>投诉处理</w:t>
            </w:r>
          </w:p>
        </w:tc>
        <w:tc>
          <w:tcPr>
            <w:tcW w:w="6490" w:type="dxa"/>
            <w:vAlign w:val="center"/>
          </w:tcPr>
          <w:p w14:paraId="7D06891D">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投标人或者其他利害关系人就本项目的</w:t>
            </w:r>
            <w:r>
              <w:rPr>
                <w:rFonts w:hint="eastAsia" w:ascii="宋体" w:hAnsi="宋体"/>
                <w:color w:val="auto"/>
                <w:kern w:val="0"/>
                <w:szCs w:val="21"/>
                <w:highlight w:val="none"/>
                <w:lang w:eastAsia="zh-CN"/>
              </w:rPr>
              <w:t>竞争性比选文件</w:t>
            </w:r>
            <w:r>
              <w:rPr>
                <w:rFonts w:hint="eastAsia" w:ascii="宋体" w:hAnsi="宋体"/>
                <w:color w:val="auto"/>
                <w:kern w:val="0"/>
                <w:szCs w:val="21"/>
                <w:highlight w:val="none"/>
              </w:rPr>
              <w:t>（含澄清修改）、开标情况、</w:t>
            </w:r>
            <w:r>
              <w:rPr>
                <w:rFonts w:ascii="宋体" w:hAnsi="宋体"/>
                <w:color w:val="auto"/>
                <w:kern w:val="0"/>
                <w:szCs w:val="21"/>
                <w:highlight w:val="none"/>
              </w:rPr>
              <w:t>评标结果等事项提出投诉</w:t>
            </w:r>
            <w:r>
              <w:rPr>
                <w:rFonts w:hint="eastAsia" w:ascii="宋体" w:hAnsi="宋体"/>
                <w:color w:val="auto"/>
                <w:kern w:val="0"/>
                <w:szCs w:val="21"/>
                <w:highlight w:val="none"/>
              </w:rPr>
              <w:t>的</w:t>
            </w:r>
            <w:r>
              <w:rPr>
                <w:rFonts w:ascii="宋体" w:hAnsi="宋体"/>
                <w:color w:val="auto"/>
                <w:kern w:val="0"/>
                <w:szCs w:val="21"/>
                <w:highlight w:val="none"/>
              </w:rPr>
              <w:t>，应当先向招标人提出异议；招标人应当在规定时间内答复；对招标人的答复不满意，可向行政监督部门投诉。</w:t>
            </w:r>
          </w:p>
          <w:p w14:paraId="141729A0">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提出异议或投诉时应当包括下列内容：</w:t>
            </w:r>
          </w:p>
          <w:p w14:paraId="7744554A">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（1）异议人或投诉人的名称、地址及有效联系方式；</w:t>
            </w:r>
          </w:p>
          <w:p w14:paraId="5C5E7D45">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（2）被异议人或被投诉人的名称、地址及有效联系方式；</w:t>
            </w:r>
          </w:p>
          <w:p w14:paraId="0E420D0E">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（3）异议或投诉事项的基本事实；</w:t>
            </w:r>
          </w:p>
          <w:p w14:paraId="6BC062B6">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（4）请求及主张；</w:t>
            </w:r>
          </w:p>
          <w:p w14:paraId="4EDDDE61">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（5）涉及事项的证据、证明材料。</w:t>
            </w:r>
          </w:p>
          <w:p w14:paraId="4113A15B">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异议人或投诉人是法人的，异议书或投诉书必须由其法定代表人或者委托代理人签名并加盖单位</w:t>
            </w:r>
            <w:r>
              <w:rPr>
                <w:rFonts w:ascii="宋体" w:hAnsi="宋体"/>
                <w:color w:val="auto"/>
                <w:kern w:val="0"/>
                <w:szCs w:val="21"/>
                <w:highlight w:val="none"/>
              </w:rPr>
              <w:t>公</w:t>
            </w:r>
            <w:r>
              <w:rPr>
                <w:rFonts w:hint="eastAsia" w:ascii="宋体" w:hAnsi="宋体"/>
                <w:color w:val="auto"/>
                <w:kern w:val="0"/>
                <w:szCs w:val="21"/>
                <w:highlight w:val="none"/>
              </w:rPr>
              <w:t>章；异议人或投诉人是其他组织或者自然人的，异议书或投诉书必须由其主要负责人签名或者异议人（或投诉人）本人签名，并附有效身份证明。如有关材料是外文，应当同时提供中文译本。</w:t>
            </w:r>
          </w:p>
          <w:p w14:paraId="227E3212">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ascii="宋体" w:hAnsi="宋体"/>
                <w:color w:val="auto"/>
                <w:kern w:val="0"/>
                <w:szCs w:val="21"/>
                <w:highlight w:val="none"/>
              </w:rPr>
              <w:t>行政监督部门依照《</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招标投标法实施条例》、《重庆市招标投标条例》、《工程建设项目招标投标活动投诉处理办法》（七部委令第11号（根据九部门2013年第23号令修正））、</w:t>
            </w:r>
            <w:r>
              <w:rPr>
                <w:rFonts w:hint="eastAsia" w:asciiTheme="minorEastAsia" w:hAnsiTheme="minorEastAsia" w:eastAsiaTheme="minorEastAsia" w:cstheme="minorEastAsia"/>
                <w:color w:val="auto"/>
                <w:kern w:val="0"/>
                <w:szCs w:val="21"/>
                <w:highlight w:val="none"/>
              </w:rPr>
              <w:t>《关于印发&lt;重庆市招标投标活动投诉处理实施细则（修订）&gt;的通知》（渝公管发〔2021〕54号）</w:t>
            </w:r>
            <w:r>
              <w:rPr>
                <w:rFonts w:ascii="宋体" w:hAnsi="宋体"/>
                <w:color w:val="auto"/>
                <w:kern w:val="0"/>
                <w:szCs w:val="21"/>
                <w:highlight w:val="none"/>
              </w:rPr>
              <w:t>等法律法规文件处理投诉。</w:t>
            </w:r>
          </w:p>
          <w:p w14:paraId="4E01A730">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 根据《重庆市工程建设领域招标投标信用管理暂行办法》的规定，投标人捏造事实、伪造材料，或者以非法手段获取证明材料进行质疑或者投诉的，将被列入黑名单管理；</w:t>
            </w:r>
            <w:r>
              <w:rPr>
                <w:rFonts w:ascii="宋体" w:hAnsi="宋体"/>
                <w:color w:val="auto"/>
                <w:kern w:val="0"/>
                <w:szCs w:val="21"/>
                <w:highlight w:val="none"/>
              </w:rPr>
              <w:t>给他人造成损失的，依法承担赔偿责任。</w:t>
            </w:r>
          </w:p>
          <w:p w14:paraId="02214E0F">
            <w:pPr>
              <w:snapToGrid w:val="0"/>
              <w:spacing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4. 异议受理单位：</w:t>
            </w:r>
            <w:r>
              <w:rPr>
                <w:rFonts w:hint="eastAsia" w:ascii="宋体" w:hAnsi="宋体"/>
                <w:color w:val="auto"/>
                <w:kern w:val="0"/>
                <w:szCs w:val="21"/>
                <w:highlight w:val="none"/>
                <w:lang w:eastAsia="zh-CN"/>
              </w:rPr>
              <w:t>重庆明月山建设开发有限公司</w:t>
            </w:r>
          </w:p>
          <w:p w14:paraId="6D66E3F6">
            <w:pPr>
              <w:snapToGrid w:val="0"/>
              <w:spacing w:line="400" w:lineRule="exact"/>
              <w:ind w:firstLine="420" w:firstLineChars="200"/>
              <w:rPr>
                <w:rFonts w:hint="eastAsia" w:ascii="宋体" w:hAnsi="宋体"/>
                <w:color w:val="auto"/>
                <w:kern w:val="0"/>
                <w:szCs w:val="21"/>
                <w:highlight w:val="none"/>
                <w:lang w:val="en-US" w:eastAsia="zh-CN"/>
              </w:rPr>
            </w:pPr>
            <w:r>
              <w:rPr>
                <w:rFonts w:hint="eastAsia" w:ascii="宋体" w:hAnsi="宋体"/>
                <w:color w:val="auto"/>
                <w:kern w:val="0"/>
                <w:szCs w:val="21"/>
                <w:highlight w:val="none"/>
              </w:rPr>
              <w:t>联系电话：</w:t>
            </w:r>
            <w:r>
              <w:rPr>
                <w:rFonts w:hint="eastAsia" w:ascii="宋体" w:hAnsi="宋体"/>
                <w:color w:val="auto"/>
                <w:kern w:val="0"/>
                <w:szCs w:val="21"/>
                <w:highlight w:val="none"/>
                <w:lang w:val="en-US" w:eastAsia="zh-CN"/>
              </w:rPr>
              <w:t>023-81869659</w:t>
            </w:r>
          </w:p>
          <w:p w14:paraId="17773645">
            <w:pPr>
              <w:snapToGrid w:val="0"/>
              <w:spacing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投诉受理部门：</w:t>
            </w:r>
            <w:r>
              <w:rPr>
                <w:rFonts w:hint="eastAsia" w:ascii="宋体" w:hAnsi="宋体"/>
                <w:color w:val="auto"/>
                <w:kern w:val="0"/>
                <w:szCs w:val="21"/>
                <w:highlight w:val="none"/>
                <w:lang w:eastAsia="zh-CN"/>
              </w:rPr>
              <w:t>重庆明月山建设开发有限公司</w:t>
            </w:r>
          </w:p>
          <w:p w14:paraId="553A12FD">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联系电话：</w:t>
            </w:r>
            <w:r>
              <w:rPr>
                <w:rFonts w:hint="eastAsia" w:ascii="宋体" w:hAnsi="宋体"/>
                <w:color w:val="auto"/>
                <w:kern w:val="0"/>
                <w:szCs w:val="21"/>
                <w:highlight w:val="none"/>
                <w:lang w:val="en-US" w:eastAsia="zh-CN"/>
              </w:rPr>
              <w:t>023-81869659</w:t>
            </w:r>
          </w:p>
        </w:tc>
      </w:tr>
      <w:tr w14:paraId="1EE3A4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DA7094">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2</w:t>
            </w:r>
          </w:p>
        </w:tc>
        <w:tc>
          <w:tcPr>
            <w:tcW w:w="1644" w:type="dxa"/>
            <w:vAlign w:val="center"/>
          </w:tcPr>
          <w:p w14:paraId="1E85C5D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工程量清单</w:t>
            </w:r>
          </w:p>
          <w:p w14:paraId="756C2AE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编制说明</w:t>
            </w:r>
          </w:p>
        </w:tc>
        <w:tc>
          <w:tcPr>
            <w:tcW w:w="6490" w:type="dxa"/>
            <w:vAlign w:val="center"/>
          </w:tcPr>
          <w:p w14:paraId="39F908B4">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w:t>
            </w:r>
          </w:p>
        </w:tc>
      </w:tr>
      <w:tr w14:paraId="0D73B6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2511601">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3</w:t>
            </w:r>
          </w:p>
        </w:tc>
        <w:tc>
          <w:tcPr>
            <w:tcW w:w="1644" w:type="dxa"/>
            <w:vAlign w:val="center"/>
          </w:tcPr>
          <w:p w14:paraId="44C01D1A">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建筑</w:t>
            </w:r>
            <w:r>
              <w:rPr>
                <w:rFonts w:ascii="宋体" w:hAnsi="宋体"/>
                <w:color w:val="auto"/>
                <w:kern w:val="0"/>
                <w:szCs w:val="21"/>
                <w:highlight w:val="none"/>
              </w:rPr>
              <w:t>领域实施农民工工资专用账户相关</w:t>
            </w:r>
            <w:r>
              <w:rPr>
                <w:rFonts w:hint="eastAsia" w:ascii="宋体" w:hAnsi="宋体"/>
                <w:color w:val="auto"/>
                <w:kern w:val="0"/>
                <w:szCs w:val="21"/>
                <w:highlight w:val="none"/>
              </w:rPr>
              <w:t>要求</w:t>
            </w:r>
          </w:p>
        </w:tc>
        <w:tc>
          <w:tcPr>
            <w:tcW w:w="6490" w:type="dxa"/>
            <w:vAlign w:val="center"/>
          </w:tcPr>
          <w:p w14:paraId="4A39A3D0">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本项目在</w:t>
            </w:r>
            <w:r>
              <w:rPr>
                <w:rFonts w:ascii="宋体" w:hAnsi="宋体"/>
                <w:color w:val="auto"/>
                <w:kern w:val="0"/>
                <w:szCs w:val="21"/>
                <w:highlight w:val="none"/>
              </w:rPr>
              <w:t>实施过程中</w:t>
            </w:r>
            <w:r>
              <w:rPr>
                <w:rFonts w:hint="eastAsia" w:ascii="宋体" w:hAnsi="宋体"/>
                <w:color w:val="auto"/>
                <w:kern w:val="0"/>
                <w:szCs w:val="21"/>
                <w:highlight w:val="none"/>
              </w:rPr>
              <w:t>，中标人</w:t>
            </w:r>
            <w:r>
              <w:rPr>
                <w:rFonts w:ascii="宋体" w:hAnsi="宋体"/>
                <w:color w:val="auto"/>
                <w:kern w:val="0"/>
                <w:szCs w:val="21"/>
                <w:highlight w:val="none"/>
              </w:rPr>
              <w:t>必须执行</w:t>
            </w:r>
            <w:r>
              <w:rPr>
                <w:rFonts w:hint="eastAsia" w:ascii="宋体" w:hAnsi="宋体"/>
                <w:color w:val="auto"/>
                <w:kern w:val="0"/>
                <w:szCs w:val="21"/>
                <w:highlight w:val="none"/>
                <w:u w:val="single"/>
              </w:rPr>
              <w:t>《保障农民工工资支付条例》（中华人民共和国国务院令第724号）、《重庆市人民政府办公厅关于全面治理拖欠农民工工资问题的实施意见》（渝府办发〔2016〕101号）、《重庆市</w:t>
            </w:r>
            <w:r>
              <w:rPr>
                <w:rFonts w:ascii="宋体" w:hAnsi="宋体"/>
                <w:color w:val="auto"/>
                <w:kern w:val="0"/>
                <w:szCs w:val="21"/>
                <w:highlight w:val="none"/>
                <w:u w:val="single"/>
              </w:rPr>
              <w:t>城乡建设</w:t>
            </w:r>
            <w:r>
              <w:rPr>
                <w:rFonts w:hint="eastAsia" w:ascii="宋体" w:hAnsi="宋体"/>
                <w:color w:val="auto"/>
                <w:kern w:val="0"/>
                <w:szCs w:val="21"/>
                <w:highlight w:val="none"/>
                <w:u w:val="single"/>
              </w:rPr>
              <w:t>委员会</w:t>
            </w:r>
            <w:r>
              <w:rPr>
                <w:rFonts w:ascii="宋体" w:hAnsi="宋体"/>
                <w:color w:val="auto"/>
                <w:kern w:val="0"/>
                <w:szCs w:val="21"/>
                <w:highlight w:val="none"/>
                <w:u w:val="single"/>
              </w:rPr>
              <w:t>、中国人民银行重庆营业管理部、中国银行业</w:t>
            </w:r>
            <w:r>
              <w:rPr>
                <w:rFonts w:hint="eastAsia" w:ascii="宋体" w:hAnsi="宋体"/>
                <w:color w:val="auto"/>
                <w:kern w:val="0"/>
                <w:szCs w:val="21"/>
                <w:highlight w:val="none"/>
                <w:u w:val="single"/>
              </w:rPr>
              <w:t>监督</w:t>
            </w:r>
            <w:r>
              <w:rPr>
                <w:rFonts w:ascii="宋体" w:hAnsi="宋体"/>
                <w:color w:val="auto"/>
                <w:kern w:val="0"/>
                <w:szCs w:val="21"/>
                <w:highlight w:val="none"/>
                <w:u w:val="single"/>
              </w:rPr>
              <w:t>管理委员会重庆监管局</w:t>
            </w:r>
            <w:r>
              <w:rPr>
                <w:rFonts w:hint="eastAsia" w:ascii="宋体" w:hAnsi="宋体"/>
                <w:color w:val="auto"/>
                <w:kern w:val="0"/>
                <w:szCs w:val="21"/>
                <w:highlight w:val="none"/>
                <w:u w:val="single"/>
              </w:rPr>
              <w:t>关于</w:t>
            </w:r>
            <w:r>
              <w:rPr>
                <w:rFonts w:ascii="宋体" w:hAnsi="宋体"/>
                <w:color w:val="auto"/>
                <w:kern w:val="0"/>
                <w:szCs w:val="21"/>
                <w:highlight w:val="none"/>
                <w:u w:val="single"/>
              </w:rPr>
              <w:t>建筑领域实施农民工工资专用账户管理及银行代发制度（</w:t>
            </w:r>
            <w:r>
              <w:rPr>
                <w:rFonts w:hint="eastAsia" w:ascii="宋体" w:hAnsi="宋体"/>
                <w:color w:val="auto"/>
                <w:kern w:val="0"/>
                <w:szCs w:val="21"/>
                <w:highlight w:val="none"/>
                <w:u w:val="single"/>
              </w:rPr>
              <w:t>试行</w:t>
            </w:r>
            <w:r>
              <w:rPr>
                <w:rFonts w:ascii="宋体" w:hAnsi="宋体"/>
                <w:color w:val="auto"/>
                <w:kern w:val="0"/>
                <w:szCs w:val="21"/>
                <w:highlight w:val="none"/>
                <w:u w:val="single"/>
              </w:rPr>
              <w:t>）</w:t>
            </w:r>
            <w:r>
              <w:rPr>
                <w:rFonts w:hint="eastAsia" w:ascii="宋体" w:hAnsi="宋体"/>
                <w:color w:val="auto"/>
                <w:kern w:val="0"/>
                <w:szCs w:val="21"/>
                <w:highlight w:val="none"/>
                <w:u w:val="single"/>
              </w:rPr>
              <w:t>的</w:t>
            </w:r>
            <w:r>
              <w:rPr>
                <w:rFonts w:ascii="宋体" w:hAnsi="宋体"/>
                <w:color w:val="auto"/>
                <w:kern w:val="0"/>
                <w:szCs w:val="21"/>
                <w:highlight w:val="none"/>
                <w:u w:val="single"/>
              </w:rPr>
              <w:t>通知</w:t>
            </w:r>
            <w:r>
              <w:rPr>
                <w:rFonts w:hint="eastAsia" w:ascii="宋体" w:hAnsi="宋体"/>
                <w:color w:val="auto"/>
                <w:kern w:val="0"/>
                <w:szCs w:val="21"/>
                <w:highlight w:val="none"/>
                <w:u w:val="single"/>
              </w:rPr>
              <w:t>》（渝</w:t>
            </w:r>
            <w:r>
              <w:rPr>
                <w:rFonts w:ascii="宋体" w:hAnsi="宋体"/>
                <w:color w:val="auto"/>
                <w:kern w:val="0"/>
                <w:szCs w:val="21"/>
                <w:highlight w:val="none"/>
                <w:u w:val="single"/>
              </w:rPr>
              <w:t>建发</w:t>
            </w:r>
            <w:r>
              <w:rPr>
                <w:rFonts w:hint="eastAsia" w:ascii="宋体" w:hAnsi="宋体"/>
                <w:color w:val="auto"/>
                <w:kern w:val="0"/>
                <w:szCs w:val="21"/>
                <w:highlight w:val="none"/>
                <w:u w:val="single"/>
              </w:rPr>
              <w:t>〔201</w:t>
            </w:r>
            <w:r>
              <w:rPr>
                <w:rFonts w:ascii="宋体" w:hAnsi="宋体"/>
                <w:color w:val="auto"/>
                <w:kern w:val="0"/>
                <w:szCs w:val="21"/>
                <w:highlight w:val="none"/>
                <w:u w:val="single"/>
              </w:rPr>
              <w:t>7</w:t>
            </w:r>
            <w:r>
              <w:rPr>
                <w:rFonts w:hint="eastAsia" w:ascii="宋体" w:hAnsi="宋体"/>
                <w:color w:val="auto"/>
                <w:kern w:val="0"/>
                <w:szCs w:val="21"/>
                <w:highlight w:val="none"/>
                <w:u w:val="single"/>
              </w:rPr>
              <w:t>〕13号）、《重庆市住房和城乡建设委员会关于优化调整建筑领域农民工工资专用账户管理及工资保证金制度的通知》（渝建发〔2020〕7号 ）、《重庆市住房和城乡建设委员会关于调整市政及机电安装工程农民工工资专用账户人工费拨付比例有关事宜的通知》（渝建管〔2021〕211号 ）及《重庆市建设工程造价管理总站关于建筑领域农民工工资专户管理网络系统正式运行有关事宜的通知》</w:t>
            </w:r>
            <w:r>
              <w:rPr>
                <w:rFonts w:hint="eastAsia" w:ascii="宋体" w:hAnsi="宋体"/>
                <w:color w:val="auto"/>
                <w:kern w:val="0"/>
                <w:szCs w:val="21"/>
                <w:highlight w:val="none"/>
              </w:rPr>
              <w:t>，实行农民工工资专用账户管理及银行代发制度，填报相应的网络管理系统。</w:t>
            </w:r>
          </w:p>
          <w:p w14:paraId="7F8CDAAD">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中标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Pr>
                <w:rFonts w:ascii="宋体" w:hAnsi="宋体"/>
                <w:color w:val="auto"/>
                <w:kern w:val="0"/>
                <w:szCs w:val="21"/>
                <w:highlight w:val="none"/>
              </w:rPr>
              <w:t>。</w:t>
            </w:r>
          </w:p>
        </w:tc>
      </w:tr>
      <w:tr w14:paraId="33789E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A926E75">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4</w:t>
            </w:r>
          </w:p>
        </w:tc>
        <w:tc>
          <w:tcPr>
            <w:tcW w:w="1644" w:type="dxa"/>
            <w:vAlign w:val="center"/>
          </w:tcPr>
          <w:p w14:paraId="3D36462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低价风险担保</w:t>
            </w:r>
          </w:p>
          <w:p w14:paraId="55E84C0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（采用经评审的最低投标价法适用）</w:t>
            </w:r>
          </w:p>
        </w:tc>
        <w:tc>
          <w:tcPr>
            <w:tcW w:w="6490" w:type="dxa"/>
            <w:vAlign w:val="center"/>
          </w:tcPr>
          <w:p w14:paraId="010D7D92">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1、低价风险担保：中标价低于最高限价的85%时提供，如不按时足额提供，视为中标人放弃中标，招标人有权不退还其投标保证金，</w:t>
            </w:r>
            <w:r>
              <w:rPr>
                <w:rFonts w:hint="eastAsia" w:asciiTheme="minorEastAsia" w:hAnsiTheme="minorEastAsia" w:eastAsiaTheme="minorEastAsia" w:cstheme="minorEastAsia"/>
                <w:color w:val="auto"/>
                <w:szCs w:val="21"/>
                <w:highlight w:val="none"/>
              </w:rPr>
              <w:t>并报招标投标行政监督部门按照信用管理办法的规定处理，对中标人的不良行为直接记12分，纳入重点关注名单。</w:t>
            </w:r>
          </w:p>
          <w:p w14:paraId="39F05D5E">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2、中标人提供低价风险担保的形式、金额及期限：</w:t>
            </w:r>
          </w:p>
          <w:p w14:paraId="21B40D29">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（1）低价风险担保的形式：现金或银行保函或现金+银行保函的组合；采用银行保函形式的，保函必须为不可撤销、不可转让且见索即付的独立保函。</w:t>
            </w:r>
          </w:p>
          <w:p w14:paraId="0FC74132">
            <w:pPr>
              <w:autoSpaceDE w:val="0"/>
              <w:autoSpaceDN w:val="0"/>
              <w:adjustRightInd w:val="0"/>
              <w:snapToGrid w:val="0"/>
              <w:spacing w:line="400" w:lineRule="exact"/>
              <w:ind w:firstLine="420" w:firstLineChars="200"/>
              <w:rPr>
                <w:rFonts w:asciiTheme="minorEastAsia" w:hAnsiTheme="minorEastAsia" w:eastAsiaTheme="minorEastAsia" w:cstheme="minorEastAsia"/>
                <w:i/>
                <w:iCs/>
                <w:color w:val="auto"/>
                <w:kern w:val="0"/>
                <w:szCs w:val="21"/>
                <w:highlight w:val="none"/>
              </w:rPr>
            </w:pPr>
            <w:r>
              <w:rPr>
                <w:rFonts w:hint="eastAsia" w:asciiTheme="minorEastAsia" w:hAnsiTheme="minorEastAsia" w:eastAsiaTheme="minorEastAsia" w:cstheme="minorEastAsia"/>
                <w:color w:val="auto"/>
                <w:kern w:val="0"/>
                <w:szCs w:val="21"/>
                <w:highlight w:val="none"/>
              </w:rPr>
              <w:t>（2）低价风险担保的金额：（最高限价×85%-中标价）×3</w:t>
            </w:r>
            <w:r>
              <w:rPr>
                <w:rStyle w:val="60"/>
                <w:rFonts w:hint="eastAsia" w:asciiTheme="minorEastAsia" w:hAnsiTheme="minorEastAsia" w:eastAsiaTheme="minorEastAsia" w:cstheme="minorEastAsia"/>
                <w:color w:val="auto"/>
                <w:highlight w:val="none"/>
              </w:rPr>
              <w:t>，且最高不超过最高限价的85%。</w:t>
            </w:r>
          </w:p>
          <w:p w14:paraId="383D1956">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（3）低价风险担保送达招标人的时间：</w:t>
            </w:r>
            <w:r>
              <w:rPr>
                <w:rFonts w:hint="eastAsia" w:asciiTheme="minorEastAsia" w:hAnsiTheme="minorEastAsia" w:eastAsiaTheme="minorEastAsia" w:cstheme="minorEastAsia"/>
                <w:color w:val="auto"/>
                <w:szCs w:val="21"/>
                <w:highlight w:val="none"/>
              </w:rPr>
              <w:t>从招标人中标通知书送达拟中标人之日起</w:t>
            </w:r>
            <w:r>
              <w:rPr>
                <w:rFonts w:hint="eastAsia" w:asciiTheme="minorEastAsia" w:hAnsiTheme="minorEastAsia" w:eastAsiaTheme="minorEastAsia" w:cstheme="minorEastAsia"/>
                <w:color w:val="auto"/>
                <w:szCs w:val="21"/>
                <w:highlight w:val="none"/>
                <w:u w:val="single"/>
              </w:rPr>
              <w:t>1</w:t>
            </w:r>
            <w:r>
              <w:rPr>
                <w:rFonts w:hint="eastAsia" w:asciiTheme="minorEastAsia" w:hAnsiTheme="minorEastAsia" w:eastAsiaTheme="minorEastAsia" w:cstheme="minorEastAsia"/>
                <w:color w:val="auto"/>
                <w:szCs w:val="21"/>
                <w:highlight w:val="none"/>
                <w:u w:val="single"/>
                <w:lang w:val="en-US" w:eastAsia="zh-CN"/>
              </w:rPr>
              <w:t>5</w:t>
            </w:r>
            <w:r>
              <w:rPr>
                <w:rFonts w:hint="eastAsia" w:asciiTheme="minorEastAsia" w:hAnsiTheme="minorEastAsia" w:eastAsiaTheme="minorEastAsia" w:cstheme="minorEastAsia"/>
                <w:color w:val="auto"/>
                <w:szCs w:val="21"/>
                <w:highlight w:val="none"/>
                <w:u w:val="single"/>
              </w:rPr>
              <w:t>个</w:t>
            </w:r>
            <w:r>
              <w:rPr>
                <w:rFonts w:hint="eastAsia" w:asciiTheme="minorEastAsia" w:hAnsiTheme="minorEastAsia" w:eastAsiaTheme="minorEastAsia" w:cstheme="minorEastAsia"/>
                <w:color w:val="auto"/>
                <w:szCs w:val="21"/>
                <w:highlight w:val="none"/>
              </w:rPr>
              <w:t>工作日内</w:t>
            </w:r>
            <w:r>
              <w:rPr>
                <w:rFonts w:hint="eastAsia" w:asciiTheme="minorEastAsia" w:hAnsiTheme="minorEastAsia" w:eastAsiaTheme="minorEastAsia" w:cstheme="minorEastAsia"/>
                <w:color w:val="auto"/>
                <w:kern w:val="0"/>
                <w:szCs w:val="21"/>
                <w:highlight w:val="none"/>
              </w:rPr>
              <w:t>；</w:t>
            </w:r>
          </w:p>
          <w:p w14:paraId="080F99CA">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（4）中标人因自身原因未按中标通知书规定的时限与招标人签订合同的，招标人有权扣除其低价风险担保并取消中标资格。</w:t>
            </w:r>
          </w:p>
          <w:p w14:paraId="4C3889C6">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（5）低价风险担保的期限：</w:t>
            </w:r>
            <w:r>
              <w:rPr>
                <w:rFonts w:hint="eastAsia" w:asciiTheme="minorEastAsia" w:hAnsiTheme="minorEastAsia" w:eastAsiaTheme="minorEastAsia" w:cstheme="minorEastAsia"/>
                <w:color w:val="auto"/>
                <w:kern w:val="0"/>
                <w:szCs w:val="21"/>
                <w:highlight w:val="none"/>
                <w:u w:val="single"/>
              </w:rPr>
              <w:t>自低价风险担保生效之日起至竣工验收合格之日止</w:t>
            </w:r>
            <w:r>
              <w:rPr>
                <w:rFonts w:hint="eastAsia" w:asciiTheme="minorEastAsia" w:hAnsiTheme="minorEastAsia" w:eastAsiaTheme="minorEastAsia" w:cstheme="minorEastAsia"/>
                <w:color w:val="auto"/>
                <w:kern w:val="0"/>
                <w:szCs w:val="21"/>
                <w:highlight w:val="none"/>
              </w:rPr>
              <w:t>。</w:t>
            </w:r>
          </w:p>
          <w:p w14:paraId="6D4492C3">
            <w:pPr>
              <w:widowControl/>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3、低价风险担保的退还时间：见专用合同条款。</w:t>
            </w:r>
          </w:p>
          <w:p w14:paraId="35155261">
            <w:pPr>
              <w:widowControl/>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4、采用经评审最低投标价法的项目，拟中标人或者中标人放弃中标项目，无正当理由不与招标人签订合同，在签订合同时向招标人提出附加条件或者更改合同实质性内容，或者拒不按照</w:t>
            </w:r>
            <w:r>
              <w:rPr>
                <w:rFonts w:hint="eastAsia" w:asciiTheme="minorEastAsia" w:hAnsiTheme="minorEastAsia" w:eastAsiaTheme="minorEastAsia" w:cstheme="minorEastAsia"/>
                <w:color w:val="auto"/>
                <w:szCs w:val="21"/>
                <w:highlight w:val="none"/>
                <w:lang w:eastAsia="zh-CN"/>
              </w:rPr>
              <w:t>竞争性比选文件</w:t>
            </w:r>
            <w:r>
              <w:rPr>
                <w:rFonts w:hint="eastAsia" w:asciiTheme="minorEastAsia" w:hAnsiTheme="minorEastAsia" w:eastAsiaTheme="minorEastAsia" w:cstheme="minorEastAsia"/>
                <w:color w:val="auto"/>
                <w:szCs w:val="21"/>
                <w:highlight w:val="none"/>
              </w:rPr>
              <w:t>规定提交低价风险担保或履约担保的，取消其中标资格，投标保证金不予退还，给招标人造成的损失超过投标保证金数额的，拟中标人或中标人应对超过部分予以赔偿。</w:t>
            </w:r>
          </w:p>
          <w:p w14:paraId="06163DB9">
            <w:pPr>
              <w:widowControl/>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备注：当中标人或拟中标人未按时提交低价风险担保，且属于可以延长低价风险担保提交期限的特殊情形时，经招标人同意，可适当延长低价风险担保的提交期限。</w:t>
            </w:r>
          </w:p>
          <w:p w14:paraId="11097E63">
            <w:pPr>
              <w:pStyle w:val="2"/>
              <w:widowControl/>
              <w:spacing w:line="400" w:lineRule="exact"/>
              <w:ind w:firstLine="420" w:firstLineChars="200"/>
              <w:rPr>
                <w:rFonts w:ascii="宋体" w:hAnsi="宋体"/>
                <w:color w:val="auto"/>
                <w:kern w:val="0"/>
                <w:szCs w:val="21"/>
                <w:highlight w:val="none"/>
              </w:rPr>
            </w:pPr>
            <w:r>
              <w:rPr>
                <w:rFonts w:hint="eastAsia" w:asciiTheme="minorEastAsia" w:hAnsiTheme="minorEastAsia" w:eastAsiaTheme="minorEastAsia" w:cstheme="minorEastAsia"/>
                <w:color w:val="auto"/>
                <w:szCs w:val="21"/>
                <w:highlight w:val="none"/>
              </w:rPr>
              <w:t>5、投标总报价低于最高限价85%的，投标人应在编制投标文件时，在投标函部分中递交低价风险担保提交承诺书。承诺书格式详见第八章投标文件格式。</w:t>
            </w:r>
          </w:p>
        </w:tc>
      </w:tr>
      <w:tr w14:paraId="066F80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CAD6958">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5</w:t>
            </w:r>
          </w:p>
        </w:tc>
        <w:tc>
          <w:tcPr>
            <w:tcW w:w="1644" w:type="dxa"/>
            <w:vAlign w:val="center"/>
          </w:tcPr>
          <w:p w14:paraId="6E29183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关于对</w:t>
            </w:r>
            <w:r>
              <w:rPr>
                <w:rFonts w:hint="eastAsia" w:ascii="宋体" w:hAnsi="宋体"/>
                <w:color w:val="auto"/>
                <w:kern w:val="0"/>
                <w:szCs w:val="21"/>
                <w:highlight w:val="none"/>
                <w:lang w:eastAsia="zh-CN"/>
              </w:rPr>
              <w:t>竞争性比选文件</w:t>
            </w:r>
            <w:r>
              <w:rPr>
                <w:rFonts w:hint="eastAsia" w:ascii="宋体" w:hAnsi="宋体"/>
                <w:color w:val="auto"/>
                <w:kern w:val="0"/>
                <w:szCs w:val="21"/>
                <w:highlight w:val="none"/>
              </w:rPr>
              <w:t>及投标争议的解释</w:t>
            </w:r>
          </w:p>
        </w:tc>
        <w:tc>
          <w:tcPr>
            <w:tcW w:w="6490" w:type="dxa"/>
            <w:vAlign w:val="center"/>
          </w:tcPr>
          <w:p w14:paraId="43A69B77">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对资格预审文件或者</w:t>
            </w:r>
            <w:r>
              <w:rPr>
                <w:rFonts w:hint="eastAsia" w:ascii="宋体" w:hAnsi="宋体"/>
                <w:color w:val="auto"/>
                <w:kern w:val="0"/>
                <w:szCs w:val="21"/>
                <w:highlight w:val="none"/>
                <w:lang w:eastAsia="zh-CN"/>
              </w:rPr>
              <w:t>竞争性比选文件</w:t>
            </w:r>
            <w:r>
              <w:rPr>
                <w:rFonts w:hint="eastAsia" w:ascii="宋体" w:hAnsi="宋体"/>
                <w:color w:val="auto"/>
                <w:kern w:val="0"/>
                <w:szCs w:val="21"/>
                <w:highlight w:val="none"/>
              </w:rPr>
              <w:t>的评标标准和方法，以及资格审查和否决投标条款理解有争议的，应当作出不利于招标人的解释，但违背国家利益、社会公共利益的除外。</w:t>
            </w:r>
          </w:p>
          <w:p w14:paraId="0852F37F">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对投标文件理解有争议的，应当作出不利于提交该投标文件的投标人的解释。</w:t>
            </w:r>
          </w:p>
        </w:tc>
      </w:tr>
      <w:tr w14:paraId="527D30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DBA408">
            <w:pPr>
              <w:snapToGrid w:val="0"/>
              <w:spacing w:line="400" w:lineRule="exact"/>
              <w:jc w:val="center"/>
              <w:rPr>
                <w:rFonts w:hint="default" w:ascii="宋体" w:hAnsi="宋体" w:eastAsia="宋体"/>
                <w:color w:val="auto"/>
                <w:kern w:val="0"/>
                <w:szCs w:val="21"/>
                <w:highlight w:val="none"/>
                <w:lang w:val="en-US" w:eastAsia="zh-CN"/>
              </w:rPr>
            </w:pPr>
            <w:bookmarkStart w:id="101" w:name="_Toc277082552"/>
            <w:bookmarkStart w:id="102" w:name="_Toc200513126"/>
            <w:bookmarkStart w:id="103" w:name="_Toc430530435"/>
            <w:bookmarkStart w:id="104" w:name="_Toc287607746"/>
            <w:bookmarkStart w:id="105" w:name="_Toc287620685"/>
            <w:bookmarkStart w:id="106" w:name="_Toc224103317"/>
            <w:r>
              <w:rPr>
                <w:rFonts w:hint="eastAsia" w:ascii="宋体" w:hAnsi="宋体"/>
                <w:color w:val="auto"/>
                <w:kern w:val="0"/>
                <w:szCs w:val="21"/>
                <w:highlight w:val="none"/>
                <w:lang w:val="en-US" w:eastAsia="zh-CN"/>
              </w:rPr>
              <w:t>10.6</w:t>
            </w:r>
          </w:p>
        </w:tc>
        <w:tc>
          <w:tcPr>
            <w:tcW w:w="1644" w:type="dxa"/>
            <w:vAlign w:val="center"/>
          </w:tcPr>
          <w:p w14:paraId="63F1A811">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其他</w:t>
            </w:r>
          </w:p>
        </w:tc>
        <w:tc>
          <w:tcPr>
            <w:tcW w:w="6490" w:type="dxa"/>
            <w:vAlign w:val="center"/>
          </w:tcPr>
          <w:p w14:paraId="40165298">
            <w:pPr>
              <w:autoSpaceDE w:val="0"/>
              <w:autoSpaceDN w:val="0"/>
              <w:adjustRightInd w:val="0"/>
              <w:snapToGrid w:val="0"/>
              <w:spacing w:line="400" w:lineRule="exact"/>
              <w:ind w:firstLine="420" w:firstLineChars="200"/>
              <w:rPr>
                <w:rFonts w:hint="default" w:ascii="宋体" w:hAnsi="宋体" w:eastAsia="宋体"/>
                <w:color w:val="auto"/>
                <w:kern w:val="0"/>
                <w:szCs w:val="21"/>
                <w:highlight w:val="none"/>
                <w:lang w:val="en-US" w:eastAsia="zh-CN"/>
              </w:rPr>
            </w:pPr>
            <w:r>
              <w:rPr>
                <w:rFonts w:hint="default" w:ascii="宋体" w:hAnsi="宋体" w:eastAsia="宋体"/>
                <w:color w:val="auto"/>
                <w:kern w:val="0"/>
                <w:szCs w:val="21"/>
                <w:highlight w:val="none"/>
                <w:lang w:val="en-US" w:eastAsia="zh-CN"/>
              </w:rPr>
              <w:t>(1)招标代理服务费：</w:t>
            </w:r>
            <w:r>
              <w:rPr>
                <w:rFonts w:hint="eastAsia" w:ascii="宋体" w:hAnsi="宋体"/>
                <w:color w:val="auto"/>
                <w:kern w:val="0"/>
                <w:szCs w:val="21"/>
                <w:highlight w:val="none"/>
                <w:lang w:val="en-US" w:eastAsia="zh-CN"/>
              </w:rPr>
              <w:t>6000</w:t>
            </w:r>
            <w:r>
              <w:rPr>
                <w:rFonts w:hint="default" w:ascii="宋体" w:hAnsi="宋体" w:eastAsia="宋体"/>
                <w:color w:val="auto"/>
                <w:kern w:val="0"/>
                <w:szCs w:val="21"/>
                <w:highlight w:val="none"/>
                <w:lang w:val="en-US" w:eastAsia="zh-CN"/>
              </w:rPr>
              <w:t>元包干，由中标人承担，各投标人在报价时应将此费用考虑进项目成本，但不单列；中标后不得以任何理由要求招标人分担或承担此部分费用。招标代理服务费缴纳方式与支付：中标人在领取中标通知书前以一次性将招标代理服务费交纳至招标代理机构。</w:t>
            </w:r>
          </w:p>
          <w:p w14:paraId="336028F4">
            <w:pPr>
              <w:autoSpaceDE w:val="0"/>
              <w:autoSpaceDN w:val="0"/>
              <w:adjustRightInd w:val="0"/>
              <w:snapToGrid w:val="0"/>
              <w:spacing w:line="400" w:lineRule="exact"/>
              <w:ind w:firstLine="420" w:firstLineChars="200"/>
              <w:rPr>
                <w:rFonts w:hint="default" w:ascii="宋体" w:hAnsi="宋体" w:eastAsia="宋体"/>
                <w:color w:val="auto"/>
                <w:kern w:val="0"/>
                <w:szCs w:val="21"/>
                <w:highlight w:val="none"/>
                <w:lang w:val="en-US" w:eastAsia="zh-CN"/>
              </w:rPr>
            </w:pPr>
            <w:r>
              <w:rPr>
                <w:rFonts w:hint="default" w:ascii="宋体" w:hAnsi="宋体" w:eastAsia="宋体"/>
                <w:color w:val="auto"/>
                <w:kern w:val="0"/>
                <w:szCs w:val="21"/>
                <w:highlight w:val="none"/>
                <w:lang w:val="en-US" w:eastAsia="zh-CN"/>
              </w:rPr>
              <w:t>（</w:t>
            </w:r>
            <w:r>
              <w:rPr>
                <w:rFonts w:hint="eastAsia" w:ascii="宋体" w:hAnsi="宋体"/>
                <w:color w:val="auto"/>
                <w:kern w:val="0"/>
                <w:szCs w:val="21"/>
                <w:highlight w:val="none"/>
                <w:lang w:val="en-US" w:eastAsia="zh-CN"/>
              </w:rPr>
              <w:t>2</w:t>
            </w:r>
            <w:r>
              <w:rPr>
                <w:rFonts w:hint="default" w:ascii="宋体" w:hAnsi="宋体" w:eastAsia="宋体"/>
                <w:color w:val="auto"/>
                <w:kern w:val="0"/>
                <w:szCs w:val="21"/>
                <w:highlight w:val="none"/>
                <w:lang w:val="en-US" w:eastAsia="zh-CN"/>
              </w:rPr>
              <w:t>）验收方式：</w:t>
            </w:r>
          </w:p>
          <w:p w14:paraId="3228A0C2">
            <w:pPr>
              <w:autoSpaceDE w:val="0"/>
              <w:autoSpaceDN w:val="0"/>
              <w:adjustRightInd w:val="0"/>
              <w:snapToGrid w:val="0"/>
              <w:spacing w:line="400" w:lineRule="exact"/>
              <w:ind w:firstLine="420" w:firstLineChars="200"/>
              <w:rPr>
                <w:rFonts w:hint="default" w:ascii="宋体" w:hAnsi="宋体" w:eastAsia="宋体"/>
                <w:color w:val="auto"/>
                <w:kern w:val="0"/>
                <w:szCs w:val="21"/>
                <w:highlight w:val="none"/>
                <w:lang w:val="en-US" w:eastAsia="zh-CN"/>
              </w:rPr>
            </w:pPr>
            <w:r>
              <w:rPr>
                <w:rFonts w:hint="default" w:ascii="宋体" w:hAnsi="宋体" w:eastAsia="宋体"/>
                <w:color w:val="auto"/>
                <w:kern w:val="0"/>
                <w:szCs w:val="21"/>
                <w:highlight w:val="none"/>
                <w:lang w:val="en-US" w:eastAsia="zh-CN"/>
              </w:rPr>
              <w:t>①投标人按国家现行施工及验收规范、评定标准、设计变更洽商单等组织施工，经招标人检验，达到交工验收条件为准；</w:t>
            </w:r>
          </w:p>
          <w:p w14:paraId="70D06E4D">
            <w:pPr>
              <w:autoSpaceDE w:val="0"/>
              <w:autoSpaceDN w:val="0"/>
              <w:adjustRightInd w:val="0"/>
              <w:snapToGrid w:val="0"/>
              <w:spacing w:line="400" w:lineRule="exact"/>
              <w:ind w:firstLine="420" w:firstLineChars="200"/>
              <w:rPr>
                <w:rFonts w:hint="default" w:ascii="宋体" w:hAnsi="宋体" w:eastAsia="宋体"/>
                <w:color w:val="auto"/>
                <w:kern w:val="0"/>
                <w:szCs w:val="21"/>
                <w:highlight w:val="none"/>
                <w:lang w:val="en-US" w:eastAsia="zh-CN"/>
              </w:rPr>
            </w:pPr>
            <w:r>
              <w:rPr>
                <w:rFonts w:hint="default" w:ascii="宋体" w:hAnsi="宋体" w:eastAsia="宋体"/>
                <w:color w:val="auto"/>
                <w:kern w:val="0"/>
                <w:szCs w:val="21"/>
                <w:highlight w:val="none"/>
                <w:lang w:val="en-US" w:eastAsia="zh-CN"/>
              </w:rPr>
              <w:t>②投标人必须严格按照施工图纸、交底记录和招标人要求组织施工。未经招标人有关人员的书面通知，不得自行变更施工工序、质量标准、设计要求或自行进行材料代换。</w:t>
            </w:r>
          </w:p>
        </w:tc>
      </w:tr>
    </w:tbl>
    <w:p w14:paraId="5AA34E77">
      <w:pPr>
        <w:pStyle w:val="4"/>
        <w:spacing w:before="0" w:after="0" w:line="20" w:lineRule="exact"/>
        <w:rPr>
          <w:rFonts w:ascii="宋体" w:hAnsi="宋体"/>
          <w:b w:val="0"/>
          <w:snapToGrid w:val="0"/>
          <w:color w:val="auto"/>
          <w:highlight w:val="none"/>
        </w:rPr>
      </w:pPr>
    </w:p>
    <w:p w14:paraId="319E106E">
      <w:pPr>
        <w:pStyle w:val="4"/>
        <w:spacing w:before="0" w:after="0" w:line="200" w:lineRule="exact"/>
        <w:rPr>
          <w:rFonts w:ascii="宋体" w:hAnsi="宋体"/>
          <w:b w:val="0"/>
          <w:snapToGrid w:val="0"/>
          <w:color w:val="auto"/>
          <w:highlight w:val="none"/>
        </w:rPr>
      </w:pPr>
      <w:r>
        <w:rPr>
          <w:rFonts w:ascii="宋体" w:hAnsi="宋体"/>
          <w:b w:val="0"/>
          <w:snapToGrid w:val="0"/>
          <w:color w:val="auto"/>
          <w:highlight w:val="none"/>
        </w:rPr>
        <w:br w:type="page"/>
      </w:r>
    </w:p>
    <w:bookmarkEnd w:id="101"/>
    <w:bookmarkEnd w:id="102"/>
    <w:bookmarkEnd w:id="103"/>
    <w:bookmarkEnd w:id="104"/>
    <w:bookmarkEnd w:id="105"/>
    <w:bookmarkEnd w:id="106"/>
    <w:p w14:paraId="1B9546CB">
      <w:pPr>
        <w:pStyle w:val="4"/>
        <w:spacing w:before="0" w:after="0" w:line="360" w:lineRule="auto"/>
        <w:rPr>
          <w:rFonts w:ascii="宋体" w:hAnsi="宋体"/>
          <w:b w:val="0"/>
          <w:snapToGrid w:val="0"/>
          <w:color w:val="auto"/>
          <w:highlight w:val="none"/>
        </w:rPr>
      </w:pPr>
      <w:bookmarkStart w:id="107" w:name="_Toc31566"/>
      <w:bookmarkStart w:id="108" w:name="_Toc30429"/>
      <w:bookmarkStart w:id="109" w:name="_Toc509218710"/>
      <w:r>
        <w:rPr>
          <w:rFonts w:ascii="宋体" w:hAnsi="宋体"/>
          <w:b w:val="0"/>
          <w:snapToGrid w:val="0"/>
          <w:color w:val="auto"/>
          <w:highlight w:val="none"/>
        </w:rPr>
        <w:t>1.  总则</w:t>
      </w:r>
      <w:bookmarkEnd w:id="107"/>
      <w:bookmarkEnd w:id="108"/>
      <w:bookmarkEnd w:id="109"/>
    </w:p>
    <w:p w14:paraId="0B664DD8">
      <w:pPr>
        <w:pStyle w:val="5"/>
        <w:snapToGrid w:val="0"/>
        <w:spacing w:before="0" w:after="0" w:line="360" w:lineRule="auto"/>
        <w:rPr>
          <w:rFonts w:ascii="宋体" w:hAnsi="宋体"/>
          <w:b w:val="0"/>
          <w:snapToGrid w:val="0"/>
          <w:color w:val="auto"/>
          <w:sz w:val="24"/>
          <w:szCs w:val="24"/>
          <w:highlight w:val="none"/>
        </w:rPr>
      </w:pPr>
      <w:bookmarkStart w:id="110" w:name="_Toc287607747"/>
      <w:bookmarkStart w:id="111" w:name="_Toc13944"/>
      <w:bookmarkStart w:id="112" w:name="_Toc224103318"/>
      <w:bookmarkStart w:id="113" w:name="_Toc200513127"/>
      <w:bookmarkStart w:id="114" w:name="_Toc177"/>
      <w:bookmarkStart w:id="115" w:name="_Toc430530436"/>
      <w:bookmarkStart w:id="116" w:name="_Toc509218711"/>
      <w:bookmarkStart w:id="117" w:name="_Toc287620686"/>
      <w:bookmarkStart w:id="118" w:name="_Toc277082553"/>
      <w:r>
        <w:rPr>
          <w:rFonts w:ascii="宋体" w:hAnsi="宋体"/>
          <w:b w:val="0"/>
          <w:snapToGrid w:val="0"/>
          <w:color w:val="auto"/>
          <w:sz w:val="24"/>
          <w:szCs w:val="24"/>
          <w:highlight w:val="none"/>
        </w:rPr>
        <w:t>1.1  项目概况</w:t>
      </w:r>
      <w:bookmarkEnd w:id="110"/>
      <w:bookmarkEnd w:id="111"/>
      <w:bookmarkEnd w:id="112"/>
      <w:bookmarkEnd w:id="113"/>
      <w:bookmarkEnd w:id="114"/>
      <w:bookmarkEnd w:id="115"/>
      <w:bookmarkEnd w:id="116"/>
      <w:bookmarkEnd w:id="117"/>
      <w:bookmarkEnd w:id="118"/>
    </w:p>
    <w:p w14:paraId="220D19B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根据《中华人民共和国招标投标法》等有关法律、法规和规章的规定，</w:t>
      </w:r>
      <w:r>
        <w:rPr>
          <w:rFonts w:hint="eastAsia" w:ascii="宋体" w:hAnsi="宋体"/>
          <w:snapToGrid w:val="0"/>
          <w:color w:val="auto"/>
          <w:kern w:val="0"/>
          <w:szCs w:val="21"/>
          <w:highlight w:val="none"/>
          <w:lang w:eastAsia="zh-CN"/>
        </w:rPr>
        <w:t>本比选项目</w:t>
      </w:r>
      <w:r>
        <w:rPr>
          <w:rFonts w:ascii="宋体" w:hAnsi="宋体"/>
          <w:snapToGrid w:val="0"/>
          <w:color w:val="auto"/>
          <w:kern w:val="0"/>
          <w:szCs w:val="21"/>
          <w:highlight w:val="none"/>
        </w:rPr>
        <w:t>已具备招标条件，现对本</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施工进行招标。</w:t>
      </w:r>
    </w:p>
    <w:p w14:paraId="754B175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1.1.2  </w:t>
      </w:r>
      <w:r>
        <w:rPr>
          <w:rFonts w:hint="eastAsia" w:ascii="宋体" w:hAnsi="宋体"/>
          <w:snapToGrid w:val="0"/>
          <w:color w:val="auto"/>
          <w:kern w:val="0"/>
          <w:szCs w:val="21"/>
          <w:highlight w:val="none"/>
          <w:lang w:eastAsia="zh-CN"/>
        </w:rPr>
        <w:t>本比选项目</w:t>
      </w:r>
      <w:r>
        <w:rPr>
          <w:rFonts w:ascii="宋体" w:hAnsi="宋体"/>
          <w:snapToGrid w:val="0"/>
          <w:color w:val="auto"/>
          <w:kern w:val="0"/>
          <w:szCs w:val="21"/>
          <w:highlight w:val="none"/>
        </w:rPr>
        <w:t>招标人：见投标人须知前附表。</w:t>
      </w:r>
    </w:p>
    <w:p w14:paraId="69D98F8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1.1.3  </w:t>
      </w:r>
      <w:r>
        <w:rPr>
          <w:rFonts w:hint="eastAsia" w:ascii="宋体" w:hAnsi="宋体"/>
          <w:snapToGrid w:val="0"/>
          <w:color w:val="auto"/>
          <w:kern w:val="0"/>
          <w:szCs w:val="21"/>
          <w:highlight w:val="none"/>
          <w:lang w:eastAsia="zh-CN"/>
        </w:rPr>
        <w:t>本比选项目</w:t>
      </w:r>
      <w:r>
        <w:rPr>
          <w:rFonts w:ascii="宋体" w:hAnsi="宋体"/>
          <w:snapToGrid w:val="0"/>
          <w:color w:val="auto"/>
          <w:kern w:val="0"/>
          <w:szCs w:val="21"/>
          <w:highlight w:val="none"/>
        </w:rPr>
        <w:t>招标代理机构：见投标人须知前附表。</w:t>
      </w:r>
    </w:p>
    <w:p w14:paraId="18B75B3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本比选项目</w:t>
      </w:r>
      <w:r>
        <w:rPr>
          <w:rFonts w:ascii="宋体" w:hAnsi="宋体"/>
          <w:snapToGrid w:val="0"/>
          <w:color w:val="auto"/>
          <w:kern w:val="0"/>
          <w:szCs w:val="21"/>
          <w:highlight w:val="none"/>
        </w:rPr>
        <w:t>名称：见投标人须知前附表。</w:t>
      </w:r>
    </w:p>
    <w:p w14:paraId="7AAF532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1.1.5  </w:t>
      </w:r>
      <w:r>
        <w:rPr>
          <w:rFonts w:hint="eastAsia" w:ascii="宋体" w:hAnsi="宋体"/>
          <w:snapToGrid w:val="0"/>
          <w:color w:val="auto"/>
          <w:kern w:val="0"/>
          <w:szCs w:val="21"/>
          <w:highlight w:val="none"/>
          <w:lang w:eastAsia="zh-CN"/>
        </w:rPr>
        <w:t>本比选项目</w:t>
      </w:r>
      <w:r>
        <w:rPr>
          <w:rFonts w:ascii="宋体" w:hAnsi="宋体"/>
          <w:snapToGrid w:val="0"/>
          <w:color w:val="auto"/>
          <w:kern w:val="0"/>
          <w:szCs w:val="21"/>
          <w:highlight w:val="none"/>
        </w:rPr>
        <w:t>建设地点：见投标人须知前附表。</w:t>
      </w:r>
    </w:p>
    <w:p w14:paraId="35021C8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1.1.6  </w:t>
      </w:r>
      <w:r>
        <w:rPr>
          <w:rFonts w:hint="eastAsia" w:ascii="宋体" w:hAnsi="宋体"/>
          <w:snapToGrid w:val="0"/>
          <w:color w:val="auto"/>
          <w:kern w:val="0"/>
          <w:szCs w:val="21"/>
          <w:highlight w:val="none"/>
          <w:lang w:eastAsia="zh-CN"/>
        </w:rPr>
        <w:t>本比选项目</w:t>
      </w:r>
      <w:r>
        <w:rPr>
          <w:rFonts w:ascii="宋体" w:hAnsi="宋体"/>
          <w:snapToGrid w:val="0"/>
          <w:color w:val="auto"/>
          <w:kern w:val="0"/>
          <w:szCs w:val="21"/>
          <w:highlight w:val="none"/>
        </w:rPr>
        <w:t>建设规模：见投标人须知前附表。</w:t>
      </w:r>
    </w:p>
    <w:p w14:paraId="65D3800F">
      <w:pPr>
        <w:pStyle w:val="5"/>
        <w:snapToGrid w:val="0"/>
        <w:spacing w:before="0" w:after="0" w:line="360" w:lineRule="auto"/>
        <w:rPr>
          <w:rFonts w:ascii="宋体" w:hAnsi="宋体"/>
          <w:b w:val="0"/>
          <w:snapToGrid w:val="0"/>
          <w:color w:val="auto"/>
          <w:sz w:val="24"/>
          <w:szCs w:val="24"/>
          <w:highlight w:val="none"/>
        </w:rPr>
      </w:pPr>
      <w:bookmarkStart w:id="119" w:name="_Toc287607748"/>
      <w:bookmarkStart w:id="120" w:name="_Toc287620687"/>
      <w:bookmarkStart w:id="121" w:name="_Toc277082554"/>
      <w:bookmarkStart w:id="122" w:name="_Toc28853"/>
      <w:bookmarkStart w:id="123" w:name="_Toc4414"/>
      <w:bookmarkStart w:id="124" w:name="_Toc430530437"/>
      <w:bookmarkStart w:id="125" w:name="_Toc509218712"/>
      <w:bookmarkStart w:id="126" w:name="_Toc224103319"/>
      <w:bookmarkStart w:id="127" w:name="_Toc200513128"/>
      <w:r>
        <w:rPr>
          <w:rFonts w:ascii="宋体" w:hAnsi="宋体"/>
          <w:b w:val="0"/>
          <w:snapToGrid w:val="0"/>
          <w:color w:val="auto"/>
          <w:sz w:val="24"/>
          <w:szCs w:val="24"/>
          <w:highlight w:val="none"/>
        </w:rPr>
        <w:t>1.2  资金来源和落实情况</w:t>
      </w:r>
      <w:bookmarkEnd w:id="119"/>
      <w:bookmarkEnd w:id="120"/>
      <w:bookmarkEnd w:id="121"/>
      <w:bookmarkEnd w:id="122"/>
      <w:bookmarkEnd w:id="123"/>
      <w:bookmarkEnd w:id="124"/>
      <w:bookmarkEnd w:id="125"/>
      <w:bookmarkEnd w:id="126"/>
      <w:bookmarkEnd w:id="127"/>
    </w:p>
    <w:p w14:paraId="53272F7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1.2.1  </w:t>
      </w:r>
      <w:r>
        <w:rPr>
          <w:rFonts w:hint="eastAsia" w:ascii="宋体" w:hAnsi="宋体"/>
          <w:snapToGrid w:val="0"/>
          <w:color w:val="auto"/>
          <w:kern w:val="0"/>
          <w:szCs w:val="21"/>
          <w:highlight w:val="none"/>
          <w:lang w:eastAsia="zh-CN"/>
        </w:rPr>
        <w:t>本比选项目</w:t>
      </w:r>
      <w:r>
        <w:rPr>
          <w:rFonts w:ascii="宋体" w:hAnsi="宋体"/>
          <w:snapToGrid w:val="0"/>
          <w:color w:val="auto"/>
          <w:kern w:val="0"/>
          <w:szCs w:val="21"/>
          <w:highlight w:val="none"/>
        </w:rPr>
        <w:t>的资金来源：见投标人须知前附表。</w:t>
      </w:r>
    </w:p>
    <w:p w14:paraId="20F97F8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1.2.2  </w:t>
      </w:r>
      <w:r>
        <w:rPr>
          <w:rFonts w:hint="eastAsia" w:ascii="宋体" w:hAnsi="宋体"/>
          <w:snapToGrid w:val="0"/>
          <w:color w:val="auto"/>
          <w:kern w:val="0"/>
          <w:szCs w:val="21"/>
          <w:highlight w:val="none"/>
          <w:lang w:eastAsia="zh-CN"/>
        </w:rPr>
        <w:t>本比选项目</w:t>
      </w:r>
      <w:r>
        <w:rPr>
          <w:rFonts w:ascii="宋体" w:hAnsi="宋体"/>
          <w:snapToGrid w:val="0"/>
          <w:color w:val="auto"/>
          <w:kern w:val="0"/>
          <w:szCs w:val="21"/>
          <w:highlight w:val="none"/>
        </w:rPr>
        <w:t>的出资比例：见投标人须知前附表。</w:t>
      </w:r>
    </w:p>
    <w:p w14:paraId="3263A3C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1.2.3  </w:t>
      </w:r>
      <w:r>
        <w:rPr>
          <w:rFonts w:hint="eastAsia" w:ascii="宋体" w:hAnsi="宋体"/>
          <w:snapToGrid w:val="0"/>
          <w:color w:val="auto"/>
          <w:kern w:val="0"/>
          <w:szCs w:val="21"/>
          <w:highlight w:val="none"/>
          <w:lang w:eastAsia="zh-CN"/>
        </w:rPr>
        <w:t>本比选项目</w:t>
      </w:r>
      <w:r>
        <w:rPr>
          <w:rFonts w:ascii="宋体" w:hAnsi="宋体"/>
          <w:snapToGrid w:val="0"/>
          <w:color w:val="auto"/>
          <w:kern w:val="0"/>
          <w:szCs w:val="21"/>
          <w:highlight w:val="none"/>
        </w:rPr>
        <w:t>的资金落实情况：见投标人须知前附表。</w:t>
      </w:r>
    </w:p>
    <w:p w14:paraId="27F2C72E">
      <w:pPr>
        <w:pStyle w:val="5"/>
        <w:snapToGrid w:val="0"/>
        <w:spacing w:before="0" w:after="0" w:line="360" w:lineRule="auto"/>
        <w:rPr>
          <w:rFonts w:ascii="宋体" w:hAnsi="宋体"/>
          <w:b w:val="0"/>
          <w:snapToGrid w:val="0"/>
          <w:color w:val="auto"/>
          <w:sz w:val="24"/>
          <w:szCs w:val="24"/>
          <w:highlight w:val="none"/>
        </w:rPr>
      </w:pPr>
      <w:bookmarkStart w:id="128" w:name="_Toc17176"/>
      <w:bookmarkStart w:id="129" w:name="_Toc7182"/>
      <w:bookmarkStart w:id="130" w:name="_Toc200513129"/>
      <w:bookmarkStart w:id="131" w:name="_Toc287607749"/>
      <w:bookmarkStart w:id="132" w:name="_Toc277082555"/>
      <w:bookmarkStart w:id="133" w:name="_Toc430530438"/>
      <w:bookmarkStart w:id="134" w:name="_Toc287620688"/>
      <w:bookmarkStart w:id="135" w:name="_Toc224103320"/>
      <w:bookmarkStart w:id="136" w:name="_Toc509218713"/>
      <w:r>
        <w:rPr>
          <w:rFonts w:ascii="宋体" w:hAnsi="宋体"/>
          <w:b w:val="0"/>
          <w:snapToGrid w:val="0"/>
          <w:color w:val="auto"/>
          <w:sz w:val="24"/>
          <w:szCs w:val="24"/>
          <w:highlight w:val="none"/>
        </w:rPr>
        <w:t>1.3  招标范围、计划工期和质量要求</w:t>
      </w:r>
      <w:bookmarkEnd w:id="128"/>
      <w:bookmarkEnd w:id="129"/>
      <w:bookmarkEnd w:id="130"/>
      <w:bookmarkEnd w:id="131"/>
      <w:bookmarkEnd w:id="132"/>
      <w:bookmarkEnd w:id="133"/>
      <w:bookmarkEnd w:id="134"/>
      <w:bookmarkEnd w:id="135"/>
      <w:bookmarkEnd w:id="136"/>
    </w:p>
    <w:p w14:paraId="4C56B6E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1.3.1  招标范围：见投标人须知前附表。</w:t>
      </w:r>
    </w:p>
    <w:p w14:paraId="3CFE990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1.3.2  计划工期：见投标人须知前附表。</w:t>
      </w:r>
    </w:p>
    <w:p w14:paraId="23D63F1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1.3.3  质量要求：见投标人须知前附表。</w:t>
      </w:r>
    </w:p>
    <w:p w14:paraId="41C078C0">
      <w:pPr>
        <w:pStyle w:val="5"/>
        <w:snapToGrid w:val="0"/>
        <w:spacing w:before="0" w:after="0" w:line="360" w:lineRule="auto"/>
        <w:rPr>
          <w:rFonts w:ascii="宋体" w:hAnsi="宋体"/>
          <w:b w:val="0"/>
          <w:snapToGrid w:val="0"/>
          <w:color w:val="auto"/>
          <w:sz w:val="24"/>
          <w:szCs w:val="24"/>
          <w:highlight w:val="none"/>
        </w:rPr>
      </w:pPr>
      <w:bookmarkStart w:id="137" w:name="_Toc277082557"/>
      <w:bookmarkStart w:id="138" w:name="_Toc430530440"/>
      <w:bookmarkStart w:id="139" w:name="_Toc224103322"/>
      <w:bookmarkStart w:id="140" w:name="_Toc509218715"/>
      <w:bookmarkStart w:id="141" w:name="_Toc29700"/>
      <w:bookmarkStart w:id="142" w:name="_Toc287607751"/>
      <w:bookmarkStart w:id="143" w:name="_Toc200513131"/>
      <w:bookmarkStart w:id="144" w:name="_Toc31288"/>
      <w:bookmarkStart w:id="145" w:name="_Toc287620690"/>
      <w:r>
        <w:rPr>
          <w:rFonts w:ascii="宋体" w:hAnsi="宋体"/>
          <w:b w:val="0"/>
          <w:snapToGrid w:val="0"/>
          <w:color w:val="auto"/>
          <w:sz w:val="24"/>
          <w:szCs w:val="24"/>
          <w:highlight w:val="none"/>
        </w:rPr>
        <w:t>1.4 投标人资格要求</w:t>
      </w:r>
      <w:bookmarkEnd w:id="137"/>
      <w:bookmarkEnd w:id="138"/>
      <w:bookmarkEnd w:id="139"/>
      <w:bookmarkEnd w:id="140"/>
      <w:bookmarkEnd w:id="141"/>
      <w:bookmarkEnd w:id="142"/>
      <w:bookmarkEnd w:id="143"/>
      <w:bookmarkEnd w:id="144"/>
      <w:bookmarkEnd w:id="145"/>
    </w:p>
    <w:p w14:paraId="3A90799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1.4.1 投标人应具备承担本标段施工的资质条件、能力和信誉。</w:t>
      </w:r>
    </w:p>
    <w:p w14:paraId="4D9FE75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资质条件、营业执照及安全生产条件</w:t>
      </w:r>
      <w:r>
        <w:rPr>
          <w:rFonts w:ascii="宋体" w:hAnsi="宋体"/>
          <w:snapToGrid w:val="0"/>
          <w:color w:val="auto"/>
          <w:kern w:val="0"/>
          <w:szCs w:val="21"/>
          <w:highlight w:val="none"/>
        </w:rPr>
        <w:t>：见投标人须知前附表；</w:t>
      </w:r>
    </w:p>
    <w:p w14:paraId="12F648F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（2）财务要求：见投标人须知前附表；</w:t>
      </w:r>
    </w:p>
    <w:p w14:paraId="59E4BF7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（3）业绩要求：见投标人须知前附表；</w:t>
      </w:r>
    </w:p>
    <w:p w14:paraId="66C5B27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：见投标人须知前附表；</w:t>
      </w:r>
    </w:p>
    <w:p w14:paraId="120AB1D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（5）项目经理资格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：见投标人须知前附表；</w:t>
      </w:r>
    </w:p>
    <w:p w14:paraId="166F777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（6）其他要求：见投标人须知前附表。</w:t>
      </w:r>
    </w:p>
    <w:p w14:paraId="03BA187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1.4.2  投标人须知前附表规定接受联合体投标的，除应符合本章第1.4.1项和投标人须知前附表的要求外，还应遵守以下规定：</w:t>
      </w:r>
    </w:p>
    <w:p w14:paraId="49704E1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（1）联合体各方应按</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提供的格式签订联合体协议书，明确联合体牵头人和各方权利义务；</w:t>
      </w:r>
    </w:p>
    <w:p w14:paraId="425F7A9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（2）联合体各方均应当具备承担招标项目的相应能力；联合体协议约定同一专业分工由两个及以上单位共同承担的，</w:t>
      </w:r>
      <w:r>
        <w:rPr>
          <w:rFonts w:hint="eastAsia" w:ascii="宋体" w:hAnsi="宋体"/>
          <w:snapToGrid w:val="0"/>
          <w:color w:val="auto"/>
          <w:kern w:val="0"/>
          <w:szCs w:val="21"/>
          <w:highlight w:val="none"/>
        </w:rPr>
        <w:t>按照资质等级较低的单位确定资质等级</w:t>
      </w:r>
      <w:r>
        <w:rPr>
          <w:rFonts w:ascii="宋体" w:hAnsi="宋体"/>
          <w:snapToGrid w:val="0"/>
          <w:color w:val="auto"/>
          <w:kern w:val="0"/>
          <w:szCs w:val="21"/>
          <w:highlight w:val="none"/>
        </w:rPr>
        <w:t>；</w:t>
      </w:r>
    </w:p>
    <w:p w14:paraId="608B808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（3）联合体各方不得再以自己名义单独或参加其他联合体在同一标段中投标。</w:t>
      </w:r>
    </w:p>
    <w:p w14:paraId="30CC384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1.4.3  投标人不得存在下列情形之一：</w:t>
      </w:r>
    </w:p>
    <w:p w14:paraId="2FF3ADA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（1）与招标人存在利害关系可能影响招标公正性的法人、其他组织或者个人；</w:t>
      </w:r>
    </w:p>
    <w:p w14:paraId="30FAF0B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（2）为本标段前期准备提供设计或咨询服务的，但设计施工总承包的除外；</w:t>
      </w:r>
    </w:p>
    <w:p w14:paraId="1F1F574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14:paraId="2D19F16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14:paraId="352D071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（5）为本标段提供招标代理服务的；</w:t>
      </w:r>
    </w:p>
    <w:p w14:paraId="233598C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（6）与本标段的监理人或代建人或招标代理机构同为一个法定代表人的；</w:t>
      </w:r>
    </w:p>
    <w:p w14:paraId="43CABE6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（7）与本标段的监理人或代建人或招标代理机构</w:t>
      </w:r>
      <w:r>
        <w:rPr>
          <w:rFonts w:hint="eastAsia" w:ascii="宋体" w:hAnsi="宋体"/>
          <w:snapToGrid w:val="0"/>
          <w:color w:val="auto"/>
          <w:kern w:val="0"/>
          <w:szCs w:val="21"/>
          <w:highlight w:val="none"/>
        </w:rPr>
        <w:t>存在</w:t>
      </w:r>
      <w:r>
        <w:rPr>
          <w:rFonts w:ascii="宋体" w:hAnsi="宋体"/>
          <w:snapToGrid w:val="0"/>
          <w:color w:val="auto"/>
          <w:kern w:val="0"/>
          <w:szCs w:val="21"/>
          <w:highlight w:val="none"/>
        </w:rPr>
        <w:t>控股或参股的；</w:t>
      </w:r>
    </w:p>
    <w:p w14:paraId="386C721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（8）与本标段的监理人或代建人或招标代理机构相互任职或工作的；</w:t>
      </w:r>
    </w:p>
    <w:p w14:paraId="7C23A52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asciiTheme="minorEastAsia" w:hAnsiTheme="minorEastAsia" w:eastAsiaTheme="minorEastAsia"/>
          <w:color w:val="auto"/>
          <w:szCs w:val="21"/>
          <w:highlight w:val="none"/>
        </w:rPr>
        <w:t>被责令停产停业、暂扣或者吊销许可证、暂扣或者吊销执照</w:t>
      </w:r>
      <w:r>
        <w:rPr>
          <w:rFonts w:ascii="宋体" w:hAnsi="宋体"/>
          <w:snapToGrid w:val="0"/>
          <w:color w:val="auto"/>
          <w:kern w:val="0"/>
          <w:szCs w:val="21"/>
          <w:highlight w:val="none"/>
        </w:rPr>
        <w:t>；</w:t>
      </w:r>
    </w:p>
    <w:p w14:paraId="1B78E1A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被国家、重庆市（含市或任意区县）有关行政部门处以暂停投标资格行政处罚，且在处罚期限内的</w:t>
      </w:r>
      <w:r>
        <w:rPr>
          <w:rFonts w:ascii="宋体" w:hAnsi="宋体"/>
          <w:snapToGrid w:val="0"/>
          <w:color w:val="auto"/>
          <w:kern w:val="0"/>
          <w:szCs w:val="21"/>
          <w:highlight w:val="none"/>
        </w:rPr>
        <w:t>；</w:t>
      </w:r>
    </w:p>
    <w:p w14:paraId="7D110A4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asciiTheme="minorEastAsia" w:hAnsiTheme="minorEastAsia" w:eastAsiaTheme="minorEastAsia"/>
          <w:color w:val="auto"/>
          <w:szCs w:val="21"/>
          <w:highlight w:val="none"/>
        </w:rPr>
        <w:t>进入清算程序，或被宣告破产，或其他丧失履约能力的情形</w:t>
      </w:r>
      <w:r>
        <w:rPr>
          <w:rFonts w:ascii="宋体" w:hAnsi="宋体"/>
          <w:snapToGrid w:val="0"/>
          <w:color w:val="auto"/>
          <w:kern w:val="0"/>
          <w:szCs w:val="21"/>
          <w:highlight w:val="none"/>
        </w:rPr>
        <w:t>；</w:t>
      </w:r>
    </w:p>
    <w:p w14:paraId="411F340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w:t>
      </w:r>
      <w:r>
        <w:rPr>
          <w:rFonts w:ascii="宋体" w:hAnsi="宋体"/>
          <w:color w:val="auto"/>
          <w:szCs w:val="21"/>
          <w:highlight w:val="none"/>
        </w:rPr>
        <w:t>单位负责人为同一人或者存在控股、管理关系的不同单位，不得在同一标段中同时投标</w:t>
      </w:r>
      <w:r>
        <w:rPr>
          <w:rFonts w:ascii="宋体" w:hAnsi="宋体"/>
          <w:snapToGrid w:val="0"/>
          <w:color w:val="auto"/>
          <w:kern w:val="0"/>
          <w:szCs w:val="21"/>
          <w:highlight w:val="none"/>
        </w:rPr>
        <w:t>。</w:t>
      </w:r>
    </w:p>
    <w:p w14:paraId="0017246C">
      <w:pPr>
        <w:pStyle w:val="5"/>
        <w:snapToGrid w:val="0"/>
        <w:spacing w:before="0" w:after="0" w:line="360" w:lineRule="auto"/>
        <w:rPr>
          <w:rFonts w:ascii="宋体" w:hAnsi="宋体"/>
          <w:b w:val="0"/>
          <w:snapToGrid w:val="0"/>
          <w:color w:val="auto"/>
          <w:sz w:val="24"/>
          <w:szCs w:val="24"/>
          <w:highlight w:val="none"/>
        </w:rPr>
      </w:pPr>
      <w:bookmarkStart w:id="146" w:name="_Toc14739"/>
      <w:bookmarkStart w:id="147" w:name="_Toc277082558"/>
      <w:bookmarkStart w:id="148" w:name="_Toc30012"/>
      <w:bookmarkStart w:id="149" w:name="_Toc430530441"/>
      <w:bookmarkStart w:id="150" w:name="_Toc509218716"/>
      <w:bookmarkStart w:id="151" w:name="_Toc287620691"/>
      <w:bookmarkStart w:id="152" w:name="_Toc224103323"/>
      <w:bookmarkStart w:id="153" w:name="_Toc200513132"/>
      <w:bookmarkStart w:id="154" w:name="_Toc287607752"/>
      <w:r>
        <w:rPr>
          <w:rFonts w:ascii="宋体" w:hAnsi="宋体"/>
          <w:b w:val="0"/>
          <w:snapToGrid w:val="0"/>
          <w:color w:val="auto"/>
          <w:sz w:val="24"/>
          <w:szCs w:val="24"/>
          <w:highlight w:val="none"/>
        </w:rPr>
        <w:t>1.5  费用承担</w:t>
      </w:r>
      <w:bookmarkEnd w:id="146"/>
      <w:bookmarkEnd w:id="147"/>
      <w:bookmarkEnd w:id="148"/>
      <w:bookmarkEnd w:id="149"/>
      <w:bookmarkEnd w:id="150"/>
      <w:bookmarkEnd w:id="151"/>
      <w:bookmarkEnd w:id="152"/>
      <w:bookmarkEnd w:id="153"/>
      <w:bookmarkEnd w:id="154"/>
    </w:p>
    <w:p w14:paraId="5750096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投标人准备和参加投标活动发生的费用自理。</w:t>
      </w:r>
    </w:p>
    <w:p w14:paraId="2D6B88DA">
      <w:pPr>
        <w:pStyle w:val="5"/>
        <w:snapToGrid w:val="0"/>
        <w:spacing w:before="0" w:after="0" w:line="360" w:lineRule="auto"/>
        <w:rPr>
          <w:rFonts w:ascii="宋体" w:hAnsi="宋体"/>
          <w:b w:val="0"/>
          <w:snapToGrid w:val="0"/>
          <w:color w:val="auto"/>
          <w:sz w:val="24"/>
          <w:szCs w:val="24"/>
          <w:highlight w:val="none"/>
        </w:rPr>
      </w:pPr>
      <w:bookmarkStart w:id="155" w:name="_Toc509218717"/>
      <w:bookmarkStart w:id="156" w:name="_Toc20407"/>
      <w:bookmarkStart w:id="157" w:name="_Toc430530442"/>
      <w:bookmarkStart w:id="158" w:name="_Toc277082559"/>
      <w:bookmarkStart w:id="159" w:name="_Toc200513133"/>
      <w:bookmarkStart w:id="160" w:name="_Toc11845"/>
      <w:bookmarkStart w:id="161" w:name="_Toc224103324"/>
      <w:bookmarkStart w:id="162" w:name="_Toc287620692"/>
      <w:bookmarkStart w:id="163" w:name="_Toc287607753"/>
      <w:r>
        <w:rPr>
          <w:rFonts w:ascii="宋体" w:hAnsi="宋体"/>
          <w:b w:val="0"/>
          <w:snapToGrid w:val="0"/>
          <w:color w:val="auto"/>
          <w:sz w:val="24"/>
          <w:szCs w:val="24"/>
          <w:highlight w:val="none"/>
        </w:rPr>
        <w:t>1.6  保密</w:t>
      </w:r>
      <w:bookmarkEnd w:id="155"/>
      <w:bookmarkEnd w:id="156"/>
      <w:bookmarkEnd w:id="157"/>
      <w:bookmarkEnd w:id="158"/>
      <w:bookmarkEnd w:id="159"/>
      <w:bookmarkEnd w:id="160"/>
      <w:bookmarkEnd w:id="161"/>
      <w:bookmarkEnd w:id="162"/>
      <w:bookmarkEnd w:id="163"/>
    </w:p>
    <w:p w14:paraId="55FCCF01">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和投标文件中的商业和技术等秘密保密，违者应对由此造成的后果承担法律责任。</w:t>
      </w:r>
    </w:p>
    <w:p w14:paraId="06CB0739">
      <w:pPr>
        <w:pStyle w:val="5"/>
        <w:snapToGrid w:val="0"/>
        <w:spacing w:before="0" w:after="0" w:line="360" w:lineRule="auto"/>
        <w:rPr>
          <w:rFonts w:ascii="宋体" w:hAnsi="宋体"/>
          <w:b w:val="0"/>
          <w:snapToGrid w:val="0"/>
          <w:color w:val="auto"/>
          <w:sz w:val="24"/>
          <w:szCs w:val="24"/>
          <w:highlight w:val="none"/>
        </w:rPr>
      </w:pPr>
      <w:bookmarkStart w:id="164" w:name="_Toc277082560"/>
      <w:bookmarkStart w:id="165" w:name="_Toc430530443"/>
      <w:bookmarkStart w:id="166" w:name="_Toc224103325"/>
      <w:bookmarkStart w:id="167" w:name="_Toc287607754"/>
      <w:bookmarkStart w:id="168" w:name="_Toc287620693"/>
      <w:bookmarkStart w:id="169" w:name="_Toc6051"/>
      <w:bookmarkStart w:id="170" w:name="_Toc14075"/>
      <w:bookmarkStart w:id="171" w:name="_Toc200513134"/>
      <w:bookmarkStart w:id="172" w:name="_Toc509218718"/>
      <w:r>
        <w:rPr>
          <w:rFonts w:ascii="宋体" w:hAnsi="宋体"/>
          <w:b w:val="0"/>
          <w:snapToGrid w:val="0"/>
          <w:color w:val="auto"/>
          <w:sz w:val="24"/>
          <w:szCs w:val="24"/>
          <w:highlight w:val="none"/>
        </w:rPr>
        <w:t>1.7  语言文字</w:t>
      </w:r>
      <w:bookmarkEnd w:id="164"/>
      <w:bookmarkEnd w:id="165"/>
      <w:bookmarkEnd w:id="166"/>
      <w:bookmarkEnd w:id="167"/>
      <w:bookmarkEnd w:id="168"/>
      <w:bookmarkEnd w:id="169"/>
      <w:bookmarkEnd w:id="170"/>
      <w:bookmarkEnd w:id="171"/>
      <w:bookmarkEnd w:id="172"/>
    </w:p>
    <w:p w14:paraId="7B598E8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除专用术语外，与招标投标有关的语言均使用中文。必要时专用术语应附有中文注释。</w:t>
      </w:r>
    </w:p>
    <w:p w14:paraId="0CF4D5B0">
      <w:pPr>
        <w:pStyle w:val="5"/>
        <w:snapToGrid w:val="0"/>
        <w:spacing w:before="0" w:after="0" w:line="360" w:lineRule="auto"/>
        <w:rPr>
          <w:rFonts w:ascii="宋体" w:hAnsi="宋体"/>
          <w:b w:val="0"/>
          <w:snapToGrid w:val="0"/>
          <w:color w:val="auto"/>
          <w:sz w:val="24"/>
          <w:szCs w:val="24"/>
          <w:highlight w:val="none"/>
        </w:rPr>
      </w:pPr>
      <w:bookmarkStart w:id="173" w:name="_Toc287620694"/>
      <w:bookmarkStart w:id="174" w:name="_Toc224103326"/>
      <w:bookmarkStart w:id="175" w:name="_Toc930"/>
      <w:bookmarkStart w:id="176" w:name="_Toc509218719"/>
      <w:bookmarkStart w:id="177" w:name="_Toc19444"/>
      <w:bookmarkStart w:id="178" w:name="_Toc277082561"/>
      <w:bookmarkStart w:id="179" w:name="_Toc430530444"/>
      <w:bookmarkStart w:id="180" w:name="_Toc200513135"/>
      <w:bookmarkStart w:id="181" w:name="_Toc287607755"/>
      <w:r>
        <w:rPr>
          <w:rFonts w:ascii="宋体" w:hAnsi="宋体"/>
          <w:b w:val="0"/>
          <w:snapToGrid w:val="0"/>
          <w:color w:val="auto"/>
          <w:sz w:val="24"/>
          <w:szCs w:val="24"/>
          <w:highlight w:val="none"/>
        </w:rPr>
        <w:t>1.8  计量单位</w:t>
      </w:r>
      <w:bookmarkEnd w:id="173"/>
      <w:bookmarkEnd w:id="174"/>
      <w:bookmarkEnd w:id="175"/>
      <w:bookmarkEnd w:id="176"/>
      <w:bookmarkEnd w:id="177"/>
      <w:bookmarkEnd w:id="178"/>
      <w:bookmarkEnd w:id="179"/>
      <w:bookmarkEnd w:id="180"/>
      <w:bookmarkEnd w:id="181"/>
    </w:p>
    <w:p w14:paraId="68943E4F">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4A9CFE81">
      <w:pPr>
        <w:pStyle w:val="5"/>
        <w:snapToGrid w:val="0"/>
        <w:spacing w:before="0" w:after="0" w:line="360" w:lineRule="auto"/>
        <w:rPr>
          <w:rFonts w:ascii="宋体" w:hAnsi="宋体"/>
          <w:b w:val="0"/>
          <w:snapToGrid w:val="0"/>
          <w:color w:val="auto"/>
          <w:sz w:val="24"/>
          <w:szCs w:val="24"/>
          <w:highlight w:val="none"/>
        </w:rPr>
      </w:pPr>
      <w:bookmarkStart w:id="182" w:name="_Toc224103327"/>
      <w:bookmarkStart w:id="183" w:name="_Toc277082562"/>
      <w:bookmarkStart w:id="184" w:name="_Toc509218720"/>
      <w:bookmarkStart w:id="185" w:name="_Toc200513136"/>
      <w:bookmarkStart w:id="186" w:name="_Toc430530445"/>
      <w:bookmarkStart w:id="187" w:name="_Toc5173"/>
      <w:bookmarkStart w:id="188" w:name="_Toc287620695"/>
      <w:bookmarkStart w:id="189" w:name="_Toc287607756"/>
      <w:bookmarkStart w:id="190" w:name="_Toc22467"/>
      <w:r>
        <w:rPr>
          <w:rFonts w:ascii="宋体" w:hAnsi="宋体"/>
          <w:b w:val="0"/>
          <w:snapToGrid w:val="0"/>
          <w:color w:val="auto"/>
          <w:sz w:val="24"/>
          <w:szCs w:val="24"/>
          <w:highlight w:val="none"/>
        </w:rPr>
        <w:t>1.9  踏勘现场</w:t>
      </w:r>
      <w:bookmarkEnd w:id="182"/>
      <w:bookmarkEnd w:id="183"/>
      <w:bookmarkEnd w:id="184"/>
      <w:bookmarkEnd w:id="185"/>
      <w:bookmarkEnd w:id="186"/>
      <w:bookmarkEnd w:id="187"/>
      <w:bookmarkEnd w:id="188"/>
      <w:bookmarkEnd w:id="189"/>
      <w:bookmarkEnd w:id="190"/>
    </w:p>
    <w:p w14:paraId="0CA75FF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1.9.1  投标人须知前附表规定组织踏勘现场的，招标人按投标人须知前附表规定的时间、 地点组织投标人踏勘项目现场。</w:t>
      </w:r>
    </w:p>
    <w:p w14:paraId="44D4588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1.9.2  投标人踏勘现场发生的费用自理。</w:t>
      </w:r>
    </w:p>
    <w:p w14:paraId="2017AF1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1.9.3  除招标人的原因外，投标人自行负责在踏勘现场中所发生的人员伤亡和财产损失。</w:t>
      </w:r>
    </w:p>
    <w:p w14:paraId="524705B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1.9.4  招标人在踏勘现场中介绍的工程场地和相关的周边环境情况，供投标人在编制投标文件时参考，招标人不对投标人据此做出的判断和决策负责。</w:t>
      </w:r>
    </w:p>
    <w:p w14:paraId="3B663FFA">
      <w:pPr>
        <w:pStyle w:val="5"/>
        <w:snapToGrid w:val="0"/>
        <w:spacing w:before="0" w:after="0" w:line="360" w:lineRule="auto"/>
        <w:rPr>
          <w:rFonts w:ascii="宋体" w:hAnsi="宋体"/>
          <w:b w:val="0"/>
          <w:snapToGrid w:val="0"/>
          <w:color w:val="auto"/>
          <w:sz w:val="24"/>
          <w:szCs w:val="24"/>
          <w:highlight w:val="none"/>
        </w:rPr>
      </w:pPr>
      <w:bookmarkStart w:id="191" w:name="_Toc287607757"/>
      <w:bookmarkStart w:id="192" w:name="_Toc224103328"/>
      <w:bookmarkStart w:id="193" w:name="_Toc12164"/>
      <w:bookmarkStart w:id="194" w:name="_Toc430530446"/>
      <w:bookmarkStart w:id="195" w:name="_Toc277082563"/>
      <w:bookmarkStart w:id="196" w:name="_Toc509218721"/>
      <w:bookmarkStart w:id="197" w:name="_Toc200513137"/>
      <w:bookmarkStart w:id="198" w:name="_Toc287620696"/>
      <w:bookmarkStart w:id="199" w:name="_Toc8656"/>
      <w:r>
        <w:rPr>
          <w:rFonts w:ascii="宋体" w:hAnsi="宋体"/>
          <w:b w:val="0"/>
          <w:snapToGrid w:val="0"/>
          <w:color w:val="auto"/>
          <w:sz w:val="24"/>
          <w:szCs w:val="24"/>
          <w:highlight w:val="none"/>
        </w:rPr>
        <w:t>1.10  投标预备会</w:t>
      </w:r>
      <w:bookmarkEnd w:id="191"/>
      <w:bookmarkEnd w:id="192"/>
      <w:bookmarkEnd w:id="193"/>
      <w:bookmarkEnd w:id="194"/>
      <w:bookmarkEnd w:id="195"/>
      <w:bookmarkEnd w:id="196"/>
      <w:bookmarkEnd w:id="197"/>
      <w:bookmarkEnd w:id="198"/>
      <w:bookmarkEnd w:id="199"/>
    </w:p>
    <w:p w14:paraId="1550539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1.10.1  投标人须知前附表规定召开投标预备会的，招标人按投标人须知前附表规定的时间和地点召开投标预备会，澄清投标人提出的问题。</w:t>
      </w:r>
    </w:p>
    <w:p w14:paraId="2D73CDF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1.10.2  投标人应在投标人须知前附表第</w:t>
      </w:r>
      <w:r>
        <w:rPr>
          <w:rFonts w:ascii="宋体" w:hAnsi="宋体"/>
          <w:color w:val="auto"/>
          <w:kern w:val="0"/>
          <w:szCs w:val="21"/>
          <w:highlight w:val="none"/>
        </w:rPr>
        <w:t>2.2.4项</w:t>
      </w:r>
      <w:r>
        <w:rPr>
          <w:rFonts w:ascii="宋体" w:hAnsi="宋体"/>
          <w:snapToGrid w:val="0"/>
          <w:color w:val="auto"/>
          <w:kern w:val="0"/>
          <w:szCs w:val="21"/>
          <w:highlight w:val="none"/>
        </w:rPr>
        <w:t>规定的时间前，以书面形式将提出的问题送达招标人，以便招标人澄清。</w:t>
      </w:r>
    </w:p>
    <w:p w14:paraId="05CC137C">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1.10.3  招标人在投标人须知前附表规定的时间内，将对投标人所提</w:t>
      </w:r>
      <w:r>
        <w:rPr>
          <w:rFonts w:ascii="宋体" w:hAnsi="宋体"/>
          <w:snapToGrid w:val="0"/>
          <w:color w:val="auto"/>
          <w:kern w:val="0"/>
          <w:position w:val="-2"/>
          <w:szCs w:val="21"/>
          <w:highlight w:val="none"/>
        </w:rPr>
        <w:t>的</w:t>
      </w:r>
      <w:r>
        <w:rPr>
          <w:rFonts w:ascii="宋体" w:hAnsi="宋体"/>
          <w:snapToGrid w:val="0"/>
          <w:color w:val="auto"/>
          <w:kern w:val="0"/>
          <w:szCs w:val="21"/>
          <w:highlight w:val="none"/>
        </w:rPr>
        <w:t>问题</w:t>
      </w:r>
      <w:r>
        <w:rPr>
          <w:rFonts w:ascii="宋体" w:hAnsi="宋体"/>
          <w:snapToGrid w:val="0"/>
          <w:color w:val="auto"/>
          <w:kern w:val="0"/>
          <w:position w:val="-2"/>
          <w:szCs w:val="21"/>
          <w:highlight w:val="none"/>
        </w:rPr>
        <w:t>进行澄清。该澄清内容为</w:t>
      </w:r>
      <w:r>
        <w:rPr>
          <w:rFonts w:hint="eastAsia" w:ascii="宋体" w:hAnsi="宋体"/>
          <w:snapToGrid w:val="0"/>
          <w:color w:val="auto"/>
          <w:kern w:val="0"/>
          <w:position w:val="-2"/>
          <w:szCs w:val="21"/>
          <w:highlight w:val="none"/>
          <w:lang w:eastAsia="zh-CN"/>
        </w:rPr>
        <w:t>竞争性比选文件</w:t>
      </w:r>
      <w:r>
        <w:rPr>
          <w:rFonts w:ascii="宋体" w:hAnsi="宋体"/>
          <w:snapToGrid w:val="0"/>
          <w:color w:val="auto"/>
          <w:kern w:val="0"/>
          <w:position w:val="-2"/>
          <w:szCs w:val="21"/>
          <w:highlight w:val="none"/>
        </w:rPr>
        <w:t>的组成部分。</w:t>
      </w:r>
    </w:p>
    <w:p w14:paraId="55CCE86B">
      <w:pPr>
        <w:pStyle w:val="5"/>
        <w:snapToGrid w:val="0"/>
        <w:spacing w:before="0" w:after="0" w:line="360" w:lineRule="auto"/>
        <w:rPr>
          <w:rFonts w:ascii="宋体" w:hAnsi="宋体"/>
          <w:b w:val="0"/>
          <w:snapToGrid w:val="0"/>
          <w:color w:val="auto"/>
          <w:sz w:val="24"/>
          <w:szCs w:val="24"/>
          <w:highlight w:val="none"/>
        </w:rPr>
      </w:pPr>
      <w:bookmarkStart w:id="200" w:name="_Toc277082564"/>
      <w:bookmarkStart w:id="201" w:name="_Toc200513138"/>
      <w:bookmarkStart w:id="202" w:name="_Toc287620697"/>
      <w:bookmarkStart w:id="203" w:name="_Toc22101"/>
      <w:bookmarkStart w:id="204" w:name="_Toc287607758"/>
      <w:bookmarkStart w:id="205" w:name="_Toc430530447"/>
      <w:bookmarkStart w:id="206" w:name="_Toc21067"/>
      <w:bookmarkStart w:id="207" w:name="_Toc224103329"/>
      <w:bookmarkStart w:id="208" w:name="_Toc509218722"/>
      <w:r>
        <w:rPr>
          <w:rFonts w:ascii="宋体" w:hAnsi="宋体"/>
          <w:b w:val="0"/>
          <w:snapToGrid w:val="0"/>
          <w:color w:val="auto"/>
          <w:sz w:val="24"/>
          <w:szCs w:val="24"/>
          <w:highlight w:val="none"/>
        </w:rPr>
        <w:t>1.11  分包</w:t>
      </w:r>
      <w:bookmarkEnd w:id="200"/>
      <w:bookmarkEnd w:id="201"/>
      <w:bookmarkEnd w:id="202"/>
      <w:bookmarkEnd w:id="203"/>
      <w:bookmarkEnd w:id="204"/>
      <w:bookmarkEnd w:id="205"/>
      <w:bookmarkEnd w:id="206"/>
      <w:bookmarkEnd w:id="207"/>
      <w:bookmarkEnd w:id="208"/>
    </w:p>
    <w:p w14:paraId="76976C61">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ascii="宋体" w:hAnsi="宋体"/>
          <w:snapToGrid w:val="0"/>
          <w:color w:val="auto"/>
          <w:kern w:val="0"/>
          <w:szCs w:val="21"/>
          <w:highlight w:val="none"/>
        </w:rPr>
        <w:t>投标人拟在中标后将中标项目的部分非主体、非关键性工作进行分包的，应符合投标人须知前附表规定的分包内容、分包金额和接受分包的第三人资质要求等限制性条件。</w:t>
      </w:r>
    </w:p>
    <w:p w14:paraId="78632FCF">
      <w:pPr>
        <w:pStyle w:val="5"/>
        <w:snapToGrid w:val="0"/>
        <w:spacing w:before="0" w:after="0" w:line="360" w:lineRule="auto"/>
        <w:rPr>
          <w:rFonts w:ascii="宋体" w:hAnsi="宋体"/>
          <w:b w:val="0"/>
          <w:snapToGrid w:val="0"/>
          <w:color w:val="auto"/>
          <w:sz w:val="24"/>
          <w:szCs w:val="24"/>
          <w:highlight w:val="none"/>
        </w:rPr>
      </w:pPr>
      <w:bookmarkStart w:id="209" w:name="_Toc287607759"/>
      <w:bookmarkStart w:id="210" w:name="_Toc12072"/>
      <w:bookmarkStart w:id="211" w:name="_Toc14550"/>
      <w:bookmarkStart w:id="212" w:name="_Toc430530448"/>
      <w:bookmarkStart w:id="213" w:name="_Toc277082565"/>
      <w:bookmarkStart w:id="214" w:name="_Toc200513139"/>
      <w:bookmarkStart w:id="215" w:name="_Toc287620698"/>
      <w:bookmarkStart w:id="216" w:name="_Toc509218723"/>
      <w:bookmarkStart w:id="217" w:name="_Toc224103330"/>
      <w:r>
        <w:rPr>
          <w:rFonts w:ascii="宋体" w:hAnsi="宋体"/>
          <w:b w:val="0"/>
          <w:snapToGrid w:val="0"/>
          <w:color w:val="auto"/>
          <w:sz w:val="24"/>
          <w:szCs w:val="24"/>
          <w:highlight w:val="none"/>
        </w:rPr>
        <w:t>1.12  偏离</w:t>
      </w:r>
      <w:bookmarkEnd w:id="209"/>
      <w:bookmarkEnd w:id="210"/>
      <w:bookmarkEnd w:id="211"/>
      <w:bookmarkEnd w:id="212"/>
      <w:bookmarkEnd w:id="213"/>
      <w:bookmarkEnd w:id="214"/>
      <w:bookmarkEnd w:id="215"/>
      <w:bookmarkEnd w:id="216"/>
      <w:bookmarkEnd w:id="217"/>
    </w:p>
    <w:p w14:paraId="1D9E024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投标人须知前附表允许投标文件偏离</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某些要求的，偏离应当符合</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规定 的偏离范围和幅度。</w:t>
      </w:r>
    </w:p>
    <w:p w14:paraId="7F57076D">
      <w:pPr>
        <w:pStyle w:val="4"/>
        <w:spacing w:before="0" w:after="0" w:line="360" w:lineRule="auto"/>
        <w:rPr>
          <w:rFonts w:hint="eastAsia" w:ascii="宋体" w:hAnsi="宋体" w:eastAsia="宋体"/>
          <w:b w:val="0"/>
          <w:snapToGrid w:val="0"/>
          <w:color w:val="auto"/>
          <w:highlight w:val="none"/>
          <w:lang w:eastAsia="zh-CN"/>
        </w:rPr>
      </w:pPr>
      <w:bookmarkStart w:id="218" w:name="_Toc224103331"/>
      <w:bookmarkStart w:id="219" w:name="_Toc430530449"/>
      <w:bookmarkStart w:id="220" w:name="_Toc200513140"/>
      <w:bookmarkStart w:id="221" w:name="_Toc509218724"/>
      <w:bookmarkStart w:id="222" w:name="_Toc287620699"/>
      <w:bookmarkStart w:id="223" w:name="_Toc277082566"/>
      <w:bookmarkStart w:id="224" w:name="_Toc287607760"/>
      <w:bookmarkStart w:id="225" w:name="_Toc2278"/>
      <w:bookmarkStart w:id="226" w:name="_Toc16150"/>
      <w:r>
        <w:rPr>
          <w:rFonts w:ascii="宋体" w:hAnsi="宋体"/>
          <w:b w:val="0"/>
          <w:snapToGrid w:val="0"/>
          <w:color w:val="auto"/>
          <w:highlight w:val="none"/>
        </w:rPr>
        <w:t xml:space="preserve">2.  </w:t>
      </w:r>
      <w:bookmarkEnd w:id="218"/>
      <w:bookmarkEnd w:id="219"/>
      <w:bookmarkEnd w:id="220"/>
      <w:bookmarkEnd w:id="221"/>
      <w:bookmarkEnd w:id="222"/>
      <w:bookmarkEnd w:id="223"/>
      <w:bookmarkEnd w:id="224"/>
      <w:r>
        <w:rPr>
          <w:rFonts w:hint="eastAsia" w:ascii="宋体" w:hAnsi="宋体"/>
          <w:b w:val="0"/>
          <w:snapToGrid w:val="0"/>
          <w:color w:val="auto"/>
          <w:highlight w:val="none"/>
          <w:lang w:eastAsia="zh-CN"/>
        </w:rPr>
        <w:t>竞争性比选文件</w:t>
      </w:r>
      <w:bookmarkEnd w:id="225"/>
      <w:bookmarkEnd w:id="226"/>
    </w:p>
    <w:p w14:paraId="18BE0425">
      <w:pPr>
        <w:pStyle w:val="5"/>
        <w:snapToGrid w:val="0"/>
        <w:spacing w:before="0" w:after="0" w:line="360" w:lineRule="auto"/>
        <w:rPr>
          <w:rFonts w:ascii="宋体" w:hAnsi="宋体"/>
          <w:b w:val="0"/>
          <w:snapToGrid w:val="0"/>
          <w:color w:val="auto"/>
          <w:sz w:val="24"/>
          <w:szCs w:val="24"/>
          <w:highlight w:val="none"/>
        </w:rPr>
      </w:pPr>
      <w:bookmarkStart w:id="227" w:name="_Toc430530450"/>
      <w:bookmarkStart w:id="228" w:name="_Toc1895"/>
      <w:bookmarkStart w:id="229" w:name="_Toc31918"/>
      <w:bookmarkStart w:id="230" w:name="_Toc287607761"/>
      <w:bookmarkStart w:id="231" w:name="_Toc224103332"/>
      <w:bookmarkStart w:id="232" w:name="_Toc277082567"/>
      <w:bookmarkStart w:id="233" w:name="_Toc200513141"/>
      <w:bookmarkStart w:id="234" w:name="_Toc287620700"/>
      <w:bookmarkStart w:id="235" w:name="_Toc509218725"/>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lang w:eastAsia="zh-CN"/>
        </w:rPr>
        <w:t>竞争性比选文件</w:t>
      </w:r>
      <w:r>
        <w:rPr>
          <w:rFonts w:ascii="宋体" w:hAnsi="宋体"/>
          <w:b w:val="0"/>
          <w:snapToGrid w:val="0"/>
          <w:color w:val="auto"/>
          <w:sz w:val="24"/>
          <w:szCs w:val="24"/>
          <w:highlight w:val="none"/>
        </w:rPr>
        <w:t>的组成</w:t>
      </w:r>
      <w:bookmarkEnd w:id="227"/>
      <w:bookmarkEnd w:id="228"/>
      <w:bookmarkEnd w:id="229"/>
      <w:bookmarkEnd w:id="230"/>
      <w:bookmarkEnd w:id="231"/>
      <w:bookmarkEnd w:id="232"/>
      <w:bookmarkEnd w:id="233"/>
      <w:bookmarkEnd w:id="234"/>
      <w:bookmarkEnd w:id="235"/>
    </w:p>
    <w:p w14:paraId="146C615B">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包括：</w:t>
      </w:r>
    </w:p>
    <w:p w14:paraId="1F9DACE6">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（1）招标公告；</w:t>
      </w:r>
    </w:p>
    <w:p w14:paraId="63981AF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（2）投标人须知；</w:t>
      </w:r>
    </w:p>
    <w:p w14:paraId="6CC82598">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1183E84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18201DD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（5）工程量清单；</w:t>
      </w:r>
    </w:p>
    <w:p w14:paraId="016DBEC9">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（6）图纸；</w:t>
      </w:r>
    </w:p>
    <w:p w14:paraId="2B34A338">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（7）技术标准和要求；</w:t>
      </w:r>
    </w:p>
    <w:p w14:paraId="6E0E770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（8）投标文件格式；</w:t>
      </w:r>
    </w:p>
    <w:p w14:paraId="18E6FF1A">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（9）投标人须知前附表规定的其他材料。</w:t>
      </w:r>
    </w:p>
    <w:p w14:paraId="6A8EFEF4">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所作的澄清、修改，构成</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的组成部分。</w:t>
      </w:r>
    </w:p>
    <w:p w14:paraId="575FAF91">
      <w:pPr>
        <w:pStyle w:val="5"/>
        <w:snapToGrid w:val="0"/>
        <w:spacing w:before="0" w:after="0" w:line="360" w:lineRule="auto"/>
        <w:rPr>
          <w:rFonts w:ascii="宋体" w:hAnsi="宋体"/>
          <w:b w:val="0"/>
          <w:snapToGrid w:val="0"/>
          <w:color w:val="auto"/>
          <w:sz w:val="24"/>
          <w:szCs w:val="24"/>
          <w:highlight w:val="none"/>
        </w:rPr>
      </w:pPr>
      <w:bookmarkStart w:id="236" w:name="_Toc509218726"/>
      <w:bookmarkStart w:id="237" w:name="_Toc21856"/>
      <w:bookmarkStart w:id="238" w:name="_Toc430530451"/>
      <w:bookmarkStart w:id="239" w:name="_Toc17173"/>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lang w:eastAsia="zh-CN"/>
        </w:rPr>
        <w:t>竞争性比选文件</w:t>
      </w:r>
      <w:r>
        <w:rPr>
          <w:rFonts w:ascii="宋体" w:hAnsi="宋体"/>
          <w:b w:val="0"/>
          <w:snapToGrid w:val="0"/>
          <w:color w:val="auto"/>
          <w:sz w:val="24"/>
          <w:szCs w:val="24"/>
          <w:highlight w:val="none"/>
        </w:rPr>
        <w:t>的澄清</w:t>
      </w:r>
      <w:bookmarkEnd w:id="236"/>
      <w:bookmarkEnd w:id="237"/>
      <w:bookmarkEnd w:id="238"/>
      <w:bookmarkEnd w:id="239"/>
    </w:p>
    <w:p w14:paraId="14E614D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2.2.1  投标人应仔细阅读和检查</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的全部内容。如发现缺页或附件不全，应及时向招标人提出，以便补齐。如有疑问，应在投标人须知前附表规定的时间前</w:t>
      </w:r>
      <w:r>
        <w:rPr>
          <w:rFonts w:ascii="宋体" w:hAnsi="宋体"/>
          <w:color w:val="auto"/>
          <w:kern w:val="0"/>
          <w:szCs w:val="21"/>
          <w:highlight w:val="none"/>
        </w:rPr>
        <w:t>在</w:t>
      </w:r>
      <w:r>
        <w:rPr>
          <w:rFonts w:hint="eastAsia" w:ascii="宋体" w:hAnsi="宋体"/>
          <w:color w:val="auto"/>
          <w:kern w:val="0"/>
          <w:szCs w:val="21"/>
          <w:highlight w:val="none"/>
        </w:rPr>
        <w:t>相应法定网站提问</w:t>
      </w:r>
      <w:r>
        <w:rPr>
          <w:rFonts w:ascii="宋体" w:hAnsi="宋体"/>
          <w:snapToGrid w:val="0"/>
          <w:color w:val="auto"/>
          <w:kern w:val="0"/>
          <w:szCs w:val="21"/>
          <w:highlight w:val="none"/>
        </w:rPr>
        <w:t>，要求招标人对</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予以澄清。</w:t>
      </w:r>
    </w:p>
    <w:p w14:paraId="7079C8B1">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2.2.2  </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的澄清将在投标人须知前附表规定的投标截止时间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天前</w:t>
      </w:r>
      <w:r>
        <w:rPr>
          <w:rFonts w:ascii="宋体" w:hAnsi="宋体"/>
          <w:color w:val="auto"/>
          <w:kern w:val="0"/>
          <w:szCs w:val="21"/>
          <w:highlight w:val="none"/>
        </w:rPr>
        <w:t>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但不指明澄清问题的来源。如果澄清发出的时间距投标截止时间不足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天，相应延长投标截止时间。</w:t>
      </w:r>
    </w:p>
    <w:p w14:paraId="4249AE02">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ascii="宋体" w:hAnsi="宋体"/>
          <w:color w:val="auto"/>
          <w:kern w:val="0"/>
          <w:szCs w:val="21"/>
          <w:highlight w:val="none"/>
        </w:rPr>
        <w:t>招标人对</w:t>
      </w:r>
      <w:r>
        <w:rPr>
          <w:rFonts w:hint="eastAsia" w:ascii="宋体" w:hAnsi="宋体"/>
          <w:color w:val="auto"/>
          <w:kern w:val="0"/>
          <w:szCs w:val="21"/>
          <w:highlight w:val="none"/>
          <w:lang w:eastAsia="zh-CN"/>
        </w:rPr>
        <w:t>竞争性比选文件</w:t>
      </w:r>
      <w:r>
        <w:rPr>
          <w:rFonts w:ascii="宋体" w:hAnsi="宋体"/>
          <w:color w:val="auto"/>
          <w:kern w:val="0"/>
          <w:szCs w:val="21"/>
          <w:highlight w:val="none"/>
        </w:rPr>
        <w:t>的</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日的，须相应延后投标截止时间。</w:t>
      </w:r>
    </w:p>
    <w:p w14:paraId="6C09B06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2.2.4  投标人对</w:t>
      </w:r>
      <w:r>
        <w:rPr>
          <w:rFonts w:hint="eastAsia" w:ascii="宋体" w:hAnsi="宋体"/>
          <w:snapToGrid w:val="0"/>
          <w:color w:val="auto"/>
          <w:kern w:val="0"/>
          <w:position w:val="-2"/>
          <w:szCs w:val="21"/>
          <w:highlight w:val="none"/>
          <w:lang w:eastAsia="zh-CN"/>
        </w:rPr>
        <w:t>竞争性比选文件</w:t>
      </w:r>
      <w:r>
        <w:rPr>
          <w:rFonts w:ascii="宋体" w:hAnsi="宋体"/>
          <w:snapToGrid w:val="0"/>
          <w:color w:val="auto"/>
          <w:kern w:val="0"/>
          <w:position w:val="-2"/>
          <w:szCs w:val="21"/>
          <w:highlight w:val="none"/>
        </w:rPr>
        <w:t>和</w:t>
      </w:r>
      <w:r>
        <w:rPr>
          <w:rFonts w:hint="eastAsia" w:ascii="宋体" w:hAnsi="宋体"/>
          <w:snapToGrid w:val="0"/>
          <w:color w:val="auto"/>
          <w:kern w:val="0"/>
          <w:position w:val="-2"/>
          <w:szCs w:val="21"/>
          <w:highlight w:val="none"/>
        </w:rPr>
        <w:t>澄清</w:t>
      </w:r>
      <w:r>
        <w:rPr>
          <w:rFonts w:ascii="宋体" w:hAnsi="宋体"/>
          <w:snapToGrid w:val="0"/>
          <w:color w:val="auto"/>
          <w:kern w:val="0"/>
          <w:position w:val="-2"/>
          <w:szCs w:val="21"/>
          <w:highlight w:val="none"/>
        </w:rPr>
        <w:t>修改仍有</w:t>
      </w:r>
      <w:r>
        <w:rPr>
          <w:rFonts w:hint="eastAsia" w:ascii="宋体" w:hAnsi="宋体"/>
          <w:snapToGrid w:val="0"/>
          <w:color w:val="auto"/>
          <w:kern w:val="0"/>
          <w:position w:val="-2"/>
          <w:szCs w:val="21"/>
          <w:highlight w:val="none"/>
        </w:rPr>
        <w:t>异议</w:t>
      </w:r>
      <w:r>
        <w:rPr>
          <w:rFonts w:ascii="宋体" w:hAnsi="宋体"/>
          <w:snapToGrid w:val="0"/>
          <w:color w:val="auto"/>
          <w:kern w:val="0"/>
          <w:position w:val="-2"/>
          <w:szCs w:val="21"/>
          <w:highlight w:val="none"/>
        </w:rPr>
        <w:t>的，可于投标截止时间</w:t>
      </w:r>
      <w:r>
        <w:rPr>
          <w:rFonts w:hint="eastAsia" w:ascii="宋体" w:hAnsi="宋体"/>
          <w:snapToGrid w:val="0"/>
          <w:color w:val="auto"/>
          <w:kern w:val="0"/>
          <w:position w:val="-2"/>
          <w:szCs w:val="21"/>
          <w:highlight w:val="none"/>
          <w:lang w:val="en-US" w:eastAsia="zh-CN"/>
        </w:rPr>
        <w:t>3</w:t>
      </w:r>
      <w:r>
        <w:rPr>
          <w:rFonts w:ascii="宋体" w:hAnsi="宋体"/>
          <w:snapToGrid w:val="0"/>
          <w:color w:val="auto"/>
          <w:kern w:val="0"/>
          <w:position w:val="-2"/>
          <w:szCs w:val="21"/>
          <w:highlight w:val="none"/>
        </w:rPr>
        <w:t>日前，</w:t>
      </w:r>
      <w:r>
        <w:rPr>
          <w:rFonts w:hint="eastAsia" w:ascii="宋体" w:hAnsi="宋体" w:cs="宋体"/>
          <w:snapToGrid w:val="0"/>
          <w:color w:val="auto"/>
          <w:position w:val="-2"/>
          <w:szCs w:val="21"/>
          <w:highlight w:val="none"/>
        </w:rPr>
        <w:t>通过</w:t>
      </w:r>
      <w:r>
        <w:rPr>
          <w:rFonts w:hint="eastAsia" w:ascii="宋体" w:hAnsi="宋体" w:cs="宋体"/>
          <w:snapToGrid w:val="0"/>
          <w:color w:val="auto"/>
          <w:position w:val="-2"/>
          <w:szCs w:val="21"/>
          <w:highlight w:val="none"/>
          <w:lang w:val="en-US" w:eastAsia="zh-CN"/>
        </w:rPr>
        <w:t>邮件形式</w:t>
      </w:r>
      <w:r>
        <w:rPr>
          <w:rFonts w:hint="eastAsia" w:ascii="宋体" w:hAnsi="宋体" w:cs="宋体"/>
          <w:snapToGrid w:val="0"/>
          <w:color w:val="auto"/>
          <w:position w:val="-2"/>
          <w:szCs w:val="21"/>
          <w:highlight w:val="none"/>
        </w:rPr>
        <w:t>提出</w:t>
      </w:r>
      <w:r>
        <w:rPr>
          <w:rFonts w:ascii="宋体" w:hAnsi="宋体"/>
          <w:snapToGrid w:val="0"/>
          <w:color w:val="auto"/>
          <w:kern w:val="0"/>
          <w:szCs w:val="21"/>
          <w:highlight w:val="none"/>
        </w:rPr>
        <w:t>。招标人应将答复以</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的形式在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日的，须相应延后投标截止时间。</w:t>
      </w:r>
    </w:p>
    <w:p w14:paraId="39138965">
      <w:pPr>
        <w:pStyle w:val="5"/>
        <w:snapToGrid w:val="0"/>
        <w:spacing w:before="0" w:after="0" w:line="360" w:lineRule="auto"/>
        <w:rPr>
          <w:rFonts w:ascii="宋体" w:hAnsi="宋体"/>
          <w:b w:val="0"/>
          <w:snapToGrid w:val="0"/>
          <w:color w:val="auto"/>
          <w:sz w:val="24"/>
          <w:szCs w:val="24"/>
          <w:highlight w:val="none"/>
        </w:rPr>
      </w:pPr>
      <w:bookmarkStart w:id="240" w:name="_Toc430530452"/>
      <w:bookmarkStart w:id="241" w:name="_Toc20314"/>
      <w:bookmarkStart w:id="242" w:name="_Toc200513143"/>
      <w:bookmarkStart w:id="243" w:name="_Toc509218727"/>
      <w:bookmarkStart w:id="244" w:name="_Toc224103334"/>
      <w:bookmarkStart w:id="245" w:name="_Toc287607763"/>
      <w:bookmarkStart w:id="246" w:name="_Toc277082569"/>
      <w:bookmarkStart w:id="247" w:name="_Toc287620702"/>
      <w:bookmarkStart w:id="248" w:name="_Toc7001"/>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lang w:eastAsia="zh-CN"/>
        </w:rPr>
        <w:t>竞争性比选文件</w:t>
      </w:r>
      <w:r>
        <w:rPr>
          <w:rFonts w:ascii="宋体" w:hAnsi="宋体"/>
          <w:b w:val="0"/>
          <w:snapToGrid w:val="0"/>
          <w:color w:val="auto"/>
          <w:sz w:val="24"/>
          <w:szCs w:val="24"/>
          <w:highlight w:val="none"/>
        </w:rPr>
        <w:t>的修改</w:t>
      </w:r>
      <w:bookmarkEnd w:id="240"/>
      <w:bookmarkEnd w:id="241"/>
      <w:bookmarkEnd w:id="242"/>
      <w:bookmarkEnd w:id="243"/>
      <w:bookmarkEnd w:id="244"/>
      <w:bookmarkEnd w:id="245"/>
      <w:bookmarkEnd w:id="246"/>
      <w:bookmarkEnd w:id="247"/>
      <w:bookmarkEnd w:id="248"/>
    </w:p>
    <w:p w14:paraId="5E740765">
      <w:pPr>
        <w:autoSpaceDE w:val="0"/>
        <w:autoSpaceDN w:val="0"/>
        <w:adjustRightInd w:val="0"/>
        <w:snapToGrid w:val="0"/>
        <w:spacing w:line="360" w:lineRule="auto"/>
        <w:ind w:firstLine="420"/>
        <w:rPr>
          <w:rFonts w:ascii="宋体" w:hAnsi="宋体"/>
          <w:snapToGrid w:val="0"/>
          <w:color w:val="auto"/>
          <w:highlight w:val="none"/>
        </w:rPr>
      </w:pPr>
      <w:bookmarkStart w:id="249" w:name="_Toc277082570"/>
      <w:bookmarkStart w:id="250" w:name="_Toc287607764"/>
      <w:bookmarkStart w:id="251" w:name="_Toc287620703"/>
      <w:bookmarkStart w:id="252" w:name="_Toc224103335"/>
      <w:bookmarkStart w:id="253" w:name="_Toc200513144"/>
      <w:r>
        <w:rPr>
          <w:rFonts w:ascii="宋体" w:hAnsi="宋体"/>
          <w:snapToGrid w:val="0"/>
          <w:color w:val="auto"/>
          <w:highlight w:val="none"/>
        </w:rPr>
        <w:t>按照本章第2.2款</w:t>
      </w:r>
      <w:r>
        <w:rPr>
          <w:rFonts w:hint="eastAsia" w:ascii="宋体" w:hAnsi="宋体"/>
          <w:snapToGrid w:val="0"/>
          <w:color w:val="auto"/>
          <w:highlight w:val="none"/>
          <w:lang w:eastAsia="zh-CN"/>
        </w:rPr>
        <w:t>竞争性比选文件</w:t>
      </w:r>
      <w:r>
        <w:rPr>
          <w:rFonts w:ascii="宋体" w:hAnsi="宋体"/>
          <w:snapToGrid w:val="0"/>
          <w:color w:val="auto"/>
          <w:highlight w:val="none"/>
        </w:rPr>
        <w:t>的澄清相关内容及方式执行。</w:t>
      </w:r>
    </w:p>
    <w:p w14:paraId="652BC2D6">
      <w:pPr>
        <w:pStyle w:val="4"/>
        <w:spacing w:before="0" w:after="0" w:line="360" w:lineRule="auto"/>
        <w:rPr>
          <w:rFonts w:ascii="宋体" w:hAnsi="宋体"/>
          <w:b w:val="0"/>
          <w:snapToGrid w:val="0"/>
          <w:color w:val="auto"/>
          <w:highlight w:val="none"/>
        </w:rPr>
      </w:pPr>
      <w:bookmarkStart w:id="254" w:name="_Toc21780"/>
      <w:bookmarkStart w:id="255" w:name="_Toc13480"/>
      <w:bookmarkStart w:id="256" w:name="_Toc509218728"/>
      <w:bookmarkStart w:id="257" w:name="_Toc430530453"/>
      <w:r>
        <w:rPr>
          <w:rFonts w:ascii="宋体" w:hAnsi="宋体"/>
          <w:b w:val="0"/>
          <w:snapToGrid w:val="0"/>
          <w:color w:val="auto"/>
          <w:highlight w:val="none"/>
        </w:rPr>
        <w:t>3.  投标文件</w:t>
      </w:r>
      <w:bookmarkEnd w:id="249"/>
      <w:bookmarkEnd w:id="250"/>
      <w:bookmarkEnd w:id="251"/>
      <w:bookmarkEnd w:id="252"/>
      <w:bookmarkEnd w:id="253"/>
      <w:bookmarkEnd w:id="254"/>
      <w:bookmarkEnd w:id="255"/>
      <w:bookmarkEnd w:id="256"/>
      <w:bookmarkEnd w:id="257"/>
    </w:p>
    <w:p w14:paraId="33460426">
      <w:pPr>
        <w:pStyle w:val="5"/>
        <w:snapToGrid w:val="0"/>
        <w:spacing w:before="0" w:after="0" w:line="360" w:lineRule="auto"/>
        <w:rPr>
          <w:rFonts w:ascii="宋体" w:hAnsi="宋体"/>
          <w:b w:val="0"/>
          <w:snapToGrid w:val="0"/>
          <w:color w:val="auto"/>
          <w:sz w:val="24"/>
          <w:szCs w:val="24"/>
          <w:highlight w:val="none"/>
        </w:rPr>
      </w:pPr>
      <w:bookmarkStart w:id="258" w:name="_Toc287620704"/>
      <w:bookmarkStart w:id="259" w:name="_Toc509218729"/>
      <w:bookmarkStart w:id="260" w:name="_Toc287607765"/>
      <w:bookmarkStart w:id="261" w:name="_Toc277082571"/>
      <w:bookmarkStart w:id="262" w:name="_Toc11450"/>
      <w:bookmarkStart w:id="263" w:name="_Toc29443"/>
      <w:bookmarkStart w:id="264" w:name="_Toc430530454"/>
      <w:bookmarkStart w:id="265" w:name="_Toc200513145"/>
      <w:bookmarkStart w:id="266" w:name="_Toc224103336"/>
      <w:r>
        <w:rPr>
          <w:rFonts w:ascii="宋体" w:hAnsi="宋体"/>
          <w:b w:val="0"/>
          <w:snapToGrid w:val="0"/>
          <w:color w:val="auto"/>
          <w:sz w:val="24"/>
          <w:szCs w:val="24"/>
          <w:highlight w:val="none"/>
        </w:rPr>
        <w:t>3.1  投标文件的组成</w:t>
      </w:r>
      <w:bookmarkEnd w:id="258"/>
      <w:bookmarkEnd w:id="259"/>
      <w:bookmarkEnd w:id="260"/>
      <w:bookmarkEnd w:id="261"/>
      <w:bookmarkEnd w:id="262"/>
      <w:bookmarkEnd w:id="263"/>
      <w:bookmarkEnd w:id="264"/>
      <w:bookmarkEnd w:id="265"/>
      <w:bookmarkEnd w:id="266"/>
    </w:p>
    <w:p w14:paraId="234E80C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3.1.1 投标文件应包括下列内容：</w:t>
      </w:r>
    </w:p>
    <w:p w14:paraId="3AA1FA32">
      <w:pPr>
        <w:spacing w:line="360" w:lineRule="auto"/>
        <w:ind w:firstLine="420" w:firstLineChars="200"/>
        <w:rPr>
          <w:rFonts w:ascii="宋体" w:hAnsi="宋体"/>
          <w:color w:val="auto"/>
          <w:highlight w:val="none"/>
        </w:rPr>
      </w:pPr>
      <w:r>
        <w:rPr>
          <w:rFonts w:hint="eastAsia" w:ascii="宋体" w:hAnsi="宋体"/>
          <w:color w:val="auto"/>
          <w:highlight w:val="none"/>
        </w:rPr>
        <w:t>3.1.1.1投标函部分</w:t>
      </w:r>
    </w:p>
    <w:p w14:paraId="2DA7BB94">
      <w:pPr>
        <w:spacing w:line="360" w:lineRule="auto"/>
        <w:ind w:firstLine="420" w:firstLineChars="200"/>
        <w:rPr>
          <w:rFonts w:ascii="宋体" w:hAnsi="宋体"/>
          <w:color w:val="auto"/>
          <w:highlight w:val="none"/>
        </w:rPr>
      </w:pPr>
      <w:r>
        <w:rPr>
          <w:rFonts w:hint="eastAsia" w:ascii="宋体" w:hAnsi="宋体"/>
          <w:color w:val="auto"/>
          <w:highlight w:val="none"/>
        </w:rPr>
        <w:t>（1）投标函</w:t>
      </w:r>
    </w:p>
    <w:p w14:paraId="08C68333">
      <w:pPr>
        <w:spacing w:line="360" w:lineRule="auto"/>
        <w:ind w:firstLine="420" w:firstLineChars="200"/>
        <w:rPr>
          <w:rFonts w:ascii="宋体" w:hAnsi="宋体"/>
          <w:color w:val="auto"/>
          <w:highlight w:val="none"/>
        </w:rPr>
      </w:pPr>
      <w:r>
        <w:rPr>
          <w:rFonts w:hint="eastAsia" w:ascii="宋体" w:hAnsi="宋体"/>
          <w:color w:val="auto"/>
          <w:highlight w:val="none"/>
        </w:rPr>
        <w:t>（2）投标函附录</w:t>
      </w:r>
    </w:p>
    <w:p w14:paraId="6ABA192B">
      <w:pPr>
        <w:spacing w:line="360" w:lineRule="auto"/>
        <w:ind w:firstLine="420" w:firstLineChars="200"/>
        <w:rPr>
          <w:rFonts w:ascii="宋体" w:hAnsi="宋体"/>
          <w:color w:val="auto"/>
          <w:highlight w:val="none"/>
        </w:rPr>
      </w:pPr>
      <w:r>
        <w:rPr>
          <w:rFonts w:hint="eastAsia" w:ascii="宋体" w:hAnsi="宋体"/>
          <w:color w:val="auto"/>
          <w:highlight w:val="none"/>
        </w:rPr>
        <w:t>（3）法定代表人身份证明或附有法定代表人身份证明的授权委托书</w:t>
      </w:r>
    </w:p>
    <w:p w14:paraId="70907C95">
      <w:pPr>
        <w:spacing w:line="360" w:lineRule="auto"/>
        <w:ind w:firstLine="420" w:firstLineChars="200"/>
        <w:rPr>
          <w:rFonts w:ascii="宋体" w:hAnsi="宋体"/>
          <w:color w:val="auto"/>
          <w:highlight w:val="none"/>
        </w:rPr>
      </w:pPr>
      <w:r>
        <w:rPr>
          <w:rFonts w:hint="eastAsia" w:ascii="宋体" w:hAnsi="宋体"/>
          <w:color w:val="auto"/>
          <w:highlight w:val="none"/>
        </w:rPr>
        <w:t>（4）低价风险担保提交承诺书（如有）</w:t>
      </w:r>
    </w:p>
    <w:p w14:paraId="59AE4B5A">
      <w:pPr>
        <w:spacing w:line="360" w:lineRule="auto"/>
        <w:ind w:firstLine="420" w:firstLineChars="200"/>
        <w:rPr>
          <w:rFonts w:ascii="宋体" w:hAnsi="宋体"/>
          <w:color w:val="auto"/>
          <w:highlight w:val="none"/>
        </w:rPr>
      </w:pPr>
      <w:r>
        <w:rPr>
          <w:rFonts w:hint="eastAsia" w:ascii="宋体" w:hAnsi="宋体"/>
          <w:color w:val="auto"/>
          <w:highlight w:val="none"/>
        </w:rPr>
        <w:t>3.1.1.2经济部分</w:t>
      </w:r>
    </w:p>
    <w:p w14:paraId="7915F9AE">
      <w:pPr>
        <w:spacing w:line="360" w:lineRule="auto"/>
        <w:ind w:firstLine="420" w:firstLineChars="200"/>
        <w:rPr>
          <w:rFonts w:ascii="宋体" w:hAnsi="宋体"/>
          <w:color w:val="auto"/>
          <w:highlight w:val="none"/>
        </w:rPr>
      </w:pPr>
      <w:r>
        <w:rPr>
          <w:rFonts w:hint="eastAsia" w:ascii="宋体" w:hAnsi="宋体"/>
          <w:color w:val="auto"/>
          <w:highlight w:val="none"/>
        </w:rPr>
        <w:t>（1）已标价工程量清单</w:t>
      </w:r>
    </w:p>
    <w:p w14:paraId="31784B13">
      <w:pPr>
        <w:spacing w:line="360" w:lineRule="auto"/>
        <w:ind w:firstLine="420" w:firstLineChars="200"/>
        <w:rPr>
          <w:rFonts w:ascii="宋体" w:hAnsi="宋体"/>
          <w:color w:val="auto"/>
          <w:highlight w:val="none"/>
        </w:rPr>
      </w:pPr>
      <w:r>
        <w:rPr>
          <w:rFonts w:hint="eastAsia" w:ascii="宋体" w:hAnsi="宋体"/>
          <w:color w:val="auto"/>
          <w:highlight w:val="none"/>
        </w:rPr>
        <w:t>3.1.1.3技术部分（不设置技术方案评审的不设此部分）</w:t>
      </w:r>
    </w:p>
    <w:p w14:paraId="7CD577F6">
      <w:pPr>
        <w:spacing w:line="360" w:lineRule="auto"/>
        <w:ind w:firstLine="420" w:firstLineChars="200"/>
        <w:rPr>
          <w:rFonts w:ascii="宋体" w:hAnsi="宋体"/>
          <w:color w:val="auto"/>
          <w:highlight w:val="none"/>
        </w:rPr>
      </w:pPr>
      <w:r>
        <w:rPr>
          <w:rFonts w:hint="eastAsia" w:ascii="宋体" w:hAnsi="宋体"/>
          <w:color w:val="auto"/>
          <w:highlight w:val="none"/>
        </w:rPr>
        <w:t>3.1.1.4资格审查部分</w:t>
      </w:r>
    </w:p>
    <w:p w14:paraId="14E3A68E">
      <w:pPr>
        <w:spacing w:line="360" w:lineRule="auto"/>
        <w:ind w:firstLine="420" w:firstLineChars="200"/>
        <w:rPr>
          <w:rFonts w:ascii="宋体" w:hAnsi="宋体"/>
          <w:color w:val="auto"/>
          <w:highlight w:val="none"/>
        </w:rPr>
      </w:pPr>
      <w:r>
        <w:rPr>
          <w:rFonts w:hint="eastAsia" w:ascii="宋体" w:hAnsi="宋体"/>
          <w:color w:val="auto"/>
          <w:highlight w:val="none"/>
        </w:rPr>
        <w:t>（1）法定代表人身份证明或附有法定代表人身份证明的授权委托书</w:t>
      </w:r>
    </w:p>
    <w:p w14:paraId="0C567FED">
      <w:pPr>
        <w:spacing w:line="360" w:lineRule="auto"/>
        <w:ind w:firstLine="420" w:firstLineChars="200"/>
        <w:rPr>
          <w:rFonts w:ascii="宋体" w:hAnsi="宋体"/>
          <w:color w:val="auto"/>
          <w:highlight w:val="none"/>
        </w:rPr>
      </w:pPr>
      <w:r>
        <w:rPr>
          <w:rFonts w:hint="eastAsia" w:ascii="宋体" w:hAnsi="宋体"/>
          <w:color w:val="auto"/>
          <w:highlight w:val="none"/>
        </w:rPr>
        <w:t>（2）投标人基本情况表</w:t>
      </w:r>
    </w:p>
    <w:p w14:paraId="0D0D3491">
      <w:pPr>
        <w:spacing w:line="360" w:lineRule="auto"/>
        <w:ind w:firstLine="420" w:firstLineChars="200"/>
        <w:rPr>
          <w:rFonts w:ascii="宋体" w:hAnsi="宋体"/>
          <w:color w:val="auto"/>
          <w:highlight w:val="none"/>
        </w:rPr>
      </w:pPr>
      <w:r>
        <w:rPr>
          <w:rFonts w:hint="eastAsia" w:ascii="宋体" w:hAnsi="宋体"/>
          <w:color w:val="auto"/>
          <w:highlight w:val="none"/>
        </w:rPr>
        <w:t>（3）项目管理机构</w:t>
      </w:r>
    </w:p>
    <w:p w14:paraId="7E920A50">
      <w:pPr>
        <w:spacing w:line="360" w:lineRule="auto"/>
        <w:ind w:firstLine="420" w:firstLineChars="200"/>
        <w:rPr>
          <w:rFonts w:ascii="宋体" w:hAnsi="宋体"/>
          <w:color w:val="auto"/>
          <w:highlight w:val="none"/>
        </w:rPr>
      </w:pPr>
      <w:r>
        <w:rPr>
          <w:rFonts w:hint="eastAsia" w:ascii="宋体" w:hAnsi="宋体"/>
          <w:color w:val="auto"/>
          <w:highlight w:val="none"/>
        </w:rPr>
        <w:t>（4）近年财务状况表</w:t>
      </w:r>
    </w:p>
    <w:p w14:paraId="0FCC2E4A">
      <w:pPr>
        <w:spacing w:line="360" w:lineRule="auto"/>
        <w:ind w:firstLine="420" w:firstLineChars="200"/>
        <w:rPr>
          <w:rFonts w:ascii="宋体" w:hAnsi="宋体"/>
          <w:color w:val="auto"/>
          <w:highlight w:val="none"/>
        </w:rPr>
      </w:pPr>
      <w:r>
        <w:rPr>
          <w:rFonts w:hint="eastAsia" w:ascii="宋体" w:hAnsi="宋体"/>
          <w:color w:val="auto"/>
          <w:highlight w:val="none"/>
        </w:rPr>
        <w:t>（5）类似项目情况表</w:t>
      </w:r>
    </w:p>
    <w:p w14:paraId="718BDA29">
      <w:pPr>
        <w:spacing w:line="360" w:lineRule="auto"/>
        <w:ind w:firstLine="420" w:firstLineChars="200"/>
        <w:rPr>
          <w:rFonts w:ascii="宋体" w:hAnsi="宋体"/>
          <w:color w:val="auto"/>
          <w:highlight w:val="none"/>
        </w:rPr>
      </w:pPr>
      <w:r>
        <w:rPr>
          <w:rFonts w:hint="eastAsia" w:ascii="宋体" w:hAnsi="宋体"/>
          <w:color w:val="auto"/>
          <w:highlight w:val="none"/>
        </w:rPr>
        <w:t>（6）承诺</w:t>
      </w:r>
    </w:p>
    <w:p w14:paraId="75BFB18C">
      <w:pPr>
        <w:spacing w:line="360" w:lineRule="auto"/>
        <w:ind w:firstLine="420" w:firstLineChars="200"/>
        <w:rPr>
          <w:rFonts w:ascii="宋体" w:hAnsi="宋体"/>
          <w:color w:val="auto"/>
          <w:highlight w:val="none"/>
        </w:rPr>
      </w:pPr>
      <w:r>
        <w:rPr>
          <w:rFonts w:hint="eastAsia" w:ascii="宋体" w:hAnsi="宋体"/>
          <w:color w:val="auto"/>
          <w:highlight w:val="none"/>
        </w:rPr>
        <w:t>（7）其他资料</w:t>
      </w:r>
    </w:p>
    <w:p w14:paraId="18EC22D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3.1.2  投标人须知前附表规定不接受联合体投标的，或投标人没有组成联合体的，投标文件不包括联合体协议书。</w:t>
      </w:r>
    </w:p>
    <w:p w14:paraId="78626F14">
      <w:pPr>
        <w:pStyle w:val="5"/>
        <w:snapToGrid w:val="0"/>
        <w:spacing w:before="0" w:after="0" w:line="360" w:lineRule="auto"/>
        <w:rPr>
          <w:rFonts w:ascii="宋体" w:hAnsi="宋体"/>
          <w:b w:val="0"/>
          <w:snapToGrid w:val="0"/>
          <w:color w:val="auto"/>
          <w:sz w:val="24"/>
          <w:szCs w:val="24"/>
          <w:highlight w:val="none"/>
        </w:rPr>
      </w:pPr>
      <w:bookmarkStart w:id="267" w:name="_Toc200513146"/>
      <w:bookmarkStart w:id="268" w:name="_Toc16323"/>
      <w:bookmarkStart w:id="269" w:name="_Toc430530455"/>
      <w:bookmarkStart w:id="270" w:name="_Toc287607766"/>
      <w:bookmarkStart w:id="271" w:name="_Toc277082572"/>
      <w:bookmarkStart w:id="272" w:name="_Toc224103337"/>
      <w:bookmarkStart w:id="273" w:name="_Toc509218730"/>
      <w:bookmarkStart w:id="274" w:name="_Toc10118"/>
      <w:bookmarkStart w:id="275" w:name="_Toc287620705"/>
      <w:r>
        <w:rPr>
          <w:rFonts w:ascii="宋体" w:hAnsi="宋体"/>
          <w:b w:val="0"/>
          <w:snapToGrid w:val="0"/>
          <w:color w:val="auto"/>
          <w:sz w:val="24"/>
          <w:szCs w:val="24"/>
          <w:highlight w:val="none"/>
        </w:rPr>
        <w:t>3.2  投标报价</w:t>
      </w:r>
      <w:bookmarkEnd w:id="267"/>
      <w:bookmarkEnd w:id="268"/>
      <w:bookmarkEnd w:id="269"/>
      <w:bookmarkEnd w:id="270"/>
      <w:bookmarkEnd w:id="271"/>
      <w:bookmarkEnd w:id="272"/>
      <w:bookmarkEnd w:id="273"/>
      <w:bookmarkEnd w:id="274"/>
      <w:bookmarkEnd w:id="275"/>
    </w:p>
    <w:p w14:paraId="2471543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3.2.1  投标人应按第五章“工程量清单”的要求填写相应表格。</w:t>
      </w:r>
    </w:p>
    <w:p w14:paraId="0836490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投标人在投标截止时间前修改投标函中的投标总报价，应同时修改第五章“工程量清单”中的相应报价。此修改须符合本章第 4.3 款的有关要求。</w:t>
      </w:r>
    </w:p>
    <w:p w14:paraId="2E22C7BD">
      <w:pPr>
        <w:pStyle w:val="5"/>
        <w:snapToGrid w:val="0"/>
        <w:spacing w:before="0" w:after="0" w:line="360" w:lineRule="auto"/>
        <w:rPr>
          <w:rFonts w:ascii="宋体" w:hAnsi="宋体"/>
          <w:b w:val="0"/>
          <w:snapToGrid w:val="0"/>
          <w:color w:val="auto"/>
          <w:sz w:val="24"/>
          <w:szCs w:val="24"/>
          <w:highlight w:val="none"/>
        </w:rPr>
      </w:pPr>
      <w:bookmarkStart w:id="276" w:name="_Toc277082573"/>
      <w:bookmarkStart w:id="277" w:name="_Toc430530456"/>
      <w:bookmarkStart w:id="278" w:name="_Toc287620706"/>
      <w:bookmarkStart w:id="279" w:name="_Toc509218731"/>
      <w:bookmarkStart w:id="280" w:name="_Toc3598"/>
      <w:bookmarkStart w:id="281" w:name="_Toc224103338"/>
      <w:bookmarkStart w:id="282" w:name="_Toc15691"/>
      <w:bookmarkStart w:id="283" w:name="_Toc287607767"/>
      <w:bookmarkStart w:id="284" w:name="_Toc200513147"/>
      <w:r>
        <w:rPr>
          <w:rFonts w:ascii="宋体" w:hAnsi="宋体"/>
          <w:b w:val="0"/>
          <w:snapToGrid w:val="0"/>
          <w:color w:val="auto"/>
          <w:sz w:val="24"/>
          <w:szCs w:val="24"/>
          <w:highlight w:val="none"/>
        </w:rPr>
        <w:t>3.3  投标有效期</w:t>
      </w:r>
      <w:bookmarkEnd w:id="276"/>
      <w:bookmarkEnd w:id="277"/>
      <w:bookmarkEnd w:id="278"/>
      <w:bookmarkEnd w:id="279"/>
      <w:bookmarkEnd w:id="280"/>
      <w:bookmarkEnd w:id="281"/>
      <w:bookmarkEnd w:id="282"/>
      <w:bookmarkEnd w:id="283"/>
      <w:bookmarkEnd w:id="284"/>
    </w:p>
    <w:p w14:paraId="57308D7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3.3.1  在投标人须知前附表规定的投标有效期内，投标人不得要求撤销或修改其投标文件。</w:t>
      </w:r>
    </w:p>
    <w:p w14:paraId="60CB727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3.3.2  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w:t>
      </w:r>
      <w:r>
        <w:rPr>
          <w:rFonts w:hint="eastAsia" w:ascii="宋体" w:hAnsi="宋体"/>
          <w:snapToGrid w:val="0"/>
          <w:color w:val="auto"/>
          <w:kern w:val="0"/>
          <w:szCs w:val="21"/>
          <w:highlight w:val="none"/>
          <w:lang w:val="en-US" w:eastAsia="zh-CN"/>
        </w:rPr>
        <w:t>保证金</w:t>
      </w:r>
      <w:r>
        <w:rPr>
          <w:rFonts w:ascii="宋体" w:hAnsi="宋体"/>
          <w:snapToGrid w:val="0"/>
          <w:color w:val="auto"/>
          <w:kern w:val="0"/>
          <w:szCs w:val="21"/>
          <w:highlight w:val="none"/>
        </w:rPr>
        <w:t>。</w:t>
      </w:r>
    </w:p>
    <w:p w14:paraId="2F5A4C8F">
      <w:pPr>
        <w:pStyle w:val="5"/>
        <w:keepNext w:val="0"/>
        <w:keepLines w:val="0"/>
        <w:snapToGrid w:val="0"/>
        <w:spacing w:before="0" w:after="0" w:line="360" w:lineRule="auto"/>
        <w:rPr>
          <w:rFonts w:ascii="宋体" w:hAnsi="宋体"/>
          <w:b w:val="0"/>
          <w:snapToGrid w:val="0"/>
          <w:color w:val="auto"/>
          <w:sz w:val="24"/>
          <w:szCs w:val="24"/>
          <w:highlight w:val="none"/>
        </w:rPr>
      </w:pPr>
      <w:bookmarkStart w:id="285" w:name="_Toc509218732"/>
      <w:bookmarkStart w:id="286" w:name="_Toc430530457"/>
      <w:bookmarkStart w:id="287" w:name="_Toc200513148"/>
      <w:bookmarkStart w:id="288" w:name="_Toc224103339"/>
      <w:bookmarkStart w:id="289" w:name="_Toc287607768"/>
      <w:bookmarkStart w:id="290" w:name="_Toc277082574"/>
      <w:bookmarkStart w:id="291" w:name="_Toc287620707"/>
      <w:bookmarkStart w:id="292" w:name="_Toc7151"/>
      <w:bookmarkStart w:id="293" w:name="_Toc19708"/>
      <w:r>
        <w:rPr>
          <w:rFonts w:ascii="宋体" w:hAnsi="宋体"/>
          <w:b w:val="0"/>
          <w:snapToGrid w:val="0"/>
          <w:color w:val="auto"/>
          <w:sz w:val="24"/>
          <w:szCs w:val="24"/>
          <w:highlight w:val="none"/>
        </w:rPr>
        <w:t>3.4  投标</w:t>
      </w:r>
      <w:bookmarkEnd w:id="285"/>
      <w:bookmarkEnd w:id="286"/>
      <w:bookmarkEnd w:id="287"/>
      <w:bookmarkEnd w:id="288"/>
      <w:bookmarkEnd w:id="289"/>
      <w:bookmarkEnd w:id="290"/>
      <w:bookmarkEnd w:id="291"/>
      <w:r>
        <w:rPr>
          <w:rFonts w:hint="eastAsia" w:ascii="宋体" w:hAnsi="宋体"/>
          <w:b w:val="0"/>
          <w:snapToGrid w:val="0"/>
          <w:color w:val="auto"/>
          <w:sz w:val="24"/>
          <w:szCs w:val="24"/>
          <w:highlight w:val="none"/>
        </w:rPr>
        <w:t>保证金</w:t>
      </w:r>
      <w:bookmarkEnd w:id="292"/>
      <w:bookmarkEnd w:id="293"/>
    </w:p>
    <w:p w14:paraId="31A2748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3.4.1  投标人在递交投标文件的同时，应按投标人须知前附表的规定递交投标保证金，并作为其投标文件的组成部分。</w:t>
      </w:r>
    </w:p>
    <w:p w14:paraId="2C86D709">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3.4.2  投标人不按本章第 3.4.1 项要求提交投标保证金的，其投标文件作否决投标处理。</w:t>
      </w:r>
    </w:p>
    <w:p w14:paraId="3930B59D">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3.4.3  投标</w:t>
      </w:r>
      <w:r>
        <w:rPr>
          <w:rFonts w:ascii="宋体" w:hAnsi="宋体"/>
          <w:snapToGrid w:val="0"/>
          <w:color w:val="auto"/>
          <w:kern w:val="0"/>
          <w:position w:val="-2"/>
          <w:szCs w:val="21"/>
          <w:highlight w:val="none"/>
        </w:rPr>
        <w:t>保证金</w:t>
      </w:r>
      <w:r>
        <w:rPr>
          <w:rFonts w:ascii="宋体" w:hAnsi="宋体"/>
          <w:snapToGrid w:val="0"/>
          <w:color w:val="auto"/>
          <w:kern w:val="0"/>
          <w:szCs w:val="21"/>
          <w:highlight w:val="none"/>
        </w:rPr>
        <w:t>退还：见投标人须知前附表</w:t>
      </w:r>
      <w:r>
        <w:rPr>
          <w:rFonts w:ascii="宋体" w:hAnsi="宋体"/>
          <w:snapToGrid w:val="0"/>
          <w:color w:val="auto"/>
          <w:kern w:val="0"/>
          <w:position w:val="-2"/>
          <w:szCs w:val="21"/>
          <w:highlight w:val="none"/>
        </w:rPr>
        <w:t>。</w:t>
      </w:r>
    </w:p>
    <w:p w14:paraId="22979FB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14:paraId="29153E8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（1）投标人在规定的投标有效期内撤销或修改其投标文件；</w:t>
      </w:r>
    </w:p>
    <w:p w14:paraId="6CE5D0F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rPr>
        <w:t>中标人在收到中标通知书后，无正当理由不与招标人订立合同，在签订合同时向招标人提出附加条件，或者不按照</w:t>
      </w:r>
      <w:r>
        <w:rPr>
          <w:rFonts w:hint="eastAsia" w:ascii="宋体" w:hAnsi="宋体"/>
          <w:color w:val="auto"/>
          <w:kern w:val="0"/>
          <w:szCs w:val="21"/>
          <w:highlight w:val="none"/>
          <w:lang w:eastAsia="zh-CN"/>
        </w:rPr>
        <w:t>竞争性比选文件</w:t>
      </w:r>
      <w:r>
        <w:rPr>
          <w:rFonts w:hint="eastAsia" w:ascii="宋体" w:hAnsi="宋体"/>
          <w:color w:val="auto"/>
          <w:kern w:val="0"/>
          <w:szCs w:val="21"/>
          <w:highlight w:val="none"/>
        </w:rPr>
        <w:t>要求提交履约保证金</w:t>
      </w:r>
      <w:r>
        <w:rPr>
          <w:rFonts w:ascii="宋体" w:hAnsi="宋体"/>
          <w:snapToGrid w:val="0"/>
          <w:color w:val="auto"/>
          <w:kern w:val="0"/>
          <w:szCs w:val="21"/>
          <w:highlight w:val="none"/>
        </w:rPr>
        <w:t>；</w:t>
      </w:r>
    </w:p>
    <w:p w14:paraId="5EB3A13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hint="eastAsia" w:ascii="宋体" w:hAnsi="宋体"/>
          <w:color w:val="auto"/>
          <w:kern w:val="0"/>
          <w:szCs w:val="21"/>
          <w:highlight w:val="none"/>
        </w:rPr>
        <w:t>中标人（或拟中标人）拒不提供或者不按时提供低价风险担保（适用于经评审的最低投标价法）；</w:t>
      </w:r>
    </w:p>
    <w:p w14:paraId="64B8669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）违反本章第9.2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对投标人的纪律要求的；</w:t>
      </w:r>
    </w:p>
    <w:p w14:paraId="563C3EA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5</w:t>
      </w:r>
      <w:r>
        <w:rPr>
          <w:rFonts w:ascii="宋体" w:hAnsi="宋体"/>
          <w:snapToGrid w:val="0"/>
          <w:color w:val="auto"/>
          <w:kern w:val="0"/>
          <w:szCs w:val="21"/>
          <w:highlight w:val="none"/>
        </w:rPr>
        <w:t>）法律法规规定的其他情形。</w:t>
      </w:r>
    </w:p>
    <w:p w14:paraId="1631568C">
      <w:pPr>
        <w:tabs>
          <w:tab w:val="left" w:pos="611"/>
          <w:tab w:val="left" w:pos="669"/>
        </w:tabs>
        <w:snapToGrid w:val="0"/>
        <w:spacing w:line="360" w:lineRule="auto"/>
        <w:ind w:firstLine="420" w:firstLineChars="200"/>
        <w:rPr>
          <w:rFonts w:ascii="宋体" w:hAnsi="宋体"/>
          <w:color w:val="auto"/>
          <w:kern w:val="0"/>
          <w:highlight w:val="none"/>
        </w:rPr>
      </w:pPr>
      <w:r>
        <w:rPr>
          <w:rFonts w:ascii="宋体" w:hAnsi="宋体"/>
          <w:snapToGrid w:val="0"/>
          <w:color w:val="auto"/>
          <w:kern w:val="0"/>
          <w:szCs w:val="21"/>
          <w:highlight w:val="none"/>
        </w:rPr>
        <w:t>3.4.5</w:t>
      </w:r>
      <w:r>
        <w:rPr>
          <w:rFonts w:ascii="宋体" w:hAnsi="宋体"/>
          <w:color w:val="auto"/>
          <w:kern w:val="0"/>
          <w:highlight w:val="none"/>
        </w:rPr>
        <w:t>（1）投标保证金为无条件担保；</w:t>
      </w:r>
    </w:p>
    <w:p w14:paraId="3DA2C86A">
      <w:pPr>
        <w:tabs>
          <w:tab w:val="left" w:pos="611"/>
          <w:tab w:val="left" w:pos="669"/>
        </w:tabs>
        <w:snapToGrid w:val="0"/>
        <w:spacing w:line="360" w:lineRule="auto"/>
        <w:ind w:firstLine="945" w:firstLineChars="450"/>
        <w:rPr>
          <w:rFonts w:ascii="宋体" w:hAnsi="宋体"/>
          <w:color w:val="auto"/>
          <w:kern w:val="0"/>
          <w:highlight w:val="none"/>
        </w:rPr>
      </w:pPr>
      <w:r>
        <w:rPr>
          <w:rFonts w:ascii="宋体" w:hAnsi="宋体"/>
          <w:color w:val="auto"/>
          <w:kern w:val="0"/>
          <w:highlight w:val="none"/>
        </w:rPr>
        <w:t>（2）投标保证金的受益人为招标人</w:t>
      </w:r>
      <w:r>
        <w:rPr>
          <w:rFonts w:hint="eastAsia" w:ascii="宋体" w:hAnsi="宋体"/>
          <w:color w:val="auto"/>
          <w:kern w:val="0"/>
          <w:highlight w:val="none"/>
        </w:rPr>
        <w:t>。</w:t>
      </w:r>
    </w:p>
    <w:p w14:paraId="7ED5644C">
      <w:pPr>
        <w:pStyle w:val="5"/>
        <w:keepNext w:val="0"/>
        <w:keepLines w:val="0"/>
        <w:snapToGrid w:val="0"/>
        <w:spacing w:before="0" w:after="0" w:line="360" w:lineRule="auto"/>
        <w:rPr>
          <w:rFonts w:ascii="宋体" w:hAnsi="宋体"/>
          <w:b w:val="0"/>
          <w:snapToGrid w:val="0"/>
          <w:color w:val="auto"/>
          <w:sz w:val="24"/>
          <w:szCs w:val="24"/>
          <w:highlight w:val="none"/>
        </w:rPr>
      </w:pPr>
      <w:bookmarkStart w:id="294" w:name="_Toc287607770"/>
      <w:bookmarkStart w:id="295" w:name="_Toc277082576"/>
      <w:bookmarkStart w:id="296" w:name="_Toc509218734"/>
      <w:bookmarkStart w:id="297" w:name="_Toc430530459"/>
      <w:bookmarkStart w:id="298" w:name="_Toc18650"/>
      <w:bookmarkStart w:id="299" w:name="_Toc31862"/>
      <w:bookmarkStart w:id="300" w:name="_Toc287620709"/>
      <w:bookmarkStart w:id="301" w:name="_Toc200513150"/>
      <w:bookmarkStart w:id="302" w:name="_Toc224103341"/>
      <w:r>
        <w:rPr>
          <w:rFonts w:ascii="宋体" w:hAnsi="宋体"/>
          <w:b w:val="0"/>
          <w:snapToGrid w:val="0"/>
          <w:color w:val="auto"/>
          <w:sz w:val="24"/>
          <w:szCs w:val="24"/>
          <w:highlight w:val="none"/>
        </w:rPr>
        <w:t>3.5  资格审查资料</w:t>
      </w:r>
      <w:bookmarkEnd w:id="294"/>
      <w:bookmarkEnd w:id="295"/>
      <w:bookmarkEnd w:id="296"/>
      <w:bookmarkEnd w:id="297"/>
      <w:bookmarkEnd w:id="298"/>
      <w:bookmarkEnd w:id="299"/>
      <w:bookmarkEnd w:id="300"/>
      <w:bookmarkEnd w:id="301"/>
      <w:bookmarkEnd w:id="302"/>
    </w:p>
    <w:p w14:paraId="4568293E">
      <w:pPr>
        <w:autoSpaceDE w:val="0"/>
        <w:autoSpaceDN w:val="0"/>
        <w:adjustRightInd w:val="0"/>
        <w:snapToGrid w:val="0"/>
        <w:spacing w:line="360" w:lineRule="auto"/>
        <w:ind w:left="103" w:leftChars="49" w:right="37" w:firstLine="420" w:firstLineChars="200"/>
        <w:rPr>
          <w:rFonts w:ascii="宋体" w:hAnsi="宋体"/>
          <w:color w:val="auto"/>
          <w:szCs w:val="21"/>
          <w:highlight w:val="none"/>
        </w:rPr>
      </w:pPr>
      <w:r>
        <w:rPr>
          <w:rFonts w:ascii="宋体" w:hAnsi="宋体"/>
          <w:color w:val="auto"/>
          <w:szCs w:val="21"/>
          <w:highlight w:val="none"/>
        </w:rPr>
        <w:t>投标人</w:t>
      </w:r>
      <w:r>
        <w:rPr>
          <w:rFonts w:hint="eastAsia" w:ascii="宋体" w:hAnsi="宋体"/>
          <w:color w:val="auto"/>
          <w:szCs w:val="21"/>
          <w:highlight w:val="none"/>
        </w:rPr>
        <w:t>应附</w:t>
      </w:r>
      <w:r>
        <w:rPr>
          <w:rFonts w:hint="eastAsia" w:ascii="宋体" w:hAnsi="宋体"/>
          <w:color w:val="auto"/>
          <w:kern w:val="0"/>
          <w:szCs w:val="21"/>
          <w:highlight w:val="none"/>
        </w:rPr>
        <w:t>投标人须知前附表第1</w:t>
      </w:r>
      <w:r>
        <w:rPr>
          <w:rFonts w:ascii="宋体" w:hAnsi="宋体"/>
          <w:color w:val="auto"/>
          <w:kern w:val="0"/>
          <w:szCs w:val="21"/>
          <w:highlight w:val="none"/>
        </w:rPr>
        <w:t>.4.1项</w:t>
      </w:r>
      <w:r>
        <w:rPr>
          <w:rFonts w:hint="eastAsia" w:ascii="宋体" w:hAnsi="宋体"/>
          <w:color w:val="auto"/>
          <w:kern w:val="0"/>
          <w:szCs w:val="21"/>
          <w:highlight w:val="none"/>
        </w:rPr>
        <w:t>中要求的相关证明材料</w:t>
      </w:r>
      <w:r>
        <w:rPr>
          <w:rFonts w:ascii="宋体" w:hAnsi="宋体"/>
          <w:color w:val="auto"/>
          <w:szCs w:val="21"/>
          <w:highlight w:val="none"/>
        </w:rPr>
        <w:t>。</w:t>
      </w:r>
    </w:p>
    <w:p w14:paraId="5FB09904">
      <w:pPr>
        <w:autoSpaceDE w:val="0"/>
        <w:autoSpaceDN w:val="0"/>
        <w:adjustRightInd w:val="0"/>
        <w:snapToGrid w:val="0"/>
        <w:spacing w:line="360" w:lineRule="auto"/>
        <w:ind w:left="103" w:leftChars="49" w:right="37"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投标人须知前附表规定接受联合体投标的，详见投标人须知前附表联合体投标相关内容。</w:t>
      </w:r>
    </w:p>
    <w:p w14:paraId="1E634976">
      <w:pPr>
        <w:pStyle w:val="5"/>
        <w:snapToGrid w:val="0"/>
        <w:spacing w:before="0" w:after="0" w:line="360" w:lineRule="auto"/>
        <w:rPr>
          <w:rFonts w:ascii="宋体" w:hAnsi="宋体"/>
          <w:b w:val="0"/>
          <w:snapToGrid w:val="0"/>
          <w:color w:val="auto"/>
          <w:sz w:val="24"/>
          <w:szCs w:val="24"/>
          <w:highlight w:val="none"/>
        </w:rPr>
      </w:pPr>
      <w:bookmarkStart w:id="303" w:name="_Toc11307"/>
      <w:bookmarkStart w:id="304" w:name="_Toc509218735"/>
      <w:bookmarkStart w:id="305" w:name="_Toc430530460"/>
      <w:bookmarkStart w:id="306" w:name="_Toc224103342"/>
      <w:bookmarkStart w:id="307" w:name="_Toc277082577"/>
      <w:bookmarkStart w:id="308" w:name="_Toc200513151"/>
      <w:bookmarkStart w:id="309" w:name="_Toc11647"/>
      <w:bookmarkStart w:id="310" w:name="_Toc287607771"/>
      <w:bookmarkStart w:id="311" w:name="_Toc287620710"/>
      <w:r>
        <w:rPr>
          <w:rFonts w:ascii="宋体" w:hAnsi="宋体"/>
          <w:b w:val="0"/>
          <w:snapToGrid w:val="0"/>
          <w:color w:val="auto"/>
          <w:sz w:val="24"/>
          <w:szCs w:val="24"/>
          <w:highlight w:val="none"/>
        </w:rPr>
        <w:t>3.6  备选投标方案</w:t>
      </w:r>
      <w:bookmarkEnd w:id="303"/>
      <w:bookmarkEnd w:id="304"/>
      <w:bookmarkEnd w:id="305"/>
      <w:bookmarkEnd w:id="306"/>
      <w:bookmarkEnd w:id="307"/>
      <w:bookmarkEnd w:id="308"/>
      <w:bookmarkEnd w:id="309"/>
      <w:bookmarkEnd w:id="310"/>
      <w:bookmarkEnd w:id="311"/>
    </w:p>
    <w:p w14:paraId="729F725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除投标人须知前附表另有规定外，投标人不得递交备选投标方案。允许投标人递交备选投标方案的，只有中标人所递交的备选投标方案方可予以考虑。评标委员会认为中标人的备 选投标方案优于其按照</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要求编制的投标方案的，招标人可以接受该备选投标方案。</w:t>
      </w:r>
    </w:p>
    <w:p w14:paraId="670F662D">
      <w:pPr>
        <w:pStyle w:val="5"/>
        <w:snapToGrid w:val="0"/>
        <w:spacing w:before="0" w:after="0" w:line="360" w:lineRule="auto"/>
        <w:rPr>
          <w:rFonts w:ascii="宋体" w:hAnsi="宋体"/>
          <w:b w:val="0"/>
          <w:snapToGrid w:val="0"/>
          <w:color w:val="auto"/>
          <w:sz w:val="24"/>
          <w:szCs w:val="24"/>
          <w:highlight w:val="none"/>
        </w:rPr>
      </w:pPr>
      <w:bookmarkStart w:id="312" w:name="_Toc224103343"/>
      <w:bookmarkStart w:id="313" w:name="_Toc287607772"/>
      <w:bookmarkStart w:id="314" w:name="_Toc6607"/>
      <w:bookmarkStart w:id="315" w:name="_Toc430530461"/>
      <w:bookmarkStart w:id="316" w:name="_Toc11152"/>
      <w:bookmarkStart w:id="317" w:name="_Toc277082578"/>
      <w:bookmarkStart w:id="318" w:name="_Toc509218736"/>
      <w:bookmarkStart w:id="319" w:name="_Toc287620711"/>
      <w:bookmarkStart w:id="320" w:name="_Toc200513152"/>
      <w:r>
        <w:rPr>
          <w:rFonts w:ascii="宋体" w:hAnsi="宋体"/>
          <w:b w:val="0"/>
          <w:snapToGrid w:val="0"/>
          <w:color w:val="auto"/>
          <w:sz w:val="24"/>
          <w:szCs w:val="24"/>
          <w:highlight w:val="none"/>
        </w:rPr>
        <w:t>3.7  投标文件的编制</w:t>
      </w:r>
      <w:bookmarkEnd w:id="312"/>
      <w:bookmarkEnd w:id="313"/>
      <w:bookmarkEnd w:id="314"/>
      <w:bookmarkEnd w:id="315"/>
      <w:bookmarkEnd w:id="316"/>
      <w:bookmarkEnd w:id="317"/>
      <w:bookmarkEnd w:id="318"/>
      <w:bookmarkEnd w:id="319"/>
      <w:bookmarkEnd w:id="320"/>
    </w:p>
    <w:p w14:paraId="4E0D8DE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3.7.1  投标文件应按第八章“投标文件格式”进行编写，如有必要，可以增加附页，作为投标文件的组成部分。其中，投标函附录在满足</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实质性要求的基础上，可以提出比</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要求更有利于招标人的承诺。</w:t>
      </w:r>
    </w:p>
    <w:p w14:paraId="081A6F2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3.7.2  投标文件应当对</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有关工期、投标有效期、质量要求、技术标准和要求、招标范围等实质性内容做出响应。</w:t>
      </w:r>
    </w:p>
    <w:p w14:paraId="6B63E89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投标文件的签名盖章要求：按本章投标人须知前附表第3.7.3项执行。</w:t>
      </w:r>
    </w:p>
    <w:p w14:paraId="6D7C3B90">
      <w:pPr>
        <w:autoSpaceDE w:val="0"/>
        <w:autoSpaceDN w:val="0"/>
        <w:adjustRightInd w:val="0"/>
        <w:snapToGrid w:val="0"/>
        <w:spacing w:line="360" w:lineRule="auto"/>
        <w:ind w:right="-164"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rPr>
        <w:t>投标文件份数：</w:t>
      </w:r>
      <w:r>
        <w:rPr>
          <w:rFonts w:hint="eastAsia" w:ascii="宋体" w:hAnsi="宋体"/>
          <w:color w:val="auto"/>
          <w:kern w:val="0"/>
          <w:szCs w:val="21"/>
          <w:highlight w:val="none"/>
        </w:rPr>
        <w:t>投标人网上提交加密投标文件一份</w:t>
      </w:r>
      <w:r>
        <w:rPr>
          <w:rFonts w:ascii="宋体" w:hAnsi="宋体"/>
          <w:color w:val="auto"/>
          <w:kern w:val="0"/>
          <w:szCs w:val="21"/>
          <w:highlight w:val="none"/>
        </w:rPr>
        <w:t>。</w:t>
      </w:r>
    </w:p>
    <w:p w14:paraId="32E2DE9B">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3.7.5  投标文件</w:t>
      </w:r>
      <w:r>
        <w:rPr>
          <w:rFonts w:hint="eastAsia" w:ascii="宋体" w:hAnsi="宋体"/>
          <w:snapToGrid w:val="0"/>
          <w:color w:val="auto"/>
          <w:kern w:val="0"/>
          <w:szCs w:val="21"/>
          <w:highlight w:val="none"/>
        </w:rPr>
        <w:t>应按规定格式排版</w:t>
      </w:r>
      <w:r>
        <w:rPr>
          <w:rFonts w:ascii="宋体" w:hAnsi="宋体"/>
          <w:snapToGrid w:val="0"/>
          <w:color w:val="auto"/>
          <w:kern w:val="0"/>
          <w:szCs w:val="21"/>
          <w:highlight w:val="none"/>
        </w:rPr>
        <w:t>，并编制目录，具体</w:t>
      </w:r>
      <w:r>
        <w:rPr>
          <w:rFonts w:hint="eastAsia" w:ascii="宋体" w:hAnsi="宋体"/>
          <w:snapToGrid w:val="0"/>
          <w:color w:val="auto"/>
          <w:kern w:val="0"/>
          <w:szCs w:val="21"/>
          <w:highlight w:val="none"/>
        </w:rPr>
        <w:t>编制</w:t>
      </w:r>
      <w:r>
        <w:rPr>
          <w:rFonts w:ascii="宋体" w:hAnsi="宋体"/>
          <w:snapToGrid w:val="0"/>
          <w:color w:val="auto"/>
          <w:kern w:val="0"/>
          <w:szCs w:val="21"/>
          <w:highlight w:val="none"/>
        </w:rPr>
        <w:t>要求见投标人须知前附表规定。</w:t>
      </w:r>
    </w:p>
    <w:p w14:paraId="67F4A40E">
      <w:pPr>
        <w:pStyle w:val="4"/>
        <w:keepNext w:val="0"/>
        <w:keepLines w:val="0"/>
        <w:spacing w:before="0" w:after="0" w:line="360" w:lineRule="auto"/>
        <w:rPr>
          <w:rFonts w:ascii="宋体" w:hAnsi="宋体"/>
          <w:b w:val="0"/>
          <w:snapToGrid w:val="0"/>
          <w:color w:val="auto"/>
          <w:highlight w:val="none"/>
        </w:rPr>
      </w:pPr>
      <w:bookmarkStart w:id="321" w:name="_Toc277082579"/>
      <w:bookmarkStart w:id="322" w:name="_Toc287607773"/>
      <w:bookmarkStart w:id="323" w:name="_Toc200513153"/>
      <w:bookmarkStart w:id="324" w:name="_Toc29960"/>
      <w:bookmarkStart w:id="325" w:name="_Toc509218737"/>
      <w:bookmarkStart w:id="326" w:name="_Toc287620712"/>
      <w:bookmarkStart w:id="327" w:name="_Toc224103344"/>
      <w:bookmarkStart w:id="328" w:name="_Toc430530462"/>
      <w:bookmarkStart w:id="329" w:name="_Toc8912"/>
      <w:r>
        <w:rPr>
          <w:rFonts w:ascii="宋体" w:hAnsi="宋体"/>
          <w:b w:val="0"/>
          <w:snapToGrid w:val="0"/>
          <w:color w:val="auto"/>
          <w:highlight w:val="none"/>
        </w:rPr>
        <w:t>4.  投标</w:t>
      </w:r>
      <w:bookmarkEnd w:id="321"/>
      <w:bookmarkEnd w:id="322"/>
      <w:bookmarkEnd w:id="323"/>
      <w:bookmarkEnd w:id="324"/>
      <w:bookmarkEnd w:id="325"/>
      <w:bookmarkEnd w:id="326"/>
      <w:bookmarkEnd w:id="327"/>
      <w:bookmarkEnd w:id="328"/>
      <w:bookmarkEnd w:id="329"/>
    </w:p>
    <w:p w14:paraId="6FD06A72">
      <w:pPr>
        <w:pStyle w:val="5"/>
        <w:keepNext w:val="0"/>
        <w:keepLines w:val="0"/>
        <w:snapToGrid w:val="0"/>
        <w:spacing w:before="0" w:after="0" w:line="360" w:lineRule="auto"/>
        <w:rPr>
          <w:rFonts w:ascii="宋体" w:hAnsi="宋体"/>
          <w:b w:val="0"/>
          <w:snapToGrid w:val="0"/>
          <w:color w:val="auto"/>
          <w:sz w:val="24"/>
          <w:szCs w:val="24"/>
          <w:highlight w:val="none"/>
        </w:rPr>
      </w:pPr>
      <w:bookmarkStart w:id="330" w:name="_Toc287607774"/>
      <w:bookmarkStart w:id="331" w:name="_Toc26529"/>
      <w:bookmarkStart w:id="332" w:name="_Toc509218738"/>
      <w:bookmarkStart w:id="333" w:name="_Toc200513154"/>
      <w:bookmarkStart w:id="334" w:name="_Toc287620713"/>
      <w:bookmarkStart w:id="335" w:name="_Toc18533"/>
      <w:bookmarkStart w:id="336" w:name="_Toc277082580"/>
      <w:bookmarkStart w:id="337" w:name="_Toc430530463"/>
      <w:bookmarkStart w:id="338" w:name="_Toc224103345"/>
      <w:r>
        <w:rPr>
          <w:rFonts w:ascii="宋体" w:hAnsi="宋体"/>
          <w:b w:val="0"/>
          <w:snapToGrid w:val="0"/>
          <w:color w:val="auto"/>
          <w:sz w:val="24"/>
          <w:szCs w:val="24"/>
          <w:highlight w:val="none"/>
        </w:rPr>
        <w:t>4.1  投标文件的密封和标记</w:t>
      </w:r>
      <w:bookmarkEnd w:id="330"/>
      <w:bookmarkEnd w:id="331"/>
      <w:bookmarkEnd w:id="332"/>
      <w:bookmarkEnd w:id="333"/>
      <w:bookmarkEnd w:id="334"/>
      <w:bookmarkEnd w:id="335"/>
      <w:bookmarkEnd w:id="336"/>
      <w:bookmarkEnd w:id="337"/>
      <w:bookmarkEnd w:id="338"/>
    </w:p>
    <w:p w14:paraId="63314C6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39" w:name="_Toc200513155"/>
      <w:r>
        <w:rPr>
          <w:rFonts w:ascii="宋体" w:hAnsi="宋体"/>
          <w:snapToGrid w:val="0"/>
          <w:color w:val="auto"/>
          <w:kern w:val="0"/>
          <w:szCs w:val="21"/>
          <w:highlight w:val="none"/>
        </w:rPr>
        <w:t>4.1.1  投标文件的密封</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7BC9DE5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4.1.2  投标文件的封套上应写明的内容</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3770AA9A">
      <w:pPr>
        <w:pStyle w:val="5"/>
        <w:keepNext w:val="0"/>
        <w:keepLines w:val="0"/>
        <w:snapToGrid w:val="0"/>
        <w:spacing w:before="0" w:after="0" w:line="360" w:lineRule="auto"/>
        <w:rPr>
          <w:rFonts w:ascii="宋体" w:hAnsi="宋体"/>
          <w:b w:val="0"/>
          <w:snapToGrid w:val="0"/>
          <w:color w:val="auto"/>
          <w:sz w:val="24"/>
          <w:szCs w:val="24"/>
          <w:highlight w:val="none"/>
        </w:rPr>
      </w:pPr>
      <w:bookmarkStart w:id="340" w:name="_Toc277082581"/>
      <w:bookmarkStart w:id="341" w:name="_Toc509218739"/>
      <w:bookmarkStart w:id="342" w:name="_Toc430530464"/>
      <w:bookmarkStart w:id="343" w:name="_Toc22171"/>
      <w:bookmarkStart w:id="344" w:name="_Toc224103346"/>
      <w:bookmarkStart w:id="345" w:name="_Toc28924"/>
      <w:bookmarkStart w:id="346" w:name="_Toc287607775"/>
      <w:bookmarkStart w:id="347" w:name="_Toc287620714"/>
      <w:r>
        <w:rPr>
          <w:rFonts w:ascii="宋体" w:hAnsi="宋体"/>
          <w:b w:val="0"/>
          <w:snapToGrid w:val="0"/>
          <w:color w:val="auto"/>
          <w:sz w:val="24"/>
          <w:szCs w:val="24"/>
          <w:highlight w:val="none"/>
        </w:rPr>
        <w:t>4.2  投标文件的递交</w:t>
      </w:r>
      <w:bookmarkEnd w:id="339"/>
      <w:bookmarkEnd w:id="340"/>
      <w:bookmarkEnd w:id="341"/>
      <w:bookmarkEnd w:id="342"/>
      <w:bookmarkEnd w:id="343"/>
      <w:bookmarkEnd w:id="344"/>
      <w:bookmarkEnd w:id="345"/>
      <w:bookmarkEnd w:id="346"/>
      <w:bookmarkEnd w:id="347"/>
    </w:p>
    <w:p w14:paraId="3C35F17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4.2.1  投标人应在投标人须知前附表第 2.2.2 项规定的投标截止时间前递交投标文件。</w:t>
      </w:r>
    </w:p>
    <w:p w14:paraId="05897C9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4.2.2  投标人递交投标文件的地点：见投标人须知前附表。</w:t>
      </w:r>
    </w:p>
    <w:p w14:paraId="6A98962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除投标人须知前附表另有规定外，投标人所递交的投标文件不予退还。</w:t>
      </w:r>
    </w:p>
    <w:p w14:paraId="1A94A21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4.2.4  逾期送达的或者未送达指定地点的投标文件，招标人不予受理。</w:t>
      </w:r>
    </w:p>
    <w:p w14:paraId="0467A75A">
      <w:pPr>
        <w:pStyle w:val="5"/>
        <w:keepNext w:val="0"/>
        <w:keepLines w:val="0"/>
        <w:snapToGrid w:val="0"/>
        <w:spacing w:before="0" w:after="0" w:line="360" w:lineRule="auto"/>
        <w:rPr>
          <w:rFonts w:ascii="宋体" w:hAnsi="宋体"/>
          <w:b w:val="0"/>
          <w:snapToGrid w:val="0"/>
          <w:color w:val="auto"/>
          <w:sz w:val="24"/>
          <w:szCs w:val="24"/>
          <w:highlight w:val="none"/>
        </w:rPr>
      </w:pPr>
      <w:bookmarkStart w:id="348" w:name="_Toc224103347"/>
      <w:bookmarkStart w:id="349" w:name="_Toc200513156"/>
      <w:bookmarkStart w:id="350" w:name="_Toc287607776"/>
      <w:bookmarkStart w:id="351" w:name="_Toc277082582"/>
      <w:bookmarkStart w:id="352" w:name="_Toc430530465"/>
      <w:bookmarkStart w:id="353" w:name="_Toc509218740"/>
      <w:bookmarkStart w:id="354" w:name="_Toc287620715"/>
      <w:bookmarkStart w:id="355" w:name="_Toc3145"/>
      <w:bookmarkStart w:id="356" w:name="_Toc10148"/>
      <w:r>
        <w:rPr>
          <w:rFonts w:ascii="宋体" w:hAnsi="宋体"/>
          <w:b w:val="0"/>
          <w:snapToGrid w:val="0"/>
          <w:color w:val="auto"/>
          <w:sz w:val="24"/>
          <w:szCs w:val="24"/>
          <w:highlight w:val="none"/>
        </w:rPr>
        <w:t>4.3  投标文件的修改与撤回</w:t>
      </w:r>
      <w:bookmarkEnd w:id="348"/>
      <w:bookmarkEnd w:id="349"/>
      <w:bookmarkEnd w:id="350"/>
      <w:bookmarkEnd w:id="351"/>
      <w:bookmarkEnd w:id="352"/>
      <w:bookmarkEnd w:id="353"/>
      <w:bookmarkEnd w:id="354"/>
      <w:bookmarkEnd w:id="355"/>
      <w:bookmarkEnd w:id="356"/>
    </w:p>
    <w:p w14:paraId="51B9445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在投标人须知前附表第2.2.2项规定的投标截止时间前，投标人可以修改或撤回已递交的投标文件，但应以书面形式通知招标人。</w:t>
      </w:r>
    </w:p>
    <w:p w14:paraId="3EF0D58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4.3.2  投标人修改或撤回已递交投标文件的书面通知应按照本章第3.7.3项的要求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或盖章。招标人收到书面通知后，向投标人出具签收凭证。</w:t>
      </w:r>
    </w:p>
    <w:p w14:paraId="5D02370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4.3.3  修改的内容为投标文件的组成部分。修改的投标文件应按照本章第3条、第4条规定进行编制、密封、标记和递交，并标明“修改”字样。</w:t>
      </w:r>
    </w:p>
    <w:p w14:paraId="059C2777">
      <w:pPr>
        <w:pStyle w:val="4"/>
        <w:keepNext w:val="0"/>
        <w:keepLines w:val="0"/>
        <w:spacing w:before="0" w:after="0" w:line="360" w:lineRule="auto"/>
        <w:rPr>
          <w:rFonts w:ascii="宋体" w:hAnsi="宋体"/>
          <w:b w:val="0"/>
          <w:snapToGrid w:val="0"/>
          <w:color w:val="auto"/>
          <w:highlight w:val="none"/>
        </w:rPr>
      </w:pPr>
      <w:bookmarkStart w:id="357" w:name="_Toc287620716"/>
      <w:bookmarkStart w:id="358" w:name="_Toc430530466"/>
      <w:bookmarkStart w:id="359" w:name="_Toc287607777"/>
      <w:bookmarkStart w:id="360" w:name="_Toc26865"/>
      <w:bookmarkStart w:id="361" w:name="_Toc29376"/>
      <w:bookmarkStart w:id="362" w:name="_Toc200513157"/>
      <w:bookmarkStart w:id="363" w:name="_Toc277082583"/>
      <w:bookmarkStart w:id="364" w:name="_Toc224103348"/>
      <w:bookmarkStart w:id="365" w:name="_Toc509218741"/>
      <w:r>
        <w:rPr>
          <w:rFonts w:ascii="宋体" w:hAnsi="宋体"/>
          <w:b w:val="0"/>
          <w:snapToGrid w:val="0"/>
          <w:color w:val="auto"/>
          <w:highlight w:val="none"/>
        </w:rPr>
        <w:t>5.  开标</w:t>
      </w:r>
      <w:bookmarkEnd w:id="357"/>
      <w:bookmarkEnd w:id="358"/>
      <w:bookmarkEnd w:id="359"/>
      <w:bookmarkEnd w:id="360"/>
      <w:bookmarkEnd w:id="361"/>
      <w:bookmarkEnd w:id="362"/>
      <w:bookmarkEnd w:id="363"/>
      <w:bookmarkEnd w:id="364"/>
      <w:bookmarkEnd w:id="365"/>
    </w:p>
    <w:p w14:paraId="0C99F1FB">
      <w:pPr>
        <w:pStyle w:val="5"/>
        <w:keepNext w:val="0"/>
        <w:keepLines w:val="0"/>
        <w:snapToGrid w:val="0"/>
        <w:spacing w:before="0" w:after="0" w:line="360" w:lineRule="auto"/>
        <w:rPr>
          <w:rFonts w:ascii="宋体" w:hAnsi="宋体"/>
          <w:b w:val="0"/>
          <w:snapToGrid w:val="0"/>
          <w:color w:val="auto"/>
          <w:sz w:val="24"/>
          <w:szCs w:val="24"/>
          <w:highlight w:val="none"/>
        </w:rPr>
      </w:pPr>
      <w:bookmarkStart w:id="366" w:name="_Toc200513158"/>
      <w:bookmarkStart w:id="367" w:name="_Toc430530467"/>
      <w:bookmarkStart w:id="368" w:name="_Toc287607778"/>
      <w:bookmarkStart w:id="369" w:name="_Toc287620717"/>
      <w:bookmarkStart w:id="370" w:name="_Toc7400"/>
      <w:bookmarkStart w:id="371" w:name="_Toc224103349"/>
      <w:bookmarkStart w:id="372" w:name="_Toc28549"/>
      <w:bookmarkStart w:id="373" w:name="_Toc277082584"/>
      <w:bookmarkStart w:id="374" w:name="_Toc509218742"/>
      <w:r>
        <w:rPr>
          <w:rFonts w:ascii="宋体" w:hAnsi="宋体"/>
          <w:b w:val="0"/>
          <w:snapToGrid w:val="0"/>
          <w:color w:val="auto"/>
          <w:sz w:val="24"/>
          <w:szCs w:val="24"/>
          <w:highlight w:val="none"/>
        </w:rPr>
        <w:t>5.1  开标时间和地点</w:t>
      </w:r>
      <w:bookmarkEnd w:id="366"/>
      <w:bookmarkEnd w:id="367"/>
      <w:bookmarkEnd w:id="368"/>
      <w:bookmarkEnd w:id="369"/>
      <w:bookmarkEnd w:id="370"/>
      <w:bookmarkEnd w:id="371"/>
      <w:bookmarkEnd w:id="372"/>
      <w:bookmarkEnd w:id="373"/>
      <w:bookmarkEnd w:id="374"/>
    </w:p>
    <w:p w14:paraId="452D4F3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招标人在投标人须知前附表第 2.2.2 项规定的投标截止时间（开标时间）和投标人须知前附表规定的地点公开开标，并邀请所有投标人的法定代表人或其委托代理人准时参加。</w:t>
      </w:r>
    </w:p>
    <w:p w14:paraId="1E07ACC5">
      <w:pPr>
        <w:pStyle w:val="5"/>
        <w:keepNext w:val="0"/>
        <w:keepLines w:val="0"/>
        <w:snapToGrid w:val="0"/>
        <w:spacing w:before="0" w:after="0" w:line="360" w:lineRule="auto"/>
        <w:rPr>
          <w:rFonts w:ascii="宋体" w:hAnsi="宋体"/>
          <w:b w:val="0"/>
          <w:snapToGrid w:val="0"/>
          <w:color w:val="auto"/>
          <w:sz w:val="24"/>
          <w:szCs w:val="24"/>
          <w:highlight w:val="none"/>
        </w:rPr>
      </w:pPr>
      <w:bookmarkStart w:id="375" w:name="_Toc430530468"/>
      <w:bookmarkStart w:id="376" w:name="_Toc277082585"/>
      <w:bookmarkStart w:id="377" w:name="_Toc200513159"/>
      <w:bookmarkStart w:id="378" w:name="_Toc21672"/>
      <w:bookmarkStart w:id="379" w:name="_Toc509218743"/>
      <w:bookmarkStart w:id="380" w:name="_Toc25180"/>
      <w:bookmarkStart w:id="381" w:name="_Toc224103350"/>
      <w:bookmarkStart w:id="382" w:name="_Toc287607779"/>
      <w:bookmarkStart w:id="383" w:name="_Toc287620718"/>
      <w:r>
        <w:rPr>
          <w:rFonts w:ascii="宋体" w:hAnsi="宋体"/>
          <w:b w:val="0"/>
          <w:snapToGrid w:val="0"/>
          <w:color w:val="auto"/>
          <w:sz w:val="24"/>
          <w:szCs w:val="24"/>
          <w:highlight w:val="none"/>
        </w:rPr>
        <w:t>5.2  开标程序</w:t>
      </w:r>
      <w:bookmarkEnd w:id="375"/>
      <w:bookmarkEnd w:id="376"/>
      <w:bookmarkEnd w:id="377"/>
      <w:bookmarkEnd w:id="378"/>
      <w:bookmarkEnd w:id="379"/>
      <w:bookmarkEnd w:id="380"/>
      <w:bookmarkEnd w:id="381"/>
      <w:bookmarkEnd w:id="382"/>
      <w:bookmarkEnd w:id="383"/>
    </w:p>
    <w:p w14:paraId="5B1A9277">
      <w:pPr>
        <w:autoSpaceDE w:val="0"/>
        <w:autoSpaceDN w:val="0"/>
        <w:adjustRightInd w:val="0"/>
        <w:snapToGrid w:val="0"/>
        <w:spacing w:line="360" w:lineRule="auto"/>
        <w:ind w:firstLine="420" w:firstLineChars="200"/>
        <w:rPr>
          <w:rFonts w:ascii="宋体" w:hAnsi="宋体"/>
          <w:color w:val="auto"/>
          <w:szCs w:val="21"/>
          <w:highlight w:val="none"/>
        </w:rPr>
      </w:pPr>
      <w:bookmarkStart w:id="384" w:name="_Toc277082586"/>
      <w:bookmarkStart w:id="385" w:name="_Toc287620719"/>
      <w:bookmarkStart w:id="386" w:name="_Toc224103351"/>
      <w:bookmarkStart w:id="387" w:name="_Toc287607780"/>
      <w:bookmarkStart w:id="388" w:name="_Toc200513160"/>
      <w:r>
        <w:rPr>
          <w:rFonts w:ascii="宋体" w:hAnsi="宋体"/>
          <w:color w:val="auto"/>
          <w:szCs w:val="21"/>
          <w:highlight w:val="none"/>
        </w:rPr>
        <w:t>详见投标人须知前附表第5.2款开标程序。</w:t>
      </w:r>
    </w:p>
    <w:p w14:paraId="4932EA5E">
      <w:pPr>
        <w:pStyle w:val="5"/>
        <w:keepNext w:val="0"/>
        <w:keepLines w:val="0"/>
        <w:snapToGrid w:val="0"/>
        <w:spacing w:before="0" w:after="0" w:line="360" w:lineRule="auto"/>
        <w:rPr>
          <w:rFonts w:ascii="宋体" w:hAnsi="宋体"/>
          <w:b w:val="0"/>
          <w:snapToGrid w:val="0"/>
          <w:color w:val="auto"/>
          <w:sz w:val="24"/>
          <w:szCs w:val="24"/>
          <w:highlight w:val="none"/>
        </w:rPr>
      </w:pPr>
      <w:bookmarkStart w:id="389" w:name="_Toc3867"/>
      <w:bookmarkStart w:id="390" w:name="_Toc21289"/>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389"/>
      <w:bookmarkEnd w:id="390"/>
    </w:p>
    <w:p w14:paraId="040D2D3B">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对开标有异议的，应在开标现场提出，同时应出示法定代表人身份证明或附有法定代表人身份证明的授权委托书。招标人当场作出答复，并制作记录，有异议的投标人代表、招标人代表、主持人、记录人等有关人员在记录上签名确认</w:t>
      </w:r>
      <w:r>
        <w:rPr>
          <w:rFonts w:ascii="宋体" w:hAnsi="宋体"/>
          <w:color w:val="auto"/>
          <w:szCs w:val="21"/>
          <w:highlight w:val="none"/>
        </w:rPr>
        <w:t>。</w:t>
      </w:r>
    </w:p>
    <w:p w14:paraId="19049B24">
      <w:pPr>
        <w:pStyle w:val="4"/>
        <w:keepNext w:val="0"/>
        <w:keepLines w:val="0"/>
        <w:spacing w:before="0" w:after="0" w:line="360" w:lineRule="auto"/>
        <w:rPr>
          <w:rFonts w:ascii="宋体" w:hAnsi="宋体"/>
          <w:b w:val="0"/>
          <w:snapToGrid w:val="0"/>
          <w:color w:val="auto"/>
          <w:highlight w:val="none"/>
        </w:rPr>
      </w:pPr>
      <w:bookmarkStart w:id="391" w:name="_Toc28063"/>
      <w:bookmarkStart w:id="392" w:name="_Toc19894"/>
      <w:bookmarkStart w:id="393" w:name="_Toc430530469"/>
      <w:bookmarkStart w:id="394" w:name="_Toc509218744"/>
      <w:r>
        <w:rPr>
          <w:rFonts w:ascii="宋体" w:hAnsi="宋体"/>
          <w:b w:val="0"/>
          <w:snapToGrid w:val="0"/>
          <w:color w:val="auto"/>
          <w:highlight w:val="none"/>
        </w:rPr>
        <w:t>6.  评标</w:t>
      </w:r>
      <w:bookmarkEnd w:id="384"/>
      <w:bookmarkEnd w:id="385"/>
      <w:bookmarkEnd w:id="386"/>
      <w:bookmarkEnd w:id="387"/>
      <w:bookmarkEnd w:id="388"/>
      <w:bookmarkEnd w:id="391"/>
      <w:bookmarkEnd w:id="392"/>
      <w:bookmarkEnd w:id="393"/>
      <w:bookmarkEnd w:id="394"/>
    </w:p>
    <w:p w14:paraId="780A7C2E">
      <w:pPr>
        <w:pStyle w:val="5"/>
        <w:keepNext w:val="0"/>
        <w:keepLines w:val="0"/>
        <w:snapToGrid w:val="0"/>
        <w:spacing w:before="0" w:after="0" w:line="360" w:lineRule="auto"/>
        <w:rPr>
          <w:rFonts w:ascii="宋体" w:hAnsi="宋体"/>
          <w:b w:val="0"/>
          <w:snapToGrid w:val="0"/>
          <w:color w:val="auto"/>
          <w:sz w:val="24"/>
          <w:szCs w:val="24"/>
          <w:highlight w:val="none"/>
        </w:rPr>
      </w:pPr>
      <w:bookmarkStart w:id="395" w:name="_Toc287607781"/>
      <w:bookmarkStart w:id="396" w:name="_Toc277082587"/>
      <w:bookmarkStart w:id="397" w:name="_Toc287620720"/>
      <w:bookmarkStart w:id="398" w:name="_Toc224103352"/>
      <w:bookmarkStart w:id="399" w:name="_Toc1507"/>
      <w:bookmarkStart w:id="400" w:name="_Toc200513161"/>
      <w:bookmarkStart w:id="401" w:name="_Toc430530470"/>
      <w:bookmarkStart w:id="402" w:name="_Toc1584"/>
      <w:bookmarkStart w:id="403" w:name="_Toc509218745"/>
      <w:r>
        <w:rPr>
          <w:rFonts w:ascii="宋体" w:hAnsi="宋体"/>
          <w:b w:val="0"/>
          <w:snapToGrid w:val="0"/>
          <w:color w:val="auto"/>
          <w:sz w:val="24"/>
          <w:szCs w:val="24"/>
          <w:highlight w:val="none"/>
        </w:rPr>
        <w:t>6.1  评标委员会</w:t>
      </w:r>
      <w:bookmarkEnd w:id="395"/>
      <w:bookmarkEnd w:id="396"/>
      <w:bookmarkEnd w:id="397"/>
      <w:bookmarkEnd w:id="398"/>
      <w:bookmarkEnd w:id="399"/>
      <w:bookmarkEnd w:id="400"/>
      <w:bookmarkEnd w:id="401"/>
      <w:bookmarkEnd w:id="402"/>
      <w:bookmarkEnd w:id="403"/>
    </w:p>
    <w:p w14:paraId="418B3544">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评标由招标人依据法律法规和相关规范性文件组建的评标委员会负责。</w:t>
      </w:r>
    </w:p>
    <w:p w14:paraId="0228311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223B19A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（1）投标人或投标人的主要负责人的近亲属；</w:t>
      </w:r>
    </w:p>
    <w:p w14:paraId="0799739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行政监督部门的人员；</w:t>
      </w:r>
    </w:p>
    <w:p w14:paraId="09A9809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（3）与投标人有利害关系，可能影响对投标公正评审的；</w:t>
      </w:r>
    </w:p>
    <w:p w14:paraId="2733BB5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14:paraId="36992E6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（5）法律法规规定的其他情形。</w:t>
      </w:r>
    </w:p>
    <w:p w14:paraId="7C775556">
      <w:pPr>
        <w:pStyle w:val="109"/>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14:paraId="4E3EA476">
      <w:pPr>
        <w:pStyle w:val="5"/>
        <w:snapToGrid w:val="0"/>
        <w:spacing w:before="0" w:after="0" w:line="360" w:lineRule="auto"/>
        <w:rPr>
          <w:rFonts w:ascii="宋体" w:hAnsi="宋体"/>
          <w:b w:val="0"/>
          <w:snapToGrid w:val="0"/>
          <w:color w:val="auto"/>
          <w:sz w:val="24"/>
          <w:szCs w:val="24"/>
          <w:highlight w:val="none"/>
        </w:rPr>
      </w:pPr>
      <w:bookmarkStart w:id="404" w:name="_Toc31183"/>
      <w:bookmarkStart w:id="405" w:name="_Toc18198"/>
      <w:bookmarkStart w:id="406" w:name="_Toc224103353"/>
      <w:bookmarkStart w:id="407" w:name="_Toc287607782"/>
      <w:bookmarkStart w:id="408" w:name="_Toc509218746"/>
      <w:bookmarkStart w:id="409" w:name="_Toc287620721"/>
      <w:bookmarkStart w:id="410" w:name="_Toc277082588"/>
      <w:bookmarkStart w:id="411" w:name="_Toc200513162"/>
      <w:bookmarkStart w:id="412" w:name="_Toc430530471"/>
      <w:r>
        <w:rPr>
          <w:rFonts w:ascii="宋体" w:hAnsi="宋体"/>
          <w:b w:val="0"/>
          <w:snapToGrid w:val="0"/>
          <w:color w:val="auto"/>
          <w:sz w:val="24"/>
          <w:szCs w:val="24"/>
          <w:highlight w:val="none"/>
        </w:rPr>
        <w:t>6.2  评标原则</w:t>
      </w:r>
      <w:bookmarkEnd w:id="404"/>
      <w:bookmarkEnd w:id="405"/>
      <w:bookmarkEnd w:id="406"/>
      <w:bookmarkEnd w:id="407"/>
      <w:bookmarkEnd w:id="408"/>
      <w:bookmarkEnd w:id="409"/>
      <w:bookmarkEnd w:id="410"/>
      <w:bookmarkEnd w:id="411"/>
      <w:bookmarkEnd w:id="412"/>
    </w:p>
    <w:p w14:paraId="2BB2869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699DFDC2">
      <w:pPr>
        <w:pStyle w:val="5"/>
        <w:snapToGrid w:val="0"/>
        <w:spacing w:before="0" w:after="0" w:line="360" w:lineRule="auto"/>
        <w:rPr>
          <w:rFonts w:ascii="宋体" w:hAnsi="宋体"/>
          <w:b w:val="0"/>
          <w:snapToGrid w:val="0"/>
          <w:color w:val="auto"/>
          <w:sz w:val="24"/>
          <w:szCs w:val="24"/>
          <w:highlight w:val="none"/>
        </w:rPr>
      </w:pPr>
      <w:bookmarkStart w:id="413" w:name="_Toc430530472"/>
      <w:bookmarkStart w:id="414" w:name="_Toc509218747"/>
      <w:bookmarkStart w:id="415" w:name="_Toc19681"/>
      <w:bookmarkStart w:id="416" w:name="_Toc287607783"/>
      <w:bookmarkStart w:id="417" w:name="_Toc277082589"/>
      <w:bookmarkStart w:id="418" w:name="_Toc287620722"/>
      <w:bookmarkStart w:id="419" w:name="_Toc12231"/>
      <w:bookmarkStart w:id="420" w:name="_Toc200513163"/>
      <w:bookmarkStart w:id="421" w:name="_Toc224103354"/>
      <w:r>
        <w:rPr>
          <w:rFonts w:ascii="宋体" w:hAnsi="宋体"/>
          <w:b w:val="0"/>
          <w:snapToGrid w:val="0"/>
          <w:color w:val="auto"/>
          <w:sz w:val="24"/>
          <w:szCs w:val="24"/>
          <w:highlight w:val="none"/>
        </w:rPr>
        <w:t>6.3  评标</w:t>
      </w:r>
      <w:bookmarkEnd w:id="413"/>
      <w:bookmarkEnd w:id="414"/>
      <w:bookmarkEnd w:id="415"/>
      <w:bookmarkEnd w:id="416"/>
      <w:bookmarkEnd w:id="417"/>
      <w:bookmarkEnd w:id="418"/>
      <w:bookmarkEnd w:id="419"/>
      <w:bookmarkEnd w:id="420"/>
      <w:bookmarkEnd w:id="421"/>
    </w:p>
    <w:p w14:paraId="1C7C722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评标委员会按照第三章“评标办法”规定的方法、评审因素、标准和程序对投标文件进行评审。第三章“评标办法”没有规定的方法、评审因素和标准，不得作为评标依据。</w:t>
      </w:r>
    </w:p>
    <w:p w14:paraId="68B74E95">
      <w:pPr>
        <w:pStyle w:val="4"/>
        <w:spacing w:before="0" w:after="0" w:line="360" w:lineRule="auto"/>
        <w:rPr>
          <w:rFonts w:ascii="宋体" w:hAnsi="宋体"/>
          <w:b w:val="0"/>
          <w:snapToGrid w:val="0"/>
          <w:color w:val="auto"/>
          <w:highlight w:val="none"/>
        </w:rPr>
      </w:pPr>
      <w:bookmarkStart w:id="422" w:name="_Toc31386"/>
      <w:bookmarkStart w:id="423" w:name="_Toc287620723"/>
      <w:bookmarkStart w:id="424" w:name="_Toc287607784"/>
      <w:bookmarkStart w:id="425" w:name="_Toc20981"/>
      <w:bookmarkStart w:id="426" w:name="_Toc509218748"/>
      <w:bookmarkStart w:id="427" w:name="_Toc277082590"/>
      <w:bookmarkStart w:id="428" w:name="_Toc224103355"/>
      <w:bookmarkStart w:id="429" w:name="_Toc200513164"/>
      <w:bookmarkStart w:id="430" w:name="_Toc430530473"/>
      <w:r>
        <w:rPr>
          <w:rFonts w:ascii="宋体" w:hAnsi="宋体"/>
          <w:b w:val="0"/>
          <w:snapToGrid w:val="0"/>
          <w:color w:val="auto"/>
          <w:highlight w:val="none"/>
        </w:rPr>
        <w:t>7.  合同授予</w:t>
      </w:r>
      <w:bookmarkEnd w:id="422"/>
      <w:bookmarkEnd w:id="423"/>
      <w:bookmarkEnd w:id="424"/>
      <w:bookmarkEnd w:id="425"/>
      <w:bookmarkEnd w:id="426"/>
      <w:bookmarkEnd w:id="427"/>
      <w:bookmarkEnd w:id="428"/>
      <w:bookmarkEnd w:id="429"/>
      <w:bookmarkEnd w:id="430"/>
    </w:p>
    <w:p w14:paraId="65DF9216">
      <w:pPr>
        <w:pStyle w:val="5"/>
        <w:snapToGrid w:val="0"/>
        <w:spacing w:before="0" w:after="0" w:line="360" w:lineRule="auto"/>
        <w:rPr>
          <w:rFonts w:ascii="宋体" w:hAnsi="宋体"/>
          <w:b w:val="0"/>
          <w:snapToGrid w:val="0"/>
          <w:color w:val="auto"/>
          <w:sz w:val="24"/>
          <w:szCs w:val="24"/>
          <w:highlight w:val="none"/>
        </w:rPr>
      </w:pPr>
      <w:bookmarkStart w:id="431" w:name="_Toc287620724"/>
      <w:bookmarkStart w:id="432" w:name="_Toc224103356"/>
      <w:bookmarkStart w:id="433" w:name="_Toc277082591"/>
      <w:bookmarkStart w:id="434" w:name="_Toc200513165"/>
      <w:bookmarkStart w:id="435" w:name="_Toc509218749"/>
      <w:bookmarkStart w:id="436" w:name="_Toc31577"/>
      <w:bookmarkStart w:id="437" w:name="_Toc8790"/>
      <w:bookmarkStart w:id="438" w:name="_Toc430530474"/>
      <w:bookmarkStart w:id="439" w:name="_Toc287607785"/>
      <w:r>
        <w:rPr>
          <w:rFonts w:ascii="宋体" w:hAnsi="宋体"/>
          <w:b w:val="0"/>
          <w:snapToGrid w:val="0"/>
          <w:color w:val="auto"/>
          <w:sz w:val="24"/>
          <w:szCs w:val="24"/>
          <w:highlight w:val="none"/>
        </w:rPr>
        <w:t>7.1  定标方式</w:t>
      </w:r>
      <w:bookmarkEnd w:id="431"/>
      <w:bookmarkEnd w:id="432"/>
      <w:bookmarkEnd w:id="433"/>
      <w:bookmarkEnd w:id="434"/>
      <w:bookmarkEnd w:id="435"/>
      <w:bookmarkEnd w:id="436"/>
      <w:bookmarkEnd w:id="437"/>
      <w:bookmarkEnd w:id="438"/>
      <w:bookmarkEnd w:id="439"/>
    </w:p>
    <w:p w14:paraId="2C93815B">
      <w:pPr>
        <w:spacing w:line="360" w:lineRule="auto"/>
        <w:ind w:firstLine="420" w:firstLineChars="200"/>
        <w:rPr>
          <w:rFonts w:ascii="宋体" w:hAnsi="宋体"/>
          <w:color w:val="auto"/>
          <w:szCs w:val="21"/>
          <w:highlight w:val="none"/>
        </w:rPr>
      </w:pPr>
      <w:r>
        <w:rPr>
          <w:rFonts w:ascii="宋体" w:hAnsi="宋体"/>
          <w:color w:val="auto"/>
          <w:szCs w:val="21"/>
          <w:highlight w:val="none"/>
        </w:rPr>
        <w:t>国有资金占控股或者主导地位的依法必须进行招标的项目，招标人应当确定排名第一的中标候选人为中标人。排名第一的中标候选人放弃中标、因不可抗力不能履行合同、不按照</w:t>
      </w:r>
      <w:r>
        <w:rPr>
          <w:rFonts w:hint="eastAsia" w:ascii="宋体" w:hAnsi="宋体"/>
          <w:color w:val="auto"/>
          <w:szCs w:val="21"/>
          <w:highlight w:val="none"/>
          <w:lang w:eastAsia="zh-CN"/>
        </w:rPr>
        <w:t>竞争性比选文件</w:t>
      </w:r>
      <w:r>
        <w:rPr>
          <w:rFonts w:ascii="宋体" w:hAnsi="宋体"/>
          <w:color w:val="auto"/>
          <w:szCs w:val="21"/>
          <w:highlight w:val="none"/>
        </w:rPr>
        <w:t>要求提交履约保证金，或者被查实存在影响中标结果的违法行为等情形，不符合中标条件的，招标人可以按照评标委员会提出的中标候选人名单排序依次确定其他中标候选人为中标人，也可以重新招标。</w:t>
      </w:r>
    </w:p>
    <w:p w14:paraId="251A2EA4">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评标委员会推荐中标候选人的人数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3E0A61D9">
      <w:pPr>
        <w:pStyle w:val="5"/>
        <w:snapToGrid w:val="0"/>
        <w:spacing w:before="0" w:after="0" w:line="360" w:lineRule="auto"/>
        <w:rPr>
          <w:rFonts w:ascii="宋体" w:hAnsi="宋体"/>
          <w:b w:val="0"/>
          <w:snapToGrid w:val="0"/>
          <w:color w:val="auto"/>
          <w:sz w:val="24"/>
          <w:szCs w:val="24"/>
          <w:highlight w:val="none"/>
        </w:rPr>
      </w:pPr>
      <w:bookmarkStart w:id="440" w:name="_Toc430530475"/>
      <w:bookmarkStart w:id="441" w:name="_Toc8537"/>
      <w:bookmarkStart w:id="442" w:name="_Toc26459"/>
      <w:bookmarkStart w:id="443" w:name="_Toc509218750"/>
      <w:r>
        <w:rPr>
          <w:rFonts w:ascii="宋体" w:hAnsi="宋体"/>
          <w:b w:val="0"/>
          <w:snapToGrid w:val="0"/>
          <w:color w:val="auto"/>
          <w:sz w:val="24"/>
          <w:szCs w:val="24"/>
          <w:highlight w:val="none"/>
        </w:rPr>
        <w:t>7.2  中标公示及中标通知</w:t>
      </w:r>
      <w:bookmarkEnd w:id="440"/>
      <w:bookmarkEnd w:id="441"/>
      <w:bookmarkEnd w:id="442"/>
      <w:bookmarkEnd w:id="443"/>
    </w:p>
    <w:p w14:paraId="383E2461">
      <w:pPr>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招标人在收到评标报告之日起3日内公示中标候选人，公示期不得少于3日</w:t>
      </w:r>
      <w:r>
        <w:rPr>
          <w:rFonts w:hint="eastAsia" w:ascii="宋体" w:hAnsi="宋体"/>
          <w:color w:val="auto"/>
          <w:szCs w:val="21"/>
          <w:highlight w:val="none"/>
        </w:rPr>
        <w:t>。</w:t>
      </w:r>
    </w:p>
    <w:p w14:paraId="5020001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 3.3 款规定的投标有效期内，且未有投标人的异议与投诉，招标人以书面形式向中标人发出中标通知书。</w:t>
      </w:r>
    </w:p>
    <w:p w14:paraId="0B4BC9EB">
      <w:pPr>
        <w:pStyle w:val="5"/>
        <w:snapToGrid w:val="0"/>
        <w:spacing w:before="0" w:after="0" w:line="360" w:lineRule="auto"/>
        <w:rPr>
          <w:rFonts w:ascii="宋体" w:hAnsi="宋体"/>
          <w:b w:val="0"/>
          <w:snapToGrid w:val="0"/>
          <w:color w:val="auto"/>
          <w:sz w:val="24"/>
          <w:szCs w:val="24"/>
          <w:highlight w:val="none"/>
        </w:rPr>
      </w:pPr>
      <w:bookmarkStart w:id="444" w:name="_Toc287620726"/>
      <w:bookmarkStart w:id="445" w:name="_Toc4866"/>
      <w:bookmarkStart w:id="446" w:name="_Toc200513167"/>
      <w:bookmarkStart w:id="447" w:name="_Toc430530476"/>
      <w:bookmarkStart w:id="448" w:name="_Toc287607787"/>
      <w:bookmarkStart w:id="449" w:name="_Toc14028"/>
      <w:bookmarkStart w:id="450" w:name="_Toc277082593"/>
      <w:bookmarkStart w:id="451" w:name="_Toc509218751"/>
      <w:bookmarkStart w:id="452" w:name="_Toc224103358"/>
      <w:r>
        <w:rPr>
          <w:rFonts w:ascii="宋体" w:hAnsi="宋体"/>
          <w:b w:val="0"/>
          <w:snapToGrid w:val="0"/>
          <w:color w:val="auto"/>
          <w:sz w:val="24"/>
          <w:szCs w:val="24"/>
          <w:highlight w:val="none"/>
        </w:rPr>
        <w:t>7.3  履约担保</w:t>
      </w:r>
      <w:bookmarkEnd w:id="444"/>
      <w:bookmarkEnd w:id="445"/>
      <w:bookmarkEnd w:id="446"/>
      <w:bookmarkEnd w:id="447"/>
      <w:bookmarkEnd w:id="448"/>
      <w:bookmarkEnd w:id="449"/>
      <w:bookmarkEnd w:id="450"/>
      <w:bookmarkEnd w:id="451"/>
      <w:bookmarkEnd w:id="452"/>
    </w:p>
    <w:p w14:paraId="6FE3F29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7.3.1  在签订合同前，中标人应按投标人须知前附表规定的金额、担保形式和</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第四章“合同条款及格式”规定的履约担保格式向招标人提交履约担保。</w:t>
      </w:r>
    </w:p>
    <w:p w14:paraId="562B0F6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7.3.2  中标人不能按本章第 7.3.1 项要求提交履约担保的，视为放弃中标，其投标保证金不予退还，给招标人造成的损失超过投标保证金数额的，中标人还应当对超过部分予以赔偿。</w:t>
      </w:r>
    </w:p>
    <w:p w14:paraId="72601595">
      <w:pPr>
        <w:pStyle w:val="5"/>
        <w:snapToGrid w:val="0"/>
        <w:spacing w:before="0" w:after="0" w:line="360" w:lineRule="auto"/>
        <w:rPr>
          <w:rFonts w:ascii="宋体" w:hAnsi="宋体"/>
          <w:b w:val="0"/>
          <w:snapToGrid w:val="0"/>
          <w:color w:val="auto"/>
          <w:sz w:val="24"/>
          <w:szCs w:val="24"/>
          <w:highlight w:val="none"/>
        </w:rPr>
      </w:pPr>
      <w:bookmarkStart w:id="453" w:name="_Toc200513168"/>
      <w:bookmarkStart w:id="454" w:name="_Toc13163"/>
      <w:bookmarkStart w:id="455" w:name="_Toc287620727"/>
      <w:bookmarkStart w:id="456" w:name="_Toc430530477"/>
      <w:bookmarkStart w:id="457" w:name="_Toc29819"/>
      <w:bookmarkStart w:id="458" w:name="_Toc277082594"/>
      <w:bookmarkStart w:id="459" w:name="_Toc509218752"/>
      <w:bookmarkStart w:id="460" w:name="_Toc287607788"/>
      <w:bookmarkStart w:id="461" w:name="_Toc224103359"/>
      <w:r>
        <w:rPr>
          <w:rFonts w:ascii="宋体" w:hAnsi="宋体"/>
          <w:b w:val="0"/>
          <w:snapToGrid w:val="0"/>
          <w:color w:val="auto"/>
          <w:sz w:val="24"/>
          <w:szCs w:val="24"/>
          <w:highlight w:val="none"/>
        </w:rPr>
        <w:t>7.4  签订合同</w:t>
      </w:r>
      <w:bookmarkEnd w:id="453"/>
      <w:bookmarkEnd w:id="454"/>
      <w:bookmarkEnd w:id="455"/>
      <w:bookmarkEnd w:id="456"/>
      <w:bookmarkEnd w:id="457"/>
      <w:bookmarkEnd w:id="458"/>
      <w:bookmarkEnd w:id="459"/>
      <w:bookmarkEnd w:id="460"/>
      <w:bookmarkEnd w:id="461"/>
    </w:p>
    <w:p w14:paraId="17687FE2">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7.4.1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招标人和中标人应当自中标通知书发出之日起 30 天内，根据</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和中标人的投标文件订立书面合同。中标人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不与招标人签订合同，在签订合同时向招标人提出附加条件或者更改合同实质性内容</w:t>
      </w:r>
      <w:r>
        <w:rPr>
          <w:rFonts w:ascii="宋体" w:hAnsi="宋体"/>
          <w:snapToGrid w:val="0"/>
          <w:color w:val="auto"/>
          <w:kern w:val="0"/>
          <w:szCs w:val="21"/>
          <w:highlight w:val="none"/>
        </w:rPr>
        <w:t>，</w:t>
      </w:r>
      <w:r>
        <w:rPr>
          <w:rFonts w:hint="eastAsia" w:ascii="宋体" w:hAnsi="宋体" w:cs="宋体"/>
          <w:color w:val="auto"/>
          <w:szCs w:val="21"/>
          <w:highlight w:val="none"/>
        </w:rPr>
        <w:t>或不按照</w:t>
      </w:r>
      <w:r>
        <w:rPr>
          <w:rFonts w:hint="eastAsia" w:ascii="宋体" w:hAnsi="宋体" w:cs="宋体"/>
          <w:color w:val="auto"/>
          <w:szCs w:val="21"/>
          <w:highlight w:val="none"/>
          <w:lang w:eastAsia="zh-CN"/>
        </w:rPr>
        <w:t>竞争性比选文件</w:t>
      </w:r>
      <w:r>
        <w:rPr>
          <w:rFonts w:hint="eastAsia" w:ascii="宋体" w:hAnsi="宋体" w:cs="宋体"/>
          <w:color w:val="auto"/>
          <w:szCs w:val="21"/>
          <w:highlight w:val="none"/>
        </w:rPr>
        <w:t>要求提交低价风险担保（适用于经评审最低投标价法）或履约保证金的，</w:t>
      </w:r>
      <w:r>
        <w:rPr>
          <w:rFonts w:ascii="宋体" w:hAnsi="宋体"/>
          <w:snapToGrid w:val="0"/>
          <w:color w:val="auto"/>
          <w:kern w:val="0"/>
          <w:szCs w:val="21"/>
          <w:highlight w:val="none"/>
        </w:rPr>
        <w:t>招标人取消其中标资格，其投标保证金不予退还；给招标人造成的损失超过投标保证金数额的，中标人还应当对超过部分予以赔偿。</w:t>
      </w:r>
    </w:p>
    <w:p w14:paraId="279CA88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7.4.2  发出中标通知书后，招标人无正当理由拒签合同的，招标人向中标人退还投标保证金；给中标人造成损失的，还应当赔偿损失。</w:t>
      </w:r>
    </w:p>
    <w:p w14:paraId="74AB6ED3">
      <w:pPr>
        <w:pStyle w:val="4"/>
        <w:spacing w:before="0" w:after="0" w:line="360" w:lineRule="auto"/>
        <w:rPr>
          <w:rFonts w:ascii="宋体" w:hAnsi="宋体"/>
          <w:b w:val="0"/>
          <w:snapToGrid w:val="0"/>
          <w:color w:val="auto"/>
          <w:highlight w:val="none"/>
        </w:rPr>
      </w:pPr>
      <w:bookmarkStart w:id="462" w:name="_Toc287620728"/>
      <w:bookmarkStart w:id="463" w:name="_Toc287607789"/>
      <w:bookmarkStart w:id="464" w:name="_Toc277082595"/>
      <w:bookmarkStart w:id="465" w:name="_Toc26980"/>
      <w:bookmarkStart w:id="466" w:name="_Toc200513169"/>
      <w:bookmarkStart w:id="467" w:name="_Toc18535"/>
      <w:bookmarkStart w:id="468" w:name="_Toc224103360"/>
      <w:bookmarkStart w:id="469" w:name="_Toc509218753"/>
      <w:bookmarkStart w:id="470" w:name="_Toc430530478"/>
      <w:r>
        <w:rPr>
          <w:rFonts w:ascii="宋体" w:hAnsi="宋体"/>
          <w:b w:val="0"/>
          <w:snapToGrid w:val="0"/>
          <w:color w:val="auto"/>
          <w:highlight w:val="none"/>
        </w:rPr>
        <w:t>8.  重新招标和不再招标</w:t>
      </w:r>
      <w:bookmarkEnd w:id="462"/>
      <w:bookmarkEnd w:id="463"/>
      <w:bookmarkEnd w:id="464"/>
      <w:bookmarkEnd w:id="465"/>
      <w:bookmarkEnd w:id="466"/>
      <w:bookmarkEnd w:id="467"/>
      <w:bookmarkEnd w:id="468"/>
      <w:bookmarkEnd w:id="469"/>
      <w:bookmarkEnd w:id="470"/>
    </w:p>
    <w:p w14:paraId="617348C8">
      <w:pPr>
        <w:pStyle w:val="5"/>
        <w:snapToGrid w:val="0"/>
        <w:spacing w:before="0" w:after="0" w:line="360" w:lineRule="auto"/>
        <w:rPr>
          <w:rFonts w:ascii="宋体" w:hAnsi="宋体"/>
          <w:b w:val="0"/>
          <w:snapToGrid w:val="0"/>
          <w:color w:val="auto"/>
          <w:sz w:val="24"/>
          <w:szCs w:val="24"/>
          <w:highlight w:val="none"/>
        </w:rPr>
      </w:pPr>
      <w:bookmarkStart w:id="471" w:name="_Toc200513170"/>
      <w:bookmarkStart w:id="472" w:name="_Toc430530479"/>
      <w:bookmarkStart w:id="473" w:name="_Toc287607790"/>
      <w:bookmarkStart w:id="474" w:name="_Toc224103361"/>
      <w:bookmarkStart w:id="475" w:name="_Toc287620729"/>
      <w:bookmarkStart w:id="476" w:name="_Toc277082596"/>
      <w:bookmarkStart w:id="477" w:name="_Toc509218754"/>
      <w:bookmarkStart w:id="478" w:name="_Toc20623"/>
      <w:bookmarkStart w:id="479" w:name="_Toc15850"/>
      <w:r>
        <w:rPr>
          <w:rFonts w:ascii="宋体" w:hAnsi="宋体"/>
          <w:b w:val="0"/>
          <w:snapToGrid w:val="0"/>
          <w:color w:val="auto"/>
          <w:sz w:val="24"/>
          <w:szCs w:val="24"/>
          <w:highlight w:val="none"/>
        </w:rPr>
        <w:t>8.1  重新招标</w:t>
      </w:r>
      <w:bookmarkEnd w:id="471"/>
      <w:bookmarkEnd w:id="472"/>
      <w:bookmarkEnd w:id="473"/>
      <w:bookmarkEnd w:id="474"/>
      <w:bookmarkEnd w:id="475"/>
      <w:bookmarkEnd w:id="476"/>
      <w:bookmarkEnd w:id="477"/>
      <w:r>
        <w:rPr>
          <w:rFonts w:hint="eastAsia" w:ascii="宋体" w:hAnsi="宋体"/>
          <w:b w:val="0"/>
          <w:snapToGrid w:val="0"/>
          <w:color w:val="auto"/>
          <w:sz w:val="24"/>
          <w:szCs w:val="24"/>
          <w:highlight w:val="none"/>
        </w:rPr>
        <w:t>的情形</w:t>
      </w:r>
      <w:bookmarkEnd w:id="478"/>
      <w:bookmarkEnd w:id="479"/>
    </w:p>
    <w:p w14:paraId="436C2C95">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有下列情形之一的，招标人将重新招标：</w:t>
      </w:r>
    </w:p>
    <w:p w14:paraId="752AE41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（1）投标截止时间止，投标人少于 3 个的；</w:t>
      </w:r>
    </w:p>
    <w:p w14:paraId="231D8B5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14:paraId="206D635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经评标委员会评审后部分投标被否决，导致有效投标人不足三个的，评标委员会应当否决所有投标。但是有效投标人的经济、技术等指标仍然具有市场竞争力，能够满足</w:t>
      </w:r>
      <w:r>
        <w:rPr>
          <w:rFonts w:hint="eastAsia" w:ascii="宋体" w:hAnsi="宋体"/>
          <w:snapToGrid w:val="0"/>
          <w:color w:val="auto"/>
          <w:kern w:val="0"/>
          <w:szCs w:val="21"/>
          <w:highlight w:val="none"/>
          <w:lang w:eastAsia="zh-CN"/>
        </w:rPr>
        <w:t>竞争性比选文件</w:t>
      </w:r>
      <w:r>
        <w:rPr>
          <w:rFonts w:hint="eastAsia" w:ascii="宋体" w:hAnsi="宋体"/>
          <w:snapToGrid w:val="0"/>
          <w:color w:val="auto"/>
          <w:kern w:val="0"/>
          <w:szCs w:val="21"/>
          <w:highlight w:val="none"/>
        </w:rPr>
        <w:t>要求的，评标委员会可以继续评标并确定中标候选人</w:t>
      </w:r>
      <w:r>
        <w:rPr>
          <w:rFonts w:ascii="宋体" w:hAnsi="宋体"/>
          <w:snapToGrid w:val="0"/>
          <w:color w:val="auto"/>
          <w:kern w:val="0"/>
          <w:szCs w:val="21"/>
          <w:highlight w:val="none"/>
        </w:rPr>
        <w:t>；</w:t>
      </w:r>
    </w:p>
    <w:p w14:paraId="3D83061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322CA7FD">
      <w:pPr>
        <w:pStyle w:val="5"/>
        <w:snapToGrid w:val="0"/>
        <w:spacing w:before="0" w:after="0" w:line="360" w:lineRule="auto"/>
        <w:rPr>
          <w:rFonts w:ascii="宋体" w:hAnsi="宋体"/>
          <w:b w:val="0"/>
          <w:snapToGrid w:val="0"/>
          <w:color w:val="auto"/>
          <w:sz w:val="24"/>
          <w:szCs w:val="24"/>
          <w:highlight w:val="none"/>
        </w:rPr>
      </w:pPr>
      <w:bookmarkStart w:id="480" w:name="_Toc224103362"/>
      <w:bookmarkStart w:id="481" w:name="_Toc509218755"/>
      <w:bookmarkStart w:id="482" w:name="_Toc12092"/>
      <w:bookmarkStart w:id="483" w:name="_Toc277082597"/>
      <w:bookmarkStart w:id="484" w:name="_Toc200513171"/>
      <w:bookmarkStart w:id="485" w:name="_Toc9601"/>
      <w:bookmarkStart w:id="486" w:name="_Toc287607791"/>
      <w:bookmarkStart w:id="487" w:name="_Toc430530480"/>
      <w:bookmarkStart w:id="488" w:name="_Toc287620730"/>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ascii="宋体" w:hAnsi="宋体"/>
          <w:b w:val="0"/>
          <w:snapToGrid w:val="0"/>
          <w:color w:val="auto"/>
          <w:sz w:val="24"/>
          <w:szCs w:val="24"/>
          <w:highlight w:val="none"/>
        </w:rPr>
        <w:t>招标和不再招标</w:t>
      </w:r>
      <w:bookmarkEnd w:id="480"/>
      <w:bookmarkEnd w:id="481"/>
      <w:bookmarkEnd w:id="482"/>
      <w:bookmarkEnd w:id="483"/>
      <w:bookmarkEnd w:id="484"/>
      <w:bookmarkEnd w:id="485"/>
      <w:bookmarkEnd w:id="486"/>
      <w:bookmarkEnd w:id="487"/>
      <w:bookmarkEnd w:id="488"/>
    </w:p>
    <w:p w14:paraId="7F36EE8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14:paraId="7AF0BFA1">
      <w:pPr>
        <w:pStyle w:val="4"/>
        <w:spacing w:before="0" w:after="0" w:line="360" w:lineRule="auto"/>
        <w:rPr>
          <w:rFonts w:ascii="宋体" w:hAnsi="宋体"/>
          <w:b w:val="0"/>
          <w:snapToGrid w:val="0"/>
          <w:color w:val="auto"/>
          <w:highlight w:val="none"/>
        </w:rPr>
      </w:pPr>
      <w:bookmarkStart w:id="489" w:name="_Toc287620731"/>
      <w:bookmarkStart w:id="490" w:name="_Toc13021"/>
      <w:bookmarkStart w:id="491" w:name="_Toc277082598"/>
      <w:bookmarkStart w:id="492" w:name="_Toc509218756"/>
      <w:bookmarkStart w:id="493" w:name="_Toc430530481"/>
      <w:bookmarkStart w:id="494" w:name="_Toc287607792"/>
      <w:bookmarkStart w:id="495" w:name="_Toc200513172"/>
      <w:bookmarkStart w:id="496" w:name="_Toc22538"/>
      <w:bookmarkStart w:id="497" w:name="_Toc224103363"/>
      <w:r>
        <w:rPr>
          <w:rFonts w:ascii="宋体" w:hAnsi="宋体"/>
          <w:b w:val="0"/>
          <w:snapToGrid w:val="0"/>
          <w:color w:val="auto"/>
          <w:highlight w:val="none"/>
        </w:rPr>
        <w:t>9.  纪律和监督</w:t>
      </w:r>
      <w:bookmarkEnd w:id="489"/>
      <w:bookmarkEnd w:id="490"/>
      <w:bookmarkEnd w:id="491"/>
      <w:bookmarkEnd w:id="492"/>
      <w:bookmarkEnd w:id="493"/>
      <w:bookmarkEnd w:id="494"/>
      <w:bookmarkEnd w:id="495"/>
      <w:bookmarkEnd w:id="496"/>
      <w:bookmarkEnd w:id="497"/>
    </w:p>
    <w:p w14:paraId="79EBF32A">
      <w:pPr>
        <w:pStyle w:val="5"/>
        <w:snapToGrid w:val="0"/>
        <w:spacing w:before="0" w:after="0" w:line="360" w:lineRule="auto"/>
        <w:rPr>
          <w:rFonts w:ascii="宋体" w:hAnsi="宋体"/>
          <w:b w:val="0"/>
          <w:snapToGrid w:val="0"/>
          <w:color w:val="auto"/>
          <w:sz w:val="24"/>
          <w:szCs w:val="24"/>
          <w:highlight w:val="none"/>
        </w:rPr>
      </w:pPr>
      <w:bookmarkStart w:id="498" w:name="_Toc19199"/>
      <w:bookmarkStart w:id="499" w:name="_Toc430530482"/>
      <w:bookmarkStart w:id="500" w:name="_Toc200513173"/>
      <w:bookmarkStart w:id="501" w:name="_Toc509218757"/>
      <w:bookmarkStart w:id="502" w:name="_Toc287620732"/>
      <w:bookmarkStart w:id="503" w:name="_Toc224103364"/>
      <w:bookmarkStart w:id="504" w:name="_Toc287607793"/>
      <w:bookmarkStart w:id="505" w:name="_Toc10470"/>
      <w:bookmarkStart w:id="506" w:name="_Toc277082599"/>
      <w:r>
        <w:rPr>
          <w:rFonts w:ascii="宋体" w:hAnsi="宋体"/>
          <w:b w:val="0"/>
          <w:snapToGrid w:val="0"/>
          <w:color w:val="auto"/>
          <w:sz w:val="24"/>
          <w:szCs w:val="24"/>
          <w:highlight w:val="none"/>
        </w:rPr>
        <w:t>9.1  对招标人的纪律要求</w:t>
      </w:r>
      <w:bookmarkEnd w:id="498"/>
      <w:bookmarkEnd w:id="499"/>
      <w:bookmarkEnd w:id="500"/>
      <w:bookmarkEnd w:id="501"/>
      <w:bookmarkEnd w:id="502"/>
      <w:bookmarkEnd w:id="503"/>
      <w:bookmarkEnd w:id="504"/>
      <w:bookmarkEnd w:id="505"/>
      <w:bookmarkEnd w:id="506"/>
    </w:p>
    <w:p w14:paraId="3D0AC9F1">
      <w:pPr>
        <w:autoSpaceDE w:val="0"/>
        <w:autoSpaceDN w:val="0"/>
        <w:adjustRightInd w:val="0"/>
        <w:snapToGrid w:val="0"/>
        <w:spacing w:line="360" w:lineRule="auto"/>
        <w:ind w:firstLine="420"/>
        <w:rPr>
          <w:rFonts w:ascii="宋体" w:hAnsi="宋体"/>
          <w:color w:val="auto"/>
          <w:highlight w:val="none"/>
        </w:rPr>
      </w:pPr>
      <w:r>
        <w:rPr>
          <w:rFonts w:ascii="宋体" w:hAnsi="宋体"/>
          <w:snapToGrid w:val="0"/>
          <w:color w:val="auto"/>
          <w:kern w:val="0"/>
          <w:szCs w:val="21"/>
          <w:highlight w:val="none"/>
        </w:rPr>
        <w:t>招标人不得泄漏招标投标活动中应当保密的情况和资料，不得与投标人串通损害国家利 益、社会公共利益或者他人合法权益，</w:t>
      </w:r>
      <w:r>
        <w:rPr>
          <w:rFonts w:ascii="宋体" w:hAnsi="宋体"/>
          <w:color w:val="auto"/>
          <w:highlight w:val="none"/>
        </w:rPr>
        <w:t>禁止招标人与投标人串通投标。</w:t>
      </w:r>
    </w:p>
    <w:p w14:paraId="198EA502">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有下列情形之一的，属于招标人与投标人串通投标：</w:t>
      </w:r>
    </w:p>
    <w:p w14:paraId="5D02F766">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（1）招标人在开标前开启投标文件并将有关信息泄露给其他投标人</w:t>
      </w:r>
      <w:r>
        <w:rPr>
          <w:rFonts w:hint="eastAsia" w:ascii="宋体" w:hAnsi="宋体"/>
          <w:color w:val="auto"/>
          <w:highlight w:val="none"/>
        </w:rPr>
        <w:t>；</w:t>
      </w:r>
    </w:p>
    <w:p w14:paraId="3C89A129">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（2）招标人直接或者间接向投标人泄露标底、评标委员会成员等信息；</w:t>
      </w:r>
    </w:p>
    <w:p w14:paraId="7063565A">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（3）招标人明示或者暗示投标人压低或者抬高投标报价；</w:t>
      </w:r>
    </w:p>
    <w:p w14:paraId="47010BA3">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（4）招标人授意投标人撤换、修改投标文件；</w:t>
      </w:r>
    </w:p>
    <w:p w14:paraId="37828156">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（5）招标人明示或者暗示投标人为特定投标人中标提供方便；</w:t>
      </w:r>
    </w:p>
    <w:p w14:paraId="00D80B2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（6）招标人与投标人为谋求特定投标人中标而采取的其他串通行为。</w:t>
      </w:r>
    </w:p>
    <w:p w14:paraId="2D142E26">
      <w:pPr>
        <w:pStyle w:val="5"/>
        <w:snapToGrid w:val="0"/>
        <w:spacing w:before="0" w:after="0" w:line="360" w:lineRule="auto"/>
        <w:ind w:firstLine="480" w:firstLineChars="200"/>
        <w:rPr>
          <w:rFonts w:ascii="宋体" w:hAnsi="宋体"/>
          <w:b w:val="0"/>
          <w:snapToGrid w:val="0"/>
          <w:color w:val="auto"/>
          <w:sz w:val="24"/>
          <w:szCs w:val="24"/>
          <w:highlight w:val="none"/>
        </w:rPr>
      </w:pPr>
      <w:bookmarkStart w:id="507" w:name="_Toc430530483"/>
      <w:bookmarkStart w:id="508" w:name="_Toc200513174"/>
      <w:bookmarkStart w:id="509" w:name="_Toc25699"/>
      <w:bookmarkStart w:id="510" w:name="_Toc509218758"/>
      <w:bookmarkStart w:id="511" w:name="_Toc224103365"/>
      <w:bookmarkStart w:id="512" w:name="_Toc287620733"/>
      <w:bookmarkStart w:id="513" w:name="_Toc16111"/>
      <w:bookmarkStart w:id="514" w:name="_Toc277082600"/>
      <w:bookmarkStart w:id="515" w:name="_Toc287607794"/>
      <w:r>
        <w:rPr>
          <w:rFonts w:ascii="宋体" w:hAnsi="宋体"/>
          <w:b w:val="0"/>
          <w:snapToGrid w:val="0"/>
          <w:color w:val="auto"/>
          <w:sz w:val="24"/>
          <w:szCs w:val="24"/>
          <w:highlight w:val="none"/>
        </w:rPr>
        <w:t>9.2  对投标人的纪律要求</w:t>
      </w:r>
      <w:bookmarkEnd w:id="507"/>
      <w:bookmarkEnd w:id="508"/>
      <w:bookmarkEnd w:id="509"/>
      <w:bookmarkEnd w:id="510"/>
      <w:bookmarkEnd w:id="511"/>
      <w:bookmarkEnd w:id="512"/>
      <w:bookmarkEnd w:id="513"/>
      <w:bookmarkEnd w:id="514"/>
      <w:bookmarkEnd w:id="515"/>
    </w:p>
    <w:p w14:paraId="7254A3E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BBD048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9.2.1  </w:t>
      </w:r>
      <w:r>
        <w:rPr>
          <w:rFonts w:ascii="宋体" w:hAnsi="宋体"/>
          <w:color w:val="auto"/>
          <w:highlight w:val="none"/>
        </w:rPr>
        <w:t>有下列情形之一的，属于投标人相互串通投标：</w:t>
      </w:r>
    </w:p>
    <w:p w14:paraId="56F4A31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（1）投标人之间协商投标报价等投标文件的实质性内容；</w:t>
      </w:r>
    </w:p>
    <w:p w14:paraId="565A9F63">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（2）投标人之间约定中标人；</w:t>
      </w:r>
    </w:p>
    <w:p w14:paraId="2CFC812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（3）投标人之间约定部分投标人放弃投标或者中标；</w:t>
      </w:r>
    </w:p>
    <w:p w14:paraId="0AF70440">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（4）属于同一集团、协会、商会等组织成员的投标人按照该组织要求协同投标；</w:t>
      </w:r>
    </w:p>
    <w:p w14:paraId="7587C13D">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（5）投标人之间为谋取中标或者排斥特定投标人而采取的其他联合行动。</w:t>
      </w:r>
    </w:p>
    <w:p w14:paraId="1824A375">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有下列情形之一的，视为投标人相互串通投标：</w:t>
      </w:r>
    </w:p>
    <w:p w14:paraId="02BB75D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（1）不同投标人的投标文件由同一单位或者个人编制；</w:t>
      </w:r>
    </w:p>
    <w:p w14:paraId="53418807">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（2）不同投标人委托同一单位或者个人办理投标事宜；</w:t>
      </w:r>
    </w:p>
    <w:p w14:paraId="558FD91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（3）不同投标人的投标文件载明的项目管理成员为同一人；</w:t>
      </w:r>
    </w:p>
    <w:p w14:paraId="3E7DACD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（4）不同投标人的投标文件异常一致或者投标报价呈规律性差异；</w:t>
      </w:r>
    </w:p>
    <w:p w14:paraId="57EE98C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（5）不同投标人的投标文件相互混装；</w:t>
      </w:r>
    </w:p>
    <w:p w14:paraId="1619F6B9">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（6）不同投标人的投标保证金从同一单位或者个人的账户转出</w:t>
      </w:r>
      <w:r>
        <w:rPr>
          <w:rFonts w:hint="eastAsia" w:ascii="宋体" w:hAnsi="宋体"/>
          <w:color w:val="auto"/>
          <w:highlight w:val="none"/>
        </w:rPr>
        <w:t>；</w:t>
      </w:r>
    </w:p>
    <w:p w14:paraId="6234EB89">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14:paraId="0CCCA682">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ascii="宋体" w:hAnsi="宋体"/>
          <w:color w:val="auto"/>
          <w:highlight w:val="none"/>
        </w:rPr>
        <w:t>投标人有下列情形之一的，属于以其他方式弄虚作假的行为：</w:t>
      </w:r>
    </w:p>
    <w:p w14:paraId="53612087">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使用伪造、变造的许可证件；</w:t>
      </w:r>
    </w:p>
    <w:p w14:paraId="7FBE3D01">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48B200B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1B3AE3F4">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55D2677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77AB8235">
      <w:pPr>
        <w:pStyle w:val="5"/>
        <w:snapToGrid w:val="0"/>
        <w:spacing w:before="0" w:after="0" w:line="360" w:lineRule="auto"/>
        <w:rPr>
          <w:rFonts w:ascii="宋体" w:hAnsi="宋体"/>
          <w:b w:val="0"/>
          <w:snapToGrid w:val="0"/>
          <w:color w:val="auto"/>
          <w:sz w:val="24"/>
          <w:szCs w:val="24"/>
          <w:highlight w:val="none"/>
        </w:rPr>
      </w:pPr>
      <w:bookmarkStart w:id="516" w:name="_Toc509218759"/>
      <w:bookmarkStart w:id="517" w:name="_Toc277082601"/>
      <w:bookmarkStart w:id="518" w:name="_Toc200513175"/>
      <w:bookmarkStart w:id="519" w:name="_Toc12627"/>
      <w:bookmarkStart w:id="520" w:name="_Toc287620734"/>
      <w:bookmarkStart w:id="521" w:name="_Toc32228"/>
      <w:bookmarkStart w:id="522" w:name="_Toc430530484"/>
      <w:bookmarkStart w:id="523" w:name="_Toc224103366"/>
      <w:bookmarkStart w:id="524" w:name="_Toc287607795"/>
      <w:r>
        <w:rPr>
          <w:rFonts w:ascii="宋体" w:hAnsi="宋体"/>
          <w:b w:val="0"/>
          <w:snapToGrid w:val="0"/>
          <w:color w:val="auto"/>
          <w:sz w:val="24"/>
          <w:szCs w:val="24"/>
          <w:highlight w:val="none"/>
        </w:rPr>
        <w:t>9.3  对评标委员会成员的纪律要求</w:t>
      </w:r>
      <w:bookmarkEnd w:id="516"/>
      <w:bookmarkEnd w:id="517"/>
      <w:bookmarkEnd w:id="518"/>
      <w:bookmarkEnd w:id="519"/>
      <w:bookmarkEnd w:id="520"/>
      <w:bookmarkEnd w:id="521"/>
      <w:bookmarkEnd w:id="522"/>
      <w:bookmarkEnd w:id="523"/>
      <w:bookmarkEnd w:id="524"/>
    </w:p>
    <w:p w14:paraId="78FEC72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w:t>
      </w:r>
      <w:r>
        <w:rPr>
          <w:rFonts w:hint="eastAsia" w:ascii="宋体" w:hAnsi="宋体"/>
          <w:snapToGrid w:val="0"/>
          <w:color w:val="auto"/>
          <w:kern w:val="0"/>
          <w:szCs w:val="21"/>
          <w:highlight w:val="none"/>
          <w:lang w:eastAsia="zh-CN"/>
        </w:rPr>
        <w:t>竞争性比选文件</w:t>
      </w:r>
      <w:r>
        <w:rPr>
          <w:rFonts w:hint="eastAsia" w:ascii="宋体" w:hAnsi="宋体"/>
          <w:snapToGrid w:val="0"/>
          <w:color w:val="auto"/>
          <w:kern w:val="0"/>
          <w:szCs w:val="21"/>
          <w:highlight w:val="none"/>
        </w:rPr>
        <w:t>中《否决投标情况一览表》以外的内容予以否决投标，否则对评标委员会成员按《重庆市综合评标专家库和评标专家管理暂行办法》进行处理。</w:t>
      </w:r>
    </w:p>
    <w:p w14:paraId="7B0CA3A0">
      <w:pPr>
        <w:pStyle w:val="5"/>
        <w:snapToGrid w:val="0"/>
        <w:spacing w:before="0" w:after="0" w:line="360" w:lineRule="auto"/>
        <w:rPr>
          <w:rFonts w:ascii="宋体" w:hAnsi="宋体"/>
          <w:b w:val="0"/>
          <w:snapToGrid w:val="0"/>
          <w:color w:val="auto"/>
          <w:sz w:val="24"/>
          <w:szCs w:val="24"/>
          <w:highlight w:val="none"/>
        </w:rPr>
      </w:pPr>
      <w:bookmarkStart w:id="525" w:name="_Toc224103367"/>
      <w:bookmarkStart w:id="526" w:name="_Toc200513176"/>
      <w:bookmarkStart w:id="527" w:name="_Toc11560"/>
      <w:bookmarkStart w:id="528" w:name="_Toc287620735"/>
      <w:bookmarkStart w:id="529" w:name="_Toc277082602"/>
      <w:bookmarkStart w:id="530" w:name="_Toc958"/>
      <w:bookmarkStart w:id="531" w:name="_Toc509218760"/>
      <w:bookmarkStart w:id="532" w:name="_Toc287607796"/>
      <w:bookmarkStart w:id="533" w:name="_Toc430530485"/>
      <w:r>
        <w:rPr>
          <w:rFonts w:ascii="宋体" w:hAnsi="宋体"/>
          <w:b w:val="0"/>
          <w:snapToGrid w:val="0"/>
          <w:color w:val="auto"/>
          <w:sz w:val="24"/>
          <w:szCs w:val="24"/>
          <w:highlight w:val="none"/>
        </w:rPr>
        <w:t>9.4  对与评标活动有关的工作人员的纪律要求</w:t>
      </w:r>
      <w:bookmarkEnd w:id="525"/>
      <w:bookmarkEnd w:id="526"/>
      <w:bookmarkEnd w:id="527"/>
      <w:bookmarkEnd w:id="528"/>
      <w:bookmarkEnd w:id="529"/>
      <w:bookmarkEnd w:id="530"/>
      <w:bookmarkEnd w:id="531"/>
      <w:bookmarkEnd w:id="532"/>
      <w:bookmarkEnd w:id="533"/>
    </w:p>
    <w:p w14:paraId="6C8AB9C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14:paraId="4ECAC46F">
      <w:pPr>
        <w:pStyle w:val="5"/>
        <w:snapToGrid w:val="0"/>
        <w:spacing w:before="0" w:after="0" w:line="360" w:lineRule="auto"/>
        <w:rPr>
          <w:rFonts w:ascii="宋体" w:hAnsi="宋体"/>
          <w:b w:val="0"/>
          <w:snapToGrid w:val="0"/>
          <w:color w:val="auto"/>
          <w:sz w:val="24"/>
          <w:szCs w:val="24"/>
          <w:highlight w:val="none"/>
        </w:rPr>
      </w:pPr>
      <w:bookmarkStart w:id="534" w:name="_Toc200513177"/>
      <w:bookmarkStart w:id="535" w:name="_Toc31356"/>
      <w:bookmarkStart w:id="536" w:name="_Toc430530486"/>
      <w:bookmarkStart w:id="537" w:name="_Toc509218761"/>
      <w:bookmarkStart w:id="538" w:name="_Toc287620736"/>
      <w:bookmarkStart w:id="539" w:name="_Toc26019"/>
      <w:bookmarkStart w:id="540" w:name="_Toc287607797"/>
      <w:bookmarkStart w:id="541" w:name="_Toc277082603"/>
      <w:bookmarkStart w:id="542" w:name="_Toc224103368"/>
      <w:r>
        <w:rPr>
          <w:rFonts w:ascii="宋体" w:hAnsi="宋体"/>
          <w:b w:val="0"/>
          <w:snapToGrid w:val="0"/>
          <w:color w:val="auto"/>
          <w:sz w:val="24"/>
          <w:szCs w:val="24"/>
          <w:highlight w:val="none"/>
        </w:rPr>
        <w:t>9.5  投诉</w:t>
      </w:r>
      <w:bookmarkEnd w:id="534"/>
      <w:bookmarkEnd w:id="535"/>
      <w:bookmarkEnd w:id="536"/>
      <w:bookmarkEnd w:id="537"/>
      <w:bookmarkEnd w:id="538"/>
      <w:bookmarkEnd w:id="539"/>
      <w:bookmarkEnd w:id="540"/>
      <w:bookmarkEnd w:id="541"/>
      <w:bookmarkEnd w:id="542"/>
    </w:p>
    <w:p w14:paraId="030A2AC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投标人和其他利害关系人认为本次招标活动违反法律、法规和规章规定的，有权向有关行政监督部门投诉。</w:t>
      </w:r>
    </w:p>
    <w:p w14:paraId="622B56A9">
      <w:pPr>
        <w:pStyle w:val="4"/>
        <w:spacing w:before="0" w:after="0" w:line="360" w:lineRule="auto"/>
        <w:rPr>
          <w:rFonts w:ascii="宋体" w:hAnsi="宋体"/>
          <w:b w:val="0"/>
          <w:snapToGrid w:val="0"/>
          <w:color w:val="auto"/>
          <w:highlight w:val="none"/>
        </w:rPr>
      </w:pPr>
      <w:bookmarkStart w:id="543" w:name="_Toc277082604"/>
      <w:bookmarkStart w:id="544" w:name="_Toc287607798"/>
      <w:bookmarkStart w:id="545" w:name="_Toc287620737"/>
      <w:bookmarkStart w:id="546" w:name="_Toc430530487"/>
      <w:bookmarkStart w:id="547" w:name="_Toc224103369"/>
      <w:bookmarkStart w:id="548" w:name="_Toc2380"/>
      <w:bookmarkStart w:id="549" w:name="_Toc200513178"/>
      <w:bookmarkStart w:id="550" w:name="_Toc509218762"/>
      <w:bookmarkStart w:id="551" w:name="_Toc16177"/>
      <w:r>
        <w:rPr>
          <w:rFonts w:ascii="宋体" w:hAnsi="宋体"/>
          <w:b w:val="0"/>
          <w:snapToGrid w:val="0"/>
          <w:color w:val="auto"/>
          <w:highlight w:val="none"/>
        </w:rPr>
        <w:t>10. 需要补充的其他内容</w:t>
      </w:r>
      <w:bookmarkEnd w:id="543"/>
      <w:bookmarkEnd w:id="544"/>
      <w:bookmarkEnd w:id="545"/>
      <w:bookmarkEnd w:id="546"/>
      <w:bookmarkEnd w:id="547"/>
      <w:bookmarkEnd w:id="548"/>
      <w:bookmarkEnd w:id="549"/>
      <w:bookmarkEnd w:id="550"/>
      <w:bookmarkEnd w:id="551"/>
    </w:p>
    <w:p w14:paraId="24F39A10">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6" w:type="default"/>
          <w:footerReference r:id="rId7" w:type="even"/>
          <w:pgSz w:w="11906" w:h="16838"/>
          <w:pgMar w:top="1304" w:right="1134" w:bottom="1304" w:left="1304" w:header="851" w:footer="992" w:gutter="0"/>
          <w:cols w:space="720" w:num="1"/>
          <w:docGrid w:type="lines" w:linePitch="312" w:charSpace="0"/>
        </w:sectPr>
      </w:pPr>
      <w:r>
        <w:rPr>
          <w:rFonts w:ascii="宋体" w:hAnsi="宋体"/>
          <w:snapToGrid w:val="0"/>
          <w:color w:val="auto"/>
          <w:kern w:val="0"/>
          <w:szCs w:val="21"/>
          <w:highlight w:val="none"/>
        </w:rPr>
        <w:t>需要补充的其他内容：见投标人须知前附表。</w:t>
      </w:r>
    </w:p>
    <w:p w14:paraId="7A5E9CF1">
      <w:pPr>
        <w:autoSpaceDE w:val="0"/>
        <w:autoSpaceDN w:val="0"/>
        <w:adjustRightInd w:val="0"/>
        <w:snapToGrid w:val="0"/>
        <w:spacing w:before="62" w:beforeLines="20" w:line="360" w:lineRule="auto"/>
        <w:jc w:val="right"/>
        <w:rPr>
          <w:rFonts w:ascii="宋体" w:hAnsi="宋体"/>
          <w:snapToGrid w:val="0"/>
          <w:color w:val="auto"/>
          <w:kern w:val="0"/>
          <w:sz w:val="24"/>
          <w:highlight w:val="none"/>
        </w:rPr>
      </w:pPr>
    </w:p>
    <w:p w14:paraId="4230007C">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lang w:val="en-US" w:eastAsia="zh-CN"/>
        </w:rPr>
        <w:t>一</w:t>
      </w:r>
      <w:r>
        <w:rPr>
          <w:rFonts w:ascii="宋体" w:hAnsi="宋体"/>
          <w:b/>
          <w:snapToGrid w:val="0"/>
          <w:color w:val="auto"/>
          <w:kern w:val="0"/>
          <w:highlight w:val="none"/>
        </w:rPr>
        <w:t>：问题澄清通知</w:t>
      </w:r>
    </w:p>
    <w:p w14:paraId="3E17E819">
      <w:pPr>
        <w:autoSpaceDE w:val="0"/>
        <w:autoSpaceDN w:val="0"/>
        <w:adjustRightInd w:val="0"/>
        <w:snapToGrid w:val="0"/>
        <w:spacing w:line="360" w:lineRule="auto"/>
        <w:jc w:val="left"/>
        <w:rPr>
          <w:rFonts w:ascii="宋体" w:hAnsi="宋体"/>
          <w:b/>
          <w:snapToGrid w:val="0"/>
          <w:color w:val="auto"/>
          <w:kern w:val="0"/>
          <w:sz w:val="24"/>
          <w:highlight w:val="none"/>
        </w:rPr>
      </w:pPr>
    </w:p>
    <w:p w14:paraId="24069BDC">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问题澄清通知</w:t>
      </w:r>
    </w:p>
    <w:p w14:paraId="088D8A04">
      <w:pPr>
        <w:autoSpaceDE w:val="0"/>
        <w:autoSpaceDN w:val="0"/>
        <w:adjustRightInd w:val="0"/>
        <w:snapToGrid w:val="0"/>
        <w:spacing w:line="360" w:lineRule="auto"/>
        <w:jc w:val="left"/>
        <w:rPr>
          <w:rFonts w:ascii="宋体" w:hAnsi="宋体"/>
          <w:b/>
          <w:snapToGrid w:val="0"/>
          <w:color w:val="auto"/>
          <w:kern w:val="0"/>
          <w:sz w:val="24"/>
          <w:highlight w:val="none"/>
        </w:rPr>
      </w:pPr>
    </w:p>
    <w:p w14:paraId="13C78E36">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6B39A895">
      <w:pPr>
        <w:autoSpaceDE w:val="0"/>
        <w:autoSpaceDN w:val="0"/>
        <w:adjustRightInd w:val="0"/>
        <w:snapToGrid w:val="0"/>
        <w:spacing w:line="360" w:lineRule="auto"/>
        <w:jc w:val="left"/>
        <w:rPr>
          <w:rFonts w:ascii="宋体" w:hAnsi="宋体"/>
          <w:b/>
          <w:snapToGrid w:val="0"/>
          <w:color w:val="auto"/>
          <w:kern w:val="0"/>
          <w:sz w:val="24"/>
          <w:highlight w:val="none"/>
        </w:rPr>
      </w:pPr>
    </w:p>
    <w:p w14:paraId="152F2515">
      <w:pPr>
        <w:autoSpaceDE w:val="0"/>
        <w:autoSpaceDN w:val="0"/>
        <w:adjustRightInd w:val="0"/>
        <w:snapToGrid w:val="0"/>
        <w:spacing w:line="360" w:lineRule="auto"/>
        <w:rPr>
          <w:rFonts w:ascii="宋体" w:hAnsi="宋体"/>
          <w:snapToGrid w:val="0"/>
          <w:color w:val="auto"/>
          <w:kern w:val="0"/>
          <w:sz w:val="28"/>
          <w:szCs w:val="28"/>
          <w:highlight w:val="none"/>
        </w:rPr>
      </w:pPr>
    </w:p>
    <w:p w14:paraId="010D2575">
      <w:pPr>
        <w:tabs>
          <w:tab w:val="left" w:pos="158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（投标人名称）</w:t>
      </w:r>
      <w:r>
        <w:rPr>
          <w:rFonts w:ascii="宋体" w:hAnsi="宋体"/>
          <w:snapToGrid w:val="0"/>
          <w:color w:val="auto"/>
          <w:kern w:val="0"/>
          <w:szCs w:val="21"/>
          <w:highlight w:val="none"/>
        </w:rPr>
        <w:t>：</w:t>
      </w:r>
    </w:p>
    <w:p w14:paraId="561A52BE">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的评标委员会，对你方的投标文件进行了仔细的审查，现需你方对下列问题予以澄清：</w:t>
      </w:r>
    </w:p>
    <w:p w14:paraId="0C96204F">
      <w:pPr>
        <w:autoSpaceDE w:val="0"/>
        <w:autoSpaceDN w:val="0"/>
        <w:adjustRightInd w:val="0"/>
        <w:snapToGrid w:val="0"/>
        <w:spacing w:line="360" w:lineRule="auto"/>
        <w:jc w:val="left"/>
        <w:rPr>
          <w:rFonts w:ascii="宋体" w:hAnsi="宋体"/>
          <w:snapToGrid w:val="0"/>
          <w:color w:val="auto"/>
          <w:kern w:val="0"/>
          <w:sz w:val="24"/>
          <w:highlight w:val="none"/>
        </w:rPr>
      </w:pPr>
    </w:p>
    <w:p w14:paraId="2EE66CFC">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782ECC19">
      <w:pPr>
        <w:autoSpaceDE w:val="0"/>
        <w:autoSpaceDN w:val="0"/>
        <w:adjustRightInd w:val="0"/>
        <w:snapToGrid w:val="0"/>
        <w:spacing w:line="360" w:lineRule="auto"/>
        <w:jc w:val="left"/>
        <w:rPr>
          <w:rFonts w:ascii="宋体" w:hAnsi="宋体"/>
          <w:snapToGrid w:val="0"/>
          <w:color w:val="auto"/>
          <w:kern w:val="0"/>
          <w:szCs w:val="21"/>
          <w:highlight w:val="none"/>
        </w:rPr>
      </w:pPr>
    </w:p>
    <w:p w14:paraId="09F6CE91">
      <w:pPr>
        <w:autoSpaceDE w:val="0"/>
        <w:autoSpaceDN w:val="0"/>
        <w:adjustRightInd w:val="0"/>
        <w:snapToGrid w:val="0"/>
        <w:spacing w:line="360" w:lineRule="auto"/>
        <w:jc w:val="left"/>
        <w:rPr>
          <w:rFonts w:ascii="宋体" w:hAnsi="宋体"/>
          <w:snapToGrid w:val="0"/>
          <w:color w:val="auto"/>
          <w:kern w:val="0"/>
          <w:szCs w:val="21"/>
          <w:highlight w:val="none"/>
        </w:rPr>
      </w:pPr>
    </w:p>
    <w:p w14:paraId="24EDFE80">
      <w:pPr>
        <w:autoSpaceDE w:val="0"/>
        <w:autoSpaceDN w:val="0"/>
        <w:adjustRightInd w:val="0"/>
        <w:snapToGrid w:val="0"/>
        <w:spacing w:line="360" w:lineRule="auto"/>
        <w:jc w:val="left"/>
        <w:rPr>
          <w:rFonts w:ascii="宋体" w:hAnsi="宋体"/>
          <w:snapToGrid w:val="0"/>
          <w:color w:val="auto"/>
          <w:kern w:val="0"/>
          <w:szCs w:val="21"/>
          <w:highlight w:val="none"/>
        </w:rPr>
      </w:pPr>
    </w:p>
    <w:p w14:paraId="15E99EF5">
      <w:pPr>
        <w:autoSpaceDE w:val="0"/>
        <w:autoSpaceDN w:val="0"/>
        <w:adjustRightInd w:val="0"/>
        <w:snapToGrid w:val="0"/>
        <w:spacing w:line="360" w:lineRule="auto"/>
        <w:jc w:val="left"/>
        <w:rPr>
          <w:rFonts w:ascii="宋体" w:hAnsi="宋体"/>
          <w:snapToGrid w:val="0"/>
          <w:color w:val="auto"/>
          <w:kern w:val="0"/>
          <w:szCs w:val="21"/>
          <w:highlight w:val="none"/>
        </w:rPr>
      </w:pPr>
    </w:p>
    <w:p w14:paraId="462E7399">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77128411">
      <w:pPr>
        <w:autoSpaceDE w:val="0"/>
        <w:autoSpaceDN w:val="0"/>
        <w:adjustRightInd w:val="0"/>
        <w:snapToGrid w:val="0"/>
        <w:spacing w:line="360" w:lineRule="auto"/>
        <w:jc w:val="left"/>
        <w:rPr>
          <w:rFonts w:ascii="宋体" w:hAnsi="宋体"/>
          <w:snapToGrid w:val="0"/>
          <w:color w:val="auto"/>
          <w:kern w:val="0"/>
          <w:szCs w:val="21"/>
          <w:highlight w:val="none"/>
        </w:rPr>
      </w:pPr>
    </w:p>
    <w:p w14:paraId="27FA7652">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14:paraId="630A3BB8">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4C68A05E">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7E7FA582">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75FD74B7">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47C6AEFA">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请将上述问题的澄清于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w:t>
      </w:r>
      <w:r>
        <w:rPr>
          <w:rFonts w:hint="eastAsia" w:ascii="宋体" w:hAnsi="宋体"/>
          <w:snapToGrid w:val="0"/>
          <w:color w:val="auto"/>
          <w:kern w:val="0"/>
          <w:szCs w:val="21"/>
          <w:highlight w:val="none"/>
        </w:rPr>
        <w:t>提交</w:t>
      </w:r>
      <w:r>
        <w:rPr>
          <w:rFonts w:ascii="宋体" w:hAnsi="宋体"/>
          <w:snapToGrid w:val="0"/>
          <w:color w:val="auto"/>
          <w:kern w:val="0"/>
          <w:szCs w:val="21"/>
          <w:highlight w:val="none"/>
        </w:rPr>
        <w:t>。</w:t>
      </w:r>
    </w:p>
    <w:p w14:paraId="488F83F3">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09037ED2">
      <w:pPr>
        <w:tabs>
          <w:tab w:val="left" w:pos="640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评标委员会：</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14:paraId="6A9DE81F">
      <w:pPr>
        <w:tabs>
          <w:tab w:val="left" w:pos="6400"/>
        </w:tabs>
        <w:autoSpaceDE w:val="0"/>
        <w:autoSpaceDN w:val="0"/>
        <w:adjustRightInd w:val="0"/>
        <w:snapToGrid w:val="0"/>
        <w:spacing w:line="360" w:lineRule="auto"/>
        <w:ind w:right="120"/>
        <w:jc w:val="right"/>
        <w:rPr>
          <w:rFonts w:ascii="宋体" w:hAnsi="宋体"/>
          <w:snapToGrid w:val="0"/>
          <w:color w:val="auto"/>
          <w:kern w:val="0"/>
          <w:sz w:val="24"/>
          <w:highlight w:val="none"/>
        </w:rPr>
      </w:pPr>
      <w:r>
        <w:rPr>
          <w:rFonts w:ascii="宋体" w:hAnsi="宋体"/>
          <w:snapToGrid w:val="0"/>
          <w:color w:val="auto"/>
          <w:kern w:val="0"/>
          <w:sz w:val="24"/>
          <w:highlight w:val="none"/>
        </w:rPr>
        <w:t xml:space="preserve"> </w:t>
      </w:r>
    </w:p>
    <w:p w14:paraId="5E0CB74D">
      <w:pPr>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p>
    <w:p w14:paraId="2F825CD2">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18283913">
      <w:pPr>
        <w:autoSpaceDE w:val="0"/>
        <w:autoSpaceDN w:val="0"/>
        <w:adjustRightInd w:val="0"/>
        <w:snapToGrid w:val="0"/>
        <w:spacing w:line="360" w:lineRule="auto"/>
        <w:jc w:val="left"/>
        <w:rPr>
          <w:rFonts w:ascii="宋体" w:hAnsi="宋体"/>
          <w:b/>
          <w:snapToGrid w:val="0"/>
          <w:color w:val="auto"/>
          <w:kern w:val="0"/>
          <w:highlight w:val="none"/>
        </w:rPr>
      </w:pPr>
    </w:p>
    <w:p w14:paraId="21BBB3D7">
      <w:pPr>
        <w:autoSpaceDE w:val="0"/>
        <w:autoSpaceDN w:val="0"/>
        <w:adjustRightInd w:val="0"/>
        <w:snapToGrid w:val="0"/>
        <w:spacing w:line="360" w:lineRule="auto"/>
        <w:jc w:val="left"/>
        <w:rPr>
          <w:rFonts w:ascii="宋体" w:hAnsi="宋体"/>
          <w:b/>
          <w:snapToGrid w:val="0"/>
          <w:color w:val="auto"/>
          <w:kern w:val="0"/>
          <w:highlight w:val="none"/>
        </w:rPr>
      </w:pPr>
    </w:p>
    <w:p w14:paraId="0745F0FA">
      <w:pPr>
        <w:autoSpaceDE w:val="0"/>
        <w:autoSpaceDN w:val="0"/>
        <w:adjustRightInd w:val="0"/>
        <w:snapToGrid w:val="0"/>
        <w:spacing w:line="360" w:lineRule="auto"/>
        <w:jc w:val="left"/>
        <w:rPr>
          <w:rFonts w:ascii="宋体" w:hAnsi="宋体"/>
          <w:b/>
          <w:snapToGrid w:val="0"/>
          <w:color w:val="auto"/>
          <w:kern w:val="0"/>
          <w:highlight w:val="none"/>
        </w:rPr>
      </w:pPr>
    </w:p>
    <w:p w14:paraId="7E0E161D">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lang w:val="en-US" w:eastAsia="zh-CN"/>
        </w:rPr>
        <w:t>二</w:t>
      </w:r>
      <w:r>
        <w:rPr>
          <w:rFonts w:ascii="宋体" w:hAnsi="宋体"/>
          <w:b/>
          <w:snapToGrid w:val="0"/>
          <w:color w:val="auto"/>
          <w:kern w:val="0"/>
          <w:highlight w:val="none"/>
        </w:rPr>
        <w:t>：问题的澄清</w:t>
      </w:r>
    </w:p>
    <w:p w14:paraId="34B3DE64">
      <w:pPr>
        <w:autoSpaceDE w:val="0"/>
        <w:autoSpaceDN w:val="0"/>
        <w:adjustRightInd w:val="0"/>
        <w:snapToGrid w:val="0"/>
        <w:spacing w:line="360" w:lineRule="auto"/>
        <w:jc w:val="left"/>
        <w:rPr>
          <w:rFonts w:ascii="宋体" w:hAnsi="宋体"/>
          <w:b/>
          <w:snapToGrid w:val="0"/>
          <w:color w:val="auto"/>
          <w:kern w:val="0"/>
          <w:sz w:val="10"/>
          <w:szCs w:val="10"/>
          <w:highlight w:val="none"/>
        </w:rPr>
      </w:pPr>
    </w:p>
    <w:p w14:paraId="630A021D">
      <w:pPr>
        <w:autoSpaceDE w:val="0"/>
        <w:autoSpaceDN w:val="0"/>
        <w:adjustRightInd w:val="0"/>
        <w:snapToGrid w:val="0"/>
        <w:spacing w:line="360" w:lineRule="auto"/>
        <w:jc w:val="center"/>
        <w:rPr>
          <w:rFonts w:ascii="宋体" w:hAnsi="宋体"/>
          <w:b/>
          <w:snapToGrid w:val="0"/>
          <w:color w:val="auto"/>
          <w:kern w:val="0"/>
          <w:sz w:val="32"/>
          <w:szCs w:val="32"/>
          <w:highlight w:val="none"/>
        </w:rPr>
      </w:pPr>
      <w:r>
        <w:rPr>
          <w:rFonts w:ascii="宋体" w:hAnsi="宋体"/>
          <w:b/>
          <w:snapToGrid w:val="0"/>
          <w:color w:val="auto"/>
          <w:w w:val="99"/>
          <w:kern w:val="0"/>
          <w:sz w:val="32"/>
          <w:szCs w:val="32"/>
          <w:highlight w:val="none"/>
        </w:rPr>
        <w:t>问题的澄清</w:t>
      </w:r>
    </w:p>
    <w:p w14:paraId="525EEAA6">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rPr>
      </w:pPr>
    </w:p>
    <w:p w14:paraId="059F103B">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15DD875A">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1E645AF8">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12CAD56C">
      <w:pPr>
        <w:tabs>
          <w:tab w:val="left" w:pos="735"/>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招标评标委员会：</w:t>
      </w:r>
    </w:p>
    <w:p w14:paraId="7AC0331A">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问题澄清通知（编号：</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）已收悉，现澄清如下：</w:t>
      </w:r>
    </w:p>
    <w:p w14:paraId="5522EB32">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4DAF7E0F">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71A70D2E">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3D128A60">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5B98D65A">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65DB74DE">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31C423E4">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3E348407">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1D618DB0">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2A7888B1">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3E6F4F48">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3EDEB017">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78A7FF8A">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78235406">
      <w:pPr>
        <w:autoSpaceDE w:val="0"/>
        <w:autoSpaceDN w:val="0"/>
        <w:adjustRightInd w:val="0"/>
        <w:snapToGrid w:val="0"/>
        <w:spacing w:line="360" w:lineRule="auto"/>
        <w:jc w:val="left"/>
        <w:rPr>
          <w:rFonts w:ascii="宋体" w:hAnsi="宋体"/>
          <w:snapToGrid w:val="0"/>
          <w:color w:val="auto"/>
          <w:kern w:val="0"/>
          <w:sz w:val="22"/>
          <w:szCs w:val="22"/>
          <w:highlight w:val="none"/>
        </w:rPr>
      </w:pPr>
    </w:p>
    <w:p w14:paraId="5BE5036B">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14:paraId="729B1459">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18EABDE6">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01ED96C0">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71BFFD37">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40462A00">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154F0D36">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投标人：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 xml:space="preserve">（盖单位法人章） </w:t>
      </w:r>
    </w:p>
    <w:p w14:paraId="288187B9">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2346408E">
      <w:pPr>
        <w:autoSpaceDE w:val="0"/>
        <w:autoSpaceDN w:val="0"/>
        <w:adjustRightInd w:val="0"/>
        <w:snapToGrid w:val="0"/>
        <w:spacing w:line="360" w:lineRule="auto"/>
        <w:jc w:val="right"/>
        <w:rPr>
          <w:rFonts w:ascii="宋体" w:hAnsi="宋体"/>
          <w:snapToGrid w:val="0"/>
          <w:color w:val="auto"/>
          <w:kern w:val="0"/>
          <w:sz w:val="20"/>
          <w:szCs w:val="20"/>
          <w:highlight w:val="none"/>
        </w:rPr>
      </w:pPr>
    </w:p>
    <w:p w14:paraId="4CB4B01D">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7EBAAC2A">
      <w:pPr>
        <w:autoSpaceDE w:val="0"/>
        <w:autoSpaceDN w:val="0"/>
        <w:adjustRightInd w:val="0"/>
        <w:snapToGrid w:val="0"/>
        <w:spacing w:line="360" w:lineRule="auto"/>
        <w:jc w:val="left"/>
        <w:rPr>
          <w:rFonts w:ascii="宋体" w:hAnsi="宋体"/>
          <w:b/>
          <w:snapToGrid w:val="0"/>
          <w:color w:val="auto"/>
          <w:kern w:val="0"/>
          <w:sz w:val="24"/>
          <w:highlight w:val="none"/>
        </w:rPr>
      </w:pPr>
    </w:p>
    <w:p w14:paraId="0038929F">
      <w:pPr>
        <w:autoSpaceDE w:val="0"/>
        <w:autoSpaceDN w:val="0"/>
        <w:adjustRightInd w:val="0"/>
        <w:snapToGrid w:val="0"/>
        <w:spacing w:line="360" w:lineRule="auto"/>
        <w:jc w:val="left"/>
        <w:rPr>
          <w:rFonts w:ascii="宋体" w:hAnsi="宋体"/>
          <w:b/>
          <w:snapToGrid w:val="0"/>
          <w:color w:val="auto"/>
          <w:kern w:val="0"/>
          <w:highlight w:val="none"/>
        </w:rPr>
      </w:pPr>
    </w:p>
    <w:p w14:paraId="62D8D14A">
      <w:pPr>
        <w:autoSpaceDE w:val="0"/>
        <w:autoSpaceDN w:val="0"/>
        <w:adjustRightInd w:val="0"/>
        <w:snapToGrid w:val="0"/>
        <w:spacing w:line="360" w:lineRule="auto"/>
        <w:jc w:val="left"/>
        <w:rPr>
          <w:rFonts w:ascii="宋体" w:hAnsi="宋体"/>
          <w:snapToGrid w:val="0"/>
          <w:color w:val="auto"/>
          <w:kern w:val="0"/>
          <w:sz w:val="20"/>
          <w:szCs w:val="2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lang w:val="en-US" w:eastAsia="zh-CN"/>
        </w:rPr>
        <w:t>三</w:t>
      </w:r>
      <w:r>
        <w:rPr>
          <w:rFonts w:ascii="宋体" w:hAnsi="宋体"/>
          <w:b/>
          <w:snapToGrid w:val="0"/>
          <w:color w:val="auto"/>
          <w:kern w:val="0"/>
          <w:highlight w:val="none"/>
        </w:rPr>
        <w:t>：中标通知书</w:t>
      </w:r>
    </w:p>
    <w:p w14:paraId="6347D612">
      <w:pPr>
        <w:autoSpaceDE w:val="0"/>
        <w:autoSpaceDN w:val="0"/>
        <w:adjustRightInd w:val="0"/>
        <w:spacing w:line="360" w:lineRule="auto"/>
        <w:jc w:val="left"/>
        <w:rPr>
          <w:rFonts w:ascii="宋体" w:hAnsi="宋体"/>
          <w:snapToGrid w:val="0"/>
          <w:color w:val="auto"/>
          <w:kern w:val="0"/>
          <w:sz w:val="20"/>
          <w:szCs w:val="20"/>
          <w:highlight w:val="none"/>
        </w:rPr>
      </w:pPr>
    </w:p>
    <w:p w14:paraId="42B51B09">
      <w:pPr>
        <w:autoSpaceDE w:val="0"/>
        <w:autoSpaceDN w:val="0"/>
        <w:adjustRightInd w:val="0"/>
        <w:spacing w:line="360" w:lineRule="auto"/>
        <w:jc w:val="left"/>
        <w:rPr>
          <w:rFonts w:ascii="宋体" w:hAnsi="宋体"/>
          <w:snapToGrid w:val="0"/>
          <w:color w:val="auto"/>
          <w:kern w:val="0"/>
          <w:sz w:val="20"/>
          <w:szCs w:val="20"/>
          <w:highlight w:val="none"/>
        </w:rPr>
      </w:pPr>
    </w:p>
    <w:p w14:paraId="077517C9">
      <w:pPr>
        <w:autoSpaceDE w:val="0"/>
        <w:autoSpaceDN w:val="0"/>
        <w:adjustRightInd w:val="0"/>
        <w:spacing w:line="360" w:lineRule="auto"/>
        <w:jc w:val="left"/>
        <w:rPr>
          <w:rFonts w:ascii="宋体" w:hAnsi="宋体"/>
          <w:snapToGrid w:val="0"/>
          <w:color w:val="auto"/>
          <w:kern w:val="0"/>
          <w:sz w:val="20"/>
          <w:szCs w:val="20"/>
          <w:highlight w:val="none"/>
        </w:rPr>
      </w:pPr>
    </w:p>
    <w:p w14:paraId="25D22B01">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重庆市建设工程中标通知书</w:t>
      </w:r>
    </w:p>
    <w:p w14:paraId="218F7048">
      <w:pPr>
        <w:spacing w:line="360" w:lineRule="auto"/>
        <w:rPr>
          <w:rFonts w:ascii="宋体" w:hAnsi="宋体"/>
          <w:bCs/>
          <w:color w:val="auto"/>
          <w:kern w:val="0"/>
          <w:szCs w:val="21"/>
          <w:highlight w:val="none"/>
          <w:u w:val="single"/>
        </w:rPr>
      </w:pPr>
      <w:r>
        <w:rPr>
          <w:rFonts w:ascii="宋体" w:hAnsi="宋体"/>
          <w:bCs/>
          <w:color w:val="auto"/>
          <w:kern w:val="0"/>
          <w:szCs w:val="21"/>
          <w:highlight w:val="none"/>
          <w:u w:val="single"/>
        </w:rPr>
        <w:t xml:space="preserve">       </w:t>
      </w:r>
      <w:r>
        <w:rPr>
          <w:rFonts w:ascii="宋体" w:hAnsi="宋体"/>
          <w:color w:val="auto"/>
          <w:kern w:val="0"/>
          <w:szCs w:val="21"/>
          <w:highlight w:val="none"/>
          <w:u w:val="single"/>
        </w:rPr>
        <w:t>中标单位</w:t>
      </w:r>
      <w:r>
        <w:rPr>
          <w:rFonts w:ascii="宋体" w:hAnsi="宋体"/>
          <w:bCs/>
          <w:color w:val="auto"/>
          <w:kern w:val="0"/>
          <w:szCs w:val="21"/>
          <w:highlight w:val="none"/>
          <w:u w:val="single"/>
        </w:rPr>
        <w:t xml:space="preserve">               </w:t>
      </w:r>
      <w:r>
        <w:rPr>
          <w:rFonts w:ascii="宋体" w:hAnsi="宋体"/>
          <w:bCs/>
          <w:color w:val="auto"/>
          <w:kern w:val="0"/>
          <w:szCs w:val="21"/>
          <w:highlight w:val="none"/>
        </w:rPr>
        <w:t>：</w:t>
      </w:r>
    </w:p>
    <w:p w14:paraId="24985719">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我单位拟建的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（项目名称）</w:t>
      </w:r>
      <w:r>
        <w:rPr>
          <w:rFonts w:ascii="宋体" w:hAnsi="宋体"/>
          <w:bCs/>
          <w:color w:val="auto"/>
          <w:kern w:val="0"/>
          <w:szCs w:val="21"/>
          <w:highlight w:val="none"/>
          <w:u w:val="single"/>
        </w:rPr>
        <w:t xml:space="preserve">    </w:t>
      </w:r>
      <w:r>
        <w:rPr>
          <w:rFonts w:ascii="宋体" w:hAnsi="宋体"/>
          <w:color w:val="auto"/>
          <w:kern w:val="0"/>
          <w:szCs w:val="21"/>
          <w:highlight w:val="none"/>
        </w:rPr>
        <w:t>于</w:t>
      </w:r>
      <w:r>
        <w:rPr>
          <w:rFonts w:ascii="宋体" w:hAnsi="宋体"/>
          <w:bCs/>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日开标，经评标委员会评定，确定你单位为中标人，中标额为</w:t>
      </w:r>
      <w:r>
        <w:rPr>
          <w:rFonts w:hint="eastAsia" w:ascii="宋体" w:hAnsi="宋体"/>
          <w:color w:val="auto"/>
          <w:kern w:val="0"/>
          <w:szCs w:val="21"/>
          <w:highlight w:val="none"/>
        </w:rPr>
        <w:t>（大写）</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。中标工程范围：</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，工程规模为 </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，中标工期 </w:t>
      </w:r>
      <w:r>
        <w:rPr>
          <w:rFonts w:ascii="宋体" w:hAnsi="宋体"/>
          <w:bCs/>
          <w:color w:val="auto"/>
          <w:kern w:val="0"/>
          <w:szCs w:val="21"/>
          <w:highlight w:val="none"/>
          <w:u w:val="single"/>
        </w:rPr>
        <w:t xml:space="preserve">   </w:t>
      </w:r>
      <w:r>
        <w:rPr>
          <w:rFonts w:ascii="宋体" w:hAnsi="宋体"/>
          <w:color w:val="auto"/>
          <w:kern w:val="0"/>
          <w:szCs w:val="21"/>
          <w:highlight w:val="none"/>
          <w:u w:val="single"/>
        </w:rPr>
        <w:t>日历天</w:t>
      </w:r>
      <w:r>
        <w:rPr>
          <w:rFonts w:ascii="宋体" w:hAnsi="宋体"/>
          <w:color w:val="auto"/>
          <w:kern w:val="0"/>
          <w:szCs w:val="21"/>
          <w:highlight w:val="none"/>
        </w:rPr>
        <w:t>，工程质量达到国家施工验收规范标准。 项目经理由</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担任。</w:t>
      </w:r>
    </w:p>
    <w:p w14:paraId="2BCDFE9D">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你单位收到中标通知书后，在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日内到我单位签订承发包合同。</w:t>
      </w:r>
      <w:r>
        <w:rPr>
          <w:color w:val="auto"/>
          <w:szCs w:val="21"/>
          <w:highlight w:val="none"/>
        </w:rPr>
        <w:t>在此之前按</w:t>
      </w:r>
      <w:r>
        <w:rPr>
          <w:rFonts w:hint="eastAsia"/>
          <w:color w:val="auto"/>
          <w:szCs w:val="21"/>
          <w:highlight w:val="none"/>
          <w:lang w:eastAsia="zh-CN"/>
        </w:rPr>
        <w:t>竞争性比选文件</w:t>
      </w:r>
      <w:r>
        <w:rPr>
          <w:color w:val="auto"/>
          <w:szCs w:val="21"/>
          <w:highlight w:val="none"/>
        </w:rPr>
        <w:t>第二章</w:t>
      </w:r>
      <w:r>
        <w:rPr>
          <w:rFonts w:hint="eastAsia"/>
          <w:color w:val="auto"/>
          <w:szCs w:val="21"/>
          <w:highlight w:val="none"/>
        </w:rPr>
        <w:t>“</w:t>
      </w:r>
      <w:r>
        <w:rPr>
          <w:color w:val="auto"/>
          <w:szCs w:val="21"/>
          <w:highlight w:val="none"/>
        </w:rPr>
        <w:t>投标人须知</w:t>
      </w:r>
      <w:r>
        <w:rPr>
          <w:rFonts w:hint="eastAsia"/>
          <w:color w:val="auto"/>
          <w:szCs w:val="21"/>
          <w:highlight w:val="none"/>
        </w:rPr>
        <w:t>”</w:t>
      </w:r>
      <w:r>
        <w:rPr>
          <w:color w:val="auto"/>
          <w:szCs w:val="21"/>
          <w:highlight w:val="none"/>
        </w:rPr>
        <w:t>第7.</w:t>
      </w:r>
      <w:r>
        <w:rPr>
          <w:rFonts w:hint="eastAsia"/>
          <w:color w:val="auto"/>
          <w:szCs w:val="21"/>
          <w:highlight w:val="none"/>
        </w:rPr>
        <w:t>3</w:t>
      </w:r>
      <w:r>
        <w:rPr>
          <w:color w:val="auto"/>
          <w:szCs w:val="21"/>
          <w:highlight w:val="none"/>
        </w:rPr>
        <w:t>款规定向我方提交履约担保。</w:t>
      </w:r>
    </w:p>
    <w:p w14:paraId="6B867741">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特此通知。</w:t>
      </w:r>
    </w:p>
    <w:p w14:paraId="51050F4D">
      <w:pPr>
        <w:spacing w:line="480" w:lineRule="auto"/>
        <w:rPr>
          <w:rFonts w:ascii="宋体" w:hAnsi="宋体"/>
          <w:color w:val="auto"/>
          <w:kern w:val="0"/>
          <w:sz w:val="24"/>
          <w:highlight w:val="none"/>
        </w:rPr>
      </w:pPr>
    </w:p>
    <w:p w14:paraId="2BF07059">
      <w:pPr>
        <w:spacing w:line="480" w:lineRule="auto"/>
        <w:rPr>
          <w:rFonts w:ascii="宋体" w:hAnsi="宋体"/>
          <w:color w:val="auto"/>
          <w:kern w:val="0"/>
          <w:sz w:val="24"/>
          <w:highlight w:val="none"/>
        </w:rPr>
      </w:pPr>
    </w:p>
    <w:p w14:paraId="3B6F006B">
      <w:pPr>
        <w:spacing w:line="480" w:lineRule="auto"/>
        <w:rPr>
          <w:rFonts w:ascii="宋体" w:hAnsi="宋体"/>
          <w:color w:val="auto"/>
          <w:kern w:val="0"/>
          <w:sz w:val="24"/>
          <w:highlight w:val="none"/>
        </w:rPr>
      </w:pPr>
    </w:p>
    <w:p w14:paraId="1A929BB8">
      <w:pPr>
        <w:spacing w:line="480" w:lineRule="auto"/>
        <w:jc w:val="left"/>
        <w:rPr>
          <w:rFonts w:ascii="宋体" w:hAnsi="宋体"/>
          <w:color w:val="auto"/>
          <w:kern w:val="0"/>
          <w:szCs w:val="21"/>
          <w:highlight w:val="none"/>
        </w:rPr>
      </w:pPr>
      <w:r>
        <w:rPr>
          <w:rFonts w:ascii="宋体" w:hAnsi="宋体"/>
          <w:color w:val="auto"/>
          <w:kern w:val="0"/>
          <w:sz w:val="24"/>
          <w:highlight w:val="none"/>
        </w:rPr>
        <w:t xml:space="preserve">                             </w:t>
      </w:r>
      <w:r>
        <w:rPr>
          <w:rFonts w:ascii="宋体" w:hAnsi="宋体"/>
          <w:color w:val="auto"/>
          <w:kern w:val="0"/>
          <w:szCs w:val="21"/>
          <w:highlight w:val="none"/>
        </w:rPr>
        <w:t>招标人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snapToGrid w:val="0"/>
          <w:color w:val="auto"/>
          <w:kern w:val="0"/>
          <w:szCs w:val="21"/>
          <w:highlight w:val="none"/>
        </w:rPr>
        <w:t>盖单位法人章</w:t>
      </w:r>
      <w:r>
        <w:rPr>
          <w:rFonts w:ascii="宋体" w:hAnsi="宋体"/>
          <w:color w:val="auto"/>
          <w:kern w:val="0"/>
          <w:szCs w:val="21"/>
          <w:highlight w:val="none"/>
        </w:rPr>
        <w:t>）</w:t>
      </w:r>
    </w:p>
    <w:p w14:paraId="3170E6FE">
      <w:pPr>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法定代表人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4E09B75B">
      <w:pPr>
        <w:spacing w:line="480" w:lineRule="auto"/>
        <w:jc w:val="left"/>
        <w:rPr>
          <w:rFonts w:ascii="宋体" w:hAnsi="宋体"/>
          <w:color w:val="auto"/>
          <w:kern w:val="0"/>
          <w:szCs w:val="21"/>
          <w:highlight w:val="none"/>
          <w:u w:val="single"/>
        </w:rPr>
      </w:pPr>
      <w:r>
        <w:rPr>
          <w:rFonts w:ascii="宋体" w:hAnsi="宋体"/>
          <w:color w:val="auto"/>
          <w:kern w:val="0"/>
          <w:szCs w:val="21"/>
          <w:highlight w:val="none"/>
        </w:rPr>
        <w:t xml:space="preserve">                                 联系人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14:paraId="2343F1B7">
      <w:pPr>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联系电话</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14:paraId="3DC01359">
      <w:pPr>
        <w:spacing w:line="480" w:lineRule="auto"/>
        <w:jc w:val="right"/>
        <w:rPr>
          <w:rFonts w:ascii="宋体" w:hAnsi="宋体"/>
          <w:color w:val="auto"/>
          <w:kern w:val="0"/>
          <w:szCs w:val="21"/>
          <w:highlight w:val="none"/>
        </w:rPr>
      </w:pPr>
    </w:p>
    <w:p w14:paraId="01F2F31C">
      <w:pPr>
        <w:spacing w:line="480" w:lineRule="auto"/>
        <w:jc w:val="right"/>
        <w:rPr>
          <w:rFonts w:ascii="宋体" w:hAnsi="宋体"/>
          <w:color w:val="auto"/>
          <w:kern w:val="0"/>
          <w:szCs w:val="21"/>
          <w:highlight w:val="none"/>
        </w:rPr>
      </w:pPr>
    </w:p>
    <w:p w14:paraId="1F28F36B">
      <w:pPr>
        <w:spacing w:line="480" w:lineRule="auto"/>
        <w:jc w:val="right"/>
        <w:rPr>
          <w:rFonts w:ascii="宋体" w:hAnsi="宋体"/>
          <w:color w:val="auto"/>
          <w:kern w:val="0"/>
          <w:sz w:val="24"/>
          <w:highlight w:val="none"/>
        </w:rPr>
      </w:pPr>
      <w:r>
        <w:rPr>
          <w:rFonts w:ascii="宋体" w:hAnsi="宋体"/>
          <w:color w:val="auto"/>
          <w:kern w:val="0"/>
          <w:szCs w:val="21"/>
          <w:highlight w:val="none"/>
        </w:rPr>
        <w:t xml:space="preserve">                   签发日期</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7A139BEE">
      <w:pPr>
        <w:pStyle w:val="3"/>
        <w:spacing w:line="360" w:lineRule="auto"/>
        <w:jc w:val="center"/>
        <w:rPr>
          <w:rFonts w:ascii="宋体" w:hAnsi="宋体"/>
          <w:snapToGrid w:val="0"/>
          <w:color w:val="auto"/>
          <w:kern w:val="0"/>
          <w:highlight w:val="none"/>
        </w:rPr>
      </w:pPr>
      <w:r>
        <w:rPr>
          <w:rFonts w:ascii="宋体" w:hAnsi="宋体"/>
          <w:color w:val="auto"/>
          <w:kern w:val="0"/>
          <w:sz w:val="24"/>
          <w:highlight w:val="none"/>
        </w:rPr>
        <w:br w:type="page"/>
      </w:r>
      <w:bookmarkStart w:id="552" w:name="_Toc23923"/>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bookmarkEnd w:id="552"/>
    </w:p>
    <w:p w14:paraId="7A3156C4">
      <w:pPr>
        <w:keepNext/>
        <w:keepLines/>
        <w:spacing w:before="100" w:after="100" w:line="360" w:lineRule="auto"/>
        <w:outlineLvl w:val="1"/>
        <w:rPr>
          <w:rFonts w:ascii="宋体" w:hAnsi="宋体"/>
          <w:b/>
          <w:color w:val="auto"/>
          <w:sz w:val="32"/>
          <w:szCs w:val="32"/>
          <w:highlight w:val="none"/>
        </w:rPr>
      </w:pPr>
      <w:bookmarkStart w:id="553" w:name="_Toc18428"/>
      <w:r>
        <w:rPr>
          <w:rFonts w:hint="eastAsia" w:ascii="宋体" w:hAnsi="宋体"/>
          <w:b/>
          <w:color w:val="auto"/>
          <w:sz w:val="32"/>
          <w:szCs w:val="32"/>
          <w:highlight w:val="none"/>
        </w:rPr>
        <w:t>评标办法前附表</w:t>
      </w:r>
      <w:bookmarkEnd w:id="553"/>
    </w:p>
    <w:p w14:paraId="228E803E">
      <w:pPr>
        <w:spacing w:line="400" w:lineRule="exact"/>
        <w:ind w:firstLine="427" w:firstLineChars="196"/>
        <w:rPr>
          <w:rFonts w:ascii="宋体" w:hAnsi="宋体"/>
          <w:color w:val="auto"/>
          <w:spacing w:val="4"/>
          <w:kern w:val="0"/>
          <w:szCs w:val="21"/>
          <w:highlight w:val="none"/>
        </w:rPr>
      </w:pPr>
      <w:bookmarkStart w:id="554" w:name="_Toc13210726"/>
      <w:r>
        <w:rPr>
          <w:rFonts w:ascii="宋体" w:hAnsi="宋体"/>
          <w:color w:val="auto"/>
          <w:spacing w:val="4"/>
          <w:kern w:val="0"/>
          <w:szCs w:val="21"/>
          <w:highlight w:val="none"/>
        </w:rPr>
        <w:t>评标办法中的评审内容必须和投标人须知中的对应内容一致，若投标人须知中未作要求的内容，不得列入评标办法作为评定依据。</w:t>
      </w:r>
      <w:bookmarkEnd w:id="554"/>
    </w:p>
    <w:tbl>
      <w:tblPr>
        <w:tblStyle w:val="46"/>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559"/>
        <w:gridCol w:w="2266"/>
        <w:gridCol w:w="4618"/>
      </w:tblGrid>
      <w:tr w14:paraId="3D2F8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2" w:type="dxa"/>
            <w:tcBorders>
              <w:right w:val="single" w:color="auto" w:sz="4" w:space="0"/>
            </w:tcBorders>
            <w:vAlign w:val="center"/>
          </w:tcPr>
          <w:p w14:paraId="355298C5">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1559" w:type="dxa"/>
            <w:tcBorders>
              <w:left w:val="single" w:color="auto" w:sz="4" w:space="0"/>
            </w:tcBorders>
            <w:vAlign w:val="center"/>
          </w:tcPr>
          <w:p w14:paraId="66ABE974">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6884" w:type="dxa"/>
            <w:gridSpan w:val="2"/>
            <w:vAlign w:val="center"/>
          </w:tcPr>
          <w:p w14:paraId="0B034858">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6BD11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2" w:type="dxa"/>
            <w:tcBorders>
              <w:right w:val="single" w:color="auto" w:sz="4" w:space="0"/>
            </w:tcBorders>
            <w:vAlign w:val="center"/>
          </w:tcPr>
          <w:p w14:paraId="043ECF5E">
            <w:pPr>
              <w:pStyle w:val="117"/>
              <w:spacing w:line="400" w:lineRule="exact"/>
              <w:ind w:firstLine="420"/>
              <w:rPr>
                <w:color w:val="auto"/>
                <w:sz w:val="21"/>
                <w:szCs w:val="21"/>
                <w:highlight w:val="none"/>
              </w:rPr>
            </w:pPr>
            <w:r>
              <w:rPr>
                <w:color w:val="auto"/>
                <w:sz w:val="21"/>
                <w:szCs w:val="21"/>
                <w:highlight w:val="none"/>
              </w:rPr>
              <w:t>1</w:t>
            </w:r>
          </w:p>
        </w:tc>
        <w:tc>
          <w:tcPr>
            <w:tcW w:w="1559" w:type="dxa"/>
            <w:tcBorders>
              <w:left w:val="single" w:color="auto" w:sz="4" w:space="0"/>
            </w:tcBorders>
            <w:vAlign w:val="center"/>
          </w:tcPr>
          <w:p w14:paraId="24BADCBC">
            <w:pPr>
              <w:pStyle w:val="117"/>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6884" w:type="dxa"/>
            <w:gridSpan w:val="2"/>
            <w:vAlign w:val="center"/>
          </w:tcPr>
          <w:p w14:paraId="099381E6">
            <w:pPr>
              <w:spacing w:line="400" w:lineRule="exact"/>
              <w:ind w:firstLine="427" w:firstLineChars="196"/>
              <w:rPr>
                <w:rFonts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由评标委员会按照</w:t>
            </w:r>
            <w:r>
              <w:rPr>
                <w:rFonts w:hint="eastAsia" w:ascii="宋体" w:hAnsi="宋体"/>
                <w:color w:val="auto"/>
                <w:spacing w:val="4"/>
                <w:kern w:val="0"/>
                <w:szCs w:val="21"/>
                <w:highlight w:val="none"/>
                <w:u w:val="single"/>
              </w:rPr>
              <w:t xml:space="preserve">  投票 </w:t>
            </w:r>
            <w:r>
              <w:rPr>
                <w:rFonts w:hint="eastAsia" w:ascii="宋体" w:hAnsi="宋体"/>
                <w:color w:val="auto"/>
                <w:spacing w:val="4"/>
                <w:kern w:val="0"/>
                <w:szCs w:val="21"/>
                <w:highlight w:val="none"/>
              </w:rPr>
              <w:t>原则排序。</w:t>
            </w:r>
          </w:p>
        </w:tc>
      </w:tr>
      <w:tr w14:paraId="23F47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right w:val="single" w:color="auto" w:sz="4" w:space="0"/>
            </w:tcBorders>
            <w:vAlign w:val="center"/>
          </w:tcPr>
          <w:p w14:paraId="7B15FDA3">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59" w:type="dxa"/>
            <w:tcBorders>
              <w:left w:val="single" w:color="auto" w:sz="4" w:space="0"/>
              <w:right w:val="single" w:color="auto" w:sz="4" w:space="0"/>
            </w:tcBorders>
            <w:vAlign w:val="center"/>
          </w:tcPr>
          <w:p w14:paraId="697352BF">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6884" w:type="dxa"/>
            <w:gridSpan w:val="2"/>
            <w:tcBorders>
              <w:left w:val="single" w:color="auto" w:sz="4" w:space="0"/>
            </w:tcBorders>
            <w:vAlign w:val="center"/>
          </w:tcPr>
          <w:p w14:paraId="365FC965">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对报价不高于最高限价的所有投标人的投标文件，按照报价由低到高的顺序排序。在投标函评审前，推送给评标委员会的投标文件不得显示排序。</w:t>
            </w:r>
          </w:p>
        </w:tc>
      </w:tr>
      <w:tr w14:paraId="3586A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right w:val="single" w:color="auto" w:sz="4" w:space="0"/>
            </w:tcBorders>
            <w:vAlign w:val="center"/>
          </w:tcPr>
          <w:p w14:paraId="2189C628">
            <w:pPr>
              <w:spacing w:line="400" w:lineRule="exact"/>
              <w:jc w:val="center"/>
              <w:rPr>
                <w:rFonts w:ascii="宋体" w:hAnsi="宋体"/>
                <w:color w:val="auto"/>
                <w:kern w:val="0"/>
                <w:highlight w:val="none"/>
              </w:rPr>
            </w:pPr>
            <w:r>
              <w:rPr>
                <w:rFonts w:hint="eastAsia" w:ascii="宋体" w:hAnsi="宋体"/>
                <w:color w:val="auto"/>
                <w:kern w:val="0"/>
                <w:highlight w:val="none"/>
              </w:rPr>
              <w:t>2.2</w:t>
            </w:r>
          </w:p>
        </w:tc>
        <w:tc>
          <w:tcPr>
            <w:tcW w:w="1559" w:type="dxa"/>
            <w:tcBorders>
              <w:left w:val="single" w:color="auto" w:sz="4" w:space="0"/>
              <w:right w:val="single" w:color="auto" w:sz="4" w:space="0"/>
            </w:tcBorders>
            <w:vAlign w:val="center"/>
          </w:tcPr>
          <w:p w14:paraId="2FAEE1A6">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6884" w:type="dxa"/>
            <w:gridSpan w:val="2"/>
            <w:tcBorders>
              <w:left w:val="single" w:color="auto" w:sz="4" w:space="0"/>
            </w:tcBorders>
            <w:vAlign w:val="center"/>
          </w:tcPr>
          <w:p w14:paraId="57E0F5B9">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取报价排序前5名（若实际投标人数量小于勾选数量，</w:t>
            </w:r>
            <w:r>
              <w:rPr>
                <w:rFonts w:hint="eastAsia" w:ascii="宋体" w:hAnsi="宋体"/>
                <w:color w:val="auto"/>
                <w:spacing w:val="4"/>
                <w:kern w:val="0"/>
                <w:szCs w:val="21"/>
                <w:highlight w:val="none"/>
              </w:rPr>
              <w:t>则全部纳入）进行符合性审查。符合性审查内容：资格评审、形式评审、响应性评审、投标函部分及经济部分评审。符合性审查</w:t>
            </w:r>
            <w:r>
              <w:rPr>
                <w:rFonts w:hint="eastAsia" w:ascii="宋体" w:hAnsi="宋体"/>
                <w:color w:val="auto"/>
                <w:kern w:val="0"/>
                <w:highlight w:val="none"/>
              </w:rPr>
              <w:t>合格的投标人中，报价最低的成为第一中标候选人，报价次低的成为第二中标候选人，依次类推。</w:t>
            </w:r>
          </w:p>
        </w:tc>
      </w:tr>
      <w:tr w14:paraId="2AE2A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2" w:type="dxa"/>
            <w:vMerge w:val="restart"/>
            <w:tcBorders>
              <w:right w:val="single" w:color="auto" w:sz="4" w:space="0"/>
            </w:tcBorders>
            <w:vAlign w:val="center"/>
          </w:tcPr>
          <w:p w14:paraId="01D9FE2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559" w:type="dxa"/>
            <w:vMerge w:val="restart"/>
            <w:tcBorders>
              <w:left w:val="single" w:color="auto" w:sz="4" w:space="0"/>
              <w:right w:val="single" w:color="auto" w:sz="4" w:space="0"/>
            </w:tcBorders>
            <w:vAlign w:val="center"/>
          </w:tcPr>
          <w:p w14:paraId="61216B18">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266" w:type="dxa"/>
            <w:tcBorders>
              <w:top w:val="single" w:color="auto" w:sz="4" w:space="0"/>
              <w:left w:val="single" w:color="auto" w:sz="4" w:space="0"/>
              <w:right w:val="single" w:color="auto" w:sz="4" w:space="0"/>
            </w:tcBorders>
            <w:vAlign w:val="center"/>
          </w:tcPr>
          <w:p w14:paraId="48D8BBC8">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资质条件</w:t>
            </w:r>
          </w:p>
        </w:tc>
        <w:tc>
          <w:tcPr>
            <w:tcW w:w="4618" w:type="dxa"/>
            <w:tcBorders>
              <w:top w:val="single" w:color="auto" w:sz="4" w:space="0"/>
              <w:left w:val="single" w:color="auto" w:sz="4" w:space="0"/>
            </w:tcBorders>
            <w:vAlign w:val="center"/>
          </w:tcPr>
          <w:p w14:paraId="366102BB">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38C98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2" w:type="dxa"/>
            <w:vMerge w:val="continue"/>
            <w:tcBorders>
              <w:right w:val="single" w:color="auto" w:sz="4" w:space="0"/>
            </w:tcBorders>
            <w:vAlign w:val="center"/>
          </w:tcPr>
          <w:p w14:paraId="79BF29AA">
            <w:pPr>
              <w:spacing w:line="400" w:lineRule="exact"/>
              <w:jc w:val="center"/>
              <w:rPr>
                <w:rFonts w:ascii="宋体" w:hAnsi="宋体" w:cs="宋体"/>
                <w:color w:val="auto"/>
                <w:szCs w:val="21"/>
                <w:highlight w:val="none"/>
              </w:rPr>
            </w:pPr>
          </w:p>
        </w:tc>
        <w:tc>
          <w:tcPr>
            <w:tcW w:w="1559" w:type="dxa"/>
            <w:vMerge w:val="continue"/>
            <w:tcBorders>
              <w:left w:val="single" w:color="auto" w:sz="4" w:space="0"/>
              <w:right w:val="single" w:color="auto" w:sz="4" w:space="0"/>
            </w:tcBorders>
            <w:vAlign w:val="center"/>
          </w:tcPr>
          <w:p w14:paraId="0CA6133A">
            <w:pPr>
              <w:spacing w:line="400" w:lineRule="exact"/>
              <w:jc w:val="center"/>
              <w:rPr>
                <w:rFonts w:ascii="宋体" w:hAnsi="宋体"/>
                <w:color w:val="auto"/>
                <w:kern w:val="0"/>
                <w:highlight w:val="none"/>
              </w:rPr>
            </w:pPr>
          </w:p>
        </w:tc>
        <w:tc>
          <w:tcPr>
            <w:tcW w:w="2266" w:type="dxa"/>
            <w:tcBorders>
              <w:top w:val="single" w:color="auto" w:sz="4" w:space="0"/>
              <w:left w:val="single" w:color="auto" w:sz="4" w:space="0"/>
              <w:right w:val="single" w:color="auto" w:sz="4" w:space="0"/>
            </w:tcBorders>
            <w:vAlign w:val="center"/>
          </w:tcPr>
          <w:p w14:paraId="5E67D49A">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营业执照</w:t>
            </w:r>
          </w:p>
        </w:tc>
        <w:tc>
          <w:tcPr>
            <w:tcW w:w="4618" w:type="dxa"/>
            <w:tcBorders>
              <w:top w:val="single" w:color="auto" w:sz="4" w:space="0"/>
              <w:left w:val="single" w:color="auto" w:sz="4" w:space="0"/>
            </w:tcBorders>
            <w:vAlign w:val="center"/>
          </w:tcPr>
          <w:p w14:paraId="46039C5F">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241D6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2" w:type="dxa"/>
            <w:vMerge w:val="continue"/>
            <w:tcBorders>
              <w:right w:val="single" w:color="auto" w:sz="4" w:space="0"/>
            </w:tcBorders>
            <w:vAlign w:val="center"/>
          </w:tcPr>
          <w:p w14:paraId="0664853F">
            <w:pPr>
              <w:spacing w:line="400" w:lineRule="exact"/>
              <w:jc w:val="center"/>
              <w:rPr>
                <w:rFonts w:ascii="宋体" w:hAnsi="宋体" w:cs="宋体"/>
                <w:color w:val="auto"/>
                <w:szCs w:val="21"/>
                <w:highlight w:val="none"/>
              </w:rPr>
            </w:pPr>
          </w:p>
        </w:tc>
        <w:tc>
          <w:tcPr>
            <w:tcW w:w="1559" w:type="dxa"/>
            <w:vMerge w:val="continue"/>
            <w:tcBorders>
              <w:left w:val="single" w:color="auto" w:sz="4" w:space="0"/>
              <w:right w:val="single" w:color="auto" w:sz="4" w:space="0"/>
            </w:tcBorders>
            <w:vAlign w:val="center"/>
          </w:tcPr>
          <w:p w14:paraId="73348BBC">
            <w:pPr>
              <w:spacing w:line="400" w:lineRule="exact"/>
              <w:jc w:val="center"/>
              <w:rPr>
                <w:rFonts w:ascii="宋体" w:hAnsi="宋体"/>
                <w:color w:val="auto"/>
                <w:kern w:val="0"/>
                <w:highlight w:val="none"/>
              </w:rPr>
            </w:pPr>
          </w:p>
        </w:tc>
        <w:tc>
          <w:tcPr>
            <w:tcW w:w="2266" w:type="dxa"/>
            <w:tcBorders>
              <w:top w:val="single" w:color="auto" w:sz="4" w:space="0"/>
              <w:left w:val="single" w:color="auto" w:sz="4" w:space="0"/>
              <w:right w:val="single" w:color="auto" w:sz="4" w:space="0"/>
            </w:tcBorders>
            <w:vAlign w:val="center"/>
          </w:tcPr>
          <w:p w14:paraId="08626551">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安全生产条件</w:t>
            </w:r>
          </w:p>
        </w:tc>
        <w:tc>
          <w:tcPr>
            <w:tcW w:w="4618" w:type="dxa"/>
            <w:tcBorders>
              <w:top w:val="single" w:color="auto" w:sz="4" w:space="0"/>
              <w:left w:val="single" w:color="auto" w:sz="4" w:space="0"/>
            </w:tcBorders>
            <w:vAlign w:val="center"/>
          </w:tcPr>
          <w:p w14:paraId="6CD68165">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2B490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2" w:type="dxa"/>
            <w:vMerge w:val="continue"/>
            <w:tcBorders>
              <w:right w:val="single" w:color="auto" w:sz="4" w:space="0"/>
            </w:tcBorders>
            <w:vAlign w:val="center"/>
          </w:tcPr>
          <w:p w14:paraId="5288FA3C">
            <w:pPr>
              <w:spacing w:line="400" w:lineRule="exact"/>
              <w:jc w:val="center"/>
              <w:rPr>
                <w:rFonts w:ascii="宋体" w:hAnsi="宋体" w:cs="宋体"/>
                <w:color w:val="auto"/>
                <w:szCs w:val="21"/>
                <w:highlight w:val="none"/>
              </w:rPr>
            </w:pPr>
          </w:p>
        </w:tc>
        <w:tc>
          <w:tcPr>
            <w:tcW w:w="1559" w:type="dxa"/>
            <w:vMerge w:val="continue"/>
            <w:tcBorders>
              <w:left w:val="single" w:color="auto" w:sz="4" w:space="0"/>
              <w:right w:val="single" w:color="auto" w:sz="4" w:space="0"/>
            </w:tcBorders>
            <w:vAlign w:val="center"/>
          </w:tcPr>
          <w:p w14:paraId="3570DDA4">
            <w:pPr>
              <w:spacing w:line="400" w:lineRule="exact"/>
              <w:jc w:val="center"/>
              <w:rPr>
                <w:rFonts w:ascii="宋体" w:hAnsi="宋体"/>
                <w:color w:val="auto"/>
                <w:kern w:val="0"/>
                <w:highlight w:val="none"/>
              </w:rPr>
            </w:pPr>
          </w:p>
        </w:tc>
        <w:tc>
          <w:tcPr>
            <w:tcW w:w="2266" w:type="dxa"/>
            <w:tcBorders>
              <w:top w:val="single" w:color="auto" w:sz="4" w:space="0"/>
              <w:left w:val="single" w:color="auto" w:sz="4" w:space="0"/>
              <w:right w:val="single" w:color="auto" w:sz="4" w:space="0"/>
            </w:tcBorders>
            <w:vAlign w:val="center"/>
          </w:tcPr>
          <w:p w14:paraId="1DE056BD">
            <w:pPr>
              <w:snapToGrid w:val="0"/>
              <w:spacing w:after="78" w:afterLines="25" w:line="400" w:lineRule="exact"/>
              <w:jc w:val="left"/>
              <w:rPr>
                <w:rFonts w:ascii="宋体" w:hAnsi="宋体" w:cs="宋体"/>
                <w:color w:val="auto"/>
                <w:kern w:val="0"/>
                <w:highlight w:val="none"/>
              </w:rPr>
            </w:pPr>
            <w:r>
              <w:rPr>
                <w:rFonts w:hint="eastAsia" w:ascii="宋体" w:hAnsi="宋体" w:cs="宋体"/>
                <w:color w:val="auto"/>
                <w:szCs w:val="21"/>
                <w:highlight w:val="none"/>
              </w:rPr>
              <w:t>投标截止日投标资格情况</w:t>
            </w:r>
          </w:p>
        </w:tc>
        <w:tc>
          <w:tcPr>
            <w:tcW w:w="4618" w:type="dxa"/>
            <w:tcBorders>
              <w:top w:val="single" w:color="auto" w:sz="4" w:space="0"/>
              <w:left w:val="single" w:color="auto" w:sz="4" w:space="0"/>
            </w:tcBorders>
            <w:vAlign w:val="center"/>
          </w:tcPr>
          <w:p w14:paraId="33E62599">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14931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2" w:type="dxa"/>
            <w:vMerge w:val="continue"/>
            <w:tcBorders>
              <w:right w:val="single" w:color="auto" w:sz="4" w:space="0"/>
            </w:tcBorders>
            <w:vAlign w:val="center"/>
          </w:tcPr>
          <w:p w14:paraId="4EAFEC36">
            <w:pPr>
              <w:spacing w:line="400" w:lineRule="exact"/>
              <w:jc w:val="center"/>
              <w:rPr>
                <w:rFonts w:ascii="宋体" w:hAnsi="宋体" w:cs="宋体"/>
                <w:color w:val="auto"/>
                <w:szCs w:val="21"/>
                <w:highlight w:val="none"/>
              </w:rPr>
            </w:pPr>
          </w:p>
        </w:tc>
        <w:tc>
          <w:tcPr>
            <w:tcW w:w="1559" w:type="dxa"/>
            <w:vMerge w:val="continue"/>
            <w:tcBorders>
              <w:left w:val="single" w:color="auto" w:sz="4" w:space="0"/>
              <w:right w:val="single" w:color="auto" w:sz="4" w:space="0"/>
            </w:tcBorders>
            <w:vAlign w:val="center"/>
          </w:tcPr>
          <w:p w14:paraId="214B7621">
            <w:pPr>
              <w:spacing w:line="400" w:lineRule="exact"/>
              <w:jc w:val="center"/>
              <w:rPr>
                <w:rFonts w:ascii="宋体" w:hAnsi="宋体"/>
                <w:color w:val="auto"/>
                <w:kern w:val="0"/>
                <w:highlight w:val="none"/>
              </w:rPr>
            </w:pPr>
          </w:p>
        </w:tc>
        <w:tc>
          <w:tcPr>
            <w:tcW w:w="2266" w:type="dxa"/>
            <w:tcBorders>
              <w:top w:val="single" w:color="auto" w:sz="4" w:space="0"/>
              <w:left w:val="single" w:color="auto" w:sz="4" w:space="0"/>
              <w:right w:val="single" w:color="auto" w:sz="4" w:space="0"/>
            </w:tcBorders>
            <w:vAlign w:val="center"/>
          </w:tcPr>
          <w:p w14:paraId="1D53896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项目经理资格要求</w:t>
            </w:r>
          </w:p>
        </w:tc>
        <w:tc>
          <w:tcPr>
            <w:tcW w:w="4618" w:type="dxa"/>
            <w:tcBorders>
              <w:top w:val="single" w:color="auto" w:sz="4" w:space="0"/>
              <w:left w:val="single" w:color="auto" w:sz="4" w:space="0"/>
            </w:tcBorders>
            <w:vAlign w:val="center"/>
          </w:tcPr>
          <w:p w14:paraId="137A2699">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29C2C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2" w:type="dxa"/>
            <w:vMerge w:val="continue"/>
            <w:tcBorders>
              <w:right w:val="single" w:color="auto" w:sz="4" w:space="0"/>
            </w:tcBorders>
            <w:vAlign w:val="center"/>
          </w:tcPr>
          <w:p w14:paraId="5A0ED9A3">
            <w:pPr>
              <w:spacing w:line="400" w:lineRule="exact"/>
              <w:jc w:val="center"/>
              <w:rPr>
                <w:rFonts w:ascii="宋体" w:hAnsi="宋体" w:cs="宋体"/>
                <w:color w:val="auto"/>
                <w:szCs w:val="21"/>
                <w:highlight w:val="none"/>
              </w:rPr>
            </w:pPr>
          </w:p>
        </w:tc>
        <w:tc>
          <w:tcPr>
            <w:tcW w:w="1559" w:type="dxa"/>
            <w:vMerge w:val="continue"/>
            <w:tcBorders>
              <w:left w:val="single" w:color="auto" w:sz="4" w:space="0"/>
              <w:right w:val="single" w:color="auto" w:sz="4" w:space="0"/>
            </w:tcBorders>
            <w:vAlign w:val="center"/>
          </w:tcPr>
          <w:p w14:paraId="4B129739">
            <w:pPr>
              <w:spacing w:line="400" w:lineRule="exact"/>
              <w:jc w:val="center"/>
              <w:rPr>
                <w:rFonts w:ascii="宋体" w:hAnsi="宋体"/>
                <w:color w:val="auto"/>
                <w:kern w:val="0"/>
                <w:highlight w:val="none"/>
              </w:rPr>
            </w:pPr>
          </w:p>
        </w:tc>
        <w:tc>
          <w:tcPr>
            <w:tcW w:w="2266" w:type="dxa"/>
            <w:tcBorders>
              <w:top w:val="single" w:color="auto" w:sz="4" w:space="0"/>
              <w:left w:val="single" w:color="auto" w:sz="4" w:space="0"/>
              <w:right w:val="single" w:color="auto" w:sz="4" w:space="0"/>
            </w:tcBorders>
            <w:vAlign w:val="center"/>
          </w:tcPr>
          <w:p w14:paraId="731413A6">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其他要求</w:t>
            </w:r>
          </w:p>
        </w:tc>
        <w:tc>
          <w:tcPr>
            <w:tcW w:w="4618" w:type="dxa"/>
            <w:tcBorders>
              <w:top w:val="single" w:color="auto" w:sz="4" w:space="0"/>
              <w:left w:val="single" w:color="auto" w:sz="4" w:space="0"/>
            </w:tcBorders>
            <w:vAlign w:val="center"/>
          </w:tcPr>
          <w:p w14:paraId="33F4B52D">
            <w:pPr>
              <w:snapToGrid w:val="0"/>
              <w:spacing w:line="40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rPr>
              <w:t>符合第二章“投标人须知”第1.4.1项规定</w:t>
            </w:r>
          </w:p>
        </w:tc>
      </w:tr>
      <w:tr w14:paraId="6DFAD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restart"/>
            <w:tcBorders>
              <w:right w:val="single" w:color="auto" w:sz="4" w:space="0"/>
            </w:tcBorders>
            <w:vAlign w:val="center"/>
          </w:tcPr>
          <w:p w14:paraId="18E7A2AC">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3</w:t>
            </w:r>
          </w:p>
        </w:tc>
        <w:tc>
          <w:tcPr>
            <w:tcW w:w="1559" w:type="dxa"/>
            <w:vMerge w:val="restart"/>
            <w:tcBorders>
              <w:left w:val="single" w:color="auto" w:sz="4" w:space="0"/>
            </w:tcBorders>
            <w:vAlign w:val="center"/>
          </w:tcPr>
          <w:p w14:paraId="73748CF2">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66" w:type="dxa"/>
            <w:tcBorders>
              <w:right w:val="single" w:color="auto" w:sz="4" w:space="0"/>
            </w:tcBorders>
            <w:vAlign w:val="center"/>
          </w:tcPr>
          <w:p w14:paraId="0AEAAA22">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投标人名称</w:t>
            </w:r>
          </w:p>
        </w:tc>
        <w:tc>
          <w:tcPr>
            <w:tcW w:w="4618" w:type="dxa"/>
            <w:tcBorders>
              <w:left w:val="single" w:color="auto" w:sz="4" w:space="0"/>
            </w:tcBorders>
            <w:vAlign w:val="center"/>
          </w:tcPr>
          <w:p w14:paraId="7191420D">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与营业执照、资质证书、安全生产许可证一致，依法变更名称的应提交相应证明材料。</w:t>
            </w:r>
          </w:p>
        </w:tc>
      </w:tr>
      <w:tr w14:paraId="1A9A3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14:paraId="5AAB006E">
            <w:pPr>
              <w:spacing w:line="400" w:lineRule="exact"/>
              <w:jc w:val="center"/>
              <w:rPr>
                <w:rFonts w:ascii="宋体" w:hAnsi="宋体"/>
                <w:b/>
                <w:color w:val="auto"/>
                <w:kern w:val="0"/>
                <w:highlight w:val="none"/>
              </w:rPr>
            </w:pPr>
          </w:p>
        </w:tc>
        <w:tc>
          <w:tcPr>
            <w:tcW w:w="1559" w:type="dxa"/>
            <w:vMerge w:val="continue"/>
            <w:tcBorders>
              <w:left w:val="single" w:color="auto" w:sz="4" w:space="0"/>
            </w:tcBorders>
            <w:vAlign w:val="center"/>
          </w:tcPr>
          <w:p w14:paraId="4EB2CC74">
            <w:pPr>
              <w:spacing w:line="400" w:lineRule="exact"/>
              <w:jc w:val="center"/>
              <w:rPr>
                <w:rFonts w:ascii="宋体" w:hAnsi="宋体"/>
                <w:b/>
                <w:color w:val="auto"/>
                <w:kern w:val="0"/>
                <w:highlight w:val="none"/>
              </w:rPr>
            </w:pPr>
          </w:p>
        </w:tc>
        <w:tc>
          <w:tcPr>
            <w:tcW w:w="2266" w:type="dxa"/>
            <w:tcBorders>
              <w:right w:val="single" w:color="auto" w:sz="4" w:space="0"/>
            </w:tcBorders>
            <w:vAlign w:val="center"/>
          </w:tcPr>
          <w:p w14:paraId="7A611223">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投标文件格式</w:t>
            </w:r>
          </w:p>
        </w:tc>
        <w:tc>
          <w:tcPr>
            <w:tcW w:w="4618" w:type="dxa"/>
            <w:tcBorders>
              <w:left w:val="single" w:color="auto" w:sz="4" w:space="0"/>
            </w:tcBorders>
            <w:vAlign w:val="center"/>
          </w:tcPr>
          <w:p w14:paraId="0E4AF7C4">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符合第二章“投标人须知”第3.7款的要求。</w:t>
            </w:r>
          </w:p>
        </w:tc>
      </w:tr>
      <w:tr w14:paraId="378FA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14:paraId="1E595B57">
            <w:pPr>
              <w:spacing w:line="400" w:lineRule="exact"/>
              <w:jc w:val="center"/>
              <w:rPr>
                <w:rFonts w:ascii="宋体" w:hAnsi="宋体"/>
                <w:b/>
                <w:color w:val="auto"/>
                <w:kern w:val="0"/>
                <w:highlight w:val="none"/>
              </w:rPr>
            </w:pPr>
          </w:p>
        </w:tc>
        <w:tc>
          <w:tcPr>
            <w:tcW w:w="1559" w:type="dxa"/>
            <w:vMerge w:val="continue"/>
            <w:tcBorders>
              <w:left w:val="single" w:color="auto" w:sz="4" w:space="0"/>
            </w:tcBorders>
            <w:vAlign w:val="center"/>
          </w:tcPr>
          <w:p w14:paraId="2ACA2471">
            <w:pPr>
              <w:spacing w:line="400" w:lineRule="exact"/>
              <w:jc w:val="center"/>
              <w:rPr>
                <w:rFonts w:ascii="宋体" w:hAnsi="宋体"/>
                <w:b/>
                <w:color w:val="auto"/>
                <w:kern w:val="0"/>
                <w:highlight w:val="none"/>
              </w:rPr>
            </w:pPr>
          </w:p>
        </w:tc>
        <w:tc>
          <w:tcPr>
            <w:tcW w:w="2266" w:type="dxa"/>
            <w:tcBorders>
              <w:right w:val="single" w:color="auto" w:sz="4" w:space="0"/>
            </w:tcBorders>
            <w:vAlign w:val="center"/>
          </w:tcPr>
          <w:p w14:paraId="1B2A689E">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投标文件份数</w:t>
            </w:r>
          </w:p>
        </w:tc>
        <w:tc>
          <w:tcPr>
            <w:tcW w:w="4618" w:type="dxa"/>
            <w:tcBorders>
              <w:left w:val="single" w:color="auto" w:sz="4" w:space="0"/>
            </w:tcBorders>
            <w:vAlign w:val="center"/>
          </w:tcPr>
          <w:p w14:paraId="23C023AC">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符合第二章“投标人须知”第3.7.4项规定。</w:t>
            </w:r>
          </w:p>
        </w:tc>
      </w:tr>
      <w:tr w14:paraId="3E9C5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14:paraId="4EF381E8">
            <w:pPr>
              <w:spacing w:line="400" w:lineRule="exact"/>
              <w:jc w:val="center"/>
              <w:rPr>
                <w:rFonts w:ascii="宋体" w:hAnsi="宋体"/>
                <w:b/>
                <w:color w:val="auto"/>
                <w:kern w:val="0"/>
                <w:highlight w:val="none"/>
              </w:rPr>
            </w:pPr>
          </w:p>
        </w:tc>
        <w:tc>
          <w:tcPr>
            <w:tcW w:w="1559" w:type="dxa"/>
            <w:vMerge w:val="continue"/>
            <w:tcBorders>
              <w:left w:val="single" w:color="auto" w:sz="4" w:space="0"/>
            </w:tcBorders>
            <w:vAlign w:val="center"/>
          </w:tcPr>
          <w:p w14:paraId="2FE60668">
            <w:pPr>
              <w:spacing w:line="400" w:lineRule="exact"/>
              <w:jc w:val="center"/>
              <w:rPr>
                <w:rFonts w:ascii="宋体" w:hAnsi="宋体"/>
                <w:b/>
                <w:color w:val="auto"/>
                <w:kern w:val="0"/>
                <w:highlight w:val="none"/>
              </w:rPr>
            </w:pPr>
          </w:p>
        </w:tc>
        <w:tc>
          <w:tcPr>
            <w:tcW w:w="2266" w:type="dxa"/>
            <w:tcBorders>
              <w:right w:val="single" w:color="auto" w:sz="4" w:space="0"/>
            </w:tcBorders>
            <w:shd w:val="clear" w:color="auto" w:fill="auto"/>
            <w:vAlign w:val="center"/>
          </w:tcPr>
          <w:p w14:paraId="05002D59">
            <w:pPr>
              <w:spacing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报价唯一</w:t>
            </w:r>
          </w:p>
        </w:tc>
        <w:tc>
          <w:tcPr>
            <w:tcW w:w="4618" w:type="dxa"/>
            <w:tcBorders>
              <w:left w:val="single" w:color="auto" w:sz="4" w:space="0"/>
            </w:tcBorders>
            <w:shd w:val="clear" w:color="auto" w:fill="auto"/>
            <w:vAlign w:val="center"/>
          </w:tcPr>
          <w:p w14:paraId="03038B79">
            <w:pPr>
              <w:snapToGrid w:val="0"/>
              <w:spacing w:after="31" w:afterLines="10" w:line="400" w:lineRule="exact"/>
              <w:ind w:firstLine="420" w:firstLineChars="200"/>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只能有一个有效报价。在招标文件没有规定的情况下，不得提交选择性报价。</w:t>
            </w:r>
          </w:p>
        </w:tc>
      </w:tr>
      <w:tr w14:paraId="5E128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14:paraId="2E9B5724">
            <w:pPr>
              <w:spacing w:line="400" w:lineRule="exact"/>
              <w:jc w:val="center"/>
              <w:rPr>
                <w:rFonts w:ascii="宋体" w:hAnsi="宋体"/>
                <w:b/>
                <w:color w:val="auto"/>
                <w:kern w:val="0"/>
                <w:highlight w:val="none"/>
              </w:rPr>
            </w:pPr>
          </w:p>
        </w:tc>
        <w:tc>
          <w:tcPr>
            <w:tcW w:w="1559" w:type="dxa"/>
            <w:vMerge w:val="continue"/>
            <w:tcBorders>
              <w:left w:val="single" w:color="auto" w:sz="4" w:space="0"/>
            </w:tcBorders>
            <w:vAlign w:val="center"/>
          </w:tcPr>
          <w:p w14:paraId="3E796E80">
            <w:pPr>
              <w:spacing w:line="400" w:lineRule="exact"/>
              <w:jc w:val="center"/>
              <w:rPr>
                <w:rFonts w:ascii="宋体" w:hAnsi="宋体"/>
                <w:b/>
                <w:color w:val="auto"/>
                <w:kern w:val="0"/>
                <w:highlight w:val="none"/>
              </w:rPr>
            </w:pPr>
          </w:p>
        </w:tc>
        <w:tc>
          <w:tcPr>
            <w:tcW w:w="2266" w:type="dxa"/>
            <w:tcBorders>
              <w:right w:val="single" w:color="auto" w:sz="4" w:space="0"/>
            </w:tcBorders>
            <w:shd w:val="clear" w:color="auto" w:fill="auto"/>
            <w:vAlign w:val="center"/>
          </w:tcPr>
          <w:p w14:paraId="4C6FFC7E">
            <w:pPr>
              <w:spacing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投标文件的签署</w:t>
            </w:r>
          </w:p>
        </w:tc>
        <w:tc>
          <w:tcPr>
            <w:tcW w:w="4618" w:type="dxa"/>
            <w:tcBorders>
              <w:left w:val="single" w:color="auto" w:sz="4" w:space="0"/>
            </w:tcBorders>
            <w:shd w:val="clear" w:color="auto" w:fill="auto"/>
            <w:vAlign w:val="center"/>
          </w:tcPr>
          <w:p w14:paraId="7D745A26">
            <w:pPr>
              <w:autoSpaceDE w:val="0"/>
              <w:autoSpaceDN w:val="0"/>
              <w:adjustRightInd w:val="0"/>
              <w:snapToGrid w:val="0"/>
              <w:spacing w:line="400" w:lineRule="exact"/>
              <w:ind w:firstLine="420" w:firstLineChars="200"/>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第八章 投标文件格式要求法定代表人或其委托代理人签名（或盖章）的须齐全。</w:t>
            </w:r>
          </w:p>
        </w:tc>
      </w:tr>
      <w:tr w14:paraId="706D7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14:paraId="368AAF34">
            <w:pPr>
              <w:spacing w:line="400" w:lineRule="exact"/>
              <w:jc w:val="center"/>
              <w:rPr>
                <w:rFonts w:ascii="宋体" w:hAnsi="宋体"/>
                <w:b/>
                <w:color w:val="auto"/>
                <w:kern w:val="0"/>
                <w:highlight w:val="none"/>
              </w:rPr>
            </w:pPr>
          </w:p>
        </w:tc>
        <w:tc>
          <w:tcPr>
            <w:tcW w:w="1559" w:type="dxa"/>
            <w:vMerge w:val="continue"/>
            <w:tcBorders>
              <w:left w:val="single" w:color="auto" w:sz="4" w:space="0"/>
            </w:tcBorders>
            <w:vAlign w:val="center"/>
          </w:tcPr>
          <w:p w14:paraId="1DCD0AF5">
            <w:pPr>
              <w:spacing w:line="400" w:lineRule="exact"/>
              <w:jc w:val="center"/>
              <w:rPr>
                <w:rFonts w:ascii="宋体" w:hAnsi="宋体"/>
                <w:b/>
                <w:color w:val="auto"/>
                <w:kern w:val="0"/>
                <w:highlight w:val="none"/>
              </w:rPr>
            </w:pPr>
          </w:p>
        </w:tc>
        <w:tc>
          <w:tcPr>
            <w:tcW w:w="2266" w:type="dxa"/>
            <w:tcBorders>
              <w:right w:val="single" w:color="auto" w:sz="4" w:space="0"/>
            </w:tcBorders>
            <w:vAlign w:val="center"/>
          </w:tcPr>
          <w:p w14:paraId="4EA7B122">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4618" w:type="dxa"/>
            <w:tcBorders>
              <w:left w:val="single" w:color="auto" w:sz="4" w:space="0"/>
            </w:tcBorders>
            <w:vAlign w:val="center"/>
          </w:tcPr>
          <w:p w14:paraId="6865C0DA">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投标人法定代表人的委托代理人有法定代表人签署的授权委托书和投标人为其缴纳的养老保险。</w:t>
            </w:r>
          </w:p>
        </w:tc>
      </w:tr>
      <w:tr w14:paraId="76D20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restart"/>
            <w:tcBorders>
              <w:top w:val="single" w:color="auto" w:sz="4" w:space="0"/>
              <w:right w:val="single" w:color="auto" w:sz="4" w:space="0"/>
            </w:tcBorders>
            <w:vAlign w:val="center"/>
          </w:tcPr>
          <w:p w14:paraId="3B20869D">
            <w:pPr>
              <w:spacing w:line="400" w:lineRule="exact"/>
              <w:jc w:val="center"/>
              <w:rPr>
                <w:rFonts w:ascii="宋体" w:hAnsi="宋体"/>
                <w:color w:val="auto"/>
                <w:kern w:val="0"/>
                <w:highlight w:val="none"/>
              </w:rPr>
            </w:pPr>
            <w:r>
              <w:rPr>
                <w:rFonts w:hint="eastAsia" w:ascii="宋体" w:hAnsi="宋体"/>
                <w:color w:val="auto"/>
                <w:kern w:val="0"/>
                <w:highlight w:val="none"/>
              </w:rPr>
              <w:t>2.2.4</w:t>
            </w:r>
          </w:p>
        </w:tc>
        <w:tc>
          <w:tcPr>
            <w:tcW w:w="1559" w:type="dxa"/>
            <w:vMerge w:val="restart"/>
            <w:tcBorders>
              <w:top w:val="single" w:color="auto" w:sz="4" w:space="0"/>
              <w:left w:val="single" w:color="auto" w:sz="4" w:space="0"/>
            </w:tcBorders>
            <w:vAlign w:val="center"/>
          </w:tcPr>
          <w:p w14:paraId="1C22E13F">
            <w:pPr>
              <w:spacing w:line="400" w:lineRule="exact"/>
              <w:jc w:val="center"/>
              <w:rPr>
                <w:rFonts w:ascii="宋体" w:hAnsi="宋体"/>
                <w:color w:val="auto"/>
                <w:kern w:val="0"/>
                <w:highlight w:val="none"/>
              </w:rPr>
            </w:pPr>
            <w:r>
              <w:rPr>
                <w:rFonts w:ascii="宋体" w:hAnsi="宋体"/>
                <w:color w:val="auto"/>
                <w:kern w:val="0"/>
                <w:highlight w:val="none"/>
              </w:rPr>
              <w:t>响应性评审标准</w:t>
            </w:r>
          </w:p>
        </w:tc>
        <w:tc>
          <w:tcPr>
            <w:tcW w:w="2266" w:type="dxa"/>
            <w:tcBorders>
              <w:right w:val="single" w:color="auto" w:sz="4" w:space="0"/>
            </w:tcBorders>
            <w:shd w:val="clear" w:color="auto" w:fill="auto"/>
            <w:vAlign w:val="center"/>
          </w:tcPr>
          <w:p w14:paraId="1E4B70B3">
            <w:pPr>
              <w:snapToGrid w:val="0"/>
              <w:spacing w:line="400" w:lineRule="exact"/>
              <w:jc w:val="left"/>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投标总报价</w:t>
            </w:r>
          </w:p>
        </w:tc>
        <w:tc>
          <w:tcPr>
            <w:tcW w:w="4618" w:type="dxa"/>
            <w:tcBorders>
              <w:left w:val="single" w:color="auto" w:sz="4" w:space="0"/>
            </w:tcBorders>
            <w:shd w:val="clear" w:color="auto" w:fill="auto"/>
            <w:vAlign w:val="center"/>
          </w:tcPr>
          <w:p w14:paraId="5C9C2CD3">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1.投标总报价必须与已标价工程量清单总报价一致。</w:t>
            </w:r>
          </w:p>
          <w:p w14:paraId="4C52F736">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投标总报价不得高于招标人公布的投标总报价最高限价。</w:t>
            </w:r>
          </w:p>
          <w:p w14:paraId="67D0122A">
            <w:pPr>
              <w:spacing w:line="400" w:lineRule="exact"/>
              <w:ind w:firstLine="420" w:firstLineChars="200"/>
              <w:jc w:val="left"/>
              <w:rPr>
                <w:rFonts w:ascii="宋体" w:hAnsi="宋体" w:eastAsia="宋体" w:cs="宋体"/>
                <w:bCs/>
                <w:color w:val="auto"/>
                <w:kern w:val="2"/>
                <w:sz w:val="21"/>
                <w:szCs w:val="21"/>
                <w:highlight w:val="none"/>
                <w:lang w:val="en-US" w:eastAsia="zh-CN" w:bidi="ar-SA"/>
              </w:rPr>
            </w:pPr>
            <w:r>
              <w:rPr>
                <w:rFonts w:hint="eastAsia" w:ascii="宋体" w:hAnsi="宋体" w:cs="宋体"/>
                <w:color w:val="auto"/>
                <w:szCs w:val="21"/>
                <w:highlight w:val="none"/>
              </w:rPr>
              <w:t>3.投标总报价低于最高限价85%的，投标人应在编制投标文件时，在投标函部分中递交低价风险担保提交承诺书。</w:t>
            </w:r>
            <w:r>
              <w:rPr>
                <w:rFonts w:hint="eastAsia" w:ascii="宋体" w:hAnsi="宋体" w:cs="宋体"/>
                <w:bCs/>
                <w:color w:val="auto"/>
                <w:szCs w:val="21"/>
                <w:highlight w:val="none"/>
              </w:rPr>
              <w:t>承诺书格式详见第八章投标文件格式。</w:t>
            </w:r>
          </w:p>
        </w:tc>
      </w:tr>
      <w:tr w14:paraId="3DCC3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14:paraId="4BFAA133">
            <w:pPr>
              <w:spacing w:line="400" w:lineRule="exact"/>
              <w:jc w:val="center"/>
              <w:rPr>
                <w:rFonts w:ascii="宋体" w:hAnsi="宋体"/>
                <w:color w:val="auto"/>
                <w:kern w:val="0"/>
                <w:highlight w:val="none"/>
              </w:rPr>
            </w:pPr>
          </w:p>
        </w:tc>
        <w:tc>
          <w:tcPr>
            <w:tcW w:w="1559" w:type="dxa"/>
            <w:vMerge w:val="continue"/>
            <w:tcBorders>
              <w:left w:val="single" w:color="auto" w:sz="4" w:space="0"/>
            </w:tcBorders>
            <w:vAlign w:val="center"/>
          </w:tcPr>
          <w:p w14:paraId="48B1446B">
            <w:pPr>
              <w:spacing w:line="400" w:lineRule="exact"/>
              <w:jc w:val="center"/>
              <w:rPr>
                <w:rFonts w:ascii="宋体" w:hAnsi="宋体"/>
                <w:color w:val="auto"/>
                <w:kern w:val="0"/>
                <w:highlight w:val="none"/>
              </w:rPr>
            </w:pPr>
          </w:p>
        </w:tc>
        <w:tc>
          <w:tcPr>
            <w:tcW w:w="2266" w:type="dxa"/>
            <w:tcBorders>
              <w:right w:val="single" w:color="auto" w:sz="4" w:space="0"/>
            </w:tcBorders>
            <w:shd w:val="clear" w:color="auto" w:fill="auto"/>
            <w:vAlign w:val="center"/>
          </w:tcPr>
          <w:p w14:paraId="7FDC60C4">
            <w:pPr>
              <w:snapToGrid w:val="0"/>
              <w:spacing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投标内容</w:t>
            </w:r>
          </w:p>
        </w:tc>
        <w:tc>
          <w:tcPr>
            <w:tcW w:w="4618" w:type="dxa"/>
            <w:tcBorders>
              <w:left w:val="single" w:color="auto" w:sz="4" w:space="0"/>
            </w:tcBorders>
            <w:shd w:val="clear" w:color="auto" w:fill="auto"/>
            <w:vAlign w:val="center"/>
          </w:tcPr>
          <w:p w14:paraId="0A465C68">
            <w:pPr>
              <w:snapToGrid w:val="0"/>
              <w:spacing w:line="400" w:lineRule="exact"/>
              <w:ind w:firstLine="420" w:firstLineChars="200"/>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符合第二章“投标人须知”第1.3.1项规定</w:t>
            </w:r>
          </w:p>
        </w:tc>
      </w:tr>
      <w:tr w14:paraId="56D58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14:paraId="3BA0F7B9">
            <w:pPr>
              <w:spacing w:line="400" w:lineRule="exact"/>
              <w:jc w:val="center"/>
              <w:rPr>
                <w:rFonts w:ascii="宋体" w:hAnsi="宋体"/>
                <w:color w:val="auto"/>
                <w:kern w:val="0"/>
                <w:highlight w:val="none"/>
              </w:rPr>
            </w:pPr>
          </w:p>
        </w:tc>
        <w:tc>
          <w:tcPr>
            <w:tcW w:w="1559" w:type="dxa"/>
            <w:vMerge w:val="continue"/>
            <w:tcBorders>
              <w:left w:val="single" w:color="auto" w:sz="4" w:space="0"/>
            </w:tcBorders>
            <w:vAlign w:val="center"/>
          </w:tcPr>
          <w:p w14:paraId="1F05A7F8">
            <w:pPr>
              <w:spacing w:line="400" w:lineRule="exact"/>
              <w:jc w:val="center"/>
              <w:rPr>
                <w:rFonts w:ascii="宋体" w:hAnsi="宋体"/>
                <w:color w:val="auto"/>
                <w:kern w:val="0"/>
                <w:highlight w:val="none"/>
              </w:rPr>
            </w:pPr>
          </w:p>
        </w:tc>
        <w:tc>
          <w:tcPr>
            <w:tcW w:w="2266" w:type="dxa"/>
            <w:tcBorders>
              <w:right w:val="single" w:color="auto" w:sz="4" w:space="0"/>
            </w:tcBorders>
            <w:shd w:val="clear" w:color="auto" w:fill="auto"/>
            <w:vAlign w:val="center"/>
          </w:tcPr>
          <w:p w14:paraId="2C7F9AF6">
            <w:pPr>
              <w:snapToGrid w:val="0"/>
              <w:spacing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工期</w:t>
            </w:r>
          </w:p>
        </w:tc>
        <w:tc>
          <w:tcPr>
            <w:tcW w:w="4618" w:type="dxa"/>
            <w:tcBorders>
              <w:left w:val="single" w:color="auto" w:sz="4" w:space="0"/>
            </w:tcBorders>
            <w:shd w:val="clear" w:color="auto" w:fill="auto"/>
            <w:vAlign w:val="center"/>
          </w:tcPr>
          <w:p w14:paraId="7AA310DE">
            <w:pPr>
              <w:snapToGrid w:val="0"/>
              <w:spacing w:line="400" w:lineRule="exact"/>
              <w:ind w:firstLine="420" w:firstLineChars="200"/>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符合第二章“投标人须知”第1.3.2项规定</w:t>
            </w:r>
          </w:p>
        </w:tc>
      </w:tr>
      <w:tr w14:paraId="2DC85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14:paraId="3AD27043">
            <w:pPr>
              <w:spacing w:line="400" w:lineRule="exact"/>
              <w:jc w:val="center"/>
              <w:rPr>
                <w:rFonts w:ascii="宋体" w:hAnsi="宋体"/>
                <w:color w:val="auto"/>
                <w:kern w:val="0"/>
                <w:highlight w:val="none"/>
              </w:rPr>
            </w:pPr>
          </w:p>
        </w:tc>
        <w:tc>
          <w:tcPr>
            <w:tcW w:w="1559" w:type="dxa"/>
            <w:vMerge w:val="continue"/>
            <w:tcBorders>
              <w:left w:val="single" w:color="auto" w:sz="4" w:space="0"/>
            </w:tcBorders>
            <w:vAlign w:val="center"/>
          </w:tcPr>
          <w:p w14:paraId="5E7EF02B">
            <w:pPr>
              <w:spacing w:line="400" w:lineRule="exact"/>
              <w:jc w:val="center"/>
              <w:rPr>
                <w:rFonts w:ascii="宋体" w:hAnsi="宋体"/>
                <w:color w:val="auto"/>
                <w:kern w:val="0"/>
                <w:highlight w:val="none"/>
              </w:rPr>
            </w:pPr>
          </w:p>
        </w:tc>
        <w:tc>
          <w:tcPr>
            <w:tcW w:w="2266" w:type="dxa"/>
            <w:tcBorders>
              <w:right w:val="single" w:color="auto" w:sz="4" w:space="0"/>
            </w:tcBorders>
            <w:shd w:val="clear" w:color="auto" w:fill="auto"/>
            <w:vAlign w:val="center"/>
          </w:tcPr>
          <w:p w14:paraId="133E66C1">
            <w:pPr>
              <w:snapToGrid w:val="0"/>
              <w:spacing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工程质量</w:t>
            </w:r>
          </w:p>
        </w:tc>
        <w:tc>
          <w:tcPr>
            <w:tcW w:w="4618" w:type="dxa"/>
            <w:tcBorders>
              <w:left w:val="single" w:color="auto" w:sz="4" w:space="0"/>
            </w:tcBorders>
            <w:shd w:val="clear" w:color="auto" w:fill="auto"/>
            <w:vAlign w:val="center"/>
          </w:tcPr>
          <w:p w14:paraId="62CEFD04">
            <w:pPr>
              <w:snapToGrid w:val="0"/>
              <w:spacing w:line="400" w:lineRule="exact"/>
              <w:ind w:firstLine="420" w:firstLineChars="200"/>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符合第二章“投标人须知”第1.3.3项规定</w:t>
            </w:r>
          </w:p>
        </w:tc>
      </w:tr>
      <w:tr w14:paraId="0F169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14:paraId="04A8F234">
            <w:pPr>
              <w:spacing w:line="400" w:lineRule="exact"/>
              <w:jc w:val="center"/>
              <w:rPr>
                <w:rFonts w:ascii="宋体" w:hAnsi="宋体"/>
                <w:color w:val="auto"/>
                <w:kern w:val="0"/>
                <w:highlight w:val="none"/>
              </w:rPr>
            </w:pPr>
          </w:p>
        </w:tc>
        <w:tc>
          <w:tcPr>
            <w:tcW w:w="1559" w:type="dxa"/>
            <w:vMerge w:val="continue"/>
            <w:tcBorders>
              <w:left w:val="single" w:color="auto" w:sz="4" w:space="0"/>
            </w:tcBorders>
            <w:vAlign w:val="center"/>
          </w:tcPr>
          <w:p w14:paraId="3A86F111">
            <w:pPr>
              <w:spacing w:line="400" w:lineRule="exact"/>
              <w:jc w:val="center"/>
              <w:rPr>
                <w:rFonts w:ascii="宋体" w:hAnsi="宋体"/>
                <w:color w:val="auto"/>
                <w:kern w:val="0"/>
                <w:highlight w:val="none"/>
              </w:rPr>
            </w:pPr>
          </w:p>
        </w:tc>
        <w:tc>
          <w:tcPr>
            <w:tcW w:w="2266" w:type="dxa"/>
            <w:tcBorders>
              <w:right w:val="single" w:color="auto" w:sz="4" w:space="0"/>
            </w:tcBorders>
            <w:shd w:val="clear" w:color="auto" w:fill="auto"/>
            <w:vAlign w:val="center"/>
          </w:tcPr>
          <w:p w14:paraId="3B01E2B0">
            <w:pPr>
              <w:snapToGrid w:val="0"/>
              <w:spacing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投标有效期</w:t>
            </w:r>
          </w:p>
        </w:tc>
        <w:tc>
          <w:tcPr>
            <w:tcW w:w="4618" w:type="dxa"/>
            <w:tcBorders>
              <w:left w:val="single" w:color="auto" w:sz="4" w:space="0"/>
            </w:tcBorders>
            <w:shd w:val="clear" w:color="auto" w:fill="auto"/>
            <w:vAlign w:val="center"/>
          </w:tcPr>
          <w:p w14:paraId="4FF42E85">
            <w:pPr>
              <w:snapToGrid w:val="0"/>
              <w:spacing w:line="400" w:lineRule="exact"/>
              <w:ind w:firstLine="420" w:firstLineChars="200"/>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符合第二章“投标人须知”第3.3.1项规定</w:t>
            </w:r>
          </w:p>
        </w:tc>
      </w:tr>
      <w:tr w14:paraId="74E10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14:paraId="05EB9648">
            <w:pPr>
              <w:spacing w:line="400" w:lineRule="exact"/>
              <w:jc w:val="center"/>
              <w:rPr>
                <w:rFonts w:ascii="宋体" w:hAnsi="宋体"/>
                <w:color w:val="auto"/>
                <w:kern w:val="0"/>
                <w:highlight w:val="none"/>
              </w:rPr>
            </w:pPr>
          </w:p>
        </w:tc>
        <w:tc>
          <w:tcPr>
            <w:tcW w:w="1559" w:type="dxa"/>
            <w:vMerge w:val="continue"/>
            <w:tcBorders>
              <w:left w:val="single" w:color="auto" w:sz="4" w:space="0"/>
            </w:tcBorders>
            <w:vAlign w:val="center"/>
          </w:tcPr>
          <w:p w14:paraId="70E27C97">
            <w:pPr>
              <w:spacing w:line="400" w:lineRule="exact"/>
              <w:jc w:val="center"/>
              <w:rPr>
                <w:rFonts w:ascii="宋体" w:hAnsi="宋体"/>
                <w:color w:val="auto"/>
                <w:kern w:val="0"/>
                <w:highlight w:val="none"/>
              </w:rPr>
            </w:pPr>
          </w:p>
        </w:tc>
        <w:tc>
          <w:tcPr>
            <w:tcW w:w="2266" w:type="dxa"/>
            <w:tcBorders>
              <w:right w:val="single" w:color="auto" w:sz="4" w:space="0"/>
            </w:tcBorders>
            <w:vAlign w:val="center"/>
          </w:tcPr>
          <w:p w14:paraId="5D4E0A27">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投标保证金</w:t>
            </w:r>
          </w:p>
        </w:tc>
        <w:tc>
          <w:tcPr>
            <w:tcW w:w="4618" w:type="dxa"/>
            <w:tcBorders>
              <w:left w:val="single" w:color="auto" w:sz="4" w:space="0"/>
            </w:tcBorders>
            <w:vAlign w:val="center"/>
          </w:tcPr>
          <w:p w14:paraId="3D6B189B">
            <w:pPr>
              <w:tabs>
                <w:tab w:val="left" w:pos="611"/>
                <w:tab w:val="left" w:pos="669"/>
              </w:tabs>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符合第二章“投标人须知前附表”第3.4款规定。</w:t>
            </w:r>
          </w:p>
        </w:tc>
      </w:tr>
      <w:tr w14:paraId="7CFEE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14:paraId="7F235AD4">
            <w:pPr>
              <w:spacing w:line="400" w:lineRule="exact"/>
              <w:jc w:val="center"/>
              <w:rPr>
                <w:rFonts w:ascii="宋体" w:hAnsi="宋体"/>
                <w:color w:val="auto"/>
                <w:kern w:val="0"/>
                <w:highlight w:val="none"/>
              </w:rPr>
            </w:pPr>
          </w:p>
        </w:tc>
        <w:tc>
          <w:tcPr>
            <w:tcW w:w="1559" w:type="dxa"/>
            <w:vMerge w:val="continue"/>
            <w:tcBorders>
              <w:left w:val="single" w:color="auto" w:sz="4" w:space="0"/>
            </w:tcBorders>
            <w:vAlign w:val="center"/>
          </w:tcPr>
          <w:p w14:paraId="647981BE">
            <w:pPr>
              <w:spacing w:line="400" w:lineRule="exact"/>
              <w:jc w:val="center"/>
              <w:rPr>
                <w:rFonts w:ascii="宋体" w:hAnsi="宋体"/>
                <w:color w:val="auto"/>
                <w:kern w:val="0"/>
                <w:highlight w:val="none"/>
              </w:rPr>
            </w:pPr>
          </w:p>
        </w:tc>
        <w:tc>
          <w:tcPr>
            <w:tcW w:w="2266" w:type="dxa"/>
            <w:tcBorders>
              <w:right w:val="single" w:color="auto" w:sz="4" w:space="0"/>
            </w:tcBorders>
            <w:vAlign w:val="center"/>
          </w:tcPr>
          <w:p w14:paraId="3350B2A7">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4618" w:type="dxa"/>
            <w:tcBorders>
              <w:left w:val="single" w:color="auto" w:sz="4" w:space="0"/>
            </w:tcBorders>
            <w:vAlign w:val="center"/>
          </w:tcPr>
          <w:p w14:paraId="6D3C3FCA">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符合第四章“合同条款及格式”规定，投标文件不应附有招标人不能接受的条件。（由投标人承诺，承诺书格式详见第八章投标文件格式。）</w:t>
            </w:r>
          </w:p>
        </w:tc>
      </w:tr>
      <w:tr w14:paraId="12895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14:paraId="3935F95A">
            <w:pPr>
              <w:spacing w:line="400" w:lineRule="exact"/>
              <w:jc w:val="center"/>
              <w:rPr>
                <w:rFonts w:ascii="宋体" w:hAnsi="宋体"/>
                <w:color w:val="auto"/>
                <w:kern w:val="0"/>
                <w:highlight w:val="none"/>
              </w:rPr>
            </w:pPr>
          </w:p>
        </w:tc>
        <w:tc>
          <w:tcPr>
            <w:tcW w:w="1559" w:type="dxa"/>
            <w:vMerge w:val="continue"/>
            <w:tcBorders>
              <w:left w:val="single" w:color="auto" w:sz="4" w:space="0"/>
            </w:tcBorders>
            <w:vAlign w:val="center"/>
          </w:tcPr>
          <w:p w14:paraId="2841952C">
            <w:pPr>
              <w:spacing w:line="400" w:lineRule="exact"/>
              <w:jc w:val="center"/>
              <w:rPr>
                <w:rFonts w:ascii="宋体" w:hAnsi="宋体"/>
                <w:color w:val="auto"/>
                <w:kern w:val="0"/>
                <w:highlight w:val="none"/>
              </w:rPr>
            </w:pPr>
          </w:p>
        </w:tc>
        <w:tc>
          <w:tcPr>
            <w:tcW w:w="2266" w:type="dxa"/>
            <w:tcBorders>
              <w:right w:val="single" w:color="auto" w:sz="4" w:space="0"/>
            </w:tcBorders>
            <w:vAlign w:val="center"/>
          </w:tcPr>
          <w:p w14:paraId="7C2A90D8">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技术标准和要求</w:t>
            </w:r>
          </w:p>
        </w:tc>
        <w:tc>
          <w:tcPr>
            <w:tcW w:w="4618" w:type="dxa"/>
            <w:tcBorders>
              <w:left w:val="single" w:color="auto" w:sz="4" w:space="0"/>
            </w:tcBorders>
            <w:vAlign w:val="center"/>
          </w:tcPr>
          <w:p w14:paraId="50F8D04D">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符合第七章“技术标准和要求”规定。（由投标人承诺，承诺书格式详见第八章投标文件格式。）</w:t>
            </w:r>
          </w:p>
        </w:tc>
      </w:tr>
      <w:tr w14:paraId="78E0E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bottom w:val="single" w:color="auto" w:sz="4" w:space="0"/>
              <w:right w:val="single" w:color="auto" w:sz="4" w:space="0"/>
            </w:tcBorders>
            <w:vAlign w:val="center"/>
          </w:tcPr>
          <w:p w14:paraId="3773DC4E">
            <w:pPr>
              <w:spacing w:line="400" w:lineRule="exact"/>
              <w:jc w:val="center"/>
              <w:rPr>
                <w:rFonts w:ascii="宋体" w:hAnsi="宋体"/>
                <w:color w:val="auto"/>
                <w:kern w:val="0"/>
                <w:highlight w:val="none"/>
              </w:rPr>
            </w:pPr>
          </w:p>
        </w:tc>
        <w:tc>
          <w:tcPr>
            <w:tcW w:w="1559" w:type="dxa"/>
            <w:vMerge w:val="continue"/>
            <w:tcBorders>
              <w:left w:val="single" w:color="auto" w:sz="4" w:space="0"/>
              <w:bottom w:val="single" w:color="auto" w:sz="4" w:space="0"/>
            </w:tcBorders>
            <w:vAlign w:val="center"/>
          </w:tcPr>
          <w:p w14:paraId="39E6BB35">
            <w:pPr>
              <w:spacing w:line="400" w:lineRule="exact"/>
              <w:jc w:val="center"/>
              <w:rPr>
                <w:rFonts w:ascii="宋体" w:hAnsi="宋体"/>
                <w:color w:val="auto"/>
                <w:kern w:val="0"/>
                <w:highlight w:val="none"/>
              </w:rPr>
            </w:pPr>
          </w:p>
        </w:tc>
        <w:tc>
          <w:tcPr>
            <w:tcW w:w="2266" w:type="dxa"/>
            <w:tcBorders>
              <w:right w:val="single" w:color="auto" w:sz="4" w:space="0"/>
            </w:tcBorders>
            <w:shd w:val="clear" w:color="auto" w:fill="auto"/>
            <w:vAlign w:val="center"/>
          </w:tcPr>
          <w:p w14:paraId="5EA957B4">
            <w:pPr>
              <w:snapToGrid w:val="0"/>
              <w:spacing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已标价工程量清单</w:t>
            </w:r>
          </w:p>
        </w:tc>
        <w:tc>
          <w:tcPr>
            <w:tcW w:w="4618" w:type="dxa"/>
            <w:tcBorders>
              <w:left w:val="single" w:color="auto" w:sz="4" w:space="0"/>
            </w:tcBorders>
            <w:shd w:val="clear" w:color="auto" w:fill="auto"/>
            <w:vAlign w:val="center"/>
          </w:tcPr>
          <w:p w14:paraId="40872E1E">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投标人承诺满足以下内容：</w:t>
            </w:r>
          </w:p>
          <w:p w14:paraId="63625A7D">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1.符合第五章“工程量清单”给出的范围及数量。</w:t>
            </w:r>
          </w:p>
          <w:p w14:paraId="18653B27">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2.招标文件中规定工程量清单不允许修改的内容不得修改。</w:t>
            </w:r>
          </w:p>
          <w:p w14:paraId="7E6B6477">
            <w:pPr>
              <w:snapToGrid w:val="0"/>
              <w:spacing w:after="31" w:afterLines="10" w:line="400" w:lineRule="exact"/>
              <w:ind w:firstLine="420" w:firstLineChars="200"/>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3.每项工程量清单综合单价报价不得高于对应工程量清单综合单价最高限价。</w:t>
            </w:r>
          </w:p>
        </w:tc>
      </w:tr>
      <w:tr w14:paraId="2C051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bottom w:val="single" w:color="auto" w:sz="4" w:space="0"/>
              <w:right w:val="single" w:color="auto" w:sz="4" w:space="0"/>
            </w:tcBorders>
            <w:vAlign w:val="center"/>
          </w:tcPr>
          <w:p w14:paraId="4BD84D65">
            <w:pPr>
              <w:spacing w:line="400" w:lineRule="exact"/>
              <w:jc w:val="center"/>
              <w:rPr>
                <w:rFonts w:ascii="宋体" w:hAnsi="宋体"/>
                <w:color w:val="auto"/>
                <w:kern w:val="0"/>
                <w:highlight w:val="none"/>
              </w:rPr>
            </w:pPr>
          </w:p>
        </w:tc>
        <w:tc>
          <w:tcPr>
            <w:tcW w:w="1559" w:type="dxa"/>
            <w:vMerge w:val="continue"/>
            <w:tcBorders>
              <w:left w:val="single" w:color="auto" w:sz="4" w:space="0"/>
              <w:bottom w:val="single" w:color="auto" w:sz="4" w:space="0"/>
            </w:tcBorders>
            <w:vAlign w:val="center"/>
          </w:tcPr>
          <w:p w14:paraId="7BCB1070">
            <w:pPr>
              <w:spacing w:line="400" w:lineRule="exact"/>
              <w:jc w:val="center"/>
              <w:rPr>
                <w:rFonts w:ascii="宋体" w:hAnsi="宋体"/>
                <w:color w:val="auto"/>
                <w:kern w:val="0"/>
                <w:highlight w:val="none"/>
              </w:rPr>
            </w:pPr>
          </w:p>
        </w:tc>
        <w:tc>
          <w:tcPr>
            <w:tcW w:w="2266" w:type="dxa"/>
            <w:tcBorders>
              <w:right w:val="single" w:color="auto" w:sz="4" w:space="0"/>
            </w:tcBorders>
            <w:shd w:val="clear" w:color="auto" w:fill="auto"/>
            <w:vAlign w:val="center"/>
          </w:tcPr>
          <w:p w14:paraId="0A5C580C">
            <w:pPr>
              <w:snapToGrid w:val="0"/>
              <w:spacing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投标报价算术错误修正</w:t>
            </w:r>
          </w:p>
        </w:tc>
        <w:tc>
          <w:tcPr>
            <w:tcW w:w="4618" w:type="dxa"/>
            <w:tcBorders>
              <w:left w:val="single" w:color="auto" w:sz="4" w:space="0"/>
            </w:tcBorders>
            <w:shd w:val="clear" w:color="auto" w:fill="auto"/>
            <w:vAlign w:val="center"/>
          </w:tcPr>
          <w:p w14:paraId="69AFA5F5">
            <w:pPr>
              <w:snapToGrid w:val="0"/>
              <w:spacing w:line="400" w:lineRule="exact"/>
              <w:ind w:firstLine="420" w:firstLineChars="200"/>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符合第三章3.评标程序第3.2.3项规定。</w:t>
            </w:r>
          </w:p>
        </w:tc>
      </w:tr>
      <w:tr w14:paraId="2C0D9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bottom w:val="single" w:color="auto" w:sz="4" w:space="0"/>
              <w:right w:val="single" w:color="auto" w:sz="4" w:space="0"/>
            </w:tcBorders>
            <w:vAlign w:val="center"/>
          </w:tcPr>
          <w:p w14:paraId="3AA34270">
            <w:pPr>
              <w:spacing w:line="400" w:lineRule="exact"/>
              <w:jc w:val="center"/>
              <w:rPr>
                <w:rFonts w:ascii="宋体" w:hAnsi="宋体"/>
                <w:color w:val="auto"/>
                <w:kern w:val="0"/>
                <w:highlight w:val="none"/>
              </w:rPr>
            </w:pPr>
          </w:p>
        </w:tc>
        <w:tc>
          <w:tcPr>
            <w:tcW w:w="1559" w:type="dxa"/>
            <w:vMerge w:val="continue"/>
            <w:tcBorders>
              <w:left w:val="single" w:color="auto" w:sz="4" w:space="0"/>
              <w:bottom w:val="single" w:color="auto" w:sz="4" w:space="0"/>
            </w:tcBorders>
            <w:vAlign w:val="center"/>
          </w:tcPr>
          <w:p w14:paraId="4393E714">
            <w:pPr>
              <w:spacing w:line="400" w:lineRule="exact"/>
              <w:jc w:val="center"/>
              <w:rPr>
                <w:rFonts w:ascii="宋体" w:hAnsi="宋体"/>
                <w:color w:val="auto"/>
                <w:kern w:val="0"/>
                <w:highlight w:val="none"/>
              </w:rPr>
            </w:pPr>
          </w:p>
        </w:tc>
        <w:tc>
          <w:tcPr>
            <w:tcW w:w="2266" w:type="dxa"/>
            <w:tcBorders>
              <w:right w:val="single" w:color="auto" w:sz="4" w:space="0"/>
            </w:tcBorders>
            <w:vAlign w:val="center"/>
          </w:tcPr>
          <w:p w14:paraId="2EFBF021">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4618" w:type="dxa"/>
            <w:tcBorders>
              <w:left w:val="single" w:color="auto" w:sz="4" w:space="0"/>
            </w:tcBorders>
            <w:vAlign w:val="center"/>
          </w:tcPr>
          <w:p w14:paraId="1FA05308">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符合第二章“投标人须知”第1.4.3项规定。</w:t>
            </w:r>
          </w:p>
          <w:p w14:paraId="60F376F4">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本次投标不得有串通投标、弄虚作假等其他违反招投标相关法律、法规行为。</w:t>
            </w:r>
          </w:p>
          <w:p w14:paraId="3A7B8F6E">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按评标委员会要求澄清、说明或补正。</w:t>
            </w:r>
          </w:p>
        </w:tc>
      </w:tr>
      <w:tr w14:paraId="32C76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2" w:type="dxa"/>
            <w:tcBorders>
              <w:right w:val="single" w:color="auto" w:sz="4" w:space="0"/>
            </w:tcBorders>
            <w:vAlign w:val="center"/>
          </w:tcPr>
          <w:p w14:paraId="3B159CC9">
            <w:pPr>
              <w:spacing w:line="400" w:lineRule="exact"/>
              <w:jc w:val="center"/>
              <w:rPr>
                <w:rFonts w:ascii="宋体" w:hAnsi="宋体"/>
                <w:color w:val="auto"/>
                <w:highlight w:val="none"/>
              </w:rPr>
            </w:pPr>
            <w:r>
              <w:rPr>
                <w:rFonts w:ascii="宋体" w:hAnsi="宋体"/>
                <w:color w:val="auto"/>
                <w:highlight w:val="none"/>
              </w:rPr>
              <w:t>3</w:t>
            </w:r>
          </w:p>
        </w:tc>
        <w:tc>
          <w:tcPr>
            <w:tcW w:w="1559" w:type="dxa"/>
            <w:tcBorders>
              <w:left w:val="single" w:color="auto" w:sz="4" w:space="0"/>
              <w:right w:val="single" w:color="auto" w:sz="4" w:space="0"/>
            </w:tcBorders>
            <w:vAlign w:val="center"/>
          </w:tcPr>
          <w:p w14:paraId="65D463E2">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6884" w:type="dxa"/>
            <w:gridSpan w:val="2"/>
            <w:tcBorders>
              <w:left w:val="single" w:color="auto" w:sz="4" w:space="0"/>
            </w:tcBorders>
            <w:vAlign w:val="center"/>
          </w:tcPr>
          <w:p w14:paraId="5DEA5062">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1.对报价不高于最高限价的所有投标人的投标文件，按照报价由低到高的顺序排序。</w:t>
            </w:r>
          </w:p>
          <w:p w14:paraId="3B09F476">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合格的投标人中，报价最低的成为第一中标候选人，报价次低的成为第二中标候选人，依次类推。</w:t>
            </w:r>
          </w:p>
          <w:p w14:paraId="00EFFE7F">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若上述程序未能评出三名中标候选人</w:t>
            </w:r>
            <w:r>
              <w:rPr>
                <w:rFonts w:hint="eastAsia" w:ascii="宋体" w:hAnsi="宋体"/>
                <w:color w:val="auto"/>
                <w:kern w:val="0"/>
                <w:szCs w:val="21"/>
                <w:highlight w:val="none"/>
              </w:rPr>
              <w:t>，则评标委员会对剩余投标文件继续按上述第2条进行评审，直至评出三名中标候选人，或者评审完所有投标文件。</w:t>
            </w:r>
          </w:p>
          <w:p w14:paraId="50D7A026">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因评标委员会作否决投标处理，导致有效投标人不足三个的，评标委员会应当否决所有投标。但是有效投标人的经济、技术等指标仍然具有市场竞争力，并满足</w:t>
            </w:r>
            <w:r>
              <w:rPr>
                <w:rFonts w:hint="eastAsia" w:ascii="宋体" w:hAnsi="宋体"/>
                <w:color w:val="auto"/>
                <w:kern w:val="0"/>
                <w:szCs w:val="21"/>
                <w:highlight w:val="none"/>
                <w:lang w:eastAsia="zh-CN"/>
              </w:rPr>
              <w:t>竞争性比选文件</w:t>
            </w:r>
            <w:r>
              <w:rPr>
                <w:rFonts w:hint="eastAsia" w:ascii="宋体" w:hAnsi="宋体"/>
                <w:color w:val="auto"/>
                <w:kern w:val="0"/>
                <w:szCs w:val="21"/>
                <w:highlight w:val="none"/>
              </w:rPr>
              <w:t>要求的，评标委员会可以继续评标并确定中标候选人。</w:t>
            </w:r>
          </w:p>
          <w:p w14:paraId="12361EC1">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注：若出现投标人投标报价相同的，</w:t>
            </w:r>
            <w:r>
              <w:rPr>
                <w:rFonts w:hint="eastAsia" w:ascii="宋体" w:hAnsi="宋体"/>
                <w:color w:val="auto"/>
                <w:spacing w:val="4"/>
                <w:kern w:val="0"/>
                <w:szCs w:val="21"/>
                <w:highlight w:val="none"/>
              </w:rPr>
              <w:t>由评标委员会按照</w:t>
            </w:r>
            <w:r>
              <w:rPr>
                <w:rFonts w:hint="eastAsia" w:ascii="宋体" w:hAnsi="宋体"/>
                <w:color w:val="auto"/>
                <w:spacing w:val="4"/>
                <w:kern w:val="0"/>
                <w:szCs w:val="21"/>
                <w:highlight w:val="none"/>
                <w:u w:val="single"/>
              </w:rPr>
              <w:t xml:space="preserve">  投票  </w:t>
            </w:r>
            <w:r>
              <w:rPr>
                <w:rFonts w:hint="eastAsia" w:ascii="宋体" w:hAnsi="宋体"/>
                <w:color w:val="auto"/>
                <w:spacing w:val="4"/>
                <w:kern w:val="0"/>
                <w:szCs w:val="21"/>
                <w:highlight w:val="none"/>
              </w:rPr>
              <w:t>原则排序。</w:t>
            </w:r>
          </w:p>
        </w:tc>
      </w:tr>
      <w:tr w14:paraId="4975E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2" w:type="dxa"/>
            <w:tcBorders>
              <w:right w:val="single" w:color="auto" w:sz="4" w:space="0"/>
            </w:tcBorders>
            <w:vAlign w:val="center"/>
          </w:tcPr>
          <w:p w14:paraId="2FD00867">
            <w:pPr>
              <w:spacing w:line="400" w:lineRule="exact"/>
              <w:jc w:val="center"/>
              <w:rPr>
                <w:rFonts w:ascii="宋体" w:hAnsi="宋体"/>
                <w:color w:val="auto"/>
                <w:highlight w:val="none"/>
              </w:rPr>
            </w:pPr>
            <w:r>
              <w:rPr>
                <w:rFonts w:hint="eastAsia" w:ascii="宋体" w:hAnsi="宋体"/>
                <w:color w:val="auto"/>
                <w:highlight w:val="none"/>
              </w:rPr>
              <w:t>3.4</w:t>
            </w:r>
          </w:p>
        </w:tc>
        <w:tc>
          <w:tcPr>
            <w:tcW w:w="1559" w:type="dxa"/>
            <w:tcBorders>
              <w:left w:val="single" w:color="auto" w:sz="4" w:space="0"/>
              <w:right w:val="single" w:color="auto" w:sz="4" w:space="0"/>
            </w:tcBorders>
            <w:vAlign w:val="center"/>
          </w:tcPr>
          <w:p w14:paraId="314A1726">
            <w:pPr>
              <w:spacing w:line="400" w:lineRule="exact"/>
              <w:jc w:val="center"/>
              <w:rPr>
                <w:rFonts w:ascii="宋体" w:hAnsi="宋体"/>
                <w:color w:val="auto"/>
                <w:highlight w:val="none"/>
              </w:rPr>
            </w:pPr>
            <w:r>
              <w:rPr>
                <w:rFonts w:ascii="宋体" w:hAnsi="宋体"/>
                <w:color w:val="auto"/>
                <w:highlight w:val="none"/>
              </w:rPr>
              <w:t>评标结果</w:t>
            </w:r>
          </w:p>
        </w:tc>
        <w:tc>
          <w:tcPr>
            <w:tcW w:w="6884" w:type="dxa"/>
            <w:gridSpan w:val="2"/>
            <w:tcBorders>
              <w:left w:val="single" w:color="auto" w:sz="4" w:space="0"/>
            </w:tcBorders>
            <w:vAlign w:val="center"/>
          </w:tcPr>
          <w:p w14:paraId="3828987A">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除第二章“投标</w:t>
            </w:r>
            <w:r>
              <w:rPr>
                <w:rFonts w:ascii="宋体" w:hAnsi="宋体"/>
                <w:color w:val="auto"/>
                <w:spacing w:val="1"/>
                <w:kern w:val="0"/>
                <w:szCs w:val="21"/>
                <w:highlight w:val="none"/>
              </w:rPr>
              <w:t>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推荐中标候选人。</w:t>
            </w:r>
          </w:p>
          <w:p w14:paraId="0A4363DC">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员会完成评标后，应当向招标人提交书面评标报告。</w:t>
            </w:r>
          </w:p>
        </w:tc>
      </w:tr>
    </w:tbl>
    <w:p w14:paraId="2627B92A">
      <w:pPr>
        <w:pStyle w:val="4"/>
        <w:spacing w:before="0" w:after="0" w:line="360" w:lineRule="auto"/>
        <w:rPr>
          <w:rFonts w:ascii="宋体" w:hAnsi="宋体"/>
          <w:bCs w:val="0"/>
          <w:snapToGrid w:val="0"/>
          <w:color w:val="auto"/>
          <w:highlight w:val="none"/>
        </w:rPr>
      </w:pPr>
      <w:r>
        <w:rPr>
          <w:rFonts w:ascii="宋体" w:hAnsi="宋体"/>
          <w:bCs w:val="0"/>
          <w:snapToGrid w:val="0"/>
          <w:color w:val="auto"/>
          <w:highlight w:val="none"/>
        </w:rPr>
        <w:br w:type="page"/>
      </w:r>
      <w:bookmarkStart w:id="555" w:name="_Toc22815"/>
      <w:r>
        <w:rPr>
          <w:rFonts w:ascii="宋体" w:hAnsi="宋体"/>
          <w:b w:val="0"/>
          <w:snapToGrid w:val="0"/>
          <w:color w:val="auto"/>
          <w:highlight w:val="none"/>
        </w:rPr>
        <w:t>1.  评标方法</w:t>
      </w:r>
      <w:bookmarkEnd w:id="555"/>
    </w:p>
    <w:p w14:paraId="2CCCAC5A">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14:paraId="4351A0CD">
      <w:pPr>
        <w:pStyle w:val="4"/>
        <w:spacing w:before="0" w:after="0" w:line="360" w:lineRule="auto"/>
        <w:rPr>
          <w:rFonts w:ascii="宋体" w:hAnsi="宋体"/>
          <w:b w:val="0"/>
          <w:snapToGrid w:val="0"/>
          <w:color w:val="auto"/>
          <w:highlight w:val="none"/>
        </w:rPr>
      </w:pPr>
      <w:bookmarkStart w:id="556" w:name="_Toc4459"/>
      <w:r>
        <w:rPr>
          <w:rFonts w:ascii="宋体" w:hAnsi="宋体"/>
          <w:b w:val="0"/>
          <w:snapToGrid w:val="0"/>
          <w:color w:val="auto"/>
          <w:highlight w:val="none"/>
        </w:rPr>
        <w:t>2.  评审标准</w:t>
      </w:r>
      <w:bookmarkEnd w:id="556"/>
    </w:p>
    <w:p w14:paraId="23D5A243">
      <w:pPr>
        <w:pStyle w:val="5"/>
        <w:spacing w:before="0" w:after="0" w:line="360" w:lineRule="auto"/>
        <w:rPr>
          <w:rFonts w:ascii="宋体" w:hAnsi="宋体" w:cs="宋体"/>
          <w:color w:val="auto"/>
          <w:sz w:val="21"/>
          <w:szCs w:val="21"/>
          <w:highlight w:val="none"/>
        </w:rPr>
      </w:pPr>
      <w:bookmarkStart w:id="557" w:name="_Toc19358"/>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r>
        <w:rPr>
          <w:rFonts w:hint="eastAsia" w:ascii="宋体" w:hAnsi="宋体" w:cs="宋体"/>
          <w:color w:val="auto"/>
          <w:sz w:val="21"/>
          <w:szCs w:val="21"/>
          <w:highlight w:val="none"/>
        </w:rPr>
        <w:t>标准</w:t>
      </w:r>
      <w:bookmarkEnd w:id="557"/>
    </w:p>
    <w:p w14:paraId="2CA31605">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14:paraId="5178A07E">
      <w:pPr>
        <w:pStyle w:val="5"/>
        <w:spacing w:before="0" w:after="0" w:line="360" w:lineRule="auto"/>
        <w:rPr>
          <w:rFonts w:ascii="宋体" w:hAnsi="宋体" w:cs="宋体"/>
          <w:color w:val="auto"/>
          <w:sz w:val="21"/>
          <w:szCs w:val="21"/>
          <w:highlight w:val="none"/>
        </w:rPr>
      </w:pPr>
      <w:bookmarkStart w:id="558" w:name="_Toc16694"/>
      <w:r>
        <w:rPr>
          <w:rFonts w:ascii="宋体" w:hAnsi="宋体" w:cs="宋体"/>
          <w:color w:val="auto"/>
          <w:sz w:val="21"/>
          <w:szCs w:val="21"/>
          <w:highlight w:val="none"/>
        </w:rPr>
        <w:t>2.</w:t>
      </w:r>
      <w:r>
        <w:rPr>
          <w:rFonts w:hint="eastAsia" w:ascii="宋体" w:hAnsi="宋体" w:cs="宋体"/>
          <w:color w:val="auto"/>
          <w:sz w:val="21"/>
          <w:szCs w:val="21"/>
          <w:highlight w:val="none"/>
        </w:rPr>
        <w:t>2符合性审查标准</w:t>
      </w:r>
      <w:bookmarkEnd w:id="558"/>
    </w:p>
    <w:p w14:paraId="70062013">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。符合性审查内容：技术方案评审（如有）、资格评审、形式评审、响应性、投标函部分及经济部分评审</w:t>
      </w:r>
      <w:r>
        <w:rPr>
          <w:rFonts w:hint="eastAsia" w:ascii="宋体" w:hAnsi="宋体" w:cs="宋体"/>
          <w:color w:val="auto"/>
          <w:szCs w:val="21"/>
          <w:highlight w:val="none"/>
        </w:rPr>
        <w:t>。</w:t>
      </w:r>
    </w:p>
    <w:p w14:paraId="296BCC1F">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14:paraId="3D826D41">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  资格评审标准：见评标办法前附表。</w:t>
      </w:r>
    </w:p>
    <w:p w14:paraId="6C184951">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14:paraId="41FB4253">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14:paraId="4419064A">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2.2.5  投标函部分及经济部分评审标准：见评标办法前附表。</w:t>
      </w:r>
    </w:p>
    <w:p w14:paraId="042EE23A">
      <w:pPr>
        <w:pStyle w:val="4"/>
        <w:spacing w:before="0" w:after="0" w:line="360" w:lineRule="auto"/>
        <w:rPr>
          <w:rFonts w:ascii="宋体" w:hAnsi="宋体"/>
          <w:b w:val="0"/>
          <w:snapToGrid w:val="0"/>
          <w:color w:val="auto"/>
          <w:highlight w:val="none"/>
        </w:rPr>
      </w:pPr>
      <w:bookmarkStart w:id="559" w:name="_Toc19334"/>
      <w:r>
        <w:rPr>
          <w:rFonts w:ascii="宋体" w:hAnsi="宋体"/>
          <w:b w:val="0"/>
          <w:snapToGrid w:val="0"/>
          <w:color w:val="auto"/>
          <w:highlight w:val="none"/>
        </w:rPr>
        <w:t>3.  评标程序</w:t>
      </w:r>
      <w:bookmarkEnd w:id="559"/>
    </w:p>
    <w:p w14:paraId="01900988">
      <w:pPr>
        <w:pStyle w:val="5"/>
        <w:spacing w:before="0" w:after="0" w:line="360" w:lineRule="auto"/>
        <w:rPr>
          <w:rFonts w:ascii="宋体" w:hAnsi="宋体" w:cs="宋体"/>
          <w:color w:val="auto"/>
          <w:sz w:val="21"/>
          <w:szCs w:val="21"/>
          <w:highlight w:val="none"/>
        </w:rPr>
      </w:pPr>
      <w:bookmarkStart w:id="560" w:name="_Toc9275"/>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560"/>
    </w:p>
    <w:p w14:paraId="669D0B68">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w:t>
      </w:r>
    </w:p>
    <w:p w14:paraId="3AECBB01">
      <w:pPr>
        <w:pStyle w:val="5"/>
        <w:spacing w:before="0" w:after="0" w:line="360" w:lineRule="auto"/>
        <w:rPr>
          <w:rFonts w:ascii="宋体" w:hAnsi="宋体" w:cs="宋体"/>
          <w:color w:val="auto"/>
          <w:sz w:val="21"/>
          <w:szCs w:val="21"/>
          <w:highlight w:val="none"/>
        </w:rPr>
      </w:pPr>
      <w:bookmarkStart w:id="561" w:name="_Toc18530"/>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561"/>
    </w:p>
    <w:p w14:paraId="3D484F5F">
      <w:pPr>
        <w:spacing w:line="360" w:lineRule="auto"/>
        <w:ind w:firstLine="413" w:firstLineChars="197"/>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款规定的标准对投标文件进行符合性审查。符合性审查顺序：技术方案评审（如有）、资格评审、形式评审、响应性、投标函部分及经济部分评审。</w:t>
      </w:r>
    </w:p>
    <w:p w14:paraId="78F13CC2">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勾选技术方案评审的，符合性审查应首先进行技术方案审查，再按照资格、形式、响应性、投标函部分及经济部分的顺序进行评审。有一项不符合评审标准的，作否决投标处理。</w:t>
      </w:r>
    </w:p>
    <w:p w14:paraId="33201A2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14:paraId="6A37E280">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）第二章“投标人须知”第1.4.3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14:paraId="68A0DB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14:paraId="78EF73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14:paraId="14A653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投标报价有算术错误的，评标委员会按以下原则对投标报价进行修正，修正的价格经投标人书面确认后具有约束力，修正原则如下：</w:t>
      </w:r>
    </w:p>
    <w:p w14:paraId="0DD033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14:paraId="5022ED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（2）投标函中的总报价与已标价工程量清单总报价不一致，或工程量清单总报价与依据单价、工程数量、分部分项工程合价计算出的结果不一致的，由评标委员会作否决投标处理。</w:t>
      </w:r>
    </w:p>
    <w:p w14:paraId="73186A25">
      <w:pPr>
        <w:pStyle w:val="5"/>
        <w:spacing w:before="0" w:after="0" w:line="360" w:lineRule="auto"/>
        <w:rPr>
          <w:rFonts w:ascii="宋体" w:hAnsi="宋体" w:cs="宋体"/>
          <w:color w:val="auto"/>
          <w:sz w:val="21"/>
          <w:szCs w:val="21"/>
          <w:highlight w:val="none"/>
        </w:rPr>
      </w:pPr>
      <w:bookmarkStart w:id="562" w:name="_Toc20876"/>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投标文件的澄清和补正</w:t>
      </w:r>
      <w:bookmarkEnd w:id="562"/>
    </w:p>
    <w:p w14:paraId="7E08DF7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14:paraId="3E5F23E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14:paraId="3D75178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评标委员会对投标人提交的澄清、说明或补正有疑问的，可以要求投标人进一步澄清、说明或补正，直至满足评标委员会的要求。</w:t>
      </w:r>
    </w:p>
    <w:p w14:paraId="1867E8D3">
      <w:pPr>
        <w:pStyle w:val="5"/>
        <w:spacing w:before="0" w:after="0" w:line="360" w:lineRule="auto"/>
        <w:rPr>
          <w:rFonts w:ascii="宋体" w:hAnsi="宋体" w:cs="宋体"/>
          <w:color w:val="auto"/>
          <w:sz w:val="21"/>
          <w:szCs w:val="21"/>
          <w:highlight w:val="none"/>
        </w:rPr>
      </w:pPr>
      <w:bookmarkStart w:id="563" w:name="_Toc5085"/>
      <w:bookmarkStart w:id="564" w:name="_Toc479262406"/>
      <w:bookmarkStart w:id="565" w:name="_Toc484465184"/>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563"/>
      <w:bookmarkEnd w:id="564"/>
      <w:bookmarkEnd w:id="565"/>
    </w:p>
    <w:p w14:paraId="5C8A44B0">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 xml:space="preserve"> 除第二章“投标人须知”前附表授权直接确定中标人外，评标委员会按经评审的最低投标价法推荐中标候选人。</w:t>
      </w:r>
    </w:p>
    <w:p w14:paraId="36EA00B3">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评标委员会完成评标后，应当向招标人提交书面评标报告和中标候选人名单。</w:t>
      </w:r>
    </w:p>
    <w:p w14:paraId="1C6A91B8">
      <w:pPr>
        <w:pStyle w:val="33"/>
        <w:spacing w:line="360" w:lineRule="auto"/>
        <w:rPr>
          <w:rFonts w:ascii="宋体" w:hAnsi="宋体"/>
          <w:b/>
          <w:color w:val="auto"/>
          <w:sz w:val="28"/>
          <w:szCs w:val="28"/>
          <w:highlight w:val="none"/>
          <w:u w:val="none"/>
          <w:lang w:eastAsia="zh-CN"/>
        </w:rPr>
      </w:pPr>
      <w:r>
        <w:rPr>
          <w:rFonts w:ascii="宋体" w:hAnsi="宋体" w:cs="宋体"/>
          <w:color w:val="auto"/>
          <w:szCs w:val="21"/>
          <w:highlight w:val="none"/>
          <w:lang w:eastAsia="zh-CN"/>
        </w:rPr>
        <w:br w:type="page"/>
      </w:r>
      <w:r>
        <w:rPr>
          <w:rFonts w:ascii="宋体" w:hAnsi="宋体"/>
          <w:b/>
          <w:color w:val="auto"/>
          <w:sz w:val="28"/>
          <w:szCs w:val="28"/>
          <w:highlight w:val="none"/>
          <w:u w:val="none"/>
          <w:lang w:eastAsia="zh-CN"/>
        </w:rPr>
        <w:t>附件A：</w:t>
      </w:r>
      <w:r>
        <w:rPr>
          <w:rFonts w:hint="eastAsia" w:ascii="宋体" w:hAnsi="宋体"/>
          <w:b/>
          <w:color w:val="auto"/>
          <w:sz w:val="28"/>
          <w:szCs w:val="28"/>
          <w:highlight w:val="none"/>
          <w:u w:val="none"/>
          <w:lang w:eastAsia="zh-CN"/>
        </w:rPr>
        <w:t>经评审的最低投标价法</w:t>
      </w:r>
      <w:r>
        <w:rPr>
          <w:rFonts w:ascii="宋体" w:hAnsi="宋体"/>
          <w:b/>
          <w:color w:val="auto"/>
          <w:sz w:val="28"/>
          <w:szCs w:val="28"/>
          <w:highlight w:val="none"/>
          <w:u w:val="none"/>
          <w:lang w:eastAsia="zh-CN"/>
        </w:rPr>
        <w:t>否决投标情况一览表</w:t>
      </w:r>
    </w:p>
    <w:p w14:paraId="503D35E0">
      <w:pPr>
        <w:pStyle w:val="33"/>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r>
        <w:rPr>
          <w:rFonts w:ascii="宋体" w:hAnsi="宋体"/>
          <w:color w:val="auto"/>
          <w:sz w:val="21"/>
          <w:szCs w:val="21"/>
          <w:highlight w:val="none"/>
          <w:u w:val="none"/>
          <w:lang w:eastAsia="zh-CN"/>
        </w:rPr>
        <w:t>。</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25BECC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1F5F6A2F">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vAlign w:val="center"/>
          </w:tcPr>
          <w:p w14:paraId="5A156D9A">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14:paraId="1CC0F3CF">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14:paraId="75D5C4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64D11BC9">
            <w:pPr>
              <w:spacing w:line="400" w:lineRule="exact"/>
              <w:jc w:val="center"/>
              <w:rPr>
                <w:rFonts w:ascii="宋体" w:hAnsi="宋体"/>
                <w:color w:val="auto"/>
                <w:szCs w:val="21"/>
                <w:highlight w:val="none"/>
              </w:rPr>
            </w:pPr>
            <w:r>
              <w:rPr>
                <w:rFonts w:hint="eastAsia" w:ascii="宋体" w:hAnsi="宋体"/>
                <w:color w:val="auto"/>
                <w:szCs w:val="21"/>
                <w:highlight w:val="none"/>
              </w:rPr>
              <w:t>第三章</w:t>
            </w:r>
          </w:p>
        </w:tc>
        <w:tc>
          <w:tcPr>
            <w:tcW w:w="1899" w:type="dxa"/>
            <w:vAlign w:val="center"/>
          </w:tcPr>
          <w:p w14:paraId="16098894">
            <w:pPr>
              <w:spacing w:line="400" w:lineRule="exact"/>
              <w:jc w:val="center"/>
              <w:rPr>
                <w:rFonts w:ascii="宋体" w:hAnsi="宋体"/>
                <w:color w:val="auto"/>
                <w:szCs w:val="21"/>
                <w:highlight w:val="none"/>
              </w:rPr>
            </w:pPr>
            <w:r>
              <w:rPr>
                <w:rFonts w:hint="eastAsia" w:ascii="宋体" w:hAnsi="宋体"/>
                <w:color w:val="auto"/>
                <w:szCs w:val="21"/>
                <w:highlight w:val="none"/>
              </w:rPr>
              <w:t>技术方案评审</w:t>
            </w:r>
          </w:p>
          <w:p w14:paraId="281D12E8">
            <w:pPr>
              <w:spacing w:line="400" w:lineRule="exact"/>
              <w:jc w:val="center"/>
              <w:rPr>
                <w:rFonts w:ascii="宋体" w:hAnsi="宋体"/>
                <w:color w:val="auto"/>
                <w:szCs w:val="21"/>
                <w:highlight w:val="none"/>
              </w:rPr>
            </w:pPr>
            <w:r>
              <w:rPr>
                <w:rFonts w:hint="eastAsia" w:ascii="宋体" w:hAnsi="宋体"/>
                <w:color w:val="auto"/>
                <w:szCs w:val="21"/>
                <w:highlight w:val="none"/>
              </w:rPr>
              <w:t>（如有）</w:t>
            </w:r>
          </w:p>
        </w:tc>
        <w:tc>
          <w:tcPr>
            <w:tcW w:w="6333" w:type="dxa"/>
            <w:vAlign w:val="center"/>
          </w:tcPr>
          <w:p w14:paraId="2D424FC2">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A-1</w:t>
            </w:r>
            <w:r>
              <w:rPr>
                <w:rFonts w:hint="eastAsia" w:ascii="宋体" w:hAnsi="宋体"/>
                <w:color w:val="auto"/>
                <w:szCs w:val="21"/>
                <w:highlight w:val="none"/>
                <w:lang w:val="en-US" w:eastAsia="zh-CN"/>
              </w:rPr>
              <w:t>/</w:t>
            </w:r>
          </w:p>
        </w:tc>
      </w:tr>
      <w:tr w14:paraId="179CD1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98D8243">
            <w:pPr>
              <w:spacing w:line="400" w:lineRule="exact"/>
              <w:jc w:val="center"/>
              <w:rPr>
                <w:rFonts w:ascii="宋体" w:hAnsi="宋体"/>
                <w:color w:val="auto"/>
                <w:szCs w:val="21"/>
                <w:highlight w:val="none"/>
              </w:rPr>
            </w:pPr>
          </w:p>
        </w:tc>
        <w:tc>
          <w:tcPr>
            <w:tcW w:w="1899" w:type="dxa"/>
            <w:vMerge w:val="restart"/>
            <w:vAlign w:val="center"/>
          </w:tcPr>
          <w:p w14:paraId="32005DBF">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14:paraId="3E6A78C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A-2投标人的资质条件、营业执照及安全生产条件须满足投标人须知前附表第1.4.1项的要求，否则由评标委员会作否决投标处理。</w:t>
            </w:r>
          </w:p>
        </w:tc>
      </w:tr>
      <w:tr w14:paraId="5B8343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E2EC0E4">
            <w:pPr>
              <w:spacing w:line="400" w:lineRule="exact"/>
              <w:jc w:val="center"/>
              <w:rPr>
                <w:rFonts w:ascii="宋体" w:hAnsi="宋体"/>
                <w:color w:val="auto"/>
                <w:szCs w:val="21"/>
                <w:highlight w:val="none"/>
              </w:rPr>
            </w:pPr>
          </w:p>
        </w:tc>
        <w:tc>
          <w:tcPr>
            <w:tcW w:w="1899" w:type="dxa"/>
            <w:vMerge w:val="continue"/>
            <w:vAlign w:val="center"/>
          </w:tcPr>
          <w:p w14:paraId="69051C94">
            <w:pPr>
              <w:spacing w:line="400" w:lineRule="exact"/>
              <w:jc w:val="center"/>
              <w:rPr>
                <w:rFonts w:ascii="宋体" w:hAnsi="宋体"/>
                <w:color w:val="auto"/>
                <w:szCs w:val="21"/>
                <w:highlight w:val="none"/>
              </w:rPr>
            </w:pPr>
          </w:p>
        </w:tc>
        <w:tc>
          <w:tcPr>
            <w:tcW w:w="6333" w:type="dxa"/>
            <w:vAlign w:val="center"/>
          </w:tcPr>
          <w:p w14:paraId="312FC620">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A-3</w:t>
            </w:r>
            <w:r>
              <w:rPr>
                <w:rFonts w:hint="eastAsia" w:ascii="宋体" w:hAnsi="宋体"/>
                <w:color w:val="auto"/>
                <w:szCs w:val="21"/>
                <w:highlight w:val="none"/>
                <w:lang w:val="en-US" w:eastAsia="zh-CN"/>
              </w:rPr>
              <w:t>/</w:t>
            </w:r>
          </w:p>
        </w:tc>
      </w:tr>
      <w:tr w14:paraId="7C458A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4B435081">
            <w:pPr>
              <w:spacing w:line="400" w:lineRule="exact"/>
              <w:jc w:val="center"/>
              <w:rPr>
                <w:rFonts w:ascii="宋体" w:hAnsi="宋体"/>
                <w:color w:val="auto"/>
                <w:szCs w:val="21"/>
                <w:highlight w:val="none"/>
              </w:rPr>
            </w:pPr>
          </w:p>
        </w:tc>
        <w:tc>
          <w:tcPr>
            <w:tcW w:w="1899" w:type="dxa"/>
            <w:vMerge w:val="continue"/>
            <w:vAlign w:val="center"/>
          </w:tcPr>
          <w:p w14:paraId="13964ED5">
            <w:pPr>
              <w:spacing w:line="400" w:lineRule="exact"/>
              <w:jc w:val="center"/>
              <w:rPr>
                <w:rFonts w:ascii="宋体" w:hAnsi="宋体"/>
                <w:color w:val="auto"/>
                <w:szCs w:val="21"/>
                <w:highlight w:val="none"/>
              </w:rPr>
            </w:pPr>
          </w:p>
        </w:tc>
        <w:tc>
          <w:tcPr>
            <w:tcW w:w="6333" w:type="dxa"/>
            <w:vAlign w:val="center"/>
          </w:tcPr>
          <w:p w14:paraId="7B335F1F">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A-4</w:t>
            </w:r>
            <w:r>
              <w:rPr>
                <w:rFonts w:hint="eastAsia" w:ascii="宋体" w:hAnsi="宋体"/>
                <w:color w:val="auto"/>
                <w:szCs w:val="21"/>
                <w:highlight w:val="none"/>
                <w:lang w:val="en-US" w:eastAsia="zh-CN"/>
              </w:rPr>
              <w:t>/</w:t>
            </w:r>
          </w:p>
        </w:tc>
      </w:tr>
      <w:tr w14:paraId="668B12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4D9336FC">
            <w:pPr>
              <w:spacing w:line="400" w:lineRule="exact"/>
              <w:jc w:val="center"/>
              <w:rPr>
                <w:rFonts w:ascii="宋体" w:hAnsi="宋体"/>
                <w:color w:val="auto"/>
                <w:szCs w:val="21"/>
                <w:highlight w:val="none"/>
              </w:rPr>
            </w:pPr>
          </w:p>
        </w:tc>
        <w:tc>
          <w:tcPr>
            <w:tcW w:w="1899" w:type="dxa"/>
            <w:vMerge w:val="continue"/>
            <w:vAlign w:val="center"/>
          </w:tcPr>
          <w:p w14:paraId="21C3F5C5">
            <w:pPr>
              <w:spacing w:line="400" w:lineRule="exact"/>
              <w:jc w:val="center"/>
              <w:rPr>
                <w:rFonts w:ascii="宋体" w:hAnsi="宋体"/>
                <w:color w:val="auto"/>
                <w:szCs w:val="21"/>
                <w:highlight w:val="none"/>
              </w:rPr>
            </w:pPr>
          </w:p>
        </w:tc>
        <w:tc>
          <w:tcPr>
            <w:tcW w:w="6333" w:type="dxa"/>
            <w:vAlign w:val="center"/>
          </w:tcPr>
          <w:p w14:paraId="267C8F8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A-5投标人的投标截止日投标资格情况须满足投标人须知前附表1.4.1项的要求，否则由评标委员会作否决投标处理。</w:t>
            </w:r>
          </w:p>
        </w:tc>
      </w:tr>
      <w:tr w14:paraId="0EFD61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4FD908B">
            <w:pPr>
              <w:spacing w:line="400" w:lineRule="exact"/>
              <w:jc w:val="center"/>
              <w:rPr>
                <w:rFonts w:ascii="宋体" w:hAnsi="宋体"/>
                <w:color w:val="auto"/>
                <w:szCs w:val="21"/>
                <w:highlight w:val="none"/>
              </w:rPr>
            </w:pPr>
          </w:p>
        </w:tc>
        <w:tc>
          <w:tcPr>
            <w:tcW w:w="1899" w:type="dxa"/>
            <w:vMerge w:val="continue"/>
            <w:vAlign w:val="center"/>
          </w:tcPr>
          <w:p w14:paraId="2E810B92">
            <w:pPr>
              <w:spacing w:line="400" w:lineRule="exact"/>
              <w:jc w:val="center"/>
              <w:rPr>
                <w:rFonts w:ascii="宋体" w:hAnsi="宋体"/>
                <w:color w:val="auto"/>
                <w:szCs w:val="21"/>
                <w:highlight w:val="none"/>
              </w:rPr>
            </w:pPr>
          </w:p>
        </w:tc>
        <w:tc>
          <w:tcPr>
            <w:tcW w:w="6333" w:type="dxa"/>
            <w:vAlign w:val="center"/>
          </w:tcPr>
          <w:p w14:paraId="53ADEAE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A-6投标人的项目经理资格须满足投标人须知前附表第1.4.1项的要求，否则由评标委员会作否决投标处理。</w:t>
            </w:r>
          </w:p>
        </w:tc>
      </w:tr>
      <w:tr w14:paraId="2B1F13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494D50CF">
            <w:pPr>
              <w:spacing w:line="400" w:lineRule="exact"/>
              <w:jc w:val="center"/>
              <w:rPr>
                <w:rFonts w:ascii="宋体" w:hAnsi="宋体"/>
                <w:color w:val="auto"/>
                <w:szCs w:val="21"/>
                <w:highlight w:val="none"/>
              </w:rPr>
            </w:pPr>
          </w:p>
        </w:tc>
        <w:tc>
          <w:tcPr>
            <w:tcW w:w="1899" w:type="dxa"/>
            <w:vMerge w:val="continue"/>
            <w:vAlign w:val="center"/>
          </w:tcPr>
          <w:p w14:paraId="0B805661">
            <w:pPr>
              <w:spacing w:line="400" w:lineRule="exact"/>
              <w:jc w:val="center"/>
              <w:rPr>
                <w:rFonts w:ascii="宋体" w:hAnsi="宋体"/>
                <w:color w:val="auto"/>
                <w:szCs w:val="21"/>
                <w:highlight w:val="none"/>
              </w:rPr>
            </w:pPr>
          </w:p>
        </w:tc>
        <w:tc>
          <w:tcPr>
            <w:tcW w:w="6333" w:type="dxa"/>
            <w:vAlign w:val="center"/>
          </w:tcPr>
          <w:p w14:paraId="187DD6B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A-7投标人的其他要求须满足投标人须知前附表第1.4.1项的要求，否则由评标委员会作否决投标处理。</w:t>
            </w:r>
          </w:p>
        </w:tc>
      </w:tr>
      <w:tr w14:paraId="19C62B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6A35B0E8">
            <w:pPr>
              <w:spacing w:line="400" w:lineRule="exact"/>
              <w:jc w:val="center"/>
              <w:rPr>
                <w:rFonts w:ascii="宋体" w:hAnsi="宋体"/>
                <w:color w:val="auto"/>
                <w:szCs w:val="21"/>
                <w:highlight w:val="none"/>
              </w:rPr>
            </w:pPr>
          </w:p>
        </w:tc>
        <w:tc>
          <w:tcPr>
            <w:tcW w:w="1899" w:type="dxa"/>
            <w:vMerge w:val="continue"/>
            <w:vAlign w:val="center"/>
          </w:tcPr>
          <w:p w14:paraId="604FB88D">
            <w:pPr>
              <w:spacing w:line="400" w:lineRule="exact"/>
              <w:jc w:val="center"/>
              <w:rPr>
                <w:rFonts w:ascii="宋体" w:hAnsi="宋体"/>
                <w:color w:val="auto"/>
                <w:szCs w:val="21"/>
                <w:highlight w:val="none"/>
              </w:rPr>
            </w:pPr>
          </w:p>
        </w:tc>
        <w:tc>
          <w:tcPr>
            <w:tcW w:w="6333" w:type="dxa"/>
            <w:vAlign w:val="center"/>
          </w:tcPr>
          <w:p w14:paraId="49EC0B0B">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A-8</w:t>
            </w:r>
            <w:r>
              <w:rPr>
                <w:rFonts w:hint="eastAsia" w:ascii="宋体" w:hAnsi="宋体"/>
                <w:color w:val="auto"/>
                <w:szCs w:val="21"/>
                <w:highlight w:val="none"/>
                <w:lang w:val="en-US" w:eastAsia="zh-CN"/>
              </w:rPr>
              <w:t>/</w:t>
            </w:r>
          </w:p>
        </w:tc>
      </w:tr>
      <w:tr w14:paraId="19903C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685D8B6">
            <w:pPr>
              <w:spacing w:line="400" w:lineRule="exact"/>
              <w:jc w:val="center"/>
              <w:rPr>
                <w:rFonts w:ascii="宋体" w:hAnsi="宋体"/>
                <w:color w:val="auto"/>
                <w:szCs w:val="21"/>
                <w:highlight w:val="none"/>
              </w:rPr>
            </w:pPr>
          </w:p>
        </w:tc>
        <w:tc>
          <w:tcPr>
            <w:tcW w:w="1899" w:type="dxa"/>
            <w:vMerge w:val="restart"/>
            <w:vAlign w:val="center"/>
          </w:tcPr>
          <w:p w14:paraId="2529B0C9">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14:paraId="0C4C7CD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A-9投标人名称必须与营业执照、资质证书、安全生产许可证一致，依法变更名称的应提交相应证明材料，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763EDE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6F52617">
            <w:pPr>
              <w:spacing w:line="400" w:lineRule="exact"/>
              <w:jc w:val="center"/>
              <w:rPr>
                <w:rFonts w:ascii="宋体" w:hAnsi="宋体"/>
                <w:color w:val="auto"/>
                <w:szCs w:val="21"/>
                <w:highlight w:val="none"/>
              </w:rPr>
            </w:pPr>
          </w:p>
        </w:tc>
        <w:tc>
          <w:tcPr>
            <w:tcW w:w="1899" w:type="dxa"/>
            <w:vMerge w:val="continue"/>
            <w:vAlign w:val="center"/>
          </w:tcPr>
          <w:p w14:paraId="0B68DC1C">
            <w:pPr>
              <w:spacing w:line="400" w:lineRule="exact"/>
              <w:jc w:val="center"/>
              <w:rPr>
                <w:rFonts w:ascii="宋体" w:hAnsi="宋体"/>
                <w:color w:val="auto"/>
                <w:szCs w:val="21"/>
                <w:highlight w:val="none"/>
              </w:rPr>
            </w:pPr>
          </w:p>
        </w:tc>
        <w:tc>
          <w:tcPr>
            <w:tcW w:w="6333" w:type="dxa"/>
          </w:tcPr>
          <w:p w14:paraId="1F9228F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A-10投标函格式规定签名、盖章的位置有法定代表人或其委托代理人签名（或盖章）、加盖单位法人章，否则由评标委员会作否决投标处理。</w:t>
            </w:r>
          </w:p>
        </w:tc>
      </w:tr>
      <w:tr w14:paraId="6B89B7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68D78F0">
            <w:pPr>
              <w:spacing w:line="400" w:lineRule="exact"/>
              <w:jc w:val="center"/>
              <w:rPr>
                <w:rFonts w:ascii="宋体" w:hAnsi="宋体"/>
                <w:color w:val="auto"/>
                <w:szCs w:val="21"/>
                <w:highlight w:val="none"/>
              </w:rPr>
            </w:pPr>
          </w:p>
        </w:tc>
        <w:tc>
          <w:tcPr>
            <w:tcW w:w="1899" w:type="dxa"/>
            <w:vMerge w:val="continue"/>
            <w:vAlign w:val="center"/>
          </w:tcPr>
          <w:p w14:paraId="313C726C">
            <w:pPr>
              <w:spacing w:line="400" w:lineRule="exact"/>
              <w:jc w:val="center"/>
              <w:rPr>
                <w:rFonts w:ascii="宋体" w:hAnsi="宋体"/>
                <w:color w:val="auto"/>
                <w:szCs w:val="21"/>
                <w:highlight w:val="none"/>
              </w:rPr>
            </w:pPr>
          </w:p>
        </w:tc>
        <w:tc>
          <w:tcPr>
            <w:tcW w:w="6333" w:type="dxa"/>
          </w:tcPr>
          <w:p w14:paraId="2C8DB48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A-11投标文件格式符合第二章“投标人须知”第3.7款的要求，否则由评标委员会作否决投标处理。</w:t>
            </w:r>
          </w:p>
          <w:p w14:paraId="18D53EA4">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编制投标文件时不得对第八章“投标文件格式”的相应要素作实质性修改，否则由评标委员会作否决投标处理。</w:t>
            </w:r>
          </w:p>
        </w:tc>
      </w:tr>
      <w:tr w14:paraId="2211DE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1B942F3">
            <w:pPr>
              <w:spacing w:line="400" w:lineRule="exact"/>
              <w:jc w:val="center"/>
              <w:rPr>
                <w:rFonts w:ascii="宋体" w:hAnsi="宋体"/>
                <w:color w:val="auto"/>
                <w:szCs w:val="21"/>
                <w:highlight w:val="none"/>
              </w:rPr>
            </w:pPr>
          </w:p>
        </w:tc>
        <w:tc>
          <w:tcPr>
            <w:tcW w:w="1899" w:type="dxa"/>
            <w:vMerge w:val="continue"/>
            <w:vAlign w:val="center"/>
          </w:tcPr>
          <w:p w14:paraId="293E4D01">
            <w:pPr>
              <w:spacing w:line="400" w:lineRule="exact"/>
              <w:jc w:val="center"/>
              <w:rPr>
                <w:rFonts w:ascii="宋体" w:hAnsi="宋体"/>
                <w:color w:val="auto"/>
                <w:szCs w:val="21"/>
                <w:highlight w:val="none"/>
              </w:rPr>
            </w:pPr>
          </w:p>
        </w:tc>
        <w:tc>
          <w:tcPr>
            <w:tcW w:w="6333" w:type="dxa"/>
          </w:tcPr>
          <w:p w14:paraId="76FF26F2">
            <w:pPr>
              <w:autoSpaceDE w:val="0"/>
              <w:autoSpaceDN w:val="0"/>
              <w:adjustRightInd w:val="0"/>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A-12投标文件份数符合第二章“投标人须知”第3.7.4项的规定，</w:t>
            </w:r>
            <w:r>
              <w:rPr>
                <w:rFonts w:hint="eastAsia" w:ascii="宋体" w:hAnsi="宋体"/>
                <w:color w:val="auto"/>
                <w:kern w:val="0"/>
                <w:szCs w:val="21"/>
                <w:highlight w:val="none"/>
              </w:rPr>
              <w:t>否则由评标委员会作否决投标处理。</w:t>
            </w:r>
          </w:p>
        </w:tc>
      </w:tr>
      <w:tr w14:paraId="4BD496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5A089A2">
            <w:pPr>
              <w:spacing w:line="400" w:lineRule="exact"/>
              <w:jc w:val="center"/>
              <w:rPr>
                <w:rFonts w:ascii="宋体" w:hAnsi="宋体"/>
                <w:color w:val="auto"/>
                <w:szCs w:val="21"/>
                <w:highlight w:val="none"/>
              </w:rPr>
            </w:pPr>
          </w:p>
        </w:tc>
        <w:tc>
          <w:tcPr>
            <w:tcW w:w="1899" w:type="dxa"/>
            <w:vMerge w:val="continue"/>
            <w:vAlign w:val="center"/>
          </w:tcPr>
          <w:p w14:paraId="1CDA5D82">
            <w:pPr>
              <w:spacing w:line="400" w:lineRule="exact"/>
              <w:jc w:val="center"/>
              <w:rPr>
                <w:rFonts w:ascii="宋体" w:hAnsi="宋体"/>
                <w:color w:val="auto"/>
                <w:szCs w:val="21"/>
                <w:highlight w:val="none"/>
              </w:rPr>
            </w:pPr>
          </w:p>
        </w:tc>
        <w:tc>
          <w:tcPr>
            <w:tcW w:w="6333" w:type="dxa"/>
          </w:tcPr>
          <w:p w14:paraId="038047B2">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A-13</w:t>
            </w:r>
            <w:r>
              <w:rPr>
                <w:rFonts w:hint="eastAsia" w:ascii="宋体" w:hAnsi="宋体"/>
                <w:color w:val="auto"/>
                <w:szCs w:val="21"/>
                <w:highlight w:val="none"/>
                <w:lang w:val="en-US" w:eastAsia="zh-CN"/>
              </w:rPr>
              <w:t>/</w:t>
            </w:r>
          </w:p>
        </w:tc>
      </w:tr>
      <w:tr w14:paraId="245CB7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D383A7D">
            <w:pPr>
              <w:spacing w:line="400" w:lineRule="exact"/>
              <w:jc w:val="center"/>
              <w:rPr>
                <w:rFonts w:ascii="宋体" w:hAnsi="宋体"/>
                <w:color w:val="auto"/>
                <w:szCs w:val="21"/>
                <w:highlight w:val="none"/>
              </w:rPr>
            </w:pPr>
          </w:p>
        </w:tc>
        <w:tc>
          <w:tcPr>
            <w:tcW w:w="1899" w:type="dxa"/>
            <w:vMerge w:val="continue"/>
            <w:vAlign w:val="center"/>
          </w:tcPr>
          <w:p w14:paraId="172E6E6C">
            <w:pPr>
              <w:spacing w:line="400" w:lineRule="exact"/>
              <w:jc w:val="center"/>
              <w:rPr>
                <w:rFonts w:ascii="宋体" w:hAnsi="宋体"/>
                <w:color w:val="auto"/>
                <w:szCs w:val="21"/>
                <w:highlight w:val="none"/>
              </w:rPr>
            </w:pPr>
          </w:p>
        </w:tc>
        <w:tc>
          <w:tcPr>
            <w:tcW w:w="6333" w:type="dxa"/>
          </w:tcPr>
          <w:p w14:paraId="2E6AFF0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A-14只能有一个有效报价。在招标文件没有规定的情况下，不得提交选择性报价，否则由评标委员会作否决投标处理。</w:t>
            </w:r>
          </w:p>
        </w:tc>
      </w:tr>
      <w:tr w14:paraId="680288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1C0A7AE">
            <w:pPr>
              <w:spacing w:line="400" w:lineRule="exact"/>
              <w:jc w:val="center"/>
              <w:rPr>
                <w:rFonts w:ascii="宋体" w:hAnsi="宋体"/>
                <w:color w:val="auto"/>
                <w:szCs w:val="21"/>
                <w:highlight w:val="none"/>
              </w:rPr>
            </w:pPr>
          </w:p>
        </w:tc>
        <w:tc>
          <w:tcPr>
            <w:tcW w:w="1899" w:type="dxa"/>
            <w:vMerge w:val="continue"/>
            <w:vAlign w:val="center"/>
          </w:tcPr>
          <w:p w14:paraId="663A374E">
            <w:pPr>
              <w:spacing w:line="400" w:lineRule="exact"/>
              <w:jc w:val="center"/>
              <w:rPr>
                <w:rFonts w:ascii="宋体" w:hAnsi="宋体"/>
                <w:color w:val="auto"/>
                <w:szCs w:val="21"/>
                <w:highlight w:val="none"/>
              </w:rPr>
            </w:pPr>
          </w:p>
        </w:tc>
        <w:tc>
          <w:tcPr>
            <w:tcW w:w="6333" w:type="dxa"/>
          </w:tcPr>
          <w:p w14:paraId="57F85B20">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A-15</w:t>
            </w:r>
            <w:r>
              <w:rPr>
                <w:rFonts w:hint="eastAsia" w:ascii="宋体" w:hAnsi="宋体" w:cs="宋体"/>
                <w:color w:val="auto"/>
                <w:kern w:val="0"/>
                <w:highlight w:val="none"/>
              </w:rPr>
              <w:t>第八章 投标文件格式要求法定代表人或其委托代理人签名（或盖章）的须齐全。</w:t>
            </w:r>
          </w:p>
        </w:tc>
      </w:tr>
      <w:tr w14:paraId="7DF1F6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AF77F62">
            <w:pPr>
              <w:spacing w:line="400" w:lineRule="exact"/>
              <w:jc w:val="center"/>
              <w:rPr>
                <w:rFonts w:ascii="宋体" w:hAnsi="宋体"/>
                <w:color w:val="auto"/>
                <w:szCs w:val="21"/>
                <w:highlight w:val="none"/>
              </w:rPr>
            </w:pPr>
          </w:p>
        </w:tc>
        <w:tc>
          <w:tcPr>
            <w:tcW w:w="1899" w:type="dxa"/>
            <w:vMerge w:val="continue"/>
            <w:vAlign w:val="center"/>
          </w:tcPr>
          <w:p w14:paraId="0174CF76">
            <w:pPr>
              <w:spacing w:line="400" w:lineRule="exact"/>
              <w:jc w:val="center"/>
              <w:rPr>
                <w:rFonts w:ascii="宋体" w:hAnsi="宋体"/>
                <w:color w:val="auto"/>
                <w:szCs w:val="21"/>
                <w:highlight w:val="none"/>
              </w:rPr>
            </w:pPr>
          </w:p>
        </w:tc>
        <w:tc>
          <w:tcPr>
            <w:tcW w:w="6333" w:type="dxa"/>
          </w:tcPr>
          <w:p w14:paraId="7599B80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A-16投标人法定代表人的委托代理人有法定代表人签署的授权委托书和投标人为其缴纳的养老保险证明材料，否则由评标委员会作否决投标处理。</w:t>
            </w:r>
          </w:p>
        </w:tc>
      </w:tr>
      <w:tr w14:paraId="249A16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B18452F">
            <w:pPr>
              <w:spacing w:line="400" w:lineRule="exact"/>
              <w:jc w:val="center"/>
              <w:rPr>
                <w:rFonts w:ascii="宋体" w:hAnsi="宋体"/>
                <w:color w:val="auto"/>
                <w:szCs w:val="21"/>
                <w:highlight w:val="none"/>
              </w:rPr>
            </w:pPr>
          </w:p>
        </w:tc>
        <w:tc>
          <w:tcPr>
            <w:tcW w:w="1899" w:type="dxa"/>
            <w:vMerge w:val="restart"/>
            <w:vAlign w:val="center"/>
          </w:tcPr>
          <w:p w14:paraId="455EE09B">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14:paraId="73BD04C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A-17</w:t>
            </w:r>
            <w:r>
              <w:rPr>
                <w:rFonts w:hint="eastAsia" w:ascii="宋体" w:hAnsi="宋体" w:cs="宋体"/>
                <w:color w:val="auto"/>
                <w:szCs w:val="21"/>
                <w:highlight w:val="none"/>
              </w:rPr>
              <w:t>投标总报价必须与已标价工程量清单总报价一致</w:t>
            </w:r>
            <w:r>
              <w:rPr>
                <w:rFonts w:hint="eastAsia" w:ascii="宋体" w:hAnsi="宋体"/>
                <w:color w:val="auto"/>
                <w:szCs w:val="21"/>
                <w:highlight w:val="none"/>
              </w:rPr>
              <w:t>，否则由评标委员会作否决投标处理。</w:t>
            </w:r>
          </w:p>
        </w:tc>
      </w:tr>
      <w:tr w14:paraId="50C9AC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075D640">
            <w:pPr>
              <w:spacing w:line="400" w:lineRule="exact"/>
              <w:jc w:val="center"/>
              <w:rPr>
                <w:rFonts w:ascii="宋体" w:hAnsi="宋体"/>
                <w:color w:val="auto"/>
                <w:szCs w:val="21"/>
                <w:highlight w:val="none"/>
              </w:rPr>
            </w:pPr>
          </w:p>
        </w:tc>
        <w:tc>
          <w:tcPr>
            <w:tcW w:w="1899" w:type="dxa"/>
            <w:vMerge w:val="continue"/>
            <w:vAlign w:val="center"/>
          </w:tcPr>
          <w:p w14:paraId="17C53ED3">
            <w:pPr>
              <w:spacing w:line="400" w:lineRule="exact"/>
              <w:jc w:val="center"/>
              <w:rPr>
                <w:rFonts w:ascii="宋体" w:hAnsi="宋体"/>
                <w:color w:val="auto"/>
                <w:szCs w:val="21"/>
                <w:highlight w:val="none"/>
              </w:rPr>
            </w:pPr>
          </w:p>
        </w:tc>
        <w:tc>
          <w:tcPr>
            <w:tcW w:w="6333" w:type="dxa"/>
            <w:vAlign w:val="center"/>
          </w:tcPr>
          <w:p w14:paraId="151437C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A-18投标总报价不得高于招标人公布的投标总报价最高限价，否则由评标委员会作否决投标处理。</w:t>
            </w:r>
          </w:p>
        </w:tc>
      </w:tr>
      <w:tr w14:paraId="6E3484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5411684">
            <w:pPr>
              <w:spacing w:line="400" w:lineRule="exact"/>
              <w:jc w:val="center"/>
              <w:rPr>
                <w:rFonts w:ascii="宋体" w:hAnsi="宋体"/>
                <w:color w:val="auto"/>
                <w:szCs w:val="21"/>
                <w:highlight w:val="none"/>
              </w:rPr>
            </w:pPr>
          </w:p>
        </w:tc>
        <w:tc>
          <w:tcPr>
            <w:tcW w:w="1899" w:type="dxa"/>
            <w:vMerge w:val="continue"/>
            <w:vAlign w:val="center"/>
          </w:tcPr>
          <w:p w14:paraId="1C83B672">
            <w:pPr>
              <w:spacing w:line="400" w:lineRule="exact"/>
              <w:jc w:val="center"/>
              <w:rPr>
                <w:rFonts w:ascii="宋体" w:hAnsi="宋体"/>
                <w:color w:val="auto"/>
                <w:szCs w:val="21"/>
                <w:highlight w:val="none"/>
              </w:rPr>
            </w:pPr>
          </w:p>
        </w:tc>
        <w:tc>
          <w:tcPr>
            <w:tcW w:w="6333" w:type="dxa"/>
            <w:vAlign w:val="center"/>
          </w:tcPr>
          <w:p w14:paraId="20F3798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A-19投标总报价低于最高限价85%的，投标人应在编制投标文件时，在投标函部分中递交低价风险担保提交承诺书。承诺书格式详见第八章投标文件格式，否则由评标委员会作否决投标处理。</w:t>
            </w:r>
          </w:p>
        </w:tc>
      </w:tr>
      <w:tr w14:paraId="6B26C9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3B4319E">
            <w:pPr>
              <w:spacing w:line="400" w:lineRule="exact"/>
              <w:jc w:val="center"/>
              <w:rPr>
                <w:rFonts w:ascii="宋体" w:hAnsi="宋体"/>
                <w:color w:val="auto"/>
                <w:szCs w:val="21"/>
                <w:highlight w:val="none"/>
              </w:rPr>
            </w:pPr>
          </w:p>
        </w:tc>
        <w:tc>
          <w:tcPr>
            <w:tcW w:w="1899" w:type="dxa"/>
            <w:vMerge w:val="continue"/>
            <w:vAlign w:val="center"/>
          </w:tcPr>
          <w:p w14:paraId="7B15D25B">
            <w:pPr>
              <w:spacing w:line="400" w:lineRule="exact"/>
              <w:jc w:val="center"/>
              <w:rPr>
                <w:rFonts w:ascii="宋体" w:hAnsi="宋体"/>
                <w:color w:val="auto"/>
                <w:szCs w:val="21"/>
                <w:highlight w:val="none"/>
              </w:rPr>
            </w:pPr>
          </w:p>
        </w:tc>
        <w:tc>
          <w:tcPr>
            <w:tcW w:w="6333" w:type="dxa"/>
            <w:vAlign w:val="center"/>
          </w:tcPr>
          <w:p w14:paraId="1F2445C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A-20暂列金额、暂估价、安全文明施工费等暂定金额必须按照招标文件给定的金额填报，否则由评标委员会作否决投标处理。</w:t>
            </w:r>
          </w:p>
        </w:tc>
      </w:tr>
      <w:tr w14:paraId="661C10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75D792A">
            <w:pPr>
              <w:spacing w:line="400" w:lineRule="exact"/>
              <w:jc w:val="center"/>
              <w:rPr>
                <w:rFonts w:ascii="宋体" w:hAnsi="宋体"/>
                <w:color w:val="auto"/>
                <w:szCs w:val="21"/>
                <w:highlight w:val="none"/>
              </w:rPr>
            </w:pPr>
          </w:p>
        </w:tc>
        <w:tc>
          <w:tcPr>
            <w:tcW w:w="1899" w:type="dxa"/>
            <w:vMerge w:val="continue"/>
            <w:vAlign w:val="center"/>
          </w:tcPr>
          <w:p w14:paraId="031D7064">
            <w:pPr>
              <w:spacing w:line="400" w:lineRule="exact"/>
              <w:jc w:val="center"/>
              <w:rPr>
                <w:rFonts w:ascii="宋体" w:hAnsi="宋体"/>
                <w:color w:val="auto"/>
                <w:szCs w:val="21"/>
                <w:highlight w:val="none"/>
              </w:rPr>
            </w:pPr>
          </w:p>
        </w:tc>
        <w:tc>
          <w:tcPr>
            <w:tcW w:w="6333" w:type="dxa"/>
            <w:vAlign w:val="center"/>
          </w:tcPr>
          <w:p w14:paraId="05FB35F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A-21投标内容符合第二章“投标人须知”第1.3.1项规定，否则由评标委员会作否决投标处理。</w:t>
            </w:r>
          </w:p>
        </w:tc>
      </w:tr>
      <w:tr w14:paraId="244D31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84FDA9E">
            <w:pPr>
              <w:spacing w:line="400" w:lineRule="exact"/>
              <w:jc w:val="center"/>
              <w:rPr>
                <w:rFonts w:ascii="宋体" w:hAnsi="宋体"/>
                <w:color w:val="auto"/>
                <w:szCs w:val="21"/>
                <w:highlight w:val="none"/>
              </w:rPr>
            </w:pPr>
          </w:p>
        </w:tc>
        <w:tc>
          <w:tcPr>
            <w:tcW w:w="1899" w:type="dxa"/>
            <w:vMerge w:val="continue"/>
            <w:vAlign w:val="center"/>
          </w:tcPr>
          <w:p w14:paraId="639C0EA4">
            <w:pPr>
              <w:spacing w:line="400" w:lineRule="exact"/>
              <w:jc w:val="center"/>
              <w:rPr>
                <w:rFonts w:ascii="宋体" w:hAnsi="宋体"/>
                <w:color w:val="auto"/>
                <w:szCs w:val="21"/>
                <w:highlight w:val="none"/>
              </w:rPr>
            </w:pPr>
          </w:p>
        </w:tc>
        <w:tc>
          <w:tcPr>
            <w:tcW w:w="6333" w:type="dxa"/>
            <w:vAlign w:val="center"/>
          </w:tcPr>
          <w:p w14:paraId="0D8B1B6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A-22工期符合第二章“投标人须知”第1.3.2项规定，否则由评标委员会作否决投标处理。</w:t>
            </w:r>
          </w:p>
        </w:tc>
      </w:tr>
      <w:tr w14:paraId="2C50D5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5B901A9">
            <w:pPr>
              <w:spacing w:line="400" w:lineRule="exact"/>
              <w:jc w:val="center"/>
              <w:rPr>
                <w:rFonts w:ascii="宋体" w:hAnsi="宋体"/>
                <w:color w:val="auto"/>
                <w:szCs w:val="21"/>
                <w:highlight w:val="none"/>
              </w:rPr>
            </w:pPr>
          </w:p>
        </w:tc>
        <w:tc>
          <w:tcPr>
            <w:tcW w:w="1899" w:type="dxa"/>
            <w:vMerge w:val="continue"/>
            <w:vAlign w:val="center"/>
          </w:tcPr>
          <w:p w14:paraId="4340197C">
            <w:pPr>
              <w:spacing w:line="400" w:lineRule="exact"/>
              <w:jc w:val="center"/>
              <w:rPr>
                <w:rFonts w:ascii="宋体" w:hAnsi="宋体"/>
                <w:color w:val="auto"/>
                <w:szCs w:val="21"/>
                <w:highlight w:val="none"/>
              </w:rPr>
            </w:pPr>
          </w:p>
        </w:tc>
        <w:tc>
          <w:tcPr>
            <w:tcW w:w="6333" w:type="dxa"/>
            <w:vAlign w:val="center"/>
          </w:tcPr>
          <w:p w14:paraId="166D3F2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A-23工程质量符合第二章“投标人须知”第1.3.3项规定，否则由评标委员会作否决投标处理。</w:t>
            </w:r>
          </w:p>
        </w:tc>
      </w:tr>
      <w:tr w14:paraId="4B1C45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61F6B27">
            <w:pPr>
              <w:spacing w:line="400" w:lineRule="exact"/>
              <w:jc w:val="center"/>
              <w:rPr>
                <w:rFonts w:ascii="宋体" w:hAnsi="宋体"/>
                <w:color w:val="auto"/>
                <w:szCs w:val="21"/>
                <w:highlight w:val="none"/>
              </w:rPr>
            </w:pPr>
          </w:p>
        </w:tc>
        <w:tc>
          <w:tcPr>
            <w:tcW w:w="1899" w:type="dxa"/>
            <w:vMerge w:val="continue"/>
            <w:vAlign w:val="center"/>
          </w:tcPr>
          <w:p w14:paraId="00D98E27">
            <w:pPr>
              <w:spacing w:line="400" w:lineRule="exact"/>
              <w:jc w:val="center"/>
              <w:rPr>
                <w:rFonts w:ascii="宋体" w:hAnsi="宋体"/>
                <w:color w:val="auto"/>
                <w:szCs w:val="21"/>
                <w:highlight w:val="none"/>
              </w:rPr>
            </w:pPr>
          </w:p>
        </w:tc>
        <w:tc>
          <w:tcPr>
            <w:tcW w:w="6333" w:type="dxa"/>
            <w:vAlign w:val="center"/>
          </w:tcPr>
          <w:p w14:paraId="5E9C59C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A-24投标有效期符合第二章“投标人须知”第3.3.1项规定，否则由评标委员会作否决投标处理。</w:t>
            </w:r>
          </w:p>
        </w:tc>
      </w:tr>
      <w:tr w14:paraId="44AB1C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020E31F">
            <w:pPr>
              <w:spacing w:line="400" w:lineRule="exact"/>
              <w:jc w:val="center"/>
              <w:rPr>
                <w:rFonts w:ascii="宋体" w:hAnsi="宋体"/>
                <w:color w:val="auto"/>
                <w:szCs w:val="21"/>
                <w:highlight w:val="none"/>
              </w:rPr>
            </w:pPr>
          </w:p>
        </w:tc>
        <w:tc>
          <w:tcPr>
            <w:tcW w:w="1899" w:type="dxa"/>
            <w:vMerge w:val="continue"/>
            <w:vAlign w:val="center"/>
          </w:tcPr>
          <w:p w14:paraId="546D783F">
            <w:pPr>
              <w:spacing w:line="400" w:lineRule="exact"/>
              <w:jc w:val="center"/>
              <w:rPr>
                <w:rFonts w:ascii="宋体" w:hAnsi="宋体"/>
                <w:color w:val="auto"/>
                <w:szCs w:val="21"/>
                <w:highlight w:val="none"/>
              </w:rPr>
            </w:pPr>
          </w:p>
        </w:tc>
        <w:tc>
          <w:tcPr>
            <w:tcW w:w="6333" w:type="dxa"/>
            <w:vAlign w:val="center"/>
          </w:tcPr>
          <w:p w14:paraId="7FEDA35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A-25</w:t>
            </w:r>
            <w:r>
              <w:rPr>
                <w:rFonts w:ascii="宋体" w:hAnsi="宋体"/>
                <w:color w:val="auto"/>
                <w:szCs w:val="21"/>
                <w:highlight w:val="none"/>
              </w:rPr>
              <w:t>投标人应按投标人须知前附表</w:t>
            </w:r>
            <w:r>
              <w:rPr>
                <w:rFonts w:hint="eastAsia" w:ascii="宋体" w:hAnsi="宋体"/>
                <w:color w:val="auto"/>
                <w:szCs w:val="21"/>
                <w:highlight w:val="none"/>
              </w:rPr>
              <w:t>第3.4款的</w:t>
            </w:r>
            <w:r>
              <w:rPr>
                <w:rFonts w:ascii="宋体" w:hAnsi="宋体"/>
                <w:color w:val="auto"/>
                <w:szCs w:val="21"/>
                <w:highlight w:val="none"/>
              </w:rPr>
              <w:t>规定递交投标保证金，并作为其投标文件的组成部分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7391A0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6C17C5B">
            <w:pPr>
              <w:spacing w:line="400" w:lineRule="exact"/>
              <w:jc w:val="center"/>
              <w:rPr>
                <w:rFonts w:ascii="宋体" w:hAnsi="宋体"/>
                <w:color w:val="auto"/>
                <w:szCs w:val="21"/>
                <w:highlight w:val="none"/>
              </w:rPr>
            </w:pPr>
          </w:p>
        </w:tc>
        <w:tc>
          <w:tcPr>
            <w:tcW w:w="1899" w:type="dxa"/>
            <w:vMerge w:val="continue"/>
            <w:vAlign w:val="center"/>
          </w:tcPr>
          <w:p w14:paraId="0808670C">
            <w:pPr>
              <w:spacing w:line="400" w:lineRule="exact"/>
              <w:jc w:val="center"/>
              <w:rPr>
                <w:rFonts w:ascii="宋体" w:hAnsi="宋体"/>
                <w:color w:val="auto"/>
                <w:szCs w:val="21"/>
                <w:highlight w:val="none"/>
              </w:rPr>
            </w:pPr>
          </w:p>
        </w:tc>
        <w:tc>
          <w:tcPr>
            <w:tcW w:w="6333" w:type="dxa"/>
            <w:vAlign w:val="center"/>
          </w:tcPr>
          <w:p w14:paraId="0C68759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A-26符合第四章“合同条款及格式”规定，投标文件不应附有招标人不能接受的条件，否则由评标委员会作否决投标处理。（由投标人承诺，承诺书格式详见第八章投标文件格式。）</w:t>
            </w:r>
          </w:p>
        </w:tc>
      </w:tr>
      <w:tr w14:paraId="7BC237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017FB60">
            <w:pPr>
              <w:spacing w:line="400" w:lineRule="exact"/>
              <w:jc w:val="center"/>
              <w:rPr>
                <w:rFonts w:ascii="宋体" w:hAnsi="宋体"/>
                <w:color w:val="auto"/>
                <w:szCs w:val="21"/>
                <w:highlight w:val="none"/>
              </w:rPr>
            </w:pPr>
          </w:p>
        </w:tc>
        <w:tc>
          <w:tcPr>
            <w:tcW w:w="1899" w:type="dxa"/>
            <w:vMerge w:val="continue"/>
            <w:vAlign w:val="center"/>
          </w:tcPr>
          <w:p w14:paraId="782563E5">
            <w:pPr>
              <w:spacing w:line="400" w:lineRule="exact"/>
              <w:jc w:val="center"/>
              <w:rPr>
                <w:rFonts w:ascii="宋体" w:hAnsi="宋体"/>
                <w:color w:val="auto"/>
                <w:szCs w:val="21"/>
                <w:highlight w:val="none"/>
              </w:rPr>
            </w:pPr>
          </w:p>
        </w:tc>
        <w:tc>
          <w:tcPr>
            <w:tcW w:w="6333" w:type="dxa"/>
            <w:vAlign w:val="center"/>
          </w:tcPr>
          <w:p w14:paraId="44F456A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A-27符合第七章“技术标准和要求”规定。否则由评标委员会作否决投标处理（如有）。（由投标人承诺，承诺书格式详见第八章投标文件格式。）</w:t>
            </w:r>
          </w:p>
        </w:tc>
      </w:tr>
      <w:tr w14:paraId="71615C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51DD8B2">
            <w:pPr>
              <w:spacing w:line="400" w:lineRule="exact"/>
              <w:jc w:val="center"/>
              <w:rPr>
                <w:rFonts w:ascii="宋体" w:hAnsi="宋体"/>
                <w:color w:val="auto"/>
                <w:szCs w:val="21"/>
                <w:highlight w:val="none"/>
              </w:rPr>
            </w:pPr>
          </w:p>
        </w:tc>
        <w:tc>
          <w:tcPr>
            <w:tcW w:w="1899" w:type="dxa"/>
            <w:vMerge w:val="continue"/>
            <w:vAlign w:val="center"/>
          </w:tcPr>
          <w:p w14:paraId="79B85FD6">
            <w:pPr>
              <w:spacing w:line="400" w:lineRule="exact"/>
              <w:jc w:val="center"/>
              <w:rPr>
                <w:rFonts w:ascii="宋体" w:hAnsi="宋体"/>
                <w:color w:val="auto"/>
                <w:szCs w:val="21"/>
                <w:highlight w:val="none"/>
              </w:rPr>
            </w:pPr>
          </w:p>
        </w:tc>
        <w:tc>
          <w:tcPr>
            <w:tcW w:w="6333" w:type="dxa"/>
            <w:vAlign w:val="center"/>
          </w:tcPr>
          <w:p w14:paraId="0D6FF83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A-28投标人提供的关于已标价工程量清单的承诺符合招标文件的要求，</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3B3BC2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336A3C0">
            <w:pPr>
              <w:spacing w:line="400" w:lineRule="exact"/>
              <w:jc w:val="center"/>
              <w:rPr>
                <w:rFonts w:ascii="宋体" w:hAnsi="宋体"/>
                <w:color w:val="auto"/>
                <w:szCs w:val="21"/>
                <w:highlight w:val="none"/>
              </w:rPr>
            </w:pPr>
          </w:p>
        </w:tc>
        <w:tc>
          <w:tcPr>
            <w:tcW w:w="1899" w:type="dxa"/>
            <w:vMerge w:val="continue"/>
            <w:vAlign w:val="center"/>
          </w:tcPr>
          <w:p w14:paraId="4D9B5667">
            <w:pPr>
              <w:spacing w:line="400" w:lineRule="exact"/>
              <w:jc w:val="center"/>
              <w:rPr>
                <w:rFonts w:ascii="宋体" w:hAnsi="宋体"/>
                <w:color w:val="auto"/>
                <w:szCs w:val="21"/>
                <w:highlight w:val="none"/>
              </w:rPr>
            </w:pPr>
          </w:p>
        </w:tc>
        <w:tc>
          <w:tcPr>
            <w:tcW w:w="6333" w:type="dxa"/>
            <w:vAlign w:val="center"/>
          </w:tcPr>
          <w:p w14:paraId="6358DD6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A-29投标报价有算术错误的，按照第三章“评标办法”第3.2.3项规定执行，否则由评标委员会作否决投标处理。</w:t>
            </w:r>
          </w:p>
        </w:tc>
      </w:tr>
      <w:tr w14:paraId="195F4B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599FED9">
            <w:pPr>
              <w:spacing w:line="400" w:lineRule="exact"/>
              <w:jc w:val="center"/>
              <w:rPr>
                <w:rFonts w:ascii="宋体" w:hAnsi="宋体"/>
                <w:color w:val="auto"/>
                <w:szCs w:val="21"/>
                <w:highlight w:val="none"/>
              </w:rPr>
            </w:pPr>
          </w:p>
        </w:tc>
        <w:tc>
          <w:tcPr>
            <w:tcW w:w="1899" w:type="dxa"/>
            <w:vMerge w:val="continue"/>
            <w:vAlign w:val="center"/>
          </w:tcPr>
          <w:p w14:paraId="57F471FE">
            <w:pPr>
              <w:spacing w:line="400" w:lineRule="exact"/>
              <w:jc w:val="center"/>
              <w:rPr>
                <w:rFonts w:ascii="宋体" w:hAnsi="宋体"/>
                <w:color w:val="auto"/>
                <w:szCs w:val="21"/>
                <w:highlight w:val="none"/>
              </w:rPr>
            </w:pPr>
          </w:p>
        </w:tc>
        <w:tc>
          <w:tcPr>
            <w:tcW w:w="6333" w:type="dxa"/>
            <w:vAlign w:val="center"/>
          </w:tcPr>
          <w:p w14:paraId="29C1F2A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A-30投标人有以下情形之一的，其投标文件由评标委员会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14:paraId="53A721E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1.第二章“投标人须知”第1.4.3项规定的任何一种情形的；</w:t>
            </w:r>
          </w:p>
          <w:p w14:paraId="3F82D59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14:paraId="6AC012F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3.拒绝按评标委员会要求澄清、说明或补正的。</w:t>
            </w:r>
          </w:p>
        </w:tc>
      </w:tr>
      <w:tr w14:paraId="3792AA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5886F6AC">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vAlign w:val="center"/>
          </w:tcPr>
          <w:p w14:paraId="799E9A1F">
            <w:pPr>
              <w:spacing w:line="400" w:lineRule="exact"/>
              <w:jc w:val="center"/>
              <w:rPr>
                <w:rFonts w:ascii="宋体" w:hAnsi="宋体"/>
                <w:color w:val="auto"/>
                <w:szCs w:val="21"/>
                <w:highlight w:val="none"/>
              </w:rPr>
            </w:pPr>
          </w:p>
        </w:tc>
        <w:tc>
          <w:tcPr>
            <w:tcW w:w="6333" w:type="dxa"/>
          </w:tcPr>
          <w:p w14:paraId="4C1FB9EA">
            <w:pPr>
              <w:spacing w:line="400" w:lineRule="exact"/>
              <w:ind w:firstLine="420" w:firstLineChars="200"/>
              <w:rPr>
                <w:rFonts w:hint="eastAsia" w:ascii="宋体" w:hAnsi="宋体" w:eastAsia="宋体"/>
                <w:i/>
                <w:color w:val="auto"/>
                <w:szCs w:val="21"/>
                <w:highlight w:val="none"/>
                <w:lang w:eastAsia="zh-CN"/>
              </w:rPr>
            </w:pPr>
            <w:r>
              <w:rPr>
                <w:rFonts w:hint="eastAsia" w:ascii="宋体" w:hAnsi="宋体"/>
                <w:i/>
                <w:color w:val="auto"/>
                <w:szCs w:val="21"/>
                <w:highlight w:val="none"/>
                <w:lang w:val="en-US" w:eastAsia="zh-CN"/>
              </w:rPr>
              <w:t>/</w:t>
            </w:r>
          </w:p>
        </w:tc>
      </w:tr>
    </w:tbl>
    <w:p w14:paraId="11A6683E">
      <w:pPr>
        <w:pStyle w:val="33"/>
        <w:spacing w:line="360" w:lineRule="auto"/>
        <w:jc w:val="both"/>
        <w:rPr>
          <w:rFonts w:ascii="宋体" w:hAnsi="宋体"/>
          <w:color w:val="auto"/>
          <w:sz w:val="21"/>
          <w:szCs w:val="21"/>
          <w:highlight w:val="none"/>
          <w:u w:val="none"/>
          <w:lang w:eastAsia="zh-CN"/>
        </w:rPr>
      </w:pPr>
    </w:p>
    <w:p w14:paraId="25C65A6F">
      <w:pPr>
        <w:spacing w:line="200" w:lineRule="exact"/>
        <w:rPr>
          <w:rFonts w:ascii="宋体" w:hAnsi="宋体"/>
          <w:color w:val="auto"/>
          <w:kern w:val="0"/>
          <w:highlight w:val="none"/>
        </w:rPr>
      </w:pPr>
      <w:r>
        <w:rPr>
          <w:rFonts w:ascii="宋体" w:hAnsi="宋体"/>
          <w:snapToGrid w:val="0"/>
          <w:color w:val="auto"/>
          <w:kern w:val="0"/>
          <w:highlight w:val="none"/>
        </w:rPr>
        <w:br w:type="page"/>
      </w:r>
      <w:bookmarkStart w:id="566" w:name="招标文件03章02评标办法综合评估法"/>
      <w:bookmarkEnd w:id="566"/>
      <w:bookmarkStart w:id="567" w:name="招标文件03章02评标办法综合评估法00"/>
      <w:bookmarkEnd w:id="567"/>
      <w:bookmarkStart w:id="568" w:name="_Toc277082618"/>
      <w:bookmarkStart w:id="569" w:name="_Toc224103384"/>
      <w:bookmarkStart w:id="570" w:name="_Toc287620751"/>
      <w:bookmarkStart w:id="571" w:name="_Toc430530500"/>
      <w:bookmarkStart w:id="572" w:name="_Toc200513198"/>
      <w:bookmarkStart w:id="573" w:name="_Toc287607812"/>
    </w:p>
    <w:bookmarkEnd w:id="568"/>
    <w:bookmarkEnd w:id="569"/>
    <w:bookmarkEnd w:id="570"/>
    <w:bookmarkEnd w:id="571"/>
    <w:bookmarkEnd w:id="572"/>
    <w:bookmarkEnd w:id="573"/>
    <w:p w14:paraId="04F3DFCD">
      <w:pPr>
        <w:pStyle w:val="3"/>
        <w:spacing w:line="360" w:lineRule="auto"/>
        <w:jc w:val="center"/>
        <w:rPr>
          <w:rFonts w:ascii="宋体" w:hAnsi="宋体"/>
          <w:color w:val="auto"/>
          <w:kern w:val="0"/>
          <w:highlight w:val="none"/>
        </w:rPr>
      </w:pPr>
      <w:bookmarkStart w:id="574" w:name="_Toc430530509"/>
      <w:bookmarkStart w:id="575" w:name="_Toc509218785"/>
      <w:bookmarkStart w:id="576" w:name="_Toc14185"/>
      <w:r>
        <w:rPr>
          <w:rFonts w:hint="eastAsia" w:ascii="宋体" w:hAnsi="宋体"/>
          <w:color w:val="auto"/>
          <w:kern w:val="0"/>
          <w:highlight w:val="none"/>
        </w:rPr>
        <w:t>第四章  合同条款及格式</w:t>
      </w:r>
      <w:bookmarkEnd w:id="574"/>
      <w:bookmarkEnd w:id="575"/>
      <w:bookmarkEnd w:id="576"/>
    </w:p>
    <w:p w14:paraId="20C8F43C">
      <w:pPr>
        <w:rPr>
          <w:rFonts w:ascii="宋体" w:hAnsi="宋体"/>
          <w:color w:val="auto"/>
          <w:sz w:val="44"/>
          <w:szCs w:val="44"/>
          <w:highlight w:val="none"/>
        </w:rPr>
      </w:pPr>
      <w:r>
        <w:rPr>
          <w:rFonts w:ascii="宋体" w:hAnsi="宋体"/>
          <w:color w:val="auto"/>
          <w:highlight w:val="none"/>
        </w:rPr>
        <w:br w:type="page"/>
      </w:r>
      <w:bookmarkStart w:id="577" w:name="_Toc296890982"/>
      <w:bookmarkStart w:id="578" w:name="_Toc296503025"/>
      <w:bookmarkStart w:id="579" w:name="_Toc351203480"/>
    </w:p>
    <w:p w14:paraId="6E8BB5F3">
      <w:pPr>
        <w:spacing w:line="360" w:lineRule="auto"/>
        <w:jc w:val="center"/>
        <w:rPr>
          <w:rFonts w:ascii="宋体" w:hAnsi="宋体"/>
          <w:color w:val="auto"/>
          <w:sz w:val="44"/>
          <w:szCs w:val="44"/>
          <w:highlight w:val="none"/>
        </w:rPr>
      </w:pPr>
      <w:r>
        <w:rPr>
          <w:rFonts w:hint="eastAsia" w:ascii="宋体" w:hAnsi="宋体"/>
          <w:color w:val="auto"/>
          <w:sz w:val="44"/>
          <w:szCs w:val="44"/>
          <w:highlight w:val="none"/>
        </w:rPr>
        <w:t>第一部分 合同协议书</w:t>
      </w:r>
    </w:p>
    <w:p w14:paraId="3600FDB5">
      <w:pPr>
        <w:pStyle w:val="134"/>
        <w:snapToGrid w:val="0"/>
        <w:spacing w:before="0" w:line="360" w:lineRule="auto"/>
        <w:ind w:firstLine="562" w:firstLineChars="200"/>
        <w:rPr>
          <w:rFonts w:ascii="宋体" w:hAnsi="宋体"/>
          <w:color w:val="auto"/>
          <w:highlight w:val="none"/>
        </w:rPr>
      </w:pPr>
    </w:p>
    <w:p w14:paraId="181CD501">
      <w:pPr>
        <w:rPr>
          <w:rFonts w:ascii="宋体" w:hAnsi="宋体"/>
          <w:b/>
          <w:color w:val="auto"/>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 name="矩形 1"/>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a:effectLst/>
                      </wps:spPr>
                      <wps:txbx>
                        <w:txbxContent>
                          <w:p w14:paraId="04FC9735"/>
                        </w:txbxContent>
                      </wps:txbx>
                      <wps:bodyPr wrap="square" upright="1"/>
                    </wps:wsp>
                  </a:graphicData>
                </a:graphic>
              </wp:anchor>
            </w:drawing>
          </mc:Choice>
          <mc:Fallback>
            <w:pict>
              <v:rect id="_x0000_s1026"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89ed32QAAAA0BAAAPAAAAAAAAAAEAIAAAACIAAABkcnMvZG93bnJl&#10;di54bWxQSwECFAAUAAAACACHTuJAIxEGbMMBAACFAwAADgAAAAAAAAABACAAAAAoAQAAZHJzL2Uy&#10;b0RvYy54bWxQSwUGAAAAAAYABgBZAQAAXQUAAAAA&#10;">
                <v:fill on="t" focussize="0,0"/>
                <v:stroke on="f"/>
                <v:imagedata o:title=""/>
                <o:lock v:ext="edit" aspectratio="f"/>
                <v:textbox>
                  <w:txbxContent>
                    <w:p w14:paraId="04FC9735"/>
                  </w:txbxContent>
                </v:textbox>
              </v:rect>
            </w:pict>
          </mc:Fallback>
        </mc:AlternateContent>
      </w:r>
      <w:r>
        <w:rPr>
          <w:rFonts w:ascii="宋体" w:hAnsi="宋体"/>
          <w:color w:val="auto"/>
          <w:highlight w:val="none"/>
        </w:rPr>
        <w:br w:type="page"/>
      </w:r>
    </w:p>
    <w:p w14:paraId="20190B51">
      <w:pPr>
        <w:pStyle w:val="5"/>
        <w:jc w:val="center"/>
        <w:rPr>
          <w:rFonts w:ascii="宋体" w:hAnsi="宋体"/>
          <w:b w:val="0"/>
          <w:color w:val="auto"/>
          <w:sz w:val="44"/>
          <w:szCs w:val="44"/>
          <w:highlight w:val="none"/>
        </w:rPr>
      </w:pPr>
      <w:bookmarkStart w:id="580" w:name="_Toc509218786"/>
      <w:bookmarkStart w:id="581" w:name="_Toc534185765"/>
      <w:bookmarkStart w:id="582" w:name="_Toc5143"/>
      <w:bookmarkStart w:id="583" w:name="_Toc351203494"/>
      <w:r>
        <w:rPr>
          <w:rFonts w:ascii="宋体" w:hAnsi="宋体"/>
          <w:color w:val="auto"/>
          <w:sz w:val="44"/>
          <w:szCs w:val="44"/>
          <w:highlight w:val="none"/>
        </w:rPr>
        <w:t>第一部分 合同协议书</w:t>
      </w:r>
      <w:bookmarkEnd w:id="580"/>
      <w:bookmarkEnd w:id="581"/>
      <w:bookmarkEnd w:id="582"/>
    </w:p>
    <w:bookmarkEnd w:id="583"/>
    <w:p w14:paraId="51CC4890">
      <w:pPr>
        <w:snapToGrid w:val="0"/>
        <w:spacing w:line="600" w:lineRule="exact"/>
        <w:ind w:firstLine="480" w:firstLineChars="200"/>
        <w:rPr>
          <w:rFonts w:ascii="宋体" w:hAnsi="宋体"/>
          <w:color w:val="auto"/>
          <w:sz w:val="24"/>
          <w:highlight w:val="none"/>
        </w:rPr>
      </w:pPr>
      <w:bookmarkStart w:id="584" w:name="_Toc351203632"/>
    </w:p>
    <w:p w14:paraId="57CF46BB">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17C31B98">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337A6EF0">
      <w:pPr>
        <w:spacing w:line="360" w:lineRule="auto"/>
        <w:ind w:firstLine="420" w:firstLineChars="200"/>
        <w:rPr>
          <w:rFonts w:ascii="宋体" w:hAnsi="宋体"/>
          <w:b/>
          <w:color w:val="auto"/>
          <w:szCs w:val="21"/>
          <w:highlight w:val="none"/>
          <w:u w:val="single"/>
        </w:rPr>
      </w:pPr>
      <w:r>
        <w:rPr>
          <w:rFonts w:hint="eastAsia" w:ascii="宋体" w:hAnsi="宋体"/>
          <w:color w:val="auto"/>
          <w:szCs w:val="21"/>
          <w:highlight w:val="none"/>
        </w:rPr>
        <w:t>根据《中华人民共和国民法典》、《中华人民共和国建筑法》及有关法律、法规规定，遵循平等、自愿、公平和诚实信用的原则，双方就</w:t>
      </w:r>
      <w:r>
        <w:rPr>
          <w:rFonts w:hint="eastAsia" w:ascii="宋体" w:hAnsi="宋体"/>
          <w:color w:val="auto"/>
          <w:szCs w:val="21"/>
          <w:highlight w:val="none"/>
          <w:u w:val="single"/>
        </w:rPr>
        <w:t xml:space="preserve">                           </w:t>
      </w:r>
      <w:r>
        <w:rPr>
          <w:rFonts w:hint="eastAsia" w:ascii="宋体" w:hAnsi="宋体"/>
          <w:color w:val="auto"/>
          <w:szCs w:val="21"/>
          <w:highlight w:val="none"/>
        </w:rPr>
        <w:t>工程施工及有关事项协商一致，共同达成如下协议：</w:t>
      </w:r>
    </w:p>
    <w:p w14:paraId="303A0D08">
      <w:pPr>
        <w:pStyle w:val="6"/>
        <w:keepNext/>
        <w:keepLines/>
        <w:spacing w:before="120" w:after="120" w:line="360" w:lineRule="auto"/>
        <w:ind w:firstLine="422" w:firstLineChars="200"/>
        <w:jc w:val="both"/>
        <w:rPr>
          <w:color w:val="auto"/>
          <w:kern w:val="2"/>
          <w:sz w:val="21"/>
          <w:szCs w:val="21"/>
          <w:highlight w:val="none"/>
        </w:rPr>
      </w:pPr>
      <w:bookmarkStart w:id="585" w:name="_Toc532377166"/>
      <w:bookmarkStart w:id="586" w:name="_Toc532375573"/>
      <w:bookmarkStart w:id="587" w:name="_Toc351203481"/>
      <w:r>
        <w:rPr>
          <w:rFonts w:hint="eastAsia"/>
          <w:color w:val="auto"/>
          <w:kern w:val="2"/>
          <w:sz w:val="21"/>
          <w:szCs w:val="21"/>
          <w:highlight w:val="none"/>
        </w:rPr>
        <w:t>一、工程概况</w:t>
      </w:r>
      <w:bookmarkEnd w:id="585"/>
      <w:bookmarkEnd w:id="586"/>
      <w:bookmarkEnd w:id="587"/>
    </w:p>
    <w:p w14:paraId="69D8FA5F">
      <w:pPr>
        <w:snapToGrid w:val="0"/>
        <w:spacing w:line="360" w:lineRule="auto"/>
        <w:ind w:firstLine="420" w:firstLineChars="200"/>
        <w:rPr>
          <w:rFonts w:ascii="宋体" w:hAnsi="宋体"/>
          <w:color w:val="auto"/>
          <w:szCs w:val="21"/>
          <w:highlight w:val="none"/>
          <w:u w:val="single"/>
        </w:rPr>
      </w:pPr>
      <w:r>
        <w:rPr>
          <w:rFonts w:hint="eastAsia" w:ascii="宋体" w:hAnsi="宋体"/>
          <w:bCs/>
          <w:color w:val="auto"/>
          <w:szCs w:val="21"/>
          <w:highlight w:val="none"/>
        </w:rPr>
        <w:t>1.工程名称</w:t>
      </w:r>
      <w:r>
        <w:rPr>
          <w:rFonts w:hint="eastAsia" w:ascii="宋体" w:hAnsi="宋体"/>
          <w:color w:val="auto"/>
          <w:szCs w:val="21"/>
          <w:highlight w:val="none"/>
        </w:rPr>
        <w:t>：</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1087076">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2.工程地点：</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E92CAED">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3.工程立项批准文号：</w:t>
      </w:r>
      <w:r>
        <w:rPr>
          <w:rFonts w:hint="eastAsia" w:ascii="宋体" w:hAnsi="宋体"/>
          <w:color w:val="auto"/>
          <w:szCs w:val="21"/>
          <w:highlight w:val="none"/>
          <w:u w:val="single"/>
        </w:rPr>
        <w:t xml:space="preserve">                        </w:t>
      </w:r>
      <w:r>
        <w:rPr>
          <w:rFonts w:hint="eastAsia" w:ascii="宋体" w:hAnsi="宋体"/>
          <w:bCs/>
          <w:color w:val="auto"/>
          <w:szCs w:val="21"/>
          <w:highlight w:val="none"/>
        </w:rPr>
        <w:t>。</w:t>
      </w:r>
    </w:p>
    <w:p w14:paraId="7DBDB179">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4.资金来源：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ACFEF7C">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5.工程内容：</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6F95D067">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6.工程承包范围：</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2D6B8A4B">
      <w:pPr>
        <w:pStyle w:val="6"/>
        <w:keepNext/>
        <w:keepLines/>
        <w:spacing w:before="120" w:after="120" w:line="360" w:lineRule="auto"/>
        <w:ind w:firstLine="422" w:firstLineChars="200"/>
        <w:jc w:val="both"/>
        <w:rPr>
          <w:color w:val="auto"/>
          <w:kern w:val="2"/>
          <w:sz w:val="21"/>
          <w:szCs w:val="21"/>
          <w:highlight w:val="none"/>
        </w:rPr>
      </w:pPr>
      <w:bookmarkStart w:id="588" w:name="_Toc532375574"/>
      <w:bookmarkStart w:id="589" w:name="_Toc351203482"/>
      <w:bookmarkStart w:id="590" w:name="_Toc532377167"/>
      <w:r>
        <w:rPr>
          <w:rFonts w:hint="eastAsia"/>
          <w:color w:val="auto"/>
          <w:kern w:val="2"/>
          <w:sz w:val="21"/>
          <w:szCs w:val="21"/>
          <w:highlight w:val="none"/>
        </w:rPr>
        <w:t>二、合同工期</w:t>
      </w:r>
      <w:bookmarkEnd w:id="588"/>
      <w:bookmarkEnd w:id="589"/>
      <w:bookmarkEnd w:id="590"/>
    </w:p>
    <w:p w14:paraId="1C19523B">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承包人投标函中承诺的工期：</w:t>
      </w:r>
      <w:r>
        <w:rPr>
          <w:rFonts w:hint="eastAsia" w:ascii="宋体" w:hAnsi="宋体"/>
          <w:bCs/>
          <w:color w:val="auto"/>
          <w:szCs w:val="21"/>
          <w:highlight w:val="none"/>
          <w:u w:val="single"/>
        </w:rPr>
        <w:t>日历天</w:t>
      </w:r>
      <w:r>
        <w:rPr>
          <w:rFonts w:hint="eastAsia" w:ascii="宋体" w:hAnsi="宋体"/>
          <w:bCs/>
          <w:color w:val="auto"/>
          <w:szCs w:val="21"/>
          <w:highlight w:val="none"/>
        </w:rPr>
        <w:t>。</w:t>
      </w:r>
    </w:p>
    <w:p w14:paraId="5B480FD5">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计划开工日期：</w:t>
      </w:r>
      <w:r>
        <w:rPr>
          <w:rFonts w:hint="eastAsia" w:ascii="宋体" w:hAnsi="宋体"/>
          <w:bCs/>
          <w:color w:val="auto"/>
          <w:szCs w:val="21"/>
          <w:highlight w:val="none"/>
          <w:u w:val="single"/>
        </w:rPr>
        <w:t></w:t>
      </w:r>
      <w:r>
        <w:rPr>
          <w:rFonts w:hint="eastAsia" w:ascii="宋体" w:hAnsi="宋体"/>
          <w:bCs/>
          <w:color w:val="auto"/>
          <w:szCs w:val="21"/>
          <w:highlight w:val="none"/>
        </w:rPr>
        <w:t>年</w:t>
      </w:r>
      <w:r>
        <w:rPr>
          <w:rFonts w:hint="eastAsia" w:ascii="宋体" w:hAnsi="宋体"/>
          <w:bCs/>
          <w:color w:val="auto"/>
          <w:szCs w:val="21"/>
          <w:highlight w:val="none"/>
          <w:u w:val="single"/>
        </w:rPr>
        <w:t></w:t>
      </w:r>
      <w:r>
        <w:rPr>
          <w:rFonts w:hint="eastAsia" w:ascii="宋体" w:hAnsi="宋体"/>
          <w:bCs/>
          <w:color w:val="auto"/>
          <w:szCs w:val="21"/>
          <w:highlight w:val="none"/>
        </w:rPr>
        <w:t>月</w:t>
      </w:r>
      <w:r>
        <w:rPr>
          <w:rFonts w:hint="eastAsia" w:ascii="宋体" w:hAnsi="宋体"/>
          <w:bCs/>
          <w:color w:val="auto"/>
          <w:szCs w:val="21"/>
          <w:highlight w:val="none"/>
          <w:u w:val="single"/>
        </w:rPr>
        <w:t></w:t>
      </w:r>
      <w:r>
        <w:rPr>
          <w:rFonts w:hint="eastAsia" w:ascii="宋体" w:hAnsi="宋体"/>
          <w:bCs/>
          <w:color w:val="auto"/>
          <w:szCs w:val="21"/>
          <w:highlight w:val="none"/>
        </w:rPr>
        <w:t>日，实际开工日期以监理工程师签发的工程开工通知明确的开工日期为准。</w:t>
      </w:r>
    </w:p>
    <w:p w14:paraId="1D3889C6">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计划竣工日期：</w:t>
      </w:r>
      <w:r>
        <w:rPr>
          <w:rFonts w:hint="eastAsia" w:ascii="宋体" w:hAnsi="宋体"/>
          <w:bCs/>
          <w:color w:val="auto"/>
          <w:szCs w:val="21"/>
          <w:highlight w:val="none"/>
          <w:u w:val="single"/>
        </w:rPr>
        <w:t></w:t>
      </w:r>
      <w:r>
        <w:rPr>
          <w:rFonts w:hint="eastAsia" w:ascii="宋体" w:hAnsi="宋体"/>
          <w:bCs/>
          <w:color w:val="auto"/>
          <w:szCs w:val="21"/>
          <w:highlight w:val="none"/>
        </w:rPr>
        <w:t>年</w:t>
      </w:r>
      <w:r>
        <w:rPr>
          <w:rFonts w:hint="eastAsia" w:ascii="宋体" w:hAnsi="宋体"/>
          <w:bCs/>
          <w:color w:val="auto"/>
          <w:szCs w:val="21"/>
          <w:highlight w:val="none"/>
          <w:u w:val="single"/>
        </w:rPr>
        <w:t></w:t>
      </w:r>
      <w:r>
        <w:rPr>
          <w:rFonts w:hint="eastAsia" w:ascii="宋体" w:hAnsi="宋体"/>
          <w:bCs/>
          <w:color w:val="auto"/>
          <w:szCs w:val="21"/>
          <w:highlight w:val="none"/>
        </w:rPr>
        <w:t>月</w:t>
      </w:r>
      <w:r>
        <w:rPr>
          <w:rFonts w:hint="eastAsia" w:ascii="宋体" w:hAnsi="宋体"/>
          <w:bCs/>
          <w:color w:val="auto"/>
          <w:szCs w:val="21"/>
          <w:highlight w:val="none"/>
          <w:u w:val="single"/>
        </w:rPr>
        <w:t></w:t>
      </w:r>
      <w:r>
        <w:rPr>
          <w:rFonts w:hint="eastAsia" w:ascii="宋体" w:hAnsi="宋体"/>
          <w:bCs/>
          <w:color w:val="auto"/>
          <w:szCs w:val="21"/>
          <w:highlight w:val="none"/>
        </w:rPr>
        <w:t>日，实际竣工日期以工程竣工验收合格之日为准。</w:t>
      </w:r>
    </w:p>
    <w:p w14:paraId="3389D312">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工期总日历天数</w:t>
      </w:r>
      <w:r>
        <w:rPr>
          <w:rFonts w:hint="eastAsia" w:ascii="宋体" w:hAnsi="宋体"/>
          <w:bCs/>
          <w:color w:val="auto"/>
          <w:szCs w:val="21"/>
          <w:highlight w:val="none"/>
          <w:u w:val="single"/>
        </w:rPr>
        <w:t></w:t>
      </w:r>
      <w:r>
        <w:rPr>
          <w:rFonts w:hint="eastAsia" w:ascii="宋体" w:hAnsi="宋体"/>
          <w:bCs/>
          <w:color w:val="auto"/>
          <w:szCs w:val="21"/>
          <w:highlight w:val="none"/>
        </w:rPr>
        <w:t>天。工期总日历天数与根据前述计划开竣工日期计算的工期天数不一</w:t>
      </w:r>
      <w:r>
        <w:rPr>
          <w:rFonts w:hint="eastAsia" w:ascii="宋体" w:hAnsi="宋体"/>
          <w:color w:val="auto"/>
          <w:szCs w:val="21"/>
          <w:highlight w:val="none"/>
        </w:rPr>
        <w:t>致的，以工期总日历天数为准。</w:t>
      </w:r>
    </w:p>
    <w:p w14:paraId="1F75681E">
      <w:pPr>
        <w:pStyle w:val="6"/>
        <w:keepNext/>
        <w:keepLines/>
        <w:spacing w:before="120" w:after="120" w:line="360" w:lineRule="auto"/>
        <w:ind w:firstLine="422" w:firstLineChars="200"/>
        <w:jc w:val="both"/>
        <w:rPr>
          <w:color w:val="auto"/>
          <w:kern w:val="2"/>
          <w:sz w:val="21"/>
          <w:szCs w:val="21"/>
          <w:highlight w:val="none"/>
        </w:rPr>
      </w:pPr>
      <w:bookmarkStart w:id="591" w:name="_Toc532377168"/>
      <w:bookmarkStart w:id="592" w:name="_Toc532375575"/>
      <w:bookmarkStart w:id="593" w:name="_Toc351203483"/>
      <w:r>
        <w:rPr>
          <w:rFonts w:hint="eastAsia"/>
          <w:color w:val="auto"/>
          <w:kern w:val="2"/>
          <w:sz w:val="21"/>
          <w:szCs w:val="21"/>
          <w:highlight w:val="none"/>
        </w:rPr>
        <w:t>三、质量标准</w:t>
      </w:r>
      <w:bookmarkEnd w:id="591"/>
      <w:bookmarkEnd w:id="592"/>
      <w:bookmarkEnd w:id="593"/>
    </w:p>
    <w:p w14:paraId="7B3EB4E1">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工程质量符合强制性质量标准，</w:t>
      </w:r>
      <w:r>
        <w:rPr>
          <w:rFonts w:hint="eastAsia" w:ascii="宋体" w:hAnsi="宋体"/>
          <w:color w:val="auto"/>
          <w:szCs w:val="21"/>
          <w:highlight w:val="none"/>
          <w:u w:val="single"/>
        </w:rPr>
        <w:t>符合国家</w:t>
      </w:r>
      <w:r>
        <w:rPr>
          <w:rFonts w:ascii="宋体" w:hAnsi="宋体"/>
          <w:color w:val="auto"/>
          <w:szCs w:val="21"/>
          <w:highlight w:val="none"/>
          <w:u w:val="single"/>
        </w:rPr>
        <w:t>和重庆市现行</w:t>
      </w:r>
      <w:r>
        <w:rPr>
          <w:rFonts w:hint="eastAsia" w:ascii="宋体" w:hAnsi="宋体"/>
          <w:color w:val="auto"/>
          <w:szCs w:val="21"/>
          <w:highlight w:val="none"/>
          <w:u w:val="single"/>
        </w:rPr>
        <w:t>有关施工质量验收规范要求，并达到合格</w:t>
      </w:r>
      <w:r>
        <w:rPr>
          <w:rFonts w:hint="eastAsia" w:ascii="宋体" w:hAnsi="宋体"/>
          <w:color w:val="auto"/>
          <w:szCs w:val="21"/>
          <w:highlight w:val="none"/>
        </w:rPr>
        <w:t>标准。</w:t>
      </w:r>
    </w:p>
    <w:p w14:paraId="554C92B8">
      <w:pPr>
        <w:pStyle w:val="6"/>
        <w:keepNext/>
        <w:keepLines/>
        <w:spacing w:before="120" w:after="120" w:line="360" w:lineRule="auto"/>
        <w:ind w:firstLine="422" w:firstLineChars="200"/>
        <w:jc w:val="both"/>
        <w:rPr>
          <w:color w:val="auto"/>
          <w:kern w:val="2"/>
          <w:sz w:val="21"/>
          <w:szCs w:val="21"/>
          <w:highlight w:val="none"/>
        </w:rPr>
      </w:pPr>
      <w:bookmarkStart w:id="594" w:name="_Toc532377169"/>
      <w:bookmarkStart w:id="595" w:name="_Toc532375576"/>
      <w:bookmarkStart w:id="596" w:name="_Toc351203484"/>
      <w:r>
        <w:rPr>
          <w:rFonts w:hint="eastAsia"/>
          <w:color w:val="auto"/>
          <w:kern w:val="2"/>
          <w:sz w:val="21"/>
          <w:szCs w:val="21"/>
          <w:highlight w:val="none"/>
        </w:rPr>
        <w:t>四、签约合同价与合同价格形式</w:t>
      </w:r>
      <w:bookmarkEnd w:id="594"/>
      <w:bookmarkEnd w:id="595"/>
      <w:bookmarkEnd w:id="596"/>
      <w:r>
        <w:rPr>
          <w:rFonts w:hint="eastAsia"/>
          <w:color w:val="auto"/>
          <w:kern w:val="2"/>
          <w:sz w:val="21"/>
          <w:szCs w:val="21"/>
          <w:highlight w:val="none"/>
        </w:rPr>
        <w:tab/>
      </w:r>
    </w:p>
    <w:p w14:paraId="48AD1DB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1.承包人投标函中承诺的中标价为：</w:t>
      </w:r>
    </w:p>
    <w:p w14:paraId="06E230B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14:paraId="6597E43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2.签约合同价为：</w:t>
      </w:r>
    </w:p>
    <w:p w14:paraId="3629FB1A">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08A3487C">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其中：</w:t>
      </w:r>
    </w:p>
    <w:p w14:paraId="7D1900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（1）安全文明施工费：</w:t>
      </w:r>
    </w:p>
    <w:p w14:paraId="67A14DC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4E8C01E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（2）材料和工程设备暂估价金额：</w:t>
      </w:r>
    </w:p>
    <w:p w14:paraId="25E097E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26477D9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（3）专业工程暂估价金额：</w:t>
      </w:r>
    </w:p>
    <w:p w14:paraId="56F409F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606ABA7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（4）暂列金额：</w:t>
      </w:r>
    </w:p>
    <w:p w14:paraId="320AA33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10746B3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（5）人工费（工资款）</w:t>
      </w:r>
    </w:p>
    <w:p w14:paraId="561482D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该项目实行人工费（工资款）与其他工程款分账管理，发包人将应付工程款中的人工费（工资款），以不低于已完成合同价款的</w:t>
      </w:r>
      <w:r>
        <w:rPr>
          <w:rFonts w:hint="eastAsia" w:ascii="宋体" w:hAnsi="宋体"/>
          <w:color w:val="auto"/>
          <w:szCs w:val="21"/>
          <w:highlight w:val="none"/>
          <w:u w:val="single"/>
        </w:rPr>
        <w:t xml:space="preserve">    </w:t>
      </w:r>
      <w:r>
        <w:rPr>
          <w:rFonts w:hint="eastAsia" w:ascii="宋体" w:hAnsi="宋体"/>
          <w:color w:val="auto"/>
          <w:szCs w:val="21"/>
          <w:highlight w:val="none"/>
        </w:rPr>
        <w:t>，农民工工资单独支付至承包人设立的农民工工资专用账户。</w:t>
      </w:r>
    </w:p>
    <w:p w14:paraId="365E397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3.合同价格形式：</w:t>
      </w:r>
      <w:r>
        <w:rPr>
          <w:rFonts w:ascii="宋体" w:hAnsi="宋体"/>
          <w:color w:val="auto"/>
          <w:szCs w:val="21"/>
          <w:highlight w:val="none"/>
          <w:u w:val="single"/>
        </w:rPr>
        <w:t xml:space="preserve">              </w:t>
      </w:r>
      <w:r>
        <w:rPr>
          <w:rFonts w:hint="eastAsia" w:ascii="宋体" w:hAnsi="宋体"/>
          <w:color w:val="auto"/>
          <w:szCs w:val="21"/>
          <w:highlight w:val="none"/>
        </w:rPr>
        <w:t>。</w:t>
      </w:r>
    </w:p>
    <w:p w14:paraId="2C343E2C">
      <w:pPr>
        <w:pStyle w:val="6"/>
        <w:keepNext/>
        <w:keepLines/>
        <w:spacing w:before="120" w:after="120" w:line="360" w:lineRule="auto"/>
        <w:ind w:firstLine="422" w:firstLineChars="200"/>
        <w:jc w:val="both"/>
        <w:rPr>
          <w:color w:val="auto"/>
          <w:kern w:val="2"/>
          <w:sz w:val="21"/>
          <w:szCs w:val="21"/>
          <w:highlight w:val="none"/>
        </w:rPr>
      </w:pPr>
      <w:bookmarkStart w:id="597" w:name="_Toc351203485"/>
      <w:bookmarkStart w:id="598" w:name="_Toc532375577"/>
      <w:bookmarkStart w:id="599" w:name="_Toc532377170"/>
      <w:r>
        <w:rPr>
          <w:rFonts w:hint="eastAsia"/>
          <w:color w:val="auto"/>
          <w:kern w:val="2"/>
          <w:sz w:val="21"/>
          <w:szCs w:val="21"/>
          <w:highlight w:val="none"/>
        </w:rPr>
        <w:t>五、</w:t>
      </w:r>
      <w:bookmarkEnd w:id="597"/>
      <w:r>
        <w:rPr>
          <w:rFonts w:hint="eastAsia"/>
          <w:color w:val="auto"/>
          <w:kern w:val="2"/>
          <w:sz w:val="21"/>
          <w:szCs w:val="21"/>
          <w:highlight w:val="none"/>
        </w:rPr>
        <w:t>项目经理及技术负责人</w:t>
      </w:r>
      <w:bookmarkEnd w:id="598"/>
      <w:bookmarkEnd w:id="599"/>
    </w:p>
    <w:p w14:paraId="7C527E3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承包人投标文件中承诺的项目经理：</w:t>
      </w:r>
    </w:p>
    <w:p w14:paraId="5217005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62F43B3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0FFD211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建造师</w:t>
      </w:r>
      <w:r>
        <w:rPr>
          <w:rFonts w:ascii="宋体" w:hAnsi="宋体"/>
          <w:color w:val="auto"/>
          <w:szCs w:val="21"/>
          <w:highlight w:val="none"/>
        </w:rPr>
        <w:t>注册证书号</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2099AD5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承包人投标文件中承诺的技术负责人：</w:t>
      </w:r>
    </w:p>
    <w:p w14:paraId="4E0B6C5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2EF0B43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67503576">
      <w:pPr>
        <w:pStyle w:val="2"/>
        <w:spacing w:line="360" w:lineRule="auto"/>
        <w:rPr>
          <w:rFonts w:ascii="宋体" w:hAnsi="宋体"/>
          <w:color w:val="auto"/>
          <w:szCs w:val="21"/>
          <w:highlight w:val="none"/>
        </w:rPr>
      </w:pPr>
      <w:r>
        <w:rPr>
          <w:rFonts w:hint="eastAsia" w:ascii="宋体" w:hAnsi="宋体"/>
          <w:color w:val="auto"/>
          <w:szCs w:val="21"/>
          <w:highlight w:val="none"/>
        </w:rPr>
        <w:t xml:space="preserve">    证书名称</w:t>
      </w:r>
      <w:r>
        <w:rPr>
          <w:rFonts w:ascii="宋体" w:hAnsi="宋体"/>
          <w:color w:val="auto"/>
          <w:szCs w:val="21"/>
          <w:highlight w:val="none"/>
        </w:rPr>
        <w:t>及号码：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8FA3EDF">
      <w:pPr>
        <w:pStyle w:val="6"/>
        <w:keepNext/>
        <w:keepLines/>
        <w:spacing w:before="120" w:after="120" w:line="360" w:lineRule="auto"/>
        <w:ind w:firstLine="422" w:firstLineChars="200"/>
        <w:jc w:val="both"/>
        <w:rPr>
          <w:color w:val="auto"/>
          <w:kern w:val="2"/>
          <w:sz w:val="21"/>
          <w:szCs w:val="21"/>
          <w:highlight w:val="none"/>
        </w:rPr>
      </w:pPr>
      <w:bookmarkStart w:id="600" w:name="_Toc351203486"/>
      <w:bookmarkStart w:id="601" w:name="_Toc532375578"/>
      <w:bookmarkStart w:id="602" w:name="_Toc532377171"/>
      <w:r>
        <w:rPr>
          <w:rFonts w:hint="eastAsia"/>
          <w:color w:val="auto"/>
          <w:kern w:val="2"/>
          <w:sz w:val="21"/>
          <w:szCs w:val="21"/>
          <w:highlight w:val="none"/>
        </w:rPr>
        <w:t>六、合同文件构成</w:t>
      </w:r>
      <w:bookmarkEnd w:id="600"/>
      <w:bookmarkEnd w:id="601"/>
      <w:bookmarkEnd w:id="602"/>
    </w:p>
    <w:p w14:paraId="51D0E228">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合同由以下文件构成：</w:t>
      </w:r>
    </w:p>
    <w:p w14:paraId="5008B14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（1）合同协议书；</w:t>
      </w:r>
    </w:p>
    <w:p w14:paraId="283DA38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（2）中标通知书；</w:t>
      </w:r>
    </w:p>
    <w:p w14:paraId="6790158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（3）投标函及投标函附录；</w:t>
      </w:r>
    </w:p>
    <w:p w14:paraId="189828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（4）专用合同条款及其附件；</w:t>
      </w:r>
    </w:p>
    <w:p w14:paraId="791A4DA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（5）通用合同条款；</w:t>
      </w:r>
    </w:p>
    <w:p w14:paraId="2295150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（6）投标文件（投标函及投标函附录除外）；</w:t>
      </w:r>
    </w:p>
    <w:p w14:paraId="32911B5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（7）招标文件及修改文件；</w:t>
      </w:r>
    </w:p>
    <w:p w14:paraId="113B4A8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（8）技术标准和要求；</w:t>
      </w:r>
    </w:p>
    <w:p w14:paraId="273EC76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（9）图纸；</w:t>
      </w:r>
    </w:p>
    <w:p w14:paraId="7D1E0C8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（10）其他合同文件。</w:t>
      </w:r>
    </w:p>
    <w:p w14:paraId="712157F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在合同订立、履行过程中形成的与合同有关的书面形式的文件均构成合同文件组成部分。</w:t>
      </w:r>
    </w:p>
    <w:p w14:paraId="69CFAA5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上述各项合同文件包括合同当事人就该项合同文件所作出的补充和修改，属于同一类内容的文件，应以最新签署的为准。专用合同条款及其附件须经合同当事人签名或盖章。</w:t>
      </w:r>
    </w:p>
    <w:p w14:paraId="6228A00A">
      <w:pPr>
        <w:pStyle w:val="6"/>
        <w:keepNext/>
        <w:keepLines/>
        <w:spacing w:before="120" w:after="120" w:line="360" w:lineRule="auto"/>
        <w:ind w:firstLine="422" w:firstLineChars="200"/>
        <w:jc w:val="both"/>
        <w:rPr>
          <w:color w:val="auto"/>
          <w:kern w:val="2"/>
          <w:sz w:val="21"/>
          <w:szCs w:val="21"/>
          <w:highlight w:val="none"/>
        </w:rPr>
      </w:pPr>
      <w:bookmarkStart w:id="603" w:name="_Toc532375579"/>
      <w:bookmarkStart w:id="604" w:name="_Toc532377172"/>
      <w:bookmarkStart w:id="605" w:name="_Toc351203487"/>
      <w:r>
        <w:rPr>
          <w:rFonts w:hint="eastAsia"/>
          <w:color w:val="auto"/>
          <w:kern w:val="2"/>
          <w:sz w:val="21"/>
          <w:szCs w:val="21"/>
          <w:highlight w:val="none"/>
        </w:rPr>
        <w:t>七、承诺</w:t>
      </w:r>
      <w:bookmarkEnd w:id="603"/>
      <w:bookmarkEnd w:id="604"/>
      <w:bookmarkEnd w:id="605"/>
    </w:p>
    <w:p w14:paraId="5F64C960">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1.发包人承诺按照法律规定履行项目审批手续、筹集工程建设资金并按照合同约定的期限和方式支付合同价款。</w:t>
      </w:r>
    </w:p>
    <w:p w14:paraId="13C0C766">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承包人承诺按照法律规定及合同约定组织完成工程施工，确保工程质量和安全，不进行转包及违法分包，并在缺陷责任期及保修期内承担相应的工程维修责任</w:t>
      </w:r>
      <w:r>
        <w:rPr>
          <w:rFonts w:hint="eastAsia" w:ascii="宋体" w:hAnsi="宋体"/>
          <w:bCs/>
          <w:color w:val="auto"/>
          <w:szCs w:val="21"/>
          <w:highlight w:val="none"/>
        </w:rPr>
        <w:t>。</w:t>
      </w:r>
    </w:p>
    <w:p w14:paraId="444751B5">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3.发包人和承包人通过招投标形式签订合同的，双方理解并承诺不再就同一工程另行签订与合同实质性内容相背离的协议。</w:t>
      </w:r>
    </w:p>
    <w:p w14:paraId="207E0A29">
      <w:pPr>
        <w:pStyle w:val="6"/>
        <w:keepNext/>
        <w:keepLines/>
        <w:spacing w:before="120" w:after="120" w:line="360" w:lineRule="auto"/>
        <w:ind w:firstLine="422" w:firstLineChars="200"/>
        <w:jc w:val="both"/>
        <w:rPr>
          <w:color w:val="auto"/>
          <w:kern w:val="2"/>
          <w:sz w:val="21"/>
          <w:szCs w:val="21"/>
          <w:highlight w:val="none"/>
        </w:rPr>
      </w:pPr>
      <w:bookmarkStart w:id="606" w:name="_Toc351203488"/>
      <w:bookmarkStart w:id="607" w:name="_Toc532375580"/>
      <w:bookmarkStart w:id="608" w:name="_Toc532377173"/>
      <w:r>
        <w:rPr>
          <w:rFonts w:hint="eastAsia"/>
          <w:color w:val="auto"/>
          <w:kern w:val="2"/>
          <w:sz w:val="21"/>
          <w:szCs w:val="21"/>
          <w:highlight w:val="none"/>
        </w:rPr>
        <w:t>八、词语含义</w:t>
      </w:r>
      <w:bookmarkEnd w:id="606"/>
      <w:bookmarkEnd w:id="607"/>
      <w:bookmarkEnd w:id="608"/>
    </w:p>
    <w:p w14:paraId="4E256450">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本协议书中词语含义与专用合同条款及通用合同条款中赋予的含义相同。</w:t>
      </w:r>
    </w:p>
    <w:p w14:paraId="48FBFF04">
      <w:pPr>
        <w:pStyle w:val="6"/>
        <w:keepNext/>
        <w:keepLines/>
        <w:spacing w:before="120" w:after="120" w:line="360" w:lineRule="auto"/>
        <w:ind w:firstLine="422" w:firstLineChars="200"/>
        <w:jc w:val="both"/>
        <w:rPr>
          <w:color w:val="auto"/>
          <w:kern w:val="2"/>
          <w:sz w:val="21"/>
          <w:szCs w:val="21"/>
          <w:highlight w:val="none"/>
        </w:rPr>
      </w:pPr>
      <w:bookmarkStart w:id="609" w:name="_Toc532375581"/>
      <w:bookmarkStart w:id="610" w:name="_Toc532377174"/>
      <w:r>
        <w:rPr>
          <w:rFonts w:hint="eastAsia"/>
          <w:color w:val="auto"/>
          <w:kern w:val="2"/>
          <w:sz w:val="21"/>
          <w:szCs w:val="21"/>
          <w:highlight w:val="none"/>
        </w:rPr>
        <w:t>九、签订时间</w:t>
      </w:r>
      <w:bookmarkEnd w:id="609"/>
      <w:bookmarkEnd w:id="610"/>
    </w:p>
    <w:p w14:paraId="114D0986">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合同于</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日签订</w:t>
      </w:r>
    </w:p>
    <w:p w14:paraId="7ECE072F">
      <w:pPr>
        <w:pStyle w:val="6"/>
        <w:keepNext/>
        <w:keepLines/>
        <w:spacing w:before="120" w:after="120" w:line="360" w:lineRule="auto"/>
        <w:ind w:firstLine="422" w:firstLineChars="200"/>
        <w:jc w:val="both"/>
        <w:rPr>
          <w:color w:val="auto"/>
          <w:kern w:val="2"/>
          <w:sz w:val="21"/>
          <w:szCs w:val="21"/>
          <w:highlight w:val="none"/>
        </w:rPr>
      </w:pPr>
      <w:bookmarkStart w:id="611" w:name="_Toc351203489"/>
      <w:bookmarkStart w:id="612" w:name="_Toc532377175"/>
      <w:bookmarkStart w:id="613" w:name="_Toc532375582"/>
      <w:r>
        <w:rPr>
          <w:rFonts w:hint="eastAsia"/>
          <w:color w:val="auto"/>
          <w:kern w:val="2"/>
          <w:sz w:val="21"/>
          <w:szCs w:val="21"/>
          <w:highlight w:val="none"/>
        </w:rPr>
        <w:t>十、</w:t>
      </w:r>
      <w:bookmarkEnd w:id="611"/>
      <w:bookmarkStart w:id="614" w:name="_Toc351203490"/>
      <w:r>
        <w:rPr>
          <w:rFonts w:hint="eastAsia"/>
          <w:color w:val="auto"/>
          <w:kern w:val="2"/>
          <w:sz w:val="21"/>
          <w:szCs w:val="21"/>
          <w:highlight w:val="none"/>
        </w:rPr>
        <w:t>签订地点</w:t>
      </w:r>
      <w:bookmarkEnd w:id="612"/>
      <w:bookmarkEnd w:id="613"/>
      <w:bookmarkEnd w:id="614"/>
    </w:p>
    <w:p w14:paraId="069ABFFD">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w:t>
      </w:r>
      <w:r>
        <w:rPr>
          <w:rFonts w:hint="eastAsia" w:ascii="宋体" w:hAnsi="宋体"/>
          <w:bCs/>
          <w:color w:val="auto"/>
          <w:szCs w:val="21"/>
          <w:highlight w:val="none"/>
          <w:u w:val="single"/>
        </w:rPr>
        <w:t xml:space="preserve">            </w:t>
      </w:r>
      <w:r>
        <w:rPr>
          <w:rFonts w:hint="eastAsia" w:ascii="宋体" w:hAnsi="宋体"/>
          <w:bCs/>
          <w:color w:val="auto"/>
          <w:szCs w:val="21"/>
          <w:highlight w:val="none"/>
        </w:rPr>
        <w:t>签订。</w:t>
      </w:r>
    </w:p>
    <w:p w14:paraId="4DC4E272">
      <w:pPr>
        <w:pStyle w:val="6"/>
        <w:keepNext/>
        <w:keepLines/>
        <w:spacing w:before="120" w:after="120" w:line="360" w:lineRule="auto"/>
        <w:ind w:firstLine="422" w:firstLineChars="200"/>
        <w:jc w:val="both"/>
        <w:rPr>
          <w:color w:val="auto"/>
          <w:kern w:val="2"/>
          <w:sz w:val="21"/>
          <w:szCs w:val="21"/>
          <w:highlight w:val="none"/>
        </w:rPr>
      </w:pPr>
      <w:bookmarkStart w:id="615" w:name="_Toc351203491"/>
      <w:bookmarkStart w:id="616" w:name="_Toc532377176"/>
      <w:bookmarkStart w:id="617" w:name="_Toc532375583"/>
      <w:r>
        <w:rPr>
          <w:rFonts w:hint="eastAsia"/>
          <w:color w:val="auto"/>
          <w:kern w:val="2"/>
          <w:sz w:val="21"/>
          <w:szCs w:val="21"/>
          <w:highlight w:val="none"/>
        </w:rPr>
        <w:t>十一、补充协议</w:t>
      </w:r>
      <w:bookmarkEnd w:id="615"/>
      <w:bookmarkEnd w:id="616"/>
      <w:bookmarkEnd w:id="617"/>
    </w:p>
    <w:p w14:paraId="5B32FAB8">
      <w:pPr>
        <w:spacing w:line="360" w:lineRule="auto"/>
        <w:ind w:firstLine="420" w:firstLineChars="200"/>
        <w:rPr>
          <w:rFonts w:ascii="宋体" w:hAnsi="宋体"/>
          <w:b/>
          <w:bCs/>
          <w:color w:val="auto"/>
          <w:szCs w:val="21"/>
          <w:highlight w:val="none"/>
        </w:rPr>
      </w:pPr>
      <w:r>
        <w:rPr>
          <w:rFonts w:hint="eastAsia" w:ascii="宋体" w:hAnsi="宋体"/>
          <w:bCs/>
          <w:color w:val="auto"/>
          <w:szCs w:val="21"/>
          <w:highlight w:val="none"/>
        </w:rPr>
        <w:t>合同未尽事宜，合同当事人另行签订补充协议，补充协议是合同的组成部分。</w:t>
      </w:r>
    </w:p>
    <w:p w14:paraId="3410369F">
      <w:pPr>
        <w:pStyle w:val="6"/>
        <w:keepNext/>
        <w:keepLines/>
        <w:spacing w:before="120" w:after="120" w:line="360" w:lineRule="auto"/>
        <w:ind w:firstLine="422" w:firstLineChars="200"/>
        <w:jc w:val="both"/>
        <w:rPr>
          <w:color w:val="auto"/>
          <w:kern w:val="2"/>
          <w:sz w:val="21"/>
          <w:szCs w:val="21"/>
          <w:highlight w:val="none"/>
        </w:rPr>
      </w:pPr>
      <w:bookmarkStart w:id="618" w:name="_Toc532377177"/>
      <w:bookmarkStart w:id="619" w:name="_Toc351203492"/>
      <w:bookmarkStart w:id="620" w:name="_Toc532375584"/>
      <w:r>
        <w:rPr>
          <w:rFonts w:hint="eastAsia"/>
          <w:color w:val="auto"/>
          <w:kern w:val="2"/>
          <w:sz w:val="21"/>
          <w:szCs w:val="21"/>
          <w:highlight w:val="none"/>
        </w:rPr>
        <w:t>十二、合同生效</w:t>
      </w:r>
      <w:bookmarkEnd w:id="618"/>
      <w:bookmarkEnd w:id="619"/>
      <w:bookmarkEnd w:id="620"/>
    </w:p>
    <w:p w14:paraId="4FB9D79E">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合同在以下条件全部满足之后生效：</w:t>
      </w:r>
    </w:p>
    <w:p w14:paraId="4FC06797">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1.合同</w:t>
      </w:r>
      <w:r>
        <w:rPr>
          <w:rFonts w:hint="eastAsia" w:ascii="宋体" w:hAnsi="宋体"/>
          <w:color w:val="auto"/>
          <w:szCs w:val="21"/>
          <w:highlight w:val="none"/>
        </w:rPr>
        <w:t>经双方法定代表人或其委托代理人签名并加盖</w:t>
      </w:r>
      <w:r>
        <w:rPr>
          <w:rFonts w:hint="eastAsia" w:ascii="宋体" w:hAnsi="宋体"/>
          <w:color w:val="auto"/>
          <w:szCs w:val="21"/>
          <w:highlight w:val="none"/>
          <w:lang w:val="en-US" w:eastAsia="zh-CN"/>
        </w:rPr>
        <w:t>单位</w:t>
      </w:r>
      <w:r>
        <w:rPr>
          <w:rFonts w:hint="eastAsia" w:ascii="宋体" w:hAnsi="宋体"/>
          <w:snapToGrid w:val="0"/>
          <w:color w:val="auto"/>
          <w:kern w:val="0"/>
          <w:szCs w:val="21"/>
          <w:highlight w:val="none"/>
        </w:rPr>
        <w:t>公章或合同专用章</w:t>
      </w:r>
      <w:r>
        <w:rPr>
          <w:rFonts w:hint="eastAsia" w:ascii="宋体" w:hAnsi="宋体"/>
          <w:color w:val="auto"/>
          <w:szCs w:val="21"/>
          <w:highlight w:val="none"/>
        </w:rPr>
        <w:t>；</w:t>
      </w:r>
    </w:p>
    <w:p w14:paraId="5B44E88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2.采用保函形式递交履约担保的，承包人按合同约定向发包人提交履约担保后；</w:t>
      </w:r>
    </w:p>
    <w:p w14:paraId="54C794FD">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C5B6AD1">
      <w:pPr>
        <w:pStyle w:val="6"/>
        <w:keepNext/>
        <w:keepLines/>
        <w:spacing w:before="120" w:after="120" w:line="360" w:lineRule="auto"/>
        <w:ind w:firstLine="422" w:firstLineChars="200"/>
        <w:jc w:val="both"/>
        <w:rPr>
          <w:color w:val="auto"/>
          <w:kern w:val="2"/>
          <w:sz w:val="21"/>
          <w:szCs w:val="21"/>
          <w:highlight w:val="none"/>
        </w:rPr>
      </w:pPr>
      <w:bookmarkStart w:id="621" w:name="_Toc532375585"/>
      <w:bookmarkStart w:id="622" w:name="_Toc351203493"/>
      <w:bookmarkStart w:id="623" w:name="_Toc532377178"/>
      <w:r>
        <w:rPr>
          <w:rFonts w:hint="eastAsia"/>
          <w:color w:val="auto"/>
          <w:kern w:val="2"/>
          <w:sz w:val="21"/>
          <w:szCs w:val="21"/>
          <w:highlight w:val="none"/>
        </w:rPr>
        <w:t>十三、合同份数</w:t>
      </w:r>
      <w:bookmarkEnd w:id="621"/>
      <w:bookmarkEnd w:id="622"/>
      <w:bookmarkEnd w:id="623"/>
    </w:p>
    <w:p w14:paraId="04DF91F5">
      <w:pPr>
        <w:spacing w:line="360" w:lineRule="auto"/>
        <w:ind w:firstLine="420" w:firstLineChars="200"/>
        <w:rPr>
          <w:rFonts w:ascii="宋体" w:hAnsi="宋体"/>
          <w:bCs/>
          <w:color w:val="auto"/>
          <w:szCs w:val="21"/>
          <w:highlight w:val="none"/>
        </w:rPr>
      </w:pPr>
      <w:r>
        <w:rPr>
          <w:rFonts w:hint="eastAsia" w:ascii="宋体" w:hAnsi="宋体" w:cs="Microsoft Sans Serif"/>
          <w:bCs/>
          <w:color w:val="auto"/>
          <w:szCs w:val="21"/>
          <w:highlight w:val="none"/>
        </w:rPr>
        <w:t>合同一式</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份，其中正本</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份，双方各持</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份，双方各执</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份。副本与正本不一致时，以正本为准</w:t>
      </w:r>
      <w:r>
        <w:rPr>
          <w:rFonts w:hint="eastAsia" w:ascii="宋体" w:hAnsi="宋体"/>
          <w:bCs/>
          <w:color w:val="auto"/>
          <w:szCs w:val="21"/>
          <w:highlight w:val="none"/>
        </w:rPr>
        <w:t>。</w:t>
      </w:r>
    </w:p>
    <w:p w14:paraId="10F40589">
      <w:pPr>
        <w:spacing w:line="360" w:lineRule="auto"/>
        <w:ind w:firstLine="420" w:firstLineChars="200"/>
        <w:rPr>
          <w:rFonts w:ascii="宋体" w:hAnsi="宋体"/>
          <w:bCs/>
          <w:color w:val="auto"/>
          <w:szCs w:val="21"/>
          <w:highlight w:val="none"/>
        </w:rPr>
      </w:pPr>
    </w:p>
    <w:p w14:paraId="15778B92">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（以下为签名盖章页）。</w:t>
      </w:r>
    </w:p>
    <w:p w14:paraId="3D9C34CE">
      <w:pPr>
        <w:pStyle w:val="2"/>
        <w:spacing w:line="360" w:lineRule="auto"/>
        <w:ind w:firstLine="420" w:firstLineChars="200"/>
        <w:rPr>
          <w:rFonts w:ascii="宋体" w:hAnsi="宋体"/>
          <w:color w:val="auto"/>
          <w:szCs w:val="21"/>
          <w:highlight w:val="none"/>
        </w:rPr>
      </w:pPr>
    </w:p>
    <w:p w14:paraId="5C895267">
      <w:pPr>
        <w:pStyle w:val="2"/>
        <w:spacing w:line="360" w:lineRule="auto"/>
        <w:ind w:firstLine="420" w:firstLineChars="200"/>
        <w:rPr>
          <w:rFonts w:ascii="宋体" w:hAnsi="宋体"/>
          <w:color w:val="auto"/>
          <w:szCs w:val="21"/>
          <w:highlight w:val="none"/>
        </w:rPr>
      </w:pPr>
    </w:p>
    <w:p w14:paraId="133F3EB2">
      <w:pPr>
        <w:adjustRightInd w:val="0"/>
        <w:spacing w:line="360" w:lineRule="auto"/>
        <w:ind w:firstLine="420" w:firstLineChars="200"/>
        <w:rPr>
          <w:rFonts w:ascii="宋体" w:hAnsi="宋体"/>
          <w:snapToGrid w:val="0"/>
          <w:color w:val="auto"/>
          <w:kern w:val="0"/>
          <w:szCs w:val="21"/>
          <w:highlight w:val="none"/>
        </w:rPr>
      </w:pPr>
      <w:bookmarkStart w:id="624" w:name="_Toc467689623"/>
      <w:r>
        <w:rPr>
          <w:rFonts w:ascii="宋体" w:hAnsi="宋体"/>
          <w:snapToGrid w:val="0"/>
          <w:color w:val="auto"/>
          <w:kern w:val="0"/>
          <w:szCs w:val="21"/>
          <w:highlight w:val="none"/>
        </w:rPr>
        <w:t>发包人：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盖单位</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14:paraId="552D93CB">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14:paraId="45EDD30C">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897314A">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58DACEC7">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B5F5BD7">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57933CA6">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24D6D23">
      <w:pPr>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20272FD2">
      <w:pPr>
        <w:spacing w:line="360" w:lineRule="auto"/>
        <w:rPr>
          <w:rFonts w:ascii="宋体" w:hAnsi="宋体"/>
          <w:snapToGrid w:val="0"/>
          <w:color w:val="auto"/>
          <w:kern w:val="0"/>
          <w:szCs w:val="21"/>
          <w:highlight w:val="none"/>
        </w:rPr>
      </w:pPr>
    </w:p>
    <w:p w14:paraId="0730E14A">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承包人：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盖单位</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14:paraId="457F0EA5">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14:paraId="53374D14">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12C28339">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33C5D0C2">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93698E4">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09F6D85">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1E18DE70">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2770D95A">
      <w:pPr>
        <w:pStyle w:val="2"/>
        <w:spacing w:line="360" w:lineRule="auto"/>
        <w:rPr>
          <w:rFonts w:ascii="宋体" w:hAnsi="宋体"/>
          <w:color w:val="auto"/>
          <w:szCs w:val="21"/>
          <w:highlight w:val="none"/>
        </w:rPr>
      </w:pPr>
    </w:p>
    <w:p w14:paraId="7A494D7F">
      <w:pPr>
        <w:spacing w:line="360" w:lineRule="auto"/>
        <w:jc w:val="right"/>
        <w:rPr>
          <w:rFonts w:ascii="宋体" w:hAnsi="宋体"/>
          <w:snapToGrid w:val="0"/>
          <w:color w:val="auto"/>
          <w:kern w:val="0"/>
          <w:szCs w:val="21"/>
          <w:highlight w:val="none"/>
        </w:rPr>
      </w:pPr>
    </w:p>
    <w:p w14:paraId="1472015D">
      <w:pPr>
        <w:spacing w:line="360" w:lineRule="auto"/>
        <w:jc w:val="right"/>
        <w:rPr>
          <w:rFonts w:ascii="宋体" w:hAnsi="宋体"/>
          <w:snapToGrid w:val="0"/>
          <w:color w:val="auto"/>
          <w:kern w:val="0"/>
          <w:szCs w:val="21"/>
          <w:highlight w:val="none"/>
        </w:rPr>
      </w:pPr>
    </w:p>
    <w:p w14:paraId="6BA0A997">
      <w:pPr>
        <w:spacing w:line="360" w:lineRule="auto"/>
        <w:jc w:val="right"/>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bookmarkEnd w:id="624"/>
    </w:p>
    <w:p w14:paraId="78A03BCC">
      <w:pPr>
        <w:pStyle w:val="5"/>
        <w:jc w:val="center"/>
        <w:rPr>
          <w:rFonts w:ascii="宋体" w:hAnsi="宋体"/>
          <w:bCs w:val="0"/>
          <w:color w:val="auto"/>
          <w:sz w:val="21"/>
          <w:szCs w:val="21"/>
          <w:highlight w:val="none"/>
        </w:rPr>
      </w:pPr>
      <w:r>
        <w:rPr>
          <w:rFonts w:hint="eastAsia" w:ascii="宋体" w:hAnsi="宋体"/>
          <w:b w:val="0"/>
          <w:snapToGrid w:val="0"/>
          <w:color w:val="auto"/>
          <w:sz w:val="21"/>
          <w:szCs w:val="21"/>
          <w:highlight w:val="none"/>
          <w:lang w:val="zh-CN"/>
        </w:rPr>
        <w:br w:type="page"/>
      </w:r>
      <w:bookmarkStart w:id="625" w:name="_Toc529388289"/>
      <w:bookmarkStart w:id="626" w:name="_Toc20874"/>
      <w:bookmarkStart w:id="627" w:name="_Toc532375586"/>
      <w:bookmarkStart w:id="628" w:name="_Toc532377179"/>
      <w:r>
        <w:rPr>
          <w:rFonts w:hint="eastAsia" w:ascii="宋体" w:hAnsi="宋体"/>
          <w:color w:val="auto"/>
          <w:sz w:val="44"/>
          <w:szCs w:val="44"/>
          <w:highlight w:val="none"/>
        </w:rPr>
        <w:t>第二部分 通用合同条款</w:t>
      </w:r>
      <w:bookmarkEnd w:id="625"/>
      <w:bookmarkEnd w:id="626"/>
      <w:bookmarkEnd w:id="627"/>
      <w:bookmarkEnd w:id="628"/>
    </w:p>
    <w:p w14:paraId="7D8856BB">
      <w:pPr>
        <w:pStyle w:val="6"/>
        <w:keepNext/>
        <w:keepLines/>
        <w:spacing w:before="156" w:beforeLines="50" w:beforeAutospacing="0" w:after="156" w:afterLines="50" w:afterAutospacing="0" w:line="360" w:lineRule="auto"/>
        <w:jc w:val="both"/>
        <w:rPr>
          <w:color w:val="auto"/>
          <w:kern w:val="2"/>
          <w:sz w:val="21"/>
          <w:szCs w:val="21"/>
          <w:highlight w:val="none"/>
        </w:rPr>
      </w:pPr>
      <w:bookmarkStart w:id="629" w:name="_Toc351203495"/>
      <w:bookmarkStart w:id="630" w:name="_Toc532377180"/>
      <w:bookmarkStart w:id="631" w:name="_Toc532375587"/>
      <w:r>
        <w:rPr>
          <w:rFonts w:hint="eastAsia"/>
          <w:color w:val="auto"/>
          <w:kern w:val="2"/>
          <w:sz w:val="21"/>
          <w:szCs w:val="21"/>
          <w:highlight w:val="none"/>
        </w:rPr>
        <w:t>1.</w:t>
      </w:r>
      <w:bookmarkStart w:id="632" w:name="_Toc303538976"/>
      <w:bookmarkEnd w:id="632"/>
      <w:bookmarkStart w:id="633" w:name="_Toc303538973"/>
      <w:bookmarkEnd w:id="633"/>
      <w:bookmarkStart w:id="634" w:name="_Toc303538972"/>
      <w:bookmarkEnd w:id="634"/>
      <w:bookmarkStart w:id="635" w:name="_Toc303538974"/>
      <w:bookmarkEnd w:id="635"/>
      <w:bookmarkStart w:id="636" w:name="_Toc303538975"/>
      <w:bookmarkEnd w:id="636"/>
      <w:bookmarkStart w:id="637" w:name="_Toc296346528"/>
      <w:bookmarkStart w:id="638" w:name="_Toc296503027"/>
      <w:r>
        <w:rPr>
          <w:rFonts w:hint="eastAsia"/>
          <w:color w:val="auto"/>
          <w:kern w:val="2"/>
          <w:sz w:val="21"/>
          <w:szCs w:val="21"/>
          <w:highlight w:val="none"/>
        </w:rPr>
        <w:t>一般约定</w:t>
      </w:r>
      <w:bookmarkEnd w:id="629"/>
      <w:bookmarkEnd w:id="630"/>
      <w:bookmarkEnd w:id="631"/>
      <w:bookmarkEnd w:id="637"/>
      <w:bookmarkEnd w:id="638"/>
    </w:p>
    <w:p w14:paraId="5EB58423">
      <w:pPr>
        <w:pStyle w:val="7"/>
        <w:spacing w:before="0" w:beforeAutospacing="0" w:after="0" w:afterAutospacing="0" w:line="360" w:lineRule="auto"/>
        <w:ind w:firstLine="422" w:firstLineChars="200"/>
        <w:rPr>
          <w:color w:val="auto"/>
          <w:sz w:val="21"/>
          <w:szCs w:val="21"/>
          <w:highlight w:val="none"/>
        </w:rPr>
      </w:pPr>
      <w:bookmarkStart w:id="639" w:name="_Toc296346529"/>
      <w:bookmarkStart w:id="640" w:name="_Toc296503028"/>
      <w:bookmarkStart w:id="641" w:name="_Toc337558728"/>
      <w:bookmarkStart w:id="642" w:name="_Toc532377181"/>
      <w:bookmarkStart w:id="643" w:name="_Toc351203496"/>
      <w:r>
        <w:rPr>
          <w:rFonts w:hint="eastAsia"/>
          <w:color w:val="auto"/>
          <w:sz w:val="21"/>
          <w:szCs w:val="21"/>
          <w:highlight w:val="none"/>
        </w:rPr>
        <w:t>1.1词语定义</w:t>
      </w:r>
      <w:bookmarkEnd w:id="639"/>
      <w:bookmarkEnd w:id="640"/>
      <w:bookmarkEnd w:id="641"/>
      <w:r>
        <w:rPr>
          <w:rFonts w:hint="eastAsia"/>
          <w:color w:val="auto"/>
          <w:sz w:val="21"/>
          <w:szCs w:val="21"/>
          <w:highlight w:val="none"/>
        </w:rPr>
        <w:t>与解释</w:t>
      </w:r>
      <w:bookmarkEnd w:id="642"/>
      <w:bookmarkEnd w:id="643"/>
    </w:p>
    <w:p w14:paraId="2A792DF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合同协议书、通用合同条款、专用合同条款中的下列词语具有本款所赋予的含义：</w:t>
      </w:r>
    </w:p>
    <w:p w14:paraId="0180468F">
      <w:pPr>
        <w:pStyle w:val="7"/>
        <w:spacing w:before="0" w:beforeAutospacing="0" w:after="0" w:afterAutospacing="0" w:line="360" w:lineRule="auto"/>
        <w:ind w:firstLine="420" w:firstLineChars="200"/>
        <w:rPr>
          <w:b w:val="0"/>
          <w:bCs w:val="0"/>
          <w:color w:val="auto"/>
          <w:sz w:val="21"/>
          <w:szCs w:val="21"/>
          <w:highlight w:val="none"/>
        </w:rPr>
      </w:pPr>
      <w:bookmarkStart w:id="644" w:name="_Toc532377182"/>
      <w:r>
        <w:rPr>
          <w:rFonts w:hint="eastAsia"/>
          <w:b w:val="0"/>
          <w:bCs w:val="0"/>
          <w:color w:val="auto"/>
          <w:sz w:val="21"/>
          <w:szCs w:val="21"/>
          <w:highlight w:val="none"/>
        </w:rPr>
        <w:t>1.1.1 合同</w:t>
      </w:r>
      <w:bookmarkEnd w:id="644"/>
    </w:p>
    <w:p w14:paraId="796B637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 合同：是指根据法律规定和合同当事人约定具有约束力的文件，构成合同的文件包括合同协议书、中标通知书（如有）、投标函及其附录（如有）、专用合同条款</w:t>
      </w:r>
      <w:r>
        <w:rPr>
          <w:rFonts w:hint="eastAsia" w:ascii="宋体" w:hAnsi="宋体"/>
          <w:color w:val="auto"/>
          <w:szCs w:val="21"/>
          <w:highlight w:val="none"/>
        </w:rPr>
        <w:t>及其附件</w:t>
      </w:r>
      <w:r>
        <w:rPr>
          <w:rFonts w:hint="eastAsia" w:ascii="宋体" w:hAnsi="宋体"/>
          <w:color w:val="auto"/>
          <w:kern w:val="0"/>
          <w:szCs w:val="21"/>
          <w:highlight w:val="none"/>
        </w:rPr>
        <w:t>、通用合同条款、技术标准和要求、图纸、已标价工程量清单或预算书以及其他合同文件。</w:t>
      </w:r>
    </w:p>
    <w:p w14:paraId="5CBCED7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1.1.1.2 合同协议书：是指构成合同的由发包人和承包人共同签署的称为“合同协议书”的书面文件。</w:t>
      </w:r>
    </w:p>
    <w:p w14:paraId="2470DEE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1.1.1.3 中标通知书：是指构成合同的由发包人通知承包人中标的书面文件。</w:t>
      </w:r>
    </w:p>
    <w:p w14:paraId="147537F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1.1.1.4 投标函：是指构成合同的由承包人填写并签署的用于投标的称为“投标函”的文件。</w:t>
      </w:r>
    </w:p>
    <w:p w14:paraId="1D3755C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1.1.1.5 投标函附录：是指构成合同的附在投标函后的称为“投标函附录”的文件。</w:t>
      </w:r>
    </w:p>
    <w:p w14:paraId="44013A1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1.1.1.6 技术标准和要求：是指构成合同的施工应当遵守的或指导施工的国家、行业或地方的技术标准和要求，以及合同约定的技术标准和要求。</w:t>
      </w:r>
    </w:p>
    <w:p w14:paraId="2258F82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7F73327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1.1.1.8 已标价工程量清单：是指构成合同的由承包人按照规定的格式和要求填写并标明价格的工程量清单，包括说明和表格。</w:t>
      </w:r>
    </w:p>
    <w:p w14:paraId="2B28A34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1.1.1.9 预算书：是指构成合同的由承包人按照发包人规定的格式和要求编制的工程预算文件。</w:t>
      </w:r>
    </w:p>
    <w:p w14:paraId="4A9D077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1.1.1.10 其他合同文件：是指经合同当事人约定的与工程施工有关的具有合同约束力的文件或书面协议。合同当事人可以在专用合同条款中进行约定。</w:t>
      </w:r>
    </w:p>
    <w:p w14:paraId="1575215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 合同当事人及其他相关方</w:t>
      </w:r>
    </w:p>
    <w:p w14:paraId="0F93F63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1.1.2.1 合同当事人：是指发包人和（或）承包人。</w:t>
      </w:r>
    </w:p>
    <w:p w14:paraId="7A15D74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1.1.2.2 发包人：是指与承包人签订合同协议书的当事人及取得该当事人资格的合法继承人。</w:t>
      </w:r>
    </w:p>
    <w:p w14:paraId="3A3E4B8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1.1.2.3 承包人：是指与发包人签订合同协议书的，具有相应工程施工承包资质的当事人及取得该当事人资格的合法继承人。</w:t>
      </w:r>
    </w:p>
    <w:p w14:paraId="77028C5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1.1.2.4 监理人：是指在专用合同条款中指明的，受发包人委托按照法律规定进行工程监督管理的法人或其他组织。</w:t>
      </w:r>
    </w:p>
    <w:p w14:paraId="27FED8C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1.1.2.5 设计人：是指在专用合同条款中指明的，受发包人委托负责工程设计并具备相应工程设计资质的法人或其他组织。</w:t>
      </w:r>
    </w:p>
    <w:p w14:paraId="0AF705E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1.1.2.6 分包人：</w:t>
      </w:r>
      <w:bookmarkStart w:id="645" w:name="#go5"/>
      <w:bookmarkEnd w:id="645"/>
      <w:r>
        <w:rPr>
          <w:rFonts w:hint="eastAsia" w:ascii="宋体" w:hAnsi="宋体"/>
          <w:color w:val="auto"/>
          <w:kern w:val="0"/>
          <w:szCs w:val="21"/>
          <w:highlight w:val="none"/>
        </w:rPr>
        <w:t>是指按照法律规定和合同约定，分包部分工程或工作，并与承包人签订分包合同的具有相应资质的法人。</w:t>
      </w:r>
    </w:p>
    <w:p w14:paraId="0EF7A69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1.1.2.7 发包人代表：是指由发包人任命并派驻施工现场在发包人授权范围内行使发包人权利的人。</w:t>
      </w:r>
    </w:p>
    <w:p w14:paraId="5C188D9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1.1.2.8 项目经理：是指由承包人任命并派驻施工现场，在承包人授权范围内负责合同履行，且按照法律规定具有相应资格的项目负责人。</w:t>
      </w:r>
    </w:p>
    <w:p w14:paraId="4C8CA5C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1.1.2.9 总监理工程师：是指由监理人任命并派驻施工现场进行工程监理的总负责人。</w:t>
      </w:r>
    </w:p>
    <w:p w14:paraId="003A33D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 工程和设备</w:t>
      </w:r>
    </w:p>
    <w:p w14:paraId="3C1B816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1.1.3.1 工程：是指与合同协议书中工程承包范围对应的永久工程和（或）临时工程。</w:t>
      </w:r>
    </w:p>
    <w:p w14:paraId="4ED2F91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1.1.3.2 永久工程：是指按合同约定建造并移交给发包人的工程，包括工程设备。</w:t>
      </w:r>
    </w:p>
    <w:p w14:paraId="574B930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1.1.3.3 临时工程：是指为完成合同约定的永久工程所修建的各类临时性工程，不包括施工设备。</w:t>
      </w:r>
    </w:p>
    <w:p w14:paraId="2DCBC79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1.1.3.4 单位工程：是指在合同协议书中指明的，具备独立施工条件并能形成独立使用功能的永久工程。</w:t>
      </w:r>
    </w:p>
    <w:p w14:paraId="04A9C41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1.1.3.5 工程设备：是指构成永久工程的机电设备、金属结构设备、仪器及其他类似的设备和装置。</w:t>
      </w:r>
    </w:p>
    <w:p w14:paraId="4A60E4A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1.1.3.6 施工设备：是指为完成合同约定的各项工作所需的设备、器具和其他物品，但不包括工程设备、临时工程和材料。</w:t>
      </w:r>
    </w:p>
    <w:p w14:paraId="7C79A86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1.1.3.7 施工现场：是指用于工程施工的场所，以及在专用合同条款中指明作为施工场所组成部分的其他场所，包括永久占地和临时占地。</w:t>
      </w:r>
    </w:p>
    <w:p w14:paraId="32B64BC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1.1.3.8临时设施：是指为完成合同约定的各项工作所服务的临时性生产和生活设施。</w:t>
      </w:r>
    </w:p>
    <w:p w14:paraId="312B39C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1.1.3.9 永久占地：是指专用合同条款中指明为实施工程需永久占用的土地。</w:t>
      </w:r>
    </w:p>
    <w:p w14:paraId="1974E3A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1.1.3.10 临时占地：是指专用合同条款中指明为实施工程需要临时占用的土地。</w:t>
      </w:r>
    </w:p>
    <w:p w14:paraId="0DD0517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 日期和期限</w:t>
      </w:r>
    </w:p>
    <w:p w14:paraId="2D12A0A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6AB05CE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1.1.4.2 竣工日期：包括计划竣工日期和实际竣工日期。计划竣工日期是指合同协议书约定的竣工日期；实际竣工日期按照第13.2.3项〔竣工日期〕的约定确定。 </w:t>
      </w:r>
    </w:p>
    <w:p w14:paraId="640DC0F9">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1.1.4.3 工期：是指在合同协议书约定的承包人完成工程所需的期限，包括按照合同约定所作的期限变更。</w:t>
      </w:r>
    </w:p>
    <w:p w14:paraId="560B5CD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1.1.4.4 缺陷责任期：是指承包人按照合同约定承担缺陷修复义务，且发包人预留质量保证金（已缴纳履约保证金的除外）的期限，自工程实际竣工日期起计算。</w:t>
      </w:r>
    </w:p>
    <w:p w14:paraId="314C34D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1.1.4.5 保修期：是指承包人按照合同约定对工程承担保修责任的期限，从工程竣工验收合格之日起计算。</w:t>
      </w:r>
    </w:p>
    <w:p w14:paraId="47003C8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1.1.4.6 基准日期：招标发包的工程以投标截止日前28天的日期为基准日期，直接发包的工程以合同签订日前28天的日期为基准日期。</w:t>
      </w:r>
    </w:p>
    <w:p w14:paraId="410E321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1.1.4.7 天：除特别指明外，均指日历天。合同中按天计算时间的，开始当天不计入，从次日开始计算，期限最后一天的截止时间为当天24：00时。</w:t>
      </w:r>
    </w:p>
    <w:p w14:paraId="6BE4157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 合同价格和费用</w:t>
      </w:r>
    </w:p>
    <w:p w14:paraId="56CA65B7">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1.1.5.1 签约合同价：是指</w:t>
      </w:r>
      <w:r>
        <w:rPr>
          <w:rFonts w:hint="eastAsia" w:ascii="宋体" w:hAnsi="宋体"/>
          <w:color w:val="auto"/>
          <w:szCs w:val="21"/>
          <w:highlight w:val="none"/>
        </w:rPr>
        <w:t>发包人和承包人在合同协议书中确定的总金额，包括安全文明施工费、暂估价及暂列金额等。</w:t>
      </w:r>
    </w:p>
    <w:p w14:paraId="785A4FC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1.1.5.2 合同价格：是指发包人用于支付承包人按照合同约定完成承包范围内全部工作的金额，包括合同履行过程中按合同约定发生的价格变化。</w:t>
      </w:r>
    </w:p>
    <w:p w14:paraId="03E7078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1.1.5.3 费用：是指为履行合同所发生的或将要发生的所有必需的开支，包括管理费和应分摊的其他费用，但不包括利润。</w:t>
      </w:r>
    </w:p>
    <w:p w14:paraId="7352EB6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1.1.5.4 暂估价：是指发包人在工程量清单或预算书中提供的用于支付必然发生但暂时不能确定价格的材料、工程设备的单价、专业工程以及服务工作的金额。</w:t>
      </w:r>
    </w:p>
    <w:p w14:paraId="79EAC7D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41E2EF9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1.1.5.6 计日工：是指合同履行过程中，承包人完成发包人提出的零星工作或需要采用计日工计价的变更工作时，按合同中约定的单价计价的一种方式。</w:t>
      </w:r>
    </w:p>
    <w:p w14:paraId="204B5049">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1.1.5.7 质量保证金</w:t>
      </w:r>
      <w:bookmarkStart w:id="646" w:name="#go2"/>
      <w:bookmarkEnd w:id="646"/>
      <w:r>
        <w:rPr>
          <w:rFonts w:hint="eastAsia" w:ascii="宋体" w:hAnsi="宋体"/>
          <w:color w:val="auto"/>
          <w:kern w:val="0"/>
          <w:szCs w:val="21"/>
          <w:highlight w:val="none"/>
        </w:rPr>
        <w:t>：是指按照第15.3款〔质量保证金〕约定承包人用于保证其在缺陷责任期内履行缺陷修补义务的担保</w:t>
      </w:r>
      <w:r>
        <w:rPr>
          <w:rFonts w:hint="eastAsia" w:ascii="宋体" w:hAnsi="宋体"/>
          <w:color w:val="auto"/>
          <w:szCs w:val="21"/>
          <w:highlight w:val="none"/>
        </w:rPr>
        <w:t>。</w:t>
      </w:r>
    </w:p>
    <w:p w14:paraId="3EB33FF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1.1.5.8 总价项目：是指在现行国家、行业以及地方的计量规则中无工程量计算规则，在已标价工程量清单或预算书中以总价或以费率形式计算的项目。</w:t>
      </w:r>
    </w:p>
    <w:p w14:paraId="2B2D7A6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 其他</w:t>
      </w:r>
    </w:p>
    <w:p w14:paraId="69D29DA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1.1.6.1 书面形式：是指合同文件、信函、电报、传真等可以有形地表现所载内容的形式。</w:t>
      </w:r>
    </w:p>
    <w:p w14:paraId="4BF3C595">
      <w:pPr>
        <w:pStyle w:val="7"/>
        <w:spacing w:before="0" w:beforeAutospacing="0" w:after="0" w:afterAutospacing="0" w:line="360" w:lineRule="auto"/>
        <w:ind w:firstLine="422" w:firstLineChars="200"/>
        <w:rPr>
          <w:color w:val="auto"/>
          <w:sz w:val="21"/>
          <w:szCs w:val="21"/>
          <w:highlight w:val="none"/>
        </w:rPr>
      </w:pPr>
      <w:bookmarkStart w:id="647" w:name="_Toc532377183"/>
      <w:r>
        <w:rPr>
          <w:rFonts w:hint="eastAsia"/>
          <w:color w:val="auto"/>
          <w:sz w:val="21"/>
          <w:szCs w:val="21"/>
          <w:highlight w:val="none"/>
        </w:rPr>
        <w:t>1.2 语言文字</w:t>
      </w:r>
      <w:bookmarkEnd w:id="647"/>
    </w:p>
    <w:p w14:paraId="1898FF8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合同以中国的汉语简体文字编写、解释和说明。合同当事人在专用合同条款中约定使用两种以上语言时，汉语为优先解释和说明合同的语言。</w:t>
      </w:r>
    </w:p>
    <w:p w14:paraId="427D46E7">
      <w:pPr>
        <w:pStyle w:val="7"/>
        <w:spacing w:before="0" w:beforeAutospacing="0" w:after="0" w:afterAutospacing="0" w:line="360" w:lineRule="auto"/>
        <w:ind w:firstLine="422" w:firstLineChars="200"/>
        <w:rPr>
          <w:color w:val="auto"/>
          <w:sz w:val="21"/>
          <w:szCs w:val="21"/>
          <w:highlight w:val="none"/>
        </w:rPr>
      </w:pPr>
      <w:bookmarkStart w:id="648" w:name="_Toc351203498"/>
      <w:bookmarkStart w:id="649" w:name="_Toc296503030"/>
      <w:bookmarkStart w:id="650" w:name="_Toc337558730"/>
      <w:bookmarkStart w:id="651" w:name="_Toc532377184"/>
      <w:bookmarkStart w:id="652" w:name="_Toc296346531"/>
      <w:r>
        <w:rPr>
          <w:rFonts w:hint="eastAsia"/>
          <w:color w:val="auto"/>
          <w:sz w:val="21"/>
          <w:szCs w:val="21"/>
          <w:highlight w:val="none"/>
        </w:rPr>
        <w:t>1.3法律</w:t>
      </w:r>
      <w:bookmarkEnd w:id="648"/>
      <w:bookmarkEnd w:id="649"/>
      <w:bookmarkEnd w:id="650"/>
      <w:bookmarkEnd w:id="651"/>
      <w:bookmarkEnd w:id="652"/>
    </w:p>
    <w:p w14:paraId="03D6F9F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合同所称法律是指中华人民共和国法律、行政法规、部门规章，以及工程所在地的地方性法规、自治条例、单行条例和地方政府规章等。</w:t>
      </w:r>
    </w:p>
    <w:p w14:paraId="0E799F5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合同当事人可以在专用合同条款中约定合同适用的其他规范性文件。</w:t>
      </w:r>
    </w:p>
    <w:p w14:paraId="44B99741">
      <w:pPr>
        <w:pStyle w:val="7"/>
        <w:spacing w:before="0" w:beforeAutospacing="0" w:after="0" w:afterAutospacing="0" w:line="360" w:lineRule="auto"/>
        <w:ind w:firstLine="422" w:firstLineChars="200"/>
        <w:rPr>
          <w:color w:val="auto"/>
          <w:sz w:val="21"/>
          <w:szCs w:val="21"/>
          <w:highlight w:val="none"/>
        </w:rPr>
      </w:pPr>
      <w:bookmarkStart w:id="653" w:name="_Toc532377185"/>
      <w:bookmarkStart w:id="654" w:name="_Toc351203499"/>
      <w:r>
        <w:rPr>
          <w:rFonts w:hint="eastAsia"/>
          <w:color w:val="auto"/>
          <w:sz w:val="21"/>
          <w:szCs w:val="21"/>
          <w:highlight w:val="none"/>
        </w:rPr>
        <w:t>1.4 标准和规范</w:t>
      </w:r>
      <w:bookmarkEnd w:id="653"/>
      <w:bookmarkEnd w:id="654"/>
    </w:p>
    <w:p w14:paraId="3A64F2F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1.4.1 适用于工程的国家标准、行业标准、工程所在地的地方性标准，以及相应的规范、规程等，合同当事人有特别要求的，应在专用合同条款中约定。</w:t>
      </w:r>
    </w:p>
    <w:p w14:paraId="46E652A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1.4.2 发包人要求使用国外标准、规范的，发包人负责提供原文版本和中文译本，并在专用合同条款中约定提供标准规范的名称、份数和时间。</w:t>
      </w:r>
    </w:p>
    <w:p w14:paraId="64D4073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671C60B3">
      <w:pPr>
        <w:pStyle w:val="7"/>
        <w:spacing w:before="0" w:beforeAutospacing="0" w:after="0" w:afterAutospacing="0" w:line="360" w:lineRule="auto"/>
        <w:ind w:firstLine="422" w:firstLineChars="200"/>
        <w:rPr>
          <w:color w:val="auto"/>
          <w:sz w:val="21"/>
          <w:szCs w:val="21"/>
          <w:highlight w:val="none"/>
        </w:rPr>
      </w:pPr>
      <w:bookmarkStart w:id="655" w:name="_Toc351203500"/>
      <w:bookmarkStart w:id="656" w:name="_Toc532377186"/>
      <w:r>
        <w:rPr>
          <w:rFonts w:hint="eastAsia"/>
          <w:color w:val="auto"/>
          <w:sz w:val="21"/>
          <w:szCs w:val="21"/>
          <w:highlight w:val="none"/>
        </w:rPr>
        <w:t>1</w:t>
      </w:r>
      <w:bookmarkStart w:id="657" w:name="_Toc296503031"/>
      <w:bookmarkStart w:id="658" w:name="_Toc296346532"/>
      <w:bookmarkStart w:id="659" w:name="_Toc337558731"/>
      <w:r>
        <w:rPr>
          <w:rFonts w:hint="eastAsia"/>
          <w:color w:val="auto"/>
          <w:sz w:val="21"/>
          <w:szCs w:val="21"/>
          <w:highlight w:val="none"/>
        </w:rPr>
        <w:t>.5 合同文件的优先顺序</w:t>
      </w:r>
      <w:bookmarkEnd w:id="655"/>
      <w:bookmarkEnd w:id="656"/>
    </w:p>
    <w:bookmarkEnd w:id="657"/>
    <w:bookmarkEnd w:id="658"/>
    <w:bookmarkEnd w:id="659"/>
    <w:p w14:paraId="28F9A58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组成合同的各项文件应互相解释，互为说明。除专用合同条款另有约定外，解释合同文件的优先顺序如下：</w:t>
      </w:r>
    </w:p>
    <w:p w14:paraId="47042B3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（1）合同协议书；</w:t>
      </w:r>
    </w:p>
    <w:p w14:paraId="41FA1FA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（2）中标通知书（如有）；</w:t>
      </w:r>
    </w:p>
    <w:p w14:paraId="2ECD3E3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（3）投标函及其附录（如有）；</w:t>
      </w:r>
    </w:p>
    <w:p w14:paraId="3364E8A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（4）专用合同条款及其附件；</w:t>
      </w:r>
    </w:p>
    <w:p w14:paraId="42E5F47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（5）通用合同条款；</w:t>
      </w:r>
    </w:p>
    <w:p w14:paraId="0585904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（6）技术标准和要求；</w:t>
      </w:r>
    </w:p>
    <w:p w14:paraId="7173EB0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（7）图纸；</w:t>
      </w:r>
    </w:p>
    <w:p w14:paraId="67445FD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（8）已标价工程量清单或预算书；</w:t>
      </w:r>
    </w:p>
    <w:p w14:paraId="3A98C00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（9）其他合同文件。</w:t>
      </w:r>
    </w:p>
    <w:p w14:paraId="6401C60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上述各项合同文件包括合同当事人就该项合同文件所作出的补充和修改，属于同一类内容的文件，应以最新签署的为准。</w:t>
      </w:r>
    </w:p>
    <w:p w14:paraId="262621D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在合同订立及履行过程中形成的与合同有关的文件均构成合同文件组成部分，并根据其性质确定优先解释顺序。</w:t>
      </w:r>
    </w:p>
    <w:p w14:paraId="5267253A">
      <w:pPr>
        <w:pStyle w:val="7"/>
        <w:spacing w:before="0" w:beforeAutospacing="0" w:after="0" w:afterAutospacing="0" w:line="360" w:lineRule="auto"/>
        <w:ind w:firstLine="422" w:firstLineChars="200"/>
        <w:rPr>
          <w:color w:val="auto"/>
          <w:sz w:val="21"/>
          <w:szCs w:val="21"/>
          <w:highlight w:val="none"/>
        </w:rPr>
      </w:pPr>
      <w:bookmarkStart w:id="660" w:name="_Toc351203501"/>
      <w:bookmarkStart w:id="661" w:name="_Toc532377187"/>
      <w:r>
        <w:rPr>
          <w:rFonts w:hint="eastAsia"/>
          <w:color w:val="auto"/>
          <w:sz w:val="21"/>
          <w:szCs w:val="21"/>
          <w:highlight w:val="none"/>
        </w:rPr>
        <w:t>1</w:t>
      </w:r>
      <w:bookmarkStart w:id="662" w:name="_Toc296346533"/>
      <w:bookmarkStart w:id="663" w:name="_Toc296503032"/>
      <w:bookmarkStart w:id="664" w:name="_Toc337558732"/>
      <w:r>
        <w:rPr>
          <w:rFonts w:hint="eastAsia"/>
          <w:color w:val="auto"/>
          <w:sz w:val="21"/>
          <w:szCs w:val="21"/>
          <w:highlight w:val="none"/>
        </w:rPr>
        <w:t>.6图纸和承包人文件</w:t>
      </w:r>
      <w:bookmarkEnd w:id="660"/>
      <w:bookmarkEnd w:id="661"/>
    </w:p>
    <w:bookmarkEnd w:id="662"/>
    <w:bookmarkEnd w:id="663"/>
    <w:bookmarkEnd w:id="664"/>
    <w:p w14:paraId="67381B2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 图纸的提供和交底</w:t>
      </w:r>
    </w:p>
    <w:p w14:paraId="1F2CB79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684A523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因发包人未按合同约定提供图纸导致承包人费用增加和（或）工期延误的，按照第7.5.1项〔因发包人原因导致工期延误〕约定办理。</w:t>
      </w:r>
    </w:p>
    <w:p w14:paraId="0B3A3AC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 图纸的错误</w:t>
      </w:r>
    </w:p>
    <w:p w14:paraId="55AC452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6D233D2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1.6.3 图纸的修改和补充</w:t>
      </w:r>
    </w:p>
    <w:p w14:paraId="297C2C0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1C6FAA0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1.6.4 承包人文件</w:t>
      </w:r>
    </w:p>
    <w:p w14:paraId="663D29C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承包人应按照专用合同条款的约定提供应当由其编制的与工程施工有关的文件，并按照专用合同条款约定的期限、数量和形式提交监理人，并由监理人报送发包人。</w:t>
      </w:r>
    </w:p>
    <w:p w14:paraId="147711A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7686232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1.6.5 图纸和承包人文件的保管</w:t>
      </w:r>
    </w:p>
    <w:p w14:paraId="5878F6D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除专用合同条款另有约定外，承包人应在施工现场另外保存一套完整的图纸和承包人文件，供发包人、监理人及有关人员进行工程检查时使用。</w:t>
      </w:r>
    </w:p>
    <w:p w14:paraId="73807703">
      <w:pPr>
        <w:pStyle w:val="7"/>
        <w:spacing w:before="0" w:beforeAutospacing="0" w:after="0" w:afterAutospacing="0" w:line="360" w:lineRule="auto"/>
        <w:ind w:firstLine="422" w:firstLineChars="200"/>
        <w:rPr>
          <w:color w:val="auto"/>
          <w:sz w:val="21"/>
          <w:szCs w:val="21"/>
          <w:highlight w:val="none"/>
        </w:rPr>
      </w:pPr>
      <w:bookmarkStart w:id="665" w:name="_Toc351203502"/>
      <w:bookmarkStart w:id="666" w:name="_Toc532377188"/>
      <w:r>
        <w:rPr>
          <w:rFonts w:hint="eastAsia"/>
          <w:color w:val="auto"/>
          <w:sz w:val="21"/>
          <w:szCs w:val="21"/>
          <w:highlight w:val="none"/>
        </w:rPr>
        <w:t>1</w:t>
      </w:r>
      <w:bookmarkStart w:id="667" w:name="_Toc296503033"/>
      <w:bookmarkStart w:id="668" w:name="_Toc296346534"/>
      <w:bookmarkStart w:id="669" w:name="_Toc337558733"/>
      <w:r>
        <w:rPr>
          <w:rFonts w:hint="eastAsia"/>
          <w:color w:val="auto"/>
          <w:sz w:val="21"/>
          <w:szCs w:val="21"/>
          <w:highlight w:val="none"/>
        </w:rPr>
        <w:t>.7联络</w:t>
      </w:r>
      <w:bookmarkEnd w:id="665"/>
      <w:bookmarkEnd w:id="666"/>
    </w:p>
    <w:bookmarkEnd w:id="667"/>
    <w:bookmarkEnd w:id="668"/>
    <w:bookmarkEnd w:id="669"/>
    <w:p w14:paraId="37E37DB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1.7.1 与合同有关的通知、批准、证明、证书、指示、指令、要求、请求、同意、意见、确定和决定等，均应采用书面形式，并应在合同约定的期限内送达接收人和送达地点。</w:t>
      </w:r>
    </w:p>
    <w:p w14:paraId="6FCC22E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1.7.2 发包人和承包人应在专用合同条款中约定各自的送达接收人和送达地点。任何一方合同当事人指定的接收人或送达地点发生变动的，应提前3天以书面形式通知对方。</w:t>
      </w:r>
    </w:p>
    <w:p w14:paraId="36133D5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1.7.3 发包人和承包人应当及时签收另一方送达至送达地点和指定接收人的来往信函。拒不签收的，由此增加的费用和（或）延误的工期由拒绝接收一方承担。</w:t>
      </w:r>
    </w:p>
    <w:p w14:paraId="289E9CF8">
      <w:pPr>
        <w:pStyle w:val="7"/>
        <w:spacing w:before="0" w:beforeAutospacing="0" w:after="0" w:afterAutospacing="0" w:line="360" w:lineRule="auto"/>
        <w:ind w:firstLine="422" w:firstLineChars="200"/>
        <w:rPr>
          <w:color w:val="auto"/>
          <w:sz w:val="21"/>
          <w:szCs w:val="21"/>
          <w:highlight w:val="none"/>
        </w:rPr>
      </w:pPr>
      <w:bookmarkStart w:id="670" w:name="_Toc351203503"/>
      <w:bookmarkStart w:id="671" w:name="_Toc532377189"/>
      <w:r>
        <w:rPr>
          <w:rFonts w:hint="eastAsia"/>
          <w:color w:val="auto"/>
          <w:sz w:val="21"/>
          <w:szCs w:val="21"/>
          <w:highlight w:val="none"/>
        </w:rPr>
        <w:t>1</w:t>
      </w:r>
      <w:bookmarkStart w:id="672" w:name="_Toc296346536"/>
      <w:bookmarkStart w:id="673" w:name="_Toc296503035"/>
      <w:bookmarkStart w:id="674" w:name="_Toc337558734"/>
      <w:r>
        <w:rPr>
          <w:rFonts w:hint="eastAsia"/>
          <w:color w:val="auto"/>
          <w:sz w:val="21"/>
          <w:szCs w:val="21"/>
          <w:highlight w:val="none"/>
        </w:rPr>
        <w:t>.8严禁贿赂</w:t>
      </w:r>
      <w:bookmarkEnd w:id="670"/>
      <w:bookmarkEnd w:id="671"/>
    </w:p>
    <w:bookmarkEnd w:id="672"/>
    <w:bookmarkEnd w:id="673"/>
    <w:bookmarkEnd w:id="674"/>
    <w:p w14:paraId="3854A26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合同当事人不得以贿赂或变相贿赂的方式，谋取非法利益或损害对方权益。因一方合同当事人的贿赂造成对方损失的，应赔偿损失，并承担相应的法律责任。</w:t>
      </w:r>
    </w:p>
    <w:p w14:paraId="78017EB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7864B840">
      <w:pPr>
        <w:pStyle w:val="7"/>
        <w:spacing w:before="0" w:beforeAutospacing="0" w:after="0" w:afterAutospacing="0" w:line="360" w:lineRule="auto"/>
        <w:ind w:firstLine="422" w:firstLineChars="200"/>
        <w:rPr>
          <w:color w:val="auto"/>
          <w:sz w:val="21"/>
          <w:szCs w:val="21"/>
          <w:highlight w:val="none"/>
        </w:rPr>
      </w:pPr>
      <w:bookmarkStart w:id="675" w:name="_Toc532377190"/>
      <w:bookmarkStart w:id="676" w:name="_Toc351203504"/>
      <w:r>
        <w:rPr>
          <w:rFonts w:hint="eastAsia"/>
          <w:color w:val="auto"/>
          <w:sz w:val="21"/>
          <w:szCs w:val="21"/>
          <w:highlight w:val="none"/>
        </w:rPr>
        <w:t>1</w:t>
      </w:r>
      <w:bookmarkStart w:id="677" w:name="_Toc296503036"/>
      <w:bookmarkStart w:id="678" w:name="_Toc296346537"/>
      <w:bookmarkStart w:id="679" w:name="_Toc337558735"/>
      <w:r>
        <w:rPr>
          <w:rFonts w:hint="eastAsia"/>
          <w:color w:val="auto"/>
          <w:sz w:val="21"/>
          <w:szCs w:val="21"/>
          <w:highlight w:val="none"/>
        </w:rPr>
        <w:t>.9化石、文物</w:t>
      </w:r>
      <w:bookmarkEnd w:id="675"/>
      <w:bookmarkEnd w:id="676"/>
    </w:p>
    <w:bookmarkEnd w:id="677"/>
    <w:bookmarkEnd w:id="678"/>
    <w:bookmarkEnd w:id="679"/>
    <w:p w14:paraId="4405D96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709C9C2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发包人、监理人和承包人应按有关政府行政管理部门要求采取妥善的保护措施，由此增加的费用和（或）延误的工期由发包人承担。</w:t>
      </w:r>
    </w:p>
    <w:p w14:paraId="6E41C7D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承包人发现文物后不及时报告或隐瞒不报，致使文物丢失或损坏的，应赔偿损失，并承担相应的法律责任。</w:t>
      </w:r>
    </w:p>
    <w:p w14:paraId="66EFA899">
      <w:pPr>
        <w:pStyle w:val="7"/>
        <w:spacing w:before="0" w:beforeAutospacing="0" w:after="0" w:afterAutospacing="0" w:line="360" w:lineRule="auto"/>
        <w:ind w:firstLine="422" w:firstLineChars="200"/>
        <w:rPr>
          <w:color w:val="auto"/>
          <w:sz w:val="21"/>
          <w:szCs w:val="21"/>
          <w:highlight w:val="none"/>
        </w:rPr>
      </w:pPr>
      <w:bookmarkStart w:id="680" w:name="_Toc351203505"/>
      <w:bookmarkStart w:id="681" w:name="_Toc532377191"/>
      <w:r>
        <w:rPr>
          <w:rFonts w:hint="eastAsia"/>
          <w:color w:val="auto"/>
          <w:sz w:val="21"/>
          <w:szCs w:val="21"/>
          <w:highlight w:val="none"/>
        </w:rPr>
        <w:t>1</w:t>
      </w:r>
      <w:bookmarkStart w:id="682" w:name="_Toc337558736"/>
      <w:r>
        <w:rPr>
          <w:rFonts w:hint="eastAsia"/>
          <w:color w:val="auto"/>
          <w:sz w:val="21"/>
          <w:szCs w:val="21"/>
          <w:highlight w:val="none"/>
        </w:rPr>
        <w:t>.10交通运输</w:t>
      </w:r>
      <w:bookmarkEnd w:id="680"/>
      <w:bookmarkEnd w:id="681"/>
    </w:p>
    <w:bookmarkEnd w:id="682"/>
    <w:p w14:paraId="6F35029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1.10.1 出入现场的权利</w:t>
      </w:r>
    </w:p>
    <w:p w14:paraId="4FF4E9A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5A6B344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7013860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1.10.2 场外交通</w:t>
      </w:r>
    </w:p>
    <w:p w14:paraId="65E7859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23353CE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1.10.3场内交通</w:t>
      </w:r>
    </w:p>
    <w:p w14:paraId="3DA3F29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56D6256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6C30CC4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场外交通和场内交通的边界由合同当事人在专用合同条款中约定。</w:t>
      </w:r>
    </w:p>
    <w:p w14:paraId="4815317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1.10.4 超大件和超重件的运输</w:t>
      </w:r>
    </w:p>
    <w:p w14:paraId="74D2E3E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0B54D18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1.10.5 道路和桥梁的损坏责任</w:t>
      </w:r>
    </w:p>
    <w:p w14:paraId="14972B9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因承包人运输造成施工场地内外公共道路和桥梁损坏的，由承包人承担修复损坏的全部费用和可能引起的赔偿。</w:t>
      </w:r>
    </w:p>
    <w:p w14:paraId="5CFF369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1.10.6 水路和航空运输</w:t>
      </w:r>
    </w:p>
    <w:p w14:paraId="23FF34F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本款前述各项的内容适用于水路运输和航空运输，其中“道路”一词的涵义包括河道、航线、船闸、机场、码头、堤防以及水路或航空运输中其他相似结构物；“车辆”一词的涵义包括船舶和飞机等。</w:t>
      </w:r>
    </w:p>
    <w:p w14:paraId="13468121">
      <w:pPr>
        <w:pStyle w:val="7"/>
        <w:spacing w:before="0" w:beforeAutospacing="0" w:after="0" w:afterAutospacing="0" w:line="360" w:lineRule="auto"/>
        <w:ind w:firstLine="422" w:firstLineChars="200"/>
        <w:rPr>
          <w:color w:val="auto"/>
          <w:sz w:val="21"/>
          <w:szCs w:val="21"/>
          <w:highlight w:val="none"/>
        </w:rPr>
      </w:pPr>
      <w:bookmarkStart w:id="683" w:name="_Toc532377192"/>
      <w:bookmarkStart w:id="684" w:name="_Toc351203506"/>
      <w:r>
        <w:rPr>
          <w:rFonts w:hint="eastAsia"/>
          <w:color w:val="auto"/>
          <w:sz w:val="21"/>
          <w:szCs w:val="21"/>
          <w:highlight w:val="none"/>
        </w:rPr>
        <w:t>1</w:t>
      </w:r>
      <w:bookmarkStart w:id="685" w:name="_Toc337558737"/>
      <w:bookmarkStart w:id="686" w:name="_Toc296346538"/>
      <w:bookmarkStart w:id="687" w:name="_Toc296503037"/>
      <w:r>
        <w:rPr>
          <w:rFonts w:hint="eastAsia"/>
          <w:color w:val="auto"/>
          <w:sz w:val="21"/>
          <w:szCs w:val="21"/>
          <w:highlight w:val="none"/>
        </w:rPr>
        <w:t>.11知识产权</w:t>
      </w:r>
      <w:bookmarkEnd w:id="683"/>
      <w:bookmarkEnd w:id="684"/>
      <w:bookmarkEnd w:id="685"/>
    </w:p>
    <w:bookmarkEnd w:id="686"/>
    <w:bookmarkEnd w:id="687"/>
    <w:p w14:paraId="5D84CDC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02A1443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5545C7C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2120081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1.11.4 除专用合同条款另有约定外，承包人在合同签订前和签订时已确定采用的专利、专有技术、技术秘密的使用费已包含在签约合同价中。</w:t>
      </w:r>
    </w:p>
    <w:p w14:paraId="68D53F44">
      <w:pPr>
        <w:pStyle w:val="7"/>
        <w:spacing w:before="0" w:beforeAutospacing="0" w:after="0" w:afterAutospacing="0" w:line="360" w:lineRule="auto"/>
        <w:ind w:firstLine="422" w:firstLineChars="200"/>
        <w:rPr>
          <w:color w:val="auto"/>
          <w:sz w:val="21"/>
          <w:szCs w:val="21"/>
          <w:highlight w:val="none"/>
        </w:rPr>
      </w:pPr>
      <w:bookmarkStart w:id="688" w:name="_Toc532377193"/>
      <w:bookmarkStart w:id="689" w:name="_Toc351203507"/>
      <w:r>
        <w:rPr>
          <w:rFonts w:hint="eastAsia"/>
          <w:color w:val="auto"/>
          <w:sz w:val="21"/>
          <w:szCs w:val="21"/>
          <w:highlight w:val="none"/>
        </w:rPr>
        <w:t>1</w:t>
      </w:r>
      <w:bookmarkStart w:id="690" w:name="_Toc337558738"/>
      <w:r>
        <w:rPr>
          <w:rFonts w:hint="eastAsia"/>
          <w:color w:val="auto"/>
          <w:sz w:val="21"/>
          <w:szCs w:val="21"/>
          <w:highlight w:val="none"/>
        </w:rPr>
        <w:t>.12保密</w:t>
      </w:r>
      <w:bookmarkEnd w:id="688"/>
      <w:bookmarkEnd w:id="689"/>
    </w:p>
    <w:bookmarkEnd w:id="690"/>
    <w:p w14:paraId="44B7398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除法律规定或合同另有约定外，未经发包人同意，承包人不得将发包人提供的图纸、文件以及声明需要保密的资料信息等商业秘密泄露给第三方。</w:t>
      </w:r>
    </w:p>
    <w:p w14:paraId="7E83B51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除法律规定或合同另有约定外，未经承包人同意，发包人不得将承包人提供的技术秘密及声明需要保密的资料信息等商业秘密泄露给第三方。</w:t>
      </w:r>
    </w:p>
    <w:p w14:paraId="556C7F02">
      <w:pPr>
        <w:pStyle w:val="7"/>
        <w:spacing w:before="0" w:beforeAutospacing="0" w:after="0" w:afterAutospacing="0" w:line="360" w:lineRule="auto"/>
        <w:ind w:firstLine="422" w:firstLineChars="200"/>
        <w:rPr>
          <w:color w:val="auto"/>
          <w:sz w:val="21"/>
          <w:szCs w:val="21"/>
          <w:highlight w:val="none"/>
        </w:rPr>
      </w:pPr>
      <w:bookmarkStart w:id="691" w:name="_Toc532377194"/>
      <w:bookmarkStart w:id="692" w:name="_Toc351203508"/>
      <w:r>
        <w:rPr>
          <w:rFonts w:hint="eastAsia"/>
          <w:color w:val="auto"/>
          <w:sz w:val="21"/>
          <w:szCs w:val="21"/>
          <w:highlight w:val="none"/>
        </w:rPr>
        <w:t>1.13工程量清单错误的修正</w:t>
      </w:r>
      <w:bookmarkEnd w:id="691"/>
      <w:bookmarkEnd w:id="692"/>
    </w:p>
    <w:p w14:paraId="26058E2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除专用合同条款另有约定外，发包人提供的工程量清单，应被认为是准确的和完整的。出现下列情形之一时，发包人应予以修正，并相应调整合同价格：</w:t>
      </w:r>
    </w:p>
    <w:p w14:paraId="02EFC54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（1）工程量清单存在缺项、漏项的；</w:t>
      </w:r>
    </w:p>
    <w:p w14:paraId="5B70A0F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（2）工程量清单偏差超出专用合同条款约定的工程量偏差范围的；</w:t>
      </w:r>
    </w:p>
    <w:p w14:paraId="26BAA0F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（3）未按照国家现行计量规范强制性规定计量的。</w:t>
      </w:r>
    </w:p>
    <w:p w14:paraId="71E0F4DC">
      <w:pPr>
        <w:pStyle w:val="6"/>
        <w:keepNext/>
        <w:keepLines/>
        <w:spacing w:before="156" w:beforeLines="50" w:beforeAutospacing="0" w:after="156" w:afterLines="50" w:afterAutospacing="0" w:line="360" w:lineRule="auto"/>
        <w:jc w:val="both"/>
        <w:rPr>
          <w:color w:val="auto"/>
          <w:kern w:val="2"/>
          <w:sz w:val="21"/>
          <w:szCs w:val="21"/>
          <w:highlight w:val="none"/>
        </w:rPr>
      </w:pPr>
      <w:bookmarkStart w:id="693" w:name="_Toc351203509"/>
      <w:bookmarkStart w:id="694" w:name="_Toc532377195"/>
      <w:bookmarkStart w:id="695" w:name="_Toc532375588"/>
      <w:r>
        <w:rPr>
          <w:rFonts w:hint="eastAsia"/>
          <w:color w:val="auto"/>
          <w:kern w:val="2"/>
          <w:sz w:val="21"/>
          <w:szCs w:val="21"/>
          <w:highlight w:val="none"/>
        </w:rPr>
        <w:t>2</w:t>
      </w:r>
      <w:bookmarkStart w:id="696" w:name="_Toc296503038"/>
      <w:bookmarkStart w:id="697" w:name="_Toc296346539"/>
      <w:bookmarkStart w:id="698" w:name="_Toc337558739"/>
      <w:bookmarkStart w:id="699" w:name="OLE_LINK2"/>
      <w:r>
        <w:rPr>
          <w:rFonts w:hint="eastAsia"/>
          <w:color w:val="auto"/>
          <w:kern w:val="2"/>
          <w:sz w:val="21"/>
          <w:szCs w:val="21"/>
          <w:highlight w:val="none"/>
        </w:rPr>
        <w:t>. 发包人</w:t>
      </w:r>
      <w:bookmarkEnd w:id="693"/>
      <w:bookmarkEnd w:id="694"/>
      <w:bookmarkEnd w:id="695"/>
    </w:p>
    <w:bookmarkEnd w:id="696"/>
    <w:bookmarkEnd w:id="697"/>
    <w:bookmarkEnd w:id="698"/>
    <w:p w14:paraId="7EF24B7D">
      <w:pPr>
        <w:pStyle w:val="7"/>
        <w:spacing w:before="0" w:beforeAutospacing="0" w:after="0" w:afterAutospacing="0" w:line="360" w:lineRule="auto"/>
        <w:ind w:firstLine="422" w:firstLineChars="200"/>
        <w:rPr>
          <w:color w:val="auto"/>
          <w:sz w:val="21"/>
          <w:szCs w:val="21"/>
          <w:highlight w:val="none"/>
        </w:rPr>
      </w:pPr>
      <w:bookmarkStart w:id="700" w:name="_Toc532377196"/>
      <w:bookmarkStart w:id="701" w:name="_Toc351203510"/>
      <w:r>
        <w:rPr>
          <w:rFonts w:hint="eastAsia"/>
          <w:color w:val="auto"/>
          <w:sz w:val="21"/>
          <w:szCs w:val="21"/>
          <w:highlight w:val="none"/>
        </w:rPr>
        <w:t>2</w:t>
      </w:r>
      <w:bookmarkStart w:id="702" w:name="_Toc296503039"/>
      <w:bookmarkStart w:id="703" w:name="_Toc337558740"/>
      <w:bookmarkStart w:id="704" w:name="_Toc296346540"/>
      <w:r>
        <w:rPr>
          <w:rFonts w:hint="eastAsia"/>
          <w:color w:val="auto"/>
          <w:sz w:val="21"/>
          <w:szCs w:val="21"/>
          <w:highlight w:val="none"/>
        </w:rPr>
        <w:t>.1 许可或批准</w:t>
      </w:r>
      <w:bookmarkEnd w:id="700"/>
      <w:bookmarkEnd w:id="701"/>
    </w:p>
    <w:p w14:paraId="209F9DB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00800A9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因发包人原因未能及时办理完毕前述许可、批准或备案，由发包人承担由此增加的费用和（或）延误的工期，并支付承包人合理的利润。</w:t>
      </w:r>
    </w:p>
    <w:p w14:paraId="52AF155A">
      <w:pPr>
        <w:pStyle w:val="7"/>
        <w:spacing w:before="0" w:beforeAutospacing="0" w:after="0" w:afterAutospacing="0" w:line="360" w:lineRule="auto"/>
        <w:ind w:firstLine="422" w:firstLineChars="200"/>
        <w:rPr>
          <w:color w:val="auto"/>
          <w:sz w:val="21"/>
          <w:szCs w:val="21"/>
          <w:highlight w:val="none"/>
        </w:rPr>
      </w:pPr>
      <w:bookmarkStart w:id="705" w:name="_Toc532377197"/>
      <w:bookmarkStart w:id="706" w:name="_Toc351203511"/>
      <w:r>
        <w:rPr>
          <w:rFonts w:hint="eastAsia"/>
          <w:color w:val="auto"/>
          <w:sz w:val="21"/>
          <w:szCs w:val="21"/>
          <w:highlight w:val="none"/>
        </w:rPr>
        <w:t>2.2 发包人代表</w:t>
      </w:r>
      <w:bookmarkEnd w:id="705"/>
      <w:bookmarkEnd w:id="706"/>
    </w:p>
    <w:p w14:paraId="251A910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4BF44DB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发包人代表不能按照合同约定履行其职责及义务，并导致合同无法继续正常履行的，承包人可以要求发包人撤换发包人代表。</w:t>
      </w:r>
    </w:p>
    <w:p w14:paraId="4F5F7EB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不属于法定必须监理的工程，监理人的职权可以由发包人代表或发包人指定的其他人员行使。</w:t>
      </w:r>
    </w:p>
    <w:p w14:paraId="09CDD3EE">
      <w:pPr>
        <w:pStyle w:val="7"/>
        <w:spacing w:before="0" w:beforeAutospacing="0" w:after="0" w:afterAutospacing="0" w:line="360" w:lineRule="auto"/>
        <w:ind w:firstLine="422" w:firstLineChars="200"/>
        <w:rPr>
          <w:color w:val="auto"/>
          <w:sz w:val="21"/>
          <w:szCs w:val="21"/>
          <w:highlight w:val="none"/>
        </w:rPr>
      </w:pPr>
      <w:bookmarkStart w:id="707" w:name="_Toc351203512"/>
      <w:bookmarkStart w:id="708" w:name="_Toc532377198"/>
      <w:r>
        <w:rPr>
          <w:rFonts w:hint="eastAsia"/>
          <w:color w:val="auto"/>
          <w:sz w:val="21"/>
          <w:szCs w:val="21"/>
          <w:highlight w:val="none"/>
        </w:rPr>
        <w:t>2.3 发包人人员</w:t>
      </w:r>
      <w:bookmarkEnd w:id="707"/>
      <w:bookmarkEnd w:id="708"/>
    </w:p>
    <w:p w14:paraId="1CBFF7B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发包人应要求在施工现场的发包人人员遵守法律及有关安全、质量、环境保护、文明施工等规定，并保障承包人免于承受因发包人人员未遵守上述要求给承包人造成的损失和责任。</w:t>
      </w:r>
    </w:p>
    <w:p w14:paraId="7861734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发包人人员包括发包人代表及其他由发包人派驻施工现场的人员。</w:t>
      </w:r>
      <w:bookmarkEnd w:id="702"/>
      <w:bookmarkEnd w:id="703"/>
      <w:bookmarkEnd w:id="704"/>
    </w:p>
    <w:p w14:paraId="061C68F1">
      <w:pPr>
        <w:pStyle w:val="7"/>
        <w:spacing w:before="0" w:beforeAutospacing="0" w:after="0" w:afterAutospacing="0" w:line="360" w:lineRule="auto"/>
        <w:ind w:firstLine="422" w:firstLineChars="200"/>
        <w:rPr>
          <w:color w:val="auto"/>
          <w:sz w:val="21"/>
          <w:szCs w:val="21"/>
          <w:highlight w:val="none"/>
        </w:rPr>
      </w:pPr>
      <w:bookmarkStart w:id="709" w:name="_Toc351203513"/>
      <w:bookmarkStart w:id="710" w:name="_Toc532377199"/>
      <w:r>
        <w:rPr>
          <w:rFonts w:hint="eastAsia"/>
          <w:color w:val="auto"/>
          <w:sz w:val="21"/>
          <w:szCs w:val="21"/>
          <w:highlight w:val="none"/>
        </w:rPr>
        <w:t>2</w:t>
      </w:r>
      <w:bookmarkStart w:id="711" w:name="_Toc337558741"/>
      <w:bookmarkStart w:id="712" w:name="_Toc296346541"/>
      <w:bookmarkStart w:id="713" w:name="_Toc296503040"/>
      <w:r>
        <w:rPr>
          <w:rFonts w:hint="eastAsia"/>
          <w:color w:val="auto"/>
          <w:sz w:val="21"/>
          <w:szCs w:val="21"/>
          <w:highlight w:val="none"/>
        </w:rPr>
        <w:t>.4 施工现场、施工条件和基础资料的提供</w:t>
      </w:r>
      <w:bookmarkEnd w:id="709"/>
      <w:bookmarkEnd w:id="710"/>
      <w:bookmarkEnd w:id="711"/>
      <w:bookmarkEnd w:id="712"/>
      <w:bookmarkEnd w:id="713"/>
    </w:p>
    <w:p w14:paraId="619211B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2.4.1 提供施工现场</w:t>
      </w:r>
    </w:p>
    <w:p w14:paraId="38AF456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w:t>
      </w:r>
      <w:bookmarkEnd w:id="699"/>
      <w:r>
        <w:rPr>
          <w:rFonts w:hint="eastAsia" w:ascii="宋体" w:hAnsi="宋体"/>
          <w:color w:val="auto"/>
          <w:kern w:val="0"/>
          <w:szCs w:val="21"/>
          <w:highlight w:val="none"/>
        </w:rPr>
        <w:t>专用合同条款另有约定外，发包人应最迟于开工日期7天前向承包人移交施工现场。</w:t>
      </w:r>
    </w:p>
    <w:p w14:paraId="47B91DA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2.4.2 提供施工条件</w:t>
      </w:r>
    </w:p>
    <w:p w14:paraId="6DD6B42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除专用合同条款另有约定外，发包人应负责提供施工所需要的条件，包括：</w:t>
      </w:r>
    </w:p>
    <w:p w14:paraId="017EB44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（1）将施工用水、电力、通讯线路等施工所必需的条件接至施工现场内；</w:t>
      </w:r>
    </w:p>
    <w:p w14:paraId="783F7D1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（2）保证向承包人提供正常施工所需要的进入施工现场的交通条件；</w:t>
      </w:r>
    </w:p>
    <w:p w14:paraId="662C29F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（3）协调处理施工现场周围地下管线和邻近建筑物、构筑物、古树名木的保护工作，并承担相关费用；</w:t>
      </w:r>
    </w:p>
    <w:p w14:paraId="074F872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（4）按照专用合同条款约定应提供的其他设施和条件。</w:t>
      </w:r>
    </w:p>
    <w:p w14:paraId="42406ED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2.4.3 提供基础资料</w:t>
      </w:r>
    </w:p>
    <w:p w14:paraId="622F092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2966043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按照法律规定确需在开工后方能提供的基础资料，发包人应尽其努力及时地在相应工程施工前的合理期限内提供，合理期限应以不影响承包人的正常施工为限。</w:t>
      </w:r>
    </w:p>
    <w:p w14:paraId="5B1693B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2.4.4 逾期提供的责任</w:t>
      </w:r>
    </w:p>
    <w:p w14:paraId="7BB84D9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因发包人原因未能按合同约定及时向承包人提供施工现场、施工条件、基础资料的，由发包人承担由此增加的费用和（或）延误的工期。</w:t>
      </w:r>
    </w:p>
    <w:p w14:paraId="4575FDCF">
      <w:pPr>
        <w:pStyle w:val="7"/>
        <w:spacing w:before="0" w:beforeAutospacing="0" w:after="0" w:afterAutospacing="0" w:line="360" w:lineRule="auto"/>
        <w:ind w:firstLine="422" w:firstLineChars="200"/>
        <w:rPr>
          <w:color w:val="auto"/>
          <w:sz w:val="21"/>
          <w:szCs w:val="21"/>
          <w:highlight w:val="none"/>
        </w:rPr>
      </w:pPr>
      <w:bookmarkStart w:id="714" w:name="_Toc351203514"/>
      <w:bookmarkStart w:id="715" w:name="_Toc532377200"/>
      <w:r>
        <w:rPr>
          <w:rFonts w:hint="eastAsia"/>
          <w:color w:val="auto"/>
          <w:sz w:val="21"/>
          <w:szCs w:val="21"/>
          <w:highlight w:val="none"/>
        </w:rPr>
        <w:t>2</w:t>
      </w:r>
      <w:bookmarkStart w:id="716" w:name="_Toc337558745"/>
      <w:bookmarkStart w:id="717" w:name="_Toc296503042"/>
      <w:bookmarkStart w:id="718" w:name="_Toc296346543"/>
      <w:r>
        <w:rPr>
          <w:rFonts w:hint="eastAsia"/>
          <w:color w:val="auto"/>
          <w:sz w:val="21"/>
          <w:szCs w:val="21"/>
          <w:highlight w:val="none"/>
        </w:rPr>
        <w:t>.5 资</w:t>
      </w:r>
      <w:bookmarkEnd w:id="716"/>
      <w:bookmarkEnd w:id="717"/>
      <w:bookmarkEnd w:id="718"/>
      <w:r>
        <w:rPr>
          <w:rFonts w:hint="eastAsia"/>
          <w:color w:val="auto"/>
          <w:sz w:val="21"/>
          <w:szCs w:val="21"/>
          <w:highlight w:val="none"/>
        </w:rPr>
        <w:t>金来源证明及支付担保</w:t>
      </w:r>
      <w:bookmarkEnd w:id="714"/>
      <w:bookmarkEnd w:id="715"/>
    </w:p>
    <w:p w14:paraId="40ECF19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除专用合同条款另有约定外，发包人应在收到承包人要求提供资金来源证明的书面通知后28天内，向承包人提供能够按照合同约定支付合同价款的相应资金来源证明。</w:t>
      </w:r>
    </w:p>
    <w:p w14:paraId="22BE8D5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6B732312">
      <w:pPr>
        <w:pStyle w:val="7"/>
        <w:spacing w:before="0" w:beforeAutospacing="0" w:after="0" w:afterAutospacing="0" w:line="360" w:lineRule="auto"/>
        <w:ind w:firstLine="422" w:firstLineChars="200"/>
        <w:rPr>
          <w:color w:val="auto"/>
          <w:sz w:val="21"/>
          <w:szCs w:val="21"/>
          <w:highlight w:val="none"/>
        </w:rPr>
      </w:pPr>
      <w:bookmarkStart w:id="719" w:name="_Toc351203515"/>
      <w:bookmarkStart w:id="720" w:name="_Toc532377201"/>
      <w:r>
        <w:rPr>
          <w:rFonts w:hint="eastAsia"/>
          <w:color w:val="auto"/>
          <w:sz w:val="21"/>
          <w:szCs w:val="21"/>
          <w:highlight w:val="none"/>
        </w:rPr>
        <w:t>2.6 支付合同价款</w:t>
      </w:r>
      <w:bookmarkEnd w:id="719"/>
      <w:bookmarkEnd w:id="720"/>
    </w:p>
    <w:p w14:paraId="18228E5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发包人应按合同约定向承包人及时支付合同价款。</w:t>
      </w:r>
    </w:p>
    <w:p w14:paraId="3678029E">
      <w:pPr>
        <w:pStyle w:val="7"/>
        <w:spacing w:before="0" w:beforeAutospacing="0" w:after="0" w:afterAutospacing="0" w:line="360" w:lineRule="auto"/>
        <w:ind w:firstLine="422" w:firstLineChars="200"/>
        <w:rPr>
          <w:color w:val="auto"/>
          <w:sz w:val="21"/>
          <w:szCs w:val="21"/>
          <w:highlight w:val="none"/>
        </w:rPr>
      </w:pPr>
      <w:bookmarkStart w:id="721" w:name="_Toc532377202"/>
      <w:bookmarkStart w:id="722" w:name="_Toc351203516"/>
      <w:r>
        <w:rPr>
          <w:rFonts w:hint="eastAsia"/>
          <w:color w:val="auto"/>
          <w:sz w:val="21"/>
          <w:szCs w:val="21"/>
          <w:highlight w:val="none"/>
        </w:rPr>
        <w:t>2.7 组织竣工验收</w:t>
      </w:r>
      <w:bookmarkEnd w:id="721"/>
      <w:bookmarkEnd w:id="722"/>
    </w:p>
    <w:p w14:paraId="0C58740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发包人应按合同约定及时组织竣工验收。</w:t>
      </w:r>
    </w:p>
    <w:p w14:paraId="3AA04294">
      <w:pPr>
        <w:pStyle w:val="7"/>
        <w:spacing w:before="0" w:beforeAutospacing="0" w:after="0" w:afterAutospacing="0" w:line="360" w:lineRule="auto"/>
        <w:ind w:firstLine="422" w:firstLineChars="200"/>
        <w:rPr>
          <w:color w:val="auto"/>
          <w:sz w:val="21"/>
          <w:szCs w:val="21"/>
          <w:highlight w:val="none"/>
        </w:rPr>
      </w:pPr>
      <w:bookmarkStart w:id="723" w:name="_Toc351203517"/>
      <w:bookmarkStart w:id="724" w:name="_Toc532377203"/>
      <w:r>
        <w:rPr>
          <w:rFonts w:hint="eastAsia"/>
          <w:color w:val="auto"/>
          <w:sz w:val="21"/>
          <w:szCs w:val="21"/>
          <w:highlight w:val="none"/>
        </w:rPr>
        <w:t>2.8 现场统一管理协议</w:t>
      </w:r>
      <w:bookmarkEnd w:id="723"/>
      <w:bookmarkEnd w:id="724"/>
    </w:p>
    <w:p w14:paraId="7785237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发包人应与承包人、由发包人直接发包的专业工程的承包人签订施工现场统一管理协议，明确各方的权利义务。施工现场统一管理协议作为专用合同条款的附件。</w:t>
      </w:r>
    </w:p>
    <w:p w14:paraId="1E5AA1FF">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725" w:name="_Toc532375589"/>
      <w:bookmarkStart w:id="726" w:name="_Toc532377204"/>
      <w:bookmarkStart w:id="727" w:name="_Toc351203518"/>
      <w:r>
        <w:rPr>
          <w:rFonts w:hint="eastAsia"/>
          <w:color w:val="auto"/>
          <w:kern w:val="2"/>
          <w:sz w:val="21"/>
          <w:szCs w:val="21"/>
          <w:highlight w:val="none"/>
        </w:rPr>
        <w:t>3</w:t>
      </w:r>
      <w:bookmarkStart w:id="728" w:name="_Toc337558746"/>
      <w:bookmarkStart w:id="729" w:name="_Toc296346546"/>
      <w:bookmarkStart w:id="730" w:name="_Toc296503045"/>
      <w:r>
        <w:rPr>
          <w:rFonts w:hint="eastAsia"/>
          <w:color w:val="auto"/>
          <w:kern w:val="2"/>
          <w:sz w:val="21"/>
          <w:szCs w:val="21"/>
          <w:highlight w:val="none"/>
        </w:rPr>
        <w:t>. 承包人</w:t>
      </w:r>
      <w:bookmarkEnd w:id="725"/>
      <w:bookmarkEnd w:id="726"/>
      <w:bookmarkEnd w:id="727"/>
    </w:p>
    <w:bookmarkEnd w:id="728"/>
    <w:bookmarkEnd w:id="729"/>
    <w:bookmarkEnd w:id="730"/>
    <w:p w14:paraId="542D7D81">
      <w:pPr>
        <w:pStyle w:val="7"/>
        <w:spacing w:before="0" w:beforeAutospacing="0" w:after="0" w:afterAutospacing="0" w:line="360" w:lineRule="auto"/>
        <w:ind w:firstLine="422" w:firstLineChars="200"/>
        <w:rPr>
          <w:color w:val="auto"/>
          <w:sz w:val="21"/>
          <w:szCs w:val="21"/>
          <w:highlight w:val="none"/>
        </w:rPr>
      </w:pPr>
      <w:bookmarkStart w:id="731" w:name="_Toc532377205"/>
      <w:bookmarkStart w:id="732" w:name="_Toc351203519"/>
      <w:r>
        <w:rPr>
          <w:rFonts w:hint="eastAsia"/>
          <w:color w:val="auto"/>
          <w:sz w:val="21"/>
          <w:szCs w:val="21"/>
          <w:highlight w:val="none"/>
        </w:rPr>
        <w:t>3</w:t>
      </w:r>
      <w:bookmarkStart w:id="733" w:name="_Toc296346547"/>
      <w:bookmarkStart w:id="734" w:name="_Toc337558747"/>
      <w:bookmarkStart w:id="735" w:name="_Toc296503046"/>
      <w:r>
        <w:rPr>
          <w:rFonts w:hint="eastAsia"/>
          <w:color w:val="auto"/>
          <w:sz w:val="21"/>
          <w:szCs w:val="21"/>
          <w:highlight w:val="none"/>
        </w:rPr>
        <w:t>.1 承包人的一般义务</w:t>
      </w:r>
      <w:bookmarkEnd w:id="731"/>
      <w:bookmarkEnd w:id="732"/>
    </w:p>
    <w:bookmarkEnd w:id="733"/>
    <w:bookmarkEnd w:id="734"/>
    <w:bookmarkEnd w:id="735"/>
    <w:p w14:paraId="40E9637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承包人在履行合同过程中应遵守法律和工程建设标准规范，并履行以下义务：</w:t>
      </w:r>
    </w:p>
    <w:p w14:paraId="2EE573DC">
      <w:pPr>
        <w:numPr>
          <w:ilvl w:val="0"/>
          <w:numId w:val="2"/>
        </w:num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办理法律规定应由承包人办理的许可和批准，并将办理结果书面报送发包人留存；</w:t>
      </w:r>
    </w:p>
    <w:p w14:paraId="585941B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（2）按法律规定和合同约定完成工程，并在保修期内承担保修义务；</w:t>
      </w:r>
    </w:p>
    <w:p w14:paraId="23FF510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（3）按法律规定和合同约定采取施工安全和环境保护措施，办理工伤保险，确保工程及人员、材料、设备和设施的安全；</w:t>
      </w:r>
    </w:p>
    <w:p w14:paraId="68A6FF1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（4）按合同约定的工作内容和施工进度要求，编制施工组织设计和施工措施计划，并对所有施工作业和施工方法的完备性和安全可靠性负责；</w:t>
      </w:r>
    </w:p>
    <w:p w14:paraId="00A90BD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0F382F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（6）按照第6.3款〔环境保护〕约定负责施工场地及其周边环境与生态的保护工作；</w:t>
      </w:r>
    </w:p>
    <w:p w14:paraId="5F63935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（7）按第6.1款〔安全文明施工〕约定采取施工安全措施，确保工程及其人员、材料、设备和设施的安全，防止因工程施工造成的人身伤害和财产损失；</w:t>
      </w:r>
    </w:p>
    <w:p w14:paraId="33D4CBA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（8）将发包人按合同约定支付的各项价款专用于合同工程，且应及时支付其雇用人员工资，并及时向分包人支付合同价款；</w:t>
      </w:r>
    </w:p>
    <w:p w14:paraId="587EF21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（9）按照法律规定和合同约定编制竣工资料，完成竣工资料立卷及归档，并按专用合同条款约定的竣工资料的套数、内容、时间等要求移交发包人；</w:t>
      </w:r>
    </w:p>
    <w:p w14:paraId="3808847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（10）应履行的其他义务。</w:t>
      </w:r>
    </w:p>
    <w:p w14:paraId="71257C77">
      <w:pPr>
        <w:pStyle w:val="7"/>
        <w:spacing w:before="0" w:beforeAutospacing="0" w:after="0" w:afterAutospacing="0" w:line="360" w:lineRule="auto"/>
        <w:ind w:firstLine="422" w:firstLineChars="200"/>
        <w:rPr>
          <w:color w:val="auto"/>
          <w:sz w:val="21"/>
          <w:szCs w:val="21"/>
          <w:highlight w:val="none"/>
        </w:rPr>
      </w:pPr>
      <w:bookmarkStart w:id="736" w:name="_Toc351203520"/>
      <w:bookmarkStart w:id="737" w:name="_Toc532377206"/>
      <w:r>
        <w:rPr>
          <w:rFonts w:hint="eastAsia"/>
          <w:color w:val="auto"/>
          <w:sz w:val="21"/>
          <w:szCs w:val="21"/>
          <w:highlight w:val="none"/>
        </w:rPr>
        <w:t>3</w:t>
      </w:r>
      <w:bookmarkStart w:id="738" w:name="_Toc337558748"/>
      <w:bookmarkStart w:id="739" w:name="_Toc296503047"/>
      <w:bookmarkStart w:id="740" w:name="_Toc296346548"/>
      <w:r>
        <w:rPr>
          <w:rFonts w:hint="eastAsia"/>
          <w:color w:val="auto"/>
          <w:sz w:val="21"/>
          <w:szCs w:val="21"/>
          <w:highlight w:val="none"/>
        </w:rPr>
        <w:t xml:space="preserve">.2 </w:t>
      </w:r>
      <w:bookmarkEnd w:id="736"/>
      <w:r>
        <w:rPr>
          <w:rFonts w:hint="eastAsia"/>
          <w:color w:val="auto"/>
          <w:sz w:val="21"/>
          <w:szCs w:val="21"/>
          <w:highlight w:val="none"/>
        </w:rPr>
        <w:t>项目经理</w:t>
      </w:r>
      <w:bookmarkEnd w:id="737"/>
    </w:p>
    <w:bookmarkEnd w:id="738"/>
    <w:bookmarkEnd w:id="739"/>
    <w:bookmarkEnd w:id="740"/>
    <w:p w14:paraId="59018E6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240072E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03D0CE9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承包人违反上述约定的，应按照专用合同条款的约定，承担违约责任。</w:t>
      </w:r>
    </w:p>
    <w:p w14:paraId="0A9560F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60C11F8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149CD57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5CEF6ED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1D4A8FCA">
      <w:pPr>
        <w:pStyle w:val="7"/>
        <w:spacing w:before="0" w:beforeAutospacing="0" w:after="0" w:afterAutospacing="0" w:line="360" w:lineRule="auto"/>
        <w:ind w:firstLine="422" w:firstLineChars="200"/>
        <w:rPr>
          <w:color w:val="auto"/>
          <w:sz w:val="21"/>
          <w:szCs w:val="21"/>
          <w:highlight w:val="none"/>
        </w:rPr>
      </w:pPr>
      <w:bookmarkStart w:id="741" w:name="_Toc532377207"/>
      <w:bookmarkStart w:id="742" w:name="_Toc351203521"/>
      <w:r>
        <w:rPr>
          <w:rFonts w:hint="eastAsia"/>
          <w:color w:val="auto"/>
          <w:sz w:val="21"/>
          <w:szCs w:val="21"/>
          <w:highlight w:val="none"/>
        </w:rPr>
        <w:t>3</w:t>
      </w:r>
      <w:bookmarkStart w:id="743" w:name="_Toc296503048"/>
      <w:bookmarkStart w:id="744" w:name="_Toc296346549"/>
      <w:bookmarkStart w:id="745" w:name="_Toc337558749"/>
      <w:r>
        <w:rPr>
          <w:rFonts w:hint="eastAsia"/>
          <w:color w:val="auto"/>
          <w:sz w:val="21"/>
          <w:szCs w:val="21"/>
          <w:highlight w:val="none"/>
        </w:rPr>
        <w:t xml:space="preserve">.3 </w:t>
      </w:r>
      <w:bookmarkEnd w:id="743"/>
      <w:bookmarkEnd w:id="744"/>
      <w:r>
        <w:rPr>
          <w:rFonts w:hint="eastAsia"/>
          <w:color w:val="auto"/>
          <w:sz w:val="21"/>
          <w:szCs w:val="21"/>
          <w:highlight w:val="none"/>
        </w:rPr>
        <w:t>承包人人员</w:t>
      </w:r>
      <w:bookmarkEnd w:id="741"/>
      <w:bookmarkEnd w:id="742"/>
    </w:p>
    <w:bookmarkEnd w:id="745"/>
    <w:p w14:paraId="3F99EA6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6F27F70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57A2681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特殊工种作业人员均应持有相应的资格证明，监理人可以随时检查。</w:t>
      </w:r>
    </w:p>
    <w:p w14:paraId="789FD1D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23B510D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62AFC89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3.3.5 承包人擅自更换主要施工管理人员，或前述人员未经监理人或发包人同意擅自离开施工现场的，应按照专用合同条款约定承担违约责任。</w:t>
      </w:r>
    </w:p>
    <w:p w14:paraId="3DD4B113">
      <w:pPr>
        <w:pStyle w:val="7"/>
        <w:spacing w:before="0" w:beforeAutospacing="0" w:after="0" w:afterAutospacing="0" w:line="360" w:lineRule="auto"/>
        <w:ind w:firstLine="422" w:firstLineChars="200"/>
        <w:rPr>
          <w:color w:val="auto"/>
          <w:sz w:val="21"/>
          <w:szCs w:val="21"/>
          <w:highlight w:val="none"/>
        </w:rPr>
      </w:pPr>
      <w:bookmarkStart w:id="746" w:name="_Toc532377208"/>
      <w:bookmarkStart w:id="747" w:name="_Toc351203522"/>
      <w:r>
        <w:rPr>
          <w:rFonts w:hint="eastAsia"/>
          <w:color w:val="auto"/>
          <w:sz w:val="21"/>
          <w:szCs w:val="21"/>
          <w:highlight w:val="none"/>
        </w:rPr>
        <w:t>3</w:t>
      </w:r>
      <w:bookmarkStart w:id="748" w:name="_Toc296503050"/>
      <w:bookmarkStart w:id="749" w:name="_Toc296346551"/>
      <w:bookmarkStart w:id="750" w:name="_Toc337558750"/>
      <w:r>
        <w:rPr>
          <w:rFonts w:hint="eastAsia"/>
          <w:color w:val="auto"/>
          <w:sz w:val="21"/>
          <w:szCs w:val="21"/>
          <w:highlight w:val="none"/>
        </w:rPr>
        <w:t>.4 承包人现场查勘</w:t>
      </w:r>
      <w:bookmarkEnd w:id="746"/>
      <w:bookmarkEnd w:id="747"/>
    </w:p>
    <w:bookmarkEnd w:id="748"/>
    <w:bookmarkEnd w:id="749"/>
    <w:bookmarkEnd w:id="750"/>
    <w:p w14:paraId="3D93131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承包人应对基于发包人按照第2.4.3项〔提供基础资料〕提交的基础资料所做出的解释和推断负责，但因基础资料存在错误、遗漏导致承包人解释或推断失实的，由发包人承担责任。</w:t>
      </w:r>
    </w:p>
    <w:p w14:paraId="3DA791C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6D8A33EE">
      <w:pPr>
        <w:pStyle w:val="7"/>
        <w:spacing w:before="0" w:beforeAutospacing="0" w:after="0" w:afterAutospacing="0" w:line="360" w:lineRule="auto"/>
        <w:ind w:firstLine="422" w:firstLineChars="200"/>
        <w:rPr>
          <w:color w:val="auto"/>
          <w:sz w:val="21"/>
          <w:szCs w:val="21"/>
          <w:highlight w:val="none"/>
        </w:rPr>
      </w:pPr>
      <w:bookmarkStart w:id="751" w:name="_Toc351203523"/>
      <w:bookmarkStart w:id="752" w:name="_Toc532377209"/>
      <w:r>
        <w:rPr>
          <w:rFonts w:hint="eastAsia"/>
          <w:color w:val="auto"/>
          <w:sz w:val="21"/>
          <w:szCs w:val="21"/>
          <w:highlight w:val="none"/>
        </w:rPr>
        <w:t>3</w:t>
      </w:r>
      <w:bookmarkStart w:id="753" w:name="_Toc296503051"/>
      <w:bookmarkStart w:id="754" w:name="_Toc296346552"/>
      <w:bookmarkStart w:id="755" w:name="_Toc337558751"/>
      <w:r>
        <w:rPr>
          <w:rFonts w:hint="eastAsia"/>
          <w:color w:val="auto"/>
          <w:sz w:val="21"/>
          <w:szCs w:val="21"/>
          <w:highlight w:val="none"/>
        </w:rPr>
        <w:t>.5 分包</w:t>
      </w:r>
      <w:bookmarkEnd w:id="751"/>
      <w:bookmarkEnd w:id="752"/>
    </w:p>
    <w:bookmarkEnd w:id="753"/>
    <w:bookmarkEnd w:id="754"/>
    <w:bookmarkEnd w:id="755"/>
    <w:p w14:paraId="5A5F707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3.5.1 分包的一般约定</w:t>
      </w:r>
    </w:p>
    <w:p w14:paraId="7D6E6AF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1A50A10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承包人不得以劳务分包的名义转包或违法分包工程。</w:t>
      </w:r>
    </w:p>
    <w:p w14:paraId="657F44C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3.5.2 分包的确定</w:t>
      </w:r>
    </w:p>
    <w:p w14:paraId="3A354EA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4E36433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3.5.3 分包管理</w:t>
      </w:r>
    </w:p>
    <w:p w14:paraId="5C35EDC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承包人应向监理人提交分包人的主要施工管理人员表，并对分包人的施工人员进行实名制管理，包括但不限于进出场管理、登记造册以及各种证照的办理。</w:t>
      </w:r>
    </w:p>
    <w:p w14:paraId="093FF05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3.5.4 分包合同价款</w:t>
      </w:r>
    </w:p>
    <w:p w14:paraId="3D25125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（1）除本项第（2）目约定的情况或专用合同条款另有约定外，分包合同价款由承包人与分包人结算，未经承包人同意，发包人不得向分包人支付分包工程价款；</w:t>
      </w:r>
    </w:p>
    <w:p w14:paraId="36BD0A1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（2）生效法律文书要求发包人向分包人支付分包合同价款的，发包人有权从应付承包人工程款中扣除该部分款项。</w:t>
      </w:r>
    </w:p>
    <w:p w14:paraId="4790510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3.5.5 分包合同权益的转让</w:t>
      </w:r>
    </w:p>
    <w:p w14:paraId="4FB6AC8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756" w:name="_Toc351203524"/>
    </w:p>
    <w:p w14:paraId="4B190F76">
      <w:pPr>
        <w:pStyle w:val="7"/>
        <w:spacing w:before="0" w:beforeAutospacing="0" w:after="0" w:afterAutospacing="0" w:line="360" w:lineRule="auto"/>
        <w:ind w:firstLine="422" w:firstLineChars="200"/>
        <w:rPr>
          <w:color w:val="auto"/>
          <w:sz w:val="21"/>
          <w:szCs w:val="21"/>
          <w:highlight w:val="none"/>
        </w:rPr>
      </w:pPr>
      <w:bookmarkStart w:id="757" w:name="_Toc532377210"/>
      <w:r>
        <w:rPr>
          <w:rFonts w:hint="eastAsia"/>
          <w:color w:val="auto"/>
          <w:sz w:val="21"/>
          <w:szCs w:val="21"/>
          <w:highlight w:val="none"/>
        </w:rPr>
        <w:t>3.6 工程照管与成品、半成品保护</w:t>
      </w:r>
      <w:bookmarkEnd w:id="756"/>
      <w:bookmarkEnd w:id="757"/>
    </w:p>
    <w:p w14:paraId="53D1F9D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（1）除专用合同条款另有约定外，自发包人向承包人移交施工现场之日起，承包人应负责照管工程及工程相关的材料、工程设备，直到颁发工程接收证书之日止。</w:t>
      </w:r>
    </w:p>
    <w:p w14:paraId="7A44E33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（2）在承包人负责照管期间，因承包人原因造成工程、材料、工程设备损坏的，由承包人负责修复或更换，并承担由此增加的费用和（或）延误的工期。</w:t>
      </w:r>
    </w:p>
    <w:p w14:paraId="5D907DA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546E7E6A">
      <w:pPr>
        <w:pStyle w:val="7"/>
        <w:spacing w:before="0" w:beforeAutospacing="0" w:after="0" w:afterAutospacing="0" w:line="360" w:lineRule="auto"/>
        <w:ind w:firstLine="422" w:firstLineChars="200"/>
        <w:rPr>
          <w:color w:val="auto"/>
          <w:sz w:val="21"/>
          <w:szCs w:val="21"/>
          <w:highlight w:val="none"/>
        </w:rPr>
      </w:pPr>
      <w:bookmarkStart w:id="758" w:name="_Toc351203525"/>
      <w:bookmarkStart w:id="759" w:name="_Toc532377211"/>
      <w:r>
        <w:rPr>
          <w:rFonts w:hint="eastAsia"/>
          <w:color w:val="auto"/>
          <w:sz w:val="21"/>
          <w:szCs w:val="21"/>
          <w:highlight w:val="none"/>
        </w:rPr>
        <w:t>3</w:t>
      </w:r>
      <w:bookmarkStart w:id="760" w:name="_Toc296346553"/>
      <w:bookmarkStart w:id="761" w:name="_Toc337558752"/>
      <w:bookmarkStart w:id="762" w:name="_Toc296503052"/>
      <w:r>
        <w:rPr>
          <w:rFonts w:hint="eastAsia"/>
          <w:color w:val="auto"/>
          <w:sz w:val="21"/>
          <w:szCs w:val="21"/>
          <w:highlight w:val="none"/>
        </w:rPr>
        <w:t>.7 履约担保</w:t>
      </w:r>
      <w:bookmarkEnd w:id="758"/>
      <w:bookmarkEnd w:id="759"/>
    </w:p>
    <w:bookmarkEnd w:id="760"/>
    <w:bookmarkEnd w:id="761"/>
    <w:bookmarkEnd w:id="762"/>
    <w:p w14:paraId="43679D2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1517BD8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因承包人原因导致工期延长的，继续提供履约担保所增加的费用由承包人承担；非因承包人原因导致工期延长的，继续提供履约担保所增加的费用由发包人承担。</w:t>
      </w:r>
    </w:p>
    <w:p w14:paraId="0387B794">
      <w:pPr>
        <w:pStyle w:val="7"/>
        <w:spacing w:before="0" w:beforeAutospacing="0" w:after="0" w:afterAutospacing="0" w:line="360" w:lineRule="auto"/>
        <w:ind w:firstLine="422" w:firstLineChars="200"/>
        <w:rPr>
          <w:color w:val="auto"/>
          <w:sz w:val="21"/>
          <w:szCs w:val="21"/>
          <w:highlight w:val="none"/>
        </w:rPr>
      </w:pPr>
      <w:bookmarkStart w:id="763" w:name="_Toc351203526"/>
      <w:bookmarkStart w:id="764" w:name="_Toc532377212"/>
      <w:r>
        <w:rPr>
          <w:rFonts w:hint="eastAsia"/>
          <w:color w:val="auto"/>
          <w:sz w:val="21"/>
          <w:szCs w:val="21"/>
          <w:highlight w:val="none"/>
        </w:rPr>
        <w:t>3.8 联合体</w:t>
      </w:r>
      <w:bookmarkEnd w:id="763"/>
      <w:bookmarkEnd w:id="764"/>
    </w:p>
    <w:p w14:paraId="15DFE97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3.8.1 联合体各方应共同与发包人签订合同协议书。联合体各方应为履行合同向发包人承担连带责任。</w:t>
      </w:r>
    </w:p>
    <w:p w14:paraId="045308B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3.8.2 联合体协议经发包人确认后作为合同附件。在履行合同过程中，未经发包人同意，不得修改联合体协议。</w:t>
      </w:r>
    </w:p>
    <w:p w14:paraId="6AFCE85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3.8.3 联合体牵头人负责与发包人和监理人联系，并接受指示，负责组织联合体各成员全面履行合同。</w:t>
      </w:r>
    </w:p>
    <w:p w14:paraId="07AC1469">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765" w:name="_Toc532377213"/>
      <w:bookmarkStart w:id="766" w:name="_Toc351203527"/>
      <w:bookmarkStart w:id="767" w:name="_Toc532375590"/>
      <w:r>
        <w:rPr>
          <w:rFonts w:hint="eastAsia"/>
          <w:color w:val="auto"/>
          <w:kern w:val="2"/>
          <w:sz w:val="21"/>
          <w:szCs w:val="21"/>
          <w:highlight w:val="none"/>
        </w:rPr>
        <w:t>4</w:t>
      </w:r>
      <w:bookmarkStart w:id="768" w:name="_Toc296503053"/>
      <w:bookmarkStart w:id="769" w:name="_Toc296346554"/>
      <w:bookmarkStart w:id="770" w:name="_Toc337558753"/>
      <w:r>
        <w:rPr>
          <w:rFonts w:hint="eastAsia"/>
          <w:color w:val="auto"/>
          <w:kern w:val="2"/>
          <w:sz w:val="21"/>
          <w:szCs w:val="21"/>
          <w:highlight w:val="none"/>
        </w:rPr>
        <w:t>. 监</w:t>
      </w:r>
      <w:bookmarkEnd w:id="768"/>
      <w:bookmarkEnd w:id="769"/>
      <w:r>
        <w:rPr>
          <w:rFonts w:hint="eastAsia"/>
          <w:color w:val="auto"/>
          <w:kern w:val="2"/>
          <w:sz w:val="21"/>
          <w:szCs w:val="21"/>
          <w:highlight w:val="none"/>
        </w:rPr>
        <w:t>理人</w:t>
      </w:r>
      <w:bookmarkEnd w:id="765"/>
      <w:bookmarkEnd w:id="766"/>
      <w:bookmarkEnd w:id="767"/>
    </w:p>
    <w:bookmarkEnd w:id="770"/>
    <w:p w14:paraId="79DC40E0">
      <w:pPr>
        <w:pStyle w:val="7"/>
        <w:spacing w:before="0" w:beforeAutospacing="0" w:after="0" w:afterAutospacing="0" w:line="360" w:lineRule="auto"/>
        <w:ind w:firstLine="422" w:firstLineChars="200"/>
        <w:rPr>
          <w:color w:val="auto"/>
          <w:sz w:val="21"/>
          <w:szCs w:val="21"/>
          <w:highlight w:val="none"/>
        </w:rPr>
      </w:pPr>
      <w:bookmarkStart w:id="771" w:name="_Toc532377214"/>
      <w:bookmarkStart w:id="772" w:name="_Toc351203528"/>
      <w:r>
        <w:rPr>
          <w:rFonts w:hint="eastAsia"/>
          <w:color w:val="auto"/>
          <w:sz w:val="21"/>
          <w:szCs w:val="21"/>
          <w:highlight w:val="none"/>
        </w:rPr>
        <w:t>4</w:t>
      </w:r>
      <w:bookmarkStart w:id="773" w:name="_Toc337558754"/>
      <w:bookmarkStart w:id="774" w:name="_Toc296503054"/>
      <w:bookmarkStart w:id="775" w:name="_Toc296346555"/>
      <w:r>
        <w:rPr>
          <w:rFonts w:hint="eastAsia"/>
          <w:color w:val="auto"/>
          <w:sz w:val="21"/>
          <w:szCs w:val="21"/>
          <w:highlight w:val="none"/>
        </w:rPr>
        <w:t>.1监理人的一般规定</w:t>
      </w:r>
      <w:bookmarkEnd w:id="771"/>
      <w:bookmarkEnd w:id="772"/>
    </w:p>
    <w:bookmarkEnd w:id="773"/>
    <w:bookmarkEnd w:id="774"/>
    <w:bookmarkEnd w:id="775"/>
    <w:p w14:paraId="7793ADC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17C6076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除专用合同条款另有约定外，监理人在施工现场的办公场所、生活场所由承包人提供，所发生的费用由发包人承担。</w:t>
      </w:r>
    </w:p>
    <w:p w14:paraId="2058104B">
      <w:pPr>
        <w:pStyle w:val="7"/>
        <w:spacing w:before="0" w:beforeAutospacing="0" w:after="0" w:afterAutospacing="0" w:line="360" w:lineRule="auto"/>
        <w:ind w:firstLine="422" w:firstLineChars="200"/>
        <w:rPr>
          <w:color w:val="auto"/>
          <w:sz w:val="21"/>
          <w:szCs w:val="21"/>
          <w:highlight w:val="none"/>
        </w:rPr>
      </w:pPr>
      <w:bookmarkStart w:id="776" w:name="_Toc532377215"/>
      <w:bookmarkStart w:id="777" w:name="_Toc351203529"/>
      <w:r>
        <w:rPr>
          <w:rFonts w:hint="eastAsia"/>
          <w:color w:val="auto"/>
          <w:sz w:val="21"/>
          <w:szCs w:val="21"/>
          <w:highlight w:val="none"/>
        </w:rPr>
        <w:t>4</w:t>
      </w:r>
      <w:bookmarkStart w:id="778" w:name="_Toc337558755"/>
      <w:r>
        <w:rPr>
          <w:rFonts w:hint="eastAsia"/>
          <w:color w:val="auto"/>
          <w:sz w:val="21"/>
          <w:szCs w:val="21"/>
          <w:highlight w:val="none"/>
        </w:rPr>
        <w:t>.2监理人员</w:t>
      </w:r>
      <w:bookmarkEnd w:id="776"/>
      <w:bookmarkEnd w:id="777"/>
    </w:p>
    <w:bookmarkEnd w:id="778"/>
    <w:p w14:paraId="37E9AE1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51BD49FA">
      <w:pPr>
        <w:pStyle w:val="7"/>
        <w:spacing w:before="0" w:beforeAutospacing="0" w:after="0" w:afterAutospacing="0" w:line="360" w:lineRule="auto"/>
        <w:ind w:firstLine="422" w:firstLineChars="200"/>
        <w:rPr>
          <w:color w:val="auto"/>
          <w:sz w:val="21"/>
          <w:szCs w:val="21"/>
          <w:highlight w:val="none"/>
        </w:rPr>
      </w:pPr>
      <w:bookmarkStart w:id="779" w:name="_Toc351203530"/>
      <w:bookmarkStart w:id="780" w:name="_Toc532377216"/>
      <w:r>
        <w:rPr>
          <w:rFonts w:hint="eastAsia"/>
          <w:color w:val="auto"/>
          <w:sz w:val="21"/>
          <w:szCs w:val="21"/>
          <w:highlight w:val="none"/>
        </w:rPr>
        <w:t>4</w:t>
      </w:r>
      <w:bookmarkStart w:id="781" w:name="_Toc296503055"/>
      <w:bookmarkStart w:id="782" w:name="_Toc296346556"/>
      <w:bookmarkStart w:id="783" w:name="_Toc337558756"/>
      <w:r>
        <w:rPr>
          <w:rFonts w:hint="eastAsia"/>
          <w:color w:val="auto"/>
          <w:sz w:val="21"/>
          <w:szCs w:val="21"/>
          <w:highlight w:val="none"/>
        </w:rPr>
        <w:t>.3</w:t>
      </w:r>
      <w:bookmarkEnd w:id="781"/>
      <w:bookmarkEnd w:id="782"/>
      <w:r>
        <w:rPr>
          <w:rFonts w:hint="eastAsia"/>
          <w:color w:val="auto"/>
          <w:sz w:val="21"/>
          <w:szCs w:val="21"/>
          <w:highlight w:val="none"/>
        </w:rPr>
        <w:t>监理人的指</w:t>
      </w:r>
      <w:bookmarkEnd w:id="783"/>
      <w:r>
        <w:rPr>
          <w:rFonts w:hint="eastAsia"/>
          <w:color w:val="auto"/>
          <w:sz w:val="21"/>
          <w:szCs w:val="21"/>
          <w:highlight w:val="none"/>
        </w:rPr>
        <w:t>示</w:t>
      </w:r>
      <w:bookmarkEnd w:id="779"/>
      <w:bookmarkEnd w:id="780"/>
    </w:p>
    <w:p w14:paraId="411245A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应按照发包人的授权发出监理指示。监理人的指示应采用书面形式，并经其授权的监理人员签名。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297DAB9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33D2E80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承包人对监理人发出的指示有疑问的，应向监理人提出书面异议，监理人应在48小时内对该指示予以确认、更改或撤销，监理人逾期未回复的，承包人有权拒绝执行上述指示。</w:t>
      </w:r>
    </w:p>
    <w:p w14:paraId="1BEF5E5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03CD5B3E">
      <w:pPr>
        <w:pStyle w:val="7"/>
        <w:spacing w:before="0" w:beforeAutospacing="0" w:after="0" w:afterAutospacing="0" w:line="360" w:lineRule="auto"/>
        <w:ind w:firstLine="422" w:firstLineChars="200"/>
        <w:rPr>
          <w:color w:val="auto"/>
          <w:sz w:val="21"/>
          <w:szCs w:val="21"/>
          <w:highlight w:val="none"/>
        </w:rPr>
      </w:pPr>
      <w:bookmarkStart w:id="784" w:name="_Toc532377217"/>
      <w:bookmarkStart w:id="785" w:name="_Toc351203531"/>
      <w:r>
        <w:rPr>
          <w:rFonts w:hint="eastAsia"/>
          <w:color w:val="auto"/>
          <w:sz w:val="21"/>
          <w:szCs w:val="21"/>
          <w:highlight w:val="none"/>
        </w:rPr>
        <w:t>4</w:t>
      </w:r>
      <w:bookmarkStart w:id="786" w:name="_Toc296503057"/>
      <w:bookmarkStart w:id="787" w:name="_Toc296346558"/>
      <w:bookmarkStart w:id="788" w:name="_Toc337558757"/>
      <w:r>
        <w:rPr>
          <w:rFonts w:hint="eastAsia"/>
          <w:color w:val="auto"/>
          <w:sz w:val="21"/>
          <w:szCs w:val="21"/>
          <w:highlight w:val="none"/>
        </w:rPr>
        <w:t>.4 商定或确定</w:t>
      </w:r>
      <w:bookmarkEnd w:id="784"/>
      <w:bookmarkEnd w:id="785"/>
    </w:p>
    <w:bookmarkEnd w:id="786"/>
    <w:bookmarkEnd w:id="787"/>
    <w:bookmarkEnd w:id="788"/>
    <w:p w14:paraId="295096F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合同当事人进行商定或确定时，总监理工程师应当会同合同当事人尽量通过协商达成一致，不能达成一致的，由总监理工程师按照合同约定审慎做出公正的确定。</w:t>
      </w:r>
    </w:p>
    <w:p w14:paraId="0DE75A2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1BC05F18">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789" w:name="_Toc532375591"/>
      <w:bookmarkStart w:id="790" w:name="_Toc532377218"/>
      <w:bookmarkStart w:id="791" w:name="_Toc351203532"/>
      <w:r>
        <w:rPr>
          <w:rFonts w:hint="eastAsia"/>
          <w:color w:val="auto"/>
          <w:kern w:val="2"/>
          <w:sz w:val="21"/>
          <w:szCs w:val="21"/>
          <w:highlight w:val="none"/>
        </w:rPr>
        <w:t>5</w:t>
      </w:r>
      <w:bookmarkStart w:id="792" w:name="_Toc337558758"/>
      <w:r>
        <w:rPr>
          <w:rFonts w:hint="eastAsia"/>
          <w:color w:val="auto"/>
          <w:kern w:val="2"/>
          <w:sz w:val="21"/>
          <w:szCs w:val="21"/>
          <w:highlight w:val="none"/>
        </w:rPr>
        <w:t>. 工程质量</w:t>
      </w:r>
      <w:bookmarkEnd w:id="789"/>
      <w:bookmarkEnd w:id="790"/>
      <w:bookmarkEnd w:id="791"/>
    </w:p>
    <w:bookmarkEnd w:id="792"/>
    <w:p w14:paraId="4CB93873">
      <w:pPr>
        <w:pStyle w:val="7"/>
        <w:spacing w:before="0" w:beforeAutospacing="0" w:after="0" w:afterAutospacing="0" w:line="360" w:lineRule="auto"/>
        <w:ind w:firstLine="422" w:firstLineChars="200"/>
        <w:rPr>
          <w:color w:val="auto"/>
          <w:sz w:val="21"/>
          <w:szCs w:val="21"/>
          <w:highlight w:val="none"/>
        </w:rPr>
      </w:pPr>
      <w:bookmarkStart w:id="793" w:name="_Toc351203533"/>
      <w:bookmarkStart w:id="794" w:name="_Toc532377219"/>
      <w:r>
        <w:rPr>
          <w:rFonts w:hint="eastAsia"/>
          <w:color w:val="auto"/>
          <w:sz w:val="21"/>
          <w:szCs w:val="21"/>
          <w:highlight w:val="none"/>
        </w:rPr>
        <w:t>5</w:t>
      </w:r>
      <w:bookmarkStart w:id="795" w:name="_Toc337558759"/>
      <w:r>
        <w:rPr>
          <w:rFonts w:hint="eastAsia"/>
          <w:color w:val="auto"/>
          <w:sz w:val="21"/>
          <w:szCs w:val="21"/>
          <w:highlight w:val="none"/>
        </w:rPr>
        <w:t>.1质量要求</w:t>
      </w:r>
      <w:bookmarkEnd w:id="793"/>
      <w:bookmarkEnd w:id="794"/>
    </w:p>
    <w:bookmarkEnd w:id="795"/>
    <w:p w14:paraId="353D649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5.1.1 工程质量标准必须符合现行国家有关工程施工质量验收规范和标准的要求。有关工程质量的特殊标准或要求由合同当事人在专用合同条款中约定。</w:t>
      </w:r>
    </w:p>
    <w:p w14:paraId="1BC1E9C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5.1.2 因发包人原因造成工程质量未达到合同约定标准的，由发包人承担由此增加的费用和（或）延误的工期，并支付承包人合理的利润。</w:t>
      </w:r>
    </w:p>
    <w:p w14:paraId="6BA6BEA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5.1.3 因承包人原因造成工程质量未达到合同约定标准的，发包人有权要求承包人返工直至工程质量达到合同约定的标准为止，并由承包人承担由此增加的费用和（或）延误的工期。</w:t>
      </w:r>
    </w:p>
    <w:p w14:paraId="23FE1CA5">
      <w:pPr>
        <w:pStyle w:val="7"/>
        <w:spacing w:before="0" w:beforeAutospacing="0" w:after="0" w:afterAutospacing="0" w:line="360" w:lineRule="auto"/>
        <w:ind w:firstLine="422" w:firstLineChars="200"/>
        <w:rPr>
          <w:color w:val="auto"/>
          <w:sz w:val="21"/>
          <w:szCs w:val="21"/>
          <w:highlight w:val="none"/>
        </w:rPr>
      </w:pPr>
      <w:bookmarkStart w:id="796" w:name="_Toc532377220"/>
      <w:bookmarkStart w:id="797" w:name="_Toc351203534"/>
      <w:r>
        <w:rPr>
          <w:rFonts w:hint="eastAsia"/>
          <w:color w:val="auto"/>
          <w:sz w:val="21"/>
          <w:szCs w:val="21"/>
          <w:highlight w:val="none"/>
        </w:rPr>
        <w:t>5</w:t>
      </w:r>
      <w:bookmarkStart w:id="798" w:name="_Toc337558760"/>
      <w:r>
        <w:rPr>
          <w:rFonts w:hint="eastAsia"/>
          <w:color w:val="auto"/>
          <w:sz w:val="21"/>
          <w:szCs w:val="21"/>
          <w:highlight w:val="none"/>
        </w:rPr>
        <w:t>.2质量保证措施</w:t>
      </w:r>
      <w:bookmarkEnd w:id="796"/>
      <w:bookmarkEnd w:id="797"/>
    </w:p>
    <w:bookmarkEnd w:id="798"/>
    <w:p w14:paraId="1768A97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5.2.1 发包人的质量管理</w:t>
      </w:r>
    </w:p>
    <w:p w14:paraId="28A2A5F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发包人应按照法律规定及合同约定完成与工程质量有关的各项工作。</w:t>
      </w:r>
    </w:p>
    <w:p w14:paraId="084785A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5.2.2 承包人的质量管理</w:t>
      </w:r>
    </w:p>
    <w:p w14:paraId="6AB886B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5FE2D45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承包人应对施工人员进行质量教育和技术培训，定期考核施工人员的劳动技能，严格执行施工规范和操作规程。</w:t>
      </w:r>
    </w:p>
    <w:p w14:paraId="3EE3FD1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5981202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5.2.3 监理人的质量检查和检验</w:t>
      </w:r>
    </w:p>
    <w:p w14:paraId="437812A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4DE54D3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2464881B">
      <w:pPr>
        <w:pStyle w:val="7"/>
        <w:spacing w:before="0" w:beforeAutospacing="0" w:after="0" w:afterAutospacing="0" w:line="360" w:lineRule="auto"/>
        <w:ind w:firstLine="422" w:firstLineChars="200"/>
        <w:rPr>
          <w:color w:val="auto"/>
          <w:sz w:val="21"/>
          <w:szCs w:val="21"/>
          <w:highlight w:val="none"/>
        </w:rPr>
      </w:pPr>
      <w:bookmarkStart w:id="799" w:name="_Toc532377221"/>
      <w:bookmarkStart w:id="800" w:name="_Toc351203535"/>
      <w:r>
        <w:rPr>
          <w:rFonts w:hint="eastAsia"/>
          <w:color w:val="auto"/>
          <w:sz w:val="21"/>
          <w:szCs w:val="21"/>
          <w:highlight w:val="none"/>
        </w:rPr>
        <w:t>5</w:t>
      </w:r>
      <w:bookmarkStart w:id="801" w:name="_Toc337558761"/>
      <w:r>
        <w:rPr>
          <w:rFonts w:hint="eastAsia"/>
          <w:color w:val="auto"/>
          <w:sz w:val="21"/>
          <w:szCs w:val="21"/>
          <w:highlight w:val="none"/>
        </w:rPr>
        <w:t>.3 隐蔽工程检查</w:t>
      </w:r>
      <w:bookmarkEnd w:id="799"/>
      <w:bookmarkEnd w:id="800"/>
    </w:p>
    <w:bookmarkEnd w:id="801"/>
    <w:p w14:paraId="3DF9B9B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5.3.1承包人自检</w:t>
      </w:r>
    </w:p>
    <w:p w14:paraId="6AD2A87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承包人应当对工程隐蔽部位进行自检，并经自检确认是否具备覆盖条件。</w:t>
      </w:r>
    </w:p>
    <w:p w14:paraId="62F68A5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5.3.2检查程序</w:t>
      </w:r>
    </w:p>
    <w:p w14:paraId="1084D3C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632EDD8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应按时到场并对隐蔽工程及其施工工艺、材料和工程设备进行检查。经监理人检查确认质量符合隐蔽要求，并在验收记录上签名后，承包人才能进行覆盖。经监理人检查质量不合格的，承包人应在监理人指示的时间内完成修复，并由监理人重新检查，由此增加的费用和（或）延误的工期由承包人承担。</w:t>
      </w:r>
    </w:p>
    <w:p w14:paraId="4F1ABBC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名确认。监理人事后对检查记录有疑问的，可按第5.3.3项〔重新检查〕的约定重新检查。</w:t>
      </w:r>
    </w:p>
    <w:p w14:paraId="47E50E5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5.3.3 重新检查</w:t>
      </w:r>
    </w:p>
    <w:p w14:paraId="51B7348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02FC50D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5.3.4 承包人私自覆盖</w:t>
      </w:r>
    </w:p>
    <w:p w14:paraId="5F54F53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2EF286F4">
      <w:pPr>
        <w:pStyle w:val="7"/>
        <w:spacing w:before="0" w:beforeAutospacing="0" w:after="0" w:afterAutospacing="0" w:line="360" w:lineRule="auto"/>
        <w:ind w:firstLine="422" w:firstLineChars="200"/>
        <w:rPr>
          <w:color w:val="auto"/>
          <w:sz w:val="21"/>
          <w:szCs w:val="21"/>
          <w:highlight w:val="none"/>
        </w:rPr>
      </w:pPr>
      <w:bookmarkStart w:id="802" w:name="_Toc532377222"/>
      <w:r>
        <w:rPr>
          <w:rFonts w:hint="eastAsia"/>
          <w:color w:val="auto"/>
          <w:sz w:val="21"/>
          <w:szCs w:val="21"/>
          <w:highlight w:val="none"/>
        </w:rPr>
        <w:t>5.4不合格工程的处理</w:t>
      </w:r>
      <w:bookmarkEnd w:id="802"/>
    </w:p>
    <w:p w14:paraId="0F99AA8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03A72D0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5.4.2 因发包人原因造成工程不合格的，由此增加的费用和（或）延误的工期由发包人承担，并支付承包人合理的利润。</w:t>
      </w:r>
    </w:p>
    <w:p w14:paraId="13A3F798">
      <w:pPr>
        <w:pStyle w:val="7"/>
        <w:spacing w:before="0" w:beforeAutospacing="0" w:after="0" w:afterAutospacing="0" w:line="360" w:lineRule="auto"/>
        <w:ind w:firstLine="422" w:firstLineChars="200"/>
        <w:rPr>
          <w:color w:val="auto"/>
          <w:sz w:val="21"/>
          <w:szCs w:val="21"/>
          <w:highlight w:val="none"/>
        </w:rPr>
      </w:pPr>
      <w:bookmarkStart w:id="803" w:name="_Toc532377223"/>
      <w:bookmarkStart w:id="804" w:name="_Toc351203537"/>
      <w:r>
        <w:rPr>
          <w:rFonts w:hint="eastAsia"/>
          <w:color w:val="auto"/>
          <w:sz w:val="21"/>
          <w:szCs w:val="21"/>
          <w:highlight w:val="none"/>
        </w:rPr>
        <w:t>5.5 质量争议检测</w:t>
      </w:r>
      <w:bookmarkEnd w:id="803"/>
      <w:bookmarkEnd w:id="804"/>
    </w:p>
    <w:p w14:paraId="09E854D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合同当事人对工程质量有争议的，由双方协商确定的工程质量检测机构鉴定，由此产生的费用及因此造成的损失，由责任方承担。</w:t>
      </w:r>
    </w:p>
    <w:p w14:paraId="589E26B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合同当事人均有责任的，由双方根据其责任分别承担。合同当事人无法达成一致的，按照第4.4款〔商定或确定〕执行。</w:t>
      </w:r>
    </w:p>
    <w:p w14:paraId="2C31FE1C">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805" w:name="_Toc532375592"/>
      <w:bookmarkStart w:id="806" w:name="_Toc351203538"/>
      <w:bookmarkStart w:id="807" w:name="_Toc532377224"/>
      <w:r>
        <w:rPr>
          <w:rFonts w:hint="eastAsia"/>
          <w:color w:val="auto"/>
          <w:kern w:val="2"/>
          <w:sz w:val="21"/>
          <w:szCs w:val="21"/>
          <w:highlight w:val="none"/>
        </w:rPr>
        <w:t>6</w:t>
      </w:r>
      <w:bookmarkStart w:id="808" w:name="_Toc337558763"/>
      <w:r>
        <w:rPr>
          <w:rFonts w:hint="eastAsia"/>
          <w:color w:val="auto"/>
          <w:kern w:val="2"/>
          <w:sz w:val="21"/>
          <w:szCs w:val="21"/>
          <w:highlight w:val="none"/>
        </w:rPr>
        <w:t>. 安全文明施工与环境保护</w:t>
      </w:r>
      <w:bookmarkEnd w:id="805"/>
      <w:bookmarkEnd w:id="806"/>
      <w:bookmarkEnd w:id="807"/>
    </w:p>
    <w:bookmarkEnd w:id="808"/>
    <w:p w14:paraId="1D95CD6A">
      <w:pPr>
        <w:pStyle w:val="7"/>
        <w:spacing w:before="0" w:beforeAutospacing="0" w:after="0" w:afterAutospacing="0" w:line="360" w:lineRule="auto"/>
        <w:ind w:firstLine="422" w:firstLineChars="200"/>
        <w:rPr>
          <w:color w:val="auto"/>
          <w:sz w:val="21"/>
          <w:szCs w:val="21"/>
          <w:highlight w:val="none"/>
        </w:rPr>
      </w:pPr>
      <w:bookmarkStart w:id="809" w:name="_Toc351203539"/>
      <w:bookmarkStart w:id="810" w:name="_Toc532377225"/>
      <w:r>
        <w:rPr>
          <w:rFonts w:hint="eastAsia"/>
          <w:color w:val="auto"/>
          <w:sz w:val="21"/>
          <w:szCs w:val="21"/>
          <w:highlight w:val="none"/>
        </w:rPr>
        <w:t>6</w:t>
      </w:r>
      <w:bookmarkStart w:id="811" w:name="_Toc337558764"/>
      <w:r>
        <w:rPr>
          <w:rFonts w:hint="eastAsia"/>
          <w:color w:val="auto"/>
          <w:sz w:val="21"/>
          <w:szCs w:val="21"/>
          <w:highlight w:val="none"/>
        </w:rPr>
        <w:t>.1安全文明施工</w:t>
      </w:r>
      <w:bookmarkEnd w:id="809"/>
      <w:bookmarkEnd w:id="810"/>
    </w:p>
    <w:bookmarkEnd w:id="811"/>
    <w:p w14:paraId="4E1FD20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6.1.1安全生产要求</w:t>
      </w:r>
    </w:p>
    <w:p w14:paraId="1CBFD5C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108EEC9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6069173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因安全生产需要暂停施工的，按照第7.8款〔暂停施工〕的约定执行。</w:t>
      </w:r>
    </w:p>
    <w:p w14:paraId="0A16113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6.1.2 安全生产保证措施</w:t>
      </w:r>
    </w:p>
    <w:p w14:paraId="689A3B5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2C0AEEE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6.1.3特别安全生产事项</w:t>
      </w:r>
    </w:p>
    <w:p w14:paraId="612BD83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3E8CB1C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090A05D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3F2DD67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需单独编制危险性较大分部分项专项工程施工方案的，及要求进行专家论证的超过一定规模的危险性较大的分部分项工程，承包人应及时编制和组织论证。</w:t>
      </w:r>
    </w:p>
    <w:p w14:paraId="2F77E8F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6.1.4 治安保卫</w:t>
      </w:r>
    </w:p>
    <w:p w14:paraId="00F9A65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除专用合同条款另有约定外，发包人应与当地公安部门协商，在现场建立治安管理机构或联防组织，统一管理施工场地的治安保卫事项，履行合同工程的治安保卫职责。</w:t>
      </w:r>
    </w:p>
    <w:p w14:paraId="54692EA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发包人和承包人除应协助现场治安管理机构或联防组织维护施工场地的社会治安外，还应做好包括生活区在内的各自管辖区的治安保卫工作。</w:t>
      </w:r>
    </w:p>
    <w:p w14:paraId="32BD71B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164A3B2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6.1.5 文明施工</w:t>
      </w:r>
    </w:p>
    <w:p w14:paraId="75969A5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26E8CB3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6781F8D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6.1.6 安全文明施工费</w:t>
      </w:r>
    </w:p>
    <w:p w14:paraId="0B87B06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安全文明施工费由发包人承担，发包人不得以任何形式扣减该部分费用。因基准日期后合同所适用的法律或政府有关规定发生变化，增加的安全文明施工费由发包人承担。</w:t>
      </w:r>
    </w:p>
    <w:p w14:paraId="0950C95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76F42F7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1679C6F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01061C1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6.1.7 紧急情况处理</w:t>
      </w:r>
    </w:p>
    <w:p w14:paraId="1D14293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7E27784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6.1.8 事故处理</w:t>
      </w:r>
    </w:p>
    <w:p w14:paraId="68258DC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6DC467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6.1.9 安全生产责任</w:t>
      </w:r>
    </w:p>
    <w:p w14:paraId="792A7B2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6.1.9.1 发包人的安全责任</w:t>
      </w:r>
    </w:p>
    <w:p w14:paraId="0A362A1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发包人应负责赔偿以下各种情况造成的损失：</w:t>
      </w:r>
    </w:p>
    <w:p w14:paraId="6413675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（1）工程或工程的任何部分对土地的占用所造成的第三者财产损失；</w:t>
      </w:r>
    </w:p>
    <w:p w14:paraId="72879B8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（2）由于发包人原因在施工场地及其毗邻地带造成的第三者人身伤亡和财产损失；</w:t>
      </w:r>
    </w:p>
    <w:p w14:paraId="27FCEDF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（3）由于发包人原因对承包人、监理人造成的人员人身伤亡和财产损失；</w:t>
      </w:r>
    </w:p>
    <w:p w14:paraId="360AB2E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（4）由于发包人原因造成的发包人自身人员的人身伤害以及财产损失。</w:t>
      </w:r>
    </w:p>
    <w:p w14:paraId="5418675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6.1.9.2 承包人的安全责任</w:t>
      </w:r>
    </w:p>
    <w:p w14:paraId="136E304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由于承包人原因在施工场地内及其毗邻地带造成的发包人、监理人以及第三者人员伤亡和财产损失，由承包人负责赔偿。</w:t>
      </w:r>
    </w:p>
    <w:p w14:paraId="4798A51A">
      <w:pPr>
        <w:pStyle w:val="7"/>
        <w:spacing w:before="0" w:beforeAutospacing="0" w:after="0" w:afterAutospacing="0" w:line="360" w:lineRule="auto"/>
        <w:ind w:firstLine="422" w:firstLineChars="200"/>
        <w:rPr>
          <w:color w:val="auto"/>
          <w:sz w:val="21"/>
          <w:szCs w:val="21"/>
          <w:highlight w:val="none"/>
        </w:rPr>
      </w:pPr>
      <w:bookmarkStart w:id="812" w:name="_Toc532377226"/>
      <w:bookmarkStart w:id="813" w:name="_Toc351203540"/>
      <w:r>
        <w:rPr>
          <w:rFonts w:hint="eastAsia"/>
          <w:color w:val="auto"/>
          <w:sz w:val="21"/>
          <w:szCs w:val="21"/>
          <w:highlight w:val="none"/>
        </w:rPr>
        <w:t>6</w:t>
      </w:r>
      <w:bookmarkStart w:id="814" w:name="_Toc337558765"/>
      <w:r>
        <w:rPr>
          <w:rFonts w:hint="eastAsia"/>
          <w:color w:val="auto"/>
          <w:sz w:val="21"/>
          <w:szCs w:val="21"/>
          <w:highlight w:val="none"/>
        </w:rPr>
        <w:t>.2 职业健康</w:t>
      </w:r>
      <w:bookmarkEnd w:id="812"/>
      <w:bookmarkEnd w:id="813"/>
    </w:p>
    <w:bookmarkEnd w:id="814"/>
    <w:p w14:paraId="00EF1F8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6.2.1 劳动保护</w:t>
      </w:r>
    </w:p>
    <w:p w14:paraId="111DDDE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687C7B4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4409234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44E86C4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6.2.2 生活条件</w:t>
      </w:r>
    </w:p>
    <w:p w14:paraId="3563F1B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077F1FEA">
      <w:pPr>
        <w:pStyle w:val="7"/>
        <w:spacing w:before="0" w:beforeAutospacing="0" w:after="0" w:afterAutospacing="0" w:line="360" w:lineRule="auto"/>
        <w:ind w:firstLine="422" w:firstLineChars="200"/>
        <w:rPr>
          <w:color w:val="auto"/>
          <w:sz w:val="21"/>
          <w:szCs w:val="21"/>
          <w:highlight w:val="none"/>
        </w:rPr>
      </w:pPr>
      <w:bookmarkStart w:id="815" w:name="_Toc351203541"/>
      <w:bookmarkStart w:id="816" w:name="_Toc532377227"/>
      <w:r>
        <w:rPr>
          <w:rFonts w:hint="eastAsia"/>
          <w:color w:val="auto"/>
          <w:sz w:val="21"/>
          <w:szCs w:val="21"/>
          <w:highlight w:val="none"/>
        </w:rPr>
        <w:t>6</w:t>
      </w:r>
      <w:bookmarkStart w:id="817" w:name="_Toc337558766"/>
      <w:r>
        <w:rPr>
          <w:rFonts w:hint="eastAsia"/>
          <w:color w:val="auto"/>
          <w:sz w:val="21"/>
          <w:szCs w:val="21"/>
          <w:highlight w:val="none"/>
        </w:rPr>
        <w:t>.3 环境保护</w:t>
      </w:r>
      <w:bookmarkEnd w:id="815"/>
      <w:bookmarkEnd w:id="816"/>
    </w:p>
    <w:bookmarkEnd w:id="817"/>
    <w:p w14:paraId="772B5BF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0782997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承包人应当承担因其原因引起的环境污染侵权损害赔偿责任，因上述环境污染引起纠纷而导致暂停施工的，由此增加的费用和（或）延误的工期由承包人承担。</w:t>
      </w:r>
    </w:p>
    <w:p w14:paraId="19EE7632">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818" w:name="_Toc532377228"/>
      <w:bookmarkStart w:id="819" w:name="_Toc351203542"/>
      <w:bookmarkStart w:id="820" w:name="_Toc532375593"/>
      <w:r>
        <w:rPr>
          <w:rFonts w:hint="eastAsia"/>
          <w:color w:val="auto"/>
          <w:kern w:val="2"/>
          <w:sz w:val="21"/>
          <w:szCs w:val="21"/>
          <w:highlight w:val="none"/>
        </w:rPr>
        <w:t>7</w:t>
      </w:r>
      <w:bookmarkStart w:id="821" w:name="_Toc337558767"/>
      <w:r>
        <w:rPr>
          <w:rFonts w:hint="eastAsia"/>
          <w:color w:val="auto"/>
          <w:kern w:val="2"/>
          <w:sz w:val="21"/>
          <w:szCs w:val="21"/>
          <w:highlight w:val="none"/>
        </w:rPr>
        <w:t>. 工期和进度</w:t>
      </w:r>
      <w:bookmarkEnd w:id="818"/>
      <w:bookmarkEnd w:id="819"/>
      <w:bookmarkEnd w:id="820"/>
    </w:p>
    <w:bookmarkEnd w:id="821"/>
    <w:p w14:paraId="7F625F86">
      <w:pPr>
        <w:pStyle w:val="7"/>
        <w:spacing w:before="0" w:beforeAutospacing="0" w:after="0" w:afterAutospacing="0" w:line="360" w:lineRule="auto"/>
        <w:ind w:firstLine="422" w:firstLineChars="200"/>
        <w:rPr>
          <w:color w:val="auto"/>
          <w:sz w:val="21"/>
          <w:szCs w:val="21"/>
          <w:highlight w:val="none"/>
        </w:rPr>
      </w:pPr>
      <w:bookmarkStart w:id="822" w:name="_Toc532377229"/>
      <w:bookmarkStart w:id="823" w:name="_Toc351203543"/>
      <w:r>
        <w:rPr>
          <w:rFonts w:hint="eastAsia"/>
          <w:color w:val="auto"/>
          <w:sz w:val="21"/>
          <w:szCs w:val="21"/>
          <w:highlight w:val="none"/>
        </w:rPr>
        <w:t>7</w:t>
      </w:r>
      <w:bookmarkStart w:id="824" w:name="_Toc337558768"/>
      <w:bookmarkStart w:id="825" w:name="_Toc296346567"/>
      <w:bookmarkStart w:id="826" w:name="_Toc296503066"/>
      <w:r>
        <w:rPr>
          <w:rFonts w:hint="eastAsia"/>
          <w:color w:val="auto"/>
          <w:sz w:val="21"/>
          <w:szCs w:val="21"/>
          <w:highlight w:val="none"/>
        </w:rPr>
        <w:t>.1施工组织设计</w:t>
      </w:r>
      <w:bookmarkEnd w:id="822"/>
      <w:bookmarkEnd w:id="823"/>
    </w:p>
    <w:bookmarkEnd w:id="824"/>
    <w:p w14:paraId="760E368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7.1.1 施工组织设计的内容</w:t>
      </w:r>
    </w:p>
    <w:p w14:paraId="2C2F23B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施工组织设计应包含以下内容：</w:t>
      </w:r>
    </w:p>
    <w:p w14:paraId="7B6CA1E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（1）施工方案； </w:t>
      </w:r>
    </w:p>
    <w:p w14:paraId="07D4C99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（2）施工现场平面布置图；</w:t>
      </w:r>
    </w:p>
    <w:p w14:paraId="15CC146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（3）施工进度计划和保证措施； </w:t>
      </w:r>
    </w:p>
    <w:p w14:paraId="194D662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（4）劳动力及材料供应计划；</w:t>
      </w:r>
    </w:p>
    <w:p w14:paraId="7BDC3D6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（5）施工机械设备的选用；</w:t>
      </w:r>
    </w:p>
    <w:p w14:paraId="1CF1928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（6）质量保证体系及措施；</w:t>
      </w:r>
    </w:p>
    <w:p w14:paraId="724AF14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（7）安全生产、文明施工措施；</w:t>
      </w:r>
    </w:p>
    <w:p w14:paraId="02F9FCB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（8）环境保护、成本控制措施；</w:t>
      </w:r>
    </w:p>
    <w:p w14:paraId="5F050E8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（9）合同当事人约定的其他内容。</w:t>
      </w:r>
    </w:p>
    <w:p w14:paraId="6ADCF50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7.1.2 施工组织设计的提交和修改</w:t>
      </w:r>
    </w:p>
    <w:p w14:paraId="20C31B2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7AFC146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施工进度计划的编制和修改按照第7.2款〔施工进度计划〕执行。</w:t>
      </w:r>
    </w:p>
    <w:p w14:paraId="709B19BB">
      <w:pPr>
        <w:pStyle w:val="7"/>
        <w:spacing w:before="0" w:beforeAutospacing="0" w:after="0" w:afterAutospacing="0" w:line="360" w:lineRule="auto"/>
        <w:ind w:firstLine="422" w:firstLineChars="200"/>
        <w:rPr>
          <w:color w:val="auto"/>
          <w:sz w:val="21"/>
          <w:szCs w:val="21"/>
          <w:highlight w:val="none"/>
        </w:rPr>
      </w:pPr>
      <w:bookmarkStart w:id="827" w:name="_Toc532377230"/>
      <w:bookmarkStart w:id="828" w:name="_Toc351203544"/>
      <w:r>
        <w:rPr>
          <w:rFonts w:hint="eastAsia"/>
          <w:color w:val="auto"/>
          <w:sz w:val="21"/>
          <w:szCs w:val="21"/>
          <w:highlight w:val="none"/>
        </w:rPr>
        <w:t>7</w:t>
      </w:r>
      <w:bookmarkStart w:id="829" w:name="_Toc337558769"/>
      <w:r>
        <w:rPr>
          <w:rFonts w:hint="eastAsia"/>
          <w:color w:val="auto"/>
          <w:sz w:val="21"/>
          <w:szCs w:val="21"/>
          <w:highlight w:val="none"/>
        </w:rPr>
        <w:t>.2 施工进度计划</w:t>
      </w:r>
      <w:bookmarkEnd w:id="827"/>
      <w:bookmarkEnd w:id="828"/>
    </w:p>
    <w:bookmarkEnd w:id="829"/>
    <w:p w14:paraId="0F43BFC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7.2.1 施工进度计划的编制</w:t>
      </w:r>
    </w:p>
    <w:p w14:paraId="357E040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583ED06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7.2.2 施工进度计划的修订</w:t>
      </w:r>
    </w:p>
    <w:p w14:paraId="7D2644B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19D0B2B3">
      <w:pPr>
        <w:pStyle w:val="7"/>
        <w:spacing w:before="0" w:beforeAutospacing="0" w:after="0" w:afterAutospacing="0" w:line="360" w:lineRule="auto"/>
        <w:ind w:firstLine="422" w:firstLineChars="200"/>
        <w:rPr>
          <w:color w:val="auto"/>
          <w:sz w:val="21"/>
          <w:szCs w:val="21"/>
          <w:highlight w:val="none"/>
        </w:rPr>
      </w:pPr>
      <w:bookmarkStart w:id="830" w:name="_Toc351203545"/>
      <w:bookmarkStart w:id="831" w:name="_Toc532377231"/>
      <w:r>
        <w:rPr>
          <w:rFonts w:hint="eastAsia"/>
          <w:color w:val="auto"/>
          <w:sz w:val="21"/>
          <w:szCs w:val="21"/>
          <w:highlight w:val="none"/>
        </w:rPr>
        <w:t>7</w:t>
      </w:r>
      <w:bookmarkStart w:id="832" w:name="_Toc337558770"/>
      <w:r>
        <w:rPr>
          <w:rFonts w:hint="eastAsia"/>
          <w:color w:val="auto"/>
          <w:sz w:val="21"/>
          <w:szCs w:val="21"/>
          <w:highlight w:val="none"/>
        </w:rPr>
        <w:t>.3 开工</w:t>
      </w:r>
      <w:bookmarkEnd w:id="830"/>
      <w:bookmarkEnd w:id="831"/>
    </w:p>
    <w:p w14:paraId="7CC96B0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7.3.1 开工准备</w:t>
      </w:r>
    </w:p>
    <w:p w14:paraId="3119DAA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24C98C0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除专用合同条款另有约定外，合同当事人应按约定完成开工准备工作。</w:t>
      </w:r>
    </w:p>
    <w:p w14:paraId="667F28D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7.3.2 开工通知</w:t>
      </w:r>
    </w:p>
    <w:bookmarkEnd w:id="832"/>
    <w:p w14:paraId="165163C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4A9DB42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374005AD">
      <w:pPr>
        <w:pStyle w:val="7"/>
        <w:spacing w:before="0" w:beforeAutospacing="0" w:after="0" w:afterAutospacing="0" w:line="360" w:lineRule="auto"/>
        <w:ind w:firstLine="422" w:firstLineChars="200"/>
        <w:rPr>
          <w:color w:val="auto"/>
          <w:sz w:val="21"/>
          <w:szCs w:val="21"/>
          <w:highlight w:val="none"/>
        </w:rPr>
      </w:pPr>
      <w:bookmarkStart w:id="833" w:name="_Toc532377232"/>
      <w:bookmarkStart w:id="834" w:name="_Toc351203546"/>
      <w:r>
        <w:rPr>
          <w:rFonts w:hint="eastAsia"/>
          <w:color w:val="auto"/>
          <w:sz w:val="21"/>
          <w:szCs w:val="21"/>
          <w:highlight w:val="none"/>
        </w:rPr>
        <w:t>7.4测量放线</w:t>
      </w:r>
      <w:bookmarkEnd w:id="833"/>
      <w:bookmarkEnd w:id="834"/>
    </w:p>
    <w:p w14:paraId="3F7CA94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16E454B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00D7213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3D8C572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施工过程中对施工现场内水准点等测量标志物的保护工作由承包人负责。</w:t>
      </w:r>
      <w:bookmarkStart w:id="835" w:name="_Toc351203547"/>
    </w:p>
    <w:p w14:paraId="68BCF505">
      <w:pPr>
        <w:pStyle w:val="7"/>
        <w:spacing w:before="0" w:beforeAutospacing="0" w:after="0" w:afterAutospacing="0" w:line="360" w:lineRule="auto"/>
        <w:ind w:firstLine="422" w:firstLineChars="200"/>
        <w:rPr>
          <w:color w:val="auto"/>
          <w:sz w:val="21"/>
          <w:szCs w:val="21"/>
          <w:highlight w:val="none"/>
        </w:rPr>
      </w:pPr>
      <w:bookmarkStart w:id="836" w:name="_Toc532377233"/>
      <w:r>
        <w:rPr>
          <w:rFonts w:hint="eastAsia"/>
          <w:color w:val="auto"/>
          <w:sz w:val="21"/>
          <w:szCs w:val="21"/>
          <w:highlight w:val="none"/>
        </w:rPr>
        <w:t>7</w:t>
      </w:r>
      <w:bookmarkEnd w:id="825"/>
      <w:bookmarkEnd w:id="826"/>
      <w:bookmarkStart w:id="837" w:name="_Toc296503073"/>
      <w:bookmarkStart w:id="838" w:name="_Toc337558772"/>
      <w:bookmarkStart w:id="839" w:name="_Toc296346574"/>
      <w:r>
        <w:rPr>
          <w:rFonts w:hint="eastAsia"/>
          <w:color w:val="auto"/>
          <w:sz w:val="21"/>
          <w:szCs w:val="21"/>
          <w:highlight w:val="none"/>
        </w:rPr>
        <w:t>.5 工期延误</w:t>
      </w:r>
      <w:bookmarkEnd w:id="835"/>
      <w:bookmarkEnd w:id="836"/>
    </w:p>
    <w:bookmarkEnd w:id="837"/>
    <w:bookmarkEnd w:id="838"/>
    <w:bookmarkEnd w:id="839"/>
    <w:p w14:paraId="6327467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7.5.1 因发包人原因导致工期延误</w:t>
      </w:r>
    </w:p>
    <w:p w14:paraId="6645071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在合同履行过程中，因下列情况导致工期延误和（或）费用增加的，由发包人承担由此延误的工期和（或）增加的费用，且发包人应支付承包人合理的利润： </w:t>
      </w:r>
    </w:p>
    <w:p w14:paraId="09E1C34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（1）发包人未能按合同约定提供图纸或所提供图纸不符合合同约定的；</w:t>
      </w:r>
    </w:p>
    <w:p w14:paraId="5FA9B99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（2）发包人未能按合同约定提供施工现场、施工条件、基础资料、许可、批准等开工条件的；</w:t>
      </w:r>
    </w:p>
    <w:p w14:paraId="4ABDDF5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（3）发包人提供的测量基准点、基准线和水准点及其书面资料存在错误或疏漏的；</w:t>
      </w:r>
    </w:p>
    <w:p w14:paraId="603C735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（4）发包人未能在计划开工日期之日起7天内同意下达开工通知的；</w:t>
      </w:r>
    </w:p>
    <w:p w14:paraId="2C629B4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（5）发包人未能按合同约定日期支付工程预付款、进度款或竣工结算款的；</w:t>
      </w:r>
    </w:p>
    <w:p w14:paraId="0C4A970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（6）监理人未按合同约定发出指示、批准等文件的；</w:t>
      </w:r>
    </w:p>
    <w:p w14:paraId="1C286B6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（7）专用合同条款中约定的其他情形。</w:t>
      </w:r>
    </w:p>
    <w:p w14:paraId="26F2644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5A01473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7.5.2 因承包人原因导致工期延误</w:t>
      </w:r>
    </w:p>
    <w:p w14:paraId="615C6B71">
      <w:pPr>
        <w:autoSpaceDE w:val="0"/>
        <w:autoSpaceDN w:val="0"/>
        <w:spacing w:line="360" w:lineRule="auto"/>
        <w:ind w:firstLine="420" w:firstLineChars="200"/>
        <w:jc w:val="left"/>
        <w:rPr>
          <w:rFonts w:ascii="宋体" w:hAnsi="宋体"/>
          <w:color w:val="auto"/>
          <w:kern w:val="0"/>
          <w:szCs w:val="21"/>
          <w:highlight w:val="none"/>
        </w:rPr>
      </w:pPr>
      <w:bookmarkStart w:id="840" w:name="_Toc296503076"/>
      <w:bookmarkStart w:id="841" w:name="_Toc296346577"/>
      <w:r>
        <w:rPr>
          <w:rFonts w:hint="eastAsia" w:ascii="宋体" w:hAnsi="宋体"/>
          <w:color w:val="auto"/>
          <w:kern w:val="0"/>
          <w:szCs w:val="21"/>
          <w:highlight w:val="none"/>
        </w:rPr>
        <w:t>因</w:t>
      </w:r>
      <w:bookmarkEnd w:id="840"/>
      <w:bookmarkEnd w:id="841"/>
      <w:r>
        <w:rPr>
          <w:rFonts w:hint="eastAsia" w:ascii="宋体" w:hAnsi="宋体"/>
          <w:color w:val="auto"/>
          <w:kern w:val="0"/>
          <w:szCs w:val="21"/>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4F06280F">
      <w:pPr>
        <w:pStyle w:val="7"/>
        <w:spacing w:before="0" w:beforeAutospacing="0" w:after="0" w:afterAutospacing="0" w:line="360" w:lineRule="auto"/>
        <w:ind w:firstLine="422" w:firstLineChars="200"/>
        <w:rPr>
          <w:color w:val="auto"/>
          <w:sz w:val="21"/>
          <w:szCs w:val="21"/>
          <w:highlight w:val="none"/>
        </w:rPr>
      </w:pPr>
      <w:bookmarkStart w:id="842" w:name="_Toc351203548"/>
      <w:bookmarkStart w:id="843" w:name="_Toc532377234"/>
      <w:r>
        <w:rPr>
          <w:rFonts w:hint="eastAsia"/>
          <w:color w:val="auto"/>
          <w:sz w:val="21"/>
          <w:szCs w:val="21"/>
          <w:highlight w:val="none"/>
        </w:rPr>
        <w:t>7</w:t>
      </w:r>
      <w:bookmarkStart w:id="844" w:name="_Toc296346575"/>
      <w:bookmarkStart w:id="845" w:name="_Toc337558773"/>
      <w:bookmarkStart w:id="846" w:name="_Toc296503074"/>
      <w:bookmarkStart w:id="847" w:name="_Toc296346578"/>
      <w:bookmarkStart w:id="848" w:name="_Toc296503077"/>
      <w:r>
        <w:rPr>
          <w:rFonts w:hint="eastAsia"/>
          <w:color w:val="auto"/>
          <w:sz w:val="21"/>
          <w:szCs w:val="21"/>
          <w:highlight w:val="none"/>
        </w:rPr>
        <w:t>.6 不利物质条件</w:t>
      </w:r>
      <w:bookmarkEnd w:id="842"/>
      <w:bookmarkEnd w:id="843"/>
    </w:p>
    <w:bookmarkEnd w:id="844"/>
    <w:bookmarkEnd w:id="845"/>
    <w:bookmarkEnd w:id="846"/>
    <w:p w14:paraId="2E80403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21DB2C3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1C88D273">
      <w:pPr>
        <w:pStyle w:val="7"/>
        <w:spacing w:before="0" w:beforeAutospacing="0" w:after="0" w:afterAutospacing="0" w:line="360" w:lineRule="auto"/>
        <w:ind w:firstLine="422" w:firstLineChars="200"/>
        <w:rPr>
          <w:color w:val="auto"/>
          <w:sz w:val="21"/>
          <w:szCs w:val="21"/>
          <w:highlight w:val="none"/>
        </w:rPr>
      </w:pPr>
      <w:bookmarkStart w:id="849" w:name="_Toc351203549"/>
      <w:bookmarkStart w:id="850" w:name="_Toc532377235"/>
      <w:r>
        <w:rPr>
          <w:rFonts w:hint="eastAsia"/>
          <w:color w:val="auto"/>
          <w:sz w:val="21"/>
          <w:szCs w:val="21"/>
          <w:highlight w:val="none"/>
        </w:rPr>
        <w:t>7</w:t>
      </w:r>
      <w:bookmarkStart w:id="851" w:name="_Toc296346576"/>
      <w:bookmarkStart w:id="852" w:name="_Toc296503075"/>
      <w:bookmarkStart w:id="853" w:name="_Toc337558774"/>
      <w:r>
        <w:rPr>
          <w:rFonts w:hint="eastAsia"/>
          <w:color w:val="auto"/>
          <w:sz w:val="21"/>
          <w:szCs w:val="21"/>
          <w:highlight w:val="none"/>
        </w:rPr>
        <w:t>.7 异常恶劣的气候条件</w:t>
      </w:r>
      <w:bookmarkEnd w:id="849"/>
      <w:bookmarkEnd w:id="850"/>
    </w:p>
    <w:bookmarkEnd w:id="851"/>
    <w:bookmarkEnd w:id="852"/>
    <w:bookmarkEnd w:id="853"/>
    <w:p w14:paraId="0C03013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35FEEED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854" w:name="_Toc351203550"/>
    </w:p>
    <w:p w14:paraId="5470FC47">
      <w:pPr>
        <w:pStyle w:val="7"/>
        <w:spacing w:before="0" w:beforeAutospacing="0" w:after="0" w:afterAutospacing="0" w:line="360" w:lineRule="auto"/>
        <w:ind w:firstLine="422" w:firstLineChars="200"/>
        <w:rPr>
          <w:color w:val="auto"/>
          <w:sz w:val="21"/>
          <w:szCs w:val="21"/>
          <w:highlight w:val="none"/>
        </w:rPr>
      </w:pPr>
      <w:bookmarkStart w:id="855" w:name="_Toc532377236"/>
      <w:r>
        <w:rPr>
          <w:rFonts w:hint="eastAsia"/>
          <w:color w:val="auto"/>
          <w:sz w:val="21"/>
          <w:szCs w:val="21"/>
          <w:highlight w:val="none"/>
        </w:rPr>
        <w:t>7</w:t>
      </w:r>
      <w:bookmarkStart w:id="856" w:name="_Toc337558775"/>
      <w:r>
        <w:rPr>
          <w:rFonts w:hint="eastAsia"/>
          <w:color w:val="auto"/>
          <w:sz w:val="21"/>
          <w:szCs w:val="21"/>
          <w:highlight w:val="none"/>
        </w:rPr>
        <w:t>.8 暂停施工</w:t>
      </w:r>
      <w:bookmarkEnd w:id="854"/>
      <w:bookmarkEnd w:id="855"/>
    </w:p>
    <w:bookmarkEnd w:id="847"/>
    <w:bookmarkEnd w:id="848"/>
    <w:bookmarkEnd w:id="856"/>
    <w:p w14:paraId="391A4AD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7.8.1发包人原因引起的暂停施工</w:t>
      </w:r>
    </w:p>
    <w:p w14:paraId="5C137D7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因发包人原因引起暂停施工的，监理人经发包人同意后，应及时下达暂停施工指示。情况紧急且监理人未及时下达暂停施工指示的，按照第7.8.4项〔紧急情况下的暂停施工〕执行。</w:t>
      </w:r>
    </w:p>
    <w:p w14:paraId="5703970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因发包人原因引起的暂停施工，发包人应承担由此增加的费用和（或）延误的工期，并支付承包人合理的利润。</w:t>
      </w:r>
    </w:p>
    <w:p w14:paraId="38A0F46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7.8.2 承包人原因引起的暂停施工</w:t>
      </w:r>
    </w:p>
    <w:p w14:paraId="670854B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7D75699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7.8.3 指示暂停施工</w:t>
      </w:r>
    </w:p>
    <w:p w14:paraId="1A1EA97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监理人认为有必要时，并经发包人批准后，可向承包人作出暂停施工的指示，承包人应按监理人指示暂停施工。</w:t>
      </w:r>
    </w:p>
    <w:p w14:paraId="75124AB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7.8.4 紧急情况下的暂停施工</w:t>
      </w:r>
    </w:p>
    <w:p w14:paraId="3D47B65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2A3324E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7.8.5 暂停施工后的复工</w:t>
      </w:r>
    </w:p>
    <w:p w14:paraId="2101761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1C33124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承包人无故拖延和拒绝复工的，承包人承担由此增加的费用和（或）延误的工期；因发包人原因无法按时复工的，按照第7.5.1项〔因发包人原因导致工期延误〕约定办理。</w:t>
      </w:r>
    </w:p>
    <w:p w14:paraId="22CBEF6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7.8.6 暂停施工持续56天以上</w:t>
      </w:r>
    </w:p>
    <w:p w14:paraId="2DD0E1B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2A9F615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0737985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7.8.7 暂停施工期间的工程照管</w:t>
      </w:r>
    </w:p>
    <w:p w14:paraId="4FB9805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暂停施工期间，承包人应负责妥善照管工程并提供安全保障，由此增加的费用由责任方承担。</w:t>
      </w:r>
    </w:p>
    <w:p w14:paraId="12AB394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7.8.8 暂停施工的措施</w:t>
      </w:r>
    </w:p>
    <w:p w14:paraId="5FD7D33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暂停施工期间，发包人和承包人均应采取必要的措施确保工程质量及安全，防止因暂停施工扩大损失。</w:t>
      </w:r>
    </w:p>
    <w:p w14:paraId="3B779701">
      <w:pPr>
        <w:pStyle w:val="7"/>
        <w:spacing w:before="0" w:beforeAutospacing="0" w:after="0" w:afterAutospacing="0" w:line="360" w:lineRule="auto"/>
        <w:ind w:firstLine="422" w:firstLineChars="200"/>
        <w:rPr>
          <w:color w:val="auto"/>
          <w:sz w:val="21"/>
          <w:szCs w:val="21"/>
          <w:highlight w:val="none"/>
        </w:rPr>
      </w:pPr>
      <w:bookmarkStart w:id="857" w:name="_Toc351203551"/>
      <w:bookmarkStart w:id="858" w:name="_Toc532377237"/>
      <w:r>
        <w:rPr>
          <w:rFonts w:hint="eastAsia"/>
          <w:color w:val="auto"/>
          <w:sz w:val="21"/>
          <w:szCs w:val="21"/>
          <w:highlight w:val="none"/>
        </w:rPr>
        <w:t>7.9提前竣工</w:t>
      </w:r>
      <w:bookmarkEnd w:id="857"/>
      <w:bookmarkEnd w:id="858"/>
    </w:p>
    <w:p w14:paraId="48CE9CD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31017D4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7.9.2 发包人要求承包人提前竣工，或承包人提出提前竣工的建议能够给发包人带来效益的，合同当事人可以在专用合同条款中约定提前竣工的奖励。</w:t>
      </w:r>
    </w:p>
    <w:p w14:paraId="35CB6480">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859" w:name="_Toc351203552"/>
      <w:bookmarkStart w:id="860" w:name="_Toc532377238"/>
      <w:bookmarkStart w:id="861" w:name="_Toc532375594"/>
      <w:r>
        <w:rPr>
          <w:rFonts w:hint="eastAsia"/>
          <w:color w:val="auto"/>
          <w:kern w:val="2"/>
          <w:sz w:val="21"/>
          <w:szCs w:val="21"/>
          <w:highlight w:val="none"/>
        </w:rPr>
        <w:t>8</w:t>
      </w:r>
      <w:bookmarkStart w:id="862" w:name="_Toc296346559"/>
      <w:bookmarkStart w:id="863" w:name="_Toc296503058"/>
      <w:bookmarkStart w:id="864" w:name="_Toc337558776"/>
      <w:r>
        <w:rPr>
          <w:rFonts w:hint="eastAsia"/>
          <w:color w:val="auto"/>
          <w:kern w:val="2"/>
          <w:sz w:val="21"/>
          <w:szCs w:val="21"/>
          <w:highlight w:val="none"/>
        </w:rPr>
        <w:t>. 材料与设备</w:t>
      </w:r>
      <w:bookmarkEnd w:id="859"/>
      <w:bookmarkEnd w:id="860"/>
      <w:bookmarkEnd w:id="861"/>
    </w:p>
    <w:bookmarkEnd w:id="862"/>
    <w:bookmarkEnd w:id="863"/>
    <w:bookmarkEnd w:id="864"/>
    <w:p w14:paraId="46262303">
      <w:pPr>
        <w:pStyle w:val="7"/>
        <w:spacing w:before="0" w:beforeAutospacing="0" w:after="0" w:afterAutospacing="0" w:line="360" w:lineRule="auto"/>
        <w:ind w:firstLine="422" w:firstLineChars="200"/>
        <w:rPr>
          <w:color w:val="auto"/>
          <w:sz w:val="21"/>
          <w:szCs w:val="21"/>
          <w:highlight w:val="none"/>
        </w:rPr>
      </w:pPr>
      <w:bookmarkStart w:id="865" w:name="_Toc532377239"/>
      <w:bookmarkStart w:id="866" w:name="_Toc351203553"/>
      <w:r>
        <w:rPr>
          <w:rFonts w:hint="eastAsia"/>
          <w:color w:val="auto"/>
          <w:sz w:val="21"/>
          <w:szCs w:val="21"/>
          <w:highlight w:val="none"/>
        </w:rPr>
        <w:t>8</w:t>
      </w:r>
      <w:bookmarkStart w:id="867" w:name="_Toc337558777"/>
      <w:bookmarkStart w:id="868" w:name="_Toc296503059"/>
      <w:bookmarkStart w:id="869" w:name="_Toc296346560"/>
      <w:bookmarkStart w:id="870" w:name="_Toc468936960"/>
      <w:r>
        <w:rPr>
          <w:rFonts w:hint="eastAsia"/>
          <w:color w:val="auto"/>
          <w:sz w:val="21"/>
          <w:szCs w:val="21"/>
          <w:highlight w:val="none"/>
        </w:rPr>
        <w:t>.1发包人供应材料与工程设备</w:t>
      </w:r>
      <w:bookmarkEnd w:id="865"/>
      <w:bookmarkEnd w:id="866"/>
    </w:p>
    <w:bookmarkEnd w:id="867"/>
    <w:bookmarkEnd w:id="868"/>
    <w:bookmarkEnd w:id="869"/>
    <w:p w14:paraId="75B0543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发包人自行供应材料、工程设备的，应在签订合同时在专用合同条款的附件《发包人供应材料设备一览表》中明确材料、工程设备的品种、规格、型号、数量、单价、质量等级和送达地点。</w:t>
      </w:r>
    </w:p>
    <w:p w14:paraId="6FC8A06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7546BA76">
      <w:pPr>
        <w:pStyle w:val="7"/>
        <w:spacing w:before="0" w:beforeAutospacing="0" w:after="0" w:afterAutospacing="0" w:line="360" w:lineRule="auto"/>
        <w:ind w:firstLine="422" w:firstLineChars="200"/>
        <w:rPr>
          <w:color w:val="auto"/>
          <w:sz w:val="21"/>
          <w:szCs w:val="21"/>
          <w:highlight w:val="none"/>
        </w:rPr>
      </w:pPr>
      <w:bookmarkStart w:id="871" w:name="_Toc532377240"/>
      <w:r>
        <w:rPr>
          <w:rFonts w:hint="eastAsia"/>
          <w:color w:val="auto"/>
          <w:sz w:val="21"/>
          <w:szCs w:val="21"/>
          <w:highlight w:val="none"/>
        </w:rPr>
        <w:t>8.2承包人采购材料与工程设备</w:t>
      </w:r>
      <w:bookmarkEnd w:id="871"/>
    </w:p>
    <w:p w14:paraId="4C74005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6A668527">
      <w:pPr>
        <w:pStyle w:val="7"/>
        <w:spacing w:before="0" w:beforeAutospacing="0" w:after="0" w:afterAutospacing="0" w:line="360" w:lineRule="auto"/>
        <w:ind w:firstLine="422" w:firstLineChars="200"/>
        <w:rPr>
          <w:color w:val="auto"/>
          <w:sz w:val="21"/>
          <w:szCs w:val="21"/>
          <w:highlight w:val="none"/>
        </w:rPr>
      </w:pPr>
      <w:bookmarkStart w:id="872" w:name="_Toc351203555"/>
      <w:bookmarkStart w:id="873" w:name="_Toc532377241"/>
      <w:r>
        <w:rPr>
          <w:rFonts w:hint="eastAsia"/>
          <w:color w:val="auto"/>
          <w:sz w:val="21"/>
          <w:szCs w:val="21"/>
          <w:highlight w:val="none"/>
        </w:rPr>
        <w:t>8</w:t>
      </w:r>
      <w:bookmarkStart w:id="874" w:name="_Toc296346562"/>
      <w:bookmarkStart w:id="875" w:name="_Toc337558779"/>
      <w:bookmarkStart w:id="876" w:name="_Toc296503061"/>
      <w:r>
        <w:rPr>
          <w:rFonts w:hint="eastAsia"/>
          <w:color w:val="auto"/>
          <w:sz w:val="21"/>
          <w:szCs w:val="21"/>
          <w:highlight w:val="none"/>
        </w:rPr>
        <w:t>.3材料与工程设备的接收与拒收</w:t>
      </w:r>
      <w:bookmarkEnd w:id="872"/>
      <w:bookmarkEnd w:id="873"/>
    </w:p>
    <w:bookmarkEnd w:id="874"/>
    <w:bookmarkEnd w:id="875"/>
    <w:bookmarkEnd w:id="876"/>
    <w:p w14:paraId="59AA481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662843F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发包人提供的材料和工程设备的规格、数量或质量不符合合同约定的，或因发包人原因导致交货日期延误或交货地点变更等情况的，按照第16.1款〔发包人违约〕约定办理。</w:t>
      </w:r>
    </w:p>
    <w:p w14:paraId="4DF5C7C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8.3.2 承包人采购的材料和工程设备，应保证产品质量合格，承包人应在材料和工程设备到货前24小时通知监理人检验。承</w:t>
      </w:r>
      <w:bookmarkStart w:id="877" w:name="_Toc250655469"/>
      <w:r>
        <w:rPr>
          <w:rFonts w:hint="eastAsia" w:ascii="宋体" w:hAnsi="宋体"/>
          <w:color w:val="auto"/>
          <w:kern w:val="0"/>
          <w:szCs w:val="21"/>
          <w:highlight w:val="none"/>
        </w:rPr>
        <w:t>包人进行永久设备、材料的制造和生产的，应符合相关质量标准，并向监理人提交材料的样本以及有关资料，并应在使用该材料或工程设备之前获得监理人同意。</w:t>
      </w:r>
    </w:p>
    <w:bookmarkEnd w:id="877"/>
    <w:p w14:paraId="5681B8C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304E922D">
      <w:pPr>
        <w:pStyle w:val="7"/>
        <w:spacing w:before="0" w:beforeAutospacing="0" w:after="0" w:afterAutospacing="0" w:line="360" w:lineRule="auto"/>
        <w:ind w:firstLine="422" w:firstLineChars="200"/>
        <w:rPr>
          <w:color w:val="auto"/>
          <w:sz w:val="21"/>
          <w:szCs w:val="21"/>
          <w:highlight w:val="none"/>
        </w:rPr>
      </w:pPr>
      <w:bookmarkStart w:id="878" w:name="_Toc532377242"/>
      <w:bookmarkStart w:id="879" w:name="_Toc351203556"/>
      <w:r>
        <w:rPr>
          <w:rFonts w:hint="eastAsia"/>
          <w:color w:val="auto"/>
          <w:sz w:val="21"/>
          <w:szCs w:val="21"/>
          <w:highlight w:val="none"/>
        </w:rPr>
        <w:t>8</w:t>
      </w:r>
      <w:bookmarkStart w:id="880" w:name="_Toc337558780"/>
      <w:bookmarkStart w:id="881" w:name="_Toc296503062"/>
      <w:bookmarkStart w:id="882" w:name="_Toc296346563"/>
      <w:r>
        <w:rPr>
          <w:rFonts w:hint="eastAsia"/>
          <w:color w:val="auto"/>
          <w:sz w:val="21"/>
          <w:szCs w:val="21"/>
          <w:highlight w:val="none"/>
        </w:rPr>
        <w:t>.4材料与工程设备的保管与使用</w:t>
      </w:r>
      <w:bookmarkEnd w:id="878"/>
      <w:bookmarkEnd w:id="879"/>
    </w:p>
    <w:bookmarkEnd w:id="880"/>
    <w:bookmarkEnd w:id="881"/>
    <w:bookmarkEnd w:id="882"/>
    <w:p w14:paraId="2296B90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8.4.1 发包人供应材料与工程设备的保管与使用</w:t>
      </w:r>
    </w:p>
    <w:p w14:paraId="6F40536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2AD62B6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发包人供应的材料和工程设备使用前，由承包人负责检验，检验费用由发包人承担，不合格的不得使用。</w:t>
      </w:r>
    </w:p>
    <w:p w14:paraId="36DC4BE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8.4.2 承包人采购材料与工程设备的保管与使用</w:t>
      </w:r>
    </w:p>
    <w:p w14:paraId="4E0C53E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24BB645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发包人或监理人发现承包人使用不符合设计或有关标准要求的材料和工程设备时，有权要求承包人进行修复、拆除或重新采购，由此增加的费用和（或）延误的工期，由承包人承担。</w:t>
      </w:r>
    </w:p>
    <w:p w14:paraId="6B77EF2A">
      <w:pPr>
        <w:pStyle w:val="7"/>
        <w:spacing w:before="0" w:beforeAutospacing="0" w:after="0" w:afterAutospacing="0" w:line="360" w:lineRule="auto"/>
        <w:ind w:firstLine="422" w:firstLineChars="200"/>
        <w:rPr>
          <w:color w:val="auto"/>
          <w:sz w:val="21"/>
          <w:szCs w:val="21"/>
          <w:highlight w:val="none"/>
        </w:rPr>
      </w:pPr>
      <w:bookmarkStart w:id="883" w:name="_Toc532377243"/>
      <w:bookmarkStart w:id="884" w:name="_Toc351203557"/>
      <w:r>
        <w:rPr>
          <w:rFonts w:hint="eastAsia"/>
          <w:color w:val="auto"/>
          <w:sz w:val="21"/>
          <w:szCs w:val="21"/>
          <w:highlight w:val="none"/>
        </w:rPr>
        <w:t>8.5禁止使用不合格的材料和工程设备</w:t>
      </w:r>
      <w:bookmarkEnd w:id="883"/>
      <w:bookmarkEnd w:id="884"/>
    </w:p>
    <w:p w14:paraId="481F82E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8.5.1 监理人有权拒绝承包人提供的不合格材料或工程设备，并要求承包人立即进行更换。监理人应在更换后再次进行检查和检验，由此增加的费用和（或）延误的工期由承包人承担。</w:t>
      </w:r>
    </w:p>
    <w:p w14:paraId="7991C73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8.5.2 监理人发现承包人使用了不合格的材料和工程设备，承包人应按照监理人的指示立即改正，并禁止在工程中继续使用不合格的材料和工程设备。</w:t>
      </w:r>
    </w:p>
    <w:p w14:paraId="283EB3D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8.5.3 发包人提供的材料或工程设备不符合合同要求的，承包人有权拒绝，并可要求发包人更换，由此增加的费用和（或）延误的工期由发包人承担，并支付承包人合理的利润。</w:t>
      </w:r>
    </w:p>
    <w:p w14:paraId="113D560D">
      <w:pPr>
        <w:pStyle w:val="7"/>
        <w:spacing w:before="0" w:beforeAutospacing="0" w:after="0" w:afterAutospacing="0" w:line="360" w:lineRule="auto"/>
        <w:ind w:firstLine="422" w:firstLineChars="200"/>
        <w:rPr>
          <w:color w:val="auto"/>
          <w:sz w:val="21"/>
          <w:szCs w:val="21"/>
          <w:highlight w:val="none"/>
        </w:rPr>
      </w:pPr>
      <w:bookmarkStart w:id="885" w:name="_Toc532377244"/>
      <w:bookmarkStart w:id="886" w:name="_Toc351203558"/>
      <w:r>
        <w:rPr>
          <w:rFonts w:hint="eastAsia"/>
          <w:color w:val="auto"/>
          <w:sz w:val="21"/>
          <w:szCs w:val="21"/>
          <w:highlight w:val="none"/>
        </w:rPr>
        <w:t>8.6 样品</w:t>
      </w:r>
      <w:bookmarkEnd w:id="885"/>
      <w:bookmarkEnd w:id="886"/>
    </w:p>
    <w:p w14:paraId="3222BAF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8.6.1</w:t>
      </w:r>
      <w:r>
        <w:rPr>
          <w:rFonts w:hint="eastAsia" w:ascii="宋体" w:hAnsi="宋体"/>
          <w:color w:val="auto"/>
          <w:kern w:val="0"/>
          <w:szCs w:val="21"/>
          <w:highlight w:val="none"/>
        </w:rPr>
        <w:tab/>
      </w:r>
      <w:r>
        <w:rPr>
          <w:rFonts w:hint="eastAsia" w:ascii="宋体" w:hAnsi="宋体"/>
          <w:color w:val="auto"/>
          <w:kern w:val="0"/>
          <w:szCs w:val="21"/>
          <w:highlight w:val="none"/>
        </w:rPr>
        <w:t>样品的报送与封存</w:t>
      </w:r>
    </w:p>
    <w:p w14:paraId="08CDE11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需要承包人报送样品的材料或工程设备，样品的种类、名称、规格、数量等要求均应在专用合同条款中约定。样品的报送程序如下：</w:t>
      </w:r>
    </w:p>
    <w:p w14:paraId="5A8FBA2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0063C0D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17DA5CE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（3）经发包人和监理人审批确认的样品应按约定的方法封样，封存的样品作为检验工程相关部分的标准之一。承包人在施工过程中不得使用与样品不符的材料或工程设备。</w:t>
      </w:r>
    </w:p>
    <w:p w14:paraId="7DB30A0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6470692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8.6.2 样品的保管</w:t>
      </w:r>
    </w:p>
    <w:p w14:paraId="27F349C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经批准的样品应由监理人负责封存于现场，承包人应在现场为保存样品提供适当和固定的场所并保持适当和良好的存储环境条件。</w:t>
      </w:r>
    </w:p>
    <w:p w14:paraId="26C4837B">
      <w:pPr>
        <w:pStyle w:val="7"/>
        <w:spacing w:before="0" w:beforeAutospacing="0" w:after="0" w:afterAutospacing="0" w:line="360" w:lineRule="auto"/>
        <w:ind w:firstLine="422" w:firstLineChars="200"/>
        <w:rPr>
          <w:color w:val="auto"/>
          <w:sz w:val="21"/>
          <w:szCs w:val="21"/>
          <w:highlight w:val="none"/>
        </w:rPr>
      </w:pPr>
      <w:bookmarkStart w:id="887" w:name="_Toc532377245"/>
      <w:bookmarkStart w:id="888" w:name="_Toc351203559"/>
      <w:r>
        <w:rPr>
          <w:rFonts w:hint="eastAsia"/>
          <w:color w:val="auto"/>
          <w:sz w:val="21"/>
          <w:szCs w:val="21"/>
          <w:highlight w:val="none"/>
        </w:rPr>
        <w:t>8.7材料与工程设备的替代</w:t>
      </w:r>
      <w:bookmarkEnd w:id="887"/>
      <w:bookmarkEnd w:id="888"/>
    </w:p>
    <w:p w14:paraId="65C6D44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8.7.1 出现下列情况需要使用替代材料和工程设备的，承包人应按照第8.7.2项约定的程序执行：</w:t>
      </w:r>
    </w:p>
    <w:p w14:paraId="775BC2E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（1）基准日期后生效的法律规定禁止使用的；</w:t>
      </w:r>
    </w:p>
    <w:p w14:paraId="5815EBF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（2）发包人要求使用替代品的；</w:t>
      </w:r>
    </w:p>
    <w:p w14:paraId="352FAD2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（3）因其他原因必须使用替代品的。</w:t>
      </w:r>
    </w:p>
    <w:p w14:paraId="7CC46DB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8.7.2 承包人应在使用替代材料和工程设备28天前书面通知监理人，并附下列文件：</w:t>
      </w:r>
    </w:p>
    <w:p w14:paraId="531E0BB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（1）被替代的材料和工程设备的名称、数量、规格、型号、品牌、性能、价格及其他相关资料；</w:t>
      </w:r>
    </w:p>
    <w:p w14:paraId="75A6BFE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（2）替代品的名称、数量、规格、型号、品牌、性能、价格及其他相关资料；</w:t>
      </w:r>
    </w:p>
    <w:p w14:paraId="4EE258C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（3）替代品与被替代产品之间的差异以及使用替代品可能对工程产生的影响；</w:t>
      </w:r>
    </w:p>
    <w:p w14:paraId="796D5E2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（4）替代品与被替代产品的价格差异；</w:t>
      </w:r>
    </w:p>
    <w:p w14:paraId="751BAFA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（5）使用替代品的理由和原因说明；</w:t>
      </w:r>
    </w:p>
    <w:p w14:paraId="0D222B0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（6）监理人要求的其他文件。</w:t>
      </w:r>
    </w:p>
    <w:p w14:paraId="6A8DC2E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监理人应在收到通知后14天内向承包人发出经发包人签认的书面指示；监理人逾期发出书面指示的，视为发包人和监理人同意使用替代品。</w:t>
      </w:r>
    </w:p>
    <w:p w14:paraId="596B83E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3B82E0DB">
      <w:pPr>
        <w:pStyle w:val="7"/>
        <w:spacing w:before="0" w:beforeAutospacing="0" w:after="0" w:afterAutospacing="0" w:line="360" w:lineRule="auto"/>
        <w:ind w:firstLine="422" w:firstLineChars="200"/>
        <w:rPr>
          <w:color w:val="auto"/>
          <w:sz w:val="21"/>
          <w:szCs w:val="21"/>
          <w:highlight w:val="none"/>
        </w:rPr>
      </w:pPr>
      <w:bookmarkStart w:id="889" w:name="_Toc351203560"/>
      <w:bookmarkStart w:id="890" w:name="_Toc532377246"/>
      <w:r>
        <w:rPr>
          <w:rFonts w:hint="eastAsia"/>
          <w:color w:val="auto"/>
          <w:sz w:val="21"/>
          <w:szCs w:val="21"/>
          <w:highlight w:val="none"/>
        </w:rPr>
        <w:t>8.8施工设备和临时设施</w:t>
      </w:r>
      <w:bookmarkEnd w:id="889"/>
      <w:bookmarkEnd w:id="890"/>
    </w:p>
    <w:p w14:paraId="3C3627C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8.8.1 承包人提供的施工设备和临时设施</w:t>
      </w:r>
    </w:p>
    <w:p w14:paraId="099B647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4469331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除专用合同条款另有约定外，承包人应自行承担修建临时设施的费用，需要临时占地的，应由发包人办理申请手续并承担相应费用。</w:t>
      </w:r>
    </w:p>
    <w:p w14:paraId="3F9A730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8.8.2发包人提供的施工设备和临时设施</w:t>
      </w:r>
    </w:p>
    <w:p w14:paraId="2B342E5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发包人提供的施工设备或临时设施在专用合同条款中约定。</w:t>
      </w:r>
    </w:p>
    <w:p w14:paraId="659E829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8.8.3要求承包人增加或更换施工设备</w:t>
      </w:r>
    </w:p>
    <w:p w14:paraId="5B0F356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7478A4AC">
      <w:pPr>
        <w:pStyle w:val="7"/>
        <w:spacing w:before="0" w:beforeAutospacing="0" w:after="0" w:afterAutospacing="0" w:line="360" w:lineRule="auto"/>
        <w:ind w:firstLine="422" w:firstLineChars="200"/>
        <w:rPr>
          <w:color w:val="auto"/>
          <w:sz w:val="21"/>
          <w:szCs w:val="21"/>
          <w:highlight w:val="none"/>
        </w:rPr>
      </w:pPr>
      <w:bookmarkStart w:id="891" w:name="_Toc351203561"/>
      <w:bookmarkStart w:id="892" w:name="_Toc532377247"/>
      <w:r>
        <w:rPr>
          <w:rFonts w:hint="eastAsia"/>
          <w:color w:val="auto"/>
          <w:sz w:val="21"/>
          <w:szCs w:val="21"/>
          <w:highlight w:val="none"/>
        </w:rPr>
        <w:t>8</w:t>
      </w:r>
      <w:bookmarkStart w:id="893" w:name="_Toc296503063"/>
      <w:bookmarkStart w:id="894" w:name="_Toc337558781"/>
      <w:bookmarkStart w:id="895" w:name="_Toc296346564"/>
      <w:r>
        <w:rPr>
          <w:rFonts w:hint="eastAsia"/>
          <w:color w:val="auto"/>
          <w:sz w:val="21"/>
          <w:szCs w:val="21"/>
          <w:highlight w:val="none"/>
        </w:rPr>
        <w:t>.9材料与设备专用</w:t>
      </w:r>
      <w:bookmarkEnd w:id="891"/>
      <w:r>
        <w:rPr>
          <w:rFonts w:hint="eastAsia"/>
          <w:color w:val="auto"/>
          <w:sz w:val="21"/>
          <w:szCs w:val="21"/>
          <w:highlight w:val="none"/>
        </w:rPr>
        <w:t>要求</w:t>
      </w:r>
      <w:bookmarkEnd w:id="892"/>
    </w:p>
    <w:bookmarkEnd w:id="893"/>
    <w:bookmarkEnd w:id="894"/>
    <w:bookmarkEnd w:id="895"/>
    <w:p w14:paraId="3A8ACF5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870"/>
      <w:r>
        <w:rPr>
          <w:rFonts w:hint="eastAsia" w:ascii="宋体" w:hAnsi="宋体"/>
          <w:color w:val="auto"/>
          <w:kern w:val="0"/>
          <w:szCs w:val="21"/>
          <w:highlight w:val="none"/>
        </w:rPr>
        <w:t>经发包人批准，承包人可以根据施工进度计划撤走闲置的施工设备和其他物品。</w:t>
      </w:r>
    </w:p>
    <w:p w14:paraId="057D1010">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896" w:name="_Toc532377248"/>
      <w:bookmarkStart w:id="897" w:name="_Toc532375595"/>
      <w:bookmarkStart w:id="898" w:name="_Toc351203562"/>
      <w:r>
        <w:rPr>
          <w:rFonts w:hint="eastAsia"/>
          <w:color w:val="auto"/>
          <w:kern w:val="2"/>
          <w:sz w:val="21"/>
          <w:szCs w:val="21"/>
          <w:highlight w:val="none"/>
        </w:rPr>
        <w:t>9</w:t>
      </w:r>
      <w:bookmarkStart w:id="899" w:name="_Toc337558782"/>
      <w:bookmarkStart w:id="900" w:name="_Toc296503083"/>
      <w:bookmarkStart w:id="901" w:name="_Toc296346584"/>
      <w:r>
        <w:rPr>
          <w:rFonts w:hint="eastAsia"/>
          <w:color w:val="auto"/>
          <w:kern w:val="2"/>
          <w:sz w:val="21"/>
          <w:szCs w:val="21"/>
          <w:highlight w:val="none"/>
        </w:rPr>
        <w:t>. 试验与检验</w:t>
      </w:r>
      <w:bookmarkEnd w:id="896"/>
      <w:bookmarkEnd w:id="897"/>
      <w:bookmarkEnd w:id="898"/>
    </w:p>
    <w:bookmarkEnd w:id="899"/>
    <w:p w14:paraId="68764671">
      <w:pPr>
        <w:pStyle w:val="7"/>
        <w:spacing w:before="0" w:beforeAutospacing="0" w:after="0" w:afterAutospacing="0" w:line="360" w:lineRule="auto"/>
        <w:ind w:firstLine="422" w:firstLineChars="200"/>
        <w:rPr>
          <w:color w:val="auto"/>
          <w:sz w:val="21"/>
          <w:szCs w:val="21"/>
          <w:highlight w:val="none"/>
        </w:rPr>
      </w:pPr>
      <w:bookmarkStart w:id="902" w:name="_Toc532377249"/>
      <w:bookmarkStart w:id="903" w:name="_Toc351203563"/>
      <w:r>
        <w:rPr>
          <w:rFonts w:hint="eastAsia"/>
          <w:color w:val="auto"/>
          <w:sz w:val="21"/>
          <w:szCs w:val="21"/>
          <w:highlight w:val="none"/>
        </w:rPr>
        <w:t>9</w:t>
      </w:r>
      <w:bookmarkStart w:id="904" w:name="_Toc337558783"/>
      <w:r>
        <w:rPr>
          <w:rFonts w:hint="eastAsia"/>
          <w:color w:val="auto"/>
          <w:sz w:val="21"/>
          <w:szCs w:val="21"/>
          <w:highlight w:val="none"/>
        </w:rPr>
        <w:t>.1试验设备与试验人员</w:t>
      </w:r>
      <w:bookmarkEnd w:id="902"/>
      <w:bookmarkEnd w:id="903"/>
    </w:p>
    <w:bookmarkEnd w:id="904"/>
    <w:p w14:paraId="23CFEC5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0D9706D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9.1.2 承包人应按专用合同条款的约定提供试验设备、取样装置、试验场所和试验条件，并向监理人提交相应进场计划表。</w:t>
      </w:r>
    </w:p>
    <w:p w14:paraId="2FC888E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承包人配置的试验设备要符合相应试验规程的要求并经过具有资质的检测单位检测，且在正式使用该试验设备前，需要经过监理人与承包人共同校定。</w:t>
      </w:r>
    </w:p>
    <w:p w14:paraId="1EA919B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9.1.3 承包人应向监理人提交试验人员的名单及其岗位、资格等证明资料，试验人员必须能够熟练进行相应的检测试验，承包人对试验人员的试验程序和试验结果的正确性负责。</w:t>
      </w:r>
    </w:p>
    <w:p w14:paraId="31A6D0E1">
      <w:pPr>
        <w:pStyle w:val="7"/>
        <w:spacing w:before="0" w:beforeAutospacing="0" w:after="0" w:afterAutospacing="0" w:line="360" w:lineRule="auto"/>
        <w:ind w:firstLine="422" w:firstLineChars="200"/>
        <w:rPr>
          <w:color w:val="auto"/>
          <w:sz w:val="21"/>
          <w:szCs w:val="21"/>
          <w:highlight w:val="none"/>
        </w:rPr>
      </w:pPr>
      <w:bookmarkStart w:id="905" w:name="_Toc532377250"/>
      <w:bookmarkStart w:id="906" w:name="_Toc351203564"/>
      <w:r>
        <w:rPr>
          <w:rFonts w:hint="eastAsia"/>
          <w:color w:val="auto"/>
          <w:sz w:val="21"/>
          <w:szCs w:val="21"/>
          <w:highlight w:val="none"/>
        </w:rPr>
        <w:t>9</w:t>
      </w:r>
      <w:bookmarkStart w:id="907" w:name="_Toc337558784"/>
      <w:r>
        <w:rPr>
          <w:rFonts w:hint="eastAsia"/>
          <w:color w:val="auto"/>
          <w:sz w:val="21"/>
          <w:szCs w:val="21"/>
          <w:highlight w:val="none"/>
        </w:rPr>
        <w:t>.2取样</w:t>
      </w:r>
      <w:bookmarkEnd w:id="905"/>
      <w:bookmarkEnd w:id="906"/>
    </w:p>
    <w:bookmarkEnd w:id="907"/>
    <w:p w14:paraId="0ECFF8B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试验属于自检性质的，承包人可以单独取样。试验属于监理人抽检性质的，可由监理人取样，也可由承包人的试验人员在监理人的监督下取样。</w:t>
      </w:r>
    </w:p>
    <w:p w14:paraId="4EC90581">
      <w:pPr>
        <w:pStyle w:val="7"/>
        <w:spacing w:before="0" w:beforeAutospacing="0" w:after="0" w:afterAutospacing="0" w:line="360" w:lineRule="auto"/>
        <w:ind w:firstLine="422" w:firstLineChars="200"/>
        <w:rPr>
          <w:color w:val="auto"/>
          <w:sz w:val="21"/>
          <w:szCs w:val="21"/>
          <w:highlight w:val="none"/>
        </w:rPr>
      </w:pPr>
      <w:bookmarkStart w:id="908" w:name="_Toc351203565"/>
      <w:bookmarkStart w:id="909" w:name="_Toc532377251"/>
      <w:r>
        <w:rPr>
          <w:rFonts w:hint="eastAsia"/>
          <w:color w:val="auto"/>
          <w:sz w:val="21"/>
          <w:szCs w:val="21"/>
          <w:highlight w:val="none"/>
        </w:rPr>
        <w:t>9</w:t>
      </w:r>
      <w:bookmarkStart w:id="910" w:name="_Toc337558785"/>
      <w:r>
        <w:rPr>
          <w:rFonts w:hint="eastAsia"/>
          <w:color w:val="auto"/>
          <w:sz w:val="21"/>
          <w:szCs w:val="21"/>
          <w:highlight w:val="none"/>
        </w:rPr>
        <w:t>.3材料、工程设备和工程的试验和检验</w:t>
      </w:r>
      <w:bookmarkEnd w:id="908"/>
      <w:bookmarkEnd w:id="909"/>
    </w:p>
    <w:bookmarkEnd w:id="910"/>
    <w:p w14:paraId="5BEF3B5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16C461A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48FB159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5F668D12">
      <w:pPr>
        <w:pStyle w:val="7"/>
        <w:spacing w:before="0" w:beforeAutospacing="0" w:after="0" w:afterAutospacing="0" w:line="360" w:lineRule="auto"/>
        <w:ind w:firstLine="422" w:firstLineChars="200"/>
        <w:rPr>
          <w:color w:val="auto"/>
          <w:sz w:val="21"/>
          <w:szCs w:val="21"/>
          <w:highlight w:val="none"/>
        </w:rPr>
      </w:pPr>
      <w:bookmarkStart w:id="911" w:name="_Toc532377252"/>
      <w:bookmarkStart w:id="912" w:name="_Toc351203566"/>
      <w:r>
        <w:rPr>
          <w:rFonts w:hint="eastAsia"/>
          <w:color w:val="auto"/>
          <w:sz w:val="21"/>
          <w:szCs w:val="21"/>
          <w:highlight w:val="none"/>
        </w:rPr>
        <w:t>9</w:t>
      </w:r>
      <w:bookmarkStart w:id="913" w:name="_Toc337558786"/>
      <w:r>
        <w:rPr>
          <w:rFonts w:hint="eastAsia"/>
          <w:color w:val="auto"/>
          <w:sz w:val="21"/>
          <w:szCs w:val="21"/>
          <w:highlight w:val="none"/>
        </w:rPr>
        <w:t>.4现场工艺试验</w:t>
      </w:r>
      <w:bookmarkEnd w:id="911"/>
      <w:bookmarkEnd w:id="912"/>
    </w:p>
    <w:bookmarkEnd w:id="913"/>
    <w:p w14:paraId="627CC8B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承包人应按合同约定或监理人指示进行现场工艺试验。对大型的现场工艺试验，监理人认为必要时，承包人应根据监理人提出的工艺试验要求，编制工艺试验措施计划，报送监理人审查。</w:t>
      </w:r>
    </w:p>
    <w:p w14:paraId="0F839F83">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914" w:name="_Toc532377253"/>
      <w:bookmarkStart w:id="915" w:name="_Toc532375596"/>
      <w:bookmarkStart w:id="916" w:name="_Toc351203567"/>
      <w:r>
        <w:rPr>
          <w:rFonts w:hint="eastAsia"/>
          <w:color w:val="auto"/>
          <w:kern w:val="2"/>
          <w:sz w:val="21"/>
          <w:szCs w:val="21"/>
          <w:highlight w:val="none"/>
        </w:rPr>
        <w:t>1</w:t>
      </w:r>
      <w:bookmarkStart w:id="917" w:name="_Toc337558787"/>
      <w:r>
        <w:rPr>
          <w:rFonts w:hint="eastAsia"/>
          <w:color w:val="auto"/>
          <w:kern w:val="2"/>
          <w:sz w:val="21"/>
          <w:szCs w:val="21"/>
          <w:highlight w:val="none"/>
        </w:rPr>
        <w:t>0. 变更</w:t>
      </w:r>
      <w:bookmarkEnd w:id="900"/>
      <w:bookmarkEnd w:id="901"/>
      <w:bookmarkEnd w:id="914"/>
      <w:bookmarkEnd w:id="915"/>
      <w:bookmarkEnd w:id="916"/>
    </w:p>
    <w:bookmarkEnd w:id="917"/>
    <w:p w14:paraId="65E25380">
      <w:pPr>
        <w:pStyle w:val="7"/>
        <w:spacing w:before="0" w:beforeAutospacing="0" w:after="0" w:afterAutospacing="0" w:line="360" w:lineRule="auto"/>
        <w:ind w:firstLine="422" w:firstLineChars="200"/>
        <w:rPr>
          <w:color w:val="auto"/>
          <w:sz w:val="21"/>
          <w:szCs w:val="21"/>
          <w:highlight w:val="none"/>
        </w:rPr>
      </w:pPr>
      <w:bookmarkStart w:id="918" w:name="_Toc532377254"/>
      <w:bookmarkStart w:id="919" w:name="_Toc351203568"/>
      <w:r>
        <w:rPr>
          <w:rFonts w:hint="eastAsia"/>
          <w:color w:val="auto"/>
          <w:sz w:val="21"/>
          <w:szCs w:val="21"/>
          <w:highlight w:val="none"/>
        </w:rPr>
        <w:t>1</w:t>
      </w:r>
      <w:bookmarkStart w:id="920" w:name="_Toc337558788"/>
      <w:bookmarkStart w:id="921" w:name="_Toc296346585"/>
      <w:bookmarkStart w:id="922" w:name="_Toc296503084"/>
      <w:r>
        <w:rPr>
          <w:rFonts w:hint="eastAsia"/>
          <w:color w:val="auto"/>
          <w:sz w:val="21"/>
          <w:szCs w:val="21"/>
          <w:highlight w:val="none"/>
        </w:rPr>
        <w:t>0.1变更的范围</w:t>
      </w:r>
      <w:bookmarkEnd w:id="918"/>
      <w:bookmarkEnd w:id="919"/>
    </w:p>
    <w:bookmarkEnd w:id="920"/>
    <w:bookmarkEnd w:id="921"/>
    <w:bookmarkEnd w:id="922"/>
    <w:p w14:paraId="048B0B6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除专用合同条款另有约定外，合同履行过程中发生以下情形的，应按照本条约定进行变更：</w:t>
      </w:r>
    </w:p>
    <w:p w14:paraId="565F1E5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（1）增加或减少合同中任何工作，或追加额外的工作；</w:t>
      </w:r>
    </w:p>
    <w:p w14:paraId="4C33606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（2）取消合同中任何工作，但转由他人实施的工作除外；</w:t>
      </w:r>
    </w:p>
    <w:p w14:paraId="6EB4529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（3）改变合同中任何工作的质量标准或其他特性；</w:t>
      </w:r>
    </w:p>
    <w:p w14:paraId="2A700EA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（4）改变工程的基线、标高、位置和尺寸；</w:t>
      </w:r>
    </w:p>
    <w:p w14:paraId="292B46E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（5）改变工程的时间安排或实施顺序。</w:t>
      </w:r>
    </w:p>
    <w:p w14:paraId="7FEA1518">
      <w:pPr>
        <w:pStyle w:val="7"/>
        <w:spacing w:before="0" w:beforeAutospacing="0" w:after="0" w:afterAutospacing="0" w:line="360" w:lineRule="auto"/>
        <w:ind w:firstLine="422" w:firstLineChars="200"/>
        <w:rPr>
          <w:color w:val="auto"/>
          <w:sz w:val="21"/>
          <w:szCs w:val="21"/>
          <w:highlight w:val="none"/>
        </w:rPr>
      </w:pPr>
      <w:bookmarkStart w:id="923" w:name="_Toc532377255"/>
      <w:r>
        <w:rPr>
          <w:rFonts w:hint="eastAsia"/>
          <w:color w:val="auto"/>
          <w:sz w:val="21"/>
          <w:szCs w:val="21"/>
          <w:highlight w:val="none"/>
        </w:rPr>
        <w:t>10.2变更权</w:t>
      </w:r>
      <w:bookmarkEnd w:id="923"/>
    </w:p>
    <w:p w14:paraId="0B5375F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43F8C12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涉及设计变更的，应由设计人提供变更后的图纸和说明。如变更超过原设计标准或批准的建设规模时，发包人应及时办理规划、设计变更等审批手续。</w:t>
      </w:r>
    </w:p>
    <w:p w14:paraId="34B8B4EC">
      <w:pPr>
        <w:pStyle w:val="7"/>
        <w:spacing w:before="0" w:beforeAutospacing="0" w:after="0" w:afterAutospacing="0" w:line="360" w:lineRule="auto"/>
        <w:ind w:firstLine="422" w:firstLineChars="200"/>
        <w:rPr>
          <w:color w:val="auto"/>
          <w:sz w:val="21"/>
          <w:szCs w:val="21"/>
          <w:highlight w:val="none"/>
        </w:rPr>
      </w:pPr>
      <w:bookmarkStart w:id="924" w:name="_Toc532377256"/>
      <w:r>
        <w:rPr>
          <w:rFonts w:hint="eastAsia"/>
          <w:color w:val="auto"/>
          <w:sz w:val="21"/>
          <w:szCs w:val="21"/>
          <w:highlight w:val="none"/>
        </w:rPr>
        <w:t>10.3变更程序</w:t>
      </w:r>
      <w:bookmarkEnd w:id="924"/>
    </w:p>
    <w:p w14:paraId="21D0829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10.3.1 发包人提出变更</w:t>
      </w:r>
    </w:p>
    <w:p w14:paraId="35E5251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发包人提出变更的，应通过监理人向承包人发出变更指示，变更指示应说明计划变更的工程范围和变更的内容。</w:t>
      </w:r>
    </w:p>
    <w:p w14:paraId="493714F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10.3.2 监理人提出变更建议</w:t>
      </w:r>
    </w:p>
    <w:p w14:paraId="530710E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5F9AA6D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10.3.3 变更执行</w:t>
      </w:r>
    </w:p>
    <w:p w14:paraId="2CFE877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4C32947E">
      <w:pPr>
        <w:pStyle w:val="7"/>
        <w:spacing w:before="0" w:beforeAutospacing="0" w:after="0" w:afterAutospacing="0" w:line="360" w:lineRule="auto"/>
        <w:ind w:firstLine="422" w:firstLineChars="200"/>
        <w:rPr>
          <w:color w:val="auto"/>
          <w:sz w:val="21"/>
          <w:szCs w:val="21"/>
          <w:highlight w:val="none"/>
        </w:rPr>
      </w:pPr>
      <w:bookmarkStart w:id="925" w:name="_Toc532377257"/>
      <w:bookmarkStart w:id="926" w:name="_Toc351203571"/>
      <w:r>
        <w:rPr>
          <w:rFonts w:hint="eastAsia"/>
          <w:color w:val="auto"/>
          <w:sz w:val="21"/>
          <w:szCs w:val="21"/>
          <w:highlight w:val="none"/>
        </w:rPr>
        <w:t>1</w:t>
      </w:r>
      <w:bookmarkStart w:id="927" w:name="_Toc337558791"/>
      <w:bookmarkStart w:id="928" w:name="_Toc296346588"/>
      <w:bookmarkStart w:id="929" w:name="_Toc296503087"/>
      <w:r>
        <w:rPr>
          <w:rFonts w:hint="eastAsia"/>
          <w:color w:val="auto"/>
          <w:sz w:val="21"/>
          <w:szCs w:val="21"/>
          <w:highlight w:val="none"/>
        </w:rPr>
        <w:t>0.4变更估价</w:t>
      </w:r>
      <w:bookmarkEnd w:id="925"/>
      <w:bookmarkEnd w:id="926"/>
    </w:p>
    <w:bookmarkEnd w:id="927"/>
    <w:bookmarkEnd w:id="928"/>
    <w:bookmarkEnd w:id="929"/>
    <w:p w14:paraId="3ACF83D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10.4.1 变更估价原则</w:t>
      </w:r>
    </w:p>
    <w:p w14:paraId="61AC028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除专用合同条款另有约定外，变更估价按照本款约定处理：</w:t>
      </w:r>
    </w:p>
    <w:p w14:paraId="6A3E160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（1）已标价工程量清单或预算书有相同项目的，按照相同项目单价认定；</w:t>
      </w:r>
    </w:p>
    <w:p w14:paraId="730CDD6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（2）已标价工程量清单或预算书中无相同项目，但有类似项目的，参照类似项目的单价认定；</w:t>
      </w:r>
    </w:p>
    <w:p w14:paraId="06E1902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43C2476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10.4.2 变更估价程序</w:t>
      </w:r>
    </w:p>
    <w:p w14:paraId="223B752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2969669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因变更引起的价格调整应计入最近一期的进度款中支付。</w:t>
      </w:r>
    </w:p>
    <w:p w14:paraId="7E588D7B">
      <w:pPr>
        <w:pStyle w:val="7"/>
        <w:spacing w:before="0" w:beforeAutospacing="0" w:after="0" w:afterAutospacing="0" w:line="360" w:lineRule="auto"/>
        <w:ind w:firstLine="422" w:firstLineChars="200"/>
        <w:rPr>
          <w:color w:val="auto"/>
          <w:sz w:val="21"/>
          <w:szCs w:val="21"/>
          <w:highlight w:val="none"/>
        </w:rPr>
      </w:pPr>
      <w:bookmarkStart w:id="930" w:name="_Toc351203572"/>
      <w:bookmarkStart w:id="931" w:name="_Toc532377258"/>
      <w:r>
        <w:rPr>
          <w:rFonts w:hint="eastAsia"/>
          <w:color w:val="auto"/>
          <w:sz w:val="21"/>
          <w:szCs w:val="21"/>
          <w:highlight w:val="none"/>
        </w:rPr>
        <w:t>1</w:t>
      </w:r>
      <w:bookmarkStart w:id="932" w:name="_Toc296503094"/>
      <w:bookmarkStart w:id="933" w:name="_Toc296346595"/>
      <w:bookmarkStart w:id="934" w:name="_Toc337558792"/>
      <w:r>
        <w:rPr>
          <w:rFonts w:hint="eastAsia"/>
          <w:color w:val="auto"/>
          <w:sz w:val="21"/>
          <w:szCs w:val="21"/>
          <w:highlight w:val="none"/>
        </w:rPr>
        <w:t>0.5承包人的合理化建议</w:t>
      </w:r>
      <w:bookmarkEnd w:id="930"/>
      <w:bookmarkEnd w:id="931"/>
    </w:p>
    <w:bookmarkEnd w:id="932"/>
    <w:bookmarkEnd w:id="933"/>
    <w:bookmarkEnd w:id="934"/>
    <w:p w14:paraId="627A450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承包人提出合理化建议的，应向监理人提交合理化建议说明，说明建议的内容和理由，以及实施该建议对合同价格和工期的影响。</w:t>
      </w:r>
    </w:p>
    <w:p w14:paraId="1534178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500688E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合理化建议降低了合同价格或者提高了工程经济效益的，发包人可对承包人给予奖励，奖励的方法和金额在专用合同条款中约定。</w:t>
      </w:r>
    </w:p>
    <w:p w14:paraId="026A473F">
      <w:pPr>
        <w:pStyle w:val="7"/>
        <w:spacing w:before="0" w:beforeAutospacing="0" w:after="0" w:afterAutospacing="0" w:line="360" w:lineRule="auto"/>
        <w:ind w:firstLine="422" w:firstLineChars="200"/>
        <w:rPr>
          <w:color w:val="auto"/>
          <w:sz w:val="21"/>
          <w:szCs w:val="21"/>
          <w:highlight w:val="none"/>
        </w:rPr>
      </w:pPr>
      <w:bookmarkStart w:id="935" w:name="_Toc351203573"/>
      <w:bookmarkStart w:id="936" w:name="_Toc532377259"/>
      <w:r>
        <w:rPr>
          <w:rFonts w:hint="eastAsia"/>
          <w:color w:val="auto"/>
          <w:sz w:val="21"/>
          <w:szCs w:val="21"/>
          <w:highlight w:val="none"/>
        </w:rPr>
        <w:t>1</w:t>
      </w:r>
      <w:bookmarkStart w:id="937" w:name="_Toc337558793"/>
      <w:r>
        <w:rPr>
          <w:rFonts w:hint="eastAsia"/>
          <w:color w:val="auto"/>
          <w:sz w:val="21"/>
          <w:szCs w:val="21"/>
          <w:highlight w:val="none"/>
        </w:rPr>
        <w:t>0.6变更引起的工期调整</w:t>
      </w:r>
      <w:bookmarkEnd w:id="935"/>
      <w:bookmarkEnd w:id="936"/>
      <w:bookmarkEnd w:id="937"/>
    </w:p>
    <w:p w14:paraId="1F2C849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因变更引起工期变化的，合同当事人均可要求调整合同工期，由合同当事人按照第4.4款〔商定或确定〕并参考工程所在地的工期定额标准确定增减工期天数。</w:t>
      </w:r>
    </w:p>
    <w:p w14:paraId="3DAB568C">
      <w:pPr>
        <w:pStyle w:val="7"/>
        <w:spacing w:before="0" w:beforeAutospacing="0" w:after="0" w:afterAutospacing="0" w:line="360" w:lineRule="auto"/>
        <w:ind w:firstLine="422" w:firstLineChars="200"/>
        <w:rPr>
          <w:color w:val="auto"/>
          <w:sz w:val="21"/>
          <w:szCs w:val="21"/>
          <w:highlight w:val="none"/>
        </w:rPr>
      </w:pPr>
      <w:bookmarkStart w:id="938" w:name="_Toc532377260"/>
      <w:bookmarkStart w:id="939" w:name="_Toc351203574"/>
      <w:r>
        <w:rPr>
          <w:rFonts w:hint="eastAsia"/>
          <w:color w:val="auto"/>
          <w:sz w:val="21"/>
          <w:szCs w:val="21"/>
          <w:highlight w:val="none"/>
        </w:rPr>
        <w:t>10.7暂估价</w:t>
      </w:r>
      <w:bookmarkEnd w:id="938"/>
      <w:bookmarkEnd w:id="939"/>
    </w:p>
    <w:p w14:paraId="689B5B6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暂估价专业分包工程、服务、材料和工程设备的明细由合同当事人在专用合同条款中约定。</w:t>
      </w:r>
    </w:p>
    <w:p w14:paraId="0088A24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10.7.1 依法必须招标的暂估价项目</w:t>
      </w:r>
    </w:p>
    <w:p w14:paraId="1474B20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对于依法必须招标的暂估价项目，采取以下第1种方式确定。合同当事人也可以在专用合同条款中选择其他招标方式。</w:t>
      </w:r>
    </w:p>
    <w:p w14:paraId="331CFB7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第1种方式：对于依法必须招标的暂估价项目，由承包人招标，对该暂估价项目的确认和批准按照以下约定执行：</w:t>
      </w:r>
    </w:p>
    <w:p w14:paraId="2D2D261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1F5953A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应当根据施工进度计划，提前14天将招标文件通过监理人报送发包人审批，发包人应当在收到承包人报送的相关文件后7天内完成审批或提出修改意见；发包人有权确定最高限价并按照法律规定参加评标；</w:t>
      </w:r>
    </w:p>
    <w:p w14:paraId="2B74952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39CB3D5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4BEBC85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10.7.2不属于依法必须招标的暂估价项目</w:t>
      </w:r>
    </w:p>
    <w:p w14:paraId="470CC40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除专用合同条款另有约定外，对于不属于依法必须招标的暂估价项目，采取以下第1种方式确定： </w:t>
      </w:r>
    </w:p>
    <w:p w14:paraId="7911F6C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第1种方式：对于不属于依法必须招标的暂估价项目，按本项约定确认和批准：</w:t>
      </w:r>
    </w:p>
    <w:p w14:paraId="4EC35DD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49C9FA6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（2）发包人认为承包人确定的供应商、分包人无法满足工程质量或合同要求的，发包人可以要求承包人重新确定暂估价项目的供应商、分包人;</w:t>
      </w:r>
    </w:p>
    <w:p w14:paraId="6F41518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（3）承包人应当在签订暂估价合同后7天内，将暂估价合同副本报送发包人留存。</w:t>
      </w:r>
    </w:p>
    <w:p w14:paraId="2CA204B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第2种方式：承包人按照第10.7.1项〔依法必须招标的暂估价项目〕约定的第1种方式确定暂估价项目。</w:t>
      </w:r>
    </w:p>
    <w:p w14:paraId="0D676CC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第3种方式：承包人直接实施的暂估价项目</w:t>
      </w:r>
    </w:p>
    <w:p w14:paraId="58CEEBD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承包人具备实施暂估价项目的资格和条件的，经发包人和承包人协商一致后，可由承包人自行实施暂估价项目，合同当事人可以在专用合同条款约定具体事项。</w:t>
      </w:r>
    </w:p>
    <w:p w14:paraId="33CEC49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13E3A28A">
      <w:pPr>
        <w:pStyle w:val="7"/>
        <w:spacing w:before="0" w:beforeAutospacing="0" w:after="0" w:afterAutospacing="0" w:line="360" w:lineRule="auto"/>
        <w:ind w:firstLine="422" w:firstLineChars="200"/>
        <w:rPr>
          <w:color w:val="auto"/>
          <w:sz w:val="21"/>
          <w:szCs w:val="21"/>
          <w:highlight w:val="none"/>
        </w:rPr>
      </w:pPr>
      <w:bookmarkStart w:id="940" w:name="_Toc351203575"/>
      <w:bookmarkStart w:id="941" w:name="_Toc532377261"/>
      <w:r>
        <w:rPr>
          <w:rFonts w:hint="eastAsia"/>
          <w:color w:val="auto"/>
          <w:sz w:val="21"/>
          <w:szCs w:val="21"/>
          <w:highlight w:val="none"/>
        </w:rPr>
        <w:t>1</w:t>
      </w:r>
      <w:bookmarkStart w:id="942" w:name="_Toc337558794"/>
      <w:bookmarkStart w:id="943" w:name="_Toc322522561"/>
      <w:bookmarkStart w:id="944" w:name="_Toc296503090"/>
      <w:bookmarkStart w:id="945" w:name="_Toc296346591"/>
      <w:r>
        <w:rPr>
          <w:rFonts w:hint="eastAsia"/>
          <w:color w:val="auto"/>
          <w:sz w:val="21"/>
          <w:szCs w:val="21"/>
          <w:highlight w:val="none"/>
        </w:rPr>
        <w:t>0.8暂列金额</w:t>
      </w:r>
      <w:bookmarkEnd w:id="940"/>
      <w:bookmarkEnd w:id="941"/>
    </w:p>
    <w:bookmarkEnd w:id="942"/>
    <w:p w14:paraId="66687E6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暂列金额应按照发包人的要求使用，发包人的要求应通过监理人发出。合同当事人可以在专用合同条款中协商确定有关事项。</w:t>
      </w:r>
    </w:p>
    <w:bookmarkEnd w:id="943"/>
    <w:bookmarkEnd w:id="944"/>
    <w:bookmarkEnd w:id="945"/>
    <w:p w14:paraId="57233213">
      <w:pPr>
        <w:pStyle w:val="7"/>
        <w:spacing w:before="0" w:beforeAutospacing="0" w:after="0" w:afterAutospacing="0" w:line="360" w:lineRule="auto"/>
        <w:ind w:firstLine="422" w:firstLineChars="200"/>
        <w:rPr>
          <w:color w:val="auto"/>
          <w:sz w:val="21"/>
          <w:szCs w:val="21"/>
          <w:highlight w:val="none"/>
        </w:rPr>
      </w:pPr>
      <w:bookmarkStart w:id="946" w:name="_Toc351203576"/>
      <w:bookmarkStart w:id="947" w:name="_Toc532377262"/>
      <w:r>
        <w:rPr>
          <w:rFonts w:hint="eastAsia"/>
          <w:color w:val="auto"/>
          <w:sz w:val="21"/>
          <w:szCs w:val="21"/>
          <w:highlight w:val="none"/>
        </w:rPr>
        <w:t>1</w:t>
      </w:r>
      <w:bookmarkStart w:id="948" w:name="_Toc337558796"/>
      <w:bookmarkStart w:id="949" w:name="_Toc296503091"/>
      <w:bookmarkStart w:id="950" w:name="_Toc296346592"/>
      <w:r>
        <w:rPr>
          <w:rFonts w:hint="eastAsia"/>
          <w:color w:val="auto"/>
          <w:sz w:val="21"/>
          <w:szCs w:val="21"/>
          <w:highlight w:val="none"/>
        </w:rPr>
        <w:t>0.9计日工</w:t>
      </w:r>
      <w:bookmarkEnd w:id="946"/>
      <w:bookmarkEnd w:id="947"/>
      <w:bookmarkEnd w:id="948"/>
      <w:bookmarkEnd w:id="949"/>
      <w:bookmarkEnd w:id="950"/>
    </w:p>
    <w:p w14:paraId="67B3F84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72F35D4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采用计日工计价的任何一项工作，承包人应在该项工作实施过程中，每天提交以下报表和有关凭证报送监理人审查：</w:t>
      </w:r>
    </w:p>
    <w:p w14:paraId="1AA94CD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（1）工作名称、内容和数量；</w:t>
      </w:r>
    </w:p>
    <w:p w14:paraId="5866925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（2）投入该工作的所有人员的姓名、专业、工种、级别和耗用工时；</w:t>
      </w:r>
    </w:p>
    <w:p w14:paraId="0BDA0DE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（3）投入该工作的材料类别和数量；</w:t>
      </w:r>
    </w:p>
    <w:p w14:paraId="21B6D18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（4）投入该工作的施工设备型号、台数和耗用台时；</w:t>
      </w:r>
    </w:p>
    <w:p w14:paraId="7ACB9A0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（5）其他有关资料和凭证。</w:t>
      </w:r>
    </w:p>
    <w:p w14:paraId="569ED34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 计日工由承包人汇总后，列入最近一期进度付款申请单，由监理人审查并经发包人批准后列入进度付款。</w:t>
      </w:r>
    </w:p>
    <w:p w14:paraId="73CE341F">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951" w:name="_Toc532375597"/>
      <w:bookmarkStart w:id="952" w:name="_Toc532377263"/>
      <w:bookmarkStart w:id="953" w:name="_Toc351203577"/>
      <w:r>
        <w:rPr>
          <w:rFonts w:hint="eastAsia"/>
          <w:color w:val="auto"/>
          <w:kern w:val="2"/>
          <w:sz w:val="21"/>
          <w:szCs w:val="21"/>
          <w:highlight w:val="none"/>
        </w:rPr>
        <w:t>11. 价格调整</w:t>
      </w:r>
      <w:bookmarkEnd w:id="951"/>
      <w:bookmarkEnd w:id="952"/>
      <w:bookmarkEnd w:id="953"/>
    </w:p>
    <w:p w14:paraId="3E7D52F0">
      <w:pPr>
        <w:pStyle w:val="7"/>
        <w:spacing w:before="0" w:beforeAutospacing="0" w:after="0" w:afterAutospacing="0" w:line="360" w:lineRule="auto"/>
        <w:ind w:firstLine="422" w:firstLineChars="200"/>
        <w:rPr>
          <w:color w:val="auto"/>
          <w:sz w:val="21"/>
          <w:szCs w:val="21"/>
          <w:highlight w:val="none"/>
        </w:rPr>
      </w:pPr>
      <w:bookmarkStart w:id="954" w:name="_Toc532377264"/>
      <w:bookmarkStart w:id="955" w:name="_Toc351203578"/>
      <w:bookmarkStart w:id="956" w:name="_Toc296346593"/>
      <w:bookmarkStart w:id="957" w:name="_Toc296503092"/>
      <w:bookmarkStart w:id="958" w:name="_Toc337558797"/>
      <w:r>
        <w:rPr>
          <w:rFonts w:hint="eastAsia"/>
          <w:color w:val="auto"/>
          <w:sz w:val="21"/>
          <w:szCs w:val="21"/>
          <w:highlight w:val="none"/>
        </w:rPr>
        <w:t>11.1市场价格波动引起的调整</w:t>
      </w:r>
      <w:bookmarkEnd w:id="954"/>
      <w:bookmarkEnd w:id="955"/>
    </w:p>
    <w:bookmarkEnd w:id="956"/>
    <w:bookmarkEnd w:id="957"/>
    <w:bookmarkEnd w:id="958"/>
    <w:p w14:paraId="321E503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除专用合同条款另有约定外，市场价格波动超过合同当事人约定的范围，合同价格应当调整。合同当事人可以在专用合同条款中约定选择以下一种方式对合同价格进行调整：</w:t>
      </w:r>
    </w:p>
    <w:p w14:paraId="6BF9344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第1种方式：采用价格指数进行价格调整。</w:t>
      </w:r>
    </w:p>
    <w:p w14:paraId="604E74AB">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（1）价格调整公式</w:t>
      </w:r>
    </w:p>
    <w:p w14:paraId="107D9567">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因人工、材料和设备等价格波动影响合同价格时，根据专用合同条款中约定的数据，按以下公式计算差额并调整合同价格：</w:t>
      </w:r>
    </w:p>
    <w:p w14:paraId="35ED1F0C">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5" o:spt="75" type="#_x0000_t75" style="height:43pt;width:360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p>
    <w:p w14:paraId="5F681E3A">
      <w:pPr>
        <w:tabs>
          <w:tab w:val="left" w:pos="0"/>
          <w:tab w:val="left" w:pos="360"/>
          <w:tab w:val="left" w:pos="540"/>
        </w:tabs>
        <w:spacing w:line="360" w:lineRule="auto"/>
        <w:ind w:firstLine="200"/>
        <w:jc w:val="left"/>
        <w:rPr>
          <w:rFonts w:ascii="宋体" w:hAnsi="宋体"/>
          <w:color w:val="auto"/>
          <w:kern w:val="0"/>
          <w:szCs w:val="21"/>
          <w:highlight w:val="none"/>
        </w:rPr>
      </w:pPr>
      <w:r>
        <w:rPr>
          <w:rFonts w:hint="eastAsia" w:ascii="宋体" w:hAnsi="宋体"/>
          <w:color w:val="auto"/>
          <w:kern w:val="0"/>
          <w:szCs w:val="21"/>
          <w:highlight w:val="none"/>
        </w:rPr>
        <w:t>公式中：ΔP——需调整的价格差额；</w:t>
      </w:r>
    </w:p>
    <w:p w14:paraId="01182BC2">
      <w:pPr>
        <w:tabs>
          <w:tab w:val="left" w:pos="0"/>
          <w:tab w:val="left" w:pos="360"/>
          <w:tab w:val="left" w:pos="540"/>
        </w:tabs>
        <w:spacing w:line="360" w:lineRule="auto"/>
        <w:ind w:firstLine="1260" w:firstLineChars="600"/>
        <w:jc w:val="left"/>
        <w:rPr>
          <w:rFonts w:ascii="宋体" w:hAnsi="宋体"/>
          <w:color w:val="auto"/>
          <w:kern w:val="0"/>
          <w:szCs w:val="21"/>
          <w:highlight w:val="none"/>
        </w:rPr>
      </w:pPr>
      <w:r>
        <w:rPr>
          <w:rFonts w:hint="eastAsia" w:ascii="宋体" w:hAnsi="宋体"/>
          <w:color w:val="auto"/>
          <w:kern w:val="0"/>
          <w:szCs w:val="21"/>
          <w:highlight w:val="none"/>
        </w:rPr>
        <w:object>
          <v:shape id="_x0000_i1026" o:spt="75" type="#_x0000_t75" style="height:18.5pt;width:18.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r>
        <w:rPr>
          <w:rFonts w:hint="eastAsia" w:ascii="宋体" w:hAnsi="宋体"/>
          <w:color w:val="auto"/>
          <w:kern w:val="0"/>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607E991A">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A——定值权重（即不调部分的权重）；</w:t>
      </w:r>
    </w:p>
    <w:p w14:paraId="7840AA01">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7" o:spt="75" type="#_x0000_t75" style="height:22pt;width:100.55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7" r:id="rId17">
            <o:LockedField>false</o:LockedField>
          </o:OLEObject>
        </w:object>
      </w:r>
      <w:r>
        <w:rPr>
          <w:rFonts w:hint="eastAsia" w:ascii="宋体" w:hAnsi="宋体"/>
          <w:color w:val="auto"/>
          <w:kern w:val="0"/>
          <w:szCs w:val="21"/>
          <w:highlight w:val="none"/>
        </w:rPr>
        <w:t>——各可调因子的变值权重（即可调部分的权重），为各可调因子在签约合同价中所占的比例；</w:t>
      </w:r>
    </w:p>
    <w:p w14:paraId="3E1B83FC">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8" o:spt="75" type="#_x0000_t75" style="height:22pt;width:101.45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28" r:id="rId19">
            <o:LockedField>false</o:LockedField>
          </o:OLEObject>
        </w:object>
      </w:r>
      <w:r>
        <w:rPr>
          <w:rFonts w:hint="eastAsia" w:ascii="宋体" w:hAnsi="宋体"/>
          <w:color w:val="auto"/>
          <w:kern w:val="0"/>
          <w:szCs w:val="21"/>
          <w:highlight w:val="none"/>
        </w:rPr>
        <w:t>——各可调因子的现行价格指数，指约定的付款证书相关周期最后一天的前42天的各可调因子的价格指数；</w:t>
      </w:r>
    </w:p>
    <w:p w14:paraId="2302FE26">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9" o:spt="75" type="#_x0000_t75" style="height:22pt;width:109pt;" o:ole="t" filled="f" o:preferrelative="t" stroked="f" coordsize="21600,21600">
            <v:path/>
            <v:fill on="f" focussize="0,0"/>
            <v:stroke on="f" joinstyle="miter"/>
            <v:imagedata r:id="rId22" o:title=""/>
            <o:lock v:ext="edit" aspectratio="t"/>
            <w10:wrap type="none"/>
            <w10:anchorlock/>
          </v:shape>
          <o:OLEObject Type="Embed" ProgID="Equation.3" ShapeID="_x0000_i1029" DrawAspect="Content" ObjectID="_1468075729" r:id="rId21">
            <o:LockedField>false</o:LockedField>
          </o:OLEObject>
        </w:object>
      </w:r>
      <w:r>
        <w:rPr>
          <w:rFonts w:hint="eastAsia" w:ascii="宋体" w:hAnsi="宋体"/>
          <w:color w:val="auto"/>
          <w:kern w:val="0"/>
          <w:szCs w:val="21"/>
          <w:highlight w:val="none"/>
        </w:rPr>
        <w:t>——各可调因子的基本价格指数，指基准日期的各可调因子的价格指数。</w:t>
      </w:r>
    </w:p>
    <w:p w14:paraId="05E9D434">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3B369E62">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（2）暂时确定调整差额</w:t>
      </w:r>
    </w:p>
    <w:p w14:paraId="64D4E955">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在计算调整差额时无现行价格指数的，合同当事人同意暂用前次价格指数计算。实际价格指数有调整的，合同当事人进行相应调整。</w:t>
      </w:r>
    </w:p>
    <w:p w14:paraId="7A7297BB">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（3）权重的调整</w:t>
      </w:r>
    </w:p>
    <w:p w14:paraId="0DA95443">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因变更导致合同约定的权重不合理时，按照第4.4款〔商定或确定〕执行。</w:t>
      </w:r>
    </w:p>
    <w:p w14:paraId="44317D8E">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（4）因承包人原因工期延误后的价格调整</w:t>
      </w:r>
    </w:p>
    <w:p w14:paraId="5CD6B845">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2450DF3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第2种方式：采用造价信息进行价格调整。</w:t>
      </w:r>
    </w:p>
    <w:p w14:paraId="3DA43D9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2B3246A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05F7AD5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（2）材料、工程设备价格变化的价款调整按照发包人提供的基准价格，按以下风险范围规定执行：</w:t>
      </w:r>
    </w:p>
    <w:p w14:paraId="0432537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269564D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46C8C16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14:paraId="32FC856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650AE05E">
      <w:pPr>
        <w:spacing w:line="360" w:lineRule="auto"/>
        <w:ind w:firstLine="420" w:firstLineChars="200"/>
        <w:jc w:val="left"/>
        <w:rPr>
          <w:rFonts w:ascii="宋体" w:hAnsi="宋体"/>
          <w:color w:val="auto"/>
          <w:kern w:val="0"/>
          <w:szCs w:val="21"/>
          <w:highlight w:val="none"/>
        </w:rPr>
      </w:pPr>
      <w:bookmarkStart w:id="959" w:name="OLE_LINK3"/>
      <w:r>
        <w:rPr>
          <w:rFonts w:hint="eastAsia" w:ascii="宋体" w:hAnsi="宋体"/>
          <w:color w:val="auto"/>
          <w:kern w:val="0"/>
          <w:szCs w:val="21"/>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3C7497B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（3）施工机械台班单价或施工机械使用费发生变化超过省级或行业建设主管部门或其授权的工程造价管理机构规定的范围时，按规定调整合同价格。</w:t>
      </w:r>
    </w:p>
    <w:p w14:paraId="16B1947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第3种方式：专用合同条款约定的其他方式。</w:t>
      </w:r>
    </w:p>
    <w:p w14:paraId="02B88BB3">
      <w:pPr>
        <w:pStyle w:val="7"/>
        <w:spacing w:before="0" w:beforeAutospacing="0" w:after="0" w:afterAutospacing="0" w:line="360" w:lineRule="auto"/>
        <w:ind w:firstLine="422" w:firstLineChars="200"/>
        <w:rPr>
          <w:color w:val="auto"/>
          <w:sz w:val="21"/>
          <w:szCs w:val="21"/>
          <w:highlight w:val="none"/>
        </w:rPr>
      </w:pPr>
      <w:bookmarkStart w:id="960" w:name="_Toc532377265"/>
      <w:bookmarkStart w:id="961" w:name="_Toc351203579"/>
      <w:bookmarkStart w:id="962" w:name="_Toc337558798"/>
      <w:bookmarkStart w:id="963" w:name="_Toc296346594"/>
      <w:bookmarkStart w:id="964" w:name="_Toc296503093"/>
      <w:r>
        <w:rPr>
          <w:rFonts w:hint="eastAsia"/>
          <w:color w:val="auto"/>
          <w:sz w:val="21"/>
          <w:szCs w:val="21"/>
          <w:highlight w:val="none"/>
        </w:rPr>
        <w:t>11.2法律变化引起的调整</w:t>
      </w:r>
      <w:bookmarkEnd w:id="960"/>
      <w:bookmarkEnd w:id="961"/>
    </w:p>
    <w:bookmarkEnd w:id="962"/>
    <w:bookmarkEnd w:id="963"/>
    <w:bookmarkEnd w:id="964"/>
    <w:p w14:paraId="182DE97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17B8A4E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因法律变化引起的合同价格和工期调整，合同当事人无法达成一致的，由总监理工程师按第4.4款〔商定或确定〕的约定处理。</w:t>
      </w:r>
    </w:p>
    <w:p w14:paraId="5A09D37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因承包人原因造成工期延误，在工期延误期间出现法律变化的，由此增加的费用和（或）延误的工期由承包人承担。</w:t>
      </w:r>
    </w:p>
    <w:p w14:paraId="7386C535">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965" w:name="_Toc351203580"/>
      <w:bookmarkStart w:id="966" w:name="_Toc532375598"/>
      <w:bookmarkStart w:id="967" w:name="_Toc532377266"/>
      <w:bookmarkStart w:id="968" w:name="_Toc337558799"/>
      <w:bookmarkStart w:id="969" w:name="_Toc296503096"/>
      <w:bookmarkStart w:id="970" w:name="_Toc296346597"/>
      <w:r>
        <w:rPr>
          <w:rFonts w:hint="eastAsia"/>
          <w:color w:val="auto"/>
          <w:kern w:val="2"/>
          <w:sz w:val="21"/>
          <w:szCs w:val="21"/>
          <w:highlight w:val="none"/>
        </w:rPr>
        <w:t>12. 合同价格、计量与支付</w:t>
      </w:r>
      <w:bookmarkEnd w:id="965"/>
      <w:bookmarkEnd w:id="966"/>
      <w:bookmarkEnd w:id="967"/>
    </w:p>
    <w:bookmarkEnd w:id="968"/>
    <w:p w14:paraId="7B52CE59">
      <w:pPr>
        <w:pStyle w:val="7"/>
        <w:spacing w:before="0" w:beforeAutospacing="0" w:after="0" w:afterAutospacing="0" w:line="360" w:lineRule="auto"/>
        <w:ind w:firstLine="422" w:firstLineChars="200"/>
        <w:rPr>
          <w:color w:val="auto"/>
          <w:sz w:val="21"/>
          <w:szCs w:val="21"/>
          <w:highlight w:val="none"/>
        </w:rPr>
      </w:pPr>
      <w:bookmarkStart w:id="971" w:name="_Toc351203581"/>
      <w:bookmarkStart w:id="972" w:name="_Toc532377267"/>
      <w:bookmarkStart w:id="973" w:name="_Toc337558800"/>
      <w:r>
        <w:rPr>
          <w:rFonts w:hint="eastAsia"/>
          <w:color w:val="auto"/>
          <w:sz w:val="21"/>
          <w:szCs w:val="21"/>
          <w:highlight w:val="none"/>
        </w:rPr>
        <w:t>12.1 合同价</w:t>
      </w:r>
      <w:bookmarkEnd w:id="969"/>
      <w:bookmarkEnd w:id="970"/>
      <w:r>
        <w:rPr>
          <w:rFonts w:hint="eastAsia"/>
          <w:color w:val="auto"/>
          <w:sz w:val="21"/>
          <w:szCs w:val="21"/>
          <w:highlight w:val="none"/>
        </w:rPr>
        <w:t>格形式</w:t>
      </w:r>
      <w:bookmarkEnd w:id="971"/>
      <w:bookmarkEnd w:id="972"/>
    </w:p>
    <w:bookmarkEnd w:id="973"/>
    <w:p w14:paraId="67D3174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发包人和承包人应在合同协议书中选择下列一种合同价格形式： </w:t>
      </w:r>
    </w:p>
    <w:p w14:paraId="78B9335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1.单价合同</w:t>
      </w:r>
    </w:p>
    <w:p w14:paraId="1BF79C7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4D3CBD1E">
      <w:pPr>
        <w:pStyle w:val="7"/>
        <w:spacing w:before="0" w:beforeAutospacing="0" w:after="0" w:afterAutospacing="0" w:line="360" w:lineRule="auto"/>
        <w:ind w:firstLine="420" w:firstLineChars="200"/>
        <w:rPr>
          <w:b w:val="0"/>
          <w:color w:val="auto"/>
          <w:sz w:val="21"/>
          <w:szCs w:val="21"/>
          <w:highlight w:val="none"/>
        </w:rPr>
      </w:pPr>
      <w:bookmarkStart w:id="974" w:name="_Toc532377268"/>
      <w:r>
        <w:rPr>
          <w:rFonts w:hint="eastAsia"/>
          <w:b w:val="0"/>
          <w:color w:val="auto"/>
          <w:sz w:val="21"/>
          <w:szCs w:val="21"/>
          <w:highlight w:val="none"/>
        </w:rPr>
        <w:t>2.总价合同</w:t>
      </w:r>
      <w:bookmarkEnd w:id="974"/>
    </w:p>
    <w:p w14:paraId="6C9AD26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7F479A8E">
      <w:pPr>
        <w:pStyle w:val="7"/>
        <w:spacing w:before="0" w:beforeAutospacing="0" w:after="0" w:afterAutospacing="0" w:line="360" w:lineRule="auto"/>
        <w:ind w:firstLine="420" w:firstLineChars="200"/>
        <w:rPr>
          <w:b w:val="0"/>
          <w:color w:val="auto"/>
          <w:sz w:val="21"/>
          <w:szCs w:val="21"/>
          <w:highlight w:val="none"/>
        </w:rPr>
      </w:pPr>
      <w:bookmarkStart w:id="975" w:name="_Toc532377269"/>
      <w:r>
        <w:rPr>
          <w:rFonts w:hint="eastAsia"/>
          <w:b w:val="0"/>
          <w:color w:val="auto"/>
          <w:sz w:val="21"/>
          <w:szCs w:val="21"/>
          <w:highlight w:val="none"/>
        </w:rPr>
        <w:t>3.其它价格形式</w:t>
      </w:r>
      <w:bookmarkEnd w:id="975"/>
    </w:p>
    <w:p w14:paraId="00557A6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合同当事人可在专用合同条款中约定其他合同价格形式。</w:t>
      </w:r>
    </w:p>
    <w:p w14:paraId="294720C6">
      <w:pPr>
        <w:pStyle w:val="7"/>
        <w:spacing w:before="0" w:beforeAutospacing="0" w:after="0" w:afterAutospacing="0" w:line="360" w:lineRule="auto"/>
        <w:ind w:firstLine="422" w:firstLineChars="200"/>
        <w:rPr>
          <w:color w:val="auto"/>
          <w:sz w:val="21"/>
          <w:szCs w:val="21"/>
          <w:highlight w:val="none"/>
        </w:rPr>
      </w:pPr>
      <w:bookmarkStart w:id="976" w:name="_Toc296346598"/>
      <w:bookmarkStart w:id="977" w:name="_Toc296503097"/>
      <w:bookmarkStart w:id="978" w:name="_Toc351203582"/>
      <w:bookmarkStart w:id="979" w:name="_Toc532377270"/>
      <w:bookmarkStart w:id="980" w:name="_Toc337558801"/>
      <w:r>
        <w:rPr>
          <w:rFonts w:hint="eastAsia"/>
          <w:color w:val="auto"/>
          <w:sz w:val="21"/>
          <w:szCs w:val="21"/>
          <w:highlight w:val="none"/>
        </w:rPr>
        <w:t>12.2预</w:t>
      </w:r>
      <w:bookmarkEnd w:id="976"/>
      <w:bookmarkEnd w:id="977"/>
      <w:bookmarkStart w:id="981" w:name="_Toc296503100"/>
      <w:bookmarkStart w:id="982" w:name="_Toc296346601"/>
      <w:r>
        <w:rPr>
          <w:rFonts w:hint="eastAsia"/>
          <w:color w:val="auto"/>
          <w:sz w:val="21"/>
          <w:szCs w:val="21"/>
          <w:highlight w:val="none"/>
        </w:rPr>
        <w:t>付款</w:t>
      </w:r>
      <w:bookmarkEnd w:id="978"/>
      <w:bookmarkEnd w:id="979"/>
    </w:p>
    <w:bookmarkEnd w:id="980"/>
    <w:bookmarkEnd w:id="981"/>
    <w:bookmarkEnd w:id="982"/>
    <w:p w14:paraId="5F47D31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12.2.1预付款的支付</w:t>
      </w:r>
    </w:p>
    <w:p w14:paraId="0FDE4E2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预付款的支付按照专用合同条款约定执行，但至迟应在开工通知载明的开工日期7天前支付。预付款应当用于材料、工程设备、施工设备的采购及修建临时工程、组织施工队伍进场等。</w:t>
      </w:r>
    </w:p>
    <w:p w14:paraId="1C23AA3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除专用合同条款另有约定外，预付款在进度付款中同比例扣回。</w:t>
      </w:r>
      <w:bookmarkEnd w:id="959"/>
      <w:r>
        <w:rPr>
          <w:rFonts w:hint="eastAsia" w:ascii="宋体" w:hAnsi="宋体"/>
          <w:color w:val="auto"/>
          <w:kern w:val="0"/>
          <w:szCs w:val="21"/>
          <w:highlight w:val="none"/>
        </w:rPr>
        <w:t>在颁发工程接收证书前，提前解除合同的，尚未扣完的预付款应与合同价款一并结算。</w:t>
      </w:r>
    </w:p>
    <w:p w14:paraId="7079B98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发包人逾期支付预付款超过7天的，承包人有权向发包人发出要求预付的催告通知，发包人收到通知后7天内仍未支付的，承包人有权暂停施工，并按第16.1.1项〔发包人违约的情形〕执行。</w:t>
      </w:r>
    </w:p>
    <w:p w14:paraId="6D04AA2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12.2.2 预付款担保</w:t>
      </w:r>
    </w:p>
    <w:p w14:paraId="2F9A021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2B51AAC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发包人在工程款中逐期扣回预付款后，预付款担保额度应相应减少，但剩余的预付款担保金额不得低于未被扣回的预付款金额。</w:t>
      </w:r>
    </w:p>
    <w:p w14:paraId="0C723E03">
      <w:pPr>
        <w:pStyle w:val="7"/>
        <w:spacing w:before="0" w:beforeAutospacing="0" w:after="0" w:afterAutospacing="0" w:line="360" w:lineRule="auto"/>
        <w:ind w:firstLine="422" w:firstLineChars="200"/>
        <w:rPr>
          <w:color w:val="auto"/>
          <w:sz w:val="21"/>
          <w:szCs w:val="21"/>
          <w:highlight w:val="none"/>
        </w:rPr>
      </w:pPr>
      <w:bookmarkStart w:id="983" w:name="_Toc351203583"/>
      <w:bookmarkStart w:id="984" w:name="_Toc532377271"/>
      <w:bookmarkStart w:id="985" w:name="_Toc337558802"/>
      <w:r>
        <w:rPr>
          <w:rFonts w:hint="eastAsia"/>
          <w:color w:val="auto"/>
          <w:sz w:val="21"/>
          <w:szCs w:val="21"/>
          <w:highlight w:val="none"/>
        </w:rPr>
        <w:t>12.3计量</w:t>
      </w:r>
      <w:bookmarkEnd w:id="983"/>
      <w:bookmarkEnd w:id="984"/>
    </w:p>
    <w:bookmarkEnd w:id="985"/>
    <w:p w14:paraId="676FE91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12.3.1 计量原则</w:t>
      </w:r>
    </w:p>
    <w:p w14:paraId="022DE25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工程量计量按照合同约定的工程量计算规则、图纸及变更指示等进行计量。工程量计算规则应以相关的国家标准、行业标准等为依据，由合同当事人在专用合同条款中约定。</w:t>
      </w:r>
    </w:p>
    <w:p w14:paraId="24C8E84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12.3.2 计量周期</w:t>
      </w:r>
    </w:p>
    <w:p w14:paraId="18DB731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除专用合同条款另有约定外，工程量的计量按月进行。</w:t>
      </w:r>
    </w:p>
    <w:p w14:paraId="6559DA4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12.3.3 单价合同的计量</w:t>
      </w:r>
    </w:p>
    <w:p w14:paraId="1FA28B7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除专用合同条款另有约定外，单价合同的计量按照本项约定执行：</w:t>
      </w:r>
    </w:p>
    <w:p w14:paraId="2F7C69F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（1）承包人应于每月25日向监理人报送上月20日至当月19日已完成的工程量报告，并附具进度付款申请单、已完成工程量报表和有关资料。</w:t>
      </w:r>
    </w:p>
    <w:p w14:paraId="67C22B0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3407C23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（3）监理人未在收到承包人提交的工程量报表后的7天内完成审核的，承包人报送的工程量报告中的工程量视为承包人实际完成的工程量，据此计算工程价款。</w:t>
      </w:r>
    </w:p>
    <w:p w14:paraId="545BF1D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12.3.4 总价合同的计量</w:t>
      </w:r>
    </w:p>
    <w:p w14:paraId="26527AF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除专用合同条款另有约定外，按月计量支付的总价合同，按照本项约定执行：</w:t>
      </w:r>
    </w:p>
    <w:p w14:paraId="3B680A9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（1）承包人应于每月25日向监理人报送上月20日至当月19日已完成的工程量报告，并附具进度付款申请单、已完成工程量报表和有关资料。</w:t>
      </w:r>
    </w:p>
    <w:p w14:paraId="137E276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4110335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（3）监理人未在收到承包人提交的工程量报表后的7天内完成复核的，承包人提交的工程量报告中的工程量视为承包人实际完成的工程量。</w:t>
      </w:r>
    </w:p>
    <w:p w14:paraId="2905369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12.3.5 总价合同采用支付分解表计量支付的，可以按照第12.3.4项〔总价合同的计量〕约定进行计量，但合同价款按照支付分解表进行支付。</w:t>
      </w:r>
    </w:p>
    <w:p w14:paraId="70785AA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12.3.6 其他价格形式合同的计量</w:t>
      </w:r>
    </w:p>
    <w:p w14:paraId="5D3995C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合同当事人可在专用合同条款中约定其他价格形式合同的计量方式和程序。</w:t>
      </w:r>
    </w:p>
    <w:p w14:paraId="6D142F8C">
      <w:pPr>
        <w:pStyle w:val="7"/>
        <w:spacing w:before="0" w:beforeAutospacing="0" w:after="0" w:afterAutospacing="0" w:line="360" w:lineRule="auto"/>
        <w:ind w:firstLine="422" w:firstLineChars="200"/>
        <w:rPr>
          <w:color w:val="auto"/>
          <w:sz w:val="21"/>
          <w:szCs w:val="21"/>
          <w:highlight w:val="none"/>
        </w:rPr>
      </w:pPr>
      <w:bookmarkStart w:id="986" w:name="_Toc296346602"/>
      <w:bookmarkStart w:id="987" w:name="_Toc296503101"/>
      <w:bookmarkStart w:id="988" w:name="_Toc351203584"/>
      <w:bookmarkStart w:id="989" w:name="_Toc532377272"/>
      <w:bookmarkStart w:id="990" w:name="_Toc337558803"/>
      <w:r>
        <w:rPr>
          <w:rFonts w:hint="eastAsia"/>
          <w:color w:val="auto"/>
          <w:sz w:val="21"/>
          <w:szCs w:val="21"/>
          <w:highlight w:val="none"/>
        </w:rPr>
        <w:t>12.4工程进度款支</w:t>
      </w:r>
      <w:bookmarkEnd w:id="986"/>
      <w:bookmarkEnd w:id="987"/>
      <w:r>
        <w:rPr>
          <w:rFonts w:hint="eastAsia"/>
          <w:color w:val="auto"/>
          <w:sz w:val="21"/>
          <w:szCs w:val="21"/>
          <w:highlight w:val="none"/>
        </w:rPr>
        <w:t>付</w:t>
      </w:r>
      <w:bookmarkEnd w:id="988"/>
      <w:bookmarkEnd w:id="989"/>
    </w:p>
    <w:bookmarkEnd w:id="990"/>
    <w:p w14:paraId="5262EE8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12.4.1 付款周期</w:t>
      </w:r>
    </w:p>
    <w:p w14:paraId="6909F90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除专用合同条款另有约定外，付款周期应按照第12.3.2项〔计量周期〕的约定与计量周期保持一致。</w:t>
      </w:r>
    </w:p>
    <w:p w14:paraId="4F84817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12.4.2 进度付款申请单的编制</w:t>
      </w:r>
    </w:p>
    <w:p w14:paraId="6111386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除专用合同条款另有约定外，进度付款申请单应包括下列内容：</w:t>
      </w:r>
    </w:p>
    <w:p w14:paraId="4930B47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（1）截至本次付款周期已完成工作对应的金额；</w:t>
      </w:r>
    </w:p>
    <w:p w14:paraId="2E9E0D7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（2）根据第10条〔变更〕应增加和扣减的变更金额；</w:t>
      </w:r>
    </w:p>
    <w:p w14:paraId="3B3D618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（3）根据第12.2款〔预付款〕约定应支付的预付款和扣减的返还预付款；</w:t>
      </w:r>
    </w:p>
    <w:p w14:paraId="0177FA6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（4）根据第15.3款〔质量保证金〕约定应扣减的质量保证金；</w:t>
      </w:r>
    </w:p>
    <w:p w14:paraId="6124D60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（5）根据第19条〔索赔〕应增加和扣减的索赔金额；</w:t>
      </w:r>
    </w:p>
    <w:p w14:paraId="5BA32B5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（6）对已签发的进度款支付证书中出现错误的修正，应在本次进度付款中支付或扣除的金额；</w:t>
      </w:r>
    </w:p>
    <w:p w14:paraId="3441B5E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（7）根据合同约定应增加和扣减的其他金额。</w:t>
      </w:r>
    </w:p>
    <w:p w14:paraId="790BBA5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12.4.3 进度付款申请单的提交</w:t>
      </w:r>
    </w:p>
    <w:p w14:paraId="69A9AFD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（1）单价合同进度付款申请单的提交</w:t>
      </w:r>
    </w:p>
    <w:p w14:paraId="14E3508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6615EFA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（2）总价合同进度付款申请单的提交</w:t>
      </w:r>
    </w:p>
    <w:p w14:paraId="0ED211C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总价合同按月计量支付的，承包人按照第12.3.4项〔总价合同的计量〕约定的时间按月向监理人提交进度付款申请单，并附上已完成工程量报表和有关资料。</w:t>
      </w:r>
    </w:p>
    <w:p w14:paraId="1C149BF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总价合同按支付分解表支付的，承包人应按照第12.4.6项〔支付分解表〕及第12.4.2项〔进度付款申请单的编制〕的约定向监理人提交进度付款申请单。</w:t>
      </w:r>
    </w:p>
    <w:p w14:paraId="08000D1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（3）其他价格形式合同的进度付款申请单的提交</w:t>
      </w:r>
    </w:p>
    <w:p w14:paraId="0F4A702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合同当事人可在专用合同条款中约定其他价格形式合同的进度付款申请单的编制和提交程序。</w:t>
      </w:r>
    </w:p>
    <w:p w14:paraId="03B32C0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12.4.4 进度款审核和支付</w:t>
      </w:r>
    </w:p>
    <w:p w14:paraId="2B7DB3C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0D7E875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020EBAB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7BBC905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（3）发包人签发进度款支付证书或临时进度款支付证书，不表明发包人已同意、批准或接受了承包人完成的相应部分的工作。</w:t>
      </w:r>
    </w:p>
    <w:p w14:paraId="15A8650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12.4.5 进度付款的修正</w:t>
      </w:r>
    </w:p>
    <w:p w14:paraId="10D12FA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14:paraId="5497937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12.4.6 支付分解表</w:t>
      </w:r>
    </w:p>
    <w:p w14:paraId="506334A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1.支付分解表的编制要求</w:t>
      </w:r>
    </w:p>
    <w:p w14:paraId="0A25C93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（1）支付分解表中所列的每期付款金额，应为第12.4.2项〔进度付款申请单的编制〕第（1）目的估算金额；</w:t>
      </w:r>
    </w:p>
    <w:p w14:paraId="45DB732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（2）实际进度与施工进度计划不一致的，合同当事人可按照第4.4款〔商定或确定〕修改支付分解表；</w:t>
      </w:r>
    </w:p>
    <w:p w14:paraId="07E43C2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（3）不采用支付分解表的，承包人应向发包人和监理人提交按季度编制的支付估算分解表，用于支付参考。</w:t>
      </w:r>
    </w:p>
    <w:p w14:paraId="220F4EB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2.总价合同支付分解表的编制与审批</w:t>
      </w:r>
    </w:p>
    <w:p w14:paraId="6FC91A3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09E5044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（2）监理人应在收到支付分解表后7天内完成审核并报送发包人。发包人应在收到经监理人审核的支付分解表后7天内完成审批，经发包人批准的支付分解表为有约束力的支付分解表。</w:t>
      </w:r>
    </w:p>
    <w:p w14:paraId="155C8F9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（3）发包人逾期未完成支付分解表审批的，也未及时要求承包人进行修正和提供补充资料的，则承包人提交的支付分解表视为已经获得发包人批准。</w:t>
      </w:r>
    </w:p>
    <w:p w14:paraId="191EA61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3.单价合同的总价项目支付分解表的编制与审批</w:t>
      </w:r>
    </w:p>
    <w:p w14:paraId="35DE595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0E11EE09">
      <w:pPr>
        <w:pStyle w:val="7"/>
        <w:spacing w:before="0" w:beforeAutospacing="0" w:after="0" w:afterAutospacing="0" w:line="360" w:lineRule="auto"/>
        <w:ind w:firstLine="422" w:firstLineChars="200"/>
        <w:rPr>
          <w:color w:val="auto"/>
          <w:sz w:val="21"/>
          <w:szCs w:val="21"/>
          <w:highlight w:val="none"/>
        </w:rPr>
      </w:pPr>
      <w:bookmarkStart w:id="991" w:name="_Toc532377273"/>
      <w:r>
        <w:rPr>
          <w:rFonts w:hint="eastAsia"/>
          <w:color w:val="auto"/>
          <w:sz w:val="21"/>
          <w:szCs w:val="21"/>
          <w:highlight w:val="none"/>
        </w:rPr>
        <w:t>12.5支付账户</w:t>
      </w:r>
      <w:bookmarkEnd w:id="991"/>
    </w:p>
    <w:p w14:paraId="621989A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发包人应将合同价款支付至合同协议书中约定的承包人账户。</w:t>
      </w:r>
    </w:p>
    <w:p w14:paraId="2ECDC1FA">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992" w:name="_Toc532377274"/>
      <w:bookmarkStart w:id="993" w:name="_Toc351203586"/>
      <w:bookmarkStart w:id="994" w:name="_Toc532375599"/>
      <w:bookmarkStart w:id="995" w:name="_Toc322522574"/>
      <w:bookmarkStart w:id="996" w:name="_Toc296346607"/>
      <w:bookmarkStart w:id="997" w:name="_Toc337558804"/>
      <w:bookmarkStart w:id="998" w:name="_Toc296503106"/>
      <w:r>
        <w:rPr>
          <w:rFonts w:hint="eastAsia"/>
          <w:color w:val="auto"/>
          <w:kern w:val="2"/>
          <w:sz w:val="21"/>
          <w:szCs w:val="21"/>
          <w:highlight w:val="none"/>
        </w:rPr>
        <w:t>13. 验收和工程试车</w:t>
      </w:r>
      <w:bookmarkEnd w:id="992"/>
      <w:bookmarkEnd w:id="993"/>
      <w:bookmarkEnd w:id="994"/>
    </w:p>
    <w:bookmarkEnd w:id="995"/>
    <w:bookmarkEnd w:id="996"/>
    <w:bookmarkEnd w:id="997"/>
    <w:bookmarkEnd w:id="998"/>
    <w:p w14:paraId="37A7A2F3">
      <w:pPr>
        <w:pStyle w:val="7"/>
        <w:spacing w:before="0" w:beforeAutospacing="0" w:after="0" w:afterAutospacing="0" w:line="360" w:lineRule="auto"/>
        <w:ind w:firstLine="422" w:firstLineChars="200"/>
        <w:rPr>
          <w:color w:val="auto"/>
          <w:sz w:val="21"/>
          <w:szCs w:val="21"/>
          <w:highlight w:val="none"/>
        </w:rPr>
      </w:pPr>
      <w:bookmarkStart w:id="999" w:name="_Toc351203587"/>
      <w:bookmarkStart w:id="1000" w:name="_Toc532377275"/>
      <w:bookmarkStart w:id="1001" w:name="_Toc337558805"/>
      <w:bookmarkStart w:id="1002" w:name="_Toc296503110"/>
      <w:bookmarkStart w:id="1003" w:name="_Toc296346611"/>
      <w:r>
        <w:rPr>
          <w:rFonts w:hint="eastAsia"/>
          <w:color w:val="auto"/>
          <w:sz w:val="21"/>
          <w:szCs w:val="21"/>
          <w:highlight w:val="none"/>
        </w:rPr>
        <w:t>13.1分部分项工程验收</w:t>
      </w:r>
      <w:bookmarkEnd w:id="999"/>
      <w:bookmarkEnd w:id="1000"/>
    </w:p>
    <w:bookmarkEnd w:id="1001"/>
    <w:p w14:paraId="79EA38F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13.1.1 分部分项工程质量应符合国家有关工程施工验收规范、标准及合同约定，承包人应按照施工组织设计的要求完成分部分项工程施工。</w:t>
      </w:r>
    </w:p>
    <w:p w14:paraId="6158729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01F0661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分部分项工程的验收资料应当作为竣工资料的组成部分。</w:t>
      </w:r>
    </w:p>
    <w:p w14:paraId="4327BE57">
      <w:pPr>
        <w:pStyle w:val="7"/>
        <w:spacing w:before="0" w:beforeAutospacing="0" w:after="0" w:afterAutospacing="0" w:line="360" w:lineRule="auto"/>
        <w:ind w:firstLine="422" w:firstLineChars="200"/>
        <w:rPr>
          <w:color w:val="auto"/>
          <w:sz w:val="21"/>
          <w:szCs w:val="21"/>
          <w:highlight w:val="none"/>
        </w:rPr>
      </w:pPr>
      <w:bookmarkStart w:id="1004" w:name="_Toc351203588"/>
      <w:bookmarkStart w:id="1005" w:name="_Toc532377276"/>
      <w:bookmarkStart w:id="1006" w:name="_Toc337558806"/>
      <w:r>
        <w:rPr>
          <w:rFonts w:hint="eastAsia"/>
          <w:color w:val="auto"/>
          <w:sz w:val="21"/>
          <w:szCs w:val="21"/>
          <w:highlight w:val="none"/>
        </w:rPr>
        <w:t>13.2竣工验收</w:t>
      </w:r>
      <w:bookmarkEnd w:id="1004"/>
      <w:bookmarkEnd w:id="1005"/>
    </w:p>
    <w:bookmarkEnd w:id="1002"/>
    <w:bookmarkEnd w:id="1003"/>
    <w:bookmarkEnd w:id="1006"/>
    <w:p w14:paraId="4CAF540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13.2.1竣工验收条件</w:t>
      </w:r>
    </w:p>
    <w:p w14:paraId="3AEAE42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工程具备以下条件的，承包人可以申请竣工验收：</w:t>
      </w:r>
    </w:p>
    <w:p w14:paraId="5475290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（1）除发包人同意的甩项工作和缺陷修补工作外，合同范围内的全部工程以及有关工作，包括合同要求的试验、试运行以及检验均已完成，并符合合同要求；</w:t>
      </w:r>
    </w:p>
    <w:p w14:paraId="3E73D95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（2）已按合同约定编制了甩项工作和缺陷修补工作清单以及相应的施工计划；</w:t>
      </w:r>
    </w:p>
    <w:p w14:paraId="52D3C5B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（3）已按合同约定的内容和份数备齐竣工资料。</w:t>
      </w:r>
    </w:p>
    <w:p w14:paraId="14966CF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13.2.2竣工验收程序</w:t>
      </w:r>
    </w:p>
    <w:p w14:paraId="02379F1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除专用合同条款另有约定外，承包人申请竣工验收的，应当按照以下程序进行：</w:t>
      </w:r>
    </w:p>
    <w:p w14:paraId="29F5FC0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771E3C5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43A3405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（3）竣工验收合格的，发包人应在验收合格后14天内向承包人签发工程接收证书。发包人无正当理由逾期不颁发工程接收证书的，自验收合格后第15天起视为已颁发工程接收证书。</w:t>
      </w:r>
    </w:p>
    <w:p w14:paraId="4E12744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7842910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5829C80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019D785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13.2.3竣工日期</w:t>
      </w:r>
    </w:p>
    <w:p w14:paraId="0A5F001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1007" w:name="#go14"/>
      <w:bookmarkEnd w:id="1007"/>
      <w:r>
        <w:rPr>
          <w:rFonts w:hint="eastAsia" w:ascii="宋体" w:hAnsi="宋体"/>
          <w:color w:val="auto"/>
          <w:kern w:val="0"/>
          <w:szCs w:val="21"/>
          <w:highlight w:val="none"/>
        </w:rPr>
        <w:t>收申请报告的日期为实际竣工日期；工程未经竣工验收，发包人擅自使用的，以转移占有工程之日为实际竣工日期。</w:t>
      </w:r>
    </w:p>
    <w:p w14:paraId="4FBE743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13.2.4 拒绝接收全部或部分工程</w:t>
      </w:r>
    </w:p>
    <w:p w14:paraId="3D2C790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31E8250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13.2.5 移交、接收全部与部分工程</w:t>
      </w:r>
    </w:p>
    <w:p w14:paraId="58BDA82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除专用合同条款另有约定外，合同当事人应当在颁发工程接收证书后7天内完成工程的移交。</w:t>
      </w:r>
    </w:p>
    <w:p w14:paraId="0E54D6F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32A22E7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3626D74E">
      <w:pPr>
        <w:pStyle w:val="7"/>
        <w:spacing w:before="0" w:beforeAutospacing="0" w:after="0" w:afterAutospacing="0" w:line="360" w:lineRule="auto"/>
        <w:ind w:firstLine="422" w:firstLineChars="200"/>
        <w:rPr>
          <w:color w:val="auto"/>
          <w:sz w:val="21"/>
          <w:szCs w:val="21"/>
          <w:highlight w:val="none"/>
        </w:rPr>
      </w:pPr>
      <w:bookmarkStart w:id="1008" w:name="_Toc351203589"/>
      <w:bookmarkStart w:id="1009" w:name="_Toc532377277"/>
      <w:bookmarkStart w:id="1010" w:name="_Toc337558807"/>
      <w:bookmarkStart w:id="1011" w:name="_Toc296503111"/>
      <w:bookmarkStart w:id="1012" w:name="_Toc296346612"/>
      <w:r>
        <w:rPr>
          <w:rFonts w:hint="eastAsia"/>
          <w:color w:val="auto"/>
          <w:sz w:val="21"/>
          <w:szCs w:val="21"/>
          <w:highlight w:val="none"/>
        </w:rPr>
        <w:t>13.3工程试车</w:t>
      </w:r>
      <w:bookmarkEnd w:id="1008"/>
      <w:bookmarkEnd w:id="1009"/>
    </w:p>
    <w:bookmarkEnd w:id="1010"/>
    <w:bookmarkEnd w:id="1011"/>
    <w:bookmarkEnd w:id="1012"/>
    <w:p w14:paraId="11E7D2D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13.3.1试车程序</w:t>
      </w:r>
    </w:p>
    <w:p w14:paraId="72DF489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工程需要试车的，除专用合同条款另有约定外，试车内容应与承包人承包范围相一致，试车费用由承包人承担。工程试车应按如下程序进行：</w:t>
      </w:r>
    </w:p>
    <w:p w14:paraId="76C2ACD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名。监理人在试车合格后不在试车记录上签名，自试车结束满24小时后视为监理人已经认可试车记录，承包人可继续施工或办理竣工验收手续。</w:t>
      </w:r>
    </w:p>
    <w:p w14:paraId="00668B5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015EFD8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名。承包人无正当理由不参加试车的，视为认可试车记录。</w:t>
      </w:r>
    </w:p>
    <w:p w14:paraId="5111182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13.3.2 试车中的责任</w:t>
      </w:r>
    </w:p>
    <w:p w14:paraId="194DB7E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630AF13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449CDF1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13.3.3 投料试车</w:t>
      </w:r>
    </w:p>
    <w:p w14:paraId="560FFED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如需进行投料试车的，发包人应在工程竣工验收后组织投料试车。发包人要求在工程竣工验收前进行或需要承包人配合时，应征得承包人同意，并在专用合同条款中约定有关事项。</w:t>
      </w:r>
    </w:p>
    <w:p w14:paraId="7C9EDE7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524F71F5">
      <w:pPr>
        <w:pStyle w:val="7"/>
        <w:spacing w:before="0" w:beforeAutospacing="0" w:after="0" w:afterAutospacing="0" w:line="360" w:lineRule="auto"/>
        <w:ind w:firstLine="422" w:firstLineChars="200"/>
        <w:rPr>
          <w:color w:val="auto"/>
          <w:sz w:val="21"/>
          <w:szCs w:val="21"/>
          <w:highlight w:val="none"/>
        </w:rPr>
      </w:pPr>
      <w:bookmarkStart w:id="1013" w:name="_Toc532377278"/>
      <w:r>
        <w:rPr>
          <w:rFonts w:hint="eastAsia"/>
          <w:color w:val="auto"/>
          <w:sz w:val="21"/>
          <w:szCs w:val="21"/>
          <w:highlight w:val="none"/>
        </w:rPr>
        <w:t>13.4提前交付单位工程的验收</w:t>
      </w:r>
      <w:bookmarkEnd w:id="1013"/>
    </w:p>
    <w:p w14:paraId="175D270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13.4.1 发包人需要在工程竣工前使用单位工程的，或承包人提出提前交付已经竣工的单位工程且经发包人同意的，可进行单位工程验收，验收的程序按照第13.2款〔竣工验收〕的约定进行。</w:t>
      </w:r>
    </w:p>
    <w:p w14:paraId="59ED7E9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4CC79AC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13.4.2 发包人要求在工程竣工前交付单位工程，由此导致承包人费用增加和（或）工期延误的，由发包人承担由此增加的费用和（或）延误的工期，并支付承包人合理的利润。</w:t>
      </w:r>
    </w:p>
    <w:p w14:paraId="7A500617">
      <w:pPr>
        <w:pStyle w:val="7"/>
        <w:spacing w:before="0" w:beforeAutospacing="0" w:after="0" w:afterAutospacing="0" w:line="360" w:lineRule="auto"/>
        <w:ind w:firstLine="422" w:firstLineChars="200"/>
        <w:rPr>
          <w:color w:val="auto"/>
          <w:sz w:val="21"/>
          <w:szCs w:val="21"/>
          <w:highlight w:val="none"/>
        </w:rPr>
      </w:pPr>
      <w:bookmarkStart w:id="1014" w:name="_Toc351203591"/>
      <w:bookmarkStart w:id="1015" w:name="_Toc532377279"/>
      <w:r>
        <w:rPr>
          <w:rFonts w:hint="eastAsia"/>
          <w:color w:val="auto"/>
          <w:sz w:val="21"/>
          <w:szCs w:val="21"/>
          <w:highlight w:val="none"/>
        </w:rPr>
        <w:t>13.5 施工期运行</w:t>
      </w:r>
      <w:bookmarkEnd w:id="1014"/>
      <w:bookmarkEnd w:id="1015"/>
    </w:p>
    <w:p w14:paraId="1DCC358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28C337D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13.5.2 在施工期运行中发现工程或工程设备损坏或存在缺陷的，由承包人按第15.2款〔缺陷责任期〕约定进行修复。</w:t>
      </w:r>
    </w:p>
    <w:p w14:paraId="648667E4">
      <w:pPr>
        <w:pStyle w:val="7"/>
        <w:spacing w:before="0" w:beforeAutospacing="0" w:after="0" w:afterAutospacing="0" w:line="360" w:lineRule="auto"/>
        <w:ind w:firstLine="422" w:firstLineChars="200"/>
        <w:rPr>
          <w:color w:val="auto"/>
          <w:sz w:val="21"/>
          <w:szCs w:val="21"/>
          <w:highlight w:val="none"/>
        </w:rPr>
      </w:pPr>
      <w:bookmarkStart w:id="1016" w:name="_Toc296503112"/>
      <w:bookmarkStart w:id="1017" w:name="_Toc296346613"/>
      <w:bookmarkStart w:id="1018" w:name="_Toc532377280"/>
      <w:bookmarkStart w:id="1019" w:name="_Toc351203592"/>
      <w:bookmarkStart w:id="1020" w:name="_Toc337558809"/>
      <w:r>
        <w:rPr>
          <w:rFonts w:hint="eastAsia"/>
          <w:color w:val="auto"/>
          <w:sz w:val="21"/>
          <w:szCs w:val="21"/>
          <w:highlight w:val="none"/>
        </w:rPr>
        <w:t>13.6 竣工退</w:t>
      </w:r>
      <w:bookmarkEnd w:id="1016"/>
      <w:bookmarkEnd w:id="1017"/>
      <w:r>
        <w:rPr>
          <w:rFonts w:hint="eastAsia"/>
          <w:color w:val="auto"/>
          <w:sz w:val="21"/>
          <w:szCs w:val="21"/>
          <w:highlight w:val="none"/>
        </w:rPr>
        <w:t>场</w:t>
      </w:r>
      <w:bookmarkEnd w:id="1018"/>
      <w:bookmarkEnd w:id="1019"/>
    </w:p>
    <w:bookmarkEnd w:id="1020"/>
    <w:p w14:paraId="79957C0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13.6.1 竣工退场</w:t>
      </w:r>
    </w:p>
    <w:p w14:paraId="564A892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颁发工程接收证书后，承包人应按以下要求对施工现场进行清理：</w:t>
      </w:r>
    </w:p>
    <w:p w14:paraId="0588BDB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（1）施工现场内残留的垃圾已全部清除出场；</w:t>
      </w:r>
    </w:p>
    <w:p w14:paraId="441755A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（2）临时工程已拆除，场地已进行清理、平整或复原；</w:t>
      </w:r>
    </w:p>
    <w:p w14:paraId="6AA70A8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（3）按合同约定应撤离的人员、承包人施工设备和剩余的材料，包括废弃的施工设备和材料，已按计划撤离施工现场；</w:t>
      </w:r>
    </w:p>
    <w:p w14:paraId="2825B5D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（4）施工现场周边及其附近道路、河道的施工堆积物，已全部清理；</w:t>
      </w:r>
    </w:p>
    <w:p w14:paraId="1465148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（5）施工现场其他场地清理工作已全部完成。</w:t>
      </w:r>
    </w:p>
    <w:p w14:paraId="537C052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0BB0EEE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13.6.2 地表还原</w:t>
      </w:r>
    </w:p>
    <w:p w14:paraId="0B6B5BD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1107A693">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21" w:name="_Toc351203593"/>
      <w:bookmarkStart w:id="1022" w:name="_Toc532375600"/>
      <w:bookmarkStart w:id="1023" w:name="_Toc532377281"/>
      <w:bookmarkStart w:id="1024" w:name="_Toc337558810"/>
      <w:bookmarkStart w:id="1025" w:name="_Toc296503113"/>
      <w:bookmarkStart w:id="1026" w:name="_Toc296346614"/>
      <w:r>
        <w:rPr>
          <w:rFonts w:hint="eastAsia"/>
          <w:color w:val="auto"/>
          <w:kern w:val="2"/>
          <w:sz w:val="21"/>
          <w:szCs w:val="21"/>
          <w:highlight w:val="none"/>
        </w:rPr>
        <w:t>14. 竣工结算</w:t>
      </w:r>
      <w:bookmarkEnd w:id="1021"/>
      <w:bookmarkEnd w:id="1022"/>
      <w:bookmarkEnd w:id="1023"/>
    </w:p>
    <w:bookmarkEnd w:id="1024"/>
    <w:p w14:paraId="2FF81597">
      <w:pPr>
        <w:pStyle w:val="7"/>
        <w:spacing w:before="0" w:beforeAutospacing="0" w:after="0" w:afterAutospacing="0" w:line="360" w:lineRule="auto"/>
        <w:ind w:firstLine="422" w:firstLineChars="200"/>
        <w:rPr>
          <w:color w:val="auto"/>
          <w:sz w:val="21"/>
          <w:szCs w:val="21"/>
          <w:highlight w:val="none"/>
        </w:rPr>
      </w:pPr>
      <w:bookmarkStart w:id="1027" w:name="_Toc532377282"/>
      <w:bookmarkStart w:id="1028" w:name="_Toc351203594"/>
      <w:bookmarkStart w:id="1029" w:name="_Toc337558811"/>
      <w:r>
        <w:rPr>
          <w:rFonts w:hint="eastAsia"/>
          <w:color w:val="auto"/>
          <w:sz w:val="21"/>
          <w:szCs w:val="21"/>
          <w:highlight w:val="none"/>
        </w:rPr>
        <w:t>14.1 竣工结算申请</w:t>
      </w:r>
      <w:bookmarkEnd w:id="1027"/>
      <w:bookmarkEnd w:id="1028"/>
    </w:p>
    <w:bookmarkEnd w:id="1029"/>
    <w:p w14:paraId="08F82F0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72A12C2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除专用合同条款另有约定外，竣工结算申请单应包括以下内容：</w:t>
      </w:r>
    </w:p>
    <w:p w14:paraId="08B4525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（1）竣工结算合同价格；</w:t>
      </w:r>
    </w:p>
    <w:p w14:paraId="4AD621B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（2）发包人已支付承包人的款项；</w:t>
      </w:r>
    </w:p>
    <w:p w14:paraId="67B8C3C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（3）应扣留的质量保证金。已缴纳履约保证金的或提供其他工程质量担保方式的除外； </w:t>
      </w:r>
    </w:p>
    <w:p w14:paraId="5AF2B86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（4）发包人应支付承包人的合同价款。</w:t>
      </w:r>
    </w:p>
    <w:p w14:paraId="7F4A5369">
      <w:pPr>
        <w:pStyle w:val="7"/>
        <w:spacing w:before="0" w:beforeAutospacing="0" w:after="0" w:afterAutospacing="0" w:line="360" w:lineRule="auto"/>
        <w:ind w:firstLine="422" w:firstLineChars="200"/>
        <w:rPr>
          <w:color w:val="auto"/>
          <w:sz w:val="21"/>
          <w:szCs w:val="21"/>
          <w:highlight w:val="none"/>
        </w:rPr>
      </w:pPr>
      <w:bookmarkStart w:id="1030" w:name="_Toc532377283"/>
      <w:bookmarkStart w:id="1031" w:name="_Toc351203595"/>
      <w:bookmarkStart w:id="1032" w:name="_Toc337558812"/>
      <w:r>
        <w:rPr>
          <w:rFonts w:hint="eastAsia"/>
          <w:color w:val="auto"/>
          <w:sz w:val="21"/>
          <w:szCs w:val="21"/>
          <w:highlight w:val="none"/>
        </w:rPr>
        <w:t>14.2 竣工结算审核</w:t>
      </w:r>
      <w:bookmarkEnd w:id="1030"/>
      <w:bookmarkEnd w:id="1031"/>
    </w:p>
    <w:bookmarkEnd w:id="1032"/>
    <w:p w14:paraId="5D1E3C6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0525D7C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4BF1560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0B944DD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0B8DE00C">
      <w:pPr>
        <w:pStyle w:val="7"/>
        <w:spacing w:before="0" w:beforeAutospacing="0" w:after="0" w:afterAutospacing="0" w:line="360" w:lineRule="auto"/>
        <w:ind w:firstLine="422" w:firstLineChars="200"/>
        <w:rPr>
          <w:color w:val="auto"/>
          <w:sz w:val="21"/>
          <w:szCs w:val="21"/>
          <w:highlight w:val="none"/>
        </w:rPr>
      </w:pPr>
      <w:bookmarkStart w:id="1033" w:name="_Toc532377284"/>
      <w:bookmarkStart w:id="1034" w:name="_Toc351203596"/>
      <w:bookmarkStart w:id="1035" w:name="_Toc337558813"/>
      <w:r>
        <w:rPr>
          <w:rFonts w:hint="eastAsia"/>
          <w:color w:val="auto"/>
          <w:sz w:val="21"/>
          <w:szCs w:val="21"/>
          <w:highlight w:val="none"/>
        </w:rPr>
        <w:t>14.3 甩项竣工协议</w:t>
      </w:r>
      <w:bookmarkEnd w:id="1033"/>
      <w:bookmarkEnd w:id="1034"/>
    </w:p>
    <w:bookmarkEnd w:id="1035"/>
    <w:p w14:paraId="1997D7C2">
      <w:pPr>
        <w:autoSpaceDE w:val="0"/>
        <w:autoSpaceDN w:val="0"/>
        <w:spacing w:line="360" w:lineRule="auto"/>
        <w:ind w:firstLine="411" w:firstLineChars="196"/>
        <w:jc w:val="left"/>
        <w:rPr>
          <w:rFonts w:ascii="宋体" w:hAnsi="宋体"/>
          <w:color w:val="auto"/>
          <w:kern w:val="0"/>
          <w:szCs w:val="21"/>
          <w:highlight w:val="none"/>
        </w:rPr>
      </w:pPr>
      <w:r>
        <w:rPr>
          <w:rFonts w:hint="eastAsia" w:ascii="宋体" w:hAnsi="宋体"/>
          <w:color w:val="auto"/>
          <w:kern w:val="0"/>
          <w:szCs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445FF973">
      <w:pPr>
        <w:pStyle w:val="7"/>
        <w:spacing w:before="0" w:beforeAutospacing="0" w:after="0" w:afterAutospacing="0" w:line="360" w:lineRule="auto"/>
        <w:ind w:firstLine="422" w:firstLineChars="200"/>
        <w:rPr>
          <w:color w:val="auto"/>
          <w:sz w:val="21"/>
          <w:szCs w:val="21"/>
          <w:highlight w:val="none"/>
        </w:rPr>
      </w:pPr>
      <w:bookmarkStart w:id="1036" w:name="_Toc532377285"/>
      <w:bookmarkStart w:id="1037" w:name="_Toc351203597"/>
      <w:bookmarkStart w:id="1038" w:name="_Toc337558814"/>
      <w:r>
        <w:rPr>
          <w:rFonts w:hint="eastAsia"/>
          <w:color w:val="auto"/>
          <w:sz w:val="21"/>
          <w:szCs w:val="21"/>
          <w:highlight w:val="none"/>
        </w:rPr>
        <w:t>14.4 最终结清</w:t>
      </w:r>
      <w:bookmarkEnd w:id="1036"/>
      <w:bookmarkEnd w:id="1037"/>
    </w:p>
    <w:bookmarkEnd w:id="1038"/>
    <w:p w14:paraId="6504293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14.4.1 最终结清申请单</w:t>
      </w:r>
    </w:p>
    <w:p w14:paraId="08011FA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（1）除专用合同条款另有约定外，承包人应在缺陷责任期终止证书颁发后7天内，按专用合同条款约定的份数向发包人提交最终结清申请单，并提供相关证明材料。</w:t>
      </w:r>
    </w:p>
    <w:p w14:paraId="331F999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除专用合同条款另有约定外，最终结清申请单应列明质量保证金、应扣除的质量保证金、缺陷责任期内发生的增减费用。</w:t>
      </w:r>
    </w:p>
    <w:p w14:paraId="1C2E02E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（2）发包人对最终结清申请单内容有异议的，有权要求承包人进行修正和提供补充资料，承包人应向发包人提交修正后的最终结清申请单。</w:t>
      </w:r>
    </w:p>
    <w:p w14:paraId="256299D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14.4.2 最终结清证书和支付</w:t>
      </w:r>
    </w:p>
    <w:p w14:paraId="3FAD1F9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0D8BE03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26CAE06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（3）承包人对发包人颁发的最终结清证书有异议的，按第20条〔争议解决〕的约定办理。</w:t>
      </w:r>
    </w:p>
    <w:p w14:paraId="263DE3EA">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39" w:name="_Toc532377286"/>
      <w:bookmarkStart w:id="1040" w:name="_Toc532375601"/>
      <w:bookmarkStart w:id="1041" w:name="_Toc351203598"/>
      <w:bookmarkStart w:id="1042" w:name="_Toc337558815"/>
      <w:r>
        <w:rPr>
          <w:rFonts w:hint="eastAsia"/>
          <w:color w:val="auto"/>
          <w:kern w:val="2"/>
          <w:sz w:val="21"/>
          <w:szCs w:val="21"/>
          <w:highlight w:val="none"/>
        </w:rPr>
        <w:t>15. 缺陷责任与保修</w:t>
      </w:r>
      <w:bookmarkEnd w:id="1039"/>
      <w:bookmarkEnd w:id="1040"/>
      <w:bookmarkEnd w:id="1041"/>
    </w:p>
    <w:bookmarkEnd w:id="1025"/>
    <w:bookmarkEnd w:id="1026"/>
    <w:bookmarkEnd w:id="1042"/>
    <w:p w14:paraId="53D3950C">
      <w:pPr>
        <w:pStyle w:val="7"/>
        <w:spacing w:before="0" w:beforeAutospacing="0" w:after="0" w:afterAutospacing="0" w:line="360" w:lineRule="auto"/>
        <w:ind w:firstLine="422" w:firstLineChars="200"/>
        <w:rPr>
          <w:color w:val="auto"/>
          <w:sz w:val="21"/>
          <w:szCs w:val="21"/>
          <w:highlight w:val="none"/>
        </w:rPr>
      </w:pPr>
      <w:bookmarkStart w:id="1043" w:name="_Toc532377287"/>
      <w:bookmarkStart w:id="1044" w:name="_Toc351203599"/>
      <w:bookmarkStart w:id="1045" w:name="_Toc337558816"/>
      <w:bookmarkStart w:id="1046" w:name="_Toc296503114"/>
      <w:bookmarkStart w:id="1047" w:name="_Toc296346615"/>
      <w:r>
        <w:rPr>
          <w:rFonts w:hint="eastAsia"/>
          <w:color w:val="auto"/>
          <w:sz w:val="21"/>
          <w:szCs w:val="21"/>
          <w:highlight w:val="none"/>
        </w:rPr>
        <w:t>15.1 工程保修的原则</w:t>
      </w:r>
      <w:bookmarkEnd w:id="1043"/>
      <w:bookmarkEnd w:id="1044"/>
    </w:p>
    <w:bookmarkEnd w:id="1045"/>
    <w:p w14:paraId="3D8840A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在工程移交发包人后，因承包人原因产生的质量缺陷，承包人应承担质量缺陷责任和保修义务。缺陷责任期届满，承包人仍应按合同约定的工程各部位保修年限承担保修义务。</w:t>
      </w:r>
    </w:p>
    <w:p w14:paraId="5C009B6A">
      <w:pPr>
        <w:pStyle w:val="7"/>
        <w:spacing w:before="0" w:beforeAutospacing="0" w:after="0" w:afterAutospacing="0" w:line="360" w:lineRule="auto"/>
        <w:ind w:firstLine="422" w:firstLineChars="200"/>
        <w:rPr>
          <w:color w:val="auto"/>
          <w:sz w:val="21"/>
          <w:szCs w:val="21"/>
          <w:highlight w:val="none"/>
        </w:rPr>
      </w:pPr>
      <w:bookmarkStart w:id="1048" w:name="_Toc532377288"/>
      <w:bookmarkStart w:id="1049" w:name="_Toc351203600"/>
      <w:bookmarkStart w:id="1050" w:name="_Toc337558817"/>
      <w:r>
        <w:rPr>
          <w:rFonts w:hint="eastAsia"/>
          <w:color w:val="auto"/>
          <w:sz w:val="21"/>
          <w:szCs w:val="21"/>
          <w:highlight w:val="none"/>
        </w:rPr>
        <w:t>15.2 缺陷责任期</w:t>
      </w:r>
      <w:bookmarkEnd w:id="1046"/>
      <w:bookmarkEnd w:id="1047"/>
      <w:bookmarkEnd w:id="1048"/>
      <w:bookmarkEnd w:id="1049"/>
    </w:p>
    <w:bookmarkEnd w:id="1050"/>
    <w:p w14:paraId="658FB7A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15.2.1 缺陷责任期从工程通过竣工验收之日起计算，合同当事人应在专用合同条款约定缺陷责任期的具体期限，但该期限最长不超过24个月。</w:t>
      </w:r>
    </w:p>
    <w:p w14:paraId="37C034C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10194EB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1534804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由他人原因造成的缺陷，发包人负责组织维修，承包人不承担费用，且发包人不得从保证金中扣除费用。</w:t>
      </w:r>
    </w:p>
    <w:p w14:paraId="2D174E8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15.2.3 任何一项缺陷或损坏修复后，经检查证明其影响了工程或工程设备的使用性能，承包人应重新进行合同约定的试验和试运行，试验和试运行的全部费用应由责任方承担。</w:t>
      </w:r>
    </w:p>
    <w:p w14:paraId="57FA70C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01B47201">
      <w:pPr>
        <w:pStyle w:val="7"/>
        <w:spacing w:before="0" w:beforeAutospacing="0" w:after="0" w:afterAutospacing="0" w:line="360" w:lineRule="auto"/>
        <w:ind w:firstLine="422" w:firstLineChars="200"/>
        <w:rPr>
          <w:color w:val="auto"/>
          <w:sz w:val="21"/>
          <w:szCs w:val="21"/>
          <w:highlight w:val="none"/>
        </w:rPr>
      </w:pPr>
      <w:bookmarkStart w:id="1051" w:name="_Toc532377289"/>
      <w:bookmarkStart w:id="1052" w:name="_Toc351203601"/>
      <w:bookmarkStart w:id="1053" w:name="_Toc337558818"/>
      <w:bookmarkStart w:id="1054" w:name="_Toc296503115"/>
      <w:bookmarkStart w:id="1055" w:name="_Toc296346616"/>
      <w:r>
        <w:rPr>
          <w:rFonts w:hint="eastAsia"/>
          <w:color w:val="auto"/>
          <w:sz w:val="21"/>
          <w:szCs w:val="21"/>
          <w:highlight w:val="none"/>
        </w:rPr>
        <w:t>15.3 质量保证金</w:t>
      </w:r>
      <w:bookmarkEnd w:id="1051"/>
      <w:bookmarkEnd w:id="1052"/>
    </w:p>
    <w:bookmarkEnd w:id="1053"/>
    <w:p w14:paraId="76FD0EA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经合同当事人协商一致扣留质量保证金的，应在专用合同条款中予以明确。</w:t>
      </w:r>
    </w:p>
    <w:p w14:paraId="66D8DC4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在工程项目竣工前，承包人已经提供履约担保的，发包人不得同时预留工程质量保证金。</w:t>
      </w:r>
    </w:p>
    <w:p w14:paraId="40D1DA6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15.3.1 承包人提供质量保证金的方式</w:t>
      </w:r>
    </w:p>
    <w:p w14:paraId="5EBFD87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承包人提供质量保证金有以下三种方式：</w:t>
      </w:r>
    </w:p>
    <w:p w14:paraId="11C48F4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（1）质量保证金保函；</w:t>
      </w:r>
    </w:p>
    <w:p w14:paraId="45C185D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（2）相应比例的工程款；</w:t>
      </w:r>
    </w:p>
    <w:p w14:paraId="23FC6B4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（3）双方约定的其他方式。</w:t>
      </w:r>
    </w:p>
    <w:p w14:paraId="4906B6A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除专用合同条款另有约定外，质量保证金原则上采用上述第（1）种方式。</w:t>
      </w:r>
    </w:p>
    <w:p w14:paraId="5DAEE49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15.3.2 质量保证金的扣留</w:t>
      </w:r>
    </w:p>
    <w:p w14:paraId="5850EC6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质量保证金的扣留有以下三种方式：</w:t>
      </w:r>
    </w:p>
    <w:p w14:paraId="47ADA06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（1）在支付工程进度款时逐次扣留，在此情形下，质量保证金的计算基数不包括预付款的支付、扣回以及价格调整的金额；</w:t>
      </w:r>
    </w:p>
    <w:p w14:paraId="30CB202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（2）工</w:t>
      </w:r>
      <w:bookmarkStart w:id="1056" w:name="#go6"/>
      <w:bookmarkEnd w:id="1056"/>
      <w:r>
        <w:rPr>
          <w:rFonts w:hint="eastAsia" w:ascii="宋体" w:hAnsi="宋体"/>
          <w:color w:val="auto"/>
          <w:kern w:val="0"/>
          <w:szCs w:val="21"/>
          <w:highlight w:val="none"/>
        </w:rPr>
        <w:t>程竣工结算时一次性扣留质量保证金；</w:t>
      </w:r>
    </w:p>
    <w:p w14:paraId="41192F7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（3）双方约定的其他扣留方式。</w:t>
      </w:r>
    </w:p>
    <w:p w14:paraId="344AEA7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除专用合同条款另有约定外，质量保证金的扣留原则上采用上述第（1）种方式。</w:t>
      </w:r>
    </w:p>
    <w:p w14:paraId="6279A45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w:t>
      </w:r>
      <w:bookmarkStart w:id="1057" w:name="#go4"/>
      <w:bookmarkEnd w:id="1057"/>
      <w:r>
        <w:rPr>
          <w:rFonts w:hint="eastAsia" w:ascii="宋体" w:hAnsi="宋体"/>
          <w:color w:val="auto"/>
          <w:kern w:val="0"/>
          <w:szCs w:val="21"/>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2E32313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发包人在退还质量保证金的同时按照中国人民银行发布的同期同类贷款基准利率支付利息。</w:t>
      </w:r>
    </w:p>
    <w:p w14:paraId="3308DFA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15.3.3 质量保证金的退还</w:t>
      </w:r>
    </w:p>
    <w:p w14:paraId="1C9D9CD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缺陷责任期内，承包人认真履行合同约定的责任，到期后，承包人可向发包人申请返还保证金。</w:t>
      </w:r>
    </w:p>
    <w:p w14:paraId="1F95B76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51B3FDD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发包人和承包人对保证金预留、返还以及工程维修质量、费用有争议的，按合同第20条约定的争议和纠纷解决程序处理。</w:t>
      </w:r>
    </w:p>
    <w:p w14:paraId="38D1F792">
      <w:pPr>
        <w:pStyle w:val="7"/>
        <w:spacing w:before="0" w:beforeAutospacing="0" w:after="0" w:afterAutospacing="0" w:line="360" w:lineRule="auto"/>
        <w:ind w:firstLine="422" w:firstLineChars="200"/>
        <w:rPr>
          <w:color w:val="auto"/>
          <w:sz w:val="21"/>
          <w:szCs w:val="21"/>
          <w:highlight w:val="none"/>
        </w:rPr>
      </w:pPr>
      <w:bookmarkStart w:id="1058" w:name="_Toc532377290"/>
      <w:bookmarkStart w:id="1059" w:name="_Toc351203602"/>
      <w:bookmarkStart w:id="1060" w:name="_Toc337558819"/>
      <w:r>
        <w:rPr>
          <w:rFonts w:hint="eastAsia"/>
          <w:color w:val="auto"/>
          <w:sz w:val="21"/>
          <w:szCs w:val="21"/>
          <w:highlight w:val="none"/>
        </w:rPr>
        <w:t>15.4 保修</w:t>
      </w:r>
      <w:bookmarkEnd w:id="1058"/>
      <w:bookmarkEnd w:id="1059"/>
    </w:p>
    <w:bookmarkEnd w:id="1054"/>
    <w:bookmarkEnd w:id="1055"/>
    <w:bookmarkEnd w:id="1060"/>
    <w:p w14:paraId="4E7160F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15.4.1保修责任</w:t>
      </w:r>
    </w:p>
    <w:p w14:paraId="5D1F260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3DE13D3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发包人未经竣工验收擅自使用工程的，保修期自转移占有之日起算。</w:t>
      </w:r>
    </w:p>
    <w:p w14:paraId="3CA1241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15.4.2 修复费用</w:t>
      </w:r>
    </w:p>
    <w:p w14:paraId="36E9F59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保修期内，修复的费用按照以下约定处理：</w:t>
      </w:r>
    </w:p>
    <w:p w14:paraId="3496210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（1）保修期内，因承包人原因造成工程的缺陷、损坏，承包人应负责修复，并承担修复的费用以及因工程的缺陷、损坏造成的人身伤害和财产损失；</w:t>
      </w:r>
    </w:p>
    <w:p w14:paraId="5B76705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（2）保修期内，因发包人使用不当造成工程的缺陷、损坏，可以委托承包人修复，但发包人应承担修复的费用，并支付承包人合理利润；</w:t>
      </w:r>
    </w:p>
    <w:p w14:paraId="2F6636F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（3）因其他原因造成工程的缺陷、损坏，可以委托承包人修复，发包人应承担修复的费用，并支付承包人合理的利润，因工程的缺陷、损坏造成的人身伤害和财产损失由责任方承担。</w:t>
      </w:r>
    </w:p>
    <w:p w14:paraId="1F2F5B4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15.4.3 修复通知</w:t>
      </w:r>
    </w:p>
    <w:p w14:paraId="19ADCC0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684A26A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15.4.4 未能修复</w:t>
      </w:r>
    </w:p>
    <w:p w14:paraId="55BA860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209AF2C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15.4.5 承包人出入权</w:t>
      </w:r>
    </w:p>
    <w:p w14:paraId="7665309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03187E97">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61" w:name="_Toc351203603"/>
      <w:bookmarkStart w:id="1062" w:name="_Toc532375602"/>
      <w:bookmarkStart w:id="1063" w:name="_Toc532377291"/>
      <w:bookmarkStart w:id="1064" w:name="_Toc337558820"/>
      <w:r>
        <w:rPr>
          <w:rFonts w:hint="eastAsia"/>
          <w:color w:val="auto"/>
          <w:kern w:val="2"/>
          <w:sz w:val="21"/>
          <w:szCs w:val="21"/>
          <w:highlight w:val="none"/>
        </w:rPr>
        <w:t>16. 违约</w:t>
      </w:r>
      <w:bookmarkEnd w:id="1061"/>
      <w:bookmarkEnd w:id="1062"/>
      <w:bookmarkEnd w:id="1063"/>
    </w:p>
    <w:bookmarkEnd w:id="1064"/>
    <w:p w14:paraId="3593FDE1">
      <w:pPr>
        <w:pStyle w:val="7"/>
        <w:spacing w:before="0" w:beforeAutospacing="0" w:after="0" w:afterAutospacing="0" w:line="360" w:lineRule="auto"/>
        <w:ind w:firstLine="422" w:firstLineChars="200"/>
        <w:rPr>
          <w:color w:val="auto"/>
          <w:sz w:val="21"/>
          <w:szCs w:val="21"/>
          <w:highlight w:val="none"/>
        </w:rPr>
      </w:pPr>
      <w:bookmarkStart w:id="1065" w:name="_Toc296503129"/>
      <w:bookmarkStart w:id="1066" w:name="_Toc296346630"/>
      <w:bookmarkStart w:id="1067" w:name="_Toc532377292"/>
      <w:bookmarkStart w:id="1068" w:name="_Toc351203604"/>
      <w:bookmarkStart w:id="1069" w:name="_Toc337558821"/>
      <w:r>
        <w:rPr>
          <w:rFonts w:hint="eastAsia"/>
          <w:color w:val="auto"/>
          <w:sz w:val="21"/>
          <w:szCs w:val="21"/>
          <w:highlight w:val="none"/>
        </w:rPr>
        <w:t>16.1 发</w:t>
      </w:r>
      <w:bookmarkEnd w:id="1065"/>
      <w:bookmarkEnd w:id="1066"/>
      <w:r>
        <w:rPr>
          <w:rFonts w:hint="eastAsia"/>
          <w:color w:val="auto"/>
          <w:sz w:val="21"/>
          <w:szCs w:val="21"/>
          <w:highlight w:val="none"/>
        </w:rPr>
        <w:t>包人违约</w:t>
      </w:r>
      <w:bookmarkEnd w:id="1067"/>
      <w:bookmarkEnd w:id="1068"/>
    </w:p>
    <w:bookmarkEnd w:id="1069"/>
    <w:p w14:paraId="3B7F78C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16.1.1 发包人违约的情形</w:t>
      </w:r>
    </w:p>
    <w:p w14:paraId="082001D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在合同履行过程中发生的下列情形，属于发包人违约：</w:t>
      </w:r>
    </w:p>
    <w:p w14:paraId="5A7E680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（1）因发包人原因未能在计划开工日期前7天内下达开工通知的；</w:t>
      </w:r>
    </w:p>
    <w:p w14:paraId="0E9B2ED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（2）因发包人原因未能按合同约定支付合同价款的；</w:t>
      </w:r>
    </w:p>
    <w:p w14:paraId="143F407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（3）发包人违反第10.1款〔变更的范围〕第（2）项约定，自行实施被取消的工作或转由他人实施的；</w:t>
      </w:r>
    </w:p>
    <w:p w14:paraId="09BD90E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（4）发包人提供的材料、工程设备的规格、数量或质量不符合合同约定，或因发包人原因导致交货日期延误或交货地点变更等情况的；</w:t>
      </w:r>
    </w:p>
    <w:p w14:paraId="6115E7F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（5）因发包人违反合同约定造成暂停施工的；</w:t>
      </w:r>
    </w:p>
    <w:p w14:paraId="6D5C289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（6）发包人无正当理由没有在约定期限内发出复工指示，导致承包人无法复工的；</w:t>
      </w:r>
    </w:p>
    <w:p w14:paraId="6584A7A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（7）发包人明确表示或者以其行为表明不履行合同主要义务的；</w:t>
      </w:r>
    </w:p>
    <w:p w14:paraId="038CB41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（8）发包人未能按照合同约定履行其他义务的。</w:t>
      </w:r>
    </w:p>
    <w:p w14:paraId="4AAA8F8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0463E0B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16.1.2 发包人违约的责任</w:t>
      </w:r>
    </w:p>
    <w:p w14:paraId="1EFD789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发包人应承担因其违约给承包人增加的费用和（或）延误的工期，并支付承包人合理的利润。此外，合同当事人可在专用合同条款中另行约定发包人违约责任的承担方式和计算方法。</w:t>
      </w:r>
    </w:p>
    <w:p w14:paraId="03877AC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16.1.3 因发包人违约解除合同</w:t>
      </w:r>
    </w:p>
    <w:p w14:paraId="004734C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25F3874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16.1.4 因发包人违约解除合同后的付款</w:t>
      </w:r>
    </w:p>
    <w:p w14:paraId="6D42A62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承包人按照本款约定解除合同的，发包人应在解除合同后28天内支付下列款项，并解除履约担保：</w:t>
      </w:r>
    </w:p>
    <w:p w14:paraId="459CD94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（1）合同解除前所完成工作的价款；</w:t>
      </w:r>
    </w:p>
    <w:p w14:paraId="60914C3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（2）承包人为工程施工订购并已付款的材料、工程设备和其他物品的价款；</w:t>
      </w:r>
    </w:p>
    <w:p w14:paraId="45E4373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（3）承包人撤离施工现场以及遣散承包人人员的款项；</w:t>
      </w:r>
    </w:p>
    <w:p w14:paraId="611DEB2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（4）按照合同约定在合同解除前应支付的违约金；</w:t>
      </w:r>
    </w:p>
    <w:p w14:paraId="131CD5D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（5）按照合同约定应当支付给承包人的其他款项；</w:t>
      </w:r>
    </w:p>
    <w:p w14:paraId="3B75F34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（6）按照合同约定应退还的质量保证金；</w:t>
      </w:r>
    </w:p>
    <w:p w14:paraId="6EADF33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（7）因解除合同给承包人造成的损失。</w:t>
      </w:r>
    </w:p>
    <w:p w14:paraId="4CD194B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合同当事人未能就解除合同后的结清达成一致的，按照第20条〔争议解决〕的约定处理。</w:t>
      </w:r>
    </w:p>
    <w:p w14:paraId="2AF4C77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承包人应妥善做好已完工程和与工程有关的已购材料、工程设备的保护和移交工作，并将施工设备和人员撤出施工现场，发包人应为承包人撤出提供必要条件。</w:t>
      </w:r>
    </w:p>
    <w:p w14:paraId="34E23BBC">
      <w:pPr>
        <w:pStyle w:val="7"/>
        <w:spacing w:before="0" w:beforeAutospacing="0" w:after="0" w:afterAutospacing="0" w:line="360" w:lineRule="auto"/>
        <w:ind w:firstLine="422" w:firstLineChars="200"/>
        <w:rPr>
          <w:color w:val="auto"/>
          <w:sz w:val="21"/>
          <w:szCs w:val="21"/>
          <w:highlight w:val="none"/>
        </w:rPr>
      </w:pPr>
      <w:bookmarkStart w:id="1070" w:name="_Toc351203605"/>
      <w:bookmarkStart w:id="1071" w:name="_Toc532377293"/>
      <w:bookmarkStart w:id="1072" w:name="_Toc296503131"/>
      <w:bookmarkStart w:id="1073" w:name="_Toc296346632"/>
      <w:bookmarkStart w:id="1074" w:name="_Toc337558822"/>
      <w:r>
        <w:rPr>
          <w:rFonts w:hint="eastAsia"/>
          <w:color w:val="auto"/>
          <w:sz w:val="21"/>
          <w:szCs w:val="21"/>
          <w:highlight w:val="none"/>
        </w:rPr>
        <w:t>16.2 承包人违约</w:t>
      </w:r>
      <w:bookmarkEnd w:id="1070"/>
      <w:bookmarkEnd w:id="1071"/>
    </w:p>
    <w:bookmarkEnd w:id="1072"/>
    <w:bookmarkEnd w:id="1073"/>
    <w:bookmarkEnd w:id="1074"/>
    <w:p w14:paraId="329E406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16.2.1 承包人违约的情形</w:t>
      </w:r>
    </w:p>
    <w:p w14:paraId="26042B0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在合同履行过程中发生的下列情形，属于承包人违约：</w:t>
      </w:r>
    </w:p>
    <w:p w14:paraId="277815C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（1）承包人违反合同约定进行转包或违法分包的；</w:t>
      </w:r>
    </w:p>
    <w:p w14:paraId="3E9783B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（2）承包人违反合同约定采购和使用不合格的材料和工程设备的；</w:t>
      </w:r>
    </w:p>
    <w:p w14:paraId="749F5BB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（3）因承包人原因导致工程质量不符合合同要求的； </w:t>
      </w:r>
    </w:p>
    <w:p w14:paraId="10AE387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（4）承包人违反第8.9款〔材料与设备专用要求〕的约定，未经批准，私自将已按照合同约定进入施工现场的材料或设备撤离施工现场的；</w:t>
      </w:r>
    </w:p>
    <w:p w14:paraId="3F5A2AD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（5）承包人未能按施工进度计划及时完成合同约定的工作，造成工期延误的；</w:t>
      </w:r>
    </w:p>
    <w:p w14:paraId="748DE9C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（6）承包人在缺陷责任期及保修期内，未能在合理期限对工程缺陷进行修复，或拒绝按发包人要求进行修复的；</w:t>
      </w:r>
    </w:p>
    <w:p w14:paraId="70BF9C9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（7）承包人明确表示或者以其行为表明不履行合同主要义务的；</w:t>
      </w:r>
    </w:p>
    <w:p w14:paraId="45A3405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（8）承包人未能按照合同约定履行其他义务的。</w:t>
      </w:r>
    </w:p>
    <w:p w14:paraId="4CE7621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承包人发生除本项第（7）目约定以外的其他违约情况时，监理人可向承包人发出整改通知，要求其在指定的期限内改正。</w:t>
      </w:r>
    </w:p>
    <w:p w14:paraId="2EE2AD0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16.2.2 承包人违约的责任</w:t>
      </w:r>
    </w:p>
    <w:p w14:paraId="248B301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承包人应承担因其违约行为而增加的费用和（或）延误的工期。此外，合同当事人可在专用合同条款中另行约定承包人违约责任的承担方式和计算方法。</w:t>
      </w:r>
    </w:p>
    <w:p w14:paraId="3C6FC2E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16.2.3 因承包人违约解除合同</w:t>
      </w:r>
    </w:p>
    <w:p w14:paraId="29C1220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75D097B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16.2.4因承包人违约解除合同后的处理</w:t>
      </w:r>
    </w:p>
    <w:p w14:paraId="2E18419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因承包人原因导致合同解除的，则合同当事人应在合同解除后28天内完成估价、付款和清算，并按以下约定执行：</w:t>
      </w:r>
    </w:p>
    <w:p w14:paraId="1FC238C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（1）合同解除后，按第4.4款〔商定或确定〕商定或确定承包人实际完成工作对应的合同价款，以及承包人已提供的材料、工程设备、施工设备和临时工程等的价值；</w:t>
      </w:r>
    </w:p>
    <w:p w14:paraId="6AF9C83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（2）合同解除后，承包人应支付的违约金；</w:t>
      </w:r>
    </w:p>
    <w:p w14:paraId="75C0563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（3）合同解除后，因解除合同给发包人造成的损失；</w:t>
      </w:r>
    </w:p>
    <w:p w14:paraId="6548EFA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（4）合同解除后，承包人应按照发包人要求和监理人的指示完成现场的清理和撤离；</w:t>
      </w:r>
    </w:p>
    <w:p w14:paraId="50B1AA8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（5）发包人和承包人应在合同解除后进行清算，出具最终结清付款证书，结清全部款项。</w:t>
      </w:r>
    </w:p>
    <w:p w14:paraId="6DE62B8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548843B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16.2.5采购合同权益转让</w:t>
      </w:r>
    </w:p>
    <w:p w14:paraId="5C3543B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52851300">
      <w:pPr>
        <w:pStyle w:val="7"/>
        <w:spacing w:before="0" w:beforeAutospacing="0" w:after="0" w:afterAutospacing="0" w:line="360" w:lineRule="auto"/>
        <w:ind w:firstLine="422" w:firstLineChars="200"/>
        <w:rPr>
          <w:color w:val="auto"/>
          <w:sz w:val="21"/>
          <w:szCs w:val="21"/>
          <w:highlight w:val="none"/>
        </w:rPr>
      </w:pPr>
      <w:bookmarkStart w:id="1075" w:name="_Toc351203606"/>
      <w:bookmarkStart w:id="1076" w:name="_Toc532377294"/>
      <w:r>
        <w:rPr>
          <w:rFonts w:hint="eastAsia"/>
          <w:color w:val="auto"/>
          <w:sz w:val="21"/>
          <w:szCs w:val="21"/>
          <w:highlight w:val="none"/>
        </w:rPr>
        <w:t>16.3 第三人造成的违约</w:t>
      </w:r>
      <w:bookmarkEnd w:id="1075"/>
      <w:bookmarkEnd w:id="1076"/>
    </w:p>
    <w:p w14:paraId="3187D29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在履行合同过程中，一方当事人因第三人的原因造成违约的，应当向对方当事人承担违约责任。一方当事人和第三人之间的纠纷，依照法律规定或者按照约定解决。</w:t>
      </w:r>
    </w:p>
    <w:p w14:paraId="25740EA7">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77" w:name="_Toc532375603"/>
      <w:bookmarkStart w:id="1078" w:name="_Toc296503116"/>
      <w:bookmarkStart w:id="1079" w:name="_Toc337558823"/>
      <w:bookmarkStart w:id="1080" w:name="_Toc532377295"/>
      <w:bookmarkStart w:id="1081" w:name="_Toc351203607"/>
      <w:bookmarkStart w:id="1082" w:name="_Toc296346617"/>
      <w:r>
        <w:rPr>
          <w:rFonts w:hint="eastAsia"/>
          <w:color w:val="auto"/>
          <w:kern w:val="2"/>
          <w:sz w:val="21"/>
          <w:szCs w:val="21"/>
          <w:highlight w:val="none"/>
        </w:rPr>
        <w:t>17. 不可抗力</w:t>
      </w:r>
      <w:bookmarkEnd w:id="1077"/>
      <w:bookmarkEnd w:id="1078"/>
      <w:bookmarkEnd w:id="1079"/>
      <w:bookmarkEnd w:id="1080"/>
      <w:bookmarkEnd w:id="1081"/>
      <w:bookmarkEnd w:id="1082"/>
    </w:p>
    <w:p w14:paraId="642A5AD7">
      <w:pPr>
        <w:pStyle w:val="7"/>
        <w:spacing w:before="0" w:beforeAutospacing="0" w:after="0" w:afterAutospacing="0" w:line="360" w:lineRule="auto"/>
        <w:ind w:firstLine="422" w:firstLineChars="200"/>
        <w:rPr>
          <w:color w:val="auto"/>
          <w:sz w:val="21"/>
          <w:szCs w:val="21"/>
          <w:highlight w:val="none"/>
        </w:rPr>
      </w:pPr>
      <w:bookmarkStart w:id="1083" w:name="_Toc532377296"/>
      <w:bookmarkStart w:id="1084" w:name="_Toc351203608"/>
      <w:bookmarkStart w:id="1085" w:name="_Toc296503117"/>
      <w:bookmarkStart w:id="1086" w:name="_Toc337558824"/>
      <w:bookmarkStart w:id="1087" w:name="_Toc296346618"/>
      <w:r>
        <w:rPr>
          <w:rFonts w:hint="eastAsia"/>
          <w:color w:val="auto"/>
          <w:sz w:val="21"/>
          <w:szCs w:val="21"/>
          <w:highlight w:val="none"/>
        </w:rPr>
        <w:t>17.1 不可抗力的确认</w:t>
      </w:r>
      <w:bookmarkEnd w:id="1083"/>
      <w:bookmarkEnd w:id="1084"/>
    </w:p>
    <w:bookmarkEnd w:id="1085"/>
    <w:bookmarkEnd w:id="1086"/>
    <w:bookmarkEnd w:id="1087"/>
    <w:p w14:paraId="5D4EAAD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58A8788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70FD7046">
      <w:pPr>
        <w:pStyle w:val="7"/>
        <w:spacing w:before="0" w:beforeAutospacing="0" w:after="0" w:afterAutospacing="0" w:line="360" w:lineRule="auto"/>
        <w:ind w:firstLine="422" w:firstLineChars="200"/>
        <w:rPr>
          <w:color w:val="auto"/>
          <w:sz w:val="21"/>
          <w:szCs w:val="21"/>
          <w:highlight w:val="none"/>
        </w:rPr>
      </w:pPr>
      <w:bookmarkStart w:id="1088" w:name="_Toc532377297"/>
      <w:bookmarkStart w:id="1089" w:name="_Toc351203609"/>
      <w:bookmarkStart w:id="1090" w:name="_Toc296346619"/>
      <w:bookmarkStart w:id="1091" w:name="_Toc337558825"/>
      <w:bookmarkStart w:id="1092" w:name="_Toc296503118"/>
      <w:r>
        <w:rPr>
          <w:rFonts w:hint="eastAsia"/>
          <w:color w:val="auto"/>
          <w:sz w:val="21"/>
          <w:szCs w:val="21"/>
          <w:highlight w:val="none"/>
        </w:rPr>
        <w:t>17.2 不可抗力的通知</w:t>
      </w:r>
      <w:bookmarkEnd w:id="1088"/>
      <w:bookmarkEnd w:id="1089"/>
    </w:p>
    <w:bookmarkEnd w:id="1090"/>
    <w:bookmarkEnd w:id="1091"/>
    <w:bookmarkEnd w:id="1092"/>
    <w:p w14:paraId="689C293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合同一方当事人遇到不可抗力事件，使其履行合同义务受到阻碍时，应立即通知合同另一方当事人和监理人，书面说明不可抗力和受阻碍的详细情况，并提供必要的证明。</w:t>
      </w:r>
    </w:p>
    <w:p w14:paraId="047C38F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733BBC57">
      <w:pPr>
        <w:pStyle w:val="7"/>
        <w:spacing w:before="0" w:beforeAutospacing="0" w:after="0" w:afterAutospacing="0" w:line="360" w:lineRule="auto"/>
        <w:ind w:firstLine="422" w:firstLineChars="200"/>
        <w:rPr>
          <w:color w:val="auto"/>
          <w:sz w:val="21"/>
          <w:szCs w:val="21"/>
          <w:highlight w:val="none"/>
        </w:rPr>
      </w:pPr>
      <w:bookmarkStart w:id="1093" w:name="_Toc532377298"/>
      <w:r>
        <w:rPr>
          <w:rFonts w:hint="eastAsia"/>
          <w:color w:val="auto"/>
          <w:sz w:val="21"/>
          <w:szCs w:val="21"/>
          <w:highlight w:val="none"/>
        </w:rPr>
        <w:t>17.3 不可抗力后果的承担</w:t>
      </w:r>
      <w:bookmarkEnd w:id="1093"/>
    </w:p>
    <w:p w14:paraId="73BB5CA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17.3.1 不可抗力引起的后果及造成的损失由合同当事人按照法律规定及合同约定各自承担。不可抗力发生前已完成的工程应当按照合同约定进行计量支付。</w:t>
      </w:r>
    </w:p>
    <w:p w14:paraId="12A9399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17.3.2 不可抗力导致的人员伤亡、财产损失、费用增加和（或）工期延误等后果，由合同当事人按以下原则承担：</w:t>
      </w:r>
    </w:p>
    <w:p w14:paraId="539F344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（1）永久工程、已运至施工现场的材料和工程设备的损坏，以及因工程损坏造成的第三人人员伤亡和财产损失由发包人承担；</w:t>
      </w:r>
    </w:p>
    <w:p w14:paraId="01EE572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（2）承包人施工设备的损坏由承包人承担；</w:t>
      </w:r>
    </w:p>
    <w:p w14:paraId="53A3680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（3）发包人和承包人承担各自人员伤亡和财产的损失；</w:t>
      </w:r>
    </w:p>
    <w:p w14:paraId="00B0EB1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07363F5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（5）因不可抗力引起或将引起工期延误，发包人要求赶工的，由此增加的赶工费用由发包人承担；</w:t>
      </w:r>
    </w:p>
    <w:p w14:paraId="199F66E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（6）承包人在停工期间按照发包人要求照管、清理和修复工程的费用由发包人承担。</w:t>
      </w:r>
    </w:p>
    <w:p w14:paraId="5B75358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不可抗力发生后，合同当事人均应采取措施尽量避免和减少损失的扩大，任何一方当事人没有采取有效措施导致损失扩大的，应对扩大的损失承担责任。</w:t>
      </w:r>
    </w:p>
    <w:p w14:paraId="05267B7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因合同一方迟延履行合同义务，在迟延履行期间遭遇不可抗力的，不免除其违约责任。</w:t>
      </w:r>
    </w:p>
    <w:p w14:paraId="7001395D">
      <w:pPr>
        <w:pStyle w:val="7"/>
        <w:spacing w:before="0" w:beforeAutospacing="0" w:after="0" w:afterAutospacing="0" w:line="360" w:lineRule="auto"/>
        <w:ind w:firstLine="422" w:firstLineChars="200"/>
        <w:rPr>
          <w:color w:val="auto"/>
          <w:sz w:val="21"/>
          <w:szCs w:val="21"/>
          <w:highlight w:val="none"/>
        </w:rPr>
      </w:pPr>
      <w:bookmarkStart w:id="1094" w:name="_Toc532377299"/>
      <w:bookmarkStart w:id="1095" w:name="_Toc351203611"/>
      <w:bookmarkStart w:id="1096" w:name="_Toc337558827"/>
      <w:r>
        <w:rPr>
          <w:rFonts w:hint="eastAsia"/>
          <w:color w:val="auto"/>
          <w:sz w:val="21"/>
          <w:szCs w:val="21"/>
          <w:highlight w:val="none"/>
        </w:rPr>
        <w:t>17.4 因不可抗力解除合同</w:t>
      </w:r>
      <w:bookmarkEnd w:id="1094"/>
      <w:bookmarkEnd w:id="1095"/>
    </w:p>
    <w:bookmarkEnd w:id="1096"/>
    <w:p w14:paraId="527B8C4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69365EB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（1）合同解除前承包人已完成工作的价款；</w:t>
      </w:r>
    </w:p>
    <w:p w14:paraId="76BFBF4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（2）承包人为工程订购的并已交付给承包人，或承包人有责任接受交付的材料、工程设备和其他物品的价款；</w:t>
      </w:r>
    </w:p>
    <w:p w14:paraId="38C7A12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（3）发包人要求承包人退货或解除订货合同而产生的费用，或因不能退货或解除合同而产生的损失；</w:t>
      </w:r>
    </w:p>
    <w:p w14:paraId="7369767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（4）承包人撤离施工现场以及遣散承包人人员的费用；</w:t>
      </w:r>
    </w:p>
    <w:p w14:paraId="4912BCF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（5）按照合同约定在合同解除前应支付给承包人的其他款项；</w:t>
      </w:r>
    </w:p>
    <w:p w14:paraId="46FA35E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（6）扣减承包人按照合同约定应向发包人支付的款项；</w:t>
      </w:r>
    </w:p>
    <w:p w14:paraId="1058470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（7）双方商定或确定的其他款项。</w:t>
      </w:r>
    </w:p>
    <w:p w14:paraId="7FBE539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除专用合同条款另有约定外，合同解除后，发包人应在商定或确定上述款项后28天内完成上述款项的支付。</w:t>
      </w:r>
    </w:p>
    <w:p w14:paraId="6A5B6E9B">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97" w:name="_Toc532375604"/>
      <w:bookmarkStart w:id="1098" w:name="_Toc532377300"/>
      <w:bookmarkStart w:id="1099" w:name="_Toc351203612"/>
      <w:bookmarkStart w:id="1100" w:name="_Toc337558828"/>
      <w:bookmarkStart w:id="1101" w:name="_Toc296503120"/>
      <w:bookmarkStart w:id="1102" w:name="_Toc296346621"/>
      <w:r>
        <w:rPr>
          <w:rFonts w:hint="eastAsia"/>
          <w:color w:val="auto"/>
          <w:kern w:val="2"/>
          <w:sz w:val="21"/>
          <w:szCs w:val="21"/>
          <w:highlight w:val="none"/>
        </w:rPr>
        <w:t>18. 保险</w:t>
      </w:r>
      <w:bookmarkEnd w:id="1097"/>
      <w:bookmarkEnd w:id="1098"/>
      <w:bookmarkEnd w:id="1099"/>
    </w:p>
    <w:bookmarkEnd w:id="1100"/>
    <w:bookmarkEnd w:id="1101"/>
    <w:bookmarkEnd w:id="1102"/>
    <w:p w14:paraId="49FA4537">
      <w:pPr>
        <w:pStyle w:val="7"/>
        <w:spacing w:before="0" w:beforeAutospacing="0" w:after="0" w:afterAutospacing="0" w:line="360" w:lineRule="auto"/>
        <w:ind w:firstLine="422" w:firstLineChars="200"/>
        <w:rPr>
          <w:color w:val="auto"/>
          <w:sz w:val="21"/>
          <w:szCs w:val="21"/>
          <w:highlight w:val="none"/>
        </w:rPr>
      </w:pPr>
      <w:bookmarkStart w:id="1103" w:name="_Toc351203614"/>
      <w:bookmarkStart w:id="1104" w:name="_Toc532377302"/>
      <w:bookmarkStart w:id="1105" w:name="_Toc296346623"/>
      <w:bookmarkStart w:id="1106" w:name="_Toc337558830"/>
      <w:bookmarkStart w:id="1107" w:name="_Toc296503122"/>
      <w:r>
        <w:rPr>
          <w:rFonts w:hint="eastAsia"/>
          <w:color w:val="auto"/>
          <w:sz w:val="21"/>
          <w:szCs w:val="21"/>
          <w:highlight w:val="none"/>
        </w:rPr>
        <w:t>18.2 工伤保险</w:t>
      </w:r>
      <w:bookmarkEnd w:id="1103"/>
      <w:bookmarkEnd w:id="1104"/>
    </w:p>
    <w:bookmarkEnd w:id="1105"/>
    <w:bookmarkEnd w:id="1106"/>
    <w:bookmarkEnd w:id="1107"/>
    <w:p w14:paraId="3883DC7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18.2.1 发包人应依照法律规定参加工伤保险，并为在施工现场的全部员工办理工伤保险，缴纳工伤保险费，并要求监理人及由发包人为履行合同聘请的第三方依法参加工伤保险。</w:t>
      </w:r>
    </w:p>
    <w:p w14:paraId="5D5902B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18.2.2 承包人应依照法律规定参加工伤保险，并为其履行合同的全部员工办理工伤保险，缴纳工伤保险费，并要求分包人及由承包人为履行合同聘请的第三方依法参加工伤保险。</w:t>
      </w:r>
    </w:p>
    <w:p w14:paraId="12187F17">
      <w:pPr>
        <w:pStyle w:val="7"/>
        <w:spacing w:before="0" w:beforeAutospacing="0" w:after="0" w:afterAutospacing="0" w:line="360" w:lineRule="auto"/>
        <w:ind w:firstLine="422" w:firstLineChars="200"/>
        <w:rPr>
          <w:color w:val="auto"/>
          <w:sz w:val="21"/>
          <w:szCs w:val="21"/>
          <w:highlight w:val="none"/>
        </w:rPr>
      </w:pPr>
      <w:bookmarkStart w:id="1108" w:name="_Toc351203615"/>
      <w:bookmarkStart w:id="1109" w:name="_Toc532377303"/>
      <w:bookmarkStart w:id="1110" w:name="_Toc337558831"/>
      <w:bookmarkStart w:id="1111" w:name="_Toc296346626"/>
      <w:bookmarkStart w:id="1112" w:name="_Toc296503125"/>
      <w:r>
        <w:rPr>
          <w:rFonts w:hint="eastAsia"/>
          <w:color w:val="auto"/>
          <w:sz w:val="21"/>
          <w:szCs w:val="21"/>
          <w:highlight w:val="none"/>
        </w:rPr>
        <w:t>18.3其他保险</w:t>
      </w:r>
      <w:bookmarkEnd w:id="1108"/>
      <w:bookmarkEnd w:id="1109"/>
    </w:p>
    <w:bookmarkEnd w:id="1110"/>
    <w:bookmarkEnd w:id="1111"/>
    <w:bookmarkEnd w:id="1112"/>
    <w:p w14:paraId="4E17E40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发包人和承包人可以为其施工现场的全部人员办理意外伤害保险并支付保险费，包括其员工及为履行合同聘请的第三方的人员，具体事项由合同当事人在专用合同条款约定。</w:t>
      </w:r>
    </w:p>
    <w:p w14:paraId="283B52F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除专用合同条款另有约定外，承包人应为其施工设备等办理财产保险。</w:t>
      </w:r>
    </w:p>
    <w:p w14:paraId="70CA6E57">
      <w:pPr>
        <w:pStyle w:val="7"/>
        <w:spacing w:before="0" w:beforeAutospacing="0" w:after="0" w:afterAutospacing="0" w:line="360" w:lineRule="auto"/>
        <w:ind w:firstLine="422" w:firstLineChars="200"/>
        <w:rPr>
          <w:color w:val="auto"/>
          <w:sz w:val="21"/>
          <w:szCs w:val="21"/>
          <w:highlight w:val="none"/>
        </w:rPr>
      </w:pPr>
      <w:bookmarkStart w:id="1113" w:name="_Toc351203616"/>
      <w:bookmarkStart w:id="1114" w:name="_Toc532377304"/>
      <w:r>
        <w:rPr>
          <w:rFonts w:hint="eastAsia"/>
          <w:color w:val="auto"/>
          <w:sz w:val="21"/>
          <w:szCs w:val="21"/>
          <w:highlight w:val="none"/>
        </w:rPr>
        <w:t>18.4持续保险</w:t>
      </w:r>
      <w:bookmarkEnd w:id="1113"/>
      <w:bookmarkEnd w:id="1114"/>
    </w:p>
    <w:p w14:paraId="798356F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合同当事人应与保险人保持联系，使保险人能够随时了解工程实施中的变动，并确保按保险合同条款要求持续保险。</w:t>
      </w:r>
    </w:p>
    <w:p w14:paraId="6C55BE65">
      <w:pPr>
        <w:pStyle w:val="7"/>
        <w:spacing w:before="0" w:beforeAutospacing="0" w:after="0" w:afterAutospacing="0" w:line="360" w:lineRule="auto"/>
        <w:ind w:firstLine="422" w:firstLineChars="200"/>
        <w:rPr>
          <w:color w:val="auto"/>
          <w:sz w:val="21"/>
          <w:szCs w:val="21"/>
          <w:highlight w:val="none"/>
        </w:rPr>
      </w:pPr>
      <w:bookmarkStart w:id="1115" w:name="_Toc532377305"/>
      <w:bookmarkStart w:id="1116" w:name="_Toc351203617"/>
      <w:bookmarkStart w:id="1117" w:name="_Toc296346627"/>
      <w:bookmarkStart w:id="1118" w:name="_Toc337558832"/>
      <w:bookmarkStart w:id="1119" w:name="_Toc296503126"/>
      <w:r>
        <w:rPr>
          <w:rFonts w:hint="eastAsia"/>
          <w:color w:val="auto"/>
          <w:sz w:val="21"/>
          <w:szCs w:val="21"/>
          <w:highlight w:val="none"/>
        </w:rPr>
        <w:t>18.5 保险凭证</w:t>
      </w:r>
      <w:bookmarkEnd w:id="1115"/>
      <w:bookmarkEnd w:id="1116"/>
    </w:p>
    <w:bookmarkEnd w:id="1117"/>
    <w:bookmarkEnd w:id="1118"/>
    <w:bookmarkEnd w:id="1119"/>
    <w:p w14:paraId="179D77E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合同当事人应及时向另一方当事人提交其已投保的各项保险的凭证和保险单复印件。</w:t>
      </w:r>
    </w:p>
    <w:p w14:paraId="39C06922">
      <w:pPr>
        <w:pStyle w:val="7"/>
        <w:spacing w:before="0" w:beforeAutospacing="0" w:after="0" w:afterAutospacing="0" w:line="360" w:lineRule="auto"/>
        <w:ind w:firstLine="422" w:firstLineChars="200"/>
        <w:rPr>
          <w:color w:val="auto"/>
          <w:sz w:val="21"/>
          <w:szCs w:val="21"/>
          <w:highlight w:val="none"/>
        </w:rPr>
      </w:pPr>
      <w:bookmarkStart w:id="1120" w:name="_Toc351203618"/>
      <w:bookmarkStart w:id="1121" w:name="_Toc532377306"/>
      <w:bookmarkStart w:id="1122" w:name="_Toc296346628"/>
      <w:bookmarkStart w:id="1123" w:name="_Toc337558833"/>
      <w:bookmarkStart w:id="1124" w:name="_Toc296503127"/>
      <w:r>
        <w:rPr>
          <w:rFonts w:hint="eastAsia"/>
          <w:color w:val="auto"/>
          <w:sz w:val="21"/>
          <w:szCs w:val="21"/>
          <w:highlight w:val="none"/>
        </w:rPr>
        <w:t>18.6 未按约定投保的补救</w:t>
      </w:r>
      <w:bookmarkEnd w:id="1120"/>
      <w:bookmarkEnd w:id="1121"/>
    </w:p>
    <w:bookmarkEnd w:id="1122"/>
    <w:bookmarkEnd w:id="1123"/>
    <w:bookmarkEnd w:id="1124"/>
    <w:p w14:paraId="0FF50A1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18.6.1发包人未按合同约定办理保险，或未能使保险持续有效的，则承包人可代为办理，所需费用由发包人承担。发包人未按合同约定办理保险，导致未能得到足额赔偿的，由发包人负责补足。</w:t>
      </w:r>
    </w:p>
    <w:p w14:paraId="2425787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18.6.2承包人未按合同约定办理保险，或未能使保险持续有效的，则发包人可代为办理，所需费用由承包人承担。承包人未按合同约定办理保险，导致未能得到足额赔偿的，由承包人负责补足。</w:t>
      </w:r>
    </w:p>
    <w:p w14:paraId="6D599A19">
      <w:pPr>
        <w:pStyle w:val="7"/>
        <w:spacing w:before="0" w:beforeAutospacing="0" w:after="0" w:afterAutospacing="0" w:line="360" w:lineRule="auto"/>
        <w:ind w:firstLine="422" w:firstLineChars="200"/>
        <w:rPr>
          <w:color w:val="auto"/>
          <w:sz w:val="21"/>
          <w:szCs w:val="21"/>
          <w:highlight w:val="none"/>
        </w:rPr>
      </w:pPr>
      <w:bookmarkStart w:id="1125" w:name="_Toc532377307"/>
      <w:bookmarkStart w:id="1126" w:name="_Toc351203619"/>
      <w:bookmarkStart w:id="1127" w:name="_Toc337558834"/>
      <w:r>
        <w:rPr>
          <w:rFonts w:hint="eastAsia"/>
          <w:color w:val="auto"/>
          <w:sz w:val="21"/>
          <w:szCs w:val="21"/>
          <w:highlight w:val="none"/>
        </w:rPr>
        <w:t>18.7 通知义务</w:t>
      </w:r>
      <w:bookmarkEnd w:id="1125"/>
      <w:bookmarkEnd w:id="1126"/>
    </w:p>
    <w:bookmarkEnd w:id="1127"/>
    <w:p w14:paraId="0C1167B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25EE798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保险事故发生时，投保人应按照保险合同规定的条件和期限及时向保险人报告。发包人和承包人应当在知道保险事故发生后及时通知对方。</w:t>
      </w:r>
    </w:p>
    <w:p w14:paraId="0147E68D">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128" w:name="_Toc532377308"/>
      <w:bookmarkStart w:id="1129" w:name="_Toc532375605"/>
      <w:r>
        <w:rPr>
          <w:rFonts w:hint="eastAsia"/>
          <w:color w:val="auto"/>
          <w:kern w:val="2"/>
          <w:sz w:val="21"/>
          <w:szCs w:val="21"/>
          <w:highlight w:val="none"/>
        </w:rPr>
        <w:t>19. 索赔</w:t>
      </w:r>
      <w:bookmarkEnd w:id="1128"/>
      <w:bookmarkEnd w:id="1129"/>
    </w:p>
    <w:p w14:paraId="3C70E883">
      <w:pPr>
        <w:pStyle w:val="7"/>
        <w:spacing w:before="0" w:beforeAutospacing="0" w:after="0" w:afterAutospacing="0" w:line="360" w:lineRule="auto"/>
        <w:ind w:firstLine="422" w:firstLineChars="200"/>
        <w:rPr>
          <w:color w:val="auto"/>
          <w:sz w:val="21"/>
          <w:szCs w:val="21"/>
          <w:highlight w:val="none"/>
        </w:rPr>
      </w:pPr>
      <w:bookmarkStart w:id="1130" w:name="_Toc532377309"/>
      <w:r>
        <w:rPr>
          <w:rFonts w:hint="eastAsia"/>
          <w:color w:val="auto"/>
          <w:sz w:val="21"/>
          <w:szCs w:val="21"/>
          <w:highlight w:val="none"/>
        </w:rPr>
        <w:t>19.1承包人的索赔</w:t>
      </w:r>
      <w:bookmarkEnd w:id="1130"/>
    </w:p>
    <w:p w14:paraId="5A3ED93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根据合同约定，承包人认为有权得到追加付款和（或）延长工期的，应按以下程序向发包人提出索赔：</w:t>
      </w:r>
    </w:p>
    <w:p w14:paraId="7EE9183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4381B56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058983B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（3）索赔事件具有持续影响的，承包人应按合理时间间隔继续递交延续索赔通知，说明持续影响的实际情况和记录，列出累计的追加付款金额和（或）工期延长天数；</w:t>
      </w:r>
    </w:p>
    <w:p w14:paraId="54E2B98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（4）在索赔事件影响结束后28天内，承包人应向监理人递交最终索赔报告，说明最终要求索赔的追加付款金额和（或）延长的工期，并附必要的记录和证明材料。</w:t>
      </w:r>
    </w:p>
    <w:p w14:paraId="10D3BC99">
      <w:pPr>
        <w:pStyle w:val="7"/>
        <w:spacing w:before="0" w:beforeAutospacing="0" w:after="0" w:afterAutospacing="0" w:line="360" w:lineRule="auto"/>
        <w:ind w:firstLine="422" w:firstLineChars="200"/>
        <w:rPr>
          <w:color w:val="auto"/>
          <w:sz w:val="21"/>
          <w:szCs w:val="21"/>
          <w:highlight w:val="none"/>
        </w:rPr>
      </w:pPr>
      <w:bookmarkStart w:id="1131" w:name="_Toc532377310"/>
      <w:bookmarkStart w:id="1132" w:name="_Toc351203622"/>
      <w:bookmarkStart w:id="1133" w:name="_Toc337558837"/>
      <w:bookmarkStart w:id="1134" w:name="_Toc296346643"/>
      <w:bookmarkStart w:id="1135" w:name="_Toc296503142"/>
      <w:r>
        <w:rPr>
          <w:rFonts w:hint="eastAsia"/>
          <w:color w:val="auto"/>
          <w:sz w:val="21"/>
          <w:szCs w:val="21"/>
          <w:highlight w:val="none"/>
        </w:rPr>
        <w:t>19.2 对承包人索赔的处理</w:t>
      </w:r>
      <w:bookmarkEnd w:id="1131"/>
      <w:bookmarkEnd w:id="1132"/>
    </w:p>
    <w:bookmarkEnd w:id="1133"/>
    <w:bookmarkEnd w:id="1134"/>
    <w:bookmarkEnd w:id="1135"/>
    <w:p w14:paraId="7CD5D85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对承包人索赔的处理如下：</w:t>
      </w:r>
    </w:p>
    <w:p w14:paraId="69BEF0F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（1）监理人应在收到索赔报告后14天内完成审查并报送发包人。监理人对索赔报告存在异议的，有权要求承包人提交全部原始记录副本；</w:t>
      </w:r>
    </w:p>
    <w:p w14:paraId="7158201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（2）发包人应在监理人收到索赔报告或有关索赔的进一步证明材料后的28天内，由监理人向承包人出具经发包人签认的索赔处理结果。发包人逾期答复的，则视为认可承包人的索赔要求；</w:t>
      </w:r>
    </w:p>
    <w:p w14:paraId="770D32B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（3）承包人接受索赔处理结果的，索赔款项在当期进度款中进行支付；承包人不接受索赔处理结果的，按照第20条〔争议解决〕约定处理。</w:t>
      </w:r>
    </w:p>
    <w:p w14:paraId="1E5B4077">
      <w:pPr>
        <w:pStyle w:val="7"/>
        <w:spacing w:before="0" w:beforeAutospacing="0" w:after="0" w:afterAutospacing="0" w:line="360" w:lineRule="auto"/>
        <w:ind w:firstLine="422" w:firstLineChars="200"/>
        <w:rPr>
          <w:color w:val="auto"/>
          <w:sz w:val="21"/>
          <w:szCs w:val="21"/>
          <w:highlight w:val="none"/>
        </w:rPr>
      </w:pPr>
      <w:bookmarkStart w:id="1136" w:name="_Toc351203623"/>
      <w:bookmarkStart w:id="1137" w:name="_Toc532377311"/>
      <w:bookmarkStart w:id="1138" w:name="_Toc337558838"/>
      <w:bookmarkStart w:id="1139" w:name="_Toc296503143"/>
      <w:bookmarkStart w:id="1140" w:name="_Toc296346644"/>
      <w:r>
        <w:rPr>
          <w:rFonts w:hint="eastAsia"/>
          <w:color w:val="auto"/>
          <w:sz w:val="21"/>
          <w:szCs w:val="21"/>
          <w:highlight w:val="none"/>
        </w:rPr>
        <w:t>19.3发包人的索赔</w:t>
      </w:r>
      <w:bookmarkEnd w:id="1136"/>
      <w:bookmarkEnd w:id="1137"/>
    </w:p>
    <w:bookmarkEnd w:id="1138"/>
    <w:bookmarkEnd w:id="1139"/>
    <w:bookmarkEnd w:id="1140"/>
    <w:p w14:paraId="222FAEF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根据合同约定，发包人认为有权得到赔付金额和（或）延长缺陷责任期的，监理人应向承包人发出通知并附有详细的证明。</w:t>
      </w:r>
    </w:p>
    <w:p w14:paraId="56A846B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65C15177">
      <w:pPr>
        <w:pStyle w:val="7"/>
        <w:spacing w:before="0" w:beforeAutospacing="0" w:after="0" w:afterAutospacing="0" w:line="360" w:lineRule="auto"/>
        <w:ind w:firstLine="422" w:firstLineChars="200"/>
        <w:rPr>
          <w:color w:val="auto"/>
          <w:sz w:val="21"/>
          <w:szCs w:val="21"/>
          <w:highlight w:val="none"/>
        </w:rPr>
      </w:pPr>
      <w:bookmarkStart w:id="1141" w:name="_Toc532377312"/>
      <w:bookmarkStart w:id="1142" w:name="_Toc351203624"/>
      <w:bookmarkStart w:id="1143" w:name="_Toc296503144"/>
      <w:bookmarkStart w:id="1144" w:name="_Toc337558839"/>
      <w:bookmarkStart w:id="1145" w:name="_Toc296346645"/>
      <w:r>
        <w:rPr>
          <w:rFonts w:hint="eastAsia"/>
          <w:color w:val="auto"/>
          <w:sz w:val="21"/>
          <w:szCs w:val="21"/>
          <w:highlight w:val="none"/>
        </w:rPr>
        <w:t>19.4 对发包人索赔的处理</w:t>
      </w:r>
      <w:bookmarkEnd w:id="1141"/>
      <w:bookmarkEnd w:id="1142"/>
    </w:p>
    <w:bookmarkEnd w:id="1143"/>
    <w:bookmarkEnd w:id="1144"/>
    <w:bookmarkEnd w:id="1145"/>
    <w:p w14:paraId="470199A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对发包人索赔的处理如下：</w:t>
      </w:r>
    </w:p>
    <w:p w14:paraId="7E669CF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（1）承包人收到发包人提交的索赔报告后，应及时审查索赔报告的内容、查验发包人证明材料；</w:t>
      </w:r>
    </w:p>
    <w:p w14:paraId="31DCCBA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（2）承包人应在收到索赔报告或有关索赔的进一步证明材料后28天内，将索赔处理结果答复发包人。如果承包人未在上述期限内作出答复的，则视为对发包人索赔要求的认可；</w:t>
      </w:r>
    </w:p>
    <w:p w14:paraId="762469B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（3）承包人接受索赔处理结果的，发包人可从应支付给承包人的合同价款中扣除赔付的金额或延长缺陷责任期；发包人不接受索赔处理结果的，按第20条〔争议解决〕约定处理。</w:t>
      </w:r>
    </w:p>
    <w:p w14:paraId="195C91B7">
      <w:pPr>
        <w:pStyle w:val="7"/>
        <w:spacing w:before="0" w:beforeAutospacing="0" w:after="0" w:afterAutospacing="0" w:line="360" w:lineRule="auto"/>
        <w:ind w:firstLine="420" w:firstLineChars="200"/>
        <w:rPr>
          <w:b w:val="0"/>
          <w:color w:val="auto"/>
          <w:sz w:val="21"/>
          <w:szCs w:val="21"/>
          <w:highlight w:val="none"/>
        </w:rPr>
      </w:pPr>
      <w:bookmarkStart w:id="1146" w:name="_Toc351203625"/>
      <w:bookmarkStart w:id="1147" w:name="_Toc532377313"/>
      <w:r>
        <w:rPr>
          <w:rFonts w:hint="eastAsia"/>
          <w:b w:val="0"/>
          <w:color w:val="auto"/>
          <w:sz w:val="21"/>
          <w:szCs w:val="21"/>
          <w:highlight w:val="none"/>
        </w:rPr>
        <w:t>19.5 提出索赔的期限</w:t>
      </w:r>
      <w:bookmarkEnd w:id="1146"/>
      <w:bookmarkEnd w:id="1147"/>
    </w:p>
    <w:p w14:paraId="7FCBB4D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（1）承包人按第14.2款〔竣工结算审核〕约定接收竣工付款证书后，应被视为已无权再提出在工程接收证书颁发前所发生的任何索赔。</w:t>
      </w:r>
    </w:p>
    <w:p w14:paraId="29B87F3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（2）承包人按第14.4款〔最终结清〕提交的最终结清申请单中，只限于提出工程接收证书颁发后发生的索赔。提出索赔的期限自接受最终结清证书时终止。</w:t>
      </w:r>
    </w:p>
    <w:p w14:paraId="2B1D0C8A">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148" w:name="_Toc532377314"/>
      <w:bookmarkStart w:id="1149" w:name="_Toc532375606"/>
      <w:bookmarkStart w:id="1150" w:name="_Toc351203626"/>
      <w:r>
        <w:rPr>
          <w:rFonts w:hint="eastAsia"/>
          <w:color w:val="auto"/>
          <w:kern w:val="2"/>
          <w:sz w:val="21"/>
          <w:szCs w:val="21"/>
          <w:highlight w:val="none"/>
        </w:rPr>
        <w:t>20</w:t>
      </w:r>
      <w:bookmarkStart w:id="1151" w:name="_Toc296503146"/>
      <w:bookmarkStart w:id="1152" w:name="_Toc296346647"/>
      <w:bookmarkStart w:id="1153" w:name="_Toc337558840"/>
      <w:r>
        <w:rPr>
          <w:rFonts w:hint="eastAsia"/>
          <w:color w:val="auto"/>
          <w:kern w:val="2"/>
          <w:sz w:val="21"/>
          <w:szCs w:val="21"/>
          <w:highlight w:val="none"/>
        </w:rPr>
        <w:t>. 争议解决</w:t>
      </w:r>
      <w:bookmarkEnd w:id="1148"/>
      <w:bookmarkEnd w:id="1149"/>
      <w:bookmarkEnd w:id="1150"/>
    </w:p>
    <w:bookmarkEnd w:id="1151"/>
    <w:bookmarkEnd w:id="1152"/>
    <w:bookmarkEnd w:id="1153"/>
    <w:p w14:paraId="614F526C">
      <w:pPr>
        <w:pStyle w:val="7"/>
        <w:spacing w:before="0" w:beforeAutospacing="0" w:after="0" w:afterAutospacing="0" w:line="360" w:lineRule="auto"/>
        <w:ind w:firstLine="422" w:firstLineChars="200"/>
        <w:rPr>
          <w:color w:val="auto"/>
          <w:sz w:val="21"/>
          <w:szCs w:val="21"/>
          <w:highlight w:val="none"/>
        </w:rPr>
      </w:pPr>
      <w:bookmarkStart w:id="1154" w:name="_Toc532377315"/>
      <w:bookmarkStart w:id="1155" w:name="_Toc351203627"/>
      <w:bookmarkStart w:id="1156" w:name="_Toc337558841"/>
      <w:bookmarkStart w:id="1157" w:name="_Toc296503147"/>
      <w:bookmarkStart w:id="1158" w:name="_Toc296346648"/>
      <w:r>
        <w:rPr>
          <w:rFonts w:hint="eastAsia"/>
          <w:color w:val="auto"/>
          <w:sz w:val="21"/>
          <w:szCs w:val="21"/>
          <w:highlight w:val="none"/>
        </w:rPr>
        <w:t>20.1和解</w:t>
      </w:r>
      <w:bookmarkEnd w:id="1154"/>
      <w:bookmarkEnd w:id="1155"/>
    </w:p>
    <w:bookmarkEnd w:id="1156"/>
    <w:bookmarkEnd w:id="1157"/>
    <w:bookmarkEnd w:id="1158"/>
    <w:p w14:paraId="0E665B0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合同当事人可以就争议自行和解，自行和解达成协议的经双方签名并盖章后作为合同补充文件，双方均应遵照执行。</w:t>
      </w:r>
    </w:p>
    <w:p w14:paraId="38EBE91D">
      <w:pPr>
        <w:pStyle w:val="7"/>
        <w:spacing w:before="0" w:beforeAutospacing="0" w:after="0" w:afterAutospacing="0" w:line="360" w:lineRule="auto"/>
        <w:ind w:firstLine="422" w:firstLineChars="200"/>
        <w:rPr>
          <w:color w:val="auto"/>
          <w:sz w:val="21"/>
          <w:szCs w:val="21"/>
          <w:highlight w:val="none"/>
        </w:rPr>
      </w:pPr>
      <w:bookmarkStart w:id="1159" w:name="_Toc532377316"/>
      <w:bookmarkStart w:id="1160" w:name="_Toc351203628"/>
      <w:r>
        <w:rPr>
          <w:rFonts w:hint="eastAsia"/>
          <w:color w:val="auto"/>
          <w:sz w:val="21"/>
          <w:szCs w:val="21"/>
          <w:highlight w:val="none"/>
        </w:rPr>
        <w:t>20</w:t>
      </w:r>
      <w:bookmarkStart w:id="1161" w:name="_Toc337558842"/>
      <w:bookmarkStart w:id="1162" w:name="_Toc296346649"/>
      <w:bookmarkStart w:id="1163" w:name="_Toc296503148"/>
      <w:r>
        <w:rPr>
          <w:rFonts w:hint="eastAsia"/>
          <w:color w:val="auto"/>
          <w:sz w:val="21"/>
          <w:szCs w:val="21"/>
          <w:highlight w:val="none"/>
        </w:rPr>
        <w:t>.2调解</w:t>
      </w:r>
      <w:bookmarkEnd w:id="1159"/>
      <w:bookmarkEnd w:id="1160"/>
    </w:p>
    <w:bookmarkEnd w:id="1161"/>
    <w:bookmarkEnd w:id="1162"/>
    <w:bookmarkEnd w:id="1163"/>
    <w:p w14:paraId="2194A28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合同当事人可以就争议请求建设行政主管部门、行业协会或其他第三方进行调解，调解达成协议的，经双方签名并盖章后作为合同补充文件，双方均应遵照执行。</w:t>
      </w:r>
    </w:p>
    <w:p w14:paraId="068AAC80">
      <w:pPr>
        <w:pStyle w:val="7"/>
        <w:spacing w:before="0" w:beforeAutospacing="0" w:after="0" w:afterAutospacing="0" w:line="360" w:lineRule="auto"/>
        <w:ind w:firstLine="422" w:firstLineChars="200"/>
        <w:rPr>
          <w:color w:val="auto"/>
          <w:sz w:val="21"/>
          <w:szCs w:val="21"/>
          <w:highlight w:val="none"/>
        </w:rPr>
      </w:pPr>
      <w:bookmarkStart w:id="1164" w:name="_Toc351203629"/>
      <w:bookmarkStart w:id="1165" w:name="_Toc532377317"/>
      <w:bookmarkStart w:id="1166" w:name="_Toc296346650"/>
      <w:bookmarkStart w:id="1167" w:name="_Toc337558843"/>
      <w:bookmarkStart w:id="1168" w:name="_Toc296503149"/>
      <w:r>
        <w:rPr>
          <w:rFonts w:hint="eastAsia"/>
          <w:color w:val="auto"/>
          <w:sz w:val="21"/>
          <w:szCs w:val="21"/>
          <w:highlight w:val="none"/>
        </w:rPr>
        <w:t>20.3争议评审</w:t>
      </w:r>
      <w:bookmarkEnd w:id="1164"/>
      <w:bookmarkEnd w:id="1165"/>
    </w:p>
    <w:bookmarkEnd w:id="1166"/>
    <w:bookmarkEnd w:id="1167"/>
    <w:bookmarkEnd w:id="1168"/>
    <w:p w14:paraId="3177FF7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合同当事人在专用合同条款中约定采取争议评审方式解决争议以及评审规则，并按下列约定执行： </w:t>
      </w:r>
    </w:p>
    <w:p w14:paraId="5A7E43C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20.3.1 争议评审小组的确定</w:t>
      </w:r>
    </w:p>
    <w:p w14:paraId="1A2E84E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合同当事人可以共同选择一名或三名争议评审员，组成争议评审小组。除专用合同条款另有约定外，合同当事人应当自合同签订后28天内，或者争议发生后14天内，选定争议评审员。</w:t>
      </w:r>
    </w:p>
    <w:p w14:paraId="7097FBE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3EF3020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除专用合同条款另有约定外，评审员报酬由发包人和承包人各承担一半。</w:t>
      </w:r>
    </w:p>
    <w:p w14:paraId="0A9F389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20.3.2 争议评审小组的决定</w:t>
      </w:r>
    </w:p>
    <w:p w14:paraId="5715598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4FA53E9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20.3.3 争议评审小组决定的效力</w:t>
      </w:r>
    </w:p>
    <w:p w14:paraId="7AE1EFE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争议评审小组作出的书面决定经合同当事人签名确认后，对双方具有约束力，双方应遵照执行。</w:t>
      </w:r>
    </w:p>
    <w:p w14:paraId="1864186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任何一方当事人不接受争议评审小组决定或不履行争议评审小组决定的，双方可选择采用其他争议解决方式。</w:t>
      </w:r>
    </w:p>
    <w:p w14:paraId="3CB1C111">
      <w:pPr>
        <w:pStyle w:val="7"/>
        <w:spacing w:before="0" w:beforeAutospacing="0" w:after="0" w:afterAutospacing="0" w:line="360" w:lineRule="auto"/>
        <w:ind w:firstLine="422" w:firstLineChars="200"/>
        <w:rPr>
          <w:color w:val="auto"/>
          <w:sz w:val="21"/>
          <w:szCs w:val="21"/>
          <w:highlight w:val="none"/>
        </w:rPr>
      </w:pPr>
      <w:bookmarkStart w:id="1169" w:name="_Toc532377318"/>
      <w:bookmarkStart w:id="1170" w:name="_Toc351203630"/>
      <w:bookmarkStart w:id="1171" w:name="_Toc296503150"/>
      <w:bookmarkStart w:id="1172" w:name="_Toc337558844"/>
      <w:bookmarkStart w:id="1173" w:name="_Toc296346651"/>
      <w:r>
        <w:rPr>
          <w:rFonts w:hint="eastAsia"/>
          <w:color w:val="auto"/>
          <w:sz w:val="21"/>
          <w:szCs w:val="21"/>
          <w:highlight w:val="none"/>
        </w:rPr>
        <w:t>20.4仲裁或诉讼</w:t>
      </w:r>
      <w:bookmarkEnd w:id="1169"/>
      <w:bookmarkEnd w:id="1170"/>
    </w:p>
    <w:bookmarkEnd w:id="1171"/>
    <w:bookmarkEnd w:id="1172"/>
    <w:bookmarkEnd w:id="1173"/>
    <w:p w14:paraId="22B187D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因合同及合同有关事项产生的争议，合同当事人可以在专用合同条款中约定以下一种方式解决争议：</w:t>
      </w:r>
    </w:p>
    <w:p w14:paraId="780F779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（1）向约定的仲裁委员会申请仲裁；</w:t>
      </w:r>
    </w:p>
    <w:p w14:paraId="208E1D8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（2）向有管辖权的人民法院起诉。</w:t>
      </w:r>
    </w:p>
    <w:p w14:paraId="152FB165">
      <w:pPr>
        <w:pStyle w:val="7"/>
        <w:spacing w:before="0" w:beforeAutospacing="0" w:after="0" w:afterAutospacing="0" w:line="360" w:lineRule="auto"/>
        <w:ind w:firstLine="420" w:firstLineChars="200"/>
        <w:rPr>
          <w:b w:val="0"/>
          <w:color w:val="auto"/>
          <w:sz w:val="21"/>
          <w:szCs w:val="21"/>
          <w:highlight w:val="none"/>
        </w:rPr>
      </w:pPr>
      <w:bookmarkStart w:id="1174" w:name="_Toc532377319"/>
      <w:bookmarkStart w:id="1175" w:name="_Toc351203631"/>
      <w:bookmarkStart w:id="1176" w:name="_Toc337558845"/>
      <w:bookmarkStart w:id="1177" w:name="_Toc296346653"/>
      <w:bookmarkStart w:id="1178" w:name="_Toc296503152"/>
      <w:r>
        <w:rPr>
          <w:rFonts w:hint="eastAsia"/>
          <w:b w:val="0"/>
          <w:color w:val="auto"/>
          <w:sz w:val="21"/>
          <w:szCs w:val="21"/>
          <w:highlight w:val="none"/>
        </w:rPr>
        <w:t>20.5争议解决条款效力</w:t>
      </w:r>
      <w:bookmarkEnd w:id="1174"/>
      <w:bookmarkEnd w:id="1175"/>
    </w:p>
    <w:bookmarkEnd w:id="1176"/>
    <w:bookmarkEnd w:id="1177"/>
    <w:bookmarkEnd w:id="1178"/>
    <w:p w14:paraId="7135951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合同有关争议解决的条款独立存在，合同的变更、解除、终止、无效或者被撤销均不影响其效力。</w:t>
      </w:r>
    </w:p>
    <w:p w14:paraId="11F7B46D">
      <w:pPr>
        <w:keepNext/>
        <w:keepLines/>
        <w:snapToGrid w:val="0"/>
        <w:spacing w:before="260" w:after="260" w:line="360" w:lineRule="auto"/>
        <w:outlineLvl w:val="2"/>
        <w:rPr>
          <w:rFonts w:ascii="宋体" w:hAnsi="宋体"/>
          <w:b/>
          <w:bCs/>
          <w:color w:val="auto"/>
          <w:szCs w:val="21"/>
          <w:highlight w:val="none"/>
          <w:lang w:val="zh-CN"/>
        </w:rPr>
      </w:pPr>
    </w:p>
    <w:p w14:paraId="7B988175">
      <w:pPr>
        <w:pStyle w:val="2"/>
        <w:rPr>
          <w:rFonts w:ascii="宋体" w:hAnsi="宋体"/>
          <w:b/>
          <w:bCs/>
          <w:color w:val="auto"/>
          <w:szCs w:val="21"/>
          <w:highlight w:val="none"/>
          <w:lang w:val="zh-CN"/>
        </w:rPr>
      </w:pPr>
    </w:p>
    <w:p w14:paraId="023FE94A">
      <w:pPr>
        <w:rPr>
          <w:rFonts w:ascii="宋体" w:hAnsi="宋体"/>
          <w:b/>
          <w:bCs/>
          <w:color w:val="auto"/>
          <w:szCs w:val="21"/>
          <w:highlight w:val="none"/>
          <w:lang w:val="zh-CN"/>
        </w:rPr>
      </w:pPr>
    </w:p>
    <w:p w14:paraId="6190EDB5">
      <w:pPr>
        <w:rPr>
          <w:rFonts w:ascii="宋体" w:hAnsi="宋体"/>
          <w:b/>
          <w:bCs/>
          <w:color w:val="auto"/>
          <w:szCs w:val="21"/>
          <w:highlight w:val="none"/>
          <w:lang w:val="zh-CN"/>
        </w:rPr>
      </w:pPr>
    </w:p>
    <w:p w14:paraId="6D4F3138">
      <w:pPr>
        <w:rPr>
          <w:rFonts w:ascii="宋体" w:hAnsi="宋体"/>
          <w:b/>
          <w:bCs/>
          <w:color w:val="auto"/>
          <w:szCs w:val="21"/>
          <w:highlight w:val="none"/>
          <w:lang w:val="zh-CN"/>
        </w:rPr>
      </w:pPr>
    </w:p>
    <w:p w14:paraId="1397551E">
      <w:pPr>
        <w:rPr>
          <w:rFonts w:ascii="宋体" w:hAnsi="宋体"/>
          <w:b/>
          <w:bCs/>
          <w:color w:val="auto"/>
          <w:szCs w:val="21"/>
          <w:highlight w:val="none"/>
          <w:lang w:val="zh-CN"/>
        </w:rPr>
      </w:pPr>
    </w:p>
    <w:p w14:paraId="51EA7646">
      <w:pPr>
        <w:rPr>
          <w:rFonts w:ascii="宋体" w:hAnsi="宋体"/>
          <w:b/>
          <w:bCs/>
          <w:color w:val="auto"/>
          <w:szCs w:val="21"/>
          <w:highlight w:val="none"/>
          <w:lang w:val="zh-CN"/>
        </w:rPr>
      </w:pPr>
    </w:p>
    <w:p w14:paraId="445CACEC">
      <w:pPr>
        <w:rPr>
          <w:rFonts w:ascii="宋体" w:hAnsi="宋体"/>
          <w:b/>
          <w:bCs/>
          <w:color w:val="auto"/>
          <w:szCs w:val="21"/>
          <w:highlight w:val="none"/>
          <w:lang w:val="zh-CN"/>
        </w:rPr>
      </w:pPr>
    </w:p>
    <w:p w14:paraId="3BD443B4">
      <w:pPr>
        <w:rPr>
          <w:rFonts w:ascii="宋体" w:hAnsi="宋体"/>
          <w:b/>
          <w:bCs/>
          <w:color w:val="auto"/>
          <w:szCs w:val="21"/>
          <w:highlight w:val="none"/>
          <w:lang w:val="zh-CN"/>
        </w:rPr>
      </w:pPr>
    </w:p>
    <w:p w14:paraId="73B0CEBC">
      <w:pPr>
        <w:rPr>
          <w:rFonts w:ascii="宋体" w:hAnsi="宋体"/>
          <w:b/>
          <w:bCs/>
          <w:color w:val="auto"/>
          <w:szCs w:val="21"/>
          <w:highlight w:val="none"/>
          <w:lang w:val="zh-CN"/>
        </w:rPr>
      </w:pPr>
    </w:p>
    <w:p w14:paraId="172D7A7B">
      <w:pPr>
        <w:rPr>
          <w:rFonts w:ascii="宋体" w:hAnsi="宋体"/>
          <w:b/>
          <w:bCs/>
          <w:color w:val="auto"/>
          <w:szCs w:val="21"/>
          <w:highlight w:val="none"/>
          <w:lang w:val="zh-CN"/>
        </w:rPr>
      </w:pPr>
    </w:p>
    <w:p w14:paraId="7DFFE3FC">
      <w:pPr>
        <w:rPr>
          <w:rFonts w:ascii="宋体" w:hAnsi="宋体"/>
          <w:b/>
          <w:bCs/>
          <w:color w:val="auto"/>
          <w:szCs w:val="21"/>
          <w:highlight w:val="none"/>
          <w:lang w:val="zh-CN"/>
        </w:rPr>
      </w:pPr>
    </w:p>
    <w:p w14:paraId="433109B3">
      <w:pPr>
        <w:rPr>
          <w:rFonts w:ascii="宋体" w:hAnsi="宋体"/>
          <w:b/>
          <w:bCs/>
          <w:color w:val="auto"/>
          <w:szCs w:val="21"/>
          <w:highlight w:val="none"/>
          <w:lang w:val="zh-CN"/>
        </w:rPr>
      </w:pPr>
    </w:p>
    <w:p w14:paraId="2DEC5F57">
      <w:pPr>
        <w:rPr>
          <w:rFonts w:ascii="宋体" w:hAnsi="宋体"/>
          <w:b/>
          <w:bCs/>
          <w:color w:val="auto"/>
          <w:szCs w:val="21"/>
          <w:highlight w:val="none"/>
          <w:lang w:val="zh-CN"/>
        </w:rPr>
      </w:pPr>
    </w:p>
    <w:p w14:paraId="193B9FE8">
      <w:pPr>
        <w:rPr>
          <w:rFonts w:ascii="宋体" w:hAnsi="宋体"/>
          <w:b/>
          <w:bCs/>
          <w:color w:val="auto"/>
          <w:szCs w:val="21"/>
          <w:highlight w:val="none"/>
          <w:lang w:val="zh-CN"/>
        </w:rPr>
      </w:pPr>
    </w:p>
    <w:p w14:paraId="44D617DA">
      <w:pPr>
        <w:rPr>
          <w:rFonts w:ascii="宋体" w:hAnsi="宋体"/>
          <w:b/>
          <w:bCs/>
          <w:color w:val="auto"/>
          <w:szCs w:val="21"/>
          <w:highlight w:val="none"/>
          <w:lang w:val="zh-CN"/>
        </w:rPr>
      </w:pPr>
    </w:p>
    <w:p w14:paraId="4759B631">
      <w:pPr>
        <w:rPr>
          <w:rFonts w:ascii="宋体" w:hAnsi="宋体"/>
          <w:b/>
          <w:bCs/>
          <w:color w:val="auto"/>
          <w:szCs w:val="21"/>
          <w:highlight w:val="none"/>
          <w:lang w:val="zh-CN"/>
        </w:rPr>
      </w:pPr>
    </w:p>
    <w:p w14:paraId="59A3BFC9">
      <w:pPr>
        <w:rPr>
          <w:rFonts w:ascii="宋体" w:hAnsi="宋体"/>
          <w:b/>
          <w:bCs/>
          <w:color w:val="auto"/>
          <w:szCs w:val="21"/>
          <w:highlight w:val="none"/>
          <w:lang w:val="zh-CN"/>
        </w:rPr>
      </w:pPr>
    </w:p>
    <w:p w14:paraId="533599E7">
      <w:pPr>
        <w:rPr>
          <w:rFonts w:ascii="宋体" w:hAnsi="宋体"/>
          <w:b/>
          <w:bCs/>
          <w:color w:val="auto"/>
          <w:szCs w:val="21"/>
          <w:highlight w:val="none"/>
          <w:lang w:val="zh-CN"/>
        </w:rPr>
      </w:pPr>
    </w:p>
    <w:p w14:paraId="61E73FE1">
      <w:pPr>
        <w:rPr>
          <w:rFonts w:ascii="宋体" w:hAnsi="宋体"/>
          <w:b/>
          <w:bCs/>
          <w:color w:val="auto"/>
          <w:szCs w:val="21"/>
          <w:highlight w:val="none"/>
          <w:lang w:val="zh-CN"/>
        </w:rPr>
      </w:pPr>
    </w:p>
    <w:p w14:paraId="12C9906B">
      <w:pPr>
        <w:rPr>
          <w:rFonts w:ascii="宋体" w:hAnsi="宋体"/>
          <w:b/>
          <w:bCs/>
          <w:color w:val="auto"/>
          <w:szCs w:val="21"/>
          <w:highlight w:val="none"/>
          <w:lang w:val="zh-CN"/>
        </w:rPr>
      </w:pPr>
    </w:p>
    <w:p w14:paraId="22A915B6">
      <w:pPr>
        <w:rPr>
          <w:rFonts w:ascii="宋体" w:hAnsi="宋体"/>
          <w:b/>
          <w:bCs/>
          <w:color w:val="auto"/>
          <w:szCs w:val="21"/>
          <w:highlight w:val="none"/>
          <w:lang w:val="zh-CN"/>
        </w:rPr>
      </w:pPr>
    </w:p>
    <w:p w14:paraId="3599438A">
      <w:pPr>
        <w:rPr>
          <w:color w:val="auto"/>
          <w:highlight w:val="none"/>
          <w:lang w:val="zh-CN"/>
        </w:rPr>
      </w:pPr>
    </w:p>
    <w:p w14:paraId="324EC12B">
      <w:pPr>
        <w:pStyle w:val="5"/>
        <w:jc w:val="center"/>
        <w:rPr>
          <w:rFonts w:ascii="宋体" w:hAnsi="宋体"/>
          <w:color w:val="auto"/>
          <w:sz w:val="44"/>
          <w:szCs w:val="44"/>
          <w:highlight w:val="none"/>
        </w:rPr>
      </w:pPr>
      <w:bookmarkStart w:id="1179" w:name="_Toc529388290"/>
      <w:bookmarkStart w:id="1180" w:name="_Toc29227"/>
      <w:bookmarkStart w:id="1181" w:name="_Toc532377320"/>
      <w:bookmarkStart w:id="1182" w:name="_Toc532375607"/>
      <w:r>
        <w:rPr>
          <w:rFonts w:hint="eastAsia" w:ascii="宋体" w:hAnsi="宋体"/>
          <w:color w:val="auto"/>
          <w:sz w:val="44"/>
          <w:szCs w:val="44"/>
          <w:highlight w:val="none"/>
        </w:rPr>
        <w:t>第三部分 专用合同条款</w:t>
      </w:r>
      <w:bookmarkEnd w:id="1179"/>
      <w:bookmarkEnd w:id="1180"/>
      <w:bookmarkEnd w:id="1181"/>
      <w:bookmarkEnd w:id="1182"/>
    </w:p>
    <w:p w14:paraId="40723951">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183" w:name="_Toc532375608"/>
      <w:bookmarkStart w:id="1184" w:name="_Toc532377321"/>
      <w:bookmarkStart w:id="1185" w:name="_Toc351203633"/>
      <w:bookmarkStart w:id="1186" w:name="_Hlk528927191"/>
      <w:r>
        <w:rPr>
          <w:rFonts w:hint="eastAsia"/>
          <w:color w:val="auto"/>
          <w:kern w:val="2"/>
          <w:sz w:val="21"/>
          <w:szCs w:val="21"/>
          <w:highlight w:val="none"/>
        </w:rPr>
        <w:t>1</w:t>
      </w:r>
      <w:bookmarkStart w:id="1187" w:name="_Toc297120456"/>
      <w:bookmarkStart w:id="1188" w:name="_Toc296346657"/>
      <w:bookmarkStart w:id="1189" w:name="_Toc296944495"/>
      <w:bookmarkStart w:id="1190" w:name="_Toc292559361"/>
      <w:bookmarkStart w:id="1191" w:name="_Toc297048342"/>
      <w:bookmarkStart w:id="1192" w:name="_Toc296891196"/>
      <w:bookmarkStart w:id="1193" w:name="_Toc296890984"/>
      <w:bookmarkStart w:id="1194" w:name="_Toc296347155"/>
      <w:bookmarkStart w:id="1195" w:name="_Toc292559866"/>
      <w:bookmarkStart w:id="1196" w:name="_Toc296503156"/>
      <w:r>
        <w:rPr>
          <w:rFonts w:hint="eastAsia"/>
          <w:color w:val="auto"/>
          <w:kern w:val="2"/>
          <w:sz w:val="21"/>
          <w:szCs w:val="21"/>
          <w:highlight w:val="none"/>
        </w:rPr>
        <w:t>. 一般约定</w:t>
      </w:r>
      <w:bookmarkEnd w:id="1183"/>
      <w:bookmarkEnd w:id="1184"/>
      <w:bookmarkEnd w:id="1185"/>
    </w:p>
    <w:bookmarkEnd w:id="1187"/>
    <w:bookmarkEnd w:id="1188"/>
    <w:bookmarkEnd w:id="1189"/>
    <w:bookmarkEnd w:id="1190"/>
    <w:bookmarkEnd w:id="1191"/>
    <w:bookmarkEnd w:id="1192"/>
    <w:bookmarkEnd w:id="1193"/>
    <w:bookmarkEnd w:id="1194"/>
    <w:bookmarkEnd w:id="1195"/>
    <w:bookmarkEnd w:id="1196"/>
    <w:p w14:paraId="3CEE4C3A">
      <w:pPr>
        <w:pStyle w:val="7"/>
        <w:spacing w:before="0" w:beforeAutospacing="0" w:after="0" w:afterAutospacing="0" w:line="360" w:lineRule="auto"/>
        <w:ind w:firstLine="422" w:firstLineChars="200"/>
        <w:rPr>
          <w:color w:val="auto"/>
          <w:sz w:val="21"/>
          <w:szCs w:val="21"/>
          <w:highlight w:val="none"/>
        </w:rPr>
      </w:pPr>
      <w:bookmarkStart w:id="1197" w:name="_Toc532377322"/>
      <w:r>
        <w:rPr>
          <w:rFonts w:hint="eastAsia"/>
          <w:color w:val="auto"/>
          <w:sz w:val="21"/>
          <w:szCs w:val="21"/>
          <w:highlight w:val="none"/>
        </w:rPr>
        <w:t>1.1词语定义与解释</w:t>
      </w:r>
      <w:bookmarkEnd w:id="1197"/>
    </w:p>
    <w:p w14:paraId="03693B3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 合同</w:t>
      </w:r>
    </w:p>
    <w:p w14:paraId="07A7F19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1.1.1.6技术标准和要求：</w:t>
      </w:r>
      <w:r>
        <w:rPr>
          <w:rFonts w:hint="eastAsia" w:ascii="宋体" w:hAnsi="宋体"/>
          <w:color w:val="auto"/>
          <w:kern w:val="0"/>
          <w:szCs w:val="21"/>
          <w:highlight w:val="none"/>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color w:val="auto"/>
          <w:kern w:val="0"/>
          <w:szCs w:val="21"/>
          <w:highlight w:val="none"/>
        </w:rPr>
        <w:t>。</w:t>
      </w:r>
    </w:p>
    <w:p w14:paraId="0F6CCC8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1.1.1.8 已标价工程量清单：</w:t>
      </w:r>
      <w:r>
        <w:rPr>
          <w:rFonts w:hint="eastAsia" w:ascii="宋体" w:hAnsi="宋体"/>
          <w:color w:val="auto"/>
          <w:kern w:val="0"/>
          <w:szCs w:val="21"/>
          <w:highlight w:val="none"/>
          <w:u w:val="single"/>
        </w:rPr>
        <w:t>指构成合同的由承包人按照发包人规定的格式和要求填写并标明价格、经算术性错误修订及其他错误修订（如有）且承包人已确认的工程量清单</w:t>
      </w:r>
      <w:r>
        <w:rPr>
          <w:rFonts w:hint="eastAsia" w:ascii="宋体" w:hAnsi="宋体"/>
          <w:color w:val="auto"/>
          <w:kern w:val="0"/>
          <w:szCs w:val="21"/>
          <w:highlight w:val="none"/>
        </w:rPr>
        <w:t>。</w:t>
      </w:r>
    </w:p>
    <w:p w14:paraId="4C14D887">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1.1.1.10 其他合同文件包括：</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第六条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rPr>
        <w:t>。</w:t>
      </w:r>
    </w:p>
    <w:p w14:paraId="6EF1630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本项补充1.1.1.11～1.1.1.16目：</w:t>
      </w:r>
    </w:p>
    <w:p w14:paraId="6A64349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1.1.1.11 招标文件：</w:t>
      </w:r>
      <w:r>
        <w:rPr>
          <w:rFonts w:hint="eastAsia" w:ascii="宋体" w:hAnsi="宋体"/>
          <w:color w:val="auto"/>
          <w:kern w:val="0"/>
          <w:szCs w:val="21"/>
          <w:highlight w:val="none"/>
          <w:u w:val="single"/>
        </w:rPr>
        <w:t>指本工程的招标文件、图纸、其他技术资料及招标人发出的对招标文件所作的澄清、修改等资料</w:t>
      </w:r>
      <w:r>
        <w:rPr>
          <w:rFonts w:hint="eastAsia" w:ascii="宋体" w:hAnsi="宋体"/>
          <w:color w:val="auto"/>
          <w:kern w:val="0"/>
          <w:szCs w:val="21"/>
          <w:highlight w:val="none"/>
        </w:rPr>
        <w:t>。</w:t>
      </w:r>
    </w:p>
    <w:p w14:paraId="7F2A1D4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1.1.1.12 工作：</w:t>
      </w:r>
      <w:r>
        <w:rPr>
          <w:rFonts w:hint="eastAsia" w:ascii="宋体" w:hAnsi="宋体"/>
          <w:color w:val="auto"/>
          <w:kern w:val="0"/>
          <w:szCs w:val="21"/>
          <w:highlight w:val="none"/>
          <w:u w:val="single"/>
        </w:rPr>
        <w:t>指根据合同条款规定，或根据合同合理推及的，为本工程（包括永久工程和临时工程）施工与维护所需要的管理、劳务、材料、施工设备和其他物品的提供</w:t>
      </w:r>
      <w:r>
        <w:rPr>
          <w:rFonts w:hint="eastAsia" w:ascii="宋体" w:hAnsi="宋体"/>
          <w:color w:val="auto"/>
          <w:kern w:val="0"/>
          <w:szCs w:val="21"/>
          <w:highlight w:val="none"/>
        </w:rPr>
        <w:t>。</w:t>
      </w:r>
    </w:p>
    <w:p w14:paraId="70F31AC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1.1.1.13 重大设计变更：按照规定需要重新报建设行政主管部门批准的设计变更。</w:t>
      </w:r>
    </w:p>
    <w:p w14:paraId="658199DA">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1.1.1.</w:t>
      </w:r>
      <w:r>
        <w:rPr>
          <w:rFonts w:hint="eastAsia" w:ascii="宋体" w:hAnsi="宋体"/>
          <w:color w:val="auto"/>
          <w:szCs w:val="21"/>
          <w:highlight w:val="none"/>
        </w:rPr>
        <w:t>14 公章：专指法定单位名称章</w:t>
      </w:r>
      <w:r>
        <w:rPr>
          <w:rFonts w:ascii="宋体" w:hAnsi="宋体"/>
          <w:color w:val="auto"/>
          <w:szCs w:val="21"/>
          <w:highlight w:val="none"/>
        </w:rPr>
        <w:t>。</w:t>
      </w:r>
    </w:p>
    <w:bookmarkEnd w:id="1186"/>
    <w:p w14:paraId="6D7CFC0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1.1.1.15 到岗：指承包人按照到岗履职承诺安排满足办理施工许可手续相关要求的项目主要管理人员实际到施工现场就职履约的行为。</w:t>
      </w:r>
    </w:p>
    <w:p w14:paraId="35F5FC0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1.1.1.16 项目法人：指具有民事权利能力和民事行为能力，依法独立享有民事权利和承担民事义务，以建设项目为目的，从事项目管理的机构、单位或组织。</w:t>
      </w:r>
    </w:p>
    <w:p w14:paraId="50F7271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 合同当事人及其他相关方</w:t>
      </w:r>
    </w:p>
    <w:p w14:paraId="53CCEA2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1.1.2.4 监理人：</w:t>
      </w:r>
    </w:p>
    <w:p w14:paraId="22A43F5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ascii="宋体" w:hAnsi="宋体"/>
          <w:color w:val="auto"/>
          <w:szCs w:val="21"/>
          <w:highlight w:val="none"/>
          <w:u w:val="single"/>
        </w:rPr>
        <w:t xml:space="preserve">    </w:t>
      </w:r>
      <w:r>
        <w:rPr>
          <w:rFonts w:hint="eastAsia" w:ascii="宋体" w:hAnsi="宋体"/>
          <w:color w:val="auto"/>
          <w:szCs w:val="21"/>
          <w:highlight w:val="none"/>
        </w:rPr>
        <w:t>；</w:t>
      </w:r>
    </w:p>
    <w:p w14:paraId="23783E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rPr>
        <w:t>；</w:t>
      </w:r>
    </w:p>
    <w:p w14:paraId="14CA7C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w:t>
      </w:r>
      <w:r>
        <w:rPr>
          <w:rFonts w:hint="eastAsia" w:ascii="宋体" w:hAnsi="宋体"/>
          <w:color w:val="auto"/>
          <w:szCs w:val="21"/>
          <w:highlight w:val="none"/>
        </w:rPr>
        <w:t>。</w:t>
      </w:r>
    </w:p>
    <w:p w14:paraId="1737AD0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1.1.2.5 设计人：</w:t>
      </w:r>
    </w:p>
    <w:p w14:paraId="55A2EE5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ascii="宋体" w:hAnsi="宋体"/>
          <w:color w:val="auto"/>
          <w:szCs w:val="21"/>
          <w:highlight w:val="none"/>
          <w:u w:val="single"/>
        </w:rPr>
        <w:t xml:space="preserve">    </w:t>
      </w:r>
      <w:r>
        <w:rPr>
          <w:rFonts w:hint="eastAsia" w:ascii="宋体" w:hAnsi="宋体"/>
          <w:color w:val="auto"/>
          <w:szCs w:val="21"/>
          <w:highlight w:val="none"/>
        </w:rPr>
        <w:t>；</w:t>
      </w:r>
    </w:p>
    <w:p w14:paraId="338D954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rPr>
        <w:t>；</w:t>
      </w:r>
    </w:p>
    <w:p w14:paraId="36DDBC1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w:t>
      </w:r>
      <w:r>
        <w:rPr>
          <w:rFonts w:hint="eastAsia" w:ascii="宋体" w:hAnsi="宋体"/>
          <w:color w:val="auto"/>
          <w:szCs w:val="21"/>
          <w:highlight w:val="none"/>
        </w:rPr>
        <w:t>。</w:t>
      </w:r>
    </w:p>
    <w:p w14:paraId="1BF7814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 工程和设备</w:t>
      </w:r>
    </w:p>
    <w:p w14:paraId="122D44E3">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1.1.3.7 作为施工现场组成部分的其他场所包括：</w:t>
      </w:r>
      <w:r>
        <w:rPr>
          <w:rFonts w:hint="eastAsia" w:ascii="宋体" w:hAnsi="宋体"/>
          <w:color w:val="auto"/>
          <w:kern w:val="0"/>
          <w:szCs w:val="21"/>
          <w:highlight w:val="none"/>
          <w:u w:val="single"/>
        </w:rPr>
        <w:t>永久占地、临时占地以及为修建临时工程而租用、占用的土地</w:t>
      </w:r>
      <w:r>
        <w:rPr>
          <w:rFonts w:hint="eastAsia" w:ascii="宋体" w:hAnsi="宋体"/>
          <w:color w:val="auto"/>
          <w:szCs w:val="21"/>
          <w:highlight w:val="none"/>
        </w:rPr>
        <w:t>。</w:t>
      </w:r>
    </w:p>
    <w:p w14:paraId="3D1AF14B">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1.1.3.9 永久占地包括：</w:t>
      </w:r>
      <w:r>
        <w:rPr>
          <w:rFonts w:hint="eastAsia" w:ascii="宋体" w:hAnsi="宋体"/>
          <w:color w:val="auto"/>
          <w:kern w:val="0"/>
          <w:szCs w:val="21"/>
          <w:highlight w:val="none"/>
          <w:u w:val="single"/>
        </w:rPr>
        <w:t>为实施合同工程而需要的一切永久占用的土地，即合同工程</w:t>
      </w:r>
      <w:r>
        <w:rPr>
          <w:rFonts w:hint="eastAsia" w:ascii="宋体" w:hAnsi="宋体"/>
          <w:color w:val="auto"/>
          <w:szCs w:val="21"/>
          <w:highlight w:val="none"/>
          <w:u w:val="single"/>
        </w:rPr>
        <w:t>用地红线范围内的土地</w:t>
      </w:r>
      <w:r>
        <w:rPr>
          <w:rFonts w:hint="eastAsia" w:ascii="宋体" w:hAnsi="宋体"/>
          <w:color w:val="auto"/>
          <w:szCs w:val="21"/>
          <w:highlight w:val="none"/>
        </w:rPr>
        <w:t>。</w:t>
      </w:r>
    </w:p>
    <w:p w14:paraId="338F487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1.1.3.10 临时占地包括：</w:t>
      </w:r>
      <w:r>
        <w:rPr>
          <w:rFonts w:hint="eastAsia" w:ascii="宋体" w:hAnsi="宋体"/>
          <w:color w:val="auto"/>
          <w:szCs w:val="21"/>
          <w:highlight w:val="none"/>
          <w:u w:val="single"/>
        </w:rPr>
        <w:t>为实施合同工程而需要</w:t>
      </w:r>
      <w:r>
        <w:rPr>
          <w:rFonts w:hint="eastAsia" w:ascii="宋体" w:hAnsi="宋体"/>
          <w:color w:val="auto"/>
          <w:kern w:val="0"/>
          <w:szCs w:val="21"/>
          <w:highlight w:val="none"/>
          <w:u w:val="single"/>
        </w:rPr>
        <w:t>的一切</w:t>
      </w:r>
      <w:r>
        <w:rPr>
          <w:rFonts w:hint="eastAsia" w:ascii="宋体" w:hAnsi="宋体"/>
          <w:color w:val="auto"/>
          <w:szCs w:val="21"/>
          <w:highlight w:val="none"/>
          <w:u w:val="single"/>
        </w:rPr>
        <w:t>临时占用的土地，包括施工所用的临时便道等的临时出入道，以及生产（办公）、生活等临时设施用地</w:t>
      </w:r>
      <w:r>
        <w:rPr>
          <w:rFonts w:hint="eastAsia" w:ascii="宋体" w:hAnsi="宋体"/>
          <w:color w:val="auto"/>
          <w:szCs w:val="21"/>
          <w:highlight w:val="none"/>
        </w:rPr>
        <w:t>。</w:t>
      </w:r>
    </w:p>
    <w:p w14:paraId="1DF3F58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 其他</w:t>
      </w:r>
    </w:p>
    <w:p w14:paraId="4BCCFEA2">
      <w:pPr>
        <w:spacing w:line="360" w:lineRule="auto"/>
        <w:ind w:firstLine="420" w:firstLineChars="200"/>
        <w:jc w:val="left"/>
        <w:rPr>
          <w:rFonts w:ascii="宋体" w:hAnsi="宋体"/>
          <w:color w:val="auto"/>
          <w:szCs w:val="21"/>
          <w:highlight w:val="none"/>
        </w:rPr>
      </w:pPr>
      <w:bookmarkStart w:id="1198" w:name="_Hlk528927262"/>
      <w:r>
        <w:rPr>
          <w:rFonts w:hint="eastAsia" w:ascii="宋体" w:hAnsi="宋体"/>
          <w:color w:val="auto"/>
          <w:szCs w:val="21"/>
          <w:highlight w:val="none"/>
        </w:rPr>
        <w:t>本项补充1.1.6.2～1.1.6.3目：</w:t>
      </w:r>
    </w:p>
    <w:p w14:paraId="304ED32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1.1.6.2 转包、违法分包及挂靠：指符合《住房和城乡建设部关于印发建筑工程施工发包与承包违法行为认定查处管理办法的通知》（建市规〔2019〕1号）规定认定条件的</w:t>
      </w:r>
      <w:r>
        <w:rPr>
          <w:rFonts w:hint="eastAsia" w:ascii="宋体" w:hAnsi="宋体"/>
          <w:color w:val="auto"/>
          <w:kern w:val="0"/>
          <w:szCs w:val="21"/>
          <w:highlight w:val="none"/>
        </w:rPr>
        <w:t>违法行为</w:t>
      </w:r>
      <w:r>
        <w:rPr>
          <w:rFonts w:hint="eastAsia" w:ascii="宋体" w:hAnsi="宋体"/>
          <w:color w:val="auto"/>
          <w:szCs w:val="21"/>
          <w:highlight w:val="none"/>
        </w:rPr>
        <w:t>。</w:t>
      </w:r>
    </w:p>
    <w:bookmarkEnd w:id="1198"/>
    <w:p w14:paraId="3A637F3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14:paraId="6140CFE4">
      <w:pPr>
        <w:pStyle w:val="7"/>
        <w:spacing w:before="0" w:beforeAutospacing="0" w:after="0" w:afterAutospacing="0" w:line="360" w:lineRule="auto"/>
        <w:ind w:firstLine="422" w:firstLineChars="200"/>
        <w:rPr>
          <w:color w:val="auto"/>
          <w:sz w:val="21"/>
          <w:szCs w:val="21"/>
          <w:highlight w:val="none"/>
        </w:rPr>
      </w:pPr>
      <w:bookmarkStart w:id="1199" w:name="_Toc532377323"/>
      <w:r>
        <w:rPr>
          <w:rFonts w:hint="eastAsia"/>
          <w:color w:val="auto"/>
          <w:sz w:val="21"/>
          <w:szCs w:val="21"/>
          <w:highlight w:val="none"/>
        </w:rPr>
        <w:t>1.4 标准和规范</w:t>
      </w:r>
      <w:bookmarkEnd w:id="1199"/>
    </w:p>
    <w:p w14:paraId="29B4240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1.4.1 适用于工程的标准规范包括：</w:t>
      </w:r>
    </w:p>
    <w:p w14:paraId="051DBA9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（1）施工图所涉及的技术标准、规范、规程、图集等；</w:t>
      </w:r>
    </w:p>
    <w:p w14:paraId="31F50945">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（2）国家、行业或重庆市与本工程有关的标准，以及相应的规范、规程等，当这些标准、规范、规程不一致时，以标准、规范、规程要求最高的为准。</w:t>
      </w:r>
    </w:p>
    <w:p w14:paraId="0D21F9FF">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A17A27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1.4.2 发包人提供国外标准、规范的名称：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14:paraId="4C9524A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发包人提供国外标准、规范的份数：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14:paraId="4330671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发包人提供国外标准、规范的名称：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14:paraId="479C5F0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1.4.3 发包人对工程的技术标准和功能要求的特殊要求：</w:t>
      </w:r>
      <w:r>
        <w:rPr>
          <w:rFonts w:hint="eastAsia" w:ascii="宋体" w:hAnsi="宋体"/>
          <w:color w:val="auto"/>
          <w:kern w:val="0"/>
          <w:szCs w:val="21"/>
          <w:highlight w:val="none"/>
          <w:u w:val="single"/>
        </w:rPr>
        <w:t xml:space="preserve">/ </w:t>
      </w:r>
      <w:r>
        <w:rPr>
          <w:rFonts w:hint="eastAsia" w:ascii="宋体" w:hAnsi="宋体"/>
          <w:color w:val="auto"/>
          <w:szCs w:val="21"/>
          <w:highlight w:val="none"/>
        </w:rPr>
        <w:t>。</w:t>
      </w:r>
    </w:p>
    <w:p w14:paraId="16585F84">
      <w:pPr>
        <w:pStyle w:val="7"/>
        <w:spacing w:before="0" w:beforeAutospacing="0" w:after="0" w:afterAutospacing="0" w:line="360" w:lineRule="auto"/>
        <w:ind w:firstLine="422" w:firstLineChars="200"/>
        <w:rPr>
          <w:color w:val="auto"/>
          <w:sz w:val="21"/>
          <w:szCs w:val="21"/>
          <w:highlight w:val="none"/>
        </w:rPr>
      </w:pPr>
      <w:bookmarkStart w:id="1200" w:name="_Toc532377324"/>
      <w:r>
        <w:rPr>
          <w:rFonts w:hint="eastAsia"/>
          <w:color w:val="auto"/>
          <w:sz w:val="21"/>
          <w:szCs w:val="21"/>
          <w:highlight w:val="none"/>
        </w:rPr>
        <w:t>1.5 合同文件的优先顺序</w:t>
      </w:r>
      <w:bookmarkEnd w:id="1200"/>
    </w:p>
    <w:p w14:paraId="0FF0ABB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合同文件组成及优先顺序为：</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第六条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rPr>
        <w:t>。</w:t>
      </w:r>
    </w:p>
    <w:p w14:paraId="2AC3A108">
      <w:pPr>
        <w:pStyle w:val="7"/>
        <w:spacing w:before="0" w:beforeAutospacing="0" w:after="0" w:afterAutospacing="0" w:line="360" w:lineRule="auto"/>
        <w:ind w:firstLine="422" w:firstLineChars="200"/>
        <w:rPr>
          <w:color w:val="auto"/>
          <w:sz w:val="21"/>
          <w:szCs w:val="21"/>
          <w:highlight w:val="none"/>
        </w:rPr>
      </w:pPr>
      <w:bookmarkStart w:id="1201" w:name="_Toc532377325"/>
      <w:r>
        <w:rPr>
          <w:rFonts w:hint="eastAsia"/>
          <w:color w:val="auto"/>
          <w:sz w:val="21"/>
          <w:szCs w:val="21"/>
          <w:highlight w:val="none"/>
        </w:rPr>
        <w:t>1.6 图纸和承包人文件</w:t>
      </w:r>
      <w:bookmarkEnd w:id="1201"/>
    </w:p>
    <w:p w14:paraId="355B9B6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 图纸的提供和交底</w:t>
      </w:r>
    </w:p>
    <w:p w14:paraId="1C494E1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发包人向承包人提供图纸的期限：</w:t>
      </w:r>
      <w:r>
        <w:rPr>
          <w:rFonts w:hint="eastAsia" w:ascii="宋体" w:hAnsi="宋体"/>
          <w:color w:val="auto"/>
          <w:szCs w:val="21"/>
          <w:highlight w:val="none"/>
          <w:u w:val="single"/>
        </w:rPr>
        <w:t>通用合同条款第7.3.2款</w:t>
      </w:r>
      <w:r>
        <w:rPr>
          <w:rFonts w:hint="eastAsia" w:ascii="宋体" w:hAnsi="宋体"/>
          <w:bCs/>
          <w:color w:val="auto"/>
          <w:szCs w:val="21"/>
          <w:highlight w:val="none"/>
          <w:u w:val="single"/>
        </w:rPr>
        <w:t>〔</w:t>
      </w:r>
      <w:r>
        <w:rPr>
          <w:rFonts w:hint="eastAsia" w:ascii="宋体" w:hAnsi="宋体"/>
          <w:color w:val="auto"/>
          <w:szCs w:val="21"/>
          <w:highlight w:val="none"/>
          <w:u w:val="single"/>
        </w:rPr>
        <w:t>开工通知</w:t>
      </w:r>
      <w:r>
        <w:rPr>
          <w:rFonts w:hint="eastAsia" w:ascii="宋体" w:hAnsi="宋体"/>
          <w:bCs/>
          <w:color w:val="auto"/>
          <w:szCs w:val="21"/>
          <w:highlight w:val="none"/>
          <w:u w:val="single"/>
        </w:rPr>
        <w:t>〕</w:t>
      </w:r>
      <w:r>
        <w:rPr>
          <w:rFonts w:hint="eastAsia" w:ascii="宋体" w:hAnsi="宋体"/>
          <w:color w:val="auto"/>
          <w:szCs w:val="21"/>
          <w:highlight w:val="none"/>
          <w:u w:val="single"/>
        </w:rPr>
        <w:t>载明的开工日期前14天</w:t>
      </w:r>
      <w:r>
        <w:rPr>
          <w:rFonts w:hint="eastAsia" w:ascii="宋体" w:hAnsi="宋体"/>
          <w:color w:val="auto"/>
          <w:szCs w:val="21"/>
          <w:highlight w:val="none"/>
        </w:rPr>
        <w:t>；</w:t>
      </w:r>
    </w:p>
    <w:p w14:paraId="2FD11CF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发包人向承包人提供图纸的数量：</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rPr>
        <w:t xml:space="preserve"> 套</w:t>
      </w:r>
      <w:r>
        <w:rPr>
          <w:rFonts w:hint="eastAsia" w:ascii="宋体" w:hAnsi="宋体"/>
          <w:color w:val="auto"/>
          <w:szCs w:val="21"/>
          <w:highlight w:val="none"/>
        </w:rPr>
        <w:t xml:space="preserve">； </w:t>
      </w:r>
    </w:p>
    <w:p w14:paraId="599AA59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发包人向承包人提供图纸的内容：</w:t>
      </w:r>
      <w:r>
        <w:rPr>
          <w:rFonts w:hint="eastAsia" w:ascii="宋体" w:hAnsi="宋体"/>
          <w:color w:val="auto"/>
          <w:szCs w:val="21"/>
          <w:highlight w:val="none"/>
          <w:u w:val="single"/>
        </w:rPr>
        <w:t>工程承包范围内工程的施工图设计文件</w:t>
      </w:r>
      <w:r>
        <w:rPr>
          <w:rFonts w:hint="eastAsia" w:ascii="宋体" w:hAnsi="宋体"/>
          <w:color w:val="auto"/>
          <w:szCs w:val="21"/>
          <w:highlight w:val="none"/>
        </w:rPr>
        <w:t>；</w:t>
      </w:r>
    </w:p>
    <w:p w14:paraId="3A98C740">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发包人组织承包人、监理人和设计人进行图纸会审和设计交底的时间：</w:t>
      </w:r>
      <w:r>
        <w:rPr>
          <w:rFonts w:hint="eastAsia" w:ascii="宋体" w:hAnsi="宋体"/>
          <w:color w:val="auto"/>
          <w:szCs w:val="21"/>
          <w:highlight w:val="none"/>
          <w:u w:val="single"/>
        </w:rPr>
        <w:t>提供施工图后7天内</w:t>
      </w:r>
      <w:r>
        <w:rPr>
          <w:rFonts w:hint="eastAsia" w:ascii="宋体" w:hAnsi="宋体"/>
          <w:color w:val="auto"/>
          <w:szCs w:val="21"/>
          <w:highlight w:val="none"/>
        </w:rPr>
        <w:t>。</w:t>
      </w:r>
    </w:p>
    <w:p w14:paraId="59D991CF">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承包人可以书面方式通过监理人向发包人申请进行紧急的设计交底，发包人认为确有必要且条件许可时，应尽快组织实施承包人申请的设计交底。</w:t>
      </w:r>
    </w:p>
    <w:p w14:paraId="254D6BE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1.6.2 图纸的错误</w:t>
      </w:r>
    </w:p>
    <w:p w14:paraId="3CF4B91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03138357">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承包人不得利用图纸的差错、遗漏或缺陷，从中获得不正当的利益。</w:t>
      </w:r>
    </w:p>
    <w:p w14:paraId="1F1E2CD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1.6.4 承包人文件</w:t>
      </w:r>
    </w:p>
    <w:p w14:paraId="22852C9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需要由承包人提供的书面文件，包括：</w:t>
      </w:r>
      <w:r>
        <w:rPr>
          <w:rFonts w:hint="eastAsia" w:ascii="宋体" w:hAnsi="宋体"/>
          <w:color w:val="auto"/>
          <w:szCs w:val="21"/>
          <w:highlight w:val="none"/>
          <w:u w:val="single"/>
        </w:rPr>
        <w:t>施工组织设计、专项施工方案、</w:t>
      </w:r>
      <w:r>
        <w:rPr>
          <w:rFonts w:ascii="宋体" w:hAnsi="宋体"/>
          <w:color w:val="auto"/>
          <w:szCs w:val="21"/>
          <w:highlight w:val="none"/>
          <w:u w:val="single"/>
        </w:rPr>
        <w:t>危险性较大分部分项工程施工方案</w:t>
      </w:r>
      <w:r>
        <w:rPr>
          <w:rFonts w:hint="eastAsia" w:ascii="宋体" w:hAnsi="宋体"/>
          <w:color w:val="auto"/>
          <w:szCs w:val="21"/>
          <w:highlight w:val="none"/>
          <w:u w:val="single"/>
        </w:rPr>
        <w:t>（如有）、安全应急方案、进度计划、报表及计划、竣工资料及施工过程中因工程变更需要报送的施工方案、施工过程中涉及工程价款变更的相关资料、完整的竣工结算资料等</w:t>
      </w:r>
      <w:r>
        <w:rPr>
          <w:rFonts w:hint="eastAsia" w:ascii="宋体" w:hAnsi="宋体"/>
          <w:color w:val="auto"/>
          <w:szCs w:val="21"/>
          <w:highlight w:val="none"/>
        </w:rPr>
        <w:t>。</w:t>
      </w:r>
    </w:p>
    <w:p w14:paraId="24765C9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承包人提供文件的期限、数量：</w:t>
      </w:r>
    </w:p>
    <w:p w14:paraId="0C498A14">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w:t>
      </w:r>
      <w:r>
        <w:rPr>
          <w:rFonts w:hint="eastAsia" w:ascii="宋体" w:hAnsi="宋体"/>
          <w:color w:val="auto"/>
          <w:szCs w:val="21"/>
          <w:highlight w:val="none"/>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color w:val="auto"/>
          <w:szCs w:val="21"/>
          <w:highlight w:val="none"/>
        </w:rPr>
        <w:t>。</w:t>
      </w:r>
    </w:p>
    <w:p w14:paraId="20BBB46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每月</w:t>
      </w:r>
      <w:r>
        <w:rPr>
          <w:rFonts w:hint="eastAsia" w:ascii="宋体" w:hAnsi="宋体"/>
          <w:color w:val="auto"/>
          <w:szCs w:val="21"/>
          <w:highlight w:val="none"/>
          <w:u w:val="single"/>
          <w:lang w:val="en-US" w:eastAsia="zh-CN"/>
        </w:rPr>
        <w:t>25</w:t>
      </w:r>
      <w:r>
        <w:rPr>
          <w:rFonts w:hint="eastAsia" w:ascii="宋体" w:hAnsi="宋体"/>
          <w:color w:val="auto"/>
          <w:szCs w:val="21"/>
          <w:highlight w:val="none"/>
          <w:u w:val="single"/>
        </w:rPr>
        <w:t>日前报送月工程进度完成报表</w:t>
      </w:r>
      <w:r>
        <w:rPr>
          <w:rFonts w:hint="eastAsia" w:ascii="宋体" w:hAnsi="宋体"/>
          <w:color w:val="auto"/>
          <w:szCs w:val="21"/>
          <w:highlight w:val="none"/>
        </w:rPr>
        <w:t>。</w:t>
      </w:r>
    </w:p>
    <w:p w14:paraId="4FC8A887">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（3）合同另有约定的，按照其约定。</w:t>
      </w:r>
    </w:p>
    <w:p w14:paraId="24600C38">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承包人提供的文件的形式：□采用电子招标的，投标文件以电子文档为准，其他文件以书面文件为准；□采用纸质招标的，当书面文件与电子文档不一致的，以书面文件为准。监理人审批承包人文件的期限：</w:t>
      </w:r>
      <w:r>
        <w:rPr>
          <w:rFonts w:hint="eastAsia" w:ascii="宋体" w:hAnsi="宋体"/>
          <w:color w:val="auto"/>
          <w:szCs w:val="21"/>
          <w:highlight w:val="none"/>
          <w:u w:val="single"/>
        </w:rPr>
        <w:t>收到施工组织设计和工程总体进度计划及当年年度施工进度计划后7天内；合同另有约定的，从其约定</w:t>
      </w:r>
      <w:r>
        <w:rPr>
          <w:rFonts w:hint="eastAsia" w:ascii="宋体" w:hAnsi="宋体"/>
          <w:color w:val="auto"/>
          <w:szCs w:val="21"/>
          <w:highlight w:val="none"/>
        </w:rPr>
        <w:t>。</w:t>
      </w:r>
    </w:p>
    <w:p w14:paraId="0CC64A1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承包人提供的文件的费用：</w:t>
      </w:r>
      <w:r>
        <w:rPr>
          <w:rFonts w:hint="eastAsia" w:ascii="宋体" w:hAnsi="宋体"/>
          <w:color w:val="auto"/>
          <w:szCs w:val="21"/>
          <w:highlight w:val="none"/>
          <w:u w:val="single"/>
        </w:rPr>
        <w:t>由承包人承担</w:t>
      </w:r>
      <w:r>
        <w:rPr>
          <w:rFonts w:hint="eastAsia" w:ascii="宋体" w:hAnsi="宋体"/>
          <w:color w:val="auto"/>
          <w:szCs w:val="21"/>
          <w:highlight w:val="none"/>
        </w:rPr>
        <w:t>。</w:t>
      </w:r>
    </w:p>
    <w:p w14:paraId="57998FF9">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发包人审批承包人文件的期限：</w:t>
      </w:r>
      <w:r>
        <w:rPr>
          <w:rFonts w:hint="eastAsia" w:ascii="宋体" w:hAnsi="宋体"/>
          <w:color w:val="auto"/>
          <w:szCs w:val="21"/>
          <w:highlight w:val="none"/>
          <w:u w:val="single"/>
        </w:rPr>
        <w:t>收到后14天内；合同另有约定的，从其约定</w:t>
      </w:r>
      <w:r>
        <w:rPr>
          <w:rFonts w:hint="eastAsia" w:ascii="宋体" w:hAnsi="宋体"/>
          <w:color w:val="auto"/>
          <w:szCs w:val="21"/>
          <w:highlight w:val="none"/>
        </w:rPr>
        <w:t>。</w:t>
      </w:r>
    </w:p>
    <w:p w14:paraId="7E7C330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监理人、发包人的修改意见和审批，不免除或减轻承包人对该工作、工程、材料、工程设备等应承担的责任和义务</w:t>
      </w:r>
      <w:r>
        <w:rPr>
          <w:rFonts w:hint="eastAsia" w:ascii="宋体" w:hAnsi="宋体"/>
          <w:color w:val="auto"/>
          <w:szCs w:val="21"/>
          <w:highlight w:val="none"/>
        </w:rPr>
        <w:t>。</w:t>
      </w:r>
    </w:p>
    <w:p w14:paraId="301005DB">
      <w:pPr>
        <w:pStyle w:val="7"/>
        <w:spacing w:before="0" w:beforeAutospacing="0" w:after="0" w:afterAutospacing="0" w:line="360" w:lineRule="auto"/>
        <w:ind w:firstLine="422" w:firstLineChars="200"/>
        <w:rPr>
          <w:color w:val="auto"/>
          <w:sz w:val="21"/>
          <w:szCs w:val="21"/>
          <w:highlight w:val="none"/>
        </w:rPr>
      </w:pPr>
      <w:bookmarkStart w:id="1202" w:name="_Toc532377326"/>
      <w:r>
        <w:rPr>
          <w:rFonts w:hint="eastAsia"/>
          <w:color w:val="auto"/>
          <w:sz w:val="21"/>
          <w:szCs w:val="21"/>
          <w:highlight w:val="none"/>
        </w:rPr>
        <w:t>1.7 联络</w:t>
      </w:r>
      <w:bookmarkEnd w:id="1202"/>
    </w:p>
    <w:p w14:paraId="3527BB8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1.7.1 发包人和承包人应当在</w:t>
      </w:r>
      <w:r>
        <w:rPr>
          <w:rFonts w:hint="eastAsia" w:ascii="宋体" w:hAnsi="宋体"/>
          <w:color w:val="auto"/>
          <w:szCs w:val="21"/>
          <w:highlight w:val="none"/>
          <w:u w:val="single"/>
        </w:rPr>
        <w:t xml:space="preserve"> 1 </w:t>
      </w:r>
      <w:r>
        <w:rPr>
          <w:rFonts w:hint="eastAsia" w:ascii="宋体" w:hAnsi="宋体"/>
          <w:color w:val="auto"/>
          <w:kern w:val="0"/>
          <w:szCs w:val="21"/>
          <w:highlight w:val="none"/>
        </w:rPr>
        <w:t>天内将与合同有关的通知、批准、证明、证书、指示、指令、要求、请求、同意、意见、确定和决定等书面函件送达对方当事人，并办理书面签收手续。</w:t>
      </w:r>
    </w:p>
    <w:p w14:paraId="46321DB6">
      <w:pPr>
        <w:tabs>
          <w:tab w:val="left" w:pos="7513"/>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1.7.2 发包人接收文件地点：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2DA6BD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发包人指定的接收人：</w:t>
      </w:r>
      <w:bookmarkStart w:id="1203" w:name="_Hlk528493983"/>
      <w:bookmarkEnd w:id="1203"/>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3B097413">
      <w:pPr>
        <w:tabs>
          <w:tab w:val="left" w:pos="7513"/>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1EFD4E8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承包人指定的接收人：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638E2722">
      <w:pPr>
        <w:tabs>
          <w:tab w:val="left" w:pos="737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191C917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监理人指定的接收人：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10FA77D">
      <w:pPr>
        <w:pStyle w:val="7"/>
        <w:spacing w:before="0" w:beforeAutospacing="0" w:after="0" w:afterAutospacing="0" w:line="360" w:lineRule="auto"/>
        <w:ind w:firstLine="422" w:firstLineChars="200"/>
        <w:rPr>
          <w:color w:val="auto"/>
          <w:sz w:val="21"/>
          <w:szCs w:val="21"/>
          <w:highlight w:val="none"/>
        </w:rPr>
      </w:pPr>
      <w:bookmarkStart w:id="1204" w:name="_Toc532377327"/>
      <w:r>
        <w:rPr>
          <w:rFonts w:hint="eastAsia"/>
          <w:color w:val="auto"/>
          <w:sz w:val="21"/>
          <w:szCs w:val="21"/>
          <w:highlight w:val="none"/>
        </w:rPr>
        <w:t>1.8 严禁贿赂</w:t>
      </w:r>
      <w:bookmarkEnd w:id="1204"/>
    </w:p>
    <w:p w14:paraId="6086439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本款补充以下内容：</w:t>
      </w:r>
    </w:p>
    <w:p w14:paraId="655671F3">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在合同执行过程中，合同当事人应严格履行附件8《廉洁从业协议》。</w:t>
      </w:r>
    </w:p>
    <w:p w14:paraId="7033EAE1">
      <w:pPr>
        <w:pStyle w:val="7"/>
        <w:spacing w:before="0" w:beforeAutospacing="0" w:after="0" w:afterAutospacing="0" w:line="360" w:lineRule="auto"/>
        <w:ind w:firstLine="422" w:firstLineChars="200"/>
        <w:rPr>
          <w:color w:val="auto"/>
          <w:sz w:val="21"/>
          <w:szCs w:val="21"/>
          <w:highlight w:val="none"/>
        </w:rPr>
      </w:pPr>
      <w:bookmarkStart w:id="1205" w:name="_Toc532377328"/>
      <w:r>
        <w:rPr>
          <w:rFonts w:hint="eastAsia"/>
          <w:color w:val="auto"/>
          <w:sz w:val="21"/>
          <w:szCs w:val="21"/>
          <w:highlight w:val="none"/>
        </w:rPr>
        <w:t>1.10 交通运输</w:t>
      </w:r>
      <w:bookmarkEnd w:id="1205"/>
    </w:p>
    <w:p w14:paraId="55719B3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bookmarkStart w:id="1206" w:name="_Toc318581155"/>
      <w:bookmarkStart w:id="1207" w:name="_Toc300934943"/>
      <w:bookmarkStart w:id="1208" w:name="_Toc303539100"/>
      <w:bookmarkStart w:id="1209" w:name="_Toc304295521"/>
      <w:bookmarkStart w:id="1210" w:name="_Toc312677986"/>
      <w:r>
        <w:rPr>
          <w:rFonts w:hint="eastAsia" w:ascii="宋体" w:hAnsi="宋体"/>
          <w:color w:val="auto"/>
          <w:szCs w:val="21"/>
          <w:highlight w:val="none"/>
        </w:rPr>
        <w:t>.10.1 出入现场的权利</w:t>
      </w:r>
    </w:p>
    <w:p w14:paraId="7233A17D">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关于出入现场的权利的约定：</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206"/>
    <w:bookmarkEnd w:id="1207"/>
    <w:bookmarkEnd w:id="1208"/>
    <w:bookmarkEnd w:id="1209"/>
    <w:bookmarkEnd w:id="1210"/>
    <w:p w14:paraId="51A1CD7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1.10.2 场外交通</w:t>
      </w:r>
    </w:p>
    <w:p w14:paraId="15334A4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承包人应遵守有关交通法规，执行有关道路限速、限行、禁止超载的规定，并配合交通管理部门的监督和检查。场外交通以施工场地移交时的现状为准。</w:t>
      </w:r>
    </w:p>
    <w:p w14:paraId="2753EA1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bookmarkStart w:id="1211" w:name="_Toc304295522"/>
      <w:bookmarkStart w:id="1212" w:name="_Toc300934944"/>
      <w:bookmarkStart w:id="1213" w:name="_Toc303539101"/>
      <w:bookmarkStart w:id="1214" w:name="_Toc312677987"/>
      <w:bookmarkStart w:id="1215" w:name="_Toc318581156"/>
      <w:r>
        <w:rPr>
          <w:rFonts w:hint="eastAsia" w:ascii="宋体" w:hAnsi="宋体"/>
          <w:color w:val="auto"/>
          <w:szCs w:val="21"/>
          <w:highlight w:val="none"/>
        </w:rPr>
        <w:t>.10.3 场内交通</w:t>
      </w:r>
    </w:p>
    <w:p w14:paraId="03DD792E">
      <w:pPr>
        <w:spacing w:line="360" w:lineRule="auto"/>
        <w:ind w:firstLine="420" w:firstLineChars="200"/>
        <w:jc w:val="left"/>
        <w:rPr>
          <w:rFonts w:ascii="宋体" w:hAnsi="宋体"/>
          <w:color w:val="auto"/>
          <w:szCs w:val="21"/>
          <w:highlight w:val="none"/>
          <w:u w:val="single"/>
        </w:rPr>
      </w:pPr>
      <w:r>
        <w:rPr>
          <w:rFonts w:hint="eastAsia" w:ascii="宋体" w:hAnsi="宋体"/>
          <w:color w:val="auto"/>
          <w:kern w:val="0"/>
          <w:szCs w:val="21"/>
          <w:highlight w:val="none"/>
        </w:rPr>
        <w:t>关于场外交通和场内交通的边界的约定：</w:t>
      </w:r>
      <w:r>
        <w:rPr>
          <w:rFonts w:hint="eastAsia" w:ascii="宋体" w:hAnsi="宋体"/>
          <w:color w:val="auto"/>
          <w:szCs w:val="21"/>
          <w:highlight w:val="none"/>
          <w:u w:val="single"/>
        </w:rPr>
        <w:t>以合同工程用地红线为界，用地红线外为场外交通，用地红线范围内为场内交通（场外道路穿越场内的除外）</w:t>
      </w:r>
      <w:r>
        <w:rPr>
          <w:rFonts w:hint="eastAsia" w:ascii="宋体" w:hAnsi="宋体"/>
          <w:color w:val="auto"/>
          <w:szCs w:val="21"/>
          <w:highlight w:val="none"/>
        </w:rPr>
        <w:t>。</w:t>
      </w:r>
    </w:p>
    <w:p w14:paraId="08B638C5">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关于发包人向承包人免费提供满足工程施工需要的场内道路和交通设施的约定：</w:t>
      </w:r>
      <w:r>
        <w:rPr>
          <w:rFonts w:hint="eastAsia" w:ascii="宋体" w:hAnsi="宋体"/>
          <w:color w:val="auto"/>
          <w:kern w:val="0"/>
          <w:szCs w:val="21"/>
          <w:highlight w:val="none"/>
          <w:u w:val="single"/>
        </w:rPr>
        <w:t>以施工场地移交时的现状为准</w:t>
      </w:r>
      <w:r>
        <w:rPr>
          <w:rFonts w:hint="eastAsia" w:ascii="宋体" w:hAnsi="宋体"/>
          <w:color w:val="auto"/>
          <w:szCs w:val="21"/>
          <w:highlight w:val="none"/>
        </w:rPr>
        <w:t>。</w:t>
      </w:r>
    </w:p>
    <w:bookmarkEnd w:id="1211"/>
    <w:bookmarkEnd w:id="1212"/>
    <w:bookmarkEnd w:id="1213"/>
    <w:bookmarkEnd w:id="1214"/>
    <w:bookmarkEnd w:id="1215"/>
    <w:p w14:paraId="14759AF7">
      <w:pPr>
        <w:spacing w:line="360" w:lineRule="auto"/>
        <w:ind w:firstLine="420" w:firstLineChars="200"/>
        <w:jc w:val="left"/>
        <w:rPr>
          <w:rFonts w:ascii="宋体" w:hAnsi="宋体"/>
          <w:color w:val="auto"/>
          <w:szCs w:val="21"/>
          <w:highlight w:val="none"/>
        </w:rPr>
      </w:pPr>
      <w:bookmarkStart w:id="1216" w:name="_Toc318581157"/>
      <w:r>
        <w:rPr>
          <w:rFonts w:hint="eastAsia" w:ascii="宋体" w:hAnsi="宋体"/>
          <w:color w:val="auto"/>
          <w:szCs w:val="21"/>
          <w:highlight w:val="none"/>
        </w:rPr>
        <w:t>1.10.4 超大件和超重件的运输</w:t>
      </w:r>
    </w:p>
    <w:p w14:paraId="46D60C4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运输超大件或超重件所需的道路和桥梁临时加固改造费用和其他有关费用由</w:t>
      </w:r>
      <w:r>
        <w:rPr>
          <w:rFonts w:hint="eastAsia" w:ascii="宋体" w:hAnsi="宋体"/>
          <w:color w:val="auto"/>
          <w:szCs w:val="21"/>
          <w:highlight w:val="none"/>
          <w:u w:val="single"/>
        </w:rPr>
        <w:t>发包人</w:t>
      </w:r>
      <w:r>
        <w:rPr>
          <w:rFonts w:hint="eastAsia" w:ascii="宋体" w:hAnsi="宋体"/>
          <w:color w:val="auto"/>
          <w:szCs w:val="21"/>
          <w:highlight w:val="none"/>
        </w:rPr>
        <w:t>承担。</w:t>
      </w:r>
    </w:p>
    <w:bookmarkEnd w:id="1216"/>
    <w:p w14:paraId="1E7C9806">
      <w:pPr>
        <w:pStyle w:val="7"/>
        <w:spacing w:before="0" w:beforeAutospacing="0" w:after="0" w:afterAutospacing="0" w:line="360" w:lineRule="auto"/>
        <w:ind w:firstLine="422" w:firstLineChars="200"/>
        <w:rPr>
          <w:color w:val="auto"/>
          <w:sz w:val="21"/>
          <w:szCs w:val="21"/>
          <w:highlight w:val="none"/>
        </w:rPr>
      </w:pPr>
      <w:bookmarkStart w:id="1217" w:name="_Toc532377329"/>
      <w:r>
        <w:rPr>
          <w:rFonts w:hint="eastAsia"/>
          <w:color w:val="auto"/>
          <w:sz w:val="21"/>
          <w:szCs w:val="21"/>
          <w:highlight w:val="none"/>
        </w:rPr>
        <w:t>1.11 知识产权</w:t>
      </w:r>
      <w:bookmarkEnd w:id="1217"/>
    </w:p>
    <w:p w14:paraId="56DECAE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highlight w:val="none"/>
          <w:u w:val="single"/>
        </w:rPr>
        <w:t>属于发包人</w:t>
      </w:r>
      <w:r>
        <w:rPr>
          <w:rFonts w:hint="eastAsia" w:ascii="宋体" w:hAnsi="宋体"/>
          <w:color w:val="auto"/>
          <w:szCs w:val="21"/>
          <w:highlight w:val="none"/>
        </w:rPr>
        <w:t>。</w:t>
      </w:r>
    </w:p>
    <w:p w14:paraId="106EB70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关于发包人提供的上述文件的使用限制的要求：</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14:paraId="3FDF5A7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1.11.4 承包人在施工过程中所采用的专利、专有技术、技术秘密的使用费的承担方式：</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由承包人承担</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3BECE39">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218" w:name="_Toc532375609"/>
      <w:bookmarkStart w:id="1219" w:name="_Toc351203634"/>
      <w:bookmarkStart w:id="1220" w:name="_Toc532377331"/>
      <w:r>
        <w:rPr>
          <w:rFonts w:hint="eastAsia"/>
          <w:color w:val="auto"/>
          <w:kern w:val="2"/>
          <w:sz w:val="21"/>
          <w:szCs w:val="21"/>
          <w:highlight w:val="none"/>
        </w:rPr>
        <w:t>2</w:t>
      </w:r>
      <w:bookmarkStart w:id="1221" w:name="_Toc297120457"/>
      <w:bookmarkStart w:id="1222" w:name="_Toc296891197"/>
      <w:bookmarkStart w:id="1223" w:name="_Toc296347156"/>
      <w:bookmarkStart w:id="1224" w:name="_Toc296890985"/>
      <w:bookmarkStart w:id="1225" w:name="_Toc292559867"/>
      <w:bookmarkStart w:id="1226" w:name="_Toc297048343"/>
      <w:bookmarkStart w:id="1227" w:name="_Toc296346658"/>
      <w:bookmarkStart w:id="1228" w:name="_Toc296944496"/>
      <w:bookmarkStart w:id="1229" w:name="_Toc292559362"/>
      <w:bookmarkStart w:id="1230" w:name="_Toc296503157"/>
      <w:r>
        <w:rPr>
          <w:rFonts w:hint="eastAsia"/>
          <w:color w:val="auto"/>
          <w:kern w:val="2"/>
          <w:sz w:val="21"/>
          <w:szCs w:val="21"/>
          <w:highlight w:val="none"/>
        </w:rPr>
        <w:t>. 发包人</w:t>
      </w:r>
      <w:bookmarkEnd w:id="1218"/>
      <w:bookmarkEnd w:id="1219"/>
      <w:bookmarkEnd w:id="1220"/>
    </w:p>
    <w:bookmarkEnd w:id="1221"/>
    <w:bookmarkEnd w:id="1222"/>
    <w:bookmarkEnd w:id="1223"/>
    <w:bookmarkEnd w:id="1224"/>
    <w:bookmarkEnd w:id="1225"/>
    <w:bookmarkEnd w:id="1226"/>
    <w:bookmarkEnd w:id="1227"/>
    <w:bookmarkEnd w:id="1228"/>
    <w:bookmarkEnd w:id="1229"/>
    <w:bookmarkEnd w:id="1230"/>
    <w:p w14:paraId="54F472E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2.2.1 发包人代表</w:t>
      </w:r>
    </w:p>
    <w:p w14:paraId="4953652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发包人代表：</w:t>
      </w:r>
    </w:p>
    <w:p w14:paraId="76B3B4D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w:t>
      </w:r>
      <w:r>
        <w:rPr>
          <w:rFonts w:hint="eastAsia" w:ascii="宋体" w:hAnsi="宋体"/>
          <w:color w:val="auto"/>
          <w:szCs w:val="21"/>
          <w:highlight w:val="none"/>
        </w:rPr>
        <w:t>；</w:t>
      </w:r>
    </w:p>
    <w:p w14:paraId="3A7F6B3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xml:space="preserve">              </w:t>
      </w:r>
      <w:r>
        <w:rPr>
          <w:rFonts w:hint="eastAsia" w:ascii="宋体" w:hAnsi="宋体"/>
          <w:color w:val="auto"/>
          <w:szCs w:val="21"/>
          <w:highlight w:val="none"/>
        </w:rPr>
        <w:t>；</w:t>
      </w:r>
    </w:p>
    <w:p w14:paraId="4D98DF7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职    务：</w:t>
      </w:r>
      <w:r>
        <w:rPr>
          <w:rFonts w:ascii="宋体" w:hAnsi="宋体"/>
          <w:color w:val="auto"/>
          <w:szCs w:val="21"/>
          <w:highlight w:val="none"/>
          <w:u w:val="single"/>
        </w:rPr>
        <w:t xml:space="preserve">              </w:t>
      </w:r>
      <w:r>
        <w:rPr>
          <w:rFonts w:hint="eastAsia" w:ascii="宋体" w:hAnsi="宋体"/>
          <w:color w:val="auto"/>
          <w:szCs w:val="21"/>
          <w:highlight w:val="none"/>
        </w:rPr>
        <w:t>；</w:t>
      </w:r>
    </w:p>
    <w:p w14:paraId="34EA7A5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w:t>
      </w:r>
      <w:r>
        <w:rPr>
          <w:rFonts w:hint="eastAsia" w:ascii="宋体" w:hAnsi="宋体"/>
          <w:color w:val="auto"/>
          <w:szCs w:val="21"/>
          <w:highlight w:val="none"/>
        </w:rPr>
        <w:t>；</w:t>
      </w:r>
    </w:p>
    <w:p w14:paraId="2A30C80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邮    编：</w:t>
      </w:r>
      <w:r>
        <w:rPr>
          <w:rFonts w:ascii="宋体" w:hAnsi="宋体"/>
          <w:color w:val="auto"/>
          <w:szCs w:val="21"/>
          <w:highlight w:val="none"/>
          <w:u w:val="single"/>
        </w:rPr>
        <w:t xml:space="preserve">              </w:t>
      </w:r>
      <w:r>
        <w:rPr>
          <w:rFonts w:hint="eastAsia" w:ascii="宋体" w:hAnsi="宋体"/>
          <w:color w:val="auto"/>
          <w:szCs w:val="21"/>
          <w:highlight w:val="none"/>
        </w:rPr>
        <w:t>；</w:t>
      </w:r>
    </w:p>
    <w:p w14:paraId="53663AE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发包人对发包人代表的授权范围如下：</w:t>
      </w:r>
      <w:r>
        <w:rPr>
          <w:rFonts w:hint="eastAsia" w:ascii="宋体" w:hAnsi="宋体"/>
          <w:color w:val="auto"/>
          <w:szCs w:val="21"/>
          <w:highlight w:val="none"/>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color w:val="auto"/>
          <w:szCs w:val="21"/>
          <w:highlight w:val="none"/>
        </w:rPr>
        <w:t>。</w:t>
      </w:r>
    </w:p>
    <w:p w14:paraId="7BDD99B8">
      <w:pPr>
        <w:pStyle w:val="7"/>
        <w:spacing w:before="0" w:beforeAutospacing="0" w:after="0" w:afterAutospacing="0" w:line="360" w:lineRule="auto"/>
        <w:ind w:firstLine="422" w:firstLineChars="200"/>
        <w:rPr>
          <w:color w:val="auto"/>
          <w:sz w:val="21"/>
          <w:szCs w:val="21"/>
          <w:highlight w:val="none"/>
        </w:rPr>
      </w:pPr>
      <w:bookmarkStart w:id="1231" w:name="_Toc532377332"/>
      <w:r>
        <w:rPr>
          <w:rFonts w:hint="eastAsia"/>
          <w:color w:val="auto"/>
          <w:sz w:val="21"/>
          <w:szCs w:val="21"/>
          <w:highlight w:val="none"/>
        </w:rPr>
        <w:t>2.4 施工现场、施工条件和基础资料的提供</w:t>
      </w:r>
      <w:bookmarkEnd w:id="1231"/>
    </w:p>
    <w:p w14:paraId="2C1276D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2.4.1 提供施工现场</w:t>
      </w:r>
    </w:p>
    <w:p w14:paraId="130CB2F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2.4.1.1 提供场地：</w:t>
      </w:r>
    </w:p>
    <w:p w14:paraId="0C211A1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施工场地的提供采用以下第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14:paraId="0E32A6C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（1）一次提供全部施工场地：发包人于</w:t>
      </w:r>
      <w:r>
        <w:rPr>
          <w:rFonts w:hint="eastAsia" w:ascii="宋体" w:hAnsi="宋体"/>
          <w:color w:val="auto"/>
          <w:szCs w:val="21"/>
          <w:highlight w:val="none"/>
          <w:u w:val="single"/>
        </w:rPr>
        <w:t>开工</w:t>
      </w:r>
      <w:r>
        <w:rPr>
          <w:rFonts w:hint="eastAsia" w:ascii="宋体" w:hAnsi="宋体"/>
          <w:color w:val="auto"/>
          <w:szCs w:val="21"/>
          <w:highlight w:val="none"/>
        </w:rPr>
        <w:t>前向承包人提供合同工程用地红线范围内的施工场地。</w:t>
      </w:r>
    </w:p>
    <w:p w14:paraId="6981605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（2）分次提供全部施工场地：</w:t>
      </w:r>
      <w:r>
        <w:rPr>
          <w:rFonts w:hint="eastAsia" w:ascii="宋体" w:hAnsi="宋体"/>
          <w:color w:val="auto"/>
          <w:szCs w:val="21"/>
          <w:highlight w:val="none"/>
          <w:u w:val="single"/>
        </w:rPr>
        <w:t>发包人按约定的时间分次向承包人提供合同工程用地红线范围内的施工场地</w:t>
      </w:r>
      <w:r>
        <w:rPr>
          <w:rFonts w:hint="eastAsia" w:ascii="宋体" w:hAnsi="宋体"/>
          <w:color w:val="auto"/>
          <w:szCs w:val="21"/>
          <w:highlight w:val="none"/>
        </w:rPr>
        <w:t>。</w:t>
      </w:r>
    </w:p>
    <w:p w14:paraId="5814526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承包人编制的施工组织计划已充分考虑了施工场地提供的因素</w:t>
      </w:r>
      <w:r>
        <w:rPr>
          <w:rFonts w:hint="eastAsia" w:ascii="宋体" w:hAnsi="宋体"/>
          <w:color w:val="auto"/>
          <w:szCs w:val="21"/>
          <w:highlight w:val="none"/>
        </w:rPr>
        <w:t>。</w:t>
      </w:r>
    </w:p>
    <w:p w14:paraId="0CCAFB0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color w:val="auto"/>
          <w:szCs w:val="21"/>
          <w:highlight w:val="none"/>
        </w:rPr>
        <w:t>。</w:t>
      </w:r>
    </w:p>
    <w:p w14:paraId="3AC005B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2.4.2 提供施工条件</w:t>
      </w:r>
    </w:p>
    <w:p w14:paraId="6724361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关于发包人应负责提供施工所需要的条件：</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仅提供施工场地</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F32C88E">
      <w:pPr>
        <w:pStyle w:val="7"/>
        <w:spacing w:before="0" w:beforeAutospacing="0" w:after="0" w:afterAutospacing="0" w:line="360" w:lineRule="auto"/>
        <w:ind w:firstLine="422" w:firstLineChars="200"/>
        <w:rPr>
          <w:color w:val="auto"/>
          <w:sz w:val="21"/>
          <w:szCs w:val="21"/>
          <w:highlight w:val="none"/>
        </w:rPr>
      </w:pPr>
      <w:bookmarkStart w:id="1232" w:name="_Toc532377333"/>
      <w:r>
        <w:rPr>
          <w:rFonts w:hint="eastAsia"/>
          <w:color w:val="auto"/>
          <w:sz w:val="21"/>
          <w:szCs w:val="21"/>
          <w:highlight w:val="none"/>
        </w:rPr>
        <w:t>2.5 资金来源证明及支付担保</w:t>
      </w:r>
      <w:bookmarkEnd w:id="1232"/>
    </w:p>
    <w:p w14:paraId="1D32B3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发包人提供资金来源证明的期限要求：</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14:paraId="7E7BD0C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发包人是否提供支付担保：</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w:t>
      </w:r>
    </w:p>
    <w:p w14:paraId="5E6A3A4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支付担保的形式：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C84B0C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支付担保的金额：</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877F2E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193670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支付担保的期限：</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6068AD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支付担保的退还时间：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5A2E87E">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233" w:name="_Toc532375610"/>
      <w:bookmarkStart w:id="1234" w:name="_Toc532377334"/>
      <w:bookmarkStart w:id="1235" w:name="_Toc351203635"/>
      <w:r>
        <w:rPr>
          <w:rFonts w:hint="eastAsia"/>
          <w:color w:val="auto"/>
          <w:kern w:val="2"/>
          <w:sz w:val="21"/>
          <w:szCs w:val="21"/>
          <w:highlight w:val="none"/>
        </w:rPr>
        <w:t>3</w:t>
      </w:r>
      <w:bookmarkStart w:id="1236" w:name="_Toc297120458"/>
      <w:bookmarkStart w:id="1237" w:name="_Toc292559363"/>
      <w:bookmarkStart w:id="1238" w:name="_Toc296944497"/>
      <w:bookmarkStart w:id="1239" w:name="_Toc296346659"/>
      <w:bookmarkStart w:id="1240" w:name="_Toc296503158"/>
      <w:bookmarkStart w:id="1241" w:name="_Toc296347157"/>
      <w:bookmarkStart w:id="1242" w:name="_Toc296891198"/>
      <w:bookmarkStart w:id="1243" w:name="_Toc296890986"/>
      <w:bookmarkStart w:id="1244" w:name="_Toc292559868"/>
      <w:bookmarkStart w:id="1245" w:name="_Toc297048344"/>
      <w:r>
        <w:rPr>
          <w:rFonts w:hint="eastAsia"/>
          <w:color w:val="auto"/>
          <w:kern w:val="2"/>
          <w:sz w:val="21"/>
          <w:szCs w:val="21"/>
          <w:highlight w:val="none"/>
        </w:rPr>
        <w:t>. 承包人</w:t>
      </w:r>
      <w:bookmarkEnd w:id="1233"/>
      <w:bookmarkEnd w:id="1234"/>
      <w:bookmarkEnd w:id="1235"/>
    </w:p>
    <w:bookmarkEnd w:id="1236"/>
    <w:bookmarkEnd w:id="1237"/>
    <w:bookmarkEnd w:id="1238"/>
    <w:bookmarkEnd w:id="1239"/>
    <w:bookmarkEnd w:id="1240"/>
    <w:bookmarkEnd w:id="1241"/>
    <w:bookmarkEnd w:id="1242"/>
    <w:bookmarkEnd w:id="1243"/>
    <w:bookmarkEnd w:id="1244"/>
    <w:bookmarkEnd w:id="1245"/>
    <w:p w14:paraId="418695C6">
      <w:pPr>
        <w:pStyle w:val="7"/>
        <w:spacing w:before="0" w:beforeAutospacing="0" w:after="0" w:afterAutospacing="0" w:line="360" w:lineRule="auto"/>
        <w:ind w:firstLine="422" w:firstLineChars="200"/>
        <w:rPr>
          <w:color w:val="auto"/>
          <w:sz w:val="21"/>
          <w:szCs w:val="21"/>
          <w:highlight w:val="none"/>
        </w:rPr>
      </w:pPr>
      <w:bookmarkStart w:id="1246" w:name="_Toc532377335"/>
      <w:r>
        <w:rPr>
          <w:rFonts w:hint="eastAsia"/>
          <w:color w:val="auto"/>
          <w:sz w:val="21"/>
          <w:szCs w:val="21"/>
          <w:highlight w:val="none"/>
        </w:rPr>
        <w:t>3.1 承包人的一般义务</w:t>
      </w:r>
      <w:bookmarkEnd w:id="1246"/>
    </w:p>
    <w:p w14:paraId="2D43364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本款细化为3.1.1～3.1.10项：</w:t>
      </w:r>
    </w:p>
    <w:p w14:paraId="48B465A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3.1.1办理法律规定和合同约定应由承包人办理的许可和批准，并将办理结果书面报送发包人留存；协助发包人办理施工所需的工程质量监督、安全监督、施工许可证等相关证件及手续。</w:t>
      </w:r>
    </w:p>
    <w:p w14:paraId="2B257C8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196DC12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213CD55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14:paraId="0F7002A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DD6ACE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3.1.6按照第6.3款〔环境保护〕约定负责施工场地及其周边环境与生态的保护工作。</w:t>
      </w:r>
    </w:p>
    <w:p w14:paraId="528D898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3.1.7按照第6.1款〔安全文明施工〕约定采取施工安全措施，确保工程及其人员、材料、设备和设施的安全，防止因工程施工造成的人身伤害和财产损失。</w:t>
      </w:r>
    </w:p>
    <w:p w14:paraId="40566CBA">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3.1.8将发包人按合同约定支付的各项价款专用于合同工程，且应及时支付其雇用人员工资，并及时向分包人支付合同价款。</w:t>
      </w:r>
    </w:p>
    <w:p w14:paraId="02880C8E">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3.1.9承包人提交的竣工资料的内容：</w:t>
      </w:r>
      <w:r>
        <w:rPr>
          <w:rFonts w:hint="eastAsia" w:ascii="宋体" w:hAnsi="宋体"/>
          <w:color w:val="auto"/>
          <w:szCs w:val="21"/>
          <w:highlight w:val="none"/>
          <w:u w:val="single"/>
        </w:rPr>
        <w:t>工程施工技术资料、工程质量保证资料、工程检验评定资料、竣工图及其他应交资料，应符合《建设工程文件归档整理规范》（GB/T50328-2014）和重庆市有关文件规定</w:t>
      </w:r>
      <w:r>
        <w:rPr>
          <w:rFonts w:hint="eastAsia" w:ascii="宋体" w:hAnsi="宋体"/>
          <w:color w:val="auto"/>
          <w:szCs w:val="21"/>
          <w:highlight w:val="none"/>
        </w:rPr>
        <w:t>。</w:t>
      </w:r>
    </w:p>
    <w:p w14:paraId="69D0B11F">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承包人需要提交的竣工资料套数：完整竣工资料一式</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两</w:t>
      </w:r>
      <w:r>
        <w:rPr>
          <w:rFonts w:hint="eastAsia" w:ascii="宋体" w:hAnsi="宋体"/>
          <w:color w:val="auto"/>
          <w:szCs w:val="21"/>
          <w:highlight w:val="none"/>
          <w:u w:val="single"/>
        </w:rPr>
        <w:t xml:space="preserve">  </w:t>
      </w:r>
      <w:r>
        <w:rPr>
          <w:rFonts w:hint="eastAsia" w:ascii="宋体" w:hAnsi="宋体"/>
          <w:color w:val="auto"/>
          <w:szCs w:val="21"/>
          <w:highlight w:val="none"/>
        </w:rPr>
        <w:t>套（含电子文档）。</w:t>
      </w:r>
    </w:p>
    <w:p w14:paraId="1C98284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承包人提交的竣工资料的费用承担：</w:t>
      </w:r>
      <w:r>
        <w:rPr>
          <w:rFonts w:hint="eastAsia" w:ascii="宋体" w:hAnsi="宋体"/>
          <w:color w:val="auto"/>
          <w:szCs w:val="21"/>
          <w:highlight w:val="none"/>
          <w:u w:val="single"/>
        </w:rPr>
        <w:t>由承包人承担</w:t>
      </w:r>
      <w:r>
        <w:rPr>
          <w:rFonts w:hint="eastAsia" w:ascii="宋体" w:hAnsi="宋体"/>
          <w:color w:val="auto"/>
          <w:szCs w:val="21"/>
          <w:highlight w:val="none"/>
        </w:rPr>
        <w:t>。</w:t>
      </w:r>
    </w:p>
    <w:p w14:paraId="49F71EA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承包人提交的竣工资料移交时间：</w:t>
      </w:r>
      <w:r>
        <w:rPr>
          <w:rFonts w:hint="eastAsia" w:ascii="宋体" w:hAnsi="宋体"/>
          <w:color w:val="auto"/>
          <w:szCs w:val="21"/>
          <w:highlight w:val="none"/>
          <w:u w:val="single"/>
        </w:rPr>
        <w:t xml:space="preserve">工程竣工验收合格后 </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rPr>
        <w:t xml:space="preserve"> 个月内移交给发包人</w:t>
      </w:r>
      <w:r>
        <w:rPr>
          <w:rFonts w:hint="eastAsia" w:ascii="宋体" w:hAnsi="宋体"/>
          <w:color w:val="auto"/>
          <w:szCs w:val="21"/>
          <w:highlight w:val="none"/>
        </w:rPr>
        <w:t>。</w:t>
      </w:r>
    </w:p>
    <w:p w14:paraId="51FA2C7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承包人提交的竣工资料形式要求：</w:t>
      </w:r>
      <w:r>
        <w:rPr>
          <w:rFonts w:hint="eastAsia" w:ascii="宋体" w:hAnsi="宋体"/>
          <w:color w:val="auto"/>
          <w:szCs w:val="21"/>
          <w:highlight w:val="none"/>
          <w:u w:val="single"/>
        </w:rPr>
        <w:t>完整的书面文件及电子文档</w:t>
      </w:r>
      <w:r>
        <w:rPr>
          <w:rFonts w:hint="eastAsia" w:ascii="宋体" w:hAnsi="宋体"/>
          <w:color w:val="auto"/>
          <w:szCs w:val="21"/>
          <w:highlight w:val="none"/>
        </w:rPr>
        <w:t>。</w:t>
      </w:r>
    </w:p>
    <w:p w14:paraId="3B1A0F7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3.1.10承包人应履行的其他义务：</w:t>
      </w:r>
    </w:p>
    <w:p w14:paraId="1F2817A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3.1.10.1在开始施工之前，承包人应核查、复测本工程的各种基准标志。承包人应及时将上述基准标志中存在的错误、不完整或其他缺陷通知发包人，以便发包人核实后重新确认。</w:t>
      </w:r>
    </w:p>
    <w:p w14:paraId="426161E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7FE17E2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09D2C79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3.1.10.4承包人应服从发包人要求的管理模式、工作方式和工作要求，同时接受监理人、跟审单位的管理和全程监督，配合项目结、决算的办理。</w:t>
      </w:r>
    </w:p>
    <w:p w14:paraId="0794EF7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3.1.10.5</w:t>
      </w:r>
      <w:r>
        <w:rPr>
          <w:rFonts w:hint="eastAsia" w:ascii="宋体" w:hAnsi="宋体"/>
          <w:color w:val="auto"/>
          <w:szCs w:val="21"/>
          <w:highlight w:val="none"/>
          <w:u w:val="single"/>
        </w:rPr>
        <w:t>承包人应为本工程开立专用账户，接受发包人的监管</w:t>
      </w:r>
      <w:r>
        <w:rPr>
          <w:rFonts w:hint="eastAsia" w:ascii="宋体" w:hAnsi="宋体"/>
          <w:color w:val="auto"/>
          <w:szCs w:val="21"/>
          <w:highlight w:val="none"/>
        </w:rPr>
        <w:t>。</w:t>
      </w:r>
    </w:p>
    <w:p w14:paraId="0D6E71DE">
      <w:pPr>
        <w:spacing w:line="360" w:lineRule="auto"/>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rPr>
        <w:t>3.1.10.6</w:t>
      </w:r>
      <w:r>
        <w:rPr>
          <w:rFonts w:hint="eastAsia" w:ascii="宋体" w:hAnsi="宋体"/>
          <w:color w:val="auto"/>
          <w:szCs w:val="21"/>
          <w:highlight w:val="none"/>
          <w:lang w:val="en-US" w:eastAsia="zh-CN"/>
        </w:rPr>
        <w:t>现场供电、供水</w:t>
      </w:r>
    </w:p>
    <w:p w14:paraId="24AE98F9">
      <w:pPr>
        <w:spacing w:line="360" w:lineRule="auto"/>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3.1.10.6.1供电</w:t>
      </w:r>
    </w:p>
    <w:p w14:paraId="631F27F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1）承包</w:t>
      </w:r>
      <w:r>
        <w:rPr>
          <w:rFonts w:hint="eastAsia" w:ascii="宋体" w:hAnsi="宋体"/>
          <w:color w:val="auto"/>
          <w:szCs w:val="21"/>
          <w:highlight w:val="none"/>
          <w:lang w:val="en-US" w:eastAsia="zh-CN"/>
        </w:rPr>
        <w:t>人</w:t>
      </w:r>
      <w:r>
        <w:rPr>
          <w:rFonts w:hint="eastAsia" w:ascii="宋体" w:hAnsi="宋体"/>
          <w:color w:val="auto"/>
          <w:szCs w:val="21"/>
          <w:highlight w:val="none"/>
        </w:rPr>
        <w:t>应与供电部门联系施工所需的电源，</w:t>
      </w:r>
      <w:r>
        <w:rPr>
          <w:rFonts w:hint="eastAsia" w:ascii="宋体" w:hAnsi="宋体"/>
          <w:color w:val="auto"/>
          <w:szCs w:val="21"/>
          <w:highlight w:val="none"/>
          <w:lang w:val="en-US" w:eastAsia="zh-CN"/>
        </w:rPr>
        <w:t>发包人</w:t>
      </w:r>
      <w:r>
        <w:rPr>
          <w:rFonts w:hint="eastAsia" w:ascii="宋体" w:hAnsi="宋体"/>
          <w:color w:val="auto"/>
          <w:szCs w:val="21"/>
          <w:highlight w:val="none"/>
        </w:rPr>
        <w:t>将提供必要的协助，但不为此承担任何费用。</w:t>
      </w:r>
    </w:p>
    <w:p w14:paraId="3F3E804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2）承包</w:t>
      </w:r>
      <w:r>
        <w:rPr>
          <w:rFonts w:hint="eastAsia" w:ascii="宋体" w:hAnsi="宋体"/>
          <w:color w:val="auto"/>
          <w:szCs w:val="21"/>
          <w:highlight w:val="none"/>
          <w:lang w:val="en-US" w:eastAsia="zh-CN"/>
        </w:rPr>
        <w:t>人</w:t>
      </w:r>
      <w:r>
        <w:rPr>
          <w:rFonts w:hint="eastAsia" w:ascii="宋体" w:hAnsi="宋体"/>
          <w:color w:val="auto"/>
          <w:szCs w:val="21"/>
          <w:highlight w:val="none"/>
        </w:rPr>
        <w:t>应负责建立为工程服务的全部临时供电和照明系统，并按当地供电部门的用电收费标准支付用电费并服从价格调整。</w:t>
      </w:r>
    </w:p>
    <w:p w14:paraId="1E078785">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3）承包</w:t>
      </w:r>
      <w:r>
        <w:rPr>
          <w:rFonts w:hint="eastAsia" w:ascii="宋体" w:hAnsi="宋体"/>
          <w:color w:val="auto"/>
          <w:szCs w:val="21"/>
          <w:highlight w:val="none"/>
          <w:lang w:val="en-US" w:eastAsia="zh-CN"/>
        </w:rPr>
        <w:t>人</w:t>
      </w:r>
      <w:r>
        <w:rPr>
          <w:rFonts w:hint="eastAsia" w:ascii="宋体" w:hAnsi="宋体"/>
          <w:color w:val="auto"/>
          <w:szCs w:val="21"/>
          <w:highlight w:val="none"/>
        </w:rPr>
        <w:t>负责维修供电负载端装置，并采取必要的保护措施，对工地用电安全负责。</w:t>
      </w:r>
    </w:p>
    <w:p w14:paraId="18EDB1D4">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4）施工结束后，承包</w:t>
      </w:r>
      <w:r>
        <w:rPr>
          <w:rFonts w:hint="eastAsia" w:ascii="宋体" w:hAnsi="宋体"/>
          <w:color w:val="auto"/>
          <w:szCs w:val="21"/>
          <w:highlight w:val="none"/>
          <w:lang w:val="en-US" w:eastAsia="zh-CN"/>
        </w:rPr>
        <w:t>人</w:t>
      </w:r>
      <w:r>
        <w:rPr>
          <w:rFonts w:hint="eastAsia" w:ascii="宋体" w:hAnsi="宋体"/>
          <w:color w:val="auto"/>
          <w:szCs w:val="21"/>
          <w:highlight w:val="none"/>
        </w:rPr>
        <w:t>应负责拆除临时供电设施，但在交工前双方另有协议者除外。</w:t>
      </w:r>
    </w:p>
    <w:p w14:paraId="68E79A2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5）承包</w:t>
      </w:r>
      <w:r>
        <w:rPr>
          <w:rFonts w:hint="eastAsia" w:ascii="宋体" w:hAnsi="宋体"/>
          <w:color w:val="auto"/>
          <w:szCs w:val="21"/>
          <w:highlight w:val="none"/>
          <w:lang w:val="en-US" w:eastAsia="zh-CN"/>
        </w:rPr>
        <w:t>人</w:t>
      </w:r>
      <w:r>
        <w:rPr>
          <w:rFonts w:hint="eastAsia" w:ascii="宋体" w:hAnsi="宋体"/>
          <w:color w:val="auto"/>
          <w:szCs w:val="21"/>
          <w:highlight w:val="none"/>
        </w:rPr>
        <w:t>必须在工地设置与工程规模相匹配的备用电源。</w:t>
      </w:r>
    </w:p>
    <w:p w14:paraId="4BEBD158">
      <w:pPr>
        <w:spacing w:line="360" w:lineRule="auto"/>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3.1.10.6.2供水</w:t>
      </w:r>
    </w:p>
    <w:p w14:paraId="1D78F0B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1）承包</w:t>
      </w:r>
      <w:r>
        <w:rPr>
          <w:rFonts w:hint="eastAsia" w:ascii="宋体" w:hAnsi="宋体"/>
          <w:color w:val="auto"/>
          <w:szCs w:val="21"/>
          <w:highlight w:val="none"/>
          <w:lang w:val="en-US" w:eastAsia="zh-CN"/>
        </w:rPr>
        <w:t>人</w:t>
      </w:r>
      <w:r>
        <w:rPr>
          <w:rFonts w:hint="eastAsia" w:ascii="宋体" w:hAnsi="宋体"/>
          <w:color w:val="auto"/>
          <w:szCs w:val="21"/>
          <w:highlight w:val="none"/>
        </w:rPr>
        <w:t>应直接与供水部门联系施工所需水源。</w:t>
      </w:r>
      <w:r>
        <w:rPr>
          <w:rFonts w:hint="eastAsia" w:ascii="宋体" w:hAnsi="宋体"/>
          <w:color w:val="auto"/>
          <w:szCs w:val="21"/>
          <w:highlight w:val="none"/>
          <w:lang w:val="en-US" w:eastAsia="zh-CN"/>
        </w:rPr>
        <w:t>发包人</w:t>
      </w:r>
      <w:r>
        <w:rPr>
          <w:rFonts w:hint="eastAsia" w:ascii="宋体" w:hAnsi="宋体"/>
          <w:color w:val="auto"/>
          <w:szCs w:val="21"/>
          <w:highlight w:val="none"/>
        </w:rPr>
        <w:t>可以提供必要的协助，但不为此承担任何费用。承包商应按规定的收费标准支付水费并服从价格调整。</w:t>
      </w:r>
    </w:p>
    <w:p w14:paraId="055CC51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2）承包</w:t>
      </w:r>
      <w:r>
        <w:rPr>
          <w:rFonts w:hint="eastAsia" w:ascii="宋体" w:hAnsi="宋体"/>
          <w:color w:val="auto"/>
          <w:szCs w:val="21"/>
          <w:highlight w:val="none"/>
          <w:lang w:val="en-US" w:eastAsia="zh-CN"/>
        </w:rPr>
        <w:t>人</w:t>
      </w:r>
      <w:r>
        <w:rPr>
          <w:rFonts w:hint="eastAsia" w:ascii="宋体" w:hAnsi="宋体"/>
          <w:color w:val="auto"/>
          <w:szCs w:val="21"/>
          <w:highlight w:val="none"/>
        </w:rPr>
        <w:t>应负责从水源到所有用水点的连接，安装自己使用的所有管路和计量表，供水包括生活用水、施工用水及闭水试验用水等。由此而产生的费用和开支应由承包商承担。</w:t>
      </w:r>
    </w:p>
    <w:p w14:paraId="5A5603C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3）施工结束后，承包商应负责拆除临时供水设施，但在交工前另有协议者不在此列。 </w:t>
      </w:r>
    </w:p>
    <w:p w14:paraId="78891CC4">
      <w:pPr>
        <w:spacing w:line="360" w:lineRule="auto"/>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3.1.10.7施工临时便道</w:t>
      </w:r>
    </w:p>
    <w:p w14:paraId="6E8DCF9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承包</w:t>
      </w:r>
      <w:r>
        <w:rPr>
          <w:rFonts w:hint="eastAsia" w:ascii="宋体" w:hAnsi="宋体"/>
          <w:color w:val="auto"/>
          <w:szCs w:val="21"/>
          <w:highlight w:val="none"/>
          <w:lang w:val="en-US" w:eastAsia="zh-CN"/>
        </w:rPr>
        <w:t>人</w:t>
      </w:r>
      <w:r>
        <w:rPr>
          <w:rFonts w:hint="eastAsia" w:ascii="宋体" w:hAnsi="宋体"/>
          <w:color w:val="auto"/>
          <w:szCs w:val="21"/>
          <w:highlight w:val="none"/>
        </w:rPr>
        <w:t>应负责安排为执行本合同目的的临时便道的修筑、维护、清除和恢复。完工后应将临时便道恢复至开始前状况，并满足相关单位的要求。</w:t>
      </w:r>
      <w:r>
        <w:rPr>
          <w:rFonts w:hint="eastAsia" w:ascii="宋体" w:hAnsi="宋体"/>
          <w:color w:val="auto"/>
          <w:szCs w:val="21"/>
          <w:highlight w:val="none"/>
          <w:lang w:val="en-US" w:eastAsia="zh-CN"/>
        </w:rPr>
        <w:t>费用由承包人承担。</w:t>
      </w:r>
    </w:p>
    <w:p w14:paraId="3125BB1A">
      <w:pPr>
        <w:pStyle w:val="7"/>
        <w:spacing w:before="0" w:beforeAutospacing="0" w:after="0" w:afterAutospacing="0" w:line="360" w:lineRule="auto"/>
        <w:ind w:firstLine="422" w:firstLineChars="200"/>
        <w:rPr>
          <w:color w:val="auto"/>
          <w:sz w:val="21"/>
          <w:szCs w:val="21"/>
          <w:highlight w:val="none"/>
        </w:rPr>
      </w:pPr>
      <w:bookmarkStart w:id="1247" w:name="_Toc532377336"/>
      <w:r>
        <w:rPr>
          <w:rFonts w:hint="eastAsia"/>
          <w:color w:val="auto"/>
          <w:sz w:val="21"/>
          <w:szCs w:val="21"/>
          <w:highlight w:val="none"/>
        </w:rPr>
        <w:t>3.2 项目经理</w:t>
      </w:r>
      <w:bookmarkEnd w:id="1247"/>
    </w:p>
    <w:p w14:paraId="2FF460C1">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 xml:space="preserve">3.2.1 </w:t>
      </w:r>
      <w:r>
        <w:rPr>
          <w:rFonts w:hint="eastAsia" w:ascii="宋体" w:hAnsi="宋体"/>
          <w:color w:val="auto"/>
          <w:szCs w:val="21"/>
          <w:highlight w:val="none"/>
        </w:rPr>
        <w:t>项目经理：</w:t>
      </w:r>
    </w:p>
    <w:p w14:paraId="5B3C46E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w:t>
      </w:r>
      <w:r>
        <w:rPr>
          <w:rFonts w:hint="eastAsia" w:ascii="宋体" w:hAnsi="宋体"/>
          <w:color w:val="auto"/>
          <w:szCs w:val="21"/>
          <w:highlight w:val="none"/>
        </w:rPr>
        <w:t>；</w:t>
      </w:r>
    </w:p>
    <w:p w14:paraId="710F9A8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 </w:t>
      </w:r>
      <w:r>
        <w:rPr>
          <w:rFonts w:hint="eastAsia" w:ascii="宋体" w:hAnsi="宋体"/>
          <w:color w:val="auto"/>
          <w:szCs w:val="21"/>
          <w:highlight w:val="none"/>
        </w:rPr>
        <w:t>；</w:t>
      </w:r>
    </w:p>
    <w:p w14:paraId="4F51C66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建造师执业资格等级：</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0CA350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建造师注册证书号：</w:t>
      </w:r>
      <w:r>
        <w:rPr>
          <w:rFonts w:ascii="宋体" w:hAnsi="宋体"/>
          <w:color w:val="auto"/>
          <w:szCs w:val="21"/>
          <w:highlight w:val="none"/>
          <w:u w:val="single"/>
        </w:rPr>
        <w:t>       </w:t>
      </w:r>
      <w:r>
        <w:rPr>
          <w:rFonts w:hint="eastAsia" w:ascii="宋体" w:hAnsi="宋体"/>
          <w:color w:val="auto"/>
          <w:szCs w:val="21"/>
          <w:highlight w:val="none"/>
        </w:rPr>
        <w:t>；</w:t>
      </w:r>
    </w:p>
    <w:p w14:paraId="1A3856D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建造师执业印章号：</w:t>
      </w:r>
      <w:r>
        <w:rPr>
          <w:rFonts w:ascii="宋体" w:hAnsi="宋体"/>
          <w:color w:val="auto"/>
          <w:szCs w:val="21"/>
          <w:highlight w:val="none"/>
          <w:u w:val="single"/>
        </w:rPr>
        <w:t>                     </w:t>
      </w:r>
      <w:r>
        <w:rPr>
          <w:rFonts w:hint="eastAsia" w:ascii="宋体" w:hAnsi="宋体"/>
          <w:color w:val="auto"/>
          <w:szCs w:val="21"/>
          <w:highlight w:val="none"/>
        </w:rPr>
        <w:t>；</w:t>
      </w:r>
    </w:p>
    <w:p w14:paraId="791CA03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安全生产考核合格证书号：</w:t>
      </w:r>
      <w:r>
        <w:rPr>
          <w:rFonts w:ascii="宋体" w:hAnsi="宋体"/>
          <w:color w:val="auto"/>
          <w:szCs w:val="21"/>
          <w:highlight w:val="none"/>
          <w:u w:val="single"/>
        </w:rPr>
        <w:t>           </w:t>
      </w:r>
      <w:r>
        <w:rPr>
          <w:rFonts w:hint="eastAsia" w:ascii="宋体" w:hAnsi="宋体"/>
          <w:color w:val="auto"/>
          <w:szCs w:val="21"/>
          <w:highlight w:val="none"/>
        </w:rPr>
        <w:t>；</w:t>
      </w:r>
    </w:p>
    <w:p w14:paraId="28EB895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       </w:t>
      </w:r>
      <w:r>
        <w:rPr>
          <w:rFonts w:hint="eastAsia" w:ascii="宋体" w:hAnsi="宋体"/>
          <w:color w:val="auto"/>
          <w:szCs w:val="21"/>
          <w:highlight w:val="none"/>
        </w:rPr>
        <w:t>。</w:t>
      </w:r>
    </w:p>
    <w:p w14:paraId="5083737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承包人对项目经理的授权范围如下：</w:t>
      </w:r>
      <w:r>
        <w:rPr>
          <w:rFonts w:hint="eastAsia" w:ascii="宋体" w:hAnsi="宋体"/>
          <w:color w:val="auto"/>
          <w:szCs w:val="21"/>
          <w:highlight w:val="none"/>
          <w:u w:val="single"/>
        </w:rPr>
        <w:t>严格按设计图纸、现行国家施工规范及验收规范组织施工，保证工程质量、进度、安全；及时向监理人、发包人报告现场情况（以承包人书面授权范围为准）</w:t>
      </w:r>
      <w:r>
        <w:rPr>
          <w:rFonts w:hint="eastAsia" w:ascii="宋体" w:hAnsi="宋体"/>
          <w:color w:val="auto"/>
          <w:szCs w:val="21"/>
          <w:highlight w:val="none"/>
        </w:rPr>
        <w:t>。</w:t>
      </w:r>
    </w:p>
    <w:p w14:paraId="2337E61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关于项目经理每月在施工现场的时间要求：</w:t>
      </w:r>
      <w:r>
        <w:rPr>
          <w:rFonts w:hint="eastAsia" w:ascii="宋体" w:hAnsi="宋体"/>
          <w:color w:val="auto"/>
          <w:szCs w:val="21"/>
          <w:highlight w:val="none"/>
          <w:u w:val="single"/>
        </w:rPr>
        <w:t>不少于22天，由监理人负责项目经理的考勤</w:t>
      </w:r>
      <w:r>
        <w:rPr>
          <w:rFonts w:hint="eastAsia" w:ascii="宋体" w:hAnsi="宋体"/>
          <w:color w:val="auto"/>
          <w:szCs w:val="21"/>
          <w:highlight w:val="none"/>
        </w:rPr>
        <w:t>。</w:t>
      </w:r>
    </w:p>
    <w:p w14:paraId="420833D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color w:val="auto"/>
          <w:szCs w:val="21"/>
          <w:highlight w:val="none"/>
        </w:rPr>
        <w:t>。</w:t>
      </w:r>
    </w:p>
    <w:p w14:paraId="5C7F6A9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3.2.2 技术负责人</w:t>
      </w:r>
    </w:p>
    <w:p w14:paraId="373F600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974500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D26115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7CFABC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专     业：</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B2658C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证书名称及号码：</w:t>
      </w:r>
      <w:r>
        <w:rPr>
          <w:rFonts w:ascii="宋体" w:hAnsi="宋体"/>
          <w:color w:val="auto"/>
          <w:szCs w:val="21"/>
          <w:highlight w:val="none"/>
          <w:u w:val="single"/>
        </w:rPr>
        <w:t xml:space="preserve">                         </w:t>
      </w:r>
      <w:r>
        <w:rPr>
          <w:rFonts w:hint="eastAsia" w:ascii="宋体" w:hAnsi="宋体"/>
          <w:color w:val="auto"/>
          <w:szCs w:val="21"/>
          <w:highlight w:val="none"/>
        </w:rPr>
        <w:t>；</w:t>
      </w:r>
    </w:p>
    <w:p w14:paraId="64879088">
      <w:pPr>
        <w:pStyle w:val="2"/>
        <w:spacing w:after="0" w:line="360" w:lineRule="auto"/>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联系方式：</w:t>
      </w:r>
      <w:r>
        <w:rPr>
          <w:rFonts w:ascii="宋体" w:hAnsi="宋体"/>
          <w:color w:val="auto"/>
          <w:szCs w:val="21"/>
          <w:highlight w:val="none"/>
          <w:u w:val="single"/>
        </w:rPr>
        <w:t xml:space="preserve">         </w:t>
      </w:r>
      <w:r>
        <w:rPr>
          <w:rFonts w:hint="eastAsia" w:ascii="宋体" w:hAnsi="宋体"/>
          <w:color w:val="auto"/>
          <w:szCs w:val="21"/>
          <w:highlight w:val="none"/>
        </w:rPr>
        <w:t>。</w:t>
      </w:r>
    </w:p>
    <w:p w14:paraId="7EF71401">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关于技</w:t>
      </w:r>
      <w:r>
        <w:rPr>
          <w:rFonts w:hint="eastAsia" w:ascii="宋体" w:hAnsi="宋体"/>
          <w:color w:val="auto"/>
          <w:szCs w:val="21"/>
          <w:highlight w:val="none"/>
        </w:rPr>
        <w:t>术负责人每月在施工现场的时间要求：</w:t>
      </w:r>
      <w:r>
        <w:rPr>
          <w:rFonts w:hint="eastAsia" w:ascii="宋体" w:hAnsi="宋体"/>
          <w:color w:val="auto"/>
          <w:szCs w:val="21"/>
          <w:highlight w:val="none"/>
          <w:u w:val="single"/>
        </w:rPr>
        <w:t>不少于22天，由监理人负责技术负责人的考勤</w:t>
      </w:r>
      <w:r>
        <w:rPr>
          <w:rFonts w:hint="eastAsia" w:ascii="宋体" w:hAnsi="宋体"/>
          <w:color w:val="auto"/>
          <w:szCs w:val="21"/>
          <w:highlight w:val="none"/>
        </w:rPr>
        <w:t>。</w:t>
      </w:r>
    </w:p>
    <w:p w14:paraId="241CB7A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color w:val="auto"/>
          <w:szCs w:val="21"/>
          <w:highlight w:val="none"/>
        </w:rPr>
        <w:t>。</w:t>
      </w:r>
      <w:bookmarkStart w:id="1248" w:name="_Hlk528927599"/>
    </w:p>
    <w:bookmarkEnd w:id="1248"/>
    <w:p w14:paraId="77DE7BD8">
      <w:pPr>
        <w:spacing w:line="360" w:lineRule="auto"/>
        <w:ind w:firstLine="420" w:firstLineChars="200"/>
        <w:jc w:val="left"/>
        <w:rPr>
          <w:rFonts w:ascii="宋体" w:hAnsi="宋体"/>
          <w:color w:val="auto"/>
          <w:szCs w:val="21"/>
          <w:highlight w:val="none"/>
        </w:rPr>
      </w:pPr>
      <w:bookmarkStart w:id="1249" w:name="_Hlk528927718"/>
      <w:r>
        <w:rPr>
          <w:rFonts w:hint="eastAsia" w:ascii="宋体" w:hAnsi="宋体"/>
          <w:color w:val="auto"/>
          <w:szCs w:val="21"/>
          <w:highlight w:val="none"/>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249"/>
    </w:p>
    <w:p w14:paraId="1781C07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若项目经理和技术负责人出现下列情形需更换的，承包人按通用条款第3.2.3项的规定向发包人发出通知，经发包人领导班子集体决策同意后予以批准，并将变更信息推送给行业主管部门：</w:t>
      </w:r>
    </w:p>
    <w:p w14:paraId="68998D4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1、死亡；</w:t>
      </w:r>
    </w:p>
    <w:p w14:paraId="72C6569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2、非承包人原因导致工期延长，而致使项目经理和技术负责人达到法定退休年龄且确需退休；</w:t>
      </w:r>
    </w:p>
    <w:p w14:paraId="6A3FC78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3、按《职工非因工伤残或因病丧失劳动能力程度鉴定标准（试行）》规定鉴定为完全丧失劳动能力和大部分丧失劳动能力；</w:t>
      </w:r>
    </w:p>
    <w:p w14:paraId="4C8FFAF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4、非承包人原因导致中标3个月不能开工；</w:t>
      </w:r>
    </w:p>
    <w:p w14:paraId="0EFA85D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5、被公安或者司法机关限制人身自由；</w:t>
      </w:r>
    </w:p>
    <w:p w14:paraId="5D1A5B2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6、被取消职称或者执业资格，不满足项目管理要求；</w:t>
      </w:r>
    </w:p>
    <w:p w14:paraId="13DE1BA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7、非承包人原因导致确需变更的其它情形。</w:t>
      </w:r>
    </w:p>
    <w:p w14:paraId="3FE7F1E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本款补充3.2.6项</w:t>
      </w:r>
    </w:p>
    <w:p w14:paraId="5C520E8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3.2.6 国有资金投资项目其他主要人员变更参照《重庆市政府投资项目合同变更管理暂行办法》的规定。</w:t>
      </w:r>
    </w:p>
    <w:p w14:paraId="2164F2AE">
      <w:pPr>
        <w:pStyle w:val="7"/>
        <w:spacing w:before="0" w:beforeAutospacing="0" w:after="0" w:afterAutospacing="0" w:line="360" w:lineRule="auto"/>
        <w:ind w:firstLine="422" w:firstLineChars="200"/>
        <w:rPr>
          <w:color w:val="auto"/>
          <w:sz w:val="21"/>
          <w:szCs w:val="21"/>
          <w:highlight w:val="none"/>
        </w:rPr>
      </w:pPr>
      <w:bookmarkStart w:id="1250" w:name="_Toc532377337"/>
      <w:r>
        <w:rPr>
          <w:rFonts w:hint="eastAsia"/>
          <w:color w:val="auto"/>
          <w:sz w:val="21"/>
          <w:szCs w:val="21"/>
          <w:highlight w:val="none"/>
        </w:rPr>
        <w:t>3.3 承包人人员</w:t>
      </w:r>
      <w:bookmarkEnd w:id="1250"/>
    </w:p>
    <w:p w14:paraId="7EB40C0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3.3.1 承包人应按建设行政主管部门现行规定配备现场施工从业人员，具体要求如下：</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满足国家、市、县相关法律法规要求。</w:t>
      </w:r>
      <w:r>
        <w:rPr>
          <w:rFonts w:hint="eastAsia" w:ascii="宋体" w:hAnsi="宋体"/>
          <w:color w:val="auto"/>
          <w:szCs w:val="21"/>
          <w:highlight w:val="none"/>
          <w:u w:val="single"/>
        </w:rPr>
        <w:t xml:space="preserve">      </w:t>
      </w:r>
    </w:p>
    <w:p w14:paraId="1CBB214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3F4771C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14:paraId="2142465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3.3.4 承包人主要施工管理人员离开施工现场，指定的临时人员需满足：</w:t>
      </w:r>
      <w:r>
        <w:rPr>
          <w:rFonts w:hint="eastAsia" w:ascii="宋体" w:hAnsi="宋体"/>
          <w:color w:val="auto"/>
          <w:szCs w:val="21"/>
          <w:highlight w:val="none"/>
          <w:u w:val="single"/>
        </w:rPr>
        <w:t>《重庆市房屋建筑与市政基础设施工程现场施工从业人员配备标准》（DBJ50-157-2013）的相应要求</w:t>
      </w:r>
      <w:r>
        <w:rPr>
          <w:rFonts w:hint="eastAsia" w:ascii="宋体" w:hAnsi="宋体"/>
          <w:color w:val="auto"/>
          <w:szCs w:val="21"/>
          <w:highlight w:val="none"/>
        </w:rPr>
        <w:t>。</w:t>
      </w:r>
    </w:p>
    <w:p w14:paraId="300FEF5E">
      <w:pPr>
        <w:pStyle w:val="7"/>
        <w:spacing w:before="0" w:beforeAutospacing="0" w:after="0" w:afterAutospacing="0" w:line="360" w:lineRule="auto"/>
        <w:ind w:firstLine="422" w:firstLineChars="200"/>
        <w:rPr>
          <w:color w:val="auto"/>
          <w:sz w:val="21"/>
          <w:szCs w:val="21"/>
          <w:highlight w:val="none"/>
        </w:rPr>
      </w:pPr>
      <w:bookmarkStart w:id="1251" w:name="_Toc532377338"/>
      <w:r>
        <w:rPr>
          <w:rFonts w:hint="eastAsia"/>
          <w:color w:val="auto"/>
          <w:sz w:val="21"/>
          <w:szCs w:val="21"/>
          <w:highlight w:val="none"/>
        </w:rPr>
        <w:t>3</w:t>
      </w:r>
      <w:bookmarkStart w:id="1252" w:name="_Toc297216151"/>
      <w:bookmarkStart w:id="1253" w:name="_Toc297120459"/>
      <w:bookmarkStart w:id="1254" w:name="_Toc296346660"/>
      <w:bookmarkStart w:id="1255" w:name="_Toc304295523"/>
      <w:bookmarkStart w:id="1256" w:name="_Toc296890987"/>
      <w:bookmarkStart w:id="1257" w:name="_Toc296891199"/>
      <w:bookmarkStart w:id="1258" w:name="_Toc296503159"/>
      <w:bookmarkStart w:id="1259" w:name="_Toc297123492"/>
      <w:bookmarkStart w:id="1260" w:name="_Toc303539102"/>
      <w:bookmarkStart w:id="1261" w:name="_Toc300934945"/>
      <w:bookmarkStart w:id="1262" w:name="_Toc292559364"/>
      <w:bookmarkStart w:id="1263" w:name="_Toc296347158"/>
      <w:bookmarkStart w:id="1264" w:name="_Toc296944498"/>
      <w:bookmarkStart w:id="1265" w:name="_Toc297048345"/>
      <w:bookmarkStart w:id="1266" w:name="_Toc292559869"/>
      <w:bookmarkStart w:id="1267" w:name="_Toc312677988"/>
      <w:r>
        <w:rPr>
          <w:rFonts w:hint="eastAsia"/>
          <w:color w:val="auto"/>
          <w:sz w:val="21"/>
          <w:szCs w:val="21"/>
          <w:highlight w:val="none"/>
        </w:rPr>
        <w:t>.5 分包</w:t>
      </w:r>
      <w:bookmarkEnd w:id="1251"/>
    </w:p>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p w14:paraId="2A99188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bookmarkStart w:id="1268" w:name="_Toc296944499"/>
      <w:bookmarkStart w:id="1269" w:name="_Toc318581158"/>
      <w:bookmarkStart w:id="1270" w:name="_Toc296346661"/>
      <w:bookmarkStart w:id="1271" w:name="_Toc297048346"/>
      <w:bookmarkStart w:id="1272" w:name="_Toc300934946"/>
      <w:bookmarkStart w:id="1273" w:name="_Toc296347159"/>
      <w:bookmarkStart w:id="1274" w:name="_Toc304295524"/>
      <w:bookmarkStart w:id="1275" w:name="_Toc297120460"/>
      <w:bookmarkStart w:id="1276" w:name="_Toc292559870"/>
      <w:bookmarkStart w:id="1277" w:name="_Toc297216152"/>
      <w:bookmarkStart w:id="1278" w:name="_Toc296890988"/>
      <w:bookmarkStart w:id="1279" w:name="_Toc292559365"/>
      <w:bookmarkStart w:id="1280" w:name="_Toc297123493"/>
      <w:bookmarkStart w:id="1281" w:name="_Toc296503160"/>
      <w:bookmarkStart w:id="1282" w:name="_Toc303539103"/>
      <w:bookmarkStart w:id="1283" w:name="_Toc312677989"/>
      <w:bookmarkStart w:id="1284" w:name="_Toc296891200"/>
      <w:r>
        <w:rPr>
          <w:rFonts w:hint="eastAsia" w:ascii="宋体" w:hAnsi="宋体"/>
          <w:color w:val="auto"/>
          <w:szCs w:val="21"/>
          <w:highlight w:val="none"/>
        </w:rPr>
        <w:t>.5.1 分包的一般约定</w:t>
      </w:r>
    </w:p>
    <w:p w14:paraId="72D796F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禁止分包的工程包括：主体结构、关键性工作等国家法律、法规禁止分包的工程。</w:t>
      </w:r>
    </w:p>
    <w:p w14:paraId="540FD50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主体结构、关键性工作的范围：国家法律、法规、规范、标准等所约束的范围。如房建工程主体结构指混凝土工程、砌体工程、钢结构工程（具体有基础、梁、板、柱、砼墙、楼梯工程等）</w:t>
      </w:r>
      <w:bookmarkStart w:id="1285" w:name="_Toc296890989"/>
      <w:bookmarkStart w:id="1286" w:name="_Toc297120461"/>
      <w:bookmarkStart w:id="1287" w:name="_Toc296944500"/>
      <w:bookmarkStart w:id="1288" w:name="_Toc296891201"/>
      <w:bookmarkStart w:id="1289" w:name="_Toc300934947"/>
      <w:bookmarkStart w:id="1290" w:name="_Toc296503161"/>
      <w:bookmarkStart w:id="1291" w:name="_Toc297048347"/>
      <w:bookmarkStart w:id="1292" w:name="_Toc296346662"/>
      <w:bookmarkStart w:id="1293" w:name="_Toc296347160"/>
      <w:bookmarkStart w:id="1294" w:name="_Toc297123494"/>
      <w:bookmarkStart w:id="1295" w:name="_Toc297216153"/>
      <w:bookmarkStart w:id="1296" w:name="_Toc303539104"/>
      <w:bookmarkStart w:id="1297" w:name="_Toc304295525"/>
      <w:r>
        <w:rPr>
          <w:rFonts w:hint="eastAsia" w:ascii="宋体" w:hAnsi="宋体"/>
          <w:color w:val="auto"/>
          <w:szCs w:val="21"/>
          <w:highlight w:val="none"/>
        </w:rPr>
        <w:t>；关键性工作指梁、板、柱等部位。</w:t>
      </w:r>
    </w:p>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14:paraId="6A3DDA4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14:paraId="3590B4D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bookmarkStart w:id="1298" w:name="_Toc312677990"/>
      <w:bookmarkStart w:id="1299" w:name="_Toc318581159"/>
      <w:r>
        <w:rPr>
          <w:rFonts w:hint="eastAsia" w:ascii="宋体" w:hAnsi="宋体"/>
          <w:color w:val="auto"/>
          <w:szCs w:val="21"/>
          <w:highlight w:val="none"/>
        </w:rPr>
        <w:t>.5.2分包的确定</w:t>
      </w:r>
    </w:p>
    <w:p w14:paraId="08C15EE5">
      <w:pPr>
        <w:spacing w:line="360" w:lineRule="auto"/>
        <w:ind w:firstLine="420" w:firstLineChars="200"/>
        <w:jc w:val="left"/>
        <w:rPr>
          <w:rFonts w:ascii="宋体" w:hAnsi="宋体"/>
          <w:i w:val="0"/>
          <w:iCs w:val="0"/>
          <w:color w:val="auto"/>
          <w:szCs w:val="21"/>
          <w:highlight w:val="none"/>
          <w:u w:val="single"/>
        </w:rPr>
      </w:pPr>
      <w:r>
        <w:rPr>
          <w:rFonts w:hint="eastAsia" w:ascii="宋体" w:hAnsi="宋体"/>
          <w:color w:val="auto"/>
          <w:szCs w:val="21"/>
          <w:highlight w:val="none"/>
        </w:rPr>
        <w:t>允许分包的专业工程包括：</w:t>
      </w:r>
      <w:r>
        <w:rPr>
          <w:rFonts w:hint="eastAsia" w:ascii="宋体" w:hAnsi="宋体"/>
          <w:color w:val="auto"/>
          <w:szCs w:val="21"/>
          <w:highlight w:val="none"/>
          <w:u w:val="single"/>
        </w:rPr>
        <w:t xml:space="preserve">  </w:t>
      </w:r>
      <w:r>
        <w:rPr>
          <w:rFonts w:hint="eastAsia" w:ascii="宋体" w:hAnsi="宋体"/>
          <w:i w:val="0"/>
          <w:iCs w:val="0"/>
          <w:color w:val="auto"/>
          <w:szCs w:val="21"/>
          <w:highlight w:val="none"/>
          <w:u w:val="single"/>
        </w:rPr>
        <w:t xml:space="preserve">  符合《中华人民共和国建筑法》和《中华人民共和国招标投标法》的相关规定。</w:t>
      </w:r>
    </w:p>
    <w:p w14:paraId="6AF5A8E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3.5.4 分包合同价款</w:t>
      </w:r>
    </w:p>
    <w:p w14:paraId="0135813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关于分包合同价款支付的约定：</w:t>
      </w:r>
      <w:bookmarkEnd w:id="1298"/>
      <w:bookmarkEnd w:id="1299"/>
      <w:r>
        <w:rPr>
          <w:rFonts w:hint="eastAsia" w:ascii="宋体" w:hAnsi="宋体"/>
          <w:color w:val="auto"/>
          <w:szCs w:val="21"/>
          <w:highlight w:val="none"/>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color w:val="auto"/>
          <w:szCs w:val="21"/>
          <w:highlight w:val="none"/>
        </w:rPr>
        <w:t>。</w:t>
      </w:r>
    </w:p>
    <w:p w14:paraId="1B756A8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本款补充3.5.6项：</w:t>
      </w:r>
    </w:p>
    <w:p w14:paraId="7517251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3.5.6严禁违法分包</w:t>
      </w:r>
    </w:p>
    <w:p w14:paraId="74B7D46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14:paraId="3EF989AF">
      <w:pPr>
        <w:pStyle w:val="7"/>
        <w:spacing w:before="0" w:beforeAutospacing="0" w:after="0" w:afterAutospacing="0" w:line="360" w:lineRule="auto"/>
        <w:ind w:firstLine="422" w:firstLineChars="200"/>
        <w:rPr>
          <w:color w:val="auto"/>
          <w:sz w:val="21"/>
          <w:szCs w:val="21"/>
          <w:highlight w:val="none"/>
        </w:rPr>
      </w:pPr>
      <w:bookmarkStart w:id="1300" w:name="_Toc532377339"/>
      <w:r>
        <w:rPr>
          <w:rFonts w:hint="eastAsia"/>
          <w:color w:val="auto"/>
          <w:sz w:val="21"/>
          <w:szCs w:val="21"/>
          <w:highlight w:val="none"/>
        </w:rPr>
        <w:t>3.7 履约担保</w:t>
      </w:r>
      <w:bookmarkEnd w:id="1300"/>
    </w:p>
    <w:p w14:paraId="7AA46FB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3.7.1承包人是否提供履约担保：</w:t>
      </w:r>
      <w:r>
        <w:rPr>
          <w:rFonts w:hint="eastAsia" w:ascii="宋体" w:hAnsi="宋体"/>
          <w:color w:val="auto"/>
          <w:szCs w:val="21"/>
          <w:highlight w:val="none"/>
          <w:u w:val="single"/>
        </w:rPr>
        <w:t>提供</w:t>
      </w:r>
      <w:r>
        <w:rPr>
          <w:rFonts w:hint="eastAsia" w:ascii="宋体" w:hAnsi="宋体"/>
          <w:color w:val="auto"/>
          <w:szCs w:val="21"/>
          <w:highlight w:val="none"/>
        </w:rPr>
        <w:t>。</w:t>
      </w:r>
    </w:p>
    <w:p w14:paraId="784CBE2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3.7.2承包人提供履约担保的形式、金额及期限：</w:t>
      </w:r>
    </w:p>
    <w:p w14:paraId="49E923AE">
      <w:pPr>
        <w:spacing w:line="360" w:lineRule="auto"/>
        <w:ind w:firstLine="420" w:firstLineChars="200"/>
        <w:jc w:val="left"/>
        <w:rPr>
          <w:rFonts w:hint="eastAsia" w:ascii="宋体" w:hAnsi="宋体"/>
          <w:color w:val="auto"/>
          <w:kern w:val="0"/>
          <w:szCs w:val="21"/>
          <w:highlight w:val="none"/>
          <w:lang w:eastAsia="zh-CN"/>
        </w:rPr>
      </w:pPr>
      <w:r>
        <w:rPr>
          <w:rFonts w:hint="eastAsia" w:ascii="宋体" w:hAnsi="宋体"/>
          <w:color w:val="auto"/>
          <w:szCs w:val="21"/>
          <w:highlight w:val="none"/>
        </w:rPr>
        <w:t>（1）履约担保的形式：现金或</w:t>
      </w:r>
      <w:r>
        <w:rPr>
          <w:rFonts w:hint="eastAsia" w:ascii="宋体" w:hAnsi="宋体"/>
          <w:color w:val="auto"/>
          <w:szCs w:val="21"/>
          <w:highlight w:val="none"/>
          <w:lang w:val="en-US" w:eastAsia="zh-CN"/>
        </w:rPr>
        <w:t>履约</w:t>
      </w:r>
      <w:r>
        <w:rPr>
          <w:rFonts w:hint="eastAsia" w:ascii="宋体" w:hAnsi="宋体"/>
          <w:color w:val="auto"/>
          <w:szCs w:val="21"/>
          <w:highlight w:val="none"/>
        </w:rPr>
        <w:t>保函或现金+</w:t>
      </w:r>
      <w:r>
        <w:rPr>
          <w:rFonts w:hint="eastAsia" w:ascii="宋体" w:hAnsi="宋体"/>
          <w:color w:val="auto"/>
          <w:szCs w:val="21"/>
          <w:highlight w:val="none"/>
          <w:lang w:val="en-US" w:eastAsia="zh-CN"/>
        </w:rPr>
        <w:t>履约</w:t>
      </w:r>
      <w:r>
        <w:rPr>
          <w:rFonts w:hint="eastAsia" w:ascii="宋体" w:hAnsi="宋体"/>
          <w:color w:val="auto"/>
          <w:szCs w:val="21"/>
          <w:highlight w:val="none"/>
        </w:rPr>
        <w:t>保函的组合</w:t>
      </w:r>
      <w:r>
        <w:rPr>
          <w:rFonts w:hint="eastAsia" w:ascii="宋体" w:hAnsi="宋体"/>
          <w:color w:val="auto"/>
          <w:szCs w:val="21"/>
          <w:highlight w:val="none"/>
          <w:lang w:eastAsia="zh-CN"/>
        </w:rPr>
        <w:t>，</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保函包括银行保函、保证保险和担保保函</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其示范文本详见合同附件</w:t>
      </w:r>
      <w:r>
        <w:rPr>
          <w:rFonts w:hint="eastAsia" w:ascii="宋体" w:hAnsi="宋体"/>
          <w:color w:val="auto"/>
          <w:szCs w:val="21"/>
          <w:highlight w:val="none"/>
          <w:lang w:eastAsia="zh-CN"/>
        </w:rPr>
        <w:t>。</w:t>
      </w:r>
      <w:r>
        <w:rPr>
          <w:rFonts w:hint="eastAsia" w:ascii="宋体" w:hAnsi="宋体"/>
          <w:color w:val="auto"/>
          <w:kern w:val="0"/>
          <w:szCs w:val="21"/>
          <w:highlight w:val="none"/>
          <w:lang w:val="en-US" w:eastAsia="zh-CN"/>
        </w:rPr>
        <w:t>承包人提交的履约保函应</w:t>
      </w:r>
      <w:r>
        <w:rPr>
          <w:rFonts w:hint="eastAsia" w:ascii="宋体" w:hAnsi="宋体"/>
          <w:color w:val="auto"/>
          <w:kern w:val="0"/>
          <w:szCs w:val="21"/>
          <w:highlight w:val="none"/>
        </w:rPr>
        <w:t>严格执行</w:t>
      </w:r>
      <w:r>
        <w:rPr>
          <w:rFonts w:hint="eastAsia" w:ascii="宋体" w:hAnsi="宋体"/>
          <w:color w:val="auto"/>
          <w:kern w:val="0"/>
          <w:szCs w:val="21"/>
          <w:highlight w:val="none"/>
          <w:lang w:val="en-US" w:eastAsia="zh-CN"/>
        </w:rPr>
        <w:t>其</w:t>
      </w:r>
      <w:r>
        <w:rPr>
          <w:rFonts w:hint="eastAsia" w:ascii="宋体" w:hAnsi="宋体"/>
          <w:color w:val="auto"/>
          <w:kern w:val="0"/>
          <w:szCs w:val="21"/>
          <w:highlight w:val="none"/>
        </w:rPr>
        <w:t>示范文本，不得对示范文本中的实质性内容进行修改</w:t>
      </w:r>
      <w:r>
        <w:rPr>
          <w:rFonts w:hint="eastAsia" w:ascii="宋体" w:hAnsi="宋体"/>
          <w:color w:val="auto"/>
          <w:kern w:val="0"/>
          <w:szCs w:val="21"/>
          <w:highlight w:val="none"/>
          <w:lang w:eastAsia="zh-CN"/>
        </w:rPr>
        <w:t>。</w:t>
      </w:r>
      <w:r>
        <w:rPr>
          <w:rFonts w:hint="eastAsia" w:ascii="宋体" w:hAnsi="宋体"/>
          <w:color w:val="auto"/>
          <w:szCs w:val="21"/>
          <w:highlight w:val="none"/>
          <w:lang w:val="en-US" w:eastAsia="zh-CN"/>
        </w:rPr>
        <w:t>承包人若采用现金提交履约担保的，</w:t>
      </w:r>
      <w:r>
        <w:rPr>
          <w:rFonts w:hint="eastAsia" w:ascii="宋体" w:hAnsi="宋体"/>
          <w:color w:val="auto"/>
          <w:szCs w:val="21"/>
          <w:highlight w:val="none"/>
        </w:rPr>
        <w:t>允许使用符合</w:t>
      </w:r>
      <w:r>
        <w:rPr>
          <w:rFonts w:hint="eastAsia" w:ascii="宋体" w:hAnsi="宋体"/>
          <w:color w:val="auto"/>
          <w:szCs w:val="21"/>
          <w:highlight w:val="none"/>
          <w:lang w:eastAsia="zh-CN"/>
        </w:rPr>
        <w:t>《关于在全市工程建设领域全面推行工程保函工作的通知》（</w:t>
      </w:r>
      <w:r>
        <w:rPr>
          <w:rFonts w:hint="eastAsia" w:ascii="宋体" w:hAnsi="宋体"/>
          <w:color w:val="auto"/>
          <w:szCs w:val="21"/>
          <w:highlight w:val="none"/>
          <w:lang w:val="en-US" w:eastAsia="zh-CN"/>
        </w:rPr>
        <w:t>渝公管发〔2022〕25号）、</w:t>
      </w:r>
      <w:r>
        <w:rPr>
          <w:rFonts w:hint="eastAsia" w:ascii="宋体" w:hAnsi="宋体"/>
          <w:color w:val="auto"/>
          <w:szCs w:val="21"/>
          <w:highlight w:val="none"/>
          <w:lang w:eastAsia="zh-CN"/>
        </w:rPr>
        <w:t>《关于进一步规范工程建设领域工程保函示范文本的通知》（</w:t>
      </w:r>
      <w:r>
        <w:rPr>
          <w:rFonts w:hint="eastAsia" w:ascii="宋体" w:hAnsi="宋体"/>
          <w:color w:val="auto"/>
          <w:szCs w:val="21"/>
          <w:highlight w:val="none"/>
          <w:lang w:val="en-US" w:eastAsia="zh-CN"/>
        </w:rPr>
        <w:t>渝公管发〔2022〕26号）</w:t>
      </w:r>
      <w:r>
        <w:rPr>
          <w:rFonts w:hint="eastAsia" w:ascii="宋体" w:hAnsi="宋体"/>
          <w:color w:val="auto"/>
          <w:szCs w:val="21"/>
          <w:highlight w:val="none"/>
        </w:rPr>
        <w:t>要求的</w:t>
      </w:r>
      <w:r>
        <w:rPr>
          <w:rFonts w:hint="eastAsia" w:ascii="宋体" w:hAnsi="宋体"/>
          <w:color w:val="auto"/>
          <w:szCs w:val="21"/>
          <w:highlight w:val="none"/>
          <w:lang w:eastAsia="zh-CN"/>
        </w:rPr>
        <w:t>履约</w:t>
      </w:r>
      <w:r>
        <w:rPr>
          <w:rFonts w:hint="eastAsia" w:ascii="宋体" w:hAnsi="宋体"/>
          <w:color w:val="auto"/>
          <w:szCs w:val="21"/>
          <w:highlight w:val="none"/>
        </w:rPr>
        <w:t>保函置换</w:t>
      </w:r>
      <w:r>
        <w:rPr>
          <w:rFonts w:hint="eastAsia" w:ascii="宋体" w:hAnsi="宋体"/>
          <w:color w:val="auto"/>
          <w:szCs w:val="21"/>
          <w:highlight w:val="none"/>
          <w:lang w:val="en-US" w:eastAsia="zh-CN"/>
        </w:rPr>
        <w:t>。</w:t>
      </w:r>
    </w:p>
    <w:p w14:paraId="63964CD8">
      <w:pPr>
        <w:spacing w:line="360" w:lineRule="auto"/>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具体要求：履约保函</w:t>
      </w:r>
      <w:r>
        <w:rPr>
          <w:rFonts w:hint="eastAsia" w:ascii="宋体" w:hAnsi="宋体"/>
          <w:color w:val="auto"/>
          <w:kern w:val="0"/>
          <w:szCs w:val="21"/>
          <w:highlight w:val="none"/>
        </w:rPr>
        <w:t>的开立人应当是具有相应资格的银行、保险机构、融资担保公司，其信用资质、履约能力、担保能力、赔付流程、安全保密等应符合</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w:t>
      </w:r>
      <w:r>
        <w:rPr>
          <w:rFonts w:hint="eastAsia" w:ascii="宋体" w:hAnsi="宋体"/>
          <w:color w:val="auto"/>
          <w:kern w:val="0"/>
          <w:szCs w:val="21"/>
          <w:highlight w:val="none"/>
          <w:lang w:eastAsia="zh-CN"/>
        </w:rPr>
        <w:t>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承包人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履约保函（包括纸质保函或电子保函）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履约保函为纸质保函的，纸质保函应注明在</w:t>
      </w:r>
      <w:r>
        <w:rPr>
          <w:rFonts w:hint="eastAsia" w:ascii="宋体" w:hAnsi="宋体"/>
          <w:color w:val="auto"/>
          <w:kern w:val="0"/>
          <w:szCs w:val="21"/>
          <w:highlight w:val="none"/>
        </w:rPr>
        <w:t>重庆市辖区范围内的核验地址和核验方式</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并确保该纸质保函能在开立人在渝的总部或者分支机构进行核验</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承包人对所提交的履约保函的真实性、合法性、有效性负责。</w:t>
      </w:r>
    </w:p>
    <w:p w14:paraId="69DB4092">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）履约担保的金额：</w:t>
      </w:r>
      <w:r>
        <w:rPr>
          <w:rFonts w:hint="eastAsia" w:ascii="宋体" w:hAnsi="宋体"/>
          <w:color w:val="auto"/>
          <w:szCs w:val="21"/>
          <w:highlight w:val="none"/>
          <w:u w:val="single"/>
          <w:lang w:val="en-US" w:eastAsia="zh-CN"/>
        </w:rPr>
        <w:t>中标合同金额的10%</w:t>
      </w:r>
      <w:r>
        <w:rPr>
          <w:rFonts w:hint="eastAsia" w:ascii="宋体" w:hAnsi="宋体"/>
          <w:color w:val="auto"/>
          <w:szCs w:val="21"/>
          <w:highlight w:val="none"/>
        </w:rPr>
        <w:t xml:space="preserve"> </w:t>
      </w:r>
      <w:r>
        <w:rPr>
          <w:rFonts w:hint="eastAsia" w:ascii="宋体" w:hAnsi="宋体"/>
          <w:color w:val="auto"/>
          <w:szCs w:val="21"/>
          <w:highlight w:val="none"/>
          <w:lang w:eastAsia="zh-CN"/>
        </w:rPr>
        <w:t>，红名单企业缴纳应缴金额的</w:t>
      </w:r>
      <w:r>
        <w:rPr>
          <w:rFonts w:hint="eastAsia" w:ascii="宋体" w:hAnsi="宋体"/>
          <w:color w:val="auto"/>
          <w:szCs w:val="21"/>
          <w:highlight w:val="none"/>
          <w:lang w:val="en-US" w:eastAsia="zh-CN"/>
        </w:rPr>
        <w:t>80%</w:t>
      </w:r>
      <w:r>
        <w:rPr>
          <w:rFonts w:hint="eastAsia" w:ascii="宋体" w:hAnsi="宋体"/>
          <w:color w:val="auto"/>
          <w:szCs w:val="21"/>
          <w:highlight w:val="none"/>
        </w:rPr>
        <w:t>；</w:t>
      </w:r>
    </w:p>
    <w:p w14:paraId="651678D7">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）履约担保的提交时间：</w:t>
      </w:r>
      <w:r>
        <w:rPr>
          <w:rFonts w:hint="eastAsia" w:ascii="宋体" w:hAnsi="宋体"/>
          <w:color w:val="auto"/>
          <w:szCs w:val="21"/>
          <w:highlight w:val="none"/>
          <w:u w:val="single"/>
        </w:rPr>
        <w:t>从招标人中标通知书送达拟中标人之日起 15个 工作日内承包人按担保金额向发包人提交履约担</w:t>
      </w:r>
      <w:r>
        <w:rPr>
          <w:rFonts w:hint="eastAsia" w:ascii="宋体" w:hAnsi="宋体"/>
          <w:color w:val="auto"/>
          <w:szCs w:val="21"/>
          <w:highlight w:val="none"/>
        </w:rPr>
        <w:t>。</w:t>
      </w:r>
    </w:p>
    <w:p w14:paraId="35D69D7B">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）履约担保的期限：</w:t>
      </w:r>
      <w:r>
        <w:rPr>
          <w:rFonts w:hint="eastAsia" w:ascii="宋体" w:hAnsi="宋体"/>
          <w:color w:val="auto"/>
          <w:szCs w:val="21"/>
          <w:highlight w:val="none"/>
          <w:u w:val="single"/>
        </w:rPr>
        <w:t>自我方法定代表人（或其委托代理人）签名并加盖</w:t>
      </w:r>
      <w:r>
        <w:rPr>
          <w:rFonts w:hint="eastAsia" w:ascii="宋体" w:hAnsi="宋体"/>
          <w:color w:val="auto"/>
          <w:szCs w:val="21"/>
          <w:highlight w:val="none"/>
          <w:u w:val="single"/>
          <w:lang w:val="en-US" w:eastAsia="zh-CN"/>
        </w:rPr>
        <w:t>单位</w:t>
      </w:r>
      <w:r>
        <w:rPr>
          <w:rFonts w:hint="eastAsia" w:ascii="宋体" w:hAnsi="宋体"/>
          <w:color w:val="auto"/>
          <w:szCs w:val="21"/>
          <w:highlight w:val="none"/>
          <w:u w:val="single"/>
        </w:rPr>
        <w:t>公章之日起至你方签发或应签发工程接收证书之日止</w:t>
      </w:r>
      <w:r>
        <w:rPr>
          <w:rFonts w:hint="eastAsia" w:ascii="宋体" w:hAnsi="宋体"/>
          <w:color w:val="auto"/>
          <w:szCs w:val="21"/>
          <w:highlight w:val="none"/>
        </w:rPr>
        <w:t>。</w:t>
      </w:r>
    </w:p>
    <w:p w14:paraId="564CD654">
      <w:pPr>
        <w:tabs>
          <w:tab w:val="left" w:pos="1134"/>
        </w:tabs>
        <w:spacing w:line="360" w:lineRule="auto"/>
        <w:ind w:firstLine="0" w:firstLineChars="0"/>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）履约担保的退还时间：</w:t>
      </w:r>
      <w:r>
        <w:rPr>
          <w:rFonts w:hint="eastAsia" w:ascii="宋体" w:hAnsi="宋体"/>
          <w:color w:val="auto"/>
          <w:szCs w:val="21"/>
          <w:highlight w:val="none"/>
          <w:u w:val="single"/>
        </w:rPr>
        <w:t>采用现金担保的，工程竣工验收合格后14天内退还；采用</w:t>
      </w:r>
      <w:r>
        <w:rPr>
          <w:rFonts w:hint="eastAsia" w:ascii="宋体" w:hAnsi="宋体"/>
          <w:color w:val="auto"/>
          <w:szCs w:val="21"/>
          <w:highlight w:val="none"/>
          <w:u w:val="single"/>
          <w:lang w:val="en-US" w:eastAsia="zh-CN"/>
        </w:rPr>
        <w:t>履约</w:t>
      </w:r>
      <w:r>
        <w:rPr>
          <w:rFonts w:hint="eastAsia" w:ascii="宋体" w:hAnsi="宋体"/>
          <w:color w:val="auto"/>
          <w:szCs w:val="21"/>
          <w:highlight w:val="none"/>
          <w:u w:val="single"/>
        </w:rPr>
        <w:t xml:space="preserve">保函的，工程竣工验收合格后14天内退还 </w:t>
      </w:r>
      <w:r>
        <w:rPr>
          <w:rFonts w:hint="eastAsia" w:ascii="宋体" w:hAnsi="宋体"/>
          <w:color w:val="auto"/>
          <w:szCs w:val="21"/>
          <w:highlight w:val="none"/>
        </w:rPr>
        <w:t>。</w:t>
      </w:r>
    </w:p>
    <w:p w14:paraId="51AFC82E">
      <w:pPr>
        <w:pStyle w:val="2"/>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3.8农民工工资</w:t>
      </w:r>
    </w:p>
    <w:p w14:paraId="7F4CBAFD">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农民工工资保证金金额：中标通知书发出后（含发出当天）10日内，承包人按发包人的要求提交农民工工资保证金，并满足以下要求：</w:t>
      </w:r>
    </w:p>
    <w:p w14:paraId="4CF320C7">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 xml:space="preserve">（1）建设单位根据施工总承包单位按月申报的农民工工资资料，每月足额向施工总承包单位开设的农民工工资专用账户拨付农民工工资。 </w:t>
      </w:r>
    </w:p>
    <w:p w14:paraId="1E57E0E3">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 xml:space="preserve">（2）施工总承包单位每月申报的农民工工资资料中，应当包括：农民工工资支付监控预警平台考勤数据或者《进出场考勤表》、经农民工本人签字确认并公示的《农民工工资支付表》、总包单位与分包单位签订的《委托支付协议》或《农民工工资代发委托书》、上月的《农民工工资银行支付凭证》以及在本工地公示公告的照片等资料。 </w:t>
      </w:r>
    </w:p>
    <w:p w14:paraId="13455EBB">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 xml:space="preserve">（3）施工总承包单位必须按月如实申报，不得伪造出勤信息、提供虚假身份信息套取农民工工资，不得高估冒算农民工工资。 </w:t>
      </w:r>
    </w:p>
    <w:p w14:paraId="41019EA9">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 xml:space="preserve">（4）施工总承包单位必须按照规定使用农民工工资支付监控预警平台。 </w:t>
      </w:r>
    </w:p>
    <w:p w14:paraId="74E5F845">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（5）因施工总承包单位未按国家法律法规和政策规定落实“一金三制”等要求的，根据垫治欠办发〔</w:t>
      </w:r>
    </w:p>
    <w:p w14:paraId="23D0E901">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 xml:space="preserve">2021〕26号文件，属于或视为拖欠农民工工资行为的9种情形之一的，发生1次，从工程结算款中扣除2万元，以此递增。 </w:t>
      </w:r>
    </w:p>
    <w:p w14:paraId="75524E9B">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 xml:space="preserve">（6）通过伪造出勤信息、提供虚假身份信息、高估冒算农民工工资等手段套取农民工工资的，经查证属实的，按照套取金额的2倍，从工程结算款中扣除。 </w:t>
      </w:r>
    </w:p>
    <w:p w14:paraId="5CFA3137">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 xml:space="preserve">（7）被县级实地检查通报1次，从工程结算款中扣除2万元，被市级实地检查通报1次，从工程结算款中扣除4万元，以此递增。 </w:t>
      </w:r>
    </w:p>
    <w:p w14:paraId="3F6E2CD2">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 xml:space="preserve">（8）施工总承包单位未按月申报农民工工资的，每发生1次扣除2万元，以此递增，从工程结算款中扣除。 </w:t>
      </w:r>
    </w:p>
    <w:p w14:paraId="090B06F3">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（9）施工总承包单位未按规定使用农民工工资支付监控预警平台，从工程结算款中扣除2万元，以此递增。</w:t>
      </w:r>
    </w:p>
    <w:p w14:paraId="333CCAC2">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301" w:name="_Toc351203636"/>
      <w:bookmarkStart w:id="1302" w:name="_Toc532375611"/>
      <w:bookmarkStart w:id="1303" w:name="_Toc532377340"/>
      <w:r>
        <w:rPr>
          <w:rFonts w:hint="eastAsia"/>
          <w:color w:val="auto"/>
          <w:kern w:val="2"/>
          <w:sz w:val="21"/>
          <w:szCs w:val="21"/>
          <w:highlight w:val="none"/>
        </w:rPr>
        <w:t>4</w:t>
      </w:r>
      <w:bookmarkStart w:id="1304" w:name="_Toc292559871"/>
      <w:bookmarkStart w:id="1305" w:name="_Toc296503162"/>
      <w:bookmarkStart w:id="1306" w:name="_Toc296891202"/>
      <w:bookmarkStart w:id="1307" w:name="_Toc297120462"/>
      <w:bookmarkStart w:id="1308" w:name="_Toc296347161"/>
      <w:bookmarkStart w:id="1309" w:name="_Toc267251413"/>
      <w:bookmarkStart w:id="1310" w:name="_Toc296890990"/>
      <w:bookmarkStart w:id="1311" w:name="_Toc292559366"/>
      <w:bookmarkStart w:id="1312" w:name="_Toc297048348"/>
      <w:bookmarkStart w:id="1313" w:name="_Toc296944501"/>
      <w:bookmarkStart w:id="1314" w:name="_Toc296346663"/>
      <w:r>
        <w:rPr>
          <w:rFonts w:hint="eastAsia"/>
          <w:color w:val="auto"/>
          <w:kern w:val="2"/>
          <w:sz w:val="21"/>
          <w:szCs w:val="21"/>
          <w:highlight w:val="none"/>
        </w:rPr>
        <w:t>. 监</w:t>
      </w:r>
      <w:bookmarkEnd w:id="1304"/>
      <w:bookmarkEnd w:id="1305"/>
      <w:bookmarkEnd w:id="1306"/>
      <w:bookmarkEnd w:id="1307"/>
      <w:bookmarkEnd w:id="1308"/>
      <w:bookmarkEnd w:id="1309"/>
      <w:bookmarkEnd w:id="1310"/>
      <w:bookmarkEnd w:id="1311"/>
      <w:bookmarkEnd w:id="1312"/>
      <w:bookmarkEnd w:id="1313"/>
      <w:bookmarkEnd w:id="1314"/>
      <w:r>
        <w:rPr>
          <w:rFonts w:hint="eastAsia"/>
          <w:color w:val="auto"/>
          <w:kern w:val="2"/>
          <w:sz w:val="21"/>
          <w:szCs w:val="21"/>
          <w:highlight w:val="none"/>
        </w:rPr>
        <w:t>理人</w:t>
      </w:r>
      <w:bookmarkEnd w:id="1301"/>
      <w:bookmarkEnd w:id="1302"/>
      <w:bookmarkEnd w:id="1303"/>
    </w:p>
    <w:p w14:paraId="4ED859BC">
      <w:pPr>
        <w:pStyle w:val="7"/>
        <w:spacing w:before="0" w:beforeAutospacing="0" w:after="0" w:afterAutospacing="0" w:line="360" w:lineRule="auto"/>
        <w:ind w:firstLine="422" w:firstLineChars="200"/>
        <w:rPr>
          <w:color w:val="auto"/>
          <w:sz w:val="21"/>
          <w:szCs w:val="21"/>
          <w:highlight w:val="none"/>
        </w:rPr>
      </w:pPr>
      <w:bookmarkStart w:id="1315" w:name="_Toc532377341"/>
      <w:r>
        <w:rPr>
          <w:rFonts w:hint="eastAsia"/>
          <w:color w:val="auto"/>
          <w:sz w:val="21"/>
          <w:szCs w:val="21"/>
          <w:highlight w:val="none"/>
        </w:rPr>
        <w:t>4.1 监理人的一般规定</w:t>
      </w:r>
      <w:bookmarkEnd w:id="1315"/>
    </w:p>
    <w:p w14:paraId="7EA46AC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关于监理人的监理内容：</w:t>
      </w:r>
      <w:r>
        <w:rPr>
          <w:rFonts w:hint="eastAsia" w:ascii="宋体" w:hAnsi="宋体"/>
          <w:color w:val="auto"/>
          <w:szCs w:val="21"/>
          <w:highlight w:val="none"/>
          <w:u w:val="single"/>
        </w:rPr>
        <w:t>见发包人与监理人就本工程签订的监理合同</w:t>
      </w:r>
      <w:r>
        <w:rPr>
          <w:rFonts w:hint="eastAsia" w:ascii="宋体" w:hAnsi="宋体"/>
          <w:color w:val="auto"/>
          <w:szCs w:val="21"/>
          <w:highlight w:val="none"/>
        </w:rPr>
        <w:t>。</w:t>
      </w:r>
    </w:p>
    <w:p w14:paraId="2E46F42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关于监理人的监理权限：</w:t>
      </w:r>
      <w:r>
        <w:rPr>
          <w:rFonts w:hint="eastAsia" w:ascii="宋体" w:hAnsi="宋体"/>
          <w:color w:val="auto"/>
          <w:szCs w:val="21"/>
          <w:highlight w:val="none"/>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color w:val="auto"/>
          <w:szCs w:val="21"/>
          <w:highlight w:val="none"/>
        </w:rPr>
        <w:t>。</w:t>
      </w:r>
    </w:p>
    <w:p w14:paraId="2219FB5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关于监理人在施工现场的办公场所、生活场所的提供和费用承担的约定：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由监理人自行承担</w:t>
      </w:r>
      <w:r>
        <w:rPr>
          <w:rFonts w:hint="eastAsia" w:ascii="宋体" w:hAnsi="宋体"/>
          <w:color w:val="auto"/>
          <w:szCs w:val="21"/>
          <w:highlight w:val="none"/>
          <w:u w:val="single"/>
        </w:rPr>
        <w:t xml:space="preserve">                      </w:t>
      </w:r>
      <w:r>
        <w:rPr>
          <w:rFonts w:hint="eastAsia" w:ascii="宋体" w:hAnsi="宋体"/>
          <w:color w:val="auto"/>
          <w:szCs w:val="21"/>
          <w:highlight w:val="none"/>
        </w:rPr>
        <w:t>。</w:t>
      </w:r>
    </w:p>
    <w:p w14:paraId="296B504E">
      <w:pPr>
        <w:pStyle w:val="7"/>
        <w:spacing w:before="0" w:beforeAutospacing="0" w:after="0" w:afterAutospacing="0" w:line="360" w:lineRule="auto"/>
        <w:ind w:firstLine="422" w:firstLineChars="200"/>
        <w:rPr>
          <w:color w:val="auto"/>
          <w:sz w:val="21"/>
          <w:szCs w:val="21"/>
          <w:highlight w:val="none"/>
        </w:rPr>
      </w:pPr>
      <w:bookmarkStart w:id="1316" w:name="_Toc532377342"/>
      <w:r>
        <w:rPr>
          <w:rFonts w:hint="eastAsia"/>
          <w:color w:val="auto"/>
          <w:sz w:val="21"/>
          <w:szCs w:val="21"/>
          <w:highlight w:val="none"/>
        </w:rPr>
        <w:t>4.2 监理人员</w:t>
      </w:r>
      <w:bookmarkEnd w:id="1316"/>
    </w:p>
    <w:p w14:paraId="4962D4C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总监理工程师：</w:t>
      </w:r>
    </w:p>
    <w:p w14:paraId="6AE4D1A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w:t>
      </w:r>
      <w:r>
        <w:rPr>
          <w:rFonts w:hint="eastAsia" w:ascii="宋体" w:hAnsi="宋体"/>
          <w:color w:val="auto"/>
          <w:szCs w:val="21"/>
          <w:highlight w:val="none"/>
        </w:rPr>
        <w:t>；</w:t>
      </w:r>
    </w:p>
    <w:p w14:paraId="043C018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职    务：</w:t>
      </w:r>
      <w:r>
        <w:rPr>
          <w:rFonts w:ascii="宋体" w:hAnsi="宋体"/>
          <w:color w:val="auto"/>
          <w:szCs w:val="21"/>
          <w:highlight w:val="none"/>
          <w:u w:val="single"/>
        </w:rPr>
        <w:t xml:space="preserve">                          </w:t>
      </w:r>
      <w:r>
        <w:rPr>
          <w:rFonts w:hint="eastAsia" w:ascii="宋体" w:hAnsi="宋体"/>
          <w:color w:val="auto"/>
          <w:szCs w:val="21"/>
          <w:highlight w:val="none"/>
        </w:rPr>
        <w:t>；</w:t>
      </w:r>
    </w:p>
    <w:p w14:paraId="5701E51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监理工程师执业资格证书号：</w:t>
      </w:r>
      <w:r>
        <w:rPr>
          <w:rFonts w:ascii="宋体" w:hAnsi="宋体"/>
          <w:color w:val="auto"/>
          <w:szCs w:val="21"/>
          <w:highlight w:val="none"/>
          <w:u w:val="single"/>
        </w:rPr>
        <w:t xml:space="preserve">              </w:t>
      </w:r>
      <w:r>
        <w:rPr>
          <w:rFonts w:hint="eastAsia" w:ascii="宋体" w:hAnsi="宋体"/>
          <w:color w:val="auto"/>
          <w:szCs w:val="21"/>
          <w:highlight w:val="none"/>
        </w:rPr>
        <w:t>；</w:t>
      </w:r>
    </w:p>
    <w:p w14:paraId="6A4222B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 </w:t>
      </w:r>
      <w:r>
        <w:rPr>
          <w:rFonts w:hint="eastAsia" w:ascii="宋体" w:hAnsi="宋体"/>
          <w:color w:val="auto"/>
          <w:szCs w:val="21"/>
          <w:highlight w:val="none"/>
        </w:rPr>
        <w:t>；</w:t>
      </w:r>
    </w:p>
    <w:p w14:paraId="4C438E1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关于监理人的其他约定：</w:t>
      </w:r>
      <w:r>
        <w:rPr>
          <w:rFonts w:hint="eastAsia" w:ascii="宋体" w:hAnsi="宋体"/>
          <w:color w:val="auto"/>
          <w:szCs w:val="21"/>
          <w:highlight w:val="none"/>
          <w:u w:val="single"/>
        </w:rPr>
        <w:t>见发包人与监理人就本工程签订的监理合同</w:t>
      </w:r>
      <w:r>
        <w:rPr>
          <w:rFonts w:hint="eastAsia" w:ascii="宋体" w:hAnsi="宋体"/>
          <w:color w:val="auto"/>
          <w:szCs w:val="21"/>
          <w:highlight w:val="none"/>
        </w:rPr>
        <w:t>。</w:t>
      </w:r>
    </w:p>
    <w:p w14:paraId="50E629D1">
      <w:pPr>
        <w:pStyle w:val="7"/>
        <w:spacing w:before="0" w:beforeAutospacing="0" w:after="0" w:afterAutospacing="0" w:line="360" w:lineRule="auto"/>
        <w:ind w:firstLine="420" w:firstLineChars="200"/>
        <w:rPr>
          <w:b w:val="0"/>
          <w:color w:val="auto"/>
          <w:sz w:val="21"/>
          <w:szCs w:val="21"/>
          <w:highlight w:val="none"/>
        </w:rPr>
      </w:pPr>
      <w:bookmarkStart w:id="1317" w:name="_Toc532377343"/>
      <w:r>
        <w:rPr>
          <w:rFonts w:hint="eastAsia"/>
          <w:b w:val="0"/>
          <w:color w:val="auto"/>
          <w:sz w:val="21"/>
          <w:szCs w:val="21"/>
          <w:highlight w:val="none"/>
        </w:rPr>
        <w:t>4.4 商定或确定</w:t>
      </w:r>
      <w:bookmarkEnd w:id="1317"/>
    </w:p>
    <w:p w14:paraId="5BE4433F">
      <w:pPr>
        <w:spacing w:line="360" w:lineRule="auto"/>
        <w:ind w:firstLine="420" w:firstLineChars="200"/>
        <w:jc w:val="left"/>
        <w:rPr>
          <w:rFonts w:ascii="宋体" w:hAnsi="宋体"/>
          <w:color w:val="auto"/>
          <w:szCs w:val="21"/>
          <w:highlight w:val="none"/>
        </w:rPr>
      </w:pPr>
      <w:bookmarkStart w:id="1318" w:name="_Toc267251418"/>
      <w:r>
        <w:rPr>
          <w:rFonts w:hint="eastAsia" w:ascii="宋体" w:hAnsi="宋体"/>
          <w:color w:val="auto"/>
          <w:szCs w:val="21"/>
          <w:highlight w:val="none"/>
        </w:rPr>
        <w:t>在发包人和承包人不能通过协商达成一致意见时，发包人授权监理人对以下事项进行确定：</w:t>
      </w:r>
    </w:p>
    <w:p w14:paraId="7B58A05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 xml:space="preserve">                 </w:t>
      </w:r>
      <w:r>
        <w:rPr>
          <w:rFonts w:hint="eastAsia" w:ascii="宋体" w:hAnsi="宋体"/>
          <w:color w:val="auto"/>
          <w:szCs w:val="21"/>
          <w:highlight w:val="none"/>
          <w:u w:val="single"/>
          <w:lang w:val="en-US" w:eastAsia="zh-CN"/>
        </w:rPr>
        <w:t>无</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79DF05D">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319" w:name="_Toc351203637"/>
      <w:bookmarkStart w:id="1320" w:name="_Toc532377344"/>
      <w:bookmarkStart w:id="1321" w:name="_Toc532375612"/>
      <w:r>
        <w:rPr>
          <w:rFonts w:hint="eastAsia"/>
          <w:color w:val="auto"/>
          <w:kern w:val="2"/>
          <w:sz w:val="21"/>
          <w:szCs w:val="21"/>
          <w:highlight w:val="none"/>
        </w:rPr>
        <w:t>5</w:t>
      </w:r>
      <w:bookmarkEnd w:id="1318"/>
      <w:bookmarkStart w:id="1322" w:name="_Toc296347162"/>
      <w:bookmarkStart w:id="1323" w:name="_Toc292559872"/>
      <w:bookmarkStart w:id="1324" w:name="_Toc297048349"/>
      <w:bookmarkStart w:id="1325" w:name="_Toc296944502"/>
      <w:bookmarkStart w:id="1326" w:name="_Toc297120463"/>
      <w:bookmarkStart w:id="1327" w:name="_Toc296346664"/>
      <w:bookmarkStart w:id="1328" w:name="_Toc296891203"/>
      <w:bookmarkStart w:id="1329" w:name="_Toc292559367"/>
      <w:bookmarkStart w:id="1330" w:name="_Toc296890991"/>
      <w:bookmarkStart w:id="1331" w:name="_Toc296503163"/>
      <w:r>
        <w:rPr>
          <w:rFonts w:hint="eastAsia"/>
          <w:color w:val="auto"/>
          <w:kern w:val="2"/>
          <w:sz w:val="21"/>
          <w:szCs w:val="21"/>
          <w:highlight w:val="none"/>
        </w:rPr>
        <w:t>. 工程质量</w:t>
      </w:r>
      <w:bookmarkEnd w:id="1319"/>
      <w:bookmarkEnd w:id="1320"/>
      <w:bookmarkEnd w:id="1321"/>
    </w:p>
    <w:p w14:paraId="00DE032D">
      <w:pPr>
        <w:pStyle w:val="7"/>
        <w:spacing w:before="0" w:beforeAutospacing="0" w:after="0" w:afterAutospacing="0" w:line="360" w:lineRule="auto"/>
        <w:ind w:firstLine="422" w:firstLineChars="200"/>
        <w:rPr>
          <w:color w:val="auto"/>
          <w:sz w:val="21"/>
          <w:szCs w:val="21"/>
          <w:highlight w:val="none"/>
        </w:rPr>
      </w:pPr>
      <w:bookmarkStart w:id="1332" w:name="_Toc532377345"/>
      <w:r>
        <w:rPr>
          <w:rFonts w:hint="eastAsia"/>
          <w:color w:val="auto"/>
          <w:sz w:val="21"/>
          <w:szCs w:val="21"/>
          <w:highlight w:val="none"/>
        </w:rPr>
        <w:t>5.1 质量要求</w:t>
      </w:r>
      <w:bookmarkEnd w:id="1332"/>
      <w:bookmarkStart w:id="1333" w:name="_Hlk528909888"/>
      <w:bookmarkStart w:id="1334" w:name="_Toc303539106"/>
      <w:bookmarkStart w:id="1335" w:name="_Toc300934949"/>
      <w:bookmarkStart w:id="1336" w:name="_Toc318581164"/>
      <w:bookmarkStart w:id="1337" w:name="_Toc304295527"/>
      <w:bookmarkStart w:id="1338" w:name="_Toc312677997"/>
      <w:bookmarkStart w:id="1339" w:name="_Toc297216155"/>
      <w:bookmarkStart w:id="1340" w:name="_Toc297123496"/>
    </w:p>
    <w:p w14:paraId="001CB811">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工程质量符合强制性质量标准，</w:t>
      </w:r>
      <w:r>
        <w:rPr>
          <w:rFonts w:hint="eastAsia" w:ascii="宋体" w:hAnsi="宋体"/>
          <w:color w:val="auto"/>
          <w:szCs w:val="21"/>
          <w:highlight w:val="none"/>
          <w:u w:val="single"/>
        </w:rPr>
        <w:t>符合国家和重庆市现行有关施工质量验收规范要求，并达到合格标准</w:t>
      </w:r>
      <w:r>
        <w:rPr>
          <w:rFonts w:hint="eastAsia" w:ascii="宋体" w:hAnsi="宋体"/>
          <w:color w:val="auto"/>
          <w:szCs w:val="21"/>
          <w:highlight w:val="none"/>
        </w:rPr>
        <w:t>。强制性质量标准有（包括但不限于）：</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333"/>
    <w:p w14:paraId="387CDC7C">
      <w:pPr>
        <w:pStyle w:val="7"/>
        <w:spacing w:before="0" w:beforeAutospacing="0" w:after="0" w:afterAutospacing="0" w:line="360" w:lineRule="auto"/>
        <w:ind w:firstLine="422" w:firstLineChars="200"/>
        <w:rPr>
          <w:color w:val="auto"/>
          <w:sz w:val="21"/>
          <w:szCs w:val="21"/>
          <w:highlight w:val="none"/>
        </w:rPr>
      </w:pPr>
      <w:bookmarkStart w:id="1341" w:name="_Toc532377346"/>
      <w:r>
        <w:rPr>
          <w:rFonts w:hint="eastAsia"/>
          <w:color w:val="auto"/>
          <w:sz w:val="21"/>
          <w:szCs w:val="21"/>
          <w:highlight w:val="none"/>
        </w:rPr>
        <w:t>5.2 质量保证措施</w:t>
      </w:r>
      <w:bookmarkEnd w:id="1341"/>
    </w:p>
    <w:p w14:paraId="6C66B4C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本款补充5.2.4项：</w:t>
      </w:r>
    </w:p>
    <w:p w14:paraId="4481665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5.2.4 在工程建设中，参建各方应严格执行以下规定（包括但不限于）：</w:t>
      </w:r>
    </w:p>
    <w:p w14:paraId="2395335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《建筑工程施工质量验收统一标准》（GB50300-2013）</w:t>
      </w:r>
      <w:r>
        <w:rPr>
          <w:rFonts w:hint="eastAsia" w:ascii="宋体" w:hAnsi="宋体"/>
          <w:color w:val="auto"/>
          <w:szCs w:val="21"/>
          <w:highlight w:val="none"/>
        </w:rPr>
        <w:t>；</w:t>
      </w:r>
    </w:p>
    <w:p w14:paraId="5CAA982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《住房城乡建设部关于印发工程质量安全提升行动方案的通知》（建质〔2017〕57号）</w:t>
      </w:r>
      <w:r>
        <w:rPr>
          <w:rFonts w:hint="eastAsia" w:ascii="宋体" w:hAnsi="宋体"/>
          <w:color w:val="auto"/>
          <w:szCs w:val="21"/>
          <w:highlight w:val="none"/>
        </w:rPr>
        <w:t>；</w:t>
      </w:r>
    </w:p>
    <w:p w14:paraId="1817FD1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《房屋建筑和市政基础设施工程竣工验收规定》（建质〔2013〕171号）</w:t>
      </w:r>
      <w:r>
        <w:rPr>
          <w:rFonts w:hint="eastAsia" w:ascii="宋体" w:hAnsi="宋体"/>
          <w:color w:val="auto"/>
          <w:szCs w:val="21"/>
          <w:highlight w:val="none"/>
        </w:rPr>
        <w:t>；</w:t>
      </w:r>
    </w:p>
    <w:p w14:paraId="66C1311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《建设部关于贯彻执行建筑工程勘察设计及施工质量验收规范若干问题的通知》（建标〔2002〕212号）</w:t>
      </w:r>
      <w:r>
        <w:rPr>
          <w:rFonts w:hint="eastAsia" w:ascii="宋体" w:hAnsi="宋体"/>
          <w:color w:val="auto"/>
          <w:szCs w:val="21"/>
          <w:highlight w:val="none"/>
        </w:rPr>
        <w:t>；</w:t>
      </w:r>
    </w:p>
    <w:p w14:paraId="1EB38C6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u w:val="single"/>
        </w:rPr>
        <w:t>《重庆市住房和城乡建设委员会关于印发&lt;重庆市房屋建筑和市政基础设施工程质量常见问题防治要点（2019年版）&gt;的通知》（渝建〔2019〕198号）</w:t>
      </w:r>
      <w:r>
        <w:rPr>
          <w:rFonts w:hint="eastAsia" w:ascii="宋体" w:hAnsi="宋体"/>
          <w:color w:val="auto"/>
          <w:szCs w:val="21"/>
          <w:highlight w:val="none"/>
        </w:rPr>
        <w:t>；</w:t>
      </w:r>
    </w:p>
    <w:p w14:paraId="0EE8E30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rPr>
        <w:t>《关于印发&lt;重庆市房屋建筑和市政基础设施工程预拌商品砂浆应用推进工作方案&gt;的通知》（渝建〔2018〕375号）</w:t>
      </w:r>
      <w:r>
        <w:rPr>
          <w:rFonts w:hint="eastAsia" w:ascii="宋体" w:hAnsi="宋体"/>
          <w:color w:val="auto"/>
          <w:szCs w:val="21"/>
          <w:highlight w:val="none"/>
        </w:rPr>
        <w:t>；</w:t>
      </w:r>
    </w:p>
    <w:p w14:paraId="115BF21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u w:val="single"/>
        </w:rPr>
        <w:t>《重庆市城乡建设委员会关于印发2018年房屋建筑和市政基础设施工程质量要点的通知》（渝建〔2018〕94号）</w:t>
      </w:r>
      <w:r>
        <w:rPr>
          <w:rFonts w:hint="eastAsia" w:ascii="宋体" w:hAnsi="宋体"/>
          <w:color w:val="auto"/>
          <w:szCs w:val="21"/>
          <w:highlight w:val="none"/>
        </w:rPr>
        <w:t>；</w:t>
      </w:r>
    </w:p>
    <w:p w14:paraId="32DB4DD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u w:val="single"/>
        </w:rPr>
        <w:t>《重庆市城乡建设委员会关于进一步推广应用预拌商品砂浆的通知》（渝建〔2016〕318号）</w:t>
      </w:r>
      <w:r>
        <w:rPr>
          <w:rFonts w:hint="eastAsia" w:ascii="宋体" w:hAnsi="宋体"/>
          <w:color w:val="auto"/>
          <w:szCs w:val="21"/>
          <w:highlight w:val="none"/>
        </w:rPr>
        <w:t>；</w:t>
      </w:r>
    </w:p>
    <w:p w14:paraId="7CD10CF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u w:val="single"/>
        </w:rPr>
        <w:t>《重庆市建设委员会关于发布&lt;建筑工程施工质量验收规范用表（建筑节能分部工程）&gt;和&lt;建设工程技术用表（建筑节能工程）&gt;的通知》（渝建发〔2008〕76号）</w:t>
      </w:r>
      <w:r>
        <w:rPr>
          <w:rFonts w:hint="eastAsia" w:ascii="宋体" w:hAnsi="宋体"/>
          <w:color w:val="auto"/>
          <w:szCs w:val="21"/>
          <w:highlight w:val="none"/>
        </w:rPr>
        <w:t>；</w:t>
      </w:r>
    </w:p>
    <w:p w14:paraId="03C3FDF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w:t>
      </w:r>
      <w:r>
        <w:rPr>
          <w:rFonts w:hint="eastAsia" w:ascii="宋体" w:hAnsi="宋体"/>
          <w:color w:val="auto"/>
          <w:szCs w:val="21"/>
          <w:highlight w:val="none"/>
          <w:u w:val="single"/>
        </w:rPr>
        <w:t>国家和本市现行有关建设工程质量验收标准、规范和要求</w:t>
      </w:r>
      <w:r>
        <w:rPr>
          <w:rFonts w:hint="eastAsia" w:ascii="宋体" w:hAnsi="宋体"/>
          <w:color w:val="auto"/>
          <w:szCs w:val="21"/>
          <w:highlight w:val="none"/>
        </w:rPr>
        <w:t>；</w:t>
      </w:r>
    </w:p>
    <w:p w14:paraId="792BE4A1">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B6D008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承包人、监理人和发包人在工程建设中，应严格执行国家及重庆市现行标准，如上述标准及规范要求有出入则以较严格者为准。</w:t>
      </w:r>
    </w:p>
    <w:p w14:paraId="6E4AACFB">
      <w:pPr>
        <w:pStyle w:val="7"/>
        <w:spacing w:before="0" w:beforeAutospacing="0" w:after="0" w:afterAutospacing="0" w:line="360" w:lineRule="auto"/>
        <w:ind w:firstLine="422" w:firstLineChars="200"/>
        <w:rPr>
          <w:color w:val="auto"/>
          <w:sz w:val="21"/>
          <w:szCs w:val="21"/>
          <w:highlight w:val="none"/>
        </w:rPr>
      </w:pPr>
      <w:bookmarkStart w:id="1342" w:name="_Toc351203536"/>
      <w:bookmarkStart w:id="1343" w:name="_Toc532377347"/>
      <w:bookmarkStart w:id="1344" w:name="_Hlk528927873"/>
      <w:r>
        <w:rPr>
          <w:rFonts w:hint="eastAsia"/>
          <w:color w:val="auto"/>
          <w:sz w:val="21"/>
          <w:szCs w:val="21"/>
          <w:highlight w:val="none"/>
        </w:rPr>
        <w:t>5.3隐蔽工程检查</w:t>
      </w:r>
    </w:p>
    <w:p w14:paraId="0AD91E5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5.3.2检查程序</w:t>
      </w:r>
    </w:p>
    <w:p w14:paraId="0E84DEE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工程隐蔽部位经承包人自检确认具备覆盖条件的，承包人应在共同检查前</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12</w:t>
      </w:r>
      <w:r>
        <w:rPr>
          <w:rFonts w:hint="eastAsia" w:ascii="宋体" w:hAnsi="宋体"/>
          <w:color w:val="auto"/>
          <w:szCs w:val="21"/>
          <w:highlight w:val="none"/>
          <w:u w:val="single"/>
        </w:rPr>
        <w:t xml:space="preserve">  </w:t>
      </w:r>
      <w:r>
        <w:rPr>
          <w:rFonts w:hint="eastAsia" w:ascii="宋体" w:hAnsi="宋体"/>
          <w:color w:val="auto"/>
          <w:szCs w:val="21"/>
          <w:highlight w:val="none"/>
        </w:rPr>
        <w:t>小时书面通知监理人检查，通知中应载明隐蔽检查的内容、时间和地点，并应附有自检记录和必要的检查资料。</w:t>
      </w:r>
    </w:p>
    <w:p w14:paraId="4627B289">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5</w:t>
      </w:r>
      <w:bookmarkStart w:id="1345" w:name="_Toc337558762"/>
      <w:r>
        <w:rPr>
          <w:rFonts w:hint="eastAsia"/>
          <w:color w:val="auto"/>
          <w:sz w:val="21"/>
          <w:szCs w:val="21"/>
          <w:highlight w:val="none"/>
        </w:rPr>
        <w:t>.4 不合格工程的处理</w:t>
      </w:r>
      <w:bookmarkEnd w:id="1342"/>
      <w:bookmarkEnd w:id="1343"/>
    </w:p>
    <w:bookmarkEnd w:id="1345"/>
    <w:p w14:paraId="197D691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本款补充5.4.3项：</w:t>
      </w:r>
    </w:p>
    <w:p w14:paraId="272A308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5.4.3 承包人在收到监理人发出的《不合格分项报告》或监理通知单后，必须在监理人规定时间内按要求完成整改，未能在限定时间内完成整改的，须承担相应违约责任。</w:t>
      </w:r>
    </w:p>
    <w:p w14:paraId="162B4EC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本条补充5.6款：</w:t>
      </w:r>
    </w:p>
    <w:bookmarkEnd w:id="1344"/>
    <w:p w14:paraId="05C271BF">
      <w:pPr>
        <w:pStyle w:val="7"/>
        <w:spacing w:before="0" w:beforeAutospacing="0" w:after="0" w:afterAutospacing="0" w:line="360" w:lineRule="auto"/>
        <w:ind w:firstLine="422" w:firstLineChars="200"/>
        <w:rPr>
          <w:color w:val="auto"/>
          <w:sz w:val="21"/>
          <w:szCs w:val="21"/>
          <w:highlight w:val="none"/>
        </w:rPr>
      </w:pPr>
      <w:bookmarkStart w:id="1346" w:name="_Toc532377348"/>
      <w:r>
        <w:rPr>
          <w:rFonts w:hint="eastAsia"/>
          <w:color w:val="auto"/>
          <w:sz w:val="21"/>
          <w:szCs w:val="21"/>
          <w:highlight w:val="none"/>
        </w:rPr>
        <w:t>5.6 质量事故的处理</w:t>
      </w:r>
      <w:bookmarkEnd w:id="1346"/>
    </w:p>
    <w:p w14:paraId="53B8110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5.6.1 合同履行过程中，发生工程质量事故的调查处理按照国家及重庆市现行规定处理。</w:t>
      </w:r>
    </w:p>
    <w:p w14:paraId="2FC36BA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1322"/>
    <w:bookmarkEnd w:id="1323"/>
    <w:bookmarkEnd w:id="1324"/>
    <w:bookmarkEnd w:id="1325"/>
    <w:bookmarkEnd w:id="1326"/>
    <w:bookmarkEnd w:id="1327"/>
    <w:bookmarkEnd w:id="1328"/>
    <w:bookmarkEnd w:id="1329"/>
    <w:bookmarkEnd w:id="1330"/>
    <w:bookmarkEnd w:id="1331"/>
    <w:bookmarkEnd w:id="1334"/>
    <w:bookmarkEnd w:id="1335"/>
    <w:bookmarkEnd w:id="1336"/>
    <w:bookmarkEnd w:id="1337"/>
    <w:bookmarkEnd w:id="1338"/>
    <w:bookmarkEnd w:id="1339"/>
    <w:bookmarkEnd w:id="1340"/>
    <w:p w14:paraId="7DB42D2E">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347" w:name="_Toc532375613"/>
      <w:bookmarkStart w:id="1348" w:name="_Toc351203638"/>
      <w:bookmarkStart w:id="1349" w:name="_Toc532377349"/>
      <w:bookmarkStart w:id="1350" w:name="_Toc296891001"/>
      <w:bookmarkStart w:id="1351" w:name="_Toc296346674"/>
      <w:bookmarkStart w:id="1352" w:name="_Toc267251428"/>
      <w:bookmarkStart w:id="1353" w:name="_Toc351203642"/>
      <w:bookmarkStart w:id="1354" w:name="_Toc297120473"/>
      <w:bookmarkStart w:id="1355" w:name="_Toc296891213"/>
      <w:bookmarkStart w:id="1356" w:name="_Toc292559883"/>
      <w:bookmarkStart w:id="1357" w:name="_Toc267251427"/>
      <w:bookmarkStart w:id="1358" w:name="_Toc296347172"/>
      <w:bookmarkStart w:id="1359" w:name="_Toc296944512"/>
      <w:bookmarkStart w:id="1360" w:name="_Toc292559378"/>
      <w:bookmarkStart w:id="1361" w:name="_Toc296503173"/>
      <w:bookmarkStart w:id="1362" w:name="_Toc297048359"/>
      <w:r>
        <w:rPr>
          <w:rFonts w:hint="eastAsia"/>
          <w:color w:val="auto"/>
          <w:kern w:val="2"/>
          <w:sz w:val="21"/>
          <w:szCs w:val="21"/>
          <w:highlight w:val="none"/>
        </w:rPr>
        <w:t>6. 安全文明施工与环境保护</w:t>
      </w:r>
      <w:bookmarkEnd w:id="1347"/>
      <w:bookmarkEnd w:id="1348"/>
      <w:bookmarkEnd w:id="1349"/>
    </w:p>
    <w:p w14:paraId="0DB21D39">
      <w:pPr>
        <w:pStyle w:val="7"/>
        <w:spacing w:before="0" w:beforeAutospacing="0" w:after="0" w:afterAutospacing="0" w:line="360" w:lineRule="auto"/>
        <w:ind w:firstLine="422" w:firstLineChars="200"/>
        <w:rPr>
          <w:color w:val="auto"/>
          <w:sz w:val="21"/>
          <w:szCs w:val="21"/>
          <w:highlight w:val="none"/>
        </w:rPr>
      </w:pPr>
      <w:bookmarkStart w:id="1363" w:name="_Toc532377350"/>
      <w:bookmarkStart w:id="1364" w:name="_Toc532375614"/>
      <w:r>
        <w:rPr>
          <w:rFonts w:hint="eastAsia"/>
          <w:color w:val="auto"/>
          <w:sz w:val="21"/>
          <w:szCs w:val="21"/>
          <w:highlight w:val="none"/>
        </w:rPr>
        <w:t>6.1 安全文明施工</w:t>
      </w:r>
      <w:bookmarkEnd w:id="1363"/>
      <w:bookmarkEnd w:id="1364"/>
    </w:p>
    <w:p w14:paraId="0482499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承包人必须认真贯彻执行国家安全生产法律、法规、规章和强制性安全标准，按照重庆市现行的质量、安全文明施工有关规定和发包人安全管理的有关规定，建立完善的质量、安全、文明施工管理制度。</w:t>
      </w:r>
    </w:p>
    <w:p w14:paraId="59965DC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14:paraId="3E62729F">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6.1.1 项目安全生产的达标目标及相应事项的约定：</w:t>
      </w:r>
      <w:r>
        <w:rPr>
          <w:rFonts w:hint="eastAsia" w:ascii="宋体" w:hAnsi="宋体"/>
          <w:color w:val="auto"/>
          <w:szCs w:val="21"/>
          <w:highlight w:val="none"/>
          <w:u w:val="single"/>
        </w:rPr>
        <w:t>达到《建筑施工安全检查标准》（JGJ59-2011）的要求</w:t>
      </w:r>
      <w:r>
        <w:rPr>
          <w:rFonts w:hint="eastAsia" w:ascii="宋体" w:hAnsi="宋体"/>
          <w:color w:val="auto"/>
          <w:szCs w:val="21"/>
          <w:highlight w:val="none"/>
        </w:rPr>
        <w:t>。</w:t>
      </w:r>
    </w:p>
    <w:p w14:paraId="1F5E21C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（1）按现行安全文明施工费计取及使用管理的政策文件规定及发包人制订的安全管理制度执行</w:t>
      </w:r>
      <w:r>
        <w:rPr>
          <w:rFonts w:hint="eastAsia" w:ascii="宋体" w:hAnsi="宋体"/>
          <w:color w:val="auto"/>
          <w:szCs w:val="21"/>
          <w:highlight w:val="none"/>
        </w:rPr>
        <w:t>。</w:t>
      </w:r>
    </w:p>
    <w:p w14:paraId="51294DD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（2）承包人的原因造成事故，由此产生的法律责任和事故责任及费用由承包人全部承担</w:t>
      </w:r>
      <w:r>
        <w:rPr>
          <w:rFonts w:hint="eastAsia" w:ascii="宋体" w:hAnsi="宋体"/>
          <w:color w:val="auto"/>
          <w:szCs w:val="21"/>
          <w:highlight w:val="none"/>
        </w:rPr>
        <w:t>。</w:t>
      </w:r>
    </w:p>
    <w:p w14:paraId="379DDE7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（3）承包人向发包人做出安全承诺，并签订《安全生产目标责任书》和《安全承诺书》</w:t>
      </w:r>
      <w:r>
        <w:rPr>
          <w:rFonts w:hint="eastAsia" w:ascii="宋体" w:hAnsi="宋体"/>
          <w:color w:val="auto"/>
          <w:szCs w:val="21"/>
          <w:highlight w:val="none"/>
        </w:rPr>
        <w:t>。</w:t>
      </w:r>
    </w:p>
    <w:p w14:paraId="1C4128E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（4）承包人在施工过程中，必须严格执行安全生产法的相关规定，制定切实可靠的安全技术措施</w:t>
      </w:r>
      <w:r>
        <w:rPr>
          <w:rFonts w:hint="eastAsia" w:ascii="宋体" w:hAnsi="宋体"/>
          <w:color w:val="auto"/>
          <w:szCs w:val="21"/>
          <w:highlight w:val="none"/>
        </w:rPr>
        <w:t>。</w:t>
      </w:r>
    </w:p>
    <w:p w14:paraId="2A9E51B3">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（5）接受发包人安全监督和管理，在施工中违反安全管理规定和操作规程、违章作业的，承担违约责任</w:t>
      </w:r>
      <w:r>
        <w:rPr>
          <w:rFonts w:hint="eastAsia" w:ascii="宋体" w:hAnsi="宋体"/>
          <w:color w:val="auto"/>
          <w:szCs w:val="21"/>
          <w:highlight w:val="none"/>
        </w:rPr>
        <w:t>。</w:t>
      </w:r>
    </w:p>
    <w:p w14:paraId="3D90062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6.1.4 关于治安保卫的特别约定：</w:t>
      </w:r>
      <w:r>
        <w:rPr>
          <w:rFonts w:hint="eastAsia" w:ascii="宋体" w:hAnsi="宋体"/>
          <w:color w:val="auto"/>
          <w:szCs w:val="21"/>
          <w:highlight w:val="none"/>
          <w:u w:val="single"/>
        </w:rPr>
        <w:t>承包人负责组建施工现场治安管理机构或联防组织；承包人负责编制施工场地治安管理计划和突发治安事件紧急预案</w:t>
      </w:r>
      <w:r>
        <w:rPr>
          <w:rFonts w:hint="eastAsia" w:ascii="宋体" w:hAnsi="宋体"/>
          <w:color w:val="auto"/>
          <w:szCs w:val="21"/>
          <w:highlight w:val="none"/>
        </w:rPr>
        <w:t>。</w:t>
      </w:r>
    </w:p>
    <w:p w14:paraId="08E8D73B">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关于编制施工场地治安管理计划的约定：</w:t>
      </w:r>
      <w:r>
        <w:rPr>
          <w:rFonts w:hint="eastAsia" w:ascii="宋体" w:hAnsi="宋体"/>
          <w:color w:val="auto"/>
          <w:szCs w:val="21"/>
          <w:highlight w:val="none"/>
          <w:u w:val="single"/>
        </w:rPr>
        <w:t>由承包人负责</w:t>
      </w:r>
      <w:r>
        <w:rPr>
          <w:rFonts w:hint="eastAsia" w:ascii="宋体" w:hAnsi="宋体"/>
          <w:color w:val="auto"/>
          <w:szCs w:val="21"/>
          <w:highlight w:val="none"/>
        </w:rPr>
        <w:t>。</w:t>
      </w:r>
    </w:p>
    <w:p w14:paraId="4AD0EEB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6.1.5 文明施工</w:t>
      </w:r>
    </w:p>
    <w:p w14:paraId="2D395486">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合同当事人对文明施工的要求：</w:t>
      </w:r>
      <w:r>
        <w:rPr>
          <w:rFonts w:hint="eastAsia" w:ascii="宋体" w:hAnsi="宋体"/>
          <w:color w:val="auto"/>
          <w:szCs w:val="21"/>
          <w:highlight w:val="none"/>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color w:val="auto"/>
          <w:szCs w:val="21"/>
          <w:highlight w:val="none"/>
        </w:rPr>
        <w:t>。</w:t>
      </w:r>
    </w:p>
    <w:p w14:paraId="691395B1">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color w:val="auto"/>
          <w:szCs w:val="21"/>
          <w:highlight w:val="none"/>
        </w:rPr>
        <w:t>。</w:t>
      </w:r>
    </w:p>
    <w:p w14:paraId="79704B39">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6.1.6 关于安全文明施工费支付比例和支付期限的约定：按照行业主管部门相关规定执行。</w:t>
      </w:r>
    </w:p>
    <w:p w14:paraId="6A7CC1B7">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安全文明施工费的要求与内容、提取支付方法以及违反约定造成损失的赔偿等条款，按照现行规范要求执行，做到专款专用</w:t>
      </w:r>
      <w:r>
        <w:rPr>
          <w:rFonts w:hint="eastAsia" w:ascii="宋体" w:hAnsi="宋体"/>
          <w:color w:val="auto"/>
          <w:szCs w:val="21"/>
          <w:highlight w:val="none"/>
        </w:rPr>
        <w:t>。</w:t>
      </w:r>
    </w:p>
    <w:p w14:paraId="39EEDD42">
      <w:pPr>
        <w:pStyle w:val="7"/>
        <w:spacing w:before="0" w:beforeAutospacing="0" w:after="0" w:afterAutospacing="0" w:line="360" w:lineRule="auto"/>
        <w:ind w:firstLine="422" w:firstLineChars="200"/>
        <w:rPr>
          <w:color w:val="auto"/>
          <w:sz w:val="21"/>
          <w:szCs w:val="21"/>
          <w:highlight w:val="none"/>
        </w:rPr>
      </w:pPr>
      <w:bookmarkStart w:id="1365" w:name="_Toc532375615"/>
      <w:bookmarkStart w:id="1366" w:name="_Toc532377351"/>
      <w:r>
        <w:rPr>
          <w:rFonts w:hint="eastAsia"/>
          <w:color w:val="auto"/>
          <w:sz w:val="21"/>
          <w:szCs w:val="21"/>
          <w:highlight w:val="none"/>
        </w:rPr>
        <w:t>6.3 环境保护</w:t>
      </w:r>
      <w:bookmarkEnd w:id="1365"/>
      <w:bookmarkEnd w:id="1366"/>
    </w:p>
    <w:p w14:paraId="7D94C4ED">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本款补充6.3.1～6.3.8项：</w:t>
      </w:r>
    </w:p>
    <w:p w14:paraId="105ADF05">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14:paraId="3B4148A4">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54F03A0F">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6.3.3 承包人应加强生态环境保护工作。施工期间，采取边坡防护，挡渣坝、排水沟、沉淀池、表土剥离和绿化恢复等水土保持措施减少水土流失量，绿化恢复宜采用适于当地生长的植物。</w:t>
      </w:r>
    </w:p>
    <w:p w14:paraId="55AFA7DF">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6.3.4 承包人应认真落实水污染防治措施。施工期间，加强机械设备维护，减少跑冒滴漏等现象；做好含油废水处理措施；施工场地生活污水经生化处理后达到《污水综合排放标准》（GB8978-1996）一级标准后排放。</w:t>
      </w:r>
    </w:p>
    <w:p w14:paraId="588D1B7E">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6.3.5 承包人应重视大气污染物污染防治措施。施工期间，严格执行市政府“蓝天行动”方案等有关规定，通过洒水防尘，严格控制施工场地扬尘和运输扬尘污染。</w:t>
      </w:r>
    </w:p>
    <w:p w14:paraId="6C8E85B5">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6.3.6 承包人应落实固体废物污染防治措施。施工期间，项目产生的弃方不可合理</w:t>
      </w:r>
      <w:r>
        <w:rPr>
          <w:rFonts w:ascii="宋体" w:hAnsi="宋体"/>
          <w:color w:val="auto"/>
          <w:szCs w:val="21"/>
          <w:highlight w:val="none"/>
        </w:rPr>
        <w:t>利用的</w:t>
      </w:r>
      <w:r>
        <w:rPr>
          <w:rFonts w:hint="eastAsia" w:ascii="宋体" w:hAnsi="宋体"/>
          <w:color w:val="auto"/>
          <w:szCs w:val="21"/>
          <w:highlight w:val="none"/>
        </w:rPr>
        <w:t>，应运往指定的弃渣场内堆存；建筑垃圾运至指定的建筑垃圾消纳场处置；生活垃圾由当地环卫部门统一处置。</w:t>
      </w:r>
    </w:p>
    <w:p w14:paraId="2FA7EA23">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6.3.7 承包人应认真落实噪声污染防治措施。施工期间，优选低噪声设备，合理安排施工时间，严格控制夜间施工，昼、夜施工场界需满足《建筑施工场界环境噪声排放标准》（GB12523-2011）。</w:t>
      </w:r>
    </w:p>
    <w:p w14:paraId="29FBF31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6.3.8 承包人自行负责办理有关施工场地交通、环卫和施工噪音管理等手续，并应按要求结合自身实际和重庆市相关规定，考虑不低于以上标准的此类工作。</w:t>
      </w:r>
    </w:p>
    <w:p w14:paraId="38E649B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6.3.9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C2AFA56">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367" w:name="_Toc351203639"/>
      <w:bookmarkStart w:id="1368" w:name="_Toc532375616"/>
      <w:bookmarkStart w:id="1369" w:name="_Toc532377352"/>
      <w:r>
        <w:rPr>
          <w:rFonts w:hint="eastAsia"/>
          <w:color w:val="auto"/>
          <w:kern w:val="2"/>
          <w:sz w:val="21"/>
          <w:szCs w:val="21"/>
          <w:highlight w:val="none"/>
        </w:rPr>
        <w:t>7. 工期和进度</w:t>
      </w:r>
      <w:bookmarkEnd w:id="1367"/>
      <w:bookmarkEnd w:id="1368"/>
      <w:bookmarkEnd w:id="1369"/>
    </w:p>
    <w:p w14:paraId="2EEEE6F9">
      <w:pPr>
        <w:pStyle w:val="7"/>
        <w:spacing w:before="0" w:beforeAutospacing="0" w:after="0" w:afterAutospacing="0" w:line="360" w:lineRule="auto"/>
        <w:ind w:firstLine="422" w:firstLineChars="200"/>
        <w:rPr>
          <w:color w:val="auto"/>
          <w:sz w:val="21"/>
          <w:szCs w:val="21"/>
          <w:highlight w:val="none"/>
        </w:rPr>
      </w:pPr>
      <w:bookmarkStart w:id="1370" w:name="_Toc532375617"/>
      <w:bookmarkStart w:id="1371" w:name="_Toc532377353"/>
      <w:r>
        <w:rPr>
          <w:rFonts w:hint="eastAsia"/>
          <w:color w:val="auto"/>
          <w:sz w:val="21"/>
          <w:szCs w:val="21"/>
          <w:highlight w:val="none"/>
        </w:rPr>
        <w:t>7.1 施工组织设计</w:t>
      </w:r>
      <w:bookmarkEnd w:id="1370"/>
      <w:bookmarkEnd w:id="1371"/>
    </w:p>
    <w:p w14:paraId="4FED941C">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7.1.1 合同当事人约定的施工组织设计应包括的其他内容：</w:t>
      </w:r>
      <w:r>
        <w:rPr>
          <w:rFonts w:hint="eastAsia" w:ascii="宋体" w:hAnsi="宋体"/>
          <w:color w:val="auto"/>
          <w:szCs w:val="21"/>
          <w:highlight w:val="none"/>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color w:val="auto"/>
          <w:szCs w:val="21"/>
          <w:highlight w:val="none"/>
        </w:rPr>
        <w:t>。</w:t>
      </w:r>
    </w:p>
    <w:p w14:paraId="6AB47FC3">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7.1.2 施工组织设计的提交和修改</w:t>
      </w:r>
    </w:p>
    <w:p w14:paraId="6670D17C">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承包人提交详细施工组织设计的期限的约定：</w:t>
      </w:r>
      <w:r>
        <w:rPr>
          <w:rFonts w:hint="eastAsia" w:ascii="宋体" w:hAnsi="宋体"/>
          <w:color w:val="auto"/>
          <w:szCs w:val="21"/>
          <w:highlight w:val="none"/>
          <w:u w:val="single"/>
        </w:rPr>
        <w:t xml:space="preserve">合同签订后 </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 xml:space="preserve"> 天内，但最迟不得晚于开工通知载明的开工日期前7天</w:t>
      </w:r>
      <w:r>
        <w:rPr>
          <w:rFonts w:hint="eastAsia" w:ascii="宋体" w:hAnsi="宋体"/>
          <w:color w:val="auto"/>
          <w:szCs w:val="21"/>
          <w:highlight w:val="none"/>
        </w:rPr>
        <w:t>。</w:t>
      </w:r>
    </w:p>
    <w:p w14:paraId="5C60D6B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发包人和监理人在收到详细的施工组织设计后确认或提出修改意见的期限：</w:t>
      </w:r>
      <w:r>
        <w:rPr>
          <w:rFonts w:hint="eastAsia" w:ascii="宋体" w:hAnsi="宋体"/>
          <w:color w:val="auto"/>
          <w:szCs w:val="21"/>
          <w:highlight w:val="none"/>
          <w:u w:val="single"/>
        </w:rPr>
        <w:t xml:space="preserve">收到施工组织设计后 </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 xml:space="preserve"> 天内</w:t>
      </w:r>
      <w:r>
        <w:rPr>
          <w:rFonts w:hint="eastAsia" w:ascii="宋体" w:hAnsi="宋体"/>
          <w:color w:val="auto"/>
          <w:szCs w:val="21"/>
          <w:highlight w:val="none"/>
        </w:rPr>
        <w:t>。</w:t>
      </w:r>
    </w:p>
    <w:p w14:paraId="40C44B4B">
      <w:pPr>
        <w:pStyle w:val="7"/>
        <w:spacing w:before="0" w:beforeAutospacing="0" w:after="0" w:afterAutospacing="0" w:line="360" w:lineRule="auto"/>
        <w:ind w:firstLine="422" w:firstLineChars="200"/>
        <w:rPr>
          <w:color w:val="auto"/>
          <w:sz w:val="21"/>
          <w:szCs w:val="21"/>
          <w:highlight w:val="none"/>
        </w:rPr>
      </w:pPr>
      <w:bookmarkStart w:id="1372" w:name="_Toc532377354"/>
      <w:bookmarkStart w:id="1373" w:name="_Toc532375618"/>
      <w:r>
        <w:rPr>
          <w:rFonts w:hint="eastAsia"/>
          <w:color w:val="auto"/>
          <w:sz w:val="21"/>
          <w:szCs w:val="21"/>
          <w:highlight w:val="none"/>
        </w:rPr>
        <w:t>7.2 施工进度计划</w:t>
      </w:r>
      <w:bookmarkEnd w:id="1372"/>
      <w:bookmarkEnd w:id="1373"/>
    </w:p>
    <w:p w14:paraId="63B95AA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7.2.2 施工进度计划的修订</w:t>
      </w:r>
    </w:p>
    <w:p w14:paraId="4FA166F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发包人和监理人在收到修订的施工进度计划后确认或提出修改意见的期限：</w:t>
      </w:r>
      <w:r>
        <w:rPr>
          <w:rFonts w:hint="eastAsia" w:ascii="宋体" w:hAnsi="宋体"/>
          <w:color w:val="auto"/>
          <w:szCs w:val="21"/>
          <w:highlight w:val="none"/>
          <w:u w:val="single"/>
        </w:rPr>
        <w:t xml:space="preserve">收到修订的施工进度计划后  </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天内</w:t>
      </w:r>
      <w:r>
        <w:rPr>
          <w:rFonts w:hint="eastAsia" w:ascii="宋体" w:hAnsi="宋体"/>
          <w:color w:val="auto"/>
          <w:szCs w:val="21"/>
          <w:highlight w:val="none"/>
        </w:rPr>
        <w:t>。</w:t>
      </w:r>
    </w:p>
    <w:p w14:paraId="4FD515F6">
      <w:pPr>
        <w:pStyle w:val="7"/>
        <w:spacing w:before="0" w:beforeAutospacing="0" w:after="0" w:afterAutospacing="0" w:line="360" w:lineRule="auto"/>
        <w:ind w:firstLine="422" w:firstLineChars="200"/>
        <w:rPr>
          <w:color w:val="auto"/>
          <w:sz w:val="21"/>
          <w:szCs w:val="21"/>
          <w:highlight w:val="none"/>
        </w:rPr>
      </w:pPr>
      <w:bookmarkStart w:id="1374" w:name="_Toc532375619"/>
      <w:bookmarkStart w:id="1375" w:name="_Toc532377355"/>
      <w:bookmarkStart w:id="1376" w:name="_Toc304295541"/>
      <w:bookmarkStart w:id="1377" w:name="_Toc300934966"/>
      <w:bookmarkStart w:id="1378" w:name="_Toc312678005"/>
      <w:bookmarkStart w:id="1379" w:name="_Toc312677479"/>
      <w:bookmarkStart w:id="1380" w:name="_Toc297216173"/>
      <w:bookmarkStart w:id="1381" w:name="_Toc303539123"/>
      <w:bookmarkStart w:id="1382" w:name="_Toc297123514"/>
      <w:r>
        <w:rPr>
          <w:rFonts w:hint="eastAsia"/>
          <w:color w:val="auto"/>
          <w:sz w:val="21"/>
          <w:szCs w:val="21"/>
          <w:highlight w:val="none"/>
        </w:rPr>
        <w:t>7.3 开工</w:t>
      </w:r>
      <w:bookmarkEnd w:id="1374"/>
      <w:bookmarkEnd w:id="1375"/>
    </w:p>
    <w:p w14:paraId="013D566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7.3.1 开工准备</w:t>
      </w:r>
    </w:p>
    <w:p w14:paraId="3090A8C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关于承包人提交工程开工报审表的期限：</w:t>
      </w:r>
      <w:r>
        <w:rPr>
          <w:rFonts w:hint="eastAsia" w:ascii="宋体" w:hAnsi="宋体"/>
          <w:color w:val="auto"/>
          <w:szCs w:val="21"/>
          <w:highlight w:val="none"/>
          <w:u w:val="single"/>
        </w:rPr>
        <w:t xml:space="preserve">不晚于开工前 </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 xml:space="preserve"> 天</w:t>
      </w:r>
      <w:r>
        <w:rPr>
          <w:rFonts w:hint="eastAsia" w:ascii="宋体" w:hAnsi="宋体"/>
          <w:color w:val="auto"/>
          <w:szCs w:val="21"/>
          <w:highlight w:val="none"/>
        </w:rPr>
        <w:t>。</w:t>
      </w:r>
    </w:p>
    <w:p w14:paraId="42DCF11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关于发包人应完成的其他开工准备工作及期限：</w:t>
      </w:r>
      <w:r>
        <w:rPr>
          <w:rFonts w:hint="eastAsia" w:ascii="宋体" w:hAnsi="宋体"/>
          <w:color w:val="auto"/>
          <w:szCs w:val="21"/>
          <w:highlight w:val="none"/>
          <w:u w:val="single"/>
        </w:rPr>
        <w:t xml:space="preserve">不晚于开工前 </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 xml:space="preserve"> 天</w:t>
      </w:r>
      <w:r>
        <w:rPr>
          <w:rFonts w:hint="eastAsia" w:ascii="宋体" w:hAnsi="宋体"/>
          <w:color w:val="auto"/>
          <w:szCs w:val="21"/>
          <w:highlight w:val="none"/>
        </w:rPr>
        <w:t>。</w:t>
      </w:r>
    </w:p>
    <w:p w14:paraId="2FC3E8F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关于承包人应完成的其他开工准备工作及期限：</w:t>
      </w:r>
      <w:r>
        <w:rPr>
          <w:rFonts w:hint="eastAsia" w:ascii="宋体" w:hAnsi="宋体"/>
          <w:color w:val="auto"/>
          <w:szCs w:val="21"/>
          <w:highlight w:val="none"/>
          <w:u w:val="single"/>
        </w:rPr>
        <w:t xml:space="preserve">不晚于开工前 </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 xml:space="preserve"> 天</w:t>
      </w:r>
      <w:r>
        <w:rPr>
          <w:rFonts w:hint="eastAsia" w:ascii="宋体" w:hAnsi="宋体"/>
          <w:color w:val="auto"/>
          <w:szCs w:val="21"/>
          <w:highlight w:val="none"/>
        </w:rPr>
        <w:t>。</w:t>
      </w:r>
    </w:p>
    <w:bookmarkEnd w:id="1376"/>
    <w:bookmarkEnd w:id="1377"/>
    <w:bookmarkEnd w:id="1378"/>
    <w:bookmarkEnd w:id="1379"/>
    <w:bookmarkEnd w:id="1380"/>
    <w:bookmarkEnd w:id="1381"/>
    <w:bookmarkEnd w:id="1382"/>
    <w:p w14:paraId="38D08B52">
      <w:pPr>
        <w:pStyle w:val="7"/>
        <w:spacing w:before="0" w:beforeAutospacing="0" w:after="0" w:afterAutospacing="0" w:line="360" w:lineRule="auto"/>
        <w:ind w:firstLine="422" w:firstLineChars="200"/>
        <w:rPr>
          <w:color w:val="auto"/>
          <w:sz w:val="21"/>
          <w:szCs w:val="21"/>
          <w:highlight w:val="none"/>
        </w:rPr>
      </w:pPr>
      <w:bookmarkStart w:id="1383" w:name="_Toc532375620"/>
      <w:bookmarkStart w:id="1384" w:name="_Toc532377356"/>
      <w:r>
        <w:rPr>
          <w:rFonts w:hint="eastAsia"/>
          <w:color w:val="auto"/>
          <w:sz w:val="21"/>
          <w:szCs w:val="21"/>
          <w:highlight w:val="none"/>
        </w:rPr>
        <w:t>7.4 测量放线</w:t>
      </w:r>
      <w:bookmarkEnd w:id="1383"/>
      <w:bookmarkEnd w:id="1384"/>
    </w:p>
    <w:p w14:paraId="48291E6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7.4.1 发包人通过监理人向承包人提供测量基准点、基准线和水准点及其书面资料的期限：</w:t>
      </w:r>
      <w:r>
        <w:rPr>
          <w:rFonts w:hint="eastAsia" w:ascii="宋体" w:hAnsi="宋体"/>
          <w:color w:val="auto"/>
          <w:szCs w:val="21"/>
          <w:highlight w:val="none"/>
          <w:u w:val="single"/>
        </w:rPr>
        <w:t xml:space="preserve">不晚于开工前 </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 xml:space="preserve"> 天</w:t>
      </w:r>
      <w:r>
        <w:rPr>
          <w:rFonts w:hint="eastAsia" w:ascii="宋体" w:hAnsi="宋体"/>
          <w:color w:val="auto"/>
          <w:szCs w:val="21"/>
          <w:highlight w:val="none"/>
        </w:rPr>
        <w:t>。</w:t>
      </w:r>
    </w:p>
    <w:p w14:paraId="08E67F2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承包人报监理人审批施工控制网资料的期限：</w:t>
      </w:r>
      <w:r>
        <w:rPr>
          <w:rFonts w:hint="eastAsia" w:ascii="宋体" w:hAnsi="宋体"/>
          <w:color w:val="auto"/>
          <w:szCs w:val="21"/>
          <w:highlight w:val="none"/>
          <w:u w:val="single"/>
        </w:rPr>
        <w:t xml:space="preserve">发出开工通知后 </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 xml:space="preserve">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color w:val="auto"/>
          <w:szCs w:val="21"/>
          <w:highlight w:val="none"/>
        </w:rPr>
        <w:t>。</w:t>
      </w:r>
    </w:p>
    <w:p w14:paraId="2120D804">
      <w:pPr>
        <w:pStyle w:val="7"/>
        <w:spacing w:before="0" w:beforeAutospacing="0" w:after="0" w:afterAutospacing="0" w:line="360" w:lineRule="auto"/>
        <w:ind w:firstLine="422" w:firstLineChars="200"/>
        <w:rPr>
          <w:color w:val="auto"/>
          <w:sz w:val="21"/>
          <w:szCs w:val="21"/>
          <w:highlight w:val="none"/>
        </w:rPr>
      </w:pPr>
      <w:bookmarkStart w:id="1385" w:name="_Toc532375621"/>
      <w:bookmarkStart w:id="1386" w:name="_Toc532377357"/>
      <w:r>
        <w:rPr>
          <w:rFonts w:hint="eastAsia"/>
          <w:color w:val="auto"/>
          <w:sz w:val="21"/>
          <w:szCs w:val="21"/>
          <w:highlight w:val="none"/>
        </w:rPr>
        <w:t>7</w:t>
      </w:r>
      <w:bookmarkStart w:id="1387" w:name="_Toc297216175"/>
      <w:bookmarkStart w:id="1388" w:name="_Toc297123516"/>
      <w:bookmarkStart w:id="1389" w:name="_Toc303539125"/>
      <w:bookmarkStart w:id="1390" w:name="_Toc300934968"/>
      <w:bookmarkStart w:id="1391" w:name="_Toc312678010"/>
      <w:bookmarkStart w:id="1392" w:name="_Toc312677484"/>
      <w:bookmarkStart w:id="1393" w:name="_Toc304295546"/>
      <w:r>
        <w:rPr>
          <w:rFonts w:hint="eastAsia"/>
          <w:color w:val="auto"/>
          <w:sz w:val="21"/>
          <w:szCs w:val="21"/>
          <w:highlight w:val="none"/>
        </w:rPr>
        <w:t>.5 工期延误</w:t>
      </w:r>
      <w:bookmarkEnd w:id="1385"/>
      <w:bookmarkEnd w:id="1386"/>
    </w:p>
    <w:bookmarkEnd w:id="1387"/>
    <w:bookmarkEnd w:id="1388"/>
    <w:bookmarkEnd w:id="1389"/>
    <w:bookmarkEnd w:id="1390"/>
    <w:bookmarkEnd w:id="1391"/>
    <w:bookmarkEnd w:id="1392"/>
    <w:bookmarkEnd w:id="1393"/>
    <w:p w14:paraId="454C0A28">
      <w:pPr>
        <w:spacing w:line="360" w:lineRule="auto"/>
        <w:ind w:firstLine="420" w:firstLineChars="200"/>
        <w:jc w:val="left"/>
        <w:rPr>
          <w:rFonts w:ascii="宋体" w:hAnsi="宋体"/>
          <w:color w:val="auto"/>
          <w:szCs w:val="21"/>
          <w:highlight w:val="none"/>
        </w:rPr>
      </w:pPr>
      <w:bookmarkStart w:id="1394" w:name="_Hlk528927940"/>
      <w:r>
        <w:rPr>
          <w:rFonts w:hint="eastAsia" w:ascii="宋体" w:hAnsi="宋体"/>
          <w:color w:val="auto"/>
          <w:szCs w:val="21"/>
          <w:highlight w:val="none"/>
        </w:rPr>
        <w:t>7.5.1 因发包人原因导致工期延误：</w:t>
      </w:r>
    </w:p>
    <w:p w14:paraId="5DCFE03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在合同履行过程中，除通用条款约定外，因下列情况导致工期延误，由发包人承担由此延误的工期：</w:t>
      </w:r>
    </w:p>
    <w:p w14:paraId="1D1D101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（1）发包人未能按合同约定提供施工场地，且该未提供开工条件直接影响项目关键线路的；</w:t>
      </w:r>
    </w:p>
    <w:p w14:paraId="26E24AA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（2）发包人提供的测量基准点、基准线和水准点及其书面资料存在错误或疏漏，且该错误或疏漏直接影响项目关键线路的；</w:t>
      </w:r>
    </w:p>
    <w:p w14:paraId="63960E0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（3）监理人未按合同约定发出指示、批准等文件，且该未按合同约定发出指示、批准直接影响项目关键线路的；</w:t>
      </w:r>
    </w:p>
    <w:p w14:paraId="52F631F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（4）变更未及时审批，直接影响项目关键线路的；</w:t>
      </w:r>
    </w:p>
    <w:p w14:paraId="0DA848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（5）实施变更直接影响项目关键线路的；</w:t>
      </w:r>
    </w:p>
    <w:p w14:paraId="3F7A271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（6）因发包人原因导致工程暂停施工、停建、缓建的；</w:t>
      </w:r>
    </w:p>
    <w:p w14:paraId="28F5308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（7）因征地拆迁、当地群众阻工等情形的；</w:t>
      </w:r>
    </w:p>
    <w:p w14:paraId="75DC5EE4">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（8）</w:t>
      </w:r>
      <w:r>
        <w:rPr>
          <w:rFonts w:hint="eastAsia" w:ascii="宋体" w:hAnsi="宋体"/>
          <w:color w:val="auto"/>
          <w:szCs w:val="21"/>
          <w:highlight w:val="none"/>
          <w:u w:val="single"/>
        </w:rPr>
        <w:t>合同约定的其他情形</w:t>
      </w:r>
      <w:r>
        <w:rPr>
          <w:rFonts w:hint="eastAsia" w:ascii="宋体" w:hAnsi="宋体"/>
          <w:color w:val="auto"/>
          <w:szCs w:val="21"/>
          <w:highlight w:val="none"/>
        </w:rPr>
        <w:t>。</w:t>
      </w:r>
    </w:p>
    <w:p w14:paraId="3C1E607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color w:val="auto"/>
          <w:szCs w:val="21"/>
          <w:highlight w:val="none"/>
        </w:rPr>
        <w:t>。</w:t>
      </w:r>
    </w:p>
    <w:p w14:paraId="6B910E0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7.5.2 因承包人原因导致工期延误</w:t>
      </w:r>
    </w:p>
    <w:p w14:paraId="2B20054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因承包人原因造成工期延误，逾期竣工按16.2.2（6）目执行。</w:t>
      </w:r>
    </w:p>
    <w:bookmarkEnd w:id="1394"/>
    <w:p w14:paraId="619D0720">
      <w:pPr>
        <w:pStyle w:val="7"/>
        <w:spacing w:before="0" w:beforeAutospacing="0" w:after="0" w:afterAutospacing="0" w:line="360" w:lineRule="auto"/>
        <w:ind w:firstLine="422" w:firstLineChars="200"/>
        <w:rPr>
          <w:color w:val="auto"/>
          <w:sz w:val="21"/>
          <w:szCs w:val="21"/>
          <w:highlight w:val="none"/>
        </w:rPr>
      </w:pPr>
      <w:bookmarkStart w:id="1395" w:name="_Toc532375622"/>
      <w:bookmarkStart w:id="1396" w:name="_Toc532377358"/>
      <w:bookmarkStart w:id="1397" w:name="_Hlk528927997"/>
      <w:r>
        <w:rPr>
          <w:rFonts w:hint="eastAsia"/>
          <w:color w:val="auto"/>
          <w:sz w:val="21"/>
          <w:szCs w:val="21"/>
          <w:highlight w:val="none"/>
        </w:rPr>
        <w:t>7</w:t>
      </w:r>
      <w:bookmarkStart w:id="1398" w:name="_Toc300934971"/>
      <w:bookmarkStart w:id="1399" w:name="_Toc303539128"/>
      <w:bookmarkStart w:id="1400" w:name="_Toc297123519"/>
      <w:bookmarkStart w:id="1401" w:name="_Toc297216178"/>
      <w:bookmarkStart w:id="1402" w:name="_Toc304295549"/>
      <w:bookmarkStart w:id="1403" w:name="_Toc312678015"/>
      <w:r>
        <w:rPr>
          <w:rFonts w:hint="eastAsia"/>
          <w:color w:val="auto"/>
          <w:sz w:val="21"/>
          <w:szCs w:val="21"/>
          <w:highlight w:val="none"/>
        </w:rPr>
        <w:t>.6 不</w:t>
      </w:r>
      <w:bookmarkEnd w:id="1398"/>
      <w:bookmarkEnd w:id="1399"/>
      <w:bookmarkEnd w:id="1400"/>
      <w:bookmarkEnd w:id="1401"/>
      <w:bookmarkEnd w:id="1402"/>
      <w:bookmarkEnd w:id="1403"/>
      <w:r>
        <w:rPr>
          <w:rFonts w:hint="eastAsia"/>
          <w:color w:val="auto"/>
          <w:sz w:val="21"/>
          <w:szCs w:val="21"/>
          <w:highlight w:val="none"/>
        </w:rPr>
        <w:t>利物质条件</w:t>
      </w:r>
      <w:bookmarkEnd w:id="1395"/>
      <w:bookmarkEnd w:id="1396"/>
    </w:p>
    <w:bookmarkEnd w:id="1397"/>
    <w:p w14:paraId="23E3FE47">
      <w:pPr>
        <w:spacing w:line="360" w:lineRule="auto"/>
        <w:ind w:firstLine="420" w:firstLineChars="200"/>
        <w:jc w:val="left"/>
        <w:rPr>
          <w:rFonts w:ascii="宋体" w:hAnsi="宋体"/>
          <w:bCs/>
          <w:color w:val="auto"/>
          <w:szCs w:val="21"/>
          <w:highlight w:val="none"/>
        </w:rPr>
      </w:pPr>
      <w:bookmarkStart w:id="1404" w:name="_Toc297123520"/>
      <w:bookmarkStart w:id="1405" w:name="_Toc312678016"/>
      <w:bookmarkStart w:id="1406" w:name="_Toc318581172"/>
      <w:bookmarkStart w:id="1407" w:name="_Toc300934972"/>
      <w:bookmarkStart w:id="1408" w:name="_Toc303539129"/>
      <w:bookmarkStart w:id="1409" w:name="_Toc297216179"/>
      <w:bookmarkStart w:id="1410" w:name="_Toc304295550"/>
      <w:r>
        <w:rPr>
          <w:rFonts w:hint="eastAsia" w:ascii="宋体" w:hAnsi="宋体"/>
          <w:color w:val="auto"/>
          <w:szCs w:val="21"/>
          <w:highlight w:val="none"/>
        </w:rPr>
        <w:t>不利物质条件的其他情形和有关约定：</w:t>
      </w:r>
      <w:bookmarkStart w:id="1411" w:name="_Hlk528910274"/>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无</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404"/>
    <w:bookmarkEnd w:id="1405"/>
    <w:bookmarkEnd w:id="1406"/>
    <w:bookmarkEnd w:id="1407"/>
    <w:bookmarkEnd w:id="1408"/>
    <w:bookmarkEnd w:id="1409"/>
    <w:bookmarkEnd w:id="1410"/>
    <w:bookmarkEnd w:id="1411"/>
    <w:p w14:paraId="47949C96">
      <w:pPr>
        <w:pStyle w:val="7"/>
        <w:spacing w:before="0" w:beforeAutospacing="0" w:after="0" w:afterAutospacing="0" w:line="360" w:lineRule="auto"/>
        <w:ind w:firstLine="422" w:firstLineChars="200"/>
        <w:rPr>
          <w:color w:val="auto"/>
          <w:sz w:val="21"/>
          <w:szCs w:val="21"/>
          <w:highlight w:val="none"/>
        </w:rPr>
      </w:pPr>
      <w:bookmarkStart w:id="1412" w:name="_Toc532377359"/>
      <w:bookmarkStart w:id="1413" w:name="_Toc532375623"/>
      <w:r>
        <w:rPr>
          <w:rFonts w:hint="eastAsia"/>
          <w:color w:val="auto"/>
          <w:sz w:val="21"/>
          <w:szCs w:val="21"/>
          <w:highlight w:val="none"/>
        </w:rPr>
        <w:t>7</w:t>
      </w:r>
      <w:bookmarkStart w:id="1414" w:name="_Toc304295551"/>
      <w:bookmarkStart w:id="1415" w:name="_Toc300934973"/>
      <w:bookmarkStart w:id="1416" w:name="_Toc303539130"/>
      <w:bookmarkStart w:id="1417" w:name="_Toc312678017"/>
      <w:bookmarkStart w:id="1418" w:name="_Toc297123521"/>
      <w:bookmarkStart w:id="1419" w:name="_Toc297216180"/>
      <w:r>
        <w:rPr>
          <w:rFonts w:hint="eastAsia"/>
          <w:color w:val="auto"/>
          <w:sz w:val="21"/>
          <w:szCs w:val="21"/>
          <w:highlight w:val="none"/>
        </w:rPr>
        <w:t>.7异常恶劣的气候条件</w:t>
      </w:r>
      <w:bookmarkEnd w:id="1412"/>
      <w:bookmarkEnd w:id="1413"/>
    </w:p>
    <w:bookmarkEnd w:id="1414"/>
    <w:bookmarkEnd w:id="1415"/>
    <w:bookmarkEnd w:id="1416"/>
    <w:bookmarkEnd w:id="1417"/>
    <w:bookmarkEnd w:id="1418"/>
    <w:bookmarkEnd w:id="1419"/>
    <w:p w14:paraId="06E4DB68">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发包人和承包人同意以下情形视为异常恶劣的气候条件：</w:t>
      </w:r>
      <w:r>
        <w:rPr>
          <w:rFonts w:hint="eastAsia" w:ascii="宋体" w:hAnsi="宋体"/>
          <w:color w:val="auto"/>
          <w:szCs w:val="21"/>
          <w:highlight w:val="none"/>
          <w:u w:val="single"/>
        </w:rPr>
        <w:t xml:space="preserve">    异常气候是指项目所在地50年以上一遇的罕见气候现象</w:t>
      </w:r>
      <w:r>
        <w:rPr>
          <w:rFonts w:hint="eastAsia" w:ascii="宋体" w:hAnsi="宋体"/>
          <w:color w:val="auto"/>
          <w:szCs w:val="21"/>
          <w:highlight w:val="none"/>
        </w:rPr>
        <w:t>。</w:t>
      </w:r>
    </w:p>
    <w:p w14:paraId="65FA1A0E">
      <w:pPr>
        <w:pStyle w:val="7"/>
        <w:spacing w:before="0" w:beforeAutospacing="0" w:after="0" w:afterAutospacing="0" w:line="360" w:lineRule="auto"/>
        <w:ind w:firstLine="422" w:firstLineChars="200"/>
        <w:rPr>
          <w:color w:val="auto"/>
          <w:sz w:val="21"/>
          <w:szCs w:val="21"/>
          <w:highlight w:val="none"/>
        </w:rPr>
      </w:pPr>
      <w:bookmarkStart w:id="1420" w:name="_Toc532375624"/>
      <w:bookmarkStart w:id="1421" w:name="_Toc532377360"/>
      <w:r>
        <w:rPr>
          <w:rFonts w:hint="eastAsia"/>
          <w:color w:val="auto"/>
          <w:sz w:val="21"/>
          <w:szCs w:val="21"/>
          <w:highlight w:val="none"/>
        </w:rPr>
        <w:t>7.9 提前竣工</w:t>
      </w:r>
      <w:bookmarkEnd w:id="1420"/>
      <w:bookmarkEnd w:id="1421"/>
    </w:p>
    <w:p w14:paraId="3087A00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7.9.1项细化为：</w:t>
      </w:r>
    </w:p>
    <w:p w14:paraId="1D14E76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14:paraId="291409C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（2）发包人不得随意要求承包人提前竣工，承包人也不得随意提出提前竣工的建议。如遇特殊情况，确需将工期提前的，发包人和承包人必须采取有效措施，确保工程质量。</w:t>
      </w:r>
    </w:p>
    <w:p w14:paraId="56A9BAB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（3）如果承包人提前竣工，发包人支付奖金的计算方法在合同条款中约定，时间自竣工验收证书中写明的实际竣工日期起至预定的竣工日期止，按天计算。但奖金最高限额不超过项目7.9.2项的限额。</w:t>
      </w:r>
    </w:p>
    <w:p w14:paraId="5C4DC68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7.9.2 提前竣工的奖励：</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无</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CE0FA89">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422" w:name="_Toc532375625"/>
      <w:bookmarkStart w:id="1423" w:name="_Toc532377361"/>
      <w:bookmarkStart w:id="1424" w:name="_Toc351203640"/>
      <w:r>
        <w:rPr>
          <w:rFonts w:hint="eastAsia"/>
          <w:color w:val="auto"/>
          <w:kern w:val="2"/>
          <w:sz w:val="21"/>
          <w:szCs w:val="21"/>
          <w:highlight w:val="none"/>
        </w:rPr>
        <w:t>8. 材料与设备</w:t>
      </w:r>
      <w:bookmarkEnd w:id="1422"/>
      <w:bookmarkEnd w:id="1423"/>
      <w:bookmarkEnd w:id="1424"/>
    </w:p>
    <w:p w14:paraId="4730C345">
      <w:pPr>
        <w:pStyle w:val="7"/>
        <w:spacing w:before="0" w:beforeAutospacing="0" w:after="0" w:afterAutospacing="0" w:line="360" w:lineRule="auto"/>
        <w:ind w:firstLine="422" w:firstLineChars="200"/>
        <w:rPr>
          <w:color w:val="auto"/>
          <w:sz w:val="21"/>
          <w:szCs w:val="21"/>
          <w:highlight w:val="none"/>
        </w:rPr>
      </w:pPr>
      <w:bookmarkStart w:id="1425" w:name="_Toc532375626"/>
      <w:bookmarkStart w:id="1426" w:name="_Toc532377362"/>
      <w:r>
        <w:rPr>
          <w:rFonts w:hint="eastAsia"/>
          <w:color w:val="auto"/>
          <w:sz w:val="21"/>
          <w:szCs w:val="21"/>
          <w:highlight w:val="none"/>
        </w:rPr>
        <w:t>8.1发包人供应材料与工程设备</w:t>
      </w:r>
      <w:bookmarkEnd w:id="1425"/>
      <w:bookmarkEnd w:id="1426"/>
    </w:p>
    <w:p w14:paraId="47D6369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材料的名称、规格、数量和价格：</w:t>
      </w:r>
      <w:r>
        <w:rPr>
          <w:rFonts w:hint="eastAsia" w:ascii="宋体" w:hAnsi="宋体"/>
          <w:color w:val="auto"/>
          <w:szCs w:val="21"/>
          <w:highlight w:val="none"/>
          <w:u w:val="single"/>
        </w:rPr>
        <w:t>发包人应提供甲供材料的明细表，结算时按经监理人、承包人共同确认的供应数量乘以招标时甲供材料暂定价格，在支付工程款时扣除</w:t>
      </w:r>
      <w:r>
        <w:rPr>
          <w:rFonts w:hint="eastAsia" w:ascii="宋体" w:hAnsi="宋体"/>
          <w:color w:val="auto"/>
          <w:szCs w:val="21"/>
          <w:highlight w:val="none"/>
        </w:rPr>
        <w:t>。</w:t>
      </w:r>
    </w:p>
    <w:p w14:paraId="55F7991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color w:val="auto"/>
          <w:szCs w:val="21"/>
          <w:highlight w:val="none"/>
        </w:rPr>
        <w:t>。</w:t>
      </w:r>
    </w:p>
    <w:p w14:paraId="059FA120">
      <w:pPr>
        <w:pStyle w:val="7"/>
        <w:spacing w:before="0" w:beforeAutospacing="0" w:after="0" w:afterAutospacing="0" w:line="360" w:lineRule="auto"/>
        <w:ind w:firstLine="422" w:firstLineChars="200"/>
        <w:rPr>
          <w:color w:val="auto"/>
          <w:sz w:val="21"/>
          <w:szCs w:val="21"/>
          <w:highlight w:val="none"/>
        </w:rPr>
      </w:pPr>
      <w:bookmarkStart w:id="1427" w:name="_Toc532375627"/>
      <w:bookmarkStart w:id="1428" w:name="_Toc351203554"/>
      <w:bookmarkStart w:id="1429" w:name="_Toc532377363"/>
      <w:r>
        <w:rPr>
          <w:rFonts w:hint="eastAsia"/>
          <w:color w:val="auto"/>
          <w:sz w:val="21"/>
          <w:szCs w:val="21"/>
          <w:highlight w:val="none"/>
        </w:rPr>
        <w:t>8</w:t>
      </w:r>
      <w:bookmarkStart w:id="1430" w:name="_Toc296346561"/>
      <w:bookmarkStart w:id="1431" w:name="_Toc296503060"/>
      <w:bookmarkStart w:id="1432" w:name="_Toc337558778"/>
      <w:r>
        <w:rPr>
          <w:rFonts w:hint="eastAsia"/>
          <w:color w:val="auto"/>
          <w:sz w:val="21"/>
          <w:szCs w:val="21"/>
          <w:highlight w:val="none"/>
        </w:rPr>
        <w:t>.2 承包人采购材料与工程设备</w:t>
      </w:r>
      <w:bookmarkEnd w:id="1427"/>
      <w:bookmarkEnd w:id="1428"/>
      <w:bookmarkEnd w:id="1429"/>
    </w:p>
    <w:bookmarkEnd w:id="1430"/>
    <w:bookmarkEnd w:id="1431"/>
    <w:bookmarkEnd w:id="1432"/>
    <w:p w14:paraId="2CB89AF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8.2.1承包人负责采购、运输和保管的材料、工程设备：</w:t>
      </w:r>
      <w:r>
        <w:rPr>
          <w:rFonts w:hint="eastAsia" w:ascii="宋体" w:hAnsi="宋体"/>
          <w:color w:val="auto"/>
          <w:szCs w:val="21"/>
          <w:highlight w:val="none"/>
          <w:u w:val="single"/>
        </w:rPr>
        <w:t>由承包人自行采购。承包人采购材料设备必须经监理人和发包人批准，结算时由监理人和发包人按招标文件规定审核的数量和合同约定</w:t>
      </w:r>
      <w:r>
        <w:rPr>
          <w:rFonts w:ascii="宋体" w:hAnsi="宋体"/>
          <w:color w:val="auto"/>
          <w:szCs w:val="21"/>
          <w:highlight w:val="none"/>
          <w:u w:val="single"/>
        </w:rPr>
        <w:t>价格</w:t>
      </w:r>
      <w:r>
        <w:rPr>
          <w:rFonts w:hint="eastAsia" w:ascii="宋体" w:hAnsi="宋体"/>
          <w:color w:val="auto"/>
          <w:szCs w:val="21"/>
          <w:highlight w:val="none"/>
          <w:u w:val="single"/>
        </w:rPr>
        <w:t>计算</w:t>
      </w:r>
      <w:r>
        <w:rPr>
          <w:rFonts w:hint="eastAsia" w:ascii="宋体" w:hAnsi="宋体"/>
          <w:color w:val="auto"/>
          <w:szCs w:val="21"/>
          <w:highlight w:val="none"/>
        </w:rPr>
        <w:t>。</w:t>
      </w:r>
    </w:p>
    <w:p w14:paraId="76F342E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8.2.2承包人报送监理人审批的时间：</w:t>
      </w:r>
      <w:r>
        <w:rPr>
          <w:rFonts w:hint="eastAsia" w:ascii="宋体" w:hAnsi="宋体"/>
          <w:color w:val="auto"/>
          <w:szCs w:val="21"/>
          <w:highlight w:val="none"/>
          <w:u w:val="single"/>
        </w:rPr>
        <w:t>按发包人及监理单位的相关规定执行</w:t>
      </w:r>
      <w:r>
        <w:rPr>
          <w:rFonts w:hint="eastAsia" w:ascii="宋体" w:hAnsi="宋体"/>
          <w:color w:val="auto"/>
          <w:szCs w:val="21"/>
          <w:highlight w:val="none"/>
        </w:rPr>
        <w:t>。</w:t>
      </w:r>
    </w:p>
    <w:p w14:paraId="28D0955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8.2.3承包人选择的生产厂家或供应商满足下列条件：</w:t>
      </w:r>
    </w:p>
    <w:p w14:paraId="3238084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A.承包人选择的混凝土供应商应满足下列条件：</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满足相关技术标准规范要求</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A113FB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B.承包人选择的钢材供应商应满足下列条件：</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满足相关技术标准规范要求</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7F8315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C.承包人选择的水泥供应商应满足下列条件：</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满足相关技术标准规范要求</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B3B88A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D.承包人采购的材料与设计或标准要求不符时，承包人应按发包人和监理人要求的时间运出施工场地，并重新采购符合要求的产品，并承担由此发生的费用，因此延误的工期不予顺延。</w:t>
      </w:r>
    </w:p>
    <w:p w14:paraId="195579A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E.承包人采购的材料在使用前，应按发包人和监理人的要求进行检验或试验，不合格的不得使用。</w:t>
      </w:r>
    </w:p>
    <w:p w14:paraId="463A500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F.</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BC06A9F">
      <w:pPr>
        <w:pStyle w:val="7"/>
        <w:spacing w:before="0" w:beforeAutospacing="0" w:after="0" w:afterAutospacing="0" w:line="360" w:lineRule="auto"/>
        <w:ind w:firstLine="422" w:firstLineChars="200"/>
        <w:rPr>
          <w:color w:val="auto"/>
          <w:sz w:val="21"/>
          <w:szCs w:val="21"/>
          <w:highlight w:val="none"/>
        </w:rPr>
      </w:pPr>
      <w:bookmarkStart w:id="1433" w:name="_Toc532377364"/>
      <w:bookmarkStart w:id="1434" w:name="_Toc532375628"/>
      <w:r>
        <w:rPr>
          <w:rFonts w:hint="eastAsia"/>
          <w:color w:val="auto"/>
          <w:sz w:val="21"/>
          <w:szCs w:val="21"/>
          <w:highlight w:val="none"/>
        </w:rPr>
        <w:t>8</w:t>
      </w:r>
      <w:bookmarkStart w:id="1435" w:name="_Toc312677493"/>
      <w:bookmarkStart w:id="1436" w:name="_Toc303539136"/>
      <w:bookmarkStart w:id="1437" w:name="_Toc296891207"/>
      <w:bookmarkStart w:id="1438" w:name="_Toc296944506"/>
      <w:bookmarkStart w:id="1439" w:name="_Toc312678019"/>
      <w:bookmarkStart w:id="1440" w:name="_Toc297216186"/>
      <w:bookmarkStart w:id="1441" w:name="_Toc296347166"/>
      <w:bookmarkStart w:id="1442" w:name="_Toc297048353"/>
      <w:bookmarkStart w:id="1443" w:name="_Toc292559372"/>
      <w:bookmarkStart w:id="1444" w:name="_Toc296890995"/>
      <w:bookmarkStart w:id="1445" w:name="_Toc304295556"/>
      <w:bookmarkStart w:id="1446" w:name="_Toc300934979"/>
      <w:bookmarkStart w:id="1447" w:name="_Toc296346668"/>
      <w:bookmarkStart w:id="1448" w:name="_Toc296503167"/>
      <w:bookmarkStart w:id="1449" w:name="_Toc297120467"/>
      <w:bookmarkStart w:id="1450" w:name="_Toc297123527"/>
      <w:bookmarkStart w:id="1451" w:name="_Toc292559877"/>
      <w:bookmarkStart w:id="1452" w:name="_Toc280868654"/>
      <w:bookmarkStart w:id="1453" w:name="_Toc280868656"/>
      <w:bookmarkStart w:id="1454" w:name="_Toc280868655"/>
      <w:bookmarkStart w:id="1455" w:name="_Toc267251424"/>
      <w:r>
        <w:rPr>
          <w:rFonts w:hint="eastAsia"/>
          <w:color w:val="auto"/>
          <w:sz w:val="21"/>
          <w:szCs w:val="21"/>
          <w:highlight w:val="none"/>
        </w:rPr>
        <w:t>.4 材料与工程设备的保管与使用</w:t>
      </w:r>
      <w:bookmarkEnd w:id="1433"/>
      <w:bookmarkEnd w:id="1434"/>
    </w:p>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p w14:paraId="4BABF68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w:t>
      </w:r>
      <w:bookmarkStart w:id="1456" w:name="_Toc292559878"/>
      <w:bookmarkStart w:id="1457" w:name="_Toc292559373"/>
      <w:bookmarkStart w:id="1458" w:name="_Toc296944507"/>
      <w:bookmarkStart w:id="1459" w:name="_Toc296347167"/>
      <w:bookmarkStart w:id="1460" w:name="_Toc303539137"/>
      <w:bookmarkStart w:id="1461" w:name="_Toc304295557"/>
      <w:bookmarkStart w:id="1462" w:name="_Toc296346669"/>
      <w:bookmarkStart w:id="1463" w:name="_Toc312677494"/>
      <w:bookmarkStart w:id="1464" w:name="_Toc297048354"/>
      <w:bookmarkStart w:id="1465" w:name="_Toc300934980"/>
      <w:bookmarkStart w:id="1466" w:name="_Toc297120468"/>
      <w:bookmarkStart w:id="1467" w:name="_Toc296503168"/>
      <w:bookmarkStart w:id="1468" w:name="_Toc297216187"/>
      <w:bookmarkStart w:id="1469" w:name="_Toc318581173"/>
      <w:bookmarkStart w:id="1470" w:name="_Toc296890996"/>
      <w:bookmarkStart w:id="1471" w:name="_Toc297123528"/>
      <w:bookmarkStart w:id="1472" w:name="_Toc296891208"/>
      <w:bookmarkStart w:id="1473" w:name="_Toc312678020"/>
      <w:r>
        <w:rPr>
          <w:rFonts w:hint="eastAsia" w:ascii="宋体" w:hAnsi="宋体"/>
          <w:color w:val="auto"/>
          <w:szCs w:val="21"/>
          <w:highlight w:val="none"/>
        </w:rPr>
        <w:t>.4.1 发包人供应的材料设备的保管费用的承担：</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由承包人承担</w:t>
      </w:r>
      <w:r>
        <w:rPr>
          <w:rFonts w:hint="eastAsia" w:ascii="宋体" w:hAnsi="宋体"/>
          <w:color w:val="auto"/>
          <w:szCs w:val="21"/>
          <w:highlight w:val="none"/>
          <w:u w:val="single"/>
        </w:rPr>
        <w:t xml:space="preserve">       </w:t>
      </w:r>
      <w:r>
        <w:rPr>
          <w:rFonts w:hint="eastAsia" w:ascii="宋体" w:hAnsi="宋体"/>
          <w:color w:val="auto"/>
          <w:szCs w:val="21"/>
          <w:highlight w:val="none"/>
        </w:rPr>
        <w:t>。</w:t>
      </w:r>
      <w:bookmarkEnd w:id="1456"/>
      <w:bookmarkEnd w:id="1457"/>
    </w:p>
    <w:p w14:paraId="6241135E">
      <w:pPr>
        <w:pStyle w:val="7"/>
        <w:spacing w:before="0" w:beforeAutospacing="0" w:after="0" w:afterAutospacing="0" w:line="360" w:lineRule="auto"/>
        <w:ind w:firstLine="422" w:firstLineChars="200"/>
        <w:rPr>
          <w:color w:val="auto"/>
          <w:sz w:val="21"/>
          <w:szCs w:val="21"/>
          <w:highlight w:val="none"/>
        </w:rPr>
      </w:pPr>
      <w:bookmarkStart w:id="1474" w:name="_Toc532377365"/>
      <w:bookmarkStart w:id="1475" w:name="_Toc532375629"/>
      <w:r>
        <w:rPr>
          <w:rFonts w:hint="eastAsia"/>
          <w:color w:val="auto"/>
          <w:sz w:val="21"/>
          <w:szCs w:val="21"/>
          <w:highlight w:val="none"/>
        </w:rPr>
        <w:t>8.6 样品</w:t>
      </w:r>
      <w:bookmarkEnd w:id="1474"/>
      <w:bookmarkEnd w:id="1475"/>
    </w:p>
    <w:p w14:paraId="0FE80617">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8.6.1 样品的报送与封存</w:t>
      </w:r>
    </w:p>
    <w:p w14:paraId="0D0DA1B1">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需要承包人报送样品的材料或工程设备，样品的种类、名称、规格、数量要求：</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按照相关技术标准规范要求</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02625DF">
      <w:pPr>
        <w:pStyle w:val="7"/>
        <w:spacing w:before="0" w:beforeAutospacing="0" w:after="0" w:afterAutospacing="0" w:line="360" w:lineRule="auto"/>
        <w:ind w:firstLine="422" w:firstLineChars="200"/>
        <w:rPr>
          <w:color w:val="auto"/>
          <w:sz w:val="21"/>
          <w:szCs w:val="21"/>
          <w:highlight w:val="none"/>
        </w:rPr>
      </w:pPr>
      <w:bookmarkStart w:id="1476" w:name="_Toc532375630"/>
      <w:bookmarkStart w:id="1477" w:name="_Toc532377366"/>
      <w:r>
        <w:rPr>
          <w:rFonts w:hint="eastAsia"/>
          <w:color w:val="auto"/>
          <w:sz w:val="21"/>
          <w:szCs w:val="21"/>
          <w:highlight w:val="none"/>
        </w:rPr>
        <w:t>8.8 施工设备和临时设施</w:t>
      </w:r>
      <w:bookmarkEnd w:id="1476"/>
      <w:bookmarkEnd w:id="1477"/>
    </w:p>
    <w:p w14:paraId="70FA5553">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8.8.1 承包人提供的施工设备和临时设施</w:t>
      </w:r>
    </w:p>
    <w:p w14:paraId="7FB49DEF">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关于修建临时设施费用承担的约定：</w:t>
      </w:r>
      <w:r>
        <w:rPr>
          <w:rFonts w:hint="eastAsia" w:ascii="宋体" w:hAnsi="宋体"/>
          <w:color w:val="auto"/>
          <w:szCs w:val="21"/>
          <w:highlight w:val="none"/>
          <w:u w:val="single"/>
        </w:rPr>
        <w:t>由承包人承担</w:t>
      </w:r>
      <w:r>
        <w:rPr>
          <w:rFonts w:hint="eastAsia" w:ascii="宋体" w:hAnsi="宋体"/>
          <w:color w:val="auto"/>
          <w:szCs w:val="21"/>
          <w:highlight w:val="none"/>
        </w:rPr>
        <w:t>。</w:t>
      </w:r>
    </w:p>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p w14:paraId="62215A99">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478" w:name="_Toc532375631"/>
      <w:bookmarkStart w:id="1479" w:name="_Toc532377367"/>
      <w:bookmarkStart w:id="1480" w:name="_Toc351203641"/>
      <w:r>
        <w:rPr>
          <w:rFonts w:hint="eastAsia"/>
          <w:color w:val="auto"/>
          <w:kern w:val="2"/>
          <w:sz w:val="21"/>
          <w:szCs w:val="21"/>
          <w:highlight w:val="none"/>
        </w:rPr>
        <w:t>9</w:t>
      </w:r>
      <w:bookmarkEnd w:id="1453"/>
      <w:bookmarkEnd w:id="1454"/>
      <w:bookmarkEnd w:id="1455"/>
      <w:bookmarkStart w:id="1481" w:name="_Toc312677495"/>
      <w:bookmarkStart w:id="1482" w:name="_Toc303539139"/>
      <w:bookmarkStart w:id="1483" w:name="_Toc297216192"/>
      <w:bookmarkStart w:id="1484" w:name="_Toc304295559"/>
      <w:bookmarkStart w:id="1485" w:name="_Toc312678021"/>
      <w:bookmarkStart w:id="1486" w:name="_Toc300934982"/>
      <w:bookmarkStart w:id="1487" w:name="_Toc297123533"/>
      <w:r>
        <w:rPr>
          <w:rFonts w:hint="eastAsia"/>
          <w:color w:val="auto"/>
          <w:kern w:val="2"/>
          <w:sz w:val="21"/>
          <w:szCs w:val="21"/>
          <w:highlight w:val="none"/>
        </w:rPr>
        <w:t>. 试验与检验</w:t>
      </w:r>
      <w:bookmarkEnd w:id="1478"/>
      <w:bookmarkEnd w:id="1479"/>
      <w:bookmarkEnd w:id="1480"/>
    </w:p>
    <w:bookmarkEnd w:id="1481"/>
    <w:bookmarkEnd w:id="1482"/>
    <w:bookmarkEnd w:id="1483"/>
    <w:bookmarkEnd w:id="1484"/>
    <w:bookmarkEnd w:id="1485"/>
    <w:bookmarkEnd w:id="1486"/>
    <w:bookmarkEnd w:id="1487"/>
    <w:p w14:paraId="4B63D106">
      <w:pPr>
        <w:pStyle w:val="7"/>
        <w:spacing w:before="0" w:beforeAutospacing="0" w:after="0" w:afterAutospacing="0" w:line="360" w:lineRule="auto"/>
        <w:ind w:firstLine="422" w:firstLineChars="200"/>
        <w:rPr>
          <w:color w:val="auto"/>
          <w:sz w:val="21"/>
          <w:szCs w:val="21"/>
          <w:highlight w:val="none"/>
        </w:rPr>
      </w:pPr>
      <w:bookmarkStart w:id="1488" w:name="_Toc532375632"/>
      <w:bookmarkStart w:id="1489" w:name="_Toc532377368"/>
      <w:r>
        <w:rPr>
          <w:rFonts w:hint="eastAsia"/>
          <w:color w:val="auto"/>
          <w:sz w:val="21"/>
          <w:szCs w:val="21"/>
          <w:highlight w:val="none"/>
        </w:rPr>
        <w:t>9</w:t>
      </w:r>
      <w:bookmarkStart w:id="1490" w:name="_Toc312678022"/>
      <w:bookmarkStart w:id="1491" w:name="_Toc304295560"/>
      <w:bookmarkStart w:id="1492" w:name="_Toc303539140"/>
      <w:bookmarkStart w:id="1493" w:name="_Toc297216193"/>
      <w:bookmarkStart w:id="1494" w:name="_Toc300934983"/>
      <w:bookmarkStart w:id="1495" w:name="_Toc297123534"/>
      <w:bookmarkStart w:id="1496" w:name="_Toc312677496"/>
      <w:r>
        <w:rPr>
          <w:rFonts w:hint="eastAsia"/>
          <w:color w:val="auto"/>
          <w:sz w:val="21"/>
          <w:szCs w:val="21"/>
          <w:highlight w:val="none"/>
        </w:rPr>
        <w:t>.1 试验设备与试验人员</w:t>
      </w:r>
      <w:bookmarkEnd w:id="1488"/>
      <w:bookmarkEnd w:id="1489"/>
    </w:p>
    <w:bookmarkEnd w:id="1490"/>
    <w:bookmarkEnd w:id="1491"/>
    <w:bookmarkEnd w:id="1492"/>
    <w:bookmarkEnd w:id="1493"/>
    <w:bookmarkEnd w:id="1494"/>
    <w:bookmarkEnd w:id="1495"/>
    <w:bookmarkEnd w:id="1496"/>
    <w:p w14:paraId="49A76AC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w:t>
      </w:r>
      <w:bookmarkStart w:id="1497" w:name="_Toc297123535"/>
      <w:bookmarkStart w:id="1498" w:name="_Toc312677497"/>
      <w:bookmarkStart w:id="1499" w:name="_Toc304295561"/>
      <w:bookmarkStart w:id="1500" w:name="_Toc297216194"/>
      <w:bookmarkStart w:id="1501" w:name="_Toc312678023"/>
      <w:bookmarkStart w:id="1502" w:name="_Toc303539141"/>
      <w:bookmarkStart w:id="1503" w:name="_Toc300934984"/>
      <w:bookmarkStart w:id="1504" w:name="_Toc318581174"/>
      <w:r>
        <w:rPr>
          <w:rFonts w:hint="eastAsia" w:ascii="宋体" w:hAnsi="宋体"/>
          <w:color w:val="auto"/>
          <w:szCs w:val="21"/>
          <w:highlight w:val="none"/>
        </w:rPr>
        <w:t>.1.2 试验设备</w:t>
      </w:r>
    </w:p>
    <w:p w14:paraId="290A7E6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施工现场需要配置的试验场所：</w:t>
      </w:r>
      <w:bookmarkEnd w:id="1497"/>
      <w:bookmarkEnd w:id="1498"/>
      <w:bookmarkEnd w:id="1499"/>
      <w:bookmarkEnd w:id="1500"/>
      <w:bookmarkEnd w:id="1501"/>
      <w:bookmarkEnd w:id="1502"/>
      <w:bookmarkEnd w:id="1503"/>
      <w:bookmarkStart w:id="1505" w:name="_Toc300934985"/>
      <w:bookmarkStart w:id="1506" w:name="_Toc304295562"/>
      <w:bookmarkStart w:id="1507" w:name="_Toc297216195"/>
      <w:bookmarkStart w:id="1508" w:name="_Toc312677498"/>
      <w:bookmarkStart w:id="1509" w:name="_Toc297123536"/>
      <w:bookmarkStart w:id="1510" w:name="_Toc312678024"/>
      <w:bookmarkStart w:id="1511" w:name="_Toc303539142"/>
      <w:r>
        <w:rPr>
          <w:rFonts w:hint="eastAsia" w:ascii="宋体" w:hAnsi="宋体"/>
          <w:color w:val="auto"/>
          <w:szCs w:val="21"/>
          <w:highlight w:val="none"/>
          <w:u w:val="single"/>
        </w:rPr>
        <w:t>满足工程施工的需要</w:t>
      </w:r>
      <w:r>
        <w:rPr>
          <w:rFonts w:hint="eastAsia" w:ascii="宋体" w:hAnsi="宋体"/>
          <w:color w:val="auto"/>
          <w:szCs w:val="21"/>
          <w:highlight w:val="none"/>
        </w:rPr>
        <w:t>。</w:t>
      </w:r>
    </w:p>
    <w:p w14:paraId="5CB13CC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施工现场需要配备的试验设备：</w:t>
      </w:r>
      <w:r>
        <w:rPr>
          <w:rFonts w:hint="eastAsia" w:ascii="宋体" w:hAnsi="宋体"/>
          <w:color w:val="auto"/>
          <w:szCs w:val="21"/>
          <w:highlight w:val="none"/>
          <w:u w:val="single"/>
        </w:rPr>
        <w:t>满足工程施工的需要</w:t>
      </w:r>
      <w:r>
        <w:rPr>
          <w:rFonts w:hint="eastAsia" w:ascii="宋体" w:hAnsi="宋体"/>
          <w:color w:val="auto"/>
          <w:szCs w:val="21"/>
          <w:highlight w:val="none"/>
        </w:rPr>
        <w:t>。</w:t>
      </w:r>
    </w:p>
    <w:p w14:paraId="6BCBA5B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施工现场需要具备的其他试验条件：</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满足工程施工的需要</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6BF64C8">
      <w:pPr>
        <w:pStyle w:val="7"/>
        <w:spacing w:before="0" w:beforeAutospacing="0" w:after="0" w:afterAutospacing="0" w:line="360" w:lineRule="auto"/>
        <w:ind w:firstLine="422" w:firstLineChars="200"/>
        <w:rPr>
          <w:color w:val="auto"/>
          <w:sz w:val="21"/>
          <w:szCs w:val="21"/>
          <w:highlight w:val="none"/>
        </w:rPr>
      </w:pPr>
      <w:bookmarkStart w:id="1512" w:name="_Toc532375633"/>
      <w:bookmarkStart w:id="1513" w:name="_Toc532377369"/>
      <w:r>
        <w:rPr>
          <w:rFonts w:hint="eastAsia"/>
          <w:color w:val="auto"/>
          <w:sz w:val="21"/>
          <w:szCs w:val="21"/>
          <w:highlight w:val="none"/>
        </w:rPr>
        <w:t>9.4 现场工艺试验</w:t>
      </w:r>
      <w:bookmarkEnd w:id="1512"/>
      <w:bookmarkEnd w:id="1513"/>
    </w:p>
    <w:p w14:paraId="1D695BA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本款补充9.4.1～9.4.5项：</w:t>
      </w:r>
    </w:p>
    <w:bookmarkEnd w:id="1504"/>
    <w:bookmarkEnd w:id="1505"/>
    <w:bookmarkEnd w:id="1506"/>
    <w:bookmarkEnd w:id="1507"/>
    <w:bookmarkEnd w:id="1508"/>
    <w:bookmarkEnd w:id="1509"/>
    <w:bookmarkEnd w:id="1510"/>
    <w:bookmarkEnd w:id="1511"/>
    <w:p w14:paraId="0862F34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9.4.1一般检验试验：</w:t>
      </w:r>
    </w:p>
    <w:p w14:paraId="22F6E001">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14:paraId="258A44D6">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14:paraId="630F95C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9.4.2特殊检验试验：</w:t>
      </w:r>
    </w:p>
    <w:p w14:paraId="7AA18ED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14:paraId="353410AE">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发包人委托的第三方检测试验机构检测试验的试件所需的材料、取样、送检及相关配合工作由承包人负责完成并承担由此产生的所有相关费用。</w:t>
      </w:r>
    </w:p>
    <w:p w14:paraId="410B0C14">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（2）施工措施的检测、试验：因施工措施需要而做的相关检测、试验由承包人负责实施，其费用由承包人承担。</w:t>
      </w:r>
    </w:p>
    <w:p w14:paraId="5E1A4349">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9.4.3专项检测：</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由承包人承担</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C7268F8">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9.4.4若因承包人取样、制样、送检及相关配合不及时而导致工程的工期和费用增加，影响的工期不予延长，增加费用由承包人承担。</w:t>
      </w:r>
    </w:p>
    <w:p w14:paraId="400B8E0C">
      <w:pPr>
        <w:tabs>
          <w:tab w:val="left" w:pos="711"/>
          <w:tab w:val="left" w:pos="2580"/>
        </w:tabs>
        <w:spacing w:line="360" w:lineRule="auto"/>
        <w:ind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9.4.5检测试验不合格的项目，其缺陷处理和复测费用由承包人承担，工期不予延长。</w:t>
      </w:r>
    </w:p>
    <w:bookmarkEnd w:id="1350"/>
    <w:bookmarkEnd w:id="1351"/>
    <w:bookmarkEnd w:id="1352"/>
    <w:bookmarkEnd w:id="1353"/>
    <w:bookmarkEnd w:id="1354"/>
    <w:bookmarkEnd w:id="1355"/>
    <w:bookmarkEnd w:id="1356"/>
    <w:bookmarkEnd w:id="1357"/>
    <w:bookmarkEnd w:id="1358"/>
    <w:bookmarkEnd w:id="1359"/>
    <w:bookmarkEnd w:id="1360"/>
    <w:bookmarkEnd w:id="1361"/>
    <w:bookmarkEnd w:id="1362"/>
    <w:p w14:paraId="7D01A8C0">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514" w:name="_Toc532375634"/>
      <w:bookmarkStart w:id="1515" w:name="_Toc532377370"/>
      <w:bookmarkStart w:id="1516" w:name="_Toc267251486"/>
      <w:bookmarkStart w:id="1517" w:name="_Toc267251485"/>
      <w:bookmarkStart w:id="1518" w:name="_Toc267251489"/>
      <w:bookmarkStart w:id="1519" w:name="_Hlk524298112"/>
      <w:bookmarkStart w:id="1520" w:name="_Toc267251484"/>
      <w:bookmarkStart w:id="1521" w:name="_Toc267251490"/>
      <w:bookmarkStart w:id="1522" w:name="_Toc267251482"/>
      <w:bookmarkStart w:id="1523" w:name="_Toc267251488"/>
      <w:bookmarkStart w:id="1524" w:name="_Toc267251494"/>
      <w:bookmarkStart w:id="1525" w:name="_Toc267251492"/>
      <w:bookmarkStart w:id="1526" w:name="_Toc267251496"/>
      <w:bookmarkStart w:id="1527" w:name="_Toc267251498"/>
      <w:bookmarkStart w:id="1528" w:name="_Toc267251503"/>
      <w:bookmarkStart w:id="1529" w:name="_Toc267251513"/>
      <w:bookmarkStart w:id="1530" w:name="_Toc267251491"/>
      <w:bookmarkStart w:id="1531" w:name="_Toc267251495"/>
      <w:bookmarkStart w:id="1532" w:name="_Toc267251506"/>
      <w:bookmarkStart w:id="1533" w:name="_Toc267251499"/>
      <w:bookmarkStart w:id="1534" w:name="_Toc267251514"/>
      <w:bookmarkStart w:id="1535" w:name="_Toc267251502"/>
      <w:bookmarkStart w:id="1536" w:name="_Toc267251510"/>
      <w:bookmarkStart w:id="1537" w:name="_Toc267251507"/>
      <w:bookmarkStart w:id="1538" w:name="_Toc267251511"/>
      <w:bookmarkStart w:id="1539" w:name="_Toc267251515"/>
      <w:bookmarkStart w:id="1540" w:name="_Toc267251504"/>
      <w:bookmarkStart w:id="1541" w:name="_Toc267251493"/>
      <w:bookmarkStart w:id="1542" w:name="_Toc267251501"/>
      <w:bookmarkStart w:id="1543" w:name="_Toc267251509"/>
      <w:bookmarkStart w:id="1544" w:name="_Toc267251508"/>
      <w:bookmarkStart w:id="1545" w:name="_Toc267251497"/>
      <w:r>
        <w:rPr>
          <w:rFonts w:hint="eastAsia"/>
          <w:color w:val="auto"/>
          <w:kern w:val="2"/>
          <w:sz w:val="21"/>
          <w:szCs w:val="21"/>
          <w:highlight w:val="none"/>
        </w:rPr>
        <w:t>1</w:t>
      </w:r>
      <w:bookmarkStart w:id="1546" w:name="_Toc296347192"/>
      <w:bookmarkStart w:id="1547" w:name="_Toc296891233"/>
      <w:bookmarkStart w:id="1548" w:name="_Toc297123540"/>
      <w:bookmarkStart w:id="1549" w:name="_Toc292559398"/>
      <w:bookmarkStart w:id="1550" w:name="_Toc297048379"/>
      <w:bookmarkStart w:id="1551" w:name="_Toc297120493"/>
      <w:bookmarkStart w:id="1552" w:name="_Toc292559903"/>
      <w:bookmarkStart w:id="1553" w:name="_Toc296944532"/>
      <w:bookmarkStart w:id="1554" w:name="_Toc296503193"/>
      <w:bookmarkStart w:id="1555" w:name="_Toc297216199"/>
      <w:bookmarkStart w:id="1556" w:name="_Toc300934989"/>
      <w:bookmarkStart w:id="1557" w:name="_Toc304295566"/>
      <w:bookmarkStart w:id="1558" w:name="_Toc296891021"/>
      <w:bookmarkStart w:id="1559" w:name="_Toc296346694"/>
      <w:bookmarkStart w:id="1560" w:name="_Toc303539146"/>
      <w:bookmarkStart w:id="1561" w:name="_Toc312677499"/>
      <w:bookmarkStart w:id="1562" w:name="_Toc312678025"/>
      <w:bookmarkStart w:id="1563" w:name="_Toc267251440"/>
      <w:bookmarkStart w:id="1564" w:name="_Toc267251437"/>
      <w:bookmarkStart w:id="1565" w:name="_Toc267251433"/>
      <w:bookmarkStart w:id="1566" w:name="_Toc267251441"/>
      <w:bookmarkStart w:id="1567" w:name="_Toc267251439"/>
      <w:bookmarkStart w:id="1568" w:name="_Toc267251435"/>
      <w:r>
        <w:rPr>
          <w:rFonts w:hint="eastAsia"/>
          <w:color w:val="auto"/>
          <w:kern w:val="2"/>
          <w:sz w:val="21"/>
          <w:szCs w:val="21"/>
          <w:highlight w:val="none"/>
        </w:rPr>
        <w:t>0. 变更</w:t>
      </w:r>
      <w:bookmarkEnd w:id="1514"/>
      <w:bookmarkEnd w:id="151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p>
    <w:bookmarkEnd w:id="1561"/>
    <w:bookmarkEnd w:id="1562"/>
    <w:p w14:paraId="38CFA059">
      <w:pPr>
        <w:pStyle w:val="7"/>
        <w:spacing w:before="0" w:beforeAutospacing="0" w:after="0" w:afterAutospacing="0" w:line="360" w:lineRule="auto"/>
        <w:ind w:firstLine="422" w:firstLineChars="200"/>
        <w:rPr>
          <w:color w:val="auto"/>
          <w:sz w:val="21"/>
          <w:szCs w:val="21"/>
          <w:highlight w:val="none"/>
        </w:rPr>
      </w:pPr>
      <w:bookmarkStart w:id="1569" w:name="_Toc532377371"/>
      <w:bookmarkStart w:id="1570" w:name="_Toc532375635"/>
      <w:r>
        <w:rPr>
          <w:rFonts w:hint="eastAsia"/>
          <w:color w:val="auto"/>
          <w:sz w:val="21"/>
          <w:szCs w:val="21"/>
          <w:highlight w:val="none"/>
        </w:rPr>
        <w:t>1</w:t>
      </w:r>
      <w:bookmarkStart w:id="1571" w:name="_Toc292559399"/>
      <w:bookmarkStart w:id="1572" w:name="_Toc292559904"/>
      <w:bookmarkStart w:id="1573" w:name="_Toc297120494"/>
      <w:bookmarkStart w:id="1574" w:name="_Toc297216200"/>
      <w:bookmarkStart w:id="1575" w:name="_Toc296891234"/>
      <w:bookmarkStart w:id="1576" w:name="_Toc303539147"/>
      <w:bookmarkStart w:id="1577" w:name="_Toc296347193"/>
      <w:bookmarkStart w:id="1578" w:name="_Toc297123541"/>
      <w:bookmarkStart w:id="1579" w:name="_Toc300934990"/>
      <w:bookmarkStart w:id="1580" w:name="_Toc312677500"/>
      <w:bookmarkStart w:id="1581" w:name="_Toc297048380"/>
      <w:bookmarkStart w:id="1582" w:name="_Toc296944533"/>
      <w:bookmarkStart w:id="1583" w:name="_Toc296503194"/>
      <w:bookmarkStart w:id="1584" w:name="_Toc312678026"/>
      <w:bookmarkStart w:id="1585" w:name="_Toc304295567"/>
      <w:bookmarkStart w:id="1586" w:name="_Toc296891022"/>
      <w:bookmarkStart w:id="1587" w:name="_Toc296346695"/>
      <w:r>
        <w:rPr>
          <w:rFonts w:hint="eastAsia"/>
          <w:color w:val="auto"/>
          <w:sz w:val="21"/>
          <w:szCs w:val="21"/>
          <w:highlight w:val="none"/>
        </w:rPr>
        <w:t>0.1变更的范围</w:t>
      </w:r>
      <w:bookmarkEnd w:id="1569"/>
      <w:bookmarkEnd w:id="1570"/>
    </w:p>
    <w:p w14:paraId="0F740AF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关于变更范围的约定：</w:t>
      </w:r>
    </w:p>
    <w:p w14:paraId="1EEF290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（1）增加或减少合同中任何工作，或追加额外的工作；</w:t>
      </w:r>
    </w:p>
    <w:p w14:paraId="02C9061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（2）取消合同中任何工作；</w:t>
      </w:r>
    </w:p>
    <w:p w14:paraId="5B678E3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（3）改变合同中任何工作的质量标准或其他特性；</w:t>
      </w:r>
    </w:p>
    <w:p w14:paraId="14E3F96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（4）改变工程的基线、标高、位置和尺寸；</w:t>
      </w:r>
    </w:p>
    <w:p w14:paraId="1E2D0FE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（5）适用于工程的标准和（或）规范变化导致需要对工程进行改变，且该改变导致工期和（或）费用变化的；</w:t>
      </w:r>
    </w:p>
    <w:p w14:paraId="2E279AD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（6）勘察设计变更；</w:t>
      </w:r>
    </w:p>
    <w:p w14:paraId="59A1697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（7）实施内容变更，包括因设计变更和非设计变更引起的实施地点、投资规模、结构型式、采购数量、服务内容等进行的调整，以及因此导致的合同价格、工期变更；</w:t>
      </w:r>
    </w:p>
    <w:p w14:paraId="17D889F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（8）项目管理人员变更；</w:t>
      </w:r>
    </w:p>
    <w:p w14:paraId="46BC939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（9）因人工、原材料等价格变化导致的合同总价变更；</w:t>
      </w:r>
    </w:p>
    <w:p w14:paraId="6433908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（10）非实施内容变化导致的工期变更；</w:t>
      </w:r>
    </w:p>
    <w:p w14:paraId="5DEABA1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42D180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080D71BA">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承包人对其提供的材料、工程设备、施工、无负荷试车、热负荷试车及图纸参数存在的缺陷，自费修正、调整和完善，不属于变更。</w:t>
      </w:r>
    </w:p>
    <w:p w14:paraId="5F5DB27E">
      <w:pPr>
        <w:pStyle w:val="7"/>
        <w:spacing w:before="0" w:beforeAutospacing="0" w:after="0" w:afterAutospacing="0" w:line="360" w:lineRule="auto"/>
        <w:ind w:firstLine="422" w:firstLineChars="200"/>
        <w:rPr>
          <w:color w:val="auto"/>
          <w:sz w:val="21"/>
          <w:szCs w:val="21"/>
          <w:highlight w:val="none"/>
        </w:rPr>
      </w:pPr>
      <w:bookmarkStart w:id="1588" w:name="_Toc532375636"/>
      <w:bookmarkStart w:id="1589" w:name="_Toc532377372"/>
      <w:bookmarkStart w:id="1590" w:name="_Toc351203569"/>
      <w:r>
        <w:rPr>
          <w:rFonts w:hint="eastAsia"/>
          <w:color w:val="auto"/>
          <w:sz w:val="21"/>
          <w:szCs w:val="21"/>
          <w:highlight w:val="none"/>
        </w:rPr>
        <w:t>1</w:t>
      </w:r>
      <w:bookmarkStart w:id="1591" w:name="_Toc296346586"/>
      <w:bookmarkStart w:id="1592" w:name="_Toc296503085"/>
      <w:bookmarkStart w:id="1593" w:name="_Toc337558789"/>
      <w:r>
        <w:rPr>
          <w:rFonts w:hint="eastAsia"/>
          <w:color w:val="auto"/>
          <w:sz w:val="21"/>
          <w:szCs w:val="21"/>
          <w:highlight w:val="none"/>
        </w:rPr>
        <w:t>0.2变更权</w:t>
      </w:r>
      <w:bookmarkEnd w:id="1588"/>
      <w:bookmarkEnd w:id="1589"/>
      <w:bookmarkEnd w:id="1590"/>
    </w:p>
    <w:bookmarkEnd w:id="1591"/>
    <w:bookmarkEnd w:id="1592"/>
    <w:bookmarkEnd w:id="1593"/>
    <w:p w14:paraId="2BFDCAD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10.2.1发包人和监理人提出变更</w:t>
      </w:r>
    </w:p>
    <w:p w14:paraId="2CB7162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55C7B182">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涉及设计变更的，应由设计人提供变更后的图纸和说明，交由发包人同意后由监理人以书面形式发出。如变更超过原设计标准或批准的建设规模时，由发包人及时办理规划、设计变更等审批手续。</w:t>
      </w:r>
    </w:p>
    <w:p w14:paraId="1DF1D21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若出现重大设计变更，变更后的内容超出承包人资质或能力范围的，发包人将另行依法招标选择承包单位，无需征得承包人同意。</w:t>
      </w:r>
    </w:p>
    <w:p w14:paraId="501987B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10.2.2 承包人提出变更建议</w:t>
      </w:r>
    </w:p>
    <w:p w14:paraId="6EBCECF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color w:val="auto"/>
          <w:szCs w:val="21"/>
          <w:highlight w:val="none"/>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color w:val="auto"/>
          <w:szCs w:val="21"/>
          <w:highlight w:val="none"/>
        </w:rPr>
        <w:t>。</w:t>
      </w:r>
    </w:p>
    <w:p w14:paraId="7FFD5403">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如果发包人对承包人已实施的施工项目在发出重大设计变更之前要求承包人提出一份建议，那么，承包人应尽快提出：</w:t>
      </w:r>
    </w:p>
    <w:p w14:paraId="1CC0DA73">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（1）对所提方案和（或）待做工作及其实施计划的说明</w:t>
      </w:r>
      <w:r>
        <w:rPr>
          <w:rFonts w:hint="eastAsia" w:ascii="宋体" w:hAnsi="宋体"/>
          <w:color w:val="auto"/>
          <w:szCs w:val="21"/>
          <w:highlight w:val="none"/>
        </w:rPr>
        <w:t>；</w:t>
      </w:r>
    </w:p>
    <w:p w14:paraId="3B2BC0BD">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（2）承包人按照对工程进度计划进行必要修改的建议</w:t>
      </w:r>
      <w:r>
        <w:rPr>
          <w:rFonts w:hint="eastAsia" w:ascii="宋体" w:hAnsi="宋体"/>
          <w:color w:val="auto"/>
          <w:szCs w:val="21"/>
          <w:highlight w:val="none"/>
        </w:rPr>
        <w:t>；</w:t>
      </w:r>
    </w:p>
    <w:p w14:paraId="72A67565">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（3）承包人发生较大返工损失增加费用的建议</w:t>
      </w:r>
      <w:r>
        <w:rPr>
          <w:rFonts w:hint="eastAsia" w:ascii="宋体" w:hAnsi="宋体"/>
          <w:color w:val="auto"/>
          <w:szCs w:val="21"/>
          <w:highlight w:val="none"/>
        </w:rPr>
        <w:t>。</w:t>
      </w:r>
    </w:p>
    <w:p w14:paraId="47B7DED8">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发包人在收到上述建议书后，应尽快给予批准、否决或提出意见</w:t>
      </w:r>
      <w:r>
        <w:rPr>
          <w:rFonts w:hint="eastAsia" w:ascii="宋体" w:hAnsi="宋体"/>
          <w:color w:val="auto"/>
          <w:szCs w:val="21"/>
          <w:highlight w:val="none"/>
        </w:rPr>
        <w:t>。</w:t>
      </w:r>
    </w:p>
    <w:p w14:paraId="7B730DB7">
      <w:pPr>
        <w:pStyle w:val="7"/>
        <w:spacing w:before="0" w:beforeAutospacing="0" w:after="0" w:afterAutospacing="0" w:line="360" w:lineRule="auto"/>
        <w:ind w:firstLine="422" w:firstLineChars="200"/>
        <w:rPr>
          <w:color w:val="auto"/>
          <w:sz w:val="21"/>
          <w:szCs w:val="21"/>
          <w:highlight w:val="none"/>
        </w:rPr>
      </w:pPr>
      <w:bookmarkStart w:id="1594" w:name="_Toc532377373"/>
      <w:bookmarkStart w:id="1595" w:name="_Toc532375637"/>
      <w:bookmarkStart w:id="1596" w:name="_Hlk528928195"/>
      <w:bookmarkStart w:id="1597" w:name="_Toc351203570"/>
      <w:r>
        <w:rPr>
          <w:rFonts w:hint="eastAsia"/>
          <w:color w:val="auto"/>
          <w:sz w:val="21"/>
          <w:szCs w:val="21"/>
          <w:highlight w:val="none"/>
        </w:rPr>
        <w:t>1</w:t>
      </w:r>
      <w:bookmarkStart w:id="1598" w:name="_Toc296346587"/>
      <w:bookmarkStart w:id="1599" w:name="_Toc296503086"/>
      <w:bookmarkStart w:id="1600" w:name="_Toc337558790"/>
      <w:r>
        <w:rPr>
          <w:rFonts w:hint="eastAsia"/>
          <w:color w:val="auto"/>
          <w:sz w:val="21"/>
          <w:szCs w:val="21"/>
          <w:highlight w:val="none"/>
        </w:rPr>
        <w:t>0.3变更程序</w:t>
      </w:r>
      <w:bookmarkEnd w:id="1594"/>
      <w:bookmarkEnd w:id="1595"/>
    </w:p>
    <w:bookmarkEnd w:id="1598"/>
    <w:bookmarkEnd w:id="1599"/>
    <w:bookmarkEnd w:id="1600"/>
    <w:p w14:paraId="6586B794">
      <w:pPr>
        <w:autoSpaceDE w:val="0"/>
        <w:autoSpaceDN w:val="0"/>
        <w:spacing w:line="360" w:lineRule="auto"/>
        <w:ind w:firstLine="420" w:firstLineChars="200"/>
        <w:jc w:val="left"/>
        <w:rPr>
          <w:rFonts w:ascii="宋体" w:hAnsi="宋体"/>
          <w:color w:val="auto"/>
          <w:szCs w:val="21"/>
          <w:highlight w:val="none"/>
        </w:rPr>
      </w:pPr>
      <w:bookmarkStart w:id="1601" w:name="_Hlk524353972"/>
      <w:r>
        <w:rPr>
          <w:rFonts w:hint="eastAsia" w:ascii="宋体" w:hAnsi="宋体"/>
          <w:color w:val="auto"/>
          <w:szCs w:val="21"/>
          <w:highlight w:val="none"/>
        </w:rPr>
        <w:t>10.3.3 变更执行</w:t>
      </w:r>
    </w:p>
    <w:p w14:paraId="61342047">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一般设计变更：承包人收到监理人下达的变更指示后，应按照监理人下达的变更指示执行，并书面说明实施该变更指示对合同价格和工期的影响，按照第10.4.1项〔变更估价原则〕约定执行。</w:t>
      </w:r>
    </w:p>
    <w:p w14:paraId="047DF76F">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重大设计变更：需经设计人、监理人和发包人三方签名认可并报相关行业部门审查同意后实施。</w:t>
      </w:r>
    </w:p>
    <w:p w14:paraId="5D66A639">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10.3.3 项增加以下内容：</w:t>
      </w:r>
    </w:p>
    <w:p w14:paraId="4E68ECA7">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14:paraId="1A581EC4">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项目的勘察设计、实施内容等作较大变更的，应当按照规定的程序报原审批部门审批；变更导致总投资超概的，应当报原投资概算核定部门核定。</w:t>
      </w:r>
    </w:p>
    <w:p w14:paraId="095F38A8">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项目管理人员变更的，应当经发包人领导班子集体决策同意，并将变更信息推送给行业主管部门。变更后的项目管理人员应当符合招标文件和行业主管部门的相关规定。</w:t>
      </w:r>
    </w:p>
    <w:p w14:paraId="04FB743D">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因人工、原材料市场价格发生大幅度变化导致的合同总价变更，由发包人与承包人按照合同进行变更，并将变更信息推送给行业主管部门。</w:t>
      </w:r>
    </w:p>
    <w:p w14:paraId="0556ED45">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项目实施内容无变更，因不可抗力导致的工期变更，由发包人领导班子集体决策同意，并将变更信息推送给行业主管部门；因项目实施内容变更导致的工期变更，与项目实施内容变更一并办理。</w:t>
      </w:r>
    </w:p>
    <w:p w14:paraId="73BE395D">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项目合同变更后，增加的实施内容达到依法必须招标的规模标准的，增加的部分应当依法通过招标选择承包单位。</w:t>
      </w:r>
    </w:p>
    <w:bookmarkEnd w:id="1596"/>
    <w:bookmarkEnd w:id="1597"/>
    <w:bookmarkEnd w:id="1601"/>
    <w:p w14:paraId="37CAEAFF">
      <w:pPr>
        <w:pStyle w:val="7"/>
        <w:spacing w:before="0" w:beforeAutospacing="0" w:after="0" w:afterAutospacing="0" w:line="360" w:lineRule="auto"/>
        <w:ind w:firstLine="422" w:firstLineChars="200"/>
        <w:rPr>
          <w:color w:val="auto"/>
          <w:sz w:val="21"/>
          <w:szCs w:val="21"/>
          <w:highlight w:val="none"/>
        </w:rPr>
      </w:pPr>
      <w:bookmarkStart w:id="1602" w:name="_Toc532375638"/>
      <w:bookmarkStart w:id="1603" w:name="_Toc532377374"/>
      <w:r>
        <w:rPr>
          <w:rFonts w:hint="eastAsia"/>
          <w:color w:val="auto"/>
          <w:sz w:val="21"/>
          <w:szCs w:val="21"/>
          <w:highlight w:val="none"/>
        </w:rPr>
        <w:t>10.4 变更估价</w:t>
      </w:r>
      <w:bookmarkEnd w:id="1602"/>
      <w:bookmarkEnd w:id="1603"/>
    </w:p>
    <w:p w14:paraId="520E3D0F">
      <w:pPr>
        <w:spacing w:line="360" w:lineRule="auto"/>
        <w:ind w:firstLine="420" w:firstLineChars="200"/>
        <w:jc w:val="left"/>
        <w:rPr>
          <w:rFonts w:ascii="宋体" w:hAnsi="宋体"/>
          <w:color w:val="auto"/>
          <w:szCs w:val="21"/>
          <w:highlight w:val="none"/>
        </w:rPr>
      </w:pPr>
      <w:bookmarkStart w:id="1604" w:name="_Hlk524296629"/>
      <w:r>
        <w:rPr>
          <w:rFonts w:hint="eastAsia" w:ascii="宋体" w:hAnsi="宋体"/>
          <w:color w:val="auto"/>
          <w:szCs w:val="21"/>
          <w:highlight w:val="none"/>
        </w:rPr>
        <w:t>10.4.1 变更估价原则</w:t>
      </w:r>
    </w:p>
    <w:p w14:paraId="738D2971">
      <w:pPr>
        <w:pStyle w:val="2"/>
        <w:spacing w:after="0"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当发生工程变更时，工程量按</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12.3.1</w:t>
      </w:r>
      <w:r>
        <w:rPr>
          <w:rFonts w:hint="eastAsia" w:ascii="宋体" w:hAnsi="宋体"/>
          <w:color w:val="auto"/>
          <w:szCs w:val="21"/>
          <w:highlight w:val="none"/>
          <w:u w:val="single"/>
        </w:rPr>
        <w:t xml:space="preserve">   </w:t>
      </w:r>
      <w:r>
        <w:rPr>
          <w:rFonts w:hint="eastAsia" w:ascii="宋体" w:hAnsi="宋体"/>
          <w:color w:val="auto"/>
          <w:szCs w:val="21"/>
          <w:highlight w:val="none"/>
        </w:rPr>
        <w:t>规定的计算规则及已标价工程量清单规定的工程量计算规则计量，按以下办法计价：</w:t>
      </w:r>
      <w:bookmarkStart w:id="1605" w:name="_Hlk524770102"/>
    </w:p>
    <w:bookmarkEnd w:id="1605"/>
    <w:p w14:paraId="4E41ADD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10.4.1.1已标价工程量清单中有相同项目的，按照相同项目单价计算；</w:t>
      </w:r>
    </w:p>
    <w:p w14:paraId="162120D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10.4.1.2已标价工程量清单中有类似项目的，参考类似项目单价计算；</w:t>
      </w:r>
    </w:p>
    <w:p w14:paraId="578DB00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10.4.1.3已标价工程量清单中无相同项目亦无类似项目的，按照以下原则执行：</w:t>
      </w:r>
    </w:p>
    <w:p w14:paraId="128B095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hint="eastAsia" w:ascii="宋体" w:hAnsi="宋体"/>
          <w:color w:val="auto"/>
          <w:szCs w:val="21"/>
          <w:highlight w:val="none"/>
        </w:rPr>
        <w:t>。</w:t>
      </w:r>
    </w:p>
    <w:p w14:paraId="4BE21EF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承包人报价浮动率按下列公式计算：承包人报价浮动率=（1-中标价/最高限价）×100%。</w:t>
      </w:r>
    </w:p>
    <w:p w14:paraId="5044F74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（1）人工单价：按开标当期《重庆工程造价信息》发布的项目所在地的人工单价执行。</w:t>
      </w:r>
    </w:p>
    <w:p w14:paraId="355898A5">
      <w:pPr>
        <w:spacing w:line="360" w:lineRule="auto"/>
        <w:ind w:firstLine="420" w:firstLineChars="200"/>
        <w:jc w:val="left"/>
        <w:rPr>
          <w:rFonts w:ascii="宋体" w:hAnsi="宋体"/>
          <w:color w:val="auto"/>
          <w:szCs w:val="21"/>
          <w:highlight w:val="none"/>
        </w:rPr>
      </w:pPr>
      <w:bookmarkStart w:id="1606" w:name="_Hlk529023896"/>
      <w:r>
        <w:rPr>
          <w:rFonts w:hint="eastAsia" w:ascii="宋体" w:hAnsi="宋体"/>
          <w:color w:val="auto"/>
          <w:szCs w:val="21"/>
          <w:highlight w:val="none"/>
        </w:rPr>
        <w:t>（2）材料单价：</w:t>
      </w:r>
    </w:p>
    <w:p w14:paraId="192F4C2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①按</w:t>
      </w:r>
      <w:bookmarkStart w:id="1607" w:name="_Hlk529023354"/>
      <w:r>
        <w:rPr>
          <w:rFonts w:hint="eastAsia" w:ascii="宋体" w:hAnsi="宋体"/>
          <w:color w:val="auto"/>
          <w:szCs w:val="21"/>
          <w:highlight w:val="none"/>
        </w:rPr>
        <w:t>开标当期《重庆工程造价信息》发布的项目所在地的信息价</w:t>
      </w:r>
      <w:bookmarkEnd w:id="1607"/>
      <w:r>
        <w:rPr>
          <w:rFonts w:hint="eastAsia" w:ascii="宋体" w:hAnsi="宋体"/>
          <w:color w:val="auto"/>
          <w:szCs w:val="21"/>
          <w:highlight w:val="none"/>
        </w:rPr>
        <w:t>执行；</w:t>
      </w:r>
    </w:p>
    <w:p w14:paraId="4B36621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②开标当期《重庆工程造价信息》中没有的，承包人投标报价中有的，按承包人投标报价中相同材料单价的最低值执行；</w:t>
      </w:r>
    </w:p>
    <w:p w14:paraId="41F7B64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③开标当期《重庆工程造价信息》和承包人投标报价没有的，由承包人申报、监理人会同跟审单位、发包人根据市场行情认质核价确定。</w:t>
      </w:r>
    </w:p>
    <w:bookmarkEnd w:id="1606"/>
    <w:p w14:paraId="5C7903C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企业管理费和利润：按承包人投标报价中相同工程分类的费用标准执行（投标报价中费用标准高于《重庆市建设工程费用定额》（CQFYDE-2018）费用标准的，按《重庆市建设工程费用定额》（CQFYDE-2018）费用标准执行）。</w:t>
      </w:r>
    </w:p>
    <w:p w14:paraId="03F279F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（4）规费：按《重庆市建设工程费用定额》（CQFYDE-2018）费用标准进行计算。</w:t>
      </w:r>
    </w:p>
    <w:p w14:paraId="443714C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（5）税金：包含增值税、城市维护建设税、教育费附加、地方教育附加以及环境保护税。其中增值税按《重庆市建设工程费用定额》（CQFYDE-2018）规定及配套文件执行。</w:t>
      </w:r>
    </w:p>
    <w:p w14:paraId="1B5618A7">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14:paraId="0CE1DD2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本款补充10.4.3项：</w:t>
      </w:r>
    </w:p>
    <w:p w14:paraId="43585BA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14:paraId="65F7005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安全文明施工费应按照实际发生变化的措施项目依据现行安全文明施工费计取及管理政策规定及《重庆市建设工程费用定额》（CQFYDE-2018）规定执行</w:t>
      </w:r>
      <w:r>
        <w:rPr>
          <w:rFonts w:hint="eastAsia" w:ascii="宋体" w:hAnsi="宋体"/>
          <w:color w:val="auto"/>
          <w:szCs w:val="21"/>
          <w:highlight w:val="none"/>
        </w:rPr>
        <w:t>；</w:t>
      </w:r>
    </w:p>
    <w:p w14:paraId="756418D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按照单价计算的措施项目费，应按照实际发生变化的措施项目，按照第10.4.1项〔变更估价原则〕约定执行</w:t>
      </w:r>
      <w:r>
        <w:rPr>
          <w:rFonts w:hint="eastAsia" w:ascii="宋体" w:hAnsi="宋体"/>
          <w:color w:val="auto"/>
          <w:szCs w:val="21"/>
          <w:highlight w:val="none"/>
        </w:rPr>
        <w:t>；</w:t>
      </w:r>
    </w:p>
    <w:p w14:paraId="7B9796A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按总价（或系数）计算的措施项目费，应按照实际发生变化的措施项目费按承包人报价浮动率下浮后的金额计算</w:t>
      </w:r>
      <w:r>
        <w:rPr>
          <w:rFonts w:hint="eastAsia" w:ascii="宋体" w:hAnsi="宋体"/>
          <w:color w:val="auto"/>
          <w:szCs w:val="21"/>
          <w:highlight w:val="none"/>
        </w:rPr>
        <w:t>；</w:t>
      </w:r>
    </w:p>
    <w:p w14:paraId="151C2CC1">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（4）</w:t>
      </w:r>
      <w:r>
        <w:rPr>
          <w:rFonts w:hint="eastAsia" w:ascii="宋体" w:hAnsi="宋体"/>
          <w:color w:val="auto"/>
          <w:szCs w:val="21"/>
          <w:highlight w:val="none"/>
          <w:u w:val="single"/>
        </w:rPr>
        <w:t>如果承包人未事前将拟实施的方案提交给发包人确认，则应视为工程变更不引起措施项目费的调整或承包人放弃调整措施项目费的权利</w:t>
      </w:r>
      <w:r>
        <w:rPr>
          <w:rFonts w:hint="eastAsia" w:ascii="宋体" w:hAnsi="宋体"/>
          <w:color w:val="auto"/>
          <w:szCs w:val="21"/>
          <w:highlight w:val="none"/>
        </w:rPr>
        <w:t>。</w:t>
      </w:r>
    </w:p>
    <w:bookmarkEnd w:id="1604"/>
    <w:p w14:paraId="5AB76807">
      <w:pPr>
        <w:pStyle w:val="7"/>
        <w:spacing w:before="0" w:beforeAutospacing="0" w:after="0" w:afterAutospacing="0" w:line="360" w:lineRule="auto"/>
        <w:ind w:firstLine="422" w:firstLineChars="200"/>
        <w:rPr>
          <w:color w:val="auto"/>
          <w:sz w:val="21"/>
          <w:szCs w:val="21"/>
          <w:highlight w:val="none"/>
        </w:rPr>
      </w:pPr>
      <w:bookmarkStart w:id="1608" w:name="_Toc532377375"/>
      <w:bookmarkStart w:id="1609" w:name="_Toc532375639"/>
      <w:r>
        <w:rPr>
          <w:rFonts w:hint="eastAsia"/>
          <w:color w:val="auto"/>
          <w:sz w:val="21"/>
          <w:szCs w:val="21"/>
          <w:highlight w:val="none"/>
        </w:rPr>
        <w:t>1</w:t>
      </w:r>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Start w:id="1610" w:name="_Toc296346698"/>
      <w:bookmarkStart w:id="1611" w:name="_Toc296944536"/>
      <w:bookmarkStart w:id="1612" w:name="_Toc300934993"/>
      <w:bookmarkStart w:id="1613" w:name="_Toc296891237"/>
      <w:bookmarkStart w:id="1614" w:name="_Toc297048383"/>
      <w:bookmarkStart w:id="1615" w:name="_Toc292559402"/>
      <w:bookmarkStart w:id="1616" w:name="_Toc297216203"/>
      <w:bookmarkStart w:id="1617" w:name="_Toc297120497"/>
      <w:bookmarkStart w:id="1618" w:name="_Toc296347196"/>
      <w:bookmarkStart w:id="1619" w:name="_Toc292559907"/>
      <w:bookmarkStart w:id="1620" w:name="_Toc297123544"/>
      <w:bookmarkStart w:id="1621" w:name="_Toc296503197"/>
      <w:bookmarkStart w:id="1622" w:name="_Toc303539150"/>
      <w:bookmarkStart w:id="1623" w:name="_Toc296891025"/>
      <w:bookmarkStart w:id="1624" w:name="_Toc304295570"/>
      <w:bookmarkStart w:id="1625" w:name="_Toc312677503"/>
      <w:bookmarkStart w:id="1626" w:name="_Toc312678029"/>
      <w:r>
        <w:rPr>
          <w:rFonts w:hint="eastAsia"/>
          <w:color w:val="auto"/>
          <w:sz w:val="21"/>
          <w:szCs w:val="21"/>
          <w:highlight w:val="none"/>
        </w:rPr>
        <w:t>0.5承</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Start w:id="1627" w:name="_Toc303539151"/>
      <w:bookmarkStart w:id="1628" w:name="_Toc297216204"/>
      <w:bookmarkStart w:id="1629" w:name="_Toc296944542"/>
      <w:bookmarkStart w:id="1630" w:name="_Toc292559913"/>
      <w:bookmarkStart w:id="1631" w:name="_Toc296346704"/>
      <w:bookmarkStart w:id="1632" w:name="_Toc296891031"/>
      <w:bookmarkStart w:id="1633" w:name="_Toc300934994"/>
      <w:bookmarkStart w:id="1634" w:name="_Toc296503203"/>
      <w:bookmarkStart w:id="1635" w:name="_Toc297048389"/>
      <w:bookmarkStart w:id="1636" w:name="_Toc292559408"/>
      <w:bookmarkStart w:id="1637" w:name="_Toc297123545"/>
      <w:bookmarkStart w:id="1638" w:name="_Toc296891243"/>
      <w:bookmarkStart w:id="1639" w:name="_Toc296347202"/>
      <w:bookmarkStart w:id="1640" w:name="_Toc297120503"/>
      <w:r>
        <w:rPr>
          <w:rFonts w:hint="eastAsia"/>
          <w:color w:val="auto"/>
          <w:sz w:val="21"/>
          <w:szCs w:val="21"/>
          <w:highlight w:val="none"/>
        </w:rPr>
        <w:t>包人的合理化建议</w:t>
      </w:r>
      <w:bookmarkEnd w:id="1608"/>
      <w:bookmarkEnd w:id="1609"/>
    </w:p>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p w14:paraId="5282DE8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承包人提出合理化建议的，应向监理人提交合理化建议说明，说明建议的内容和理由，以及实施该建议对合同价格和（或）工期和（或）工程经济效益的影响。</w:t>
      </w:r>
    </w:p>
    <w:p w14:paraId="3E9265A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监理人审查承包人合理化建议的期限：</w:t>
      </w:r>
      <w:r>
        <w:rPr>
          <w:rFonts w:hint="eastAsia" w:ascii="宋体" w:hAnsi="宋体"/>
          <w:color w:val="auto"/>
          <w:szCs w:val="21"/>
          <w:highlight w:val="none"/>
          <w:u w:val="single"/>
        </w:rPr>
        <w:t>不超过14天</w:t>
      </w:r>
      <w:r>
        <w:rPr>
          <w:rFonts w:hint="eastAsia" w:ascii="宋体" w:hAnsi="宋体"/>
          <w:color w:val="auto"/>
          <w:szCs w:val="21"/>
          <w:highlight w:val="none"/>
        </w:rPr>
        <w:t>。</w:t>
      </w:r>
    </w:p>
    <w:p w14:paraId="42262CF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发包人审批承包人合理化建议的期限：</w:t>
      </w:r>
      <w:r>
        <w:rPr>
          <w:rFonts w:hint="eastAsia" w:ascii="宋体" w:hAnsi="宋体"/>
          <w:color w:val="auto"/>
          <w:szCs w:val="21"/>
          <w:highlight w:val="none"/>
          <w:u w:val="single"/>
        </w:rPr>
        <w:t>不超过14天</w:t>
      </w:r>
      <w:r>
        <w:rPr>
          <w:rFonts w:hint="eastAsia" w:ascii="宋体" w:hAnsi="宋体"/>
          <w:color w:val="auto"/>
          <w:szCs w:val="21"/>
          <w:highlight w:val="none"/>
        </w:rPr>
        <w:t>。</w:t>
      </w:r>
    </w:p>
    <w:p w14:paraId="3AA0F3EF">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w:t>
      </w:r>
      <w:bookmarkStart w:id="1641" w:name="_Toc296891032"/>
      <w:bookmarkStart w:id="1642" w:name="_Toc297120504"/>
      <w:bookmarkStart w:id="1643" w:name="_Toc296891244"/>
      <w:bookmarkStart w:id="1644" w:name="_Toc300934995"/>
      <w:bookmarkStart w:id="1645" w:name="_Toc312678030"/>
      <w:bookmarkStart w:id="1646" w:name="_Toc296346705"/>
      <w:bookmarkStart w:id="1647" w:name="_Toc318581175"/>
      <w:bookmarkStart w:id="1648" w:name="_Toc312677504"/>
      <w:bookmarkStart w:id="1649" w:name="_Toc297048390"/>
      <w:bookmarkStart w:id="1650" w:name="_Toc296347203"/>
      <w:bookmarkStart w:id="1651" w:name="_Toc292559914"/>
      <w:bookmarkStart w:id="1652" w:name="_Toc296503204"/>
      <w:bookmarkStart w:id="1653" w:name="_Toc296944543"/>
      <w:bookmarkStart w:id="1654" w:name="_Toc297216205"/>
      <w:bookmarkStart w:id="1655" w:name="_Toc297123546"/>
      <w:bookmarkStart w:id="1656" w:name="_Toc303539152"/>
      <w:bookmarkStart w:id="1657" w:name="_Toc304295571"/>
      <w:bookmarkStart w:id="1658" w:name="_Toc292559409"/>
      <w:r>
        <w:rPr>
          <w:rFonts w:hint="eastAsia" w:ascii="宋体" w:hAnsi="宋体"/>
          <w:color w:val="auto"/>
          <w:szCs w:val="21"/>
          <w:highlight w:val="none"/>
        </w:rPr>
        <w:t>包人提出的合理化建议降低了合同价格或缩短了工期或者提高了工程经济效益的奖励的方法和金额为：</w:t>
      </w:r>
      <w:r>
        <w:rPr>
          <w:rFonts w:hint="eastAsia" w:ascii="宋体" w:hAnsi="宋体"/>
          <w:color w:val="auto"/>
          <w:szCs w:val="21"/>
          <w:highlight w:val="none"/>
          <w:u w:val="single"/>
          <w:lang w:val="en-US" w:eastAsia="zh-CN"/>
        </w:rPr>
        <w:t>无</w:t>
      </w:r>
      <w:r>
        <w:rPr>
          <w:rFonts w:hint="eastAsia" w:ascii="宋体" w:hAnsi="宋体"/>
          <w:color w:val="auto"/>
          <w:szCs w:val="21"/>
          <w:highlight w:val="none"/>
        </w:rPr>
        <w:t>。</w:t>
      </w:r>
    </w:p>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p w14:paraId="41E559C2">
      <w:pPr>
        <w:pStyle w:val="7"/>
        <w:spacing w:before="0" w:beforeAutospacing="0" w:after="0" w:afterAutospacing="0" w:line="360" w:lineRule="auto"/>
        <w:ind w:firstLine="422" w:firstLineChars="200"/>
        <w:rPr>
          <w:color w:val="auto"/>
          <w:sz w:val="21"/>
          <w:szCs w:val="21"/>
          <w:highlight w:val="none"/>
        </w:rPr>
      </w:pPr>
      <w:bookmarkStart w:id="1659" w:name="_Toc532377376"/>
      <w:bookmarkStart w:id="1660" w:name="_Toc532375640"/>
      <w:r>
        <w:rPr>
          <w:rFonts w:hint="eastAsia"/>
          <w:color w:val="auto"/>
          <w:sz w:val="21"/>
          <w:szCs w:val="21"/>
          <w:highlight w:val="none"/>
        </w:rPr>
        <w:t>1</w:t>
      </w:r>
      <w:bookmarkStart w:id="1661" w:name="_Toc292559909"/>
      <w:bookmarkStart w:id="1662" w:name="_Toc296891027"/>
      <w:bookmarkStart w:id="1663" w:name="_Toc312678033"/>
      <w:bookmarkStart w:id="1664" w:name="_Toc297123548"/>
      <w:bookmarkStart w:id="1665" w:name="_Toc304295574"/>
      <w:bookmarkStart w:id="1666" w:name="_Toc300934997"/>
      <w:bookmarkStart w:id="1667" w:name="_Toc296891239"/>
      <w:bookmarkStart w:id="1668" w:name="_Toc292559404"/>
      <w:bookmarkStart w:id="1669" w:name="_Toc296346700"/>
      <w:bookmarkStart w:id="1670" w:name="_Toc297216207"/>
      <w:bookmarkStart w:id="1671" w:name="_Toc296503199"/>
      <w:bookmarkStart w:id="1672" w:name="_Toc303539154"/>
      <w:bookmarkStart w:id="1673" w:name="_Toc312677507"/>
      <w:bookmarkStart w:id="1674" w:name="_Toc296944538"/>
      <w:bookmarkStart w:id="1675" w:name="_Toc297120499"/>
      <w:bookmarkStart w:id="1676" w:name="_Toc296347198"/>
      <w:bookmarkStart w:id="1677" w:name="_Toc297048385"/>
      <w:r>
        <w:rPr>
          <w:rFonts w:hint="eastAsia"/>
          <w:color w:val="auto"/>
          <w:sz w:val="21"/>
          <w:szCs w:val="21"/>
          <w:highlight w:val="none"/>
        </w:rPr>
        <w:t>0.7 暂估价</w:t>
      </w:r>
      <w:bookmarkEnd w:id="1659"/>
      <w:bookmarkEnd w:id="1660"/>
    </w:p>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p w14:paraId="114540E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专业工程暂估价</w:t>
      </w: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w:t>
      </w:r>
      <w:r>
        <w:rPr>
          <w:rFonts w:hint="eastAsia" w:ascii="宋体" w:hAnsi="宋体"/>
          <w:color w:val="auto"/>
          <w:szCs w:val="21"/>
          <w:highlight w:val="none"/>
        </w:rPr>
        <w:t>万元。</w:t>
      </w:r>
    </w:p>
    <w:p w14:paraId="455C06D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14:paraId="67743539">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单项合同暂估价在国家相关法律法规规定必须招标规模以上的，需依法必须招标的，由承包人、发包人共同招标确定。</w:t>
      </w:r>
    </w:p>
    <w:p w14:paraId="466D3826">
      <w:pPr>
        <w:pStyle w:val="7"/>
        <w:spacing w:before="0" w:beforeAutospacing="0" w:after="0" w:afterAutospacing="0" w:line="360" w:lineRule="auto"/>
        <w:ind w:firstLine="422" w:firstLineChars="200"/>
        <w:rPr>
          <w:color w:val="auto"/>
          <w:sz w:val="21"/>
          <w:szCs w:val="21"/>
          <w:highlight w:val="none"/>
        </w:rPr>
      </w:pPr>
      <w:bookmarkStart w:id="1678" w:name="_Toc532377377"/>
      <w:bookmarkStart w:id="1679" w:name="_Toc532375641"/>
      <w:r>
        <w:rPr>
          <w:rFonts w:hint="eastAsia"/>
          <w:color w:val="auto"/>
          <w:sz w:val="21"/>
          <w:szCs w:val="21"/>
          <w:highlight w:val="none"/>
        </w:rPr>
        <w:t>10.8 暂列金额</w:t>
      </w:r>
      <w:bookmarkEnd w:id="1678"/>
      <w:bookmarkEnd w:id="1679"/>
    </w:p>
    <w:p w14:paraId="37FF0480">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合同当事人关于暂列金额使用的约定：</w:t>
      </w:r>
      <w:r>
        <w:rPr>
          <w:rFonts w:hint="eastAsia" w:ascii="宋体" w:hAnsi="宋体"/>
          <w:color w:val="auto"/>
          <w:szCs w:val="21"/>
          <w:highlight w:val="none"/>
          <w:u w:val="single"/>
          <w:lang w:val="en-US" w:eastAsia="zh-CN"/>
        </w:rPr>
        <w:t>由发包人决定</w:t>
      </w:r>
      <w:r>
        <w:rPr>
          <w:rFonts w:hint="eastAsia" w:ascii="宋体" w:hAnsi="宋体"/>
          <w:color w:val="auto"/>
          <w:szCs w:val="21"/>
          <w:highlight w:val="none"/>
        </w:rPr>
        <w:t>。</w:t>
      </w:r>
    </w:p>
    <w:p w14:paraId="0022E5F9">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680" w:name="_Toc532377378"/>
      <w:bookmarkStart w:id="1681" w:name="_Toc351203643"/>
      <w:bookmarkStart w:id="1682" w:name="_Toc532375642"/>
      <w:r>
        <w:rPr>
          <w:rFonts w:hint="eastAsia"/>
          <w:color w:val="auto"/>
          <w:kern w:val="2"/>
          <w:sz w:val="21"/>
          <w:szCs w:val="21"/>
          <w:highlight w:val="none"/>
        </w:rPr>
        <w:t>11. 价格调整</w:t>
      </w:r>
      <w:bookmarkEnd w:id="1680"/>
      <w:bookmarkEnd w:id="1681"/>
      <w:bookmarkEnd w:id="1682"/>
    </w:p>
    <w:p w14:paraId="4C76230C">
      <w:pPr>
        <w:pStyle w:val="7"/>
        <w:spacing w:before="0" w:beforeAutospacing="0" w:after="0" w:afterAutospacing="0" w:line="360" w:lineRule="auto"/>
        <w:ind w:firstLine="422" w:firstLineChars="200"/>
        <w:rPr>
          <w:rFonts w:hint="eastAsia"/>
          <w:color w:val="auto"/>
          <w:sz w:val="21"/>
          <w:szCs w:val="21"/>
          <w:highlight w:val="none"/>
        </w:rPr>
      </w:pPr>
      <w:bookmarkStart w:id="1683" w:name="_Toc532375643"/>
      <w:bookmarkStart w:id="1684" w:name="_Toc532377379"/>
      <w:bookmarkStart w:id="1685" w:name="_Toc304295577"/>
      <w:bookmarkStart w:id="1686" w:name="_Toc297048387"/>
      <w:bookmarkStart w:id="1687" w:name="_Toc296891029"/>
      <w:bookmarkStart w:id="1688" w:name="_Toc312678039"/>
      <w:bookmarkStart w:id="1689" w:name="_Toc296503201"/>
      <w:bookmarkStart w:id="1690" w:name="_Toc292559406"/>
      <w:bookmarkStart w:id="1691" w:name="_Toc296346702"/>
      <w:bookmarkStart w:id="1692" w:name="_Toc297216209"/>
      <w:bookmarkStart w:id="1693" w:name="_Toc303539157"/>
      <w:bookmarkStart w:id="1694" w:name="_Toc300935000"/>
      <w:bookmarkStart w:id="1695" w:name="_Toc296347200"/>
      <w:bookmarkStart w:id="1696" w:name="_Toc297123550"/>
      <w:bookmarkStart w:id="1697" w:name="_Toc296944540"/>
      <w:bookmarkStart w:id="1698" w:name="_Toc297120501"/>
      <w:bookmarkStart w:id="1699" w:name="_Toc292559911"/>
      <w:bookmarkStart w:id="1700" w:name="_Toc296891241"/>
      <w:r>
        <w:rPr>
          <w:rFonts w:hint="eastAsia"/>
          <w:color w:val="auto"/>
          <w:sz w:val="21"/>
          <w:szCs w:val="21"/>
          <w:highlight w:val="none"/>
        </w:rPr>
        <w:t>11.1 市场价格波动引起的调整</w:t>
      </w:r>
      <w:bookmarkEnd w:id="1683"/>
      <w:bookmarkEnd w:id="1684"/>
    </w:p>
    <w:p w14:paraId="5F43F98B">
      <w:pPr>
        <w:ind w:firstLine="420" w:firstLineChars="200"/>
        <w:rPr>
          <w:rFonts w:hint="eastAsia" w:eastAsia="宋体"/>
          <w:color w:val="auto"/>
          <w:highlight w:val="none"/>
          <w:lang w:val="en-US" w:eastAsia="zh-CN"/>
        </w:rPr>
      </w:pPr>
      <w:r>
        <w:rPr>
          <w:rFonts w:hint="eastAsia"/>
          <w:color w:val="auto"/>
          <w:sz w:val="21"/>
          <w:szCs w:val="21"/>
          <w:highlight w:val="none"/>
          <w:lang w:val="en-US" w:eastAsia="zh-CN"/>
        </w:rPr>
        <w:t>不予调整</w:t>
      </w:r>
    </w:p>
    <w:bookmarkEnd w:id="1563"/>
    <w:bookmarkEnd w:id="1564"/>
    <w:bookmarkEnd w:id="1565"/>
    <w:bookmarkEnd w:id="1566"/>
    <w:bookmarkEnd w:id="1567"/>
    <w:bookmarkEnd w:id="1568"/>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p w14:paraId="3EA46803">
      <w:pPr>
        <w:pStyle w:val="7"/>
        <w:spacing w:before="0" w:beforeAutospacing="0" w:after="0" w:afterAutospacing="0" w:line="360" w:lineRule="auto"/>
        <w:ind w:firstLine="422" w:firstLineChars="200"/>
        <w:rPr>
          <w:color w:val="auto"/>
          <w:sz w:val="21"/>
          <w:szCs w:val="21"/>
          <w:highlight w:val="none"/>
        </w:rPr>
      </w:pPr>
      <w:bookmarkStart w:id="1701" w:name="_Toc532377380"/>
      <w:bookmarkStart w:id="1702" w:name="_Toc532375644"/>
      <w:bookmarkStart w:id="1703" w:name="_Hlk528928232"/>
      <w:bookmarkStart w:id="1704" w:name="_Toc296891033"/>
      <w:bookmarkStart w:id="1705" w:name="_Toc297120505"/>
      <w:bookmarkStart w:id="1706" w:name="_Toc297048391"/>
      <w:bookmarkStart w:id="1707" w:name="_Toc292559410"/>
      <w:bookmarkStart w:id="1708" w:name="_Toc296347204"/>
      <w:bookmarkStart w:id="1709" w:name="_Toc292559915"/>
      <w:bookmarkStart w:id="1710" w:name="_Toc296944544"/>
      <w:bookmarkStart w:id="1711" w:name="_Toc296503205"/>
      <w:bookmarkStart w:id="1712" w:name="_Toc296346706"/>
      <w:bookmarkStart w:id="1713" w:name="_Toc296891245"/>
      <w:bookmarkStart w:id="1714" w:name="_Toc351203644"/>
      <w:bookmarkStart w:id="1715" w:name="_Toc304295579"/>
      <w:bookmarkStart w:id="1716" w:name="_Toc312678040"/>
      <w:bookmarkStart w:id="1717" w:name="_Toc300935002"/>
      <w:bookmarkStart w:id="1718" w:name="_Toc297123552"/>
      <w:bookmarkStart w:id="1719" w:name="_Toc303539159"/>
      <w:bookmarkStart w:id="1720" w:name="_Toc297216211"/>
      <w:r>
        <w:rPr>
          <w:rFonts w:hint="eastAsia"/>
          <w:color w:val="auto"/>
          <w:sz w:val="21"/>
          <w:szCs w:val="21"/>
          <w:highlight w:val="none"/>
        </w:rPr>
        <w:t>11.2 法律变化引起的调整</w:t>
      </w:r>
      <w:bookmarkEnd w:id="1701"/>
      <w:bookmarkEnd w:id="1702"/>
    </w:p>
    <w:p w14:paraId="6969FA1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14:paraId="5AE8043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本条补充11.3款</w:t>
      </w:r>
    </w:p>
    <w:bookmarkEnd w:id="1703"/>
    <w:p w14:paraId="37EF552E">
      <w:pPr>
        <w:pStyle w:val="7"/>
        <w:spacing w:before="0" w:beforeAutospacing="0" w:after="0" w:afterAutospacing="0" w:line="360" w:lineRule="auto"/>
        <w:ind w:firstLine="422" w:firstLineChars="200"/>
        <w:rPr>
          <w:color w:val="auto"/>
          <w:sz w:val="21"/>
          <w:szCs w:val="21"/>
          <w:highlight w:val="none"/>
        </w:rPr>
      </w:pPr>
      <w:bookmarkStart w:id="1721" w:name="_Toc532377381"/>
      <w:bookmarkStart w:id="1722" w:name="_Toc532375645"/>
      <w:r>
        <w:rPr>
          <w:rFonts w:hint="eastAsia"/>
          <w:color w:val="auto"/>
          <w:sz w:val="21"/>
          <w:szCs w:val="21"/>
          <w:highlight w:val="none"/>
        </w:rPr>
        <w:t>11.3 严重不平衡报价引起的调整</w:t>
      </w:r>
      <w:bookmarkEnd w:id="1721"/>
      <w:bookmarkEnd w:id="1722"/>
    </w:p>
    <w:p w14:paraId="4F4E8E6B">
      <w:pPr>
        <w:pStyle w:val="6"/>
        <w:keepNext/>
        <w:keepLines/>
        <w:spacing w:before="156" w:beforeLines="50" w:beforeAutospacing="0" w:after="156" w:afterLines="50" w:afterAutospacing="0" w:line="360" w:lineRule="auto"/>
        <w:ind w:firstLine="630" w:firstLineChars="300"/>
        <w:jc w:val="both"/>
        <w:rPr>
          <w:rFonts w:hint="eastAsia" w:ascii="宋体" w:hAnsi="宋体" w:eastAsia="宋体" w:cs="Times New Roman"/>
          <w:b w:val="0"/>
          <w:bCs w:val="0"/>
          <w:color w:val="auto"/>
          <w:kern w:val="2"/>
          <w:sz w:val="21"/>
          <w:szCs w:val="21"/>
          <w:highlight w:val="none"/>
          <w:lang w:val="en-US" w:eastAsia="zh-CN" w:bidi="ar-SA"/>
        </w:rPr>
      </w:pPr>
      <w:bookmarkStart w:id="1723" w:name="_Toc532375646"/>
      <w:bookmarkStart w:id="1724" w:name="_Toc532377382"/>
      <w:r>
        <w:rPr>
          <w:rFonts w:hint="eastAsia" w:ascii="宋体" w:hAnsi="宋体" w:eastAsia="宋体" w:cs="Times New Roman"/>
          <w:b w:val="0"/>
          <w:bCs w:val="0"/>
          <w:color w:val="auto"/>
          <w:kern w:val="2"/>
          <w:sz w:val="21"/>
          <w:szCs w:val="21"/>
          <w:highlight w:val="none"/>
          <w:lang w:val="en-US" w:eastAsia="zh-CN" w:bidi="ar-SA"/>
        </w:rPr>
        <w:t>不予调整</w:t>
      </w:r>
    </w:p>
    <w:p w14:paraId="0A1A09C0">
      <w:pPr>
        <w:pStyle w:val="6"/>
        <w:keepNext/>
        <w:keepLines/>
        <w:spacing w:before="156" w:beforeLines="50" w:beforeAutospacing="0" w:after="156" w:afterLines="50" w:afterAutospacing="0" w:line="360" w:lineRule="auto"/>
        <w:jc w:val="both"/>
        <w:rPr>
          <w:bCs w:val="0"/>
          <w:color w:val="auto"/>
          <w:kern w:val="2"/>
          <w:sz w:val="21"/>
          <w:szCs w:val="21"/>
          <w:highlight w:val="none"/>
        </w:rPr>
      </w:pPr>
      <w:r>
        <w:rPr>
          <w:rFonts w:hint="eastAsia"/>
          <w:color w:val="auto"/>
          <w:kern w:val="2"/>
          <w:sz w:val="21"/>
          <w:szCs w:val="21"/>
          <w:highlight w:val="none"/>
        </w:rPr>
        <w:t xml:space="preserve">12. </w:t>
      </w:r>
      <w:bookmarkEnd w:id="1704"/>
      <w:bookmarkEnd w:id="1705"/>
      <w:bookmarkEnd w:id="1706"/>
      <w:bookmarkEnd w:id="1707"/>
      <w:bookmarkEnd w:id="1708"/>
      <w:bookmarkEnd w:id="1709"/>
      <w:bookmarkEnd w:id="1710"/>
      <w:bookmarkEnd w:id="1711"/>
      <w:bookmarkEnd w:id="1712"/>
      <w:bookmarkEnd w:id="1713"/>
      <w:r>
        <w:rPr>
          <w:rFonts w:hint="eastAsia"/>
          <w:color w:val="auto"/>
          <w:kern w:val="2"/>
          <w:sz w:val="21"/>
          <w:szCs w:val="21"/>
          <w:highlight w:val="none"/>
        </w:rPr>
        <w:t>合同价格、计量与支付</w:t>
      </w:r>
      <w:bookmarkEnd w:id="1714"/>
      <w:bookmarkEnd w:id="1723"/>
      <w:bookmarkEnd w:id="1724"/>
    </w:p>
    <w:bookmarkEnd w:id="1715"/>
    <w:bookmarkEnd w:id="1716"/>
    <w:bookmarkEnd w:id="1717"/>
    <w:bookmarkEnd w:id="1718"/>
    <w:bookmarkEnd w:id="1719"/>
    <w:bookmarkEnd w:id="1720"/>
    <w:p w14:paraId="35B716A3">
      <w:pPr>
        <w:pStyle w:val="7"/>
        <w:spacing w:before="0" w:beforeAutospacing="0" w:after="0" w:afterAutospacing="0" w:line="360" w:lineRule="auto"/>
        <w:ind w:firstLine="422" w:firstLineChars="200"/>
        <w:rPr>
          <w:color w:val="auto"/>
          <w:sz w:val="21"/>
          <w:szCs w:val="21"/>
          <w:highlight w:val="none"/>
        </w:rPr>
      </w:pPr>
      <w:bookmarkStart w:id="1725" w:name="_Toc267251461"/>
      <w:bookmarkStart w:id="1726" w:name="_Toc292559916"/>
      <w:bookmarkStart w:id="1727" w:name="_Toc292559411"/>
      <w:bookmarkStart w:id="1728" w:name="_Toc296891246"/>
      <w:bookmarkStart w:id="1729" w:name="_Toc296346707"/>
      <w:bookmarkStart w:id="1730" w:name="_Toc297120506"/>
      <w:bookmarkStart w:id="1731" w:name="_Toc296503206"/>
      <w:bookmarkStart w:id="1732" w:name="_Toc296944545"/>
      <w:bookmarkStart w:id="1733" w:name="_Toc296347205"/>
      <w:bookmarkStart w:id="1734" w:name="_Toc296891034"/>
      <w:bookmarkStart w:id="1735" w:name="_Toc297048392"/>
      <w:bookmarkStart w:id="1736" w:name="_Toc532377383"/>
      <w:bookmarkStart w:id="1737" w:name="_Toc532375647"/>
      <w:bookmarkStart w:id="1738" w:name="_Toc312678041"/>
      <w:bookmarkStart w:id="1739" w:name="_Toc304295580"/>
      <w:bookmarkStart w:id="1740" w:name="_Toc300935003"/>
      <w:bookmarkStart w:id="1741" w:name="_Toc297216212"/>
      <w:bookmarkStart w:id="1742" w:name="_Toc303539160"/>
      <w:bookmarkStart w:id="1743" w:name="_Toc297123553"/>
      <w:r>
        <w:rPr>
          <w:rFonts w:hint="eastAsia"/>
          <w:color w:val="auto"/>
          <w:sz w:val="21"/>
          <w:szCs w:val="21"/>
          <w:highlight w:val="none"/>
        </w:rPr>
        <w:t>12.1 合</w:t>
      </w:r>
      <w:bookmarkEnd w:id="1725"/>
      <w:bookmarkEnd w:id="1726"/>
      <w:bookmarkEnd w:id="1727"/>
      <w:r>
        <w:rPr>
          <w:rFonts w:hint="eastAsia"/>
          <w:color w:val="auto"/>
          <w:sz w:val="21"/>
          <w:szCs w:val="21"/>
          <w:highlight w:val="none"/>
        </w:rPr>
        <w:t>同价</w:t>
      </w:r>
      <w:bookmarkEnd w:id="1728"/>
      <w:bookmarkEnd w:id="1729"/>
      <w:bookmarkEnd w:id="1730"/>
      <w:bookmarkEnd w:id="1731"/>
      <w:bookmarkEnd w:id="1732"/>
      <w:bookmarkEnd w:id="1733"/>
      <w:bookmarkEnd w:id="1734"/>
      <w:bookmarkEnd w:id="1735"/>
      <w:r>
        <w:rPr>
          <w:rFonts w:hint="eastAsia"/>
          <w:color w:val="auto"/>
          <w:sz w:val="21"/>
          <w:szCs w:val="21"/>
          <w:highlight w:val="none"/>
        </w:rPr>
        <w:t>格形式</w:t>
      </w:r>
      <w:bookmarkEnd w:id="1736"/>
      <w:bookmarkEnd w:id="1737"/>
    </w:p>
    <w:bookmarkEnd w:id="1738"/>
    <w:bookmarkEnd w:id="1739"/>
    <w:bookmarkEnd w:id="1740"/>
    <w:bookmarkEnd w:id="1741"/>
    <w:bookmarkEnd w:id="1742"/>
    <w:bookmarkEnd w:id="1743"/>
    <w:p w14:paraId="0CB3BB1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1、单价合同。</w:t>
      </w:r>
    </w:p>
    <w:p w14:paraId="7D4832A9">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综合单价包含的风险范围：</w:t>
      </w:r>
      <w:r>
        <w:rPr>
          <w:rFonts w:hint="eastAsia" w:ascii="宋体" w:hAnsi="宋体"/>
          <w:color w:val="auto"/>
          <w:szCs w:val="21"/>
          <w:highlight w:val="none"/>
          <w:u w:val="single"/>
        </w:rPr>
        <w:t>包括但不限于为实施和完成合同工程所需的人工费、材料费、施工机具使用费、企业管理费、利润、风险费、施工技术措施项目费、施工组织措施项目费及缺陷修复等费用，以及</w:t>
      </w:r>
      <w:bookmarkStart w:id="1744" w:name="_Hlk528508096"/>
      <w:r>
        <w:rPr>
          <w:rFonts w:hint="eastAsia" w:ascii="宋体" w:hAnsi="宋体"/>
          <w:color w:val="auto"/>
          <w:szCs w:val="21"/>
          <w:highlight w:val="none"/>
          <w:u w:val="single"/>
        </w:rPr>
        <w:t>第11.1款〔市场价格波动引起的调整〕约定范围内的市场价格波动风险、政策性文件规定的各项应有费用、</w:t>
      </w:r>
      <w:bookmarkEnd w:id="1744"/>
      <w:r>
        <w:rPr>
          <w:rFonts w:hint="eastAsia" w:ascii="宋体" w:hAnsi="宋体"/>
          <w:color w:val="auto"/>
          <w:szCs w:val="21"/>
          <w:highlight w:val="none"/>
          <w:u w:val="single"/>
        </w:rPr>
        <w:t>招标文件和合同明示或暗示的应由承包人承担的所有责任、义务和风险等所需的费用</w:t>
      </w:r>
      <w:r>
        <w:rPr>
          <w:rFonts w:hint="eastAsia" w:ascii="宋体" w:hAnsi="宋体"/>
          <w:color w:val="auto"/>
          <w:szCs w:val="21"/>
          <w:highlight w:val="none"/>
        </w:rPr>
        <w:t>。</w:t>
      </w:r>
    </w:p>
    <w:p w14:paraId="6FAFDC63">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风险费用的计算方法：</w:t>
      </w:r>
      <w:r>
        <w:rPr>
          <w:rFonts w:hint="eastAsia" w:ascii="宋体" w:hAnsi="宋体"/>
          <w:color w:val="auto"/>
          <w:szCs w:val="21"/>
          <w:highlight w:val="none"/>
          <w:u w:val="single"/>
        </w:rPr>
        <w:t>由承包人自行考虑并计入签约合同价格中，包干使用</w:t>
      </w:r>
      <w:r>
        <w:rPr>
          <w:rFonts w:hint="eastAsia" w:ascii="宋体" w:hAnsi="宋体"/>
          <w:color w:val="auto"/>
          <w:szCs w:val="21"/>
          <w:highlight w:val="none"/>
        </w:rPr>
        <w:t>。</w:t>
      </w:r>
    </w:p>
    <w:p w14:paraId="0AB2795C">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风险范围以外合同价格的调整方法：</w:t>
      </w:r>
      <w:r>
        <w:rPr>
          <w:rFonts w:hint="eastAsia" w:ascii="宋体" w:hAnsi="宋体"/>
          <w:color w:val="auto"/>
          <w:szCs w:val="21"/>
          <w:highlight w:val="none"/>
          <w:u w:val="single"/>
        </w:rPr>
        <w:t>按照合同相关条款约定执行</w:t>
      </w:r>
      <w:r>
        <w:rPr>
          <w:rFonts w:hint="eastAsia" w:ascii="宋体" w:hAnsi="宋体"/>
          <w:color w:val="auto"/>
          <w:szCs w:val="21"/>
          <w:highlight w:val="none"/>
        </w:rPr>
        <w:t>。</w:t>
      </w:r>
    </w:p>
    <w:p w14:paraId="46477C3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2、总价合同。</w:t>
      </w:r>
    </w:p>
    <w:p w14:paraId="34AB4EBD">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总价包含的风险范围：</w:t>
      </w:r>
      <w:r>
        <w:rPr>
          <w:rFonts w:hint="eastAsia" w:ascii="宋体" w:hAnsi="宋体"/>
          <w:color w:val="auto"/>
          <w:szCs w:val="21"/>
          <w:highlight w:val="none"/>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招标文件和合同明示或暗示的应由承包人承担的所有责任、义务和风险等所需的费用</w:t>
      </w:r>
      <w:r>
        <w:rPr>
          <w:rFonts w:hint="eastAsia" w:ascii="宋体" w:hAnsi="宋体"/>
          <w:color w:val="auto"/>
          <w:szCs w:val="21"/>
          <w:highlight w:val="none"/>
        </w:rPr>
        <w:t>。</w:t>
      </w:r>
    </w:p>
    <w:p w14:paraId="324ACF9F">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风险费用的计算方法：</w:t>
      </w:r>
      <w:r>
        <w:rPr>
          <w:rFonts w:hint="eastAsia" w:ascii="宋体" w:hAnsi="宋体"/>
          <w:color w:val="auto"/>
          <w:szCs w:val="21"/>
          <w:highlight w:val="none"/>
          <w:u w:val="single"/>
        </w:rPr>
        <w:t>由承包人自行考虑并计入签约合同价格中，包干使用</w:t>
      </w:r>
      <w:r>
        <w:rPr>
          <w:rFonts w:hint="eastAsia" w:ascii="宋体" w:hAnsi="宋体"/>
          <w:color w:val="auto"/>
          <w:szCs w:val="21"/>
          <w:highlight w:val="none"/>
        </w:rPr>
        <w:t>。</w:t>
      </w:r>
    </w:p>
    <w:p w14:paraId="2078BBD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风险范围以外合同价格的调整方法：</w:t>
      </w:r>
      <w:r>
        <w:rPr>
          <w:rFonts w:hint="eastAsia" w:ascii="宋体" w:hAnsi="宋体"/>
          <w:color w:val="auto"/>
          <w:szCs w:val="21"/>
          <w:highlight w:val="none"/>
          <w:u w:val="single"/>
        </w:rPr>
        <w:t>按照合同相关条款约定执行</w:t>
      </w:r>
      <w:r>
        <w:rPr>
          <w:rFonts w:hint="eastAsia" w:ascii="宋体" w:hAnsi="宋体"/>
          <w:color w:val="auto"/>
          <w:szCs w:val="21"/>
          <w:highlight w:val="none"/>
        </w:rPr>
        <w:t>。</w:t>
      </w:r>
    </w:p>
    <w:p w14:paraId="59E8756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3、其他价格方式：</w:t>
      </w:r>
      <w:r>
        <w:rPr>
          <w:rFonts w:hint="eastAsia" w:ascii="宋体" w:hAnsi="宋体"/>
          <w:color w:val="auto"/>
          <w:szCs w:val="21"/>
          <w:highlight w:val="none"/>
          <w:u w:val="single"/>
        </w:rPr>
        <w:t>不采用</w:t>
      </w:r>
      <w:r>
        <w:rPr>
          <w:rFonts w:hint="eastAsia" w:ascii="宋体" w:hAnsi="宋体"/>
          <w:color w:val="auto"/>
          <w:szCs w:val="21"/>
          <w:highlight w:val="none"/>
        </w:rPr>
        <w:t>。</w:t>
      </w:r>
    </w:p>
    <w:p w14:paraId="3844464C">
      <w:pPr>
        <w:pStyle w:val="7"/>
        <w:spacing w:before="0" w:beforeAutospacing="0" w:after="0" w:afterAutospacing="0" w:line="360" w:lineRule="auto"/>
        <w:ind w:firstLine="422" w:firstLineChars="200"/>
        <w:rPr>
          <w:color w:val="auto"/>
          <w:sz w:val="21"/>
          <w:szCs w:val="21"/>
          <w:highlight w:val="none"/>
        </w:rPr>
      </w:pPr>
      <w:bookmarkStart w:id="1745" w:name="_Toc532375648"/>
      <w:bookmarkStart w:id="1746" w:name="_Toc532377384"/>
      <w:bookmarkStart w:id="1747" w:name="_Toc304295581"/>
      <w:bookmarkStart w:id="1748" w:name="_Toc303539161"/>
      <w:bookmarkStart w:id="1749" w:name="_Toc312678042"/>
      <w:bookmarkStart w:id="1750" w:name="_Toc297123554"/>
      <w:bookmarkStart w:id="1751" w:name="_Toc297216213"/>
      <w:bookmarkStart w:id="1752" w:name="_Toc300935004"/>
      <w:bookmarkStart w:id="1753" w:name="_Toc292559412"/>
      <w:bookmarkStart w:id="1754" w:name="_Toc296346708"/>
      <w:bookmarkStart w:id="1755" w:name="_Toc296891035"/>
      <w:bookmarkStart w:id="1756" w:name="_Toc297048393"/>
      <w:bookmarkStart w:id="1757" w:name="_Toc296944546"/>
      <w:bookmarkStart w:id="1758" w:name="_Toc297120507"/>
      <w:bookmarkStart w:id="1759" w:name="_Toc296347206"/>
      <w:bookmarkStart w:id="1760" w:name="_Toc296503207"/>
      <w:bookmarkStart w:id="1761" w:name="_Toc296891247"/>
      <w:bookmarkStart w:id="1762" w:name="_Toc292559917"/>
      <w:r>
        <w:rPr>
          <w:rFonts w:hint="eastAsia"/>
          <w:color w:val="auto"/>
          <w:sz w:val="21"/>
          <w:szCs w:val="21"/>
          <w:highlight w:val="none"/>
        </w:rPr>
        <w:t>12.2 预付款</w:t>
      </w:r>
      <w:bookmarkEnd w:id="1745"/>
      <w:bookmarkEnd w:id="1746"/>
    </w:p>
    <w:bookmarkEnd w:id="1747"/>
    <w:bookmarkEnd w:id="1748"/>
    <w:bookmarkEnd w:id="1749"/>
    <w:bookmarkEnd w:id="1750"/>
    <w:bookmarkEnd w:id="1751"/>
    <w:bookmarkEnd w:id="1752"/>
    <w:p w14:paraId="4A227C1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12.2.1 预付款的支付</w:t>
      </w:r>
    </w:p>
    <w:p w14:paraId="3752058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预付款支付比例或金额：</w:t>
      </w:r>
      <w:r>
        <w:rPr>
          <w:rFonts w:hint="eastAsia" w:ascii="宋体" w:hAnsi="宋体"/>
          <w:color w:val="auto"/>
          <w:szCs w:val="21"/>
          <w:highlight w:val="none"/>
          <w:u w:val="single"/>
          <w:lang w:val="en-US" w:eastAsia="zh-CN"/>
        </w:rPr>
        <w:t>无</w:t>
      </w:r>
      <w:r>
        <w:rPr>
          <w:rFonts w:hint="eastAsia" w:ascii="宋体" w:hAnsi="宋体"/>
          <w:color w:val="auto"/>
          <w:szCs w:val="21"/>
          <w:highlight w:val="none"/>
        </w:rPr>
        <w:t>。</w:t>
      </w:r>
    </w:p>
    <w:p w14:paraId="6150EC7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预付款支付期限：</w:t>
      </w:r>
      <w:r>
        <w:rPr>
          <w:rFonts w:hint="eastAsia" w:ascii="宋体" w:hAnsi="宋体"/>
          <w:color w:val="auto"/>
          <w:szCs w:val="21"/>
          <w:highlight w:val="none"/>
          <w:u w:val="single"/>
          <w:lang w:val="en-US" w:eastAsia="zh-CN"/>
        </w:rPr>
        <w:t>/</w:t>
      </w:r>
      <w:r>
        <w:rPr>
          <w:rFonts w:hint="eastAsia" w:ascii="宋体" w:hAnsi="宋体"/>
          <w:color w:val="auto"/>
          <w:szCs w:val="21"/>
          <w:highlight w:val="none"/>
        </w:rPr>
        <w:t>。</w:t>
      </w:r>
    </w:p>
    <w:p w14:paraId="5A0E89E3">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预付款扣回的方式：</w:t>
      </w:r>
      <w:r>
        <w:rPr>
          <w:rFonts w:hint="eastAsia" w:ascii="宋体" w:hAnsi="宋体"/>
          <w:color w:val="auto"/>
          <w:szCs w:val="21"/>
          <w:highlight w:val="none"/>
          <w:u w:val="single"/>
          <w:lang w:val="en-US" w:eastAsia="zh-CN"/>
        </w:rPr>
        <w:t>/</w:t>
      </w:r>
      <w:r>
        <w:rPr>
          <w:rFonts w:hint="eastAsia" w:ascii="宋体" w:hAnsi="宋体"/>
          <w:color w:val="auto"/>
          <w:szCs w:val="21"/>
          <w:highlight w:val="none"/>
        </w:rPr>
        <w:t>。</w:t>
      </w:r>
    </w:p>
    <w:p w14:paraId="63A586F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12.2.2 预付款担保</w:t>
      </w:r>
    </w:p>
    <w:p w14:paraId="75F728D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承包人提交预付款担保的期限：</w:t>
      </w:r>
      <w:r>
        <w:rPr>
          <w:rFonts w:hint="eastAsia" w:ascii="宋体" w:hAnsi="宋体"/>
          <w:color w:val="auto"/>
          <w:szCs w:val="21"/>
          <w:highlight w:val="none"/>
          <w:u w:val="single"/>
          <w:lang w:val="en-US" w:eastAsia="zh-CN"/>
        </w:rPr>
        <w:t>/</w:t>
      </w:r>
      <w:r>
        <w:rPr>
          <w:rFonts w:hint="eastAsia" w:ascii="宋体" w:hAnsi="宋体"/>
          <w:color w:val="auto"/>
          <w:szCs w:val="21"/>
          <w:highlight w:val="none"/>
        </w:rPr>
        <w:t>。</w:t>
      </w:r>
    </w:p>
    <w:p w14:paraId="054987F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预付款担保的形式为：</w:t>
      </w:r>
      <w:r>
        <w:rPr>
          <w:rFonts w:hint="eastAsia" w:ascii="宋体" w:hAnsi="宋体"/>
          <w:color w:val="auto"/>
          <w:szCs w:val="21"/>
          <w:highlight w:val="none"/>
          <w:u w:val="single"/>
          <w:lang w:val="en-US" w:eastAsia="zh-CN"/>
        </w:rPr>
        <w:t>/</w:t>
      </w:r>
      <w:r>
        <w:rPr>
          <w:rFonts w:hint="eastAsia" w:ascii="宋体" w:hAnsi="宋体"/>
          <w:color w:val="auto"/>
          <w:szCs w:val="21"/>
          <w:highlight w:val="none"/>
        </w:rPr>
        <w:t>。</w:t>
      </w:r>
    </w:p>
    <w:p w14:paraId="58BF14D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预付款担保的金额：</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F9E66E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预付款担保的时间：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B88EA7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预付款担保的期限：</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76CA38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预付款担保的退还时间：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753"/>
    <w:bookmarkEnd w:id="1754"/>
    <w:bookmarkEnd w:id="1755"/>
    <w:bookmarkEnd w:id="1756"/>
    <w:bookmarkEnd w:id="1757"/>
    <w:bookmarkEnd w:id="1758"/>
    <w:bookmarkEnd w:id="1759"/>
    <w:bookmarkEnd w:id="1760"/>
    <w:bookmarkEnd w:id="1761"/>
    <w:bookmarkEnd w:id="1762"/>
    <w:p w14:paraId="697BDE19">
      <w:pPr>
        <w:pStyle w:val="7"/>
        <w:spacing w:before="0" w:beforeAutospacing="0" w:after="0" w:afterAutospacing="0" w:line="360" w:lineRule="auto"/>
        <w:ind w:firstLine="422" w:firstLineChars="200"/>
        <w:rPr>
          <w:color w:val="auto"/>
          <w:sz w:val="21"/>
          <w:szCs w:val="21"/>
          <w:highlight w:val="none"/>
        </w:rPr>
      </w:pPr>
      <w:bookmarkStart w:id="1763" w:name="_Toc532377385"/>
      <w:bookmarkStart w:id="1764" w:name="_Toc532375649"/>
      <w:r>
        <w:rPr>
          <w:rFonts w:hint="eastAsia"/>
          <w:color w:val="auto"/>
          <w:sz w:val="21"/>
          <w:szCs w:val="21"/>
          <w:highlight w:val="none"/>
        </w:rPr>
        <w:t>12.3 计量</w:t>
      </w:r>
      <w:bookmarkEnd w:id="1763"/>
      <w:bookmarkEnd w:id="1764"/>
    </w:p>
    <w:p w14:paraId="0ABDD4E7">
      <w:pPr>
        <w:spacing w:line="360" w:lineRule="auto"/>
        <w:ind w:firstLine="420" w:firstLineChars="200"/>
        <w:jc w:val="left"/>
        <w:rPr>
          <w:rFonts w:ascii="宋体" w:hAnsi="宋体"/>
          <w:color w:val="auto"/>
          <w:szCs w:val="21"/>
          <w:highlight w:val="none"/>
        </w:rPr>
      </w:pPr>
      <w:bookmarkStart w:id="1765" w:name="_Hlk528928260"/>
      <w:r>
        <w:rPr>
          <w:rFonts w:hint="eastAsia" w:ascii="宋体" w:hAnsi="宋体"/>
          <w:color w:val="auto"/>
          <w:szCs w:val="21"/>
          <w:highlight w:val="none"/>
        </w:rPr>
        <w:t>12.3.1 计量原则</w:t>
      </w:r>
    </w:p>
    <w:p w14:paraId="52F262D2">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765"/>
    <w:p w14:paraId="441B6D2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12.3.2 计量周期</w:t>
      </w:r>
    </w:p>
    <w:p w14:paraId="182D0AE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关于计量周期的约定：</w:t>
      </w:r>
      <w:r>
        <w:rPr>
          <w:rFonts w:hint="eastAsia" w:ascii="宋体" w:hAnsi="宋体"/>
          <w:color w:val="auto"/>
          <w:szCs w:val="21"/>
          <w:highlight w:val="none"/>
          <w:u w:val="single"/>
          <w:lang w:val="en-US" w:eastAsia="zh-CN"/>
        </w:rPr>
        <w:t>按</w:t>
      </w:r>
      <w:r>
        <w:rPr>
          <w:rFonts w:hint="eastAsia" w:ascii="宋体" w:hAnsi="宋体"/>
          <w:color w:val="auto"/>
          <w:szCs w:val="21"/>
          <w:highlight w:val="none"/>
          <w:u w:val="single"/>
        </w:rPr>
        <w:t>进度形式计量</w:t>
      </w:r>
      <w:r>
        <w:rPr>
          <w:rFonts w:hint="eastAsia" w:ascii="宋体" w:hAnsi="宋体"/>
          <w:color w:val="auto"/>
          <w:szCs w:val="21"/>
          <w:highlight w:val="none"/>
        </w:rPr>
        <w:t>。</w:t>
      </w:r>
    </w:p>
    <w:p w14:paraId="2DB2AE6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12.3.3 单价合同的计量</w:t>
      </w:r>
    </w:p>
    <w:p w14:paraId="141ABC1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关于单价合同计量的约定：</w:t>
      </w:r>
    </w:p>
    <w:p w14:paraId="28CB035A">
      <w:pPr>
        <w:spacing w:line="360" w:lineRule="auto"/>
        <w:ind w:firstLine="420" w:firstLineChars="200"/>
        <w:jc w:val="left"/>
        <w:rPr>
          <w:rFonts w:ascii="宋体" w:hAnsi="宋体"/>
          <w:color w:val="auto"/>
          <w:szCs w:val="21"/>
          <w:highlight w:val="none"/>
          <w:u w:val="single"/>
        </w:rPr>
      </w:pPr>
      <w:bookmarkStart w:id="1766" w:name="_Hlk528926162"/>
      <w:r>
        <w:rPr>
          <w:rFonts w:hint="eastAsia" w:ascii="宋体" w:hAnsi="宋体"/>
          <w:color w:val="auto"/>
          <w:szCs w:val="21"/>
          <w:highlight w:val="none"/>
          <w:u w:val="single"/>
        </w:rPr>
        <w:t>（1）承包人应于</w:t>
      </w:r>
      <w:r>
        <w:rPr>
          <w:rFonts w:hint="eastAsia" w:ascii="宋体" w:hAnsi="宋体"/>
          <w:color w:val="auto"/>
          <w:szCs w:val="21"/>
          <w:highlight w:val="none"/>
          <w:u w:val="single"/>
          <w:lang w:val="en-US" w:eastAsia="zh-CN"/>
        </w:rPr>
        <w:t>每</w:t>
      </w:r>
      <w:r>
        <w:rPr>
          <w:rFonts w:hint="eastAsia" w:ascii="宋体" w:hAnsi="宋体"/>
          <w:color w:val="auto"/>
          <w:szCs w:val="21"/>
          <w:highlight w:val="none"/>
          <w:u w:val="single"/>
        </w:rPr>
        <w:t xml:space="preserve">月 </w:t>
      </w:r>
      <w:r>
        <w:rPr>
          <w:rFonts w:hint="eastAsia" w:ascii="宋体" w:hAnsi="宋体"/>
          <w:color w:val="auto"/>
          <w:szCs w:val="21"/>
          <w:highlight w:val="none"/>
          <w:u w:val="single"/>
          <w:lang w:val="en-US" w:eastAsia="zh-CN"/>
        </w:rPr>
        <w:t>15</w:t>
      </w:r>
      <w:r>
        <w:rPr>
          <w:rFonts w:hint="eastAsia" w:ascii="宋体" w:hAnsi="宋体"/>
          <w:color w:val="auto"/>
          <w:szCs w:val="21"/>
          <w:highlight w:val="none"/>
          <w:u w:val="single"/>
        </w:rPr>
        <w:t xml:space="preserve"> 日前向监理人报送上月已完成的工程量，并附进度付款申请单、已完成工程量报表和其他有关资料</w:t>
      </w:r>
      <w:r>
        <w:rPr>
          <w:rFonts w:hint="eastAsia" w:ascii="宋体" w:hAnsi="宋体"/>
          <w:color w:val="auto"/>
          <w:szCs w:val="21"/>
          <w:highlight w:val="none"/>
        </w:rPr>
        <w:t>。</w:t>
      </w:r>
    </w:p>
    <w:bookmarkEnd w:id="1766"/>
    <w:p w14:paraId="3D1BBD1E">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（2）承包人未在已标价的工程量清单中填入单价和（或）总价的子目，视为该子目的费用已包含合同工程的其他子目的单价或总价中，不再另行计量支付</w:t>
      </w:r>
      <w:r>
        <w:rPr>
          <w:rFonts w:hint="eastAsia" w:ascii="宋体" w:hAnsi="宋体"/>
          <w:color w:val="auto"/>
          <w:szCs w:val="21"/>
          <w:highlight w:val="none"/>
        </w:rPr>
        <w:t>。</w:t>
      </w:r>
    </w:p>
    <w:p w14:paraId="774E8B72">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宋体" w:hAnsi="宋体"/>
          <w:color w:val="auto"/>
          <w:szCs w:val="21"/>
          <w:highlight w:val="none"/>
        </w:rPr>
        <w:t>。</w:t>
      </w:r>
    </w:p>
    <w:p w14:paraId="7F0913B4">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color w:val="auto"/>
          <w:szCs w:val="21"/>
          <w:highlight w:val="none"/>
        </w:rPr>
        <w:t>。</w:t>
      </w:r>
    </w:p>
    <w:p w14:paraId="6FC7DFA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12.3.4 总价合同的计量</w:t>
      </w:r>
    </w:p>
    <w:p w14:paraId="08997ED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关于总价合同计量的约定：</w:t>
      </w:r>
      <w:r>
        <w:rPr>
          <w:rFonts w:hint="eastAsia" w:ascii="宋体" w:hAnsi="宋体"/>
          <w:color w:val="auto"/>
          <w:szCs w:val="21"/>
          <w:highlight w:val="none"/>
          <w:u w:val="single"/>
        </w:rPr>
        <w:t>按形象进度比例支付</w:t>
      </w:r>
      <w:r>
        <w:rPr>
          <w:rFonts w:hint="eastAsia" w:ascii="宋体" w:hAnsi="宋体"/>
          <w:color w:val="auto"/>
          <w:szCs w:val="21"/>
          <w:highlight w:val="none"/>
        </w:rPr>
        <w:t>。</w:t>
      </w:r>
    </w:p>
    <w:p w14:paraId="32B771E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12.3.5总价合同采用支付分解表计量支付的，是否适用第12.3.4项〔总价合同的计量〕约定进行计量：</w:t>
      </w:r>
      <w:r>
        <w:rPr>
          <w:rFonts w:hint="eastAsia" w:ascii="宋体" w:hAnsi="宋体"/>
          <w:color w:val="auto"/>
          <w:szCs w:val="21"/>
          <w:highlight w:val="none"/>
          <w:u w:val="single"/>
        </w:rPr>
        <w:t>适用</w:t>
      </w:r>
      <w:r>
        <w:rPr>
          <w:rFonts w:hint="eastAsia" w:ascii="宋体" w:hAnsi="宋体"/>
          <w:color w:val="auto"/>
          <w:szCs w:val="21"/>
          <w:highlight w:val="none"/>
        </w:rPr>
        <w:t>。</w:t>
      </w:r>
    </w:p>
    <w:p w14:paraId="638488A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12.3.6 其他价格形式合同的计量</w:t>
      </w:r>
    </w:p>
    <w:p w14:paraId="21FFD7F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其他价格形式的计量方式和程序：</w:t>
      </w:r>
      <w:r>
        <w:rPr>
          <w:rFonts w:hint="eastAsia" w:ascii="宋体" w:hAnsi="宋体"/>
          <w:color w:val="auto"/>
          <w:szCs w:val="21"/>
          <w:highlight w:val="none"/>
          <w:u w:val="single"/>
        </w:rPr>
        <w:t>不采用</w:t>
      </w:r>
      <w:r>
        <w:rPr>
          <w:rFonts w:hint="eastAsia" w:ascii="宋体" w:hAnsi="宋体"/>
          <w:color w:val="auto"/>
          <w:szCs w:val="21"/>
          <w:highlight w:val="none"/>
        </w:rPr>
        <w:t>。</w:t>
      </w:r>
    </w:p>
    <w:p w14:paraId="133A55B6">
      <w:pPr>
        <w:pStyle w:val="7"/>
        <w:spacing w:before="0" w:beforeAutospacing="0" w:after="0" w:afterAutospacing="0" w:line="360" w:lineRule="auto"/>
        <w:ind w:firstLine="422" w:firstLineChars="200"/>
        <w:rPr>
          <w:rFonts w:hint="eastAsia"/>
          <w:color w:val="auto"/>
          <w:sz w:val="21"/>
          <w:szCs w:val="21"/>
          <w:highlight w:val="none"/>
          <w:lang w:val="en-US" w:eastAsia="zh-CN"/>
        </w:rPr>
      </w:pPr>
      <w:bookmarkStart w:id="1767" w:name="_Toc532377386"/>
      <w:bookmarkStart w:id="1768" w:name="_Toc532375650"/>
      <w:bookmarkStart w:id="1769" w:name="_Hlk528928289"/>
      <w:r>
        <w:rPr>
          <w:rFonts w:hint="eastAsia"/>
          <w:color w:val="auto"/>
          <w:sz w:val="21"/>
          <w:szCs w:val="21"/>
          <w:highlight w:val="none"/>
          <w:lang w:val="en-US" w:eastAsia="zh-CN"/>
        </w:rPr>
        <w:t>12.4 工程进度款支付</w:t>
      </w:r>
      <w:bookmarkEnd w:id="1767"/>
      <w:bookmarkEnd w:id="1768"/>
    </w:p>
    <w:bookmarkEnd w:id="1769"/>
    <w:p w14:paraId="3CC1ADD9">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bookmarkStart w:id="1770" w:name="_Toc351203585"/>
      <w:bookmarkStart w:id="1771" w:name="_Toc532377387"/>
      <w:r>
        <w:rPr>
          <w:rFonts w:hint="eastAsia" w:cs="Times New Roman"/>
          <w:b w:val="0"/>
          <w:bCs w:val="0"/>
          <w:color w:val="auto"/>
          <w:kern w:val="2"/>
          <w:sz w:val="21"/>
          <w:szCs w:val="21"/>
          <w:highlight w:val="none"/>
          <w:lang w:val="en-US" w:eastAsia="zh-CN" w:bidi="ar-SA"/>
        </w:rPr>
        <w:t>1</w:t>
      </w:r>
      <w:r>
        <w:rPr>
          <w:rFonts w:hint="eastAsia" w:ascii="宋体" w:hAnsi="宋体" w:eastAsia="宋体" w:cs="Times New Roman"/>
          <w:b w:val="0"/>
          <w:bCs w:val="0"/>
          <w:color w:val="auto"/>
          <w:kern w:val="2"/>
          <w:sz w:val="21"/>
          <w:szCs w:val="21"/>
          <w:highlight w:val="none"/>
          <w:lang w:val="en-US" w:eastAsia="zh-CN" w:bidi="ar-SA"/>
        </w:rPr>
        <w:t>2.4.1 付款周期</w:t>
      </w:r>
    </w:p>
    <w:p w14:paraId="523B7074">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关于付款周期的约定：按月计量支付进度款（按进度、按节点计量支付进度款的参考按月计量支付进度款原则执行）。</w:t>
      </w:r>
    </w:p>
    <w:p w14:paraId="2869241E">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12.4.2 进度付款申请单的编制</w:t>
      </w:r>
    </w:p>
    <w:p w14:paraId="19AF587C">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进度付款申请单应包括下列内容：</w:t>
      </w:r>
    </w:p>
    <w:p w14:paraId="4C3A775E">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（1）截至本次付款周期已完成工作对应的金额；</w:t>
      </w:r>
    </w:p>
    <w:p w14:paraId="3E4FAE0A">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（2）根据第10条〔变更〕应增加和扣减的已审定变更金额；</w:t>
      </w:r>
    </w:p>
    <w:p w14:paraId="52DF0C65">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（3）根据第12.2款〔预付款〕约定应支付的预付款和扣减的返还预付款；</w:t>
      </w:r>
    </w:p>
    <w:p w14:paraId="17C1CB5A">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（4）根据第15.3款〔质量保证金〕约定应扣减的质量保证金；</w:t>
      </w:r>
    </w:p>
    <w:p w14:paraId="1BFD8DA4">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（5）根据第19条〔索赔〕应增加和扣减的已审定索赔金额；</w:t>
      </w:r>
    </w:p>
    <w:p w14:paraId="678600F3">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（6）根据第11条〔价格调整〕应增加和扣减的价格调整金额；</w:t>
      </w:r>
    </w:p>
    <w:p w14:paraId="2BE788A8">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（7）对已签发的进度款支付证书中出现错误的修正，应在本次进度付款中支付或扣除的金额；</w:t>
      </w:r>
    </w:p>
    <w:p w14:paraId="3D9A5D45">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（8）根据合同约定承包人应向发包人支付的违约金；</w:t>
      </w:r>
    </w:p>
    <w:p w14:paraId="5F64CB0F">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（9）根据合同约定发包人应向承包人支付的违约金和（或）奖励；</w:t>
      </w:r>
    </w:p>
    <w:p w14:paraId="33C5FCA2">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（10）根据合同约定应增加和扣减的其他金额；</w:t>
      </w:r>
    </w:p>
    <w:p w14:paraId="02E6D471">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（11）当月应支付的人工费（工资款）金额。</w:t>
      </w:r>
    </w:p>
    <w:p w14:paraId="7963857B">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12.4.3 进度付款申请单的提交</w:t>
      </w:r>
    </w:p>
    <w:p w14:paraId="2BAD95C7">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单价合同进度付款申请单提交的约定：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p>
    <w:p w14:paraId="1120897B">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（2）总价合同进度付款申请单提交的约定：按照合同约定的形象进度的计量约定的时间向监理人提交，并附上已完成工程量报表、经审核的农民工工资发放的情况说明及有关资料。</w:t>
      </w:r>
    </w:p>
    <w:p w14:paraId="6DE10830">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（3）其他价格形式合同进度付款申请单提交的约定：不采用。</w:t>
      </w:r>
    </w:p>
    <w:p w14:paraId="7AF43825">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12.4.4 进度款审核和支付</w:t>
      </w:r>
    </w:p>
    <w:p w14:paraId="419C478D">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（1）监理人审查并报送发包人的期限：收到完整资料后7天内。</w:t>
      </w:r>
    </w:p>
    <w:p w14:paraId="5AB849D0">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发包人完成审批并签发进度款支付证书的期限：发包人收到监理人报送资料后7天内完成审批并签发进度款支付证书。</w:t>
      </w:r>
    </w:p>
    <w:p w14:paraId="787FCD9B">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14:paraId="63992E55">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发包人签发进度款支付证书或临时进度款支付证书，不表明发包人已同意、批准或接受了承包人完成的相应部分的工作。</w:t>
      </w:r>
    </w:p>
    <w:p w14:paraId="723317FD">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（2）进度款支付：</w:t>
      </w:r>
    </w:p>
    <w:p w14:paraId="1AE1677B">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 xml:space="preserve">①农民工工资支付：承包人在进场施工前与招用的农民工签订劳动合同，并在银行开设农民工工资专用账户，发包人每月将已完工产值的30%作为当月人工费(工资款)单独拨付至承包人的农民工工资专用账户对应项目中(若人工费数大于当月已完工产值的30%时，按当月已完工产值的30%拨付；若人工费数额小于当月已完工产值的30%时，按实际人工费数额拨付),承包人每月建立职工花名册，经发包人、承包人和监理单位三方签字后，由承包人委托银行将农民工工资从该账户直接划入农民工个人账户并张贴农民工工资已发放的公告。承包人及开户银行应按要求将人工费(工资款)的到账及发放情况等信息，及时填报“合同履约系统”,并在建筑工地醒目位置公示5日以上经农民工本人签字确认农民工工资支付表。在支付工程进度款时应扣除每月所支付的农民工工资费用。 </w:t>
      </w:r>
    </w:p>
    <w:p w14:paraId="0EF580EC">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②安全生产费支付：合同订立，发包人下达开工令且承包人进场后，发包人向承包人支付安全生产费合同总额的50%，用于现场安全生产建设，余下安全生产费按施工进度同比例支付。</w:t>
      </w:r>
    </w:p>
    <w:p w14:paraId="73B3CF6D">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fldChar w:fldCharType="begin"/>
      </w:r>
      <w:r>
        <w:rPr>
          <w:rFonts w:hint="eastAsia" w:ascii="宋体" w:hAnsi="宋体" w:eastAsia="宋体" w:cs="Times New Roman"/>
          <w:b w:val="0"/>
          <w:bCs w:val="0"/>
          <w:color w:val="auto"/>
          <w:kern w:val="2"/>
          <w:sz w:val="21"/>
          <w:szCs w:val="21"/>
          <w:highlight w:val="none"/>
          <w:lang w:val="en-US" w:eastAsia="zh-CN" w:bidi="ar-SA"/>
        </w:rPr>
        <w:instrText xml:space="preserve"> = 3 \* GB3 \* MERGEFORMAT </w:instrText>
      </w:r>
      <w:r>
        <w:rPr>
          <w:rFonts w:hint="eastAsia" w:ascii="宋体" w:hAnsi="宋体" w:eastAsia="宋体" w:cs="Times New Roman"/>
          <w:b w:val="0"/>
          <w:bCs w:val="0"/>
          <w:color w:val="auto"/>
          <w:kern w:val="2"/>
          <w:sz w:val="21"/>
          <w:szCs w:val="21"/>
          <w:highlight w:val="none"/>
          <w:lang w:val="en-US" w:eastAsia="zh-CN" w:bidi="ar-SA"/>
        </w:rPr>
        <w:fldChar w:fldCharType="separate"/>
      </w:r>
      <w:r>
        <w:rPr>
          <w:rFonts w:hint="eastAsia" w:ascii="宋体" w:hAnsi="宋体" w:eastAsia="宋体" w:cs="Times New Roman"/>
          <w:b w:val="0"/>
          <w:bCs w:val="0"/>
          <w:color w:val="auto"/>
          <w:kern w:val="2"/>
          <w:sz w:val="21"/>
          <w:szCs w:val="21"/>
          <w:highlight w:val="none"/>
          <w:lang w:val="en-US" w:eastAsia="zh-CN" w:bidi="ar-SA"/>
        </w:rPr>
        <w:t>③</w:t>
      </w:r>
      <w:r>
        <w:rPr>
          <w:rFonts w:hint="eastAsia" w:ascii="宋体" w:hAnsi="宋体" w:eastAsia="宋体" w:cs="Times New Roman"/>
          <w:b w:val="0"/>
          <w:bCs w:val="0"/>
          <w:color w:val="auto"/>
          <w:kern w:val="2"/>
          <w:sz w:val="21"/>
          <w:szCs w:val="21"/>
          <w:highlight w:val="none"/>
          <w:lang w:val="en-US" w:eastAsia="zh-CN" w:bidi="ar-SA"/>
        </w:rPr>
        <w:fldChar w:fldCharType="end"/>
      </w:r>
      <w:r>
        <w:rPr>
          <w:rFonts w:hint="eastAsia" w:ascii="宋体" w:hAnsi="宋体" w:eastAsia="宋体" w:cs="Times New Roman"/>
          <w:b w:val="0"/>
          <w:bCs w:val="0"/>
          <w:color w:val="auto"/>
          <w:kern w:val="2"/>
          <w:sz w:val="21"/>
          <w:szCs w:val="21"/>
          <w:highlight w:val="none"/>
          <w:lang w:val="en-US" w:eastAsia="zh-CN" w:bidi="ar-SA"/>
        </w:rPr>
        <w:t>工程进度款支付：</w:t>
      </w:r>
    </w:p>
    <w:p w14:paraId="0AD70672">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1）达到相应项目的合同工程量的 30%，支付至该部分计量工程的80%（含之前已支付的农民工工资在内）；</w:t>
      </w:r>
    </w:p>
    <w:p w14:paraId="4480F038">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 xml:space="preserve">2）达到相应项目的合同工程量的 60%，支付至该部分计量工程的80%（含之前已支付的农民工工资在内）; </w:t>
      </w:r>
    </w:p>
    <w:p w14:paraId="5AD601E0">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3）交工验收合格后支付至不超过合同价款的80%（含之前已支付的农民工工资在内）；</w:t>
      </w:r>
    </w:p>
    <w:p w14:paraId="1FA53B1F">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4）在施工期间若遇春节时支付至完成合格工程量70%的合同价款（含之前已支付的农民工工资在内）；</w:t>
      </w:r>
    </w:p>
    <w:p w14:paraId="63C1EF3C">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5）完成审计结算后，发包人扣留质量保证金后向承包人支付至审计结算完成工程款的 97%（含之前已支付的农民工工资及安全生产费在内）；缺陷责任期满且完成竣工验收合格后，发包人向承包人无息退还质量保证金。”</w:t>
      </w:r>
    </w:p>
    <w:p w14:paraId="06A8BDF8">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12.5支付账户</w:t>
      </w:r>
      <w:bookmarkEnd w:id="1770"/>
      <w:bookmarkEnd w:id="1771"/>
    </w:p>
    <w:p w14:paraId="18EF1B4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发包人应将合同价款支付至如下承包人指定的开户银行及银行账户：</w:t>
      </w:r>
    </w:p>
    <w:p w14:paraId="434C6467">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收款单位名称：</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56F404F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收款账号：</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15D496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收款开户银行：</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3997B42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w:t>
      </w:r>
      <w:r>
        <w:rPr>
          <w:rFonts w:hint="eastAsia" w:ascii="宋体" w:hAnsi="宋体"/>
          <w:color w:val="auto"/>
          <w:kern w:val="0"/>
          <w:szCs w:val="21"/>
          <w:highlight w:val="none"/>
          <w:lang w:val="en-US" w:eastAsia="zh-CN"/>
        </w:rPr>
        <w:t>按行业主管部门的相关规定</w:t>
      </w:r>
      <w:r>
        <w:rPr>
          <w:rFonts w:hint="eastAsia" w:ascii="宋体" w:hAnsi="宋体"/>
          <w:color w:val="auto"/>
          <w:kern w:val="0"/>
          <w:szCs w:val="21"/>
          <w:highlight w:val="none"/>
        </w:rPr>
        <w:t>将人工费（工资款）支付至承包人指定的农民工工资专用账户。</w:t>
      </w:r>
    </w:p>
    <w:p w14:paraId="12430B1F">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772" w:name="_Toc532375651"/>
      <w:bookmarkStart w:id="1773" w:name="_Toc532377388"/>
      <w:bookmarkStart w:id="1774" w:name="_Toc351203645"/>
      <w:bookmarkStart w:id="1775" w:name="_Toc296347218"/>
      <w:bookmarkStart w:id="1776" w:name="_Toc297123564"/>
      <w:bookmarkStart w:id="1777" w:name="_Toc297048405"/>
      <w:bookmarkStart w:id="1778" w:name="_Toc296503219"/>
      <w:bookmarkStart w:id="1779" w:name="_Toc297216223"/>
      <w:bookmarkStart w:id="1780" w:name="_Toc296346720"/>
      <w:bookmarkStart w:id="1781" w:name="_Toc296944558"/>
      <w:bookmarkStart w:id="1782" w:name="_Toc292559424"/>
      <w:bookmarkStart w:id="1783" w:name="_Toc303539172"/>
      <w:bookmarkStart w:id="1784" w:name="_Toc292559929"/>
      <w:bookmarkStart w:id="1785" w:name="_Toc296891259"/>
      <w:bookmarkStart w:id="1786" w:name="_Toc312678053"/>
      <w:bookmarkStart w:id="1787" w:name="_Toc304295593"/>
      <w:bookmarkStart w:id="1788" w:name="_Toc300935015"/>
      <w:bookmarkStart w:id="1789" w:name="_Toc297120519"/>
      <w:bookmarkStart w:id="1790" w:name="_Toc296891047"/>
      <w:r>
        <w:rPr>
          <w:rFonts w:hint="eastAsia"/>
          <w:color w:val="auto"/>
          <w:kern w:val="2"/>
          <w:sz w:val="21"/>
          <w:szCs w:val="21"/>
          <w:highlight w:val="none"/>
        </w:rPr>
        <w:t>13. 验收和工程试车</w:t>
      </w:r>
      <w:bookmarkEnd w:id="1772"/>
      <w:bookmarkEnd w:id="1773"/>
      <w:bookmarkEnd w:id="1774"/>
    </w:p>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p w14:paraId="1008939A">
      <w:pPr>
        <w:pStyle w:val="7"/>
        <w:spacing w:before="0" w:beforeAutospacing="0" w:after="0" w:afterAutospacing="0" w:line="360" w:lineRule="auto"/>
        <w:ind w:firstLine="422" w:firstLineChars="200"/>
        <w:rPr>
          <w:color w:val="auto"/>
          <w:sz w:val="21"/>
          <w:szCs w:val="21"/>
          <w:highlight w:val="none"/>
        </w:rPr>
      </w:pPr>
      <w:bookmarkStart w:id="1791" w:name="_Toc532377389"/>
      <w:bookmarkStart w:id="1792" w:name="_Toc532375652"/>
      <w:bookmarkStart w:id="1793" w:name="_Toc280868704"/>
      <w:bookmarkStart w:id="1794" w:name="_Toc280868705"/>
      <w:bookmarkStart w:id="1795" w:name="_Toc280868706"/>
      <w:bookmarkStart w:id="1796" w:name="_Toc280868707"/>
      <w:bookmarkStart w:id="1797" w:name="_Toc280868708"/>
      <w:bookmarkStart w:id="1798" w:name="_Toc267251476"/>
      <w:bookmarkStart w:id="1799" w:name="_Toc267251474"/>
      <w:bookmarkStart w:id="1800" w:name="_Toc267251472"/>
      <w:bookmarkStart w:id="1801" w:name="_Toc267251471"/>
      <w:bookmarkStart w:id="1802" w:name="_Toc267251473"/>
      <w:bookmarkStart w:id="1803" w:name="_Toc280868709"/>
      <w:bookmarkStart w:id="1804" w:name="_Toc267251475"/>
      <w:bookmarkStart w:id="1805" w:name="_Toc267251470"/>
      <w:r>
        <w:rPr>
          <w:rFonts w:hint="eastAsia"/>
          <w:color w:val="auto"/>
          <w:sz w:val="21"/>
          <w:szCs w:val="21"/>
          <w:highlight w:val="none"/>
        </w:rPr>
        <w:t>13.1 分部分项工程验收</w:t>
      </w:r>
      <w:bookmarkEnd w:id="1791"/>
      <w:bookmarkEnd w:id="1792"/>
    </w:p>
    <w:p w14:paraId="6BB7587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13.1.2 监理人不能按时进行验收时，应提前</w:t>
      </w:r>
      <w:r>
        <w:rPr>
          <w:rFonts w:hint="eastAsia" w:ascii="宋体" w:hAnsi="宋体"/>
          <w:color w:val="auto"/>
          <w:szCs w:val="21"/>
          <w:highlight w:val="none"/>
          <w:u w:val="single"/>
        </w:rPr>
        <w:t>24</w:t>
      </w:r>
      <w:r>
        <w:rPr>
          <w:rFonts w:hint="eastAsia" w:ascii="宋体" w:hAnsi="宋体"/>
          <w:color w:val="auto"/>
          <w:szCs w:val="21"/>
          <w:highlight w:val="none"/>
        </w:rPr>
        <w:t>小时提交书面延期要求。</w:t>
      </w:r>
    </w:p>
    <w:p w14:paraId="2DE0DDA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关于延期最长不得超过：</w:t>
      </w:r>
      <w:r>
        <w:rPr>
          <w:rFonts w:hint="eastAsia" w:ascii="宋体" w:hAnsi="宋体"/>
          <w:color w:val="auto"/>
          <w:szCs w:val="21"/>
          <w:highlight w:val="none"/>
          <w:u w:val="single"/>
        </w:rPr>
        <w:t>48</w:t>
      </w:r>
      <w:r>
        <w:rPr>
          <w:rFonts w:hint="eastAsia" w:ascii="宋体" w:hAnsi="宋体"/>
          <w:color w:val="auto"/>
          <w:szCs w:val="21"/>
          <w:highlight w:val="none"/>
        </w:rPr>
        <w:t>小时。</w:t>
      </w:r>
    </w:p>
    <w:p w14:paraId="5C2CDEEA">
      <w:pPr>
        <w:pStyle w:val="7"/>
        <w:spacing w:before="0" w:beforeAutospacing="0" w:after="0" w:afterAutospacing="0" w:line="360" w:lineRule="auto"/>
        <w:ind w:firstLine="422" w:firstLineChars="200"/>
        <w:rPr>
          <w:color w:val="auto"/>
          <w:sz w:val="21"/>
          <w:szCs w:val="21"/>
          <w:highlight w:val="none"/>
        </w:rPr>
      </w:pPr>
      <w:bookmarkStart w:id="1806" w:name="_Toc532377390"/>
      <w:bookmarkStart w:id="1807" w:name="_Toc532375653"/>
      <w:bookmarkStart w:id="1808" w:name="_Toc296503223"/>
      <w:bookmarkStart w:id="1809" w:name="_Toc303539173"/>
      <w:bookmarkStart w:id="1810" w:name="_Toc292559428"/>
      <w:bookmarkStart w:id="1811" w:name="_Toc296891051"/>
      <w:bookmarkStart w:id="1812" w:name="_Toc297123565"/>
      <w:bookmarkStart w:id="1813" w:name="_Toc312678056"/>
      <w:bookmarkStart w:id="1814" w:name="_Toc296891263"/>
      <w:bookmarkStart w:id="1815" w:name="_Toc297120523"/>
      <w:bookmarkStart w:id="1816" w:name="_Toc296347222"/>
      <w:bookmarkStart w:id="1817" w:name="_Toc296944562"/>
      <w:bookmarkStart w:id="1818" w:name="_Toc296346724"/>
      <w:bookmarkStart w:id="1819" w:name="_Toc304295596"/>
      <w:bookmarkStart w:id="1820" w:name="_Toc297048409"/>
      <w:bookmarkStart w:id="1821" w:name="_Toc300935016"/>
      <w:bookmarkStart w:id="1822" w:name="_Toc292559933"/>
      <w:bookmarkStart w:id="1823" w:name="_Toc297216224"/>
      <w:r>
        <w:rPr>
          <w:rFonts w:hint="eastAsia"/>
          <w:color w:val="auto"/>
          <w:sz w:val="21"/>
          <w:szCs w:val="21"/>
          <w:highlight w:val="none"/>
        </w:rPr>
        <w:t>13.2 竣工验收</w:t>
      </w:r>
      <w:bookmarkEnd w:id="1806"/>
      <w:bookmarkEnd w:id="1807"/>
    </w:p>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p w14:paraId="7E8F004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13.2.2竣工验收程序</w:t>
      </w:r>
    </w:p>
    <w:bookmarkEnd w:id="1793"/>
    <w:p w14:paraId="1990031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关于竣工验收程序的约定：工程完工且符合下列条件时，承包人可向发包人提供竣工报告，并要求验收：</w:t>
      </w:r>
    </w:p>
    <w:p w14:paraId="3B82579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（1）除发包人同意的甩项工作和缺陷修补工作外，合同范围内的全部工程以及有关工作，包括合同要求的试验、试运行以及检验均已完成，并符合合同要求；</w:t>
      </w:r>
    </w:p>
    <w:p w14:paraId="217CA77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（2）已按合同约定编制了甩项工作和缺陷修补工作清单以及相应的施工计划；</w:t>
      </w:r>
    </w:p>
    <w:p w14:paraId="0522285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（3）已按合同约定的内容和份数备齐竣工资料。</w:t>
      </w:r>
    </w:p>
    <w:p w14:paraId="160DDB4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FDA27E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工程竣工及竣工资料：</w:t>
      </w:r>
    </w:p>
    <w:p w14:paraId="4E45A48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（1）发包人应在收到承包人竣工报告后14天内组织设计单位、监理单位、质监等其他部门进行验收，竣工日期以最后一次整改后通过竣工验收的时间为准</w:t>
      </w:r>
      <w:r>
        <w:rPr>
          <w:rFonts w:hint="eastAsia" w:ascii="宋体" w:hAnsi="宋体"/>
          <w:color w:val="auto"/>
          <w:szCs w:val="21"/>
          <w:highlight w:val="none"/>
        </w:rPr>
        <w:t>。</w:t>
      </w:r>
    </w:p>
    <w:p w14:paraId="1025D23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color w:val="auto"/>
          <w:szCs w:val="21"/>
          <w:highlight w:val="none"/>
        </w:rPr>
        <w:t>。</w:t>
      </w:r>
    </w:p>
    <w:p w14:paraId="143386F3">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（3）承包人提供竣工资料的约定：</w:t>
      </w:r>
      <w:r>
        <w:rPr>
          <w:rFonts w:hint="eastAsia" w:ascii="宋体" w:hAnsi="宋体"/>
          <w:color w:val="auto"/>
          <w:szCs w:val="21"/>
          <w:highlight w:val="none"/>
          <w:u w:val="single"/>
        </w:rPr>
        <w:t>承包人提供纸质版竣工图三套，电子版竣工图二套（刻光盘）</w:t>
      </w:r>
      <w:r>
        <w:rPr>
          <w:rFonts w:hint="eastAsia" w:ascii="宋体" w:hAnsi="宋体"/>
          <w:color w:val="auto"/>
          <w:szCs w:val="21"/>
          <w:highlight w:val="none"/>
        </w:rPr>
        <w:t>。</w:t>
      </w:r>
    </w:p>
    <w:bookmarkEnd w:id="1794"/>
    <w:p w14:paraId="0362DC3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13.2.5 移交、接收全部与部分工程</w:t>
      </w:r>
    </w:p>
    <w:bookmarkEnd w:id="1795"/>
    <w:p w14:paraId="5CA4C323">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承包人向发包人移交工程的期限：</w:t>
      </w:r>
      <w:r>
        <w:rPr>
          <w:rFonts w:hint="eastAsia" w:ascii="宋体" w:hAnsi="宋体"/>
          <w:color w:val="auto"/>
          <w:szCs w:val="21"/>
          <w:highlight w:val="none"/>
          <w:u w:val="single"/>
        </w:rPr>
        <w:t>颁发工程接收证书后7天内完成工程的移交</w:t>
      </w:r>
      <w:r>
        <w:rPr>
          <w:rFonts w:hint="eastAsia" w:ascii="宋体" w:hAnsi="宋体"/>
          <w:color w:val="auto"/>
          <w:szCs w:val="21"/>
          <w:highlight w:val="none"/>
        </w:rPr>
        <w:t>。</w:t>
      </w:r>
    </w:p>
    <w:p w14:paraId="0DC803FC">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发包人未按合同约定接收全部或部分工程的，违约金的计算方法为：发包人自应当接收工程之日起承担工程照管、成品保护、保管等与工程有关的各项费用。</w:t>
      </w:r>
    </w:p>
    <w:bookmarkEnd w:id="1796"/>
    <w:p w14:paraId="36EF447E">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因承包人自身原因未按时移交工程的，违约金的计算方法为：</w:t>
      </w:r>
      <w:r>
        <w:rPr>
          <w:rFonts w:hint="eastAsia" w:ascii="宋体" w:hAnsi="宋体"/>
          <w:color w:val="auto"/>
          <w:szCs w:val="21"/>
          <w:highlight w:val="none"/>
          <w:u w:val="single"/>
        </w:rPr>
        <w:t>承包人应承担工程照管、成品保护、保管等与工程有关的各项费用，并按经审定结算金额的0.5‰/天支付违约金</w:t>
      </w:r>
      <w:r>
        <w:rPr>
          <w:rFonts w:hint="eastAsia" w:ascii="宋体" w:hAnsi="宋体"/>
          <w:color w:val="auto"/>
          <w:szCs w:val="21"/>
          <w:highlight w:val="none"/>
        </w:rPr>
        <w:t>。</w:t>
      </w:r>
    </w:p>
    <w:p w14:paraId="6D03BBB4">
      <w:pPr>
        <w:pStyle w:val="7"/>
        <w:spacing w:before="0" w:beforeAutospacing="0" w:after="0" w:afterAutospacing="0" w:line="360" w:lineRule="auto"/>
        <w:ind w:firstLine="422" w:firstLineChars="200"/>
        <w:rPr>
          <w:color w:val="auto"/>
          <w:sz w:val="21"/>
          <w:szCs w:val="21"/>
          <w:highlight w:val="none"/>
        </w:rPr>
      </w:pPr>
      <w:bookmarkStart w:id="1824" w:name="_Toc532375654"/>
      <w:bookmarkStart w:id="1825" w:name="_Toc532377391"/>
      <w:r>
        <w:rPr>
          <w:rFonts w:hint="eastAsia"/>
          <w:color w:val="auto"/>
          <w:sz w:val="21"/>
          <w:szCs w:val="21"/>
          <w:highlight w:val="none"/>
        </w:rPr>
        <w:t>13.3 工程试车</w:t>
      </w:r>
      <w:bookmarkEnd w:id="1824"/>
      <w:bookmarkEnd w:id="1825"/>
    </w:p>
    <w:p w14:paraId="0BF7BA5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13.3.1 试车程序</w:t>
      </w:r>
    </w:p>
    <w:p w14:paraId="3EEC392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工程试车内容：</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14:paraId="0EAEE26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（1）单机无负荷试车费用由</w:t>
      </w:r>
      <w:r>
        <w:rPr>
          <w:rFonts w:hint="eastAsia" w:ascii="宋体" w:hAnsi="宋体"/>
          <w:color w:val="auto"/>
          <w:szCs w:val="21"/>
          <w:highlight w:val="none"/>
          <w:u w:val="single"/>
        </w:rPr>
        <w:t>承包人</w:t>
      </w:r>
      <w:r>
        <w:rPr>
          <w:rFonts w:hint="eastAsia" w:ascii="宋体" w:hAnsi="宋体"/>
          <w:color w:val="auto"/>
          <w:szCs w:val="21"/>
          <w:highlight w:val="none"/>
        </w:rPr>
        <w:t>承担；</w:t>
      </w:r>
    </w:p>
    <w:p w14:paraId="5192B88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（2）无负荷联动试车费用由</w:t>
      </w:r>
      <w:r>
        <w:rPr>
          <w:rFonts w:hint="eastAsia" w:ascii="宋体" w:hAnsi="宋体"/>
          <w:color w:val="auto"/>
          <w:szCs w:val="21"/>
          <w:highlight w:val="none"/>
          <w:u w:val="single"/>
        </w:rPr>
        <w:t>承包人</w:t>
      </w:r>
      <w:r>
        <w:rPr>
          <w:rFonts w:hint="eastAsia" w:ascii="宋体" w:hAnsi="宋体"/>
          <w:color w:val="auto"/>
          <w:szCs w:val="21"/>
          <w:highlight w:val="none"/>
        </w:rPr>
        <w:t>承担。</w:t>
      </w:r>
    </w:p>
    <w:p w14:paraId="1C3FF2DC">
      <w:pPr>
        <w:pStyle w:val="7"/>
        <w:spacing w:before="0" w:beforeAutospacing="0" w:after="0" w:afterAutospacing="0" w:line="360" w:lineRule="auto"/>
        <w:ind w:firstLine="422" w:firstLineChars="200"/>
        <w:rPr>
          <w:color w:val="auto"/>
          <w:sz w:val="21"/>
          <w:szCs w:val="21"/>
          <w:highlight w:val="none"/>
        </w:rPr>
      </w:pPr>
      <w:bookmarkStart w:id="1826" w:name="_Toc532377392"/>
      <w:bookmarkStart w:id="1827" w:name="_Toc532375655"/>
      <w:r>
        <w:rPr>
          <w:rFonts w:hint="eastAsia"/>
          <w:color w:val="auto"/>
          <w:sz w:val="21"/>
          <w:szCs w:val="21"/>
          <w:highlight w:val="none"/>
        </w:rPr>
        <w:t>13.6 竣工退场</w:t>
      </w:r>
      <w:bookmarkEnd w:id="1826"/>
      <w:bookmarkEnd w:id="1827"/>
    </w:p>
    <w:p w14:paraId="599CF5D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13.6.1 竣工退场</w:t>
      </w:r>
    </w:p>
    <w:p w14:paraId="1FBFE0B3">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承包人完成竣工退场的期限：</w:t>
      </w:r>
      <w:r>
        <w:rPr>
          <w:rFonts w:hint="eastAsia" w:ascii="宋体" w:hAnsi="宋体"/>
          <w:color w:val="auto"/>
          <w:szCs w:val="21"/>
          <w:highlight w:val="none"/>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color w:val="auto"/>
          <w:szCs w:val="21"/>
          <w:highlight w:val="none"/>
        </w:rPr>
        <w:t>。</w:t>
      </w:r>
    </w:p>
    <w:bookmarkEnd w:id="1797"/>
    <w:p w14:paraId="1F7842B5">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828" w:name="_Toc532375656"/>
      <w:bookmarkStart w:id="1829" w:name="_Toc351203646"/>
      <w:bookmarkStart w:id="1830" w:name="_Toc532377393"/>
      <w:r>
        <w:rPr>
          <w:rFonts w:hint="eastAsia"/>
          <w:color w:val="auto"/>
          <w:kern w:val="2"/>
          <w:sz w:val="21"/>
          <w:szCs w:val="21"/>
          <w:highlight w:val="none"/>
        </w:rPr>
        <w:t>14. 竣工结算</w:t>
      </w:r>
      <w:bookmarkEnd w:id="1828"/>
      <w:bookmarkEnd w:id="1829"/>
      <w:bookmarkEnd w:id="1830"/>
    </w:p>
    <w:p w14:paraId="04B239E7">
      <w:pPr>
        <w:pStyle w:val="7"/>
        <w:spacing w:before="0" w:beforeAutospacing="0" w:after="0" w:afterAutospacing="0" w:line="360" w:lineRule="auto"/>
        <w:ind w:firstLine="422" w:firstLineChars="200"/>
        <w:rPr>
          <w:color w:val="auto"/>
          <w:sz w:val="21"/>
          <w:szCs w:val="21"/>
          <w:highlight w:val="none"/>
        </w:rPr>
      </w:pPr>
      <w:bookmarkStart w:id="1831" w:name="_Toc532377394"/>
      <w:bookmarkStart w:id="1832" w:name="_Toc532375657"/>
      <w:r>
        <w:rPr>
          <w:rFonts w:hint="eastAsia"/>
          <w:color w:val="auto"/>
          <w:sz w:val="21"/>
          <w:szCs w:val="21"/>
          <w:highlight w:val="none"/>
        </w:rPr>
        <w:t>14.1 竣工结算申请</w:t>
      </w:r>
      <w:bookmarkEnd w:id="1831"/>
      <w:bookmarkEnd w:id="1832"/>
    </w:p>
    <w:p w14:paraId="7783D3DA">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承包人提交竣工结算申请单的期限：</w:t>
      </w:r>
      <w:r>
        <w:rPr>
          <w:rFonts w:hint="eastAsia" w:ascii="宋体" w:hAnsi="宋体"/>
          <w:color w:val="auto"/>
          <w:szCs w:val="21"/>
          <w:highlight w:val="none"/>
          <w:u w:val="single"/>
        </w:rPr>
        <w:t>承包人应在工程竣工验收合格且报送</w:t>
      </w:r>
      <w:r>
        <w:rPr>
          <w:rFonts w:ascii="宋体" w:hAnsi="宋体"/>
          <w:color w:val="auto"/>
          <w:szCs w:val="21"/>
          <w:highlight w:val="none"/>
          <w:u w:val="single"/>
        </w:rPr>
        <w:t>完整工程竣工资料</w:t>
      </w:r>
      <w:r>
        <w:rPr>
          <w:rFonts w:hint="eastAsia" w:ascii="宋体" w:hAnsi="宋体"/>
          <w:color w:val="auto"/>
          <w:szCs w:val="21"/>
          <w:highlight w:val="none"/>
          <w:u w:val="single"/>
        </w:rPr>
        <w:t>之日起28天内向监理人、发包人提交竣工结算申请单，并向发包人报送完整的工程竣工资料及经监理人初审确认的完整的竣工结算资料</w:t>
      </w:r>
      <w:bookmarkStart w:id="1833" w:name="_Hlk524297994"/>
      <w:r>
        <w:rPr>
          <w:rFonts w:hint="eastAsia" w:ascii="宋体" w:hAnsi="宋体"/>
          <w:color w:val="auto"/>
          <w:szCs w:val="21"/>
          <w:highlight w:val="none"/>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14:paraId="476A0EE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竣工结算申请单包括但不限于以下内容：</w:t>
      </w:r>
    </w:p>
    <w:p w14:paraId="627495B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（1）竣工结算合同价格；</w:t>
      </w:r>
    </w:p>
    <w:p w14:paraId="5F43B4D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（2）变更增减金额；</w:t>
      </w:r>
    </w:p>
    <w:p w14:paraId="14F0830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（3）现场签证增减金额；</w:t>
      </w:r>
    </w:p>
    <w:p w14:paraId="388DD37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（4）索赔增减金额；</w:t>
      </w:r>
    </w:p>
    <w:p w14:paraId="3A235A7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（5）奖励、罚金及违约金；</w:t>
      </w:r>
    </w:p>
    <w:p w14:paraId="255D07E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（6）发包人已支付承包人的款项；</w:t>
      </w:r>
    </w:p>
    <w:p w14:paraId="61336EE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（7）应扣留的质量保证金；</w:t>
      </w:r>
    </w:p>
    <w:p w14:paraId="473398E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（8）发包人应支付承包人的合同价款。</w:t>
      </w:r>
      <w:bookmarkEnd w:id="1833"/>
    </w:p>
    <w:p w14:paraId="7C3BA7E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4961651">
      <w:pPr>
        <w:pStyle w:val="7"/>
        <w:spacing w:before="0" w:beforeAutospacing="0" w:after="0" w:afterAutospacing="0" w:line="360" w:lineRule="auto"/>
        <w:ind w:firstLine="422" w:firstLineChars="200"/>
        <w:rPr>
          <w:color w:val="auto"/>
          <w:sz w:val="21"/>
          <w:szCs w:val="21"/>
          <w:highlight w:val="none"/>
        </w:rPr>
      </w:pPr>
      <w:bookmarkStart w:id="1834" w:name="_Toc532375658"/>
      <w:bookmarkStart w:id="1835" w:name="_Toc532377395"/>
      <w:r>
        <w:rPr>
          <w:rFonts w:hint="eastAsia"/>
          <w:color w:val="auto"/>
          <w:sz w:val="21"/>
          <w:szCs w:val="21"/>
          <w:highlight w:val="none"/>
        </w:rPr>
        <w:t>14.2 竣工结算审核</w:t>
      </w:r>
      <w:bookmarkEnd w:id="1834"/>
      <w:bookmarkEnd w:id="1835"/>
    </w:p>
    <w:p w14:paraId="6995389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 竣工结算办法</w:t>
      </w:r>
    </w:p>
    <w:p w14:paraId="7D728D8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14.2.1.1计量原则</w:t>
      </w:r>
    </w:p>
    <w:p w14:paraId="58B1A1D1">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按照第12.3.1项〔计量原则〕约定执行。</w:t>
      </w:r>
    </w:p>
    <w:p w14:paraId="5AF1E420">
      <w:pPr>
        <w:spacing w:line="360" w:lineRule="auto"/>
        <w:ind w:right="105" w:rightChars="50" w:firstLine="420" w:firstLineChars="200"/>
        <w:jc w:val="left"/>
        <w:rPr>
          <w:rFonts w:hint="eastAsia" w:ascii="宋体" w:hAnsi="宋体" w:eastAsia="宋体"/>
          <w:color w:val="auto"/>
          <w:szCs w:val="21"/>
          <w:highlight w:val="none"/>
          <w:u w:val="single"/>
          <w:lang w:val="en-US" w:eastAsia="zh-CN"/>
        </w:rPr>
      </w:pPr>
      <w:r>
        <w:rPr>
          <w:rFonts w:hint="eastAsia" w:ascii="宋体" w:hAnsi="宋体"/>
          <w:color w:val="auto"/>
          <w:szCs w:val="21"/>
          <w:highlight w:val="none"/>
        </w:rPr>
        <w:t>14.2.1.2计价原则</w:t>
      </w:r>
    </w:p>
    <w:p w14:paraId="4D50C06D">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szCs w:val="21"/>
          <w:highlight w:val="none"/>
          <w:u w:val="single"/>
        </w:rPr>
        <w:t>合同竣工结算价=Σ分部分项工程结算价+Σ措施项目结算价+Σ其他项目结算价±Σ价格调整（如有）±Σ变更、索赔与现场签证结算价±Σ奖励、罚金、违约金及其他费用+Σ规费+Σ税金</w:t>
      </w:r>
      <w:r>
        <w:rPr>
          <w:rFonts w:hint="eastAsia" w:ascii="宋体" w:hAnsi="宋体"/>
          <w:color w:val="auto"/>
          <w:szCs w:val="21"/>
          <w:highlight w:val="none"/>
        </w:rPr>
        <w:t>。</w:t>
      </w:r>
    </w:p>
    <w:p w14:paraId="07F5B5F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具体结算办法如下：</w:t>
      </w:r>
    </w:p>
    <w:p w14:paraId="4D27DB40">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（1）分部分项工程：</w:t>
      </w:r>
    </w:p>
    <w:p w14:paraId="29FD12D1">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①已标价工程量清单子目综合单价按合同约定无需调整的，以按照竣工图和第12.3.1项〔计量原则〕约定确定的工程量乘以相应的已标价工程量清单子目综合单价确定该部分分部分项工程结算价</w:t>
      </w:r>
      <w:r>
        <w:rPr>
          <w:rFonts w:hint="eastAsia" w:ascii="宋体" w:hAnsi="宋体"/>
          <w:color w:val="auto"/>
          <w:szCs w:val="21"/>
          <w:highlight w:val="none"/>
        </w:rPr>
        <w:t>；</w:t>
      </w:r>
    </w:p>
    <w:p w14:paraId="02685175">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宋体" w:hAnsi="宋体"/>
          <w:color w:val="auto"/>
          <w:szCs w:val="21"/>
          <w:highlight w:val="none"/>
        </w:rPr>
        <w:t>；</w:t>
      </w:r>
    </w:p>
    <w:p w14:paraId="5FC0AE0C">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③需要对没有填入综合单价或总额价的子目项目进行扣减的，第12.3.1项〔计量原则〕约定确定的工程量乘以按照10.4.1〔变更估价原则〕（3）目约定的综合单价进行扣减</w:t>
      </w:r>
      <w:r>
        <w:rPr>
          <w:rFonts w:hint="eastAsia" w:ascii="宋体" w:hAnsi="宋体"/>
          <w:color w:val="auto"/>
          <w:szCs w:val="21"/>
          <w:highlight w:val="none"/>
        </w:rPr>
        <w:t>；</w:t>
      </w:r>
    </w:p>
    <w:p w14:paraId="2077AD04">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④合同、已标价工程量清单和招标文件另有约定的，按照其约定执行</w:t>
      </w:r>
      <w:r>
        <w:rPr>
          <w:rFonts w:hint="eastAsia" w:ascii="宋体" w:hAnsi="宋体"/>
          <w:color w:val="auto"/>
          <w:szCs w:val="21"/>
          <w:highlight w:val="none"/>
        </w:rPr>
        <w:t>。</w:t>
      </w:r>
    </w:p>
    <w:p w14:paraId="4C114F5C">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（2）措施项目：</w:t>
      </w:r>
    </w:p>
    <w:p w14:paraId="68DF6765">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①已标价工程量清单范围内以项为计量单位的措施项目费（安全文明施工费除外）包干使用；不以项为计量单位的措施项目费按第14.2.1项〔竣工结算办理办法〕分部分项约定执行</w:t>
      </w:r>
      <w:r>
        <w:rPr>
          <w:rFonts w:hint="eastAsia" w:ascii="宋体" w:hAnsi="宋体"/>
          <w:color w:val="auto"/>
          <w:szCs w:val="21"/>
          <w:highlight w:val="none"/>
        </w:rPr>
        <w:t>。</w:t>
      </w:r>
    </w:p>
    <w:p w14:paraId="304214C9">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②工程变更引起施工方案改变使措施项目发生变化的，经监理人、发包人确定后可对按第10.4.3项约定执行</w:t>
      </w:r>
      <w:r>
        <w:rPr>
          <w:rFonts w:hint="eastAsia" w:ascii="宋体" w:hAnsi="宋体"/>
          <w:color w:val="auto"/>
          <w:szCs w:val="21"/>
          <w:highlight w:val="none"/>
        </w:rPr>
        <w:t>。</w:t>
      </w:r>
    </w:p>
    <w:p w14:paraId="20E3B108">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③安全文明施工费按照《重庆市建设工程安全文明施工费计取及使用管理规定》（渝建发〔2014〕25号）、《重庆市住房和城乡建设委员会关于调整建设施工现场形象品质提升安全文明施工费计取的通知》（渝建管〔2020〕97号）、《重庆市建设工程费用定额》（CQFYDE-2018）、《重庆市城乡建设委员会关于适用增值税新税率调整建设工程计价依据的通知》（渝建〔2019〕143号）的规定进行结算</w:t>
      </w:r>
      <w:r>
        <w:rPr>
          <w:rFonts w:hint="eastAsia" w:ascii="宋体" w:hAnsi="宋体"/>
          <w:color w:val="auto"/>
          <w:szCs w:val="21"/>
          <w:highlight w:val="none"/>
        </w:rPr>
        <w:t>。</w:t>
      </w:r>
    </w:p>
    <w:p w14:paraId="470D5D37">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（3）其他项目：</w:t>
      </w:r>
    </w:p>
    <w:p w14:paraId="42310F4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①材料（工程设备）暂估价：</w:t>
      </w:r>
      <w:r>
        <w:rPr>
          <w:rFonts w:hint="eastAsia" w:ascii="宋体" w:hAnsi="宋体"/>
          <w:color w:val="auto"/>
          <w:szCs w:val="21"/>
          <w:highlight w:val="none"/>
          <w:u w:val="single"/>
        </w:rPr>
        <w:t>按照第12.3.1项〔计量原则〕约定及对应定额消耗量确定的数量乘以监理人、跟审单位、发包人根据市场行情认质核价确定的价格进行结算</w:t>
      </w:r>
      <w:r>
        <w:rPr>
          <w:rFonts w:hint="eastAsia" w:ascii="宋体" w:hAnsi="宋体"/>
          <w:color w:val="auto"/>
          <w:szCs w:val="21"/>
          <w:highlight w:val="none"/>
        </w:rPr>
        <w:t>。</w:t>
      </w:r>
    </w:p>
    <w:p w14:paraId="583C589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②专业工程暂估价：</w:t>
      </w:r>
    </w:p>
    <w:p w14:paraId="49372BC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1）对于不属于依法必须招标的暂估价项目：按发包人审定的价格进行结算</w:t>
      </w:r>
      <w:r>
        <w:rPr>
          <w:rFonts w:hint="eastAsia" w:ascii="宋体" w:hAnsi="宋体"/>
          <w:color w:val="auto"/>
          <w:szCs w:val="21"/>
          <w:highlight w:val="none"/>
        </w:rPr>
        <w:t>。</w:t>
      </w:r>
    </w:p>
    <w:p w14:paraId="556CC5B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2）对于依法必须招标的暂估价项目：达到招标规模标准的暂估价内容，包括专业工程暂估价和材料设备暂估价均应招标确定，并按暂估价招标文件约定结算</w:t>
      </w:r>
      <w:r>
        <w:rPr>
          <w:rFonts w:hint="eastAsia" w:ascii="宋体" w:hAnsi="宋体"/>
          <w:color w:val="auto"/>
          <w:szCs w:val="21"/>
          <w:highlight w:val="none"/>
        </w:rPr>
        <w:t>。</w:t>
      </w:r>
    </w:p>
    <w:p w14:paraId="28FE1E2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3）总承包服务费：总承包服务费包干使用，结算时不作调整</w:t>
      </w:r>
      <w:r>
        <w:rPr>
          <w:rFonts w:hint="eastAsia" w:ascii="宋体" w:hAnsi="宋体"/>
          <w:color w:val="auto"/>
          <w:szCs w:val="21"/>
          <w:highlight w:val="none"/>
        </w:rPr>
        <w:t>。</w:t>
      </w:r>
    </w:p>
    <w:p w14:paraId="7567EA6E">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（4）价格调整：</w:t>
      </w:r>
      <w:r>
        <w:rPr>
          <w:rFonts w:hint="eastAsia" w:ascii="宋体" w:hAnsi="宋体"/>
          <w:color w:val="auto"/>
          <w:szCs w:val="21"/>
          <w:highlight w:val="none"/>
          <w:u w:val="single"/>
        </w:rPr>
        <w:t>按照第11条〔价格调整〕约定约定执行</w:t>
      </w:r>
      <w:r>
        <w:rPr>
          <w:rFonts w:hint="eastAsia" w:ascii="宋体" w:hAnsi="宋体"/>
          <w:color w:val="auto"/>
          <w:szCs w:val="21"/>
          <w:highlight w:val="none"/>
        </w:rPr>
        <w:t>。</w:t>
      </w:r>
    </w:p>
    <w:p w14:paraId="382017A9">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（5）工程变更、索赔与现场签证：</w:t>
      </w:r>
    </w:p>
    <w:p w14:paraId="453AA383">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14:paraId="136A1FAD">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2）索赔：按照第10.4.1项〔变更估价原则〕和第14.2.1项〔竣工结算办法〕约定执行。</w:t>
      </w:r>
    </w:p>
    <w:p w14:paraId="55C5C89D">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3）现场签证：按照第10.4.1项〔变更估价原则〕和第14.2.1项〔竣工结算办法〕约定执行。</w:t>
      </w:r>
    </w:p>
    <w:p w14:paraId="0C4D5838">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（6）罚金、违约金及其他费用：</w:t>
      </w:r>
      <w:r>
        <w:rPr>
          <w:rFonts w:hint="eastAsia" w:ascii="宋体" w:hAnsi="宋体"/>
          <w:color w:val="auto"/>
          <w:szCs w:val="21"/>
          <w:highlight w:val="none"/>
          <w:u w:val="single"/>
        </w:rPr>
        <w:t>按实进行结算</w:t>
      </w:r>
      <w:r>
        <w:rPr>
          <w:rFonts w:hint="eastAsia" w:ascii="宋体" w:hAnsi="宋体"/>
          <w:color w:val="auto"/>
          <w:szCs w:val="21"/>
          <w:highlight w:val="none"/>
        </w:rPr>
        <w:t>。</w:t>
      </w:r>
    </w:p>
    <w:p w14:paraId="77F2ADAA">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（7）规费：已标价工程量清单中规费费用按《重庆市建设工程费用定额》（CQFYDE-2018）执行。</w:t>
      </w:r>
    </w:p>
    <w:p w14:paraId="47ED282A">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14:paraId="76B2CD1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14.2.1.3竣工结算价</w:t>
      </w:r>
    </w:p>
    <w:p w14:paraId="259924C4">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bookmarkStart w:id="1836" w:name="_Hlk528660512"/>
      <w:r>
        <w:rPr>
          <w:rFonts w:hint="eastAsia" w:ascii="宋体" w:hAnsi="宋体"/>
          <w:color w:val="auto"/>
          <w:szCs w:val="21"/>
          <w:highlight w:val="none"/>
          <w:u w:val="single"/>
        </w:rPr>
        <w:t>以发包人会同跟审单位、监理人、承包人根据有效资料共同确定竣工结算金额作为合同竣工结算价</w:t>
      </w:r>
      <w:r>
        <w:rPr>
          <w:rFonts w:hint="eastAsia" w:ascii="宋体" w:hAnsi="宋体"/>
          <w:color w:val="auto"/>
          <w:szCs w:val="21"/>
          <w:highlight w:val="none"/>
        </w:rPr>
        <w:t>。</w:t>
      </w:r>
    </w:p>
    <w:bookmarkEnd w:id="1836"/>
    <w:p w14:paraId="11F323C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14.2.2 竣工结算审核期限</w:t>
      </w:r>
    </w:p>
    <w:p w14:paraId="388C84F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监理人审核竣工付款申请单的期限：</w:t>
      </w:r>
      <w:r>
        <w:rPr>
          <w:rFonts w:hint="eastAsia" w:ascii="宋体" w:hAnsi="宋体"/>
          <w:color w:val="auto"/>
          <w:szCs w:val="21"/>
          <w:highlight w:val="none"/>
          <w:u w:val="single"/>
        </w:rPr>
        <w:t xml:space="preserve">不超过 </w:t>
      </w:r>
      <w:r>
        <w:rPr>
          <w:rFonts w:hint="eastAsia" w:ascii="宋体" w:hAnsi="宋体"/>
          <w:color w:val="auto"/>
          <w:szCs w:val="21"/>
          <w:highlight w:val="none"/>
          <w:u w:val="single"/>
          <w:lang w:val="en-US" w:eastAsia="zh-CN"/>
        </w:rPr>
        <w:t>30</w:t>
      </w:r>
      <w:r>
        <w:rPr>
          <w:rFonts w:hint="eastAsia" w:ascii="宋体" w:hAnsi="宋体"/>
          <w:color w:val="auto"/>
          <w:szCs w:val="21"/>
          <w:highlight w:val="none"/>
          <w:u w:val="single"/>
        </w:rPr>
        <w:t xml:space="preserve"> 日</w:t>
      </w:r>
      <w:r>
        <w:rPr>
          <w:rFonts w:hint="eastAsia" w:ascii="宋体" w:hAnsi="宋体"/>
          <w:color w:val="auto"/>
          <w:szCs w:val="21"/>
          <w:highlight w:val="none"/>
        </w:rPr>
        <w:t>。</w:t>
      </w:r>
    </w:p>
    <w:p w14:paraId="1AC2CF2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发包人审核竣工付款申请单的期限：</w:t>
      </w:r>
      <w:r>
        <w:rPr>
          <w:rFonts w:hint="eastAsia" w:ascii="宋体" w:hAnsi="宋体"/>
          <w:color w:val="auto"/>
          <w:szCs w:val="21"/>
          <w:highlight w:val="none"/>
          <w:u w:val="single"/>
        </w:rPr>
        <w:t xml:space="preserve">不超过 </w:t>
      </w:r>
      <w:r>
        <w:rPr>
          <w:rFonts w:hint="eastAsia" w:ascii="宋体" w:hAnsi="宋体"/>
          <w:color w:val="auto"/>
          <w:szCs w:val="21"/>
          <w:highlight w:val="none"/>
          <w:u w:val="single"/>
          <w:lang w:val="en-US" w:eastAsia="zh-CN"/>
        </w:rPr>
        <w:t>60</w:t>
      </w:r>
      <w:r>
        <w:rPr>
          <w:rFonts w:hint="eastAsia" w:ascii="宋体" w:hAnsi="宋体"/>
          <w:color w:val="auto"/>
          <w:szCs w:val="21"/>
          <w:highlight w:val="none"/>
          <w:u w:val="single"/>
        </w:rPr>
        <w:t xml:space="preserve"> 日</w:t>
      </w:r>
      <w:r>
        <w:rPr>
          <w:rFonts w:hint="eastAsia" w:ascii="宋体" w:hAnsi="宋体"/>
          <w:color w:val="auto"/>
          <w:szCs w:val="21"/>
          <w:highlight w:val="none"/>
        </w:rPr>
        <w:t>。</w:t>
      </w:r>
    </w:p>
    <w:p w14:paraId="1A29BB6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发包人完成竣工付款的期限：</w:t>
      </w:r>
      <w:r>
        <w:rPr>
          <w:rFonts w:hint="eastAsia" w:ascii="宋体" w:hAnsi="宋体"/>
          <w:color w:val="auto"/>
          <w:szCs w:val="21"/>
          <w:highlight w:val="none"/>
          <w:u w:val="single"/>
        </w:rPr>
        <w:t xml:space="preserve">完成竣工付款申请单审核后 </w:t>
      </w:r>
      <w:r>
        <w:rPr>
          <w:rFonts w:hint="eastAsia" w:ascii="宋体" w:hAnsi="宋体"/>
          <w:color w:val="auto"/>
          <w:szCs w:val="21"/>
          <w:highlight w:val="none"/>
          <w:u w:val="single"/>
          <w:lang w:val="en-US" w:eastAsia="zh-CN"/>
        </w:rPr>
        <w:t>60</w:t>
      </w:r>
      <w:r>
        <w:rPr>
          <w:rFonts w:hint="eastAsia" w:ascii="宋体" w:hAnsi="宋体"/>
          <w:color w:val="auto"/>
          <w:szCs w:val="21"/>
          <w:highlight w:val="none"/>
          <w:u w:val="single"/>
        </w:rPr>
        <w:t>天内</w:t>
      </w:r>
      <w:r>
        <w:rPr>
          <w:rFonts w:hint="eastAsia" w:ascii="宋体" w:hAnsi="宋体"/>
          <w:color w:val="auto"/>
          <w:szCs w:val="21"/>
          <w:highlight w:val="none"/>
        </w:rPr>
        <w:t>。</w:t>
      </w:r>
    </w:p>
    <w:p w14:paraId="29E20C7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关于竣工付款证书异议部分复核的方式和程序： 按照第20条〔争议解决〕约定处理。</w:t>
      </w:r>
    </w:p>
    <w:p w14:paraId="6E2E3C3F">
      <w:pPr>
        <w:pStyle w:val="7"/>
        <w:spacing w:before="0" w:beforeAutospacing="0" w:after="0" w:afterAutospacing="0" w:line="360" w:lineRule="auto"/>
        <w:ind w:firstLine="422" w:firstLineChars="200"/>
        <w:rPr>
          <w:color w:val="auto"/>
          <w:sz w:val="21"/>
          <w:szCs w:val="21"/>
          <w:highlight w:val="none"/>
        </w:rPr>
      </w:pPr>
      <w:bookmarkStart w:id="1837" w:name="_Toc532377396"/>
      <w:bookmarkStart w:id="1838" w:name="_Toc532375659"/>
      <w:r>
        <w:rPr>
          <w:rFonts w:hint="eastAsia"/>
          <w:color w:val="auto"/>
          <w:sz w:val="21"/>
          <w:szCs w:val="21"/>
          <w:highlight w:val="none"/>
        </w:rPr>
        <w:t>14.4 最终结清</w:t>
      </w:r>
      <w:bookmarkEnd w:id="1837"/>
      <w:bookmarkEnd w:id="1838"/>
    </w:p>
    <w:p w14:paraId="1ADA45F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14.4.1 最终结清申请单</w:t>
      </w:r>
    </w:p>
    <w:p w14:paraId="06587F1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承包人提交最终结清申请单的份数：</w:t>
      </w:r>
      <w:r>
        <w:rPr>
          <w:rFonts w:hint="eastAsia" w:ascii="宋体" w:hAnsi="宋体"/>
          <w:color w:val="auto"/>
          <w:szCs w:val="21"/>
          <w:highlight w:val="none"/>
          <w:u w:val="single"/>
        </w:rPr>
        <w:t>3份</w:t>
      </w:r>
      <w:r>
        <w:rPr>
          <w:rFonts w:hint="eastAsia" w:ascii="宋体" w:hAnsi="宋体"/>
          <w:color w:val="auto"/>
          <w:szCs w:val="21"/>
          <w:highlight w:val="none"/>
        </w:rPr>
        <w:t>。</w:t>
      </w:r>
    </w:p>
    <w:p w14:paraId="5332D7A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承包人提交最终结算申请单的期限：</w:t>
      </w:r>
      <w:r>
        <w:rPr>
          <w:rFonts w:hint="eastAsia" w:ascii="宋体" w:hAnsi="宋体"/>
          <w:color w:val="auto"/>
          <w:szCs w:val="21"/>
          <w:highlight w:val="none"/>
          <w:u w:val="single"/>
        </w:rPr>
        <w:t>缺陷责任期终止证书颁发后14天内</w:t>
      </w:r>
      <w:r>
        <w:rPr>
          <w:rFonts w:hint="eastAsia" w:ascii="宋体" w:hAnsi="宋体"/>
          <w:color w:val="auto"/>
          <w:szCs w:val="21"/>
          <w:highlight w:val="none"/>
        </w:rPr>
        <w:t>。</w:t>
      </w:r>
    </w:p>
    <w:p w14:paraId="41FAFD5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14.4.2 最终结清证书和支付</w:t>
      </w:r>
    </w:p>
    <w:p w14:paraId="24684CD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（1）发包人完成最终结清申请单的审批并颁发最终结清证书的期限：</w:t>
      </w:r>
      <w:r>
        <w:rPr>
          <w:rFonts w:hint="eastAsia" w:ascii="宋体" w:hAnsi="宋体"/>
          <w:color w:val="auto"/>
          <w:szCs w:val="21"/>
          <w:highlight w:val="none"/>
          <w:u w:val="single"/>
        </w:rPr>
        <w:t>发包人收到完整资料后14天内完成审批并颁发最终结清证书</w:t>
      </w:r>
      <w:r>
        <w:rPr>
          <w:rFonts w:hint="eastAsia" w:ascii="宋体" w:hAnsi="宋体"/>
          <w:color w:val="auto"/>
          <w:szCs w:val="21"/>
          <w:highlight w:val="none"/>
        </w:rPr>
        <w:t>。</w:t>
      </w:r>
    </w:p>
    <w:p w14:paraId="7561AC8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（2）发包人完成支付的期限：</w:t>
      </w:r>
      <w:r>
        <w:rPr>
          <w:rFonts w:hint="eastAsia" w:ascii="宋体" w:hAnsi="宋体"/>
          <w:color w:val="auto"/>
          <w:szCs w:val="21"/>
          <w:highlight w:val="none"/>
          <w:u w:val="single"/>
        </w:rPr>
        <w:t>颁发最终结清证书的14天内</w:t>
      </w:r>
      <w:r>
        <w:rPr>
          <w:rFonts w:hint="eastAsia" w:ascii="宋体" w:hAnsi="宋体"/>
          <w:color w:val="auto"/>
          <w:szCs w:val="21"/>
          <w:highlight w:val="none"/>
        </w:rPr>
        <w:t>。</w:t>
      </w:r>
    </w:p>
    <w:p w14:paraId="19DE95F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本条补充14.5款：</w:t>
      </w:r>
    </w:p>
    <w:bookmarkEnd w:id="1798"/>
    <w:bookmarkEnd w:id="1799"/>
    <w:bookmarkEnd w:id="1800"/>
    <w:bookmarkEnd w:id="1801"/>
    <w:bookmarkEnd w:id="1802"/>
    <w:bookmarkEnd w:id="1803"/>
    <w:bookmarkEnd w:id="1804"/>
    <w:bookmarkEnd w:id="1805"/>
    <w:p w14:paraId="311D8C64">
      <w:pPr>
        <w:pStyle w:val="7"/>
        <w:spacing w:before="0" w:beforeAutospacing="0" w:after="0" w:afterAutospacing="0" w:line="360" w:lineRule="auto"/>
        <w:ind w:firstLine="422" w:firstLineChars="200"/>
        <w:rPr>
          <w:color w:val="auto"/>
          <w:sz w:val="21"/>
          <w:szCs w:val="21"/>
          <w:highlight w:val="none"/>
        </w:rPr>
      </w:pPr>
      <w:bookmarkStart w:id="1839" w:name="_Toc532375660"/>
      <w:bookmarkStart w:id="1840" w:name="_Toc532377397"/>
      <w:r>
        <w:rPr>
          <w:rFonts w:hint="eastAsia"/>
          <w:color w:val="auto"/>
          <w:sz w:val="21"/>
          <w:szCs w:val="21"/>
          <w:highlight w:val="none"/>
        </w:rPr>
        <w:t>14.5 逾期办理或不配合办理竣工结算的处理</w:t>
      </w:r>
      <w:bookmarkEnd w:id="1839"/>
      <w:bookmarkEnd w:id="1840"/>
    </w:p>
    <w:p w14:paraId="0C93EF7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有下列情形之一的，视为承包人放弃与发包人共同办理竣工结算的权利，发包人有权会同跟审单位、监理人根据有效资料共同确定竣工结算金额。</w:t>
      </w:r>
    </w:p>
    <w:p w14:paraId="570B6B0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（1）承包人逾期未报送竣工结算资料，亦未获得发包人批准延期报送，经发包人两</w:t>
      </w:r>
      <w:bookmarkStart w:id="1841" w:name="_Hlk529133622"/>
      <w:r>
        <w:rPr>
          <w:rFonts w:hint="eastAsia" w:ascii="宋体" w:hAnsi="宋体"/>
          <w:color w:val="auto"/>
          <w:szCs w:val="21"/>
          <w:highlight w:val="none"/>
        </w:rPr>
        <w:t>次书面催告仍未在限期内报送的</w:t>
      </w:r>
      <w:bookmarkEnd w:id="1841"/>
      <w:r>
        <w:rPr>
          <w:rFonts w:hint="eastAsia" w:ascii="宋体" w:hAnsi="宋体"/>
          <w:color w:val="auto"/>
          <w:szCs w:val="21"/>
          <w:highlight w:val="none"/>
        </w:rPr>
        <w:t>；</w:t>
      </w:r>
    </w:p>
    <w:p w14:paraId="120750D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14:paraId="30DF9A4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（3）承包人不配合发包人、跟审单位、监理人、发包人委托的工程造价咨询服务单位办理竣工结算的，经发包人两次书面函告仍未改正的。</w:t>
      </w:r>
    </w:p>
    <w:p w14:paraId="156A99A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6044311">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color w:val="auto"/>
          <w:szCs w:val="21"/>
          <w:highlight w:val="none"/>
        </w:rPr>
        <w:t>。</w:t>
      </w:r>
    </w:p>
    <w:bookmarkEnd w:id="1516"/>
    <w:bookmarkEnd w:id="1517"/>
    <w:bookmarkEnd w:id="1518"/>
    <w:bookmarkEnd w:id="1519"/>
    <w:bookmarkEnd w:id="1520"/>
    <w:bookmarkEnd w:id="1521"/>
    <w:bookmarkEnd w:id="1522"/>
    <w:bookmarkEnd w:id="1523"/>
    <w:p w14:paraId="4A0B29E7">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842" w:name="_Toc532377398"/>
      <w:bookmarkStart w:id="1843" w:name="_Toc351203647"/>
      <w:bookmarkStart w:id="1844" w:name="_Toc532375661"/>
      <w:bookmarkStart w:id="1845" w:name="_Toc267251483"/>
      <w:bookmarkStart w:id="1846" w:name="_Toc280868717"/>
      <w:bookmarkStart w:id="1847" w:name="_Toc280868718"/>
      <w:r>
        <w:rPr>
          <w:rFonts w:hint="eastAsia"/>
          <w:color w:val="auto"/>
          <w:kern w:val="2"/>
          <w:sz w:val="21"/>
          <w:szCs w:val="21"/>
          <w:highlight w:val="none"/>
        </w:rPr>
        <w:t>15. 缺陷责任期与保修</w:t>
      </w:r>
      <w:bookmarkEnd w:id="1842"/>
      <w:bookmarkEnd w:id="1843"/>
      <w:bookmarkEnd w:id="1844"/>
    </w:p>
    <w:bookmarkEnd w:id="1845"/>
    <w:p w14:paraId="41617414">
      <w:pPr>
        <w:pStyle w:val="7"/>
        <w:spacing w:before="0" w:beforeAutospacing="0" w:after="0" w:afterAutospacing="0" w:line="360" w:lineRule="auto"/>
        <w:ind w:firstLine="422" w:firstLineChars="200"/>
        <w:rPr>
          <w:color w:val="auto"/>
          <w:sz w:val="21"/>
          <w:szCs w:val="21"/>
          <w:highlight w:val="none"/>
        </w:rPr>
      </w:pPr>
      <w:bookmarkStart w:id="1848" w:name="_Toc532377399"/>
      <w:bookmarkStart w:id="1849" w:name="_Toc532375662"/>
      <w:r>
        <w:rPr>
          <w:rFonts w:hint="eastAsia"/>
          <w:color w:val="auto"/>
          <w:sz w:val="21"/>
          <w:szCs w:val="21"/>
          <w:highlight w:val="none"/>
        </w:rPr>
        <w:t>15.3 质量保证金</w:t>
      </w:r>
      <w:bookmarkEnd w:id="1848"/>
      <w:bookmarkEnd w:id="1849"/>
    </w:p>
    <w:p w14:paraId="7AA4FEA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15.3.1 承包人提供质量保证金的方式</w:t>
      </w:r>
    </w:p>
    <w:p w14:paraId="76DFA2E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质量保证金采用以下第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14:paraId="50D88C8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（1）质量保证金保函</w:t>
      </w:r>
    </w:p>
    <w:p w14:paraId="4A9CCEAB">
      <w:pPr>
        <w:spacing w:line="360" w:lineRule="auto"/>
        <w:ind w:right="105" w:rightChars="50"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u w:val="none"/>
        </w:rPr>
        <w:t>1）</w:t>
      </w:r>
      <w:r>
        <w:rPr>
          <w:rFonts w:hint="eastAsia" w:ascii="宋体" w:hAnsi="宋体"/>
          <w:color w:val="auto"/>
          <w:szCs w:val="21"/>
          <w:highlight w:val="none"/>
          <w:u w:val="none"/>
          <w:lang w:val="en-US" w:eastAsia="zh-CN"/>
        </w:rPr>
        <w:t>缴纳形式：</w:t>
      </w:r>
      <w:r>
        <w:rPr>
          <w:rFonts w:hint="eastAsia" w:ascii="宋体" w:hAnsi="宋体"/>
          <w:color w:val="auto"/>
          <w:kern w:val="0"/>
          <w:szCs w:val="21"/>
          <w:highlight w:val="none"/>
          <w:u w:val="none"/>
          <w:lang w:val="en-US" w:eastAsia="zh-CN"/>
        </w:rPr>
        <w:t>质量保证金</w:t>
      </w:r>
      <w:r>
        <w:rPr>
          <w:rFonts w:hint="eastAsia" w:ascii="宋体" w:hAnsi="宋体"/>
          <w:color w:val="auto"/>
          <w:kern w:val="0"/>
          <w:szCs w:val="21"/>
          <w:highlight w:val="none"/>
          <w:u w:val="none"/>
        </w:rPr>
        <w:t>保函包括银行保函、保证保险和担保保函</w:t>
      </w:r>
      <w:r>
        <w:rPr>
          <w:rFonts w:hint="eastAsia" w:ascii="宋体" w:hAnsi="宋体"/>
          <w:color w:val="auto"/>
          <w:szCs w:val="21"/>
          <w:highlight w:val="none"/>
          <w:u w:val="none"/>
          <w:lang w:eastAsia="zh-CN"/>
        </w:rPr>
        <w:t>，</w:t>
      </w:r>
      <w:r>
        <w:rPr>
          <w:rFonts w:hint="eastAsia" w:ascii="宋体" w:hAnsi="宋体"/>
          <w:color w:val="auto"/>
          <w:szCs w:val="21"/>
          <w:highlight w:val="none"/>
          <w:u w:val="none"/>
          <w:lang w:val="en-US" w:eastAsia="zh-CN"/>
        </w:rPr>
        <w:t>其示范文本详见合同附件</w:t>
      </w:r>
      <w:r>
        <w:rPr>
          <w:rFonts w:hint="eastAsia" w:ascii="宋体" w:hAnsi="宋体"/>
          <w:color w:val="auto"/>
          <w:szCs w:val="21"/>
          <w:highlight w:val="none"/>
          <w:u w:val="none"/>
          <w:lang w:eastAsia="zh-CN"/>
        </w:rPr>
        <w:t>。</w:t>
      </w:r>
      <w:r>
        <w:rPr>
          <w:rFonts w:hint="eastAsia" w:ascii="宋体" w:hAnsi="宋体"/>
          <w:color w:val="auto"/>
          <w:kern w:val="0"/>
          <w:szCs w:val="21"/>
          <w:highlight w:val="none"/>
          <w:u w:val="none"/>
          <w:lang w:val="en-US" w:eastAsia="zh-CN"/>
        </w:rPr>
        <w:t>承包人提交的质量保证金</w:t>
      </w:r>
      <w:r>
        <w:rPr>
          <w:rFonts w:hint="eastAsia" w:ascii="宋体" w:hAnsi="宋体"/>
          <w:color w:val="auto"/>
          <w:kern w:val="0"/>
          <w:szCs w:val="21"/>
          <w:highlight w:val="none"/>
          <w:u w:val="none"/>
        </w:rPr>
        <w:t>保函</w:t>
      </w:r>
      <w:r>
        <w:rPr>
          <w:rFonts w:hint="eastAsia" w:ascii="宋体" w:hAnsi="宋体"/>
          <w:color w:val="auto"/>
          <w:kern w:val="0"/>
          <w:szCs w:val="21"/>
          <w:highlight w:val="none"/>
          <w:u w:val="none"/>
          <w:lang w:val="en-US" w:eastAsia="zh-CN"/>
        </w:rPr>
        <w:t>应</w:t>
      </w:r>
      <w:r>
        <w:rPr>
          <w:rFonts w:hint="eastAsia" w:ascii="宋体" w:hAnsi="宋体"/>
          <w:color w:val="auto"/>
          <w:kern w:val="0"/>
          <w:szCs w:val="21"/>
          <w:highlight w:val="none"/>
          <w:u w:val="none"/>
        </w:rPr>
        <w:t>严格执行</w:t>
      </w:r>
      <w:r>
        <w:rPr>
          <w:rFonts w:hint="eastAsia" w:ascii="宋体" w:hAnsi="宋体"/>
          <w:color w:val="auto"/>
          <w:kern w:val="0"/>
          <w:szCs w:val="21"/>
          <w:highlight w:val="none"/>
          <w:u w:val="none"/>
          <w:lang w:val="en-US" w:eastAsia="zh-CN"/>
        </w:rPr>
        <w:t>其</w:t>
      </w:r>
      <w:r>
        <w:rPr>
          <w:rFonts w:hint="eastAsia" w:ascii="宋体" w:hAnsi="宋体"/>
          <w:color w:val="auto"/>
          <w:kern w:val="0"/>
          <w:szCs w:val="21"/>
          <w:highlight w:val="none"/>
          <w:u w:val="none"/>
        </w:rPr>
        <w:t>示范文本，不得对示范文本中的实质性内容进行修改</w:t>
      </w:r>
      <w:r>
        <w:rPr>
          <w:rFonts w:hint="eastAsia" w:ascii="宋体" w:hAnsi="宋体"/>
          <w:color w:val="auto"/>
          <w:szCs w:val="21"/>
          <w:highlight w:val="none"/>
          <w:u w:val="none"/>
          <w:lang w:eastAsia="zh-CN"/>
        </w:rPr>
        <w:t>。</w:t>
      </w:r>
    </w:p>
    <w:p w14:paraId="45CEE53A">
      <w:pPr>
        <w:spacing w:line="360" w:lineRule="auto"/>
        <w:ind w:right="105" w:rightChars="50"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2）具体要求：</w:t>
      </w:r>
      <w:r>
        <w:rPr>
          <w:rFonts w:hint="eastAsia" w:ascii="宋体" w:hAnsi="宋体"/>
          <w:color w:val="auto"/>
          <w:kern w:val="0"/>
          <w:szCs w:val="21"/>
          <w:highlight w:val="none"/>
          <w:lang w:val="en-US" w:eastAsia="zh-CN"/>
        </w:rPr>
        <w:t>质量保证金</w:t>
      </w:r>
      <w:r>
        <w:rPr>
          <w:rFonts w:hint="eastAsia" w:ascii="宋体" w:hAnsi="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质量保证金</w:t>
      </w:r>
      <w:r>
        <w:rPr>
          <w:rFonts w:hint="eastAsia" w:ascii="宋体" w:hAnsi="宋体"/>
          <w:color w:val="auto"/>
          <w:kern w:val="0"/>
          <w:szCs w:val="21"/>
          <w:highlight w:val="none"/>
        </w:rPr>
        <w:t>保函</w:t>
      </w:r>
      <w:r>
        <w:rPr>
          <w:rFonts w:hint="eastAsia" w:ascii="宋体" w:hAnsi="宋体"/>
          <w:color w:val="auto"/>
          <w:kern w:val="0"/>
          <w:szCs w:val="21"/>
          <w:highlight w:val="none"/>
          <w:lang w:eastAsia="zh-CN"/>
        </w:rPr>
        <w:t>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承包人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质量保证金</w:t>
      </w:r>
      <w:r>
        <w:rPr>
          <w:rFonts w:hint="eastAsia" w:ascii="宋体" w:hAnsi="宋体"/>
          <w:color w:val="auto"/>
          <w:kern w:val="0"/>
          <w:szCs w:val="21"/>
          <w:highlight w:val="none"/>
        </w:rPr>
        <w:t>保函</w:t>
      </w:r>
      <w:r>
        <w:rPr>
          <w:rFonts w:hint="eastAsia" w:ascii="宋体" w:hAnsi="宋体"/>
          <w:color w:val="auto"/>
          <w:kern w:val="0"/>
          <w:szCs w:val="21"/>
          <w:highlight w:val="none"/>
          <w:lang w:val="en-US" w:eastAsia="zh-CN"/>
        </w:rPr>
        <w:t>（包括纸质保函或电子保函）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质量保证金</w:t>
      </w:r>
      <w:r>
        <w:rPr>
          <w:rFonts w:hint="eastAsia" w:ascii="宋体" w:hAnsi="宋体"/>
          <w:color w:val="auto"/>
          <w:kern w:val="0"/>
          <w:szCs w:val="21"/>
          <w:highlight w:val="none"/>
        </w:rPr>
        <w:t>保函</w:t>
      </w:r>
      <w:r>
        <w:rPr>
          <w:rFonts w:hint="eastAsia" w:ascii="宋体" w:hAnsi="宋体"/>
          <w:color w:val="auto"/>
          <w:kern w:val="0"/>
          <w:szCs w:val="21"/>
          <w:highlight w:val="none"/>
          <w:lang w:val="en-US" w:eastAsia="zh-CN"/>
        </w:rPr>
        <w:t>为纸质保函的，纸质保函应注明在</w:t>
      </w:r>
      <w:r>
        <w:rPr>
          <w:rFonts w:hint="eastAsia" w:ascii="宋体" w:hAnsi="宋体"/>
          <w:color w:val="auto"/>
          <w:kern w:val="0"/>
          <w:szCs w:val="21"/>
          <w:highlight w:val="none"/>
        </w:rPr>
        <w:t>重庆市辖区范围内的核验地址和核验方式</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并确保该纸质保函能在开立人在渝的总部或者分支机构进行核验</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承包人对所提交的质量保证金</w:t>
      </w:r>
      <w:r>
        <w:rPr>
          <w:rFonts w:hint="eastAsia" w:ascii="宋体" w:hAnsi="宋体"/>
          <w:color w:val="auto"/>
          <w:kern w:val="0"/>
          <w:szCs w:val="21"/>
          <w:highlight w:val="none"/>
        </w:rPr>
        <w:t>保函</w:t>
      </w:r>
      <w:r>
        <w:rPr>
          <w:rFonts w:hint="eastAsia" w:ascii="宋体" w:hAnsi="宋体"/>
          <w:color w:val="auto"/>
          <w:kern w:val="0"/>
          <w:szCs w:val="21"/>
          <w:highlight w:val="none"/>
          <w:lang w:val="en-US" w:eastAsia="zh-CN"/>
        </w:rPr>
        <w:t>的真实性、合法性、有效性负责。</w:t>
      </w:r>
    </w:p>
    <w:p w14:paraId="4B78152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3）保函金额为：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78DD4B2">
      <w:pPr>
        <w:spacing w:line="360" w:lineRule="auto"/>
        <w:ind w:right="105" w:rightChars="50" w:firstLine="420" w:firstLineChars="200"/>
        <w:jc w:val="left"/>
        <w:rPr>
          <w:rFonts w:ascii="宋体" w:hAnsi="宋体"/>
          <w:color w:val="auto"/>
          <w:szCs w:val="21"/>
          <w:highlight w:val="none"/>
        </w:rPr>
      </w:pPr>
      <w:r>
        <w:rPr>
          <w:rFonts w:hint="default" w:ascii="宋体" w:hAnsi="宋体"/>
          <w:color w:val="auto"/>
          <w:szCs w:val="21"/>
          <w:highlight w:val="none"/>
          <w:lang w:val="en-US"/>
        </w:rPr>
        <w:t>4</w:t>
      </w:r>
      <w:r>
        <w:rPr>
          <w:rFonts w:hint="eastAsia" w:ascii="宋体" w:hAnsi="宋体"/>
          <w:color w:val="auto"/>
          <w:szCs w:val="21"/>
          <w:highlight w:val="none"/>
        </w:rPr>
        <w:t>）提交时间：</w:t>
      </w:r>
      <w:r>
        <w:rPr>
          <w:rFonts w:hint="eastAsia" w:ascii="宋体" w:hAnsi="宋体"/>
          <w:color w:val="auto"/>
          <w:szCs w:val="21"/>
          <w:highlight w:val="none"/>
          <w:u w:val="single"/>
        </w:rPr>
        <w:t>工程竣工验收合格后14天内</w:t>
      </w:r>
      <w:r>
        <w:rPr>
          <w:rFonts w:hint="eastAsia" w:ascii="宋体" w:hAnsi="宋体"/>
          <w:color w:val="auto"/>
          <w:szCs w:val="21"/>
          <w:highlight w:val="none"/>
        </w:rPr>
        <w:t>。</w:t>
      </w:r>
    </w:p>
    <w:p w14:paraId="5385939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承包人提交质量保证金保函的，发包人应同时退还（若有）扣留的作为质量保证金的工程价款、履约担保、低价风险担保；保函金额不得超过工程价款结算总额的3%</w:t>
      </w:r>
      <w:r>
        <w:rPr>
          <w:rFonts w:hint="eastAsia" w:ascii="宋体" w:hAnsi="宋体"/>
          <w:color w:val="auto"/>
          <w:szCs w:val="21"/>
          <w:highlight w:val="none"/>
        </w:rPr>
        <w:t>。</w:t>
      </w:r>
    </w:p>
    <w:p w14:paraId="4F54E2B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（2）竣工结算价的</w:t>
      </w:r>
      <w:r>
        <w:rPr>
          <w:rFonts w:hint="eastAsia" w:ascii="宋体" w:hAnsi="宋体"/>
          <w:color w:val="auto"/>
          <w:szCs w:val="21"/>
          <w:highlight w:val="none"/>
          <w:u w:val="single"/>
        </w:rPr>
        <w:t xml:space="preserve"> 3% </w:t>
      </w:r>
      <w:r>
        <w:rPr>
          <w:rFonts w:hint="eastAsia" w:ascii="宋体" w:hAnsi="宋体"/>
          <w:color w:val="auto"/>
          <w:szCs w:val="21"/>
          <w:highlight w:val="none"/>
        </w:rPr>
        <w:t>；</w:t>
      </w:r>
    </w:p>
    <w:p w14:paraId="7915014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（3）其他方式：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65DF7B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15.3.2 质量保证金的扣留</w:t>
      </w:r>
    </w:p>
    <w:p w14:paraId="74EA768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质量保证金的扣留采取以下第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14:paraId="5AEFD99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（1）在支付工程进度款时逐次扣留，在此情形下，质量保证金的计算基数不包括预付款的支付、扣回以及价格调整的金额；</w:t>
      </w:r>
    </w:p>
    <w:p w14:paraId="07D2A92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（2）工程竣工结算时一次性扣留质量保证金；</w:t>
      </w:r>
    </w:p>
    <w:p w14:paraId="45BACFD5">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w:t>
      </w:r>
      <w:r>
        <w:rPr>
          <w:rFonts w:hint="eastAsia" w:ascii="宋体" w:hAnsi="宋体"/>
          <w:color w:val="auto"/>
          <w:szCs w:val="21"/>
          <w:highlight w:val="none"/>
          <w:u w:val="single"/>
        </w:rPr>
        <w:t xml:space="preserve">其他扣留方式：        </w:t>
      </w:r>
      <w:r>
        <w:rPr>
          <w:rFonts w:hint="eastAsia" w:ascii="宋体" w:hAnsi="宋体"/>
          <w:color w:val="auto"/>
          <w:szCs w:val="21"/>
          <w:highlight w:val="none"/>
        </w:rPr>
        <w:t>。</w:t>
      </w:r>
    </w:p>
    <w:p w14:paraId="5B08757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15.3.3质量保证金的退还</w:t>
      </w:r>
    </w:p>
    <w:p w14:paraId="7DC5130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（1）在发包人颁发缺陷责任期终止证书之日起14天内退还。</w:t>
      </w:r>
    </w:p>
    <w:p w14:paraId="1E9AF05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（2）缺陷责任期内，承包人认真履行合同约定的责任，到期后，承包人可向发包人申请返还质量保证金。</w:t>
      </w:r>
    </w:p>
    <w:p w14:paraId="3CDA222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（3）质量保证金是否支付利息采取以下</w:t>
      </w:r>
      <w:r>
        <w:rPr>
          <w:rFonts w:hint="eastAsia" w:ascii="宋体" w:hAnsi="宋体"/>
          <w:color w:val="auto"/>
          <w:szCs w:val="21"/>
          <w:highlight w:val="none"/>
          <w:u w:val="single"/>
        </w:rPr>
        <w:t>第②种</w:t>
      </w:r>
      <w:r>
        <w:rPr>
          <w:rFonts w:hint="eastAsia" w:ascii="宋体" w:hAnsi="宋体"/>
          <w:color w:val="auto"/>
          <w:szCs w:val="21"/>
          <w:highlight w:val="none"/>
        </w:rPr>
        <w:t>方式：</w:t>
      </w:r>
    </w:p>
    <w:p w14:paraId="1705D20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①按照中国人民银行  年  月公布的5年期贷款市场报价利率支付利息</w:t>
      </w:r>
      <w:r>
        <w:rPr>
          <w:rFonts w:hint="eastAsia" w:ascii="宋体" w:hAnsi="宋体"/>
          <w:color w:val="auto"/>
          <w:szCs w:val="21"/>
          <w:highlight w:val="none"/>
        </w:rPr>
        <w:t>。</w:t>
      </w:r>
    </w:p>
    <w:p w14:paraId="55AD5EA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②</w:t>
      </w:r>
      <w:r>
        <w:rPr>
          <w:rFonts w:hint="eastAsia" w:ascii="宋体" w:hAnsi="宋体"/>
          <w:color w:val="auto"/>
          <w:szCs w:val="21"/>
          <w:highlight w:val="none"/>
          <w:u w:val="single"/>
          <w:lang w:eastAsia="zh-CN"/>
        </w:rPr>
        <w:t>不计息</w:t>
      </w:r>
      <w:r>
        <w:rPr>
          <w:rFonts w:hint="eastAsia" w:ascii="宋体" w:hAnsi="宋体"/>
          <w:color w:val="auto"/>
          <w:szCs w:val="21"/>
          <w:highlight w:val="none"/>
        </w:rPr>
        <w:t>。</w:t>
      </w:r>
    </w:p>
    <w:p w14:paraId="16E060E0">
      <w:pPr>
        <w:pStyle w:val="7"/>
        <w:spacing w:before="0" w:beforeAutospacing="0" w:after="0" w:afterAutospacing="0" w:line="360" w:lineRule="auto"/>
        <w:ind w:firstLine="422" w:firstLineChars="200"/>
        <w:rPr>
          <w:color w:val="auto"/>
          <w:sz w:val="21"/>
          <w:szCs w:val="21"/>
          <w:highlight w:val="none"/>
        </w:rPr>
      </w:pPr>
      <w:bookmarkStart w:id="1850" w:name="_Toc532375663"/>
      <w:bookmarkStart w:id="1851" w:name="_Toc532377400"/>
      <w:r>
        <w:rPr>
          <w:rFonts w:hint="eastAsia"/>
          <w:color w:val="auto"/>
          <w:sz w:val="21"/>
          <w:szCs w:val="21"/>
          <w:highlight w:val="none"/>
        </w:rPr>
        <w:t>15.4 保修</w:t>
      </w:r>
      <w:bookmarkEnd w:id="1850"/>
      <w:bookmarkEnd w:id="1851"/>
    </w:p>
    <w:p w14:paraId="53E542A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15.4.1 保修责任</w:t>
      </w:r>
    </w:p>
    <w:p w14:paraId="4CA7430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工程保修期为：</w:t>
      </w:r>
      <w:bookmarkStart w:id="1852" w:name="_Hlk524381274"/>
      <w:r>
        <w:rPr>
          <w:rFonts w:hint="eastAsia" w:ascii="宋体" w:hAnsi="宋体"/>
          <w:color w:val="auto"/>
          <w:szCs w:val="21"/>
          <w:highlight w:val="none"/>
        </w:rPr>
        <w:t>按照附件1《工程质量保修书》的规定执行。</w:t>
      </w:r>
      <w:bookmarkEnd w:id="1852"/>
    </w:p>
    <w:p w14:paraId="0F8A21F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15.4.3 修复通知</w:t>
      </w:r>
    </w:p>
    <w:p w14:paraId="5DA9377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承包人收到保修通知并到达工程现场的合理时间：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24</w:t>
      </w:r>
      <w:r>
        <w:rPr>
          <w:rFonts w:hint="eastAsia" w:ascii="宋体" w:hAnsi="宋体"/>
          <w:color w:val="auto"/>
          <w:szCs w:val="21"/>
          <w:highlight w:val="none"/>
          <w:u w:val="single"/>
        </w:rPr>
        <w:t>小时内，最长不能超过</w:t>
      </w:r>
      <w:r>
        <w:rPr>
          <w:rFonts w:hint="eastAsia" w:ascii="宋体" w:hAnsi="宋体"/>
          <w:color w:val="auto"/>
          <w:szCs w:val="21"/>
          <w:highlight w:val="none"/>
          <w:u w:val="single"/>
          <w:lang w:val="en-US" w:eastAsia="zh-CN"/>
        </w:rPr>
        <w:t>48</w:t>
      </w:r>
      <w:r>
        <w:rPr>
          <w:rFonts w:hint="eastAsia" w:ascii="宋体" w:hAnsi="宋体"/>
          <w:color w:val="auto"/>
          <w:szCs w:val="21"/>
          <w:highlight w:val="none"/>
          <w:u w:val="single"/>
        </w:rPr>
        <w:t>小时</w:t>
      </w:r>
      <w:r>
        <w:rPr>
          <w:rFonts w:hint="eastAsia" w:ascii="宋体" w:hAnsi="宋体"/>
          <w:color w:val="auto"/>
          <w:szCs w:val="21"/>
          <w:highlight w:val="none"/>
        </w:rPr>
        <w:t>。</w:t>
      </w:r>
    </w:p>
    <w:p w14:paraId="08232664">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853" w:name="_Toc532375664"/>
      <w:bookmarkStart w:id="1854" w:name="_Toc532377401"/>
      <w:bookmarkStart w:id="1855" w:name="_Toc351203648"/>
      <w:r>
        <w:rPr>
          <w:rFonts w:hint="eastAsia"/>
          <w:color w:val="auto"/>
          <w:kern w:val="2"/>
          <w:sz w:val="21"/>
          <w:szCs w:val="21"/>
          <w:highlight w:val="none"/>
        </w:rPr>
        <w:t>16. 违约</w:t>
      </w:r>
      <w:bookmarkEnd w:id="1853"/>
      <w:bookmarkEnd w:id="1854"/>
      <w:bookmarkEnd w:id="1855"/>
    </w:p>
    <w:p w14:paraId="4BBF0983">
      <w:pPr>
        <w:pStyle w:val="7"/>
        <w:spacing w:before="0" w:beforeAutospacing="0" w:after="0" w:afterAutospacing="0" w:line="360" w:lineRule="auto"/>
        <w:ind w:firstLine="422" w:firstLineChars="200"/>
        <w:rPr>
          <w:color w:val="auto"/>
          <w:sz w:val="21"/>
          <w:szCs w:val="21"/>
          <w:highlight w:val="none"/>
        </w:rPr>
      </w:pPr>
      <w:bookmarkStart w:id="1856" w:name="_Toc532377402"/>
      <w:r>
        <w:rPr>
          <w:rFonts w:hint="eastAsia"/>
          <w:color w:val="auto"/>
          <w:sz w:val="21"/>
          <w:szCs w:val="21"/>
          <w:highlight w:val="none"/>
        </w:rPr>
        <w:t>16.1 发包人违约</w:t>
      </w:r>
      <w:bookmarkEnd w:id="1856"/>
    </w:p>
    <w:p w14:paraId="4A6301A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16.1.1 发包人违约的情形</w:t>
      </w:r>
    </w:p>
    <w:p w14:paraId="2F1183BB">
      <w:pPr>
        <w:spacing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除通用合同条款约定外，发包人违约的其他情形：</w:t>
      </w:r>
    </w:p>
    <w:p w14:paraId="23F09082">
      <w:pPr>
        <w:spacing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（1）根据专用合同条款7.5.1项因发包人原因导致工期延误的；</w:t>
      </w:r>
    </w:p>
    <w:p w14:paraId="2F90D5F7">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（2）因发包人原因未能及时办理完毕合同约定的许可、批准或备案的；</w:t>
      </w:r>
    </w:p>
    <w:p w14:paraId="5EE986C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（3）因监理人未能按合同约定发出指示、指示延误或发出了错误指示而导致承包人费用增加和（或）工期延误的；</w:t>
      </w:r>
    </w:p>
    <w:p w14:paraId="6ADAB3A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（4）根据5.3.3发包人或监理人要求重新检查的，经检查证明工程质量符合合同要求的，并由此产生增加的费用和（或）延误的工期的；</w:t>
      </w:r>
    </w:p>
    <w:p w14:paraId="6F367EDA">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（5）因发包人原因造成工程质量未达到合同约定标准的；</w:t>
      </w:r>
    </w:p>
    <w:p w14:paraId="2C120D6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（6）由于发包人原因对承包人造成的人员人身伤亡和财产损失的；</w:t>
      </w:r>
    </w:p>
    <w:p w14:paraId="43E658CC">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（7）因发包人原因导致工程无法按期办理竣工验收或竣工结算的；</w:t>
      </w:r>
    </w:p>
    <w:p w14:paraId="5209633D">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（8）发包人无正当理由未按约定退还履约担保、低价风险担保、预付款担保或质量保证金的；</w:t>
      </w:r>
    </w:p>
    <w:p w14:paraId="0133D5CC">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（9）发包人不当提取履约担保、低价风险担保或质量保证金的；</w:t>
      </w:r>
    </w:p>
    <w:p w14:paraId="11CBAA69">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（10）发包人未按合同约定接收全部或部分工作的；</w:t>
      </w:r>
    </w:p>
    <w:p w14:paraId="0088DDFF">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u w:val="single"/>
        </w:rPr>
        <w:t>（1</w:t>
      </w:r>
      <w:r>
        <w:rPr>
          <w:rFonts w:hint="eastAsia" w:ascii="宋体" w:hAnsi="宋体" w:cs="Microsoft Sans Serif"/>
          <w:color w:val="auto"/>
          <w:kern w:val="0"/>
          <w:szCs w:val="21"/>
          <w:highlight w:val="none"/>
          <w:u w:val="single"/>
          <w:lang w:val="en-US" w:eastAsia="zh-CN"/>
        </w:rPr>
        <w:t>1</w:t>
      </w:r>
      <w:r>
        <w:rPr>
          <w:rFonts w:hint="eastAsia" w:ascii="宋体" w:hAnsi="宋体" w:cs="Microsoft Sans Serif"/>
          <w:color w:val="auto"/>
          <w:kern w:val="0"/>
          <w:szCs w:val="21"/>
          <w:highlight w:val="none"/>
          <w:u w:val="single"/>
        </w:rPr>
        <w:t xml:space="preserve">）其他：        </w:t>
      </w:r>
      <w:r>
        <w:rPr>
          <w:rFonts w:hint="eastAsia" w:ascii="宋体" w:hAnsi="宋体" w:cs="Microsoft Sans Serif"/>
          <w:color w:val="auto"/>
          <w:kern w:val="0"/>
          <w:szCs w:val="21"/>
          <w:highlight w:val="none"/>
        </w:rPr>
        <w:t>。</w:t>
      </w:r>
    </w:p>
    <w:p w14:paraId="050B4517">
      <w:pPr>
        <w:pStyle w:val="118"/>
        <w:spacing w:line="360" w:lineRule="auto"/>
        <w:rPr>
          <w:rFonts w:ascii="宋体" w:hAnsi="宋体"/>
          <w:color w:val="auto"/>
          <w:sz w:val="21"/>
          <w:szCs w:val="21"/>
          <w:highlight w:val="none"/>
        </w:rPr>
      </w:pPr>
      <w:r>
        <w:rPr>
          <w:rFonts w:hint="eastAsia" w:ascii="宋体" w:hAnsi="宋体"/>
          <w:color w:val="auto"/>
          <w:sz w:val="21"/>
          <w:szCs w:val="21"/>
          <w:highlight w:val="none"/>
        </w:rPr>
        <w:t>16.1.2发包人违约的责任</w:t>
      </w:r>
    </w:p>
    <w:p w14:paraId="4777D0F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（1）因发包人原因未能及时办理完毕前述许可、批准或备案的违约责任：由发包人承担由此增加的费用和（或）顺延工期，并支付合理利润，具体索赔程序按照第19条〔索赔〕约定执行。</w:t>
      </w:r>
    </w:p>
    <w:p w14:paraId="4985F68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14:paraId="2396A0D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（3）因发包人原因导致工期延误的违约责任：由发包人承担由此增加的费用和（或）顺延工期，并支付合理利润，具体索赔程序按照第19条〔索赔〕约定执行。</w:t>
      </w:r>
    </w:p>
    <w:p w14:paraId="7E64381A">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（4）因发包人原因未能在计划开工日期前7天内下达开工通知的违约责任：由发包人承担由此增加的费用和（或）顺延工期，并支付合理利润，具体索赔程序按照第19条〔索赔〕约定执行。</w:t>
      </w:r>
    </w:p>
    <w:p w14:paraId="02CA94F0">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（5）根据5.3.3项发包人或监理人要求重新检查的，经检查证明工程质量符合合同要求的，由发包人承担由此增加的费用和（或）顺延工期，并支付合理利润，具体索赔程序按照第19条〔索赔〕约定执行。</w:t>
      </w:r>
    </w:p>
    <w:p w14:paraId="59FDE840">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（6）因发包人原因未按合同约定支付合同价款的违约责任：发包人应向承包人支付违约金，自应当支付之日起28天后开始计算违约金，计算公式：</w:t>
      </w:r>
      <w:r>
        <w:rPr>
          <w:rFonts w:hint="eastAsia" w:ascii="宋体" w:hAnsi="宋体" w:cs="Microsoft Sans Serif"/>
          <w:color w:val="auto"/>
          <w:kern w:val="0"/>
          <w:szCs w:val="21"/>
          <w:highlight w:val="none"/>
          <w:u w:val="single"/>
        </w:rPr>
        <w:t xml:space="preserve">违约金=应付未付金额×中国人民银行 </w:t>
      </w:r>
      <w:r>
        <w:rPr>
          <w:rFonts w:hint="eastAsia" w:ascii="宋体" w:hAnsi="宋体" w:cs="Microsoft Sans Serif"/>
          <w:color w:val="auto"/>
          <w:kern w:val="0"/>
          <w:szCs w:val="21"/>
          <w:highlight w:val="none"/>
          <w:u w:val="single"/>
          <w:lang w:val="en-US" w:eastAsia="zh-CN"/>
        </w:rPr>
        <w:t>2024</w:t>
      </w:r>
      <w:r>
        <w:rPr>
          <w:rFonts w:hint="eastAsia" w:ascii="宋体" w:hAnsi="宋体" w:cs="Microsoft Sans Serif"/>
          <w:color w:val="auto"/>
          <w:kern w:val="0"/>
          <w:szCs w:val="21"/>
          <w:highlight w:val="none"/>
          <w:u w:val="single"/>
        </w:rPr>
        <w:t xml:space="preserve"> 年</w:t>
      </w:r>
      <w:r>
        <w:rPr>
          <w:rFonts w:hint="eastAsia" w:ascii="宋体" w:hAnsi="宋体" w:cs="Microsoft Sans Serif"/>
          <w:color w:val="auto"/>
          <w:kern w:val="0"/>
          <w:szCs w:val="21"/>
          <w:highlight w:val="none"/>
          <w:u w:val="single"/>
          <w:lang w:val="en-US" w:eastAsia="zh-CN"/>
        </w:rPr>
        <w:t>12</w:t>
      </w:r>
      <w:r>
        <w:rPr>
          <w:rFonts w:hint="eastAsia" w:ascii="宋体" w:hAnsi="宋体" w:cs="Microsoft Sans Serif"/>
          <w:color w:val="auto"/>
          <w:kern w:val="0"/>
          <w:szCs w:val="21"/>
          <w:highlight w:val="none"/>
          <w:u w:val="single"/>
        </w:rPr>
        <w:t xml:space="preserve">  月公布的5年期贷款市场报价利率/360天×逾期天数</w:t>
      </w:r>
      <w:r>
        <w:rPr>
          <w:rFonts w:hint="eastAsia" w:ascii="宋体" w:hAnsi="宋体"/>
          <w:color w:val="auto"/>
          <w:szCs w:val="21"/>
          <w:highlight w:val="none"/>
          <w:u w:val="single"/>
        </w:rPr>
        <w:t>（自第29天起计算）</w:t>
      </w:r>
      <w:r>
        <w:rPr>
          <w:rFonts w:hint="eastAsia" w:ascii="宋体" w:hAnsi="宋体" w:cs="Microsoft Sans Serif"/>
          <w:color w:val="auto"/>
          <w:kern w:val="0"/>
          <w:szCs w:val="21"/>
          <w:highlight w:val="none"/>
          <w:u w:val="single"/>
        </w:rPr>
        <w:t>；逾期天数超过56天的，超过部分天数按上述利率的两倍计算并支付违约金</w:t>
      </w:r>
      <w:r>
        <w:rPr>
          <w:rFonts w:hint="eastAsia" w:ascii="宋体" w:hAnsi="宋体" w:cs="Microsoft Sans Serif"/>
          <w:color w:val="auto"/>
          <w:kern w:val="0"/>
          <w:szCs w:val="21"/>
          <w:highlight w:val="none"/>
        </w:rPr>
        <w:t>。</w:t>
      </w:r>
    </w:p>
    <w:p w14:paraId="0F885B4A">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（7）发包人违反合同约定，自行实施或转由他人实施被取消的合同工作内容的违约责任：由发包人承担由此给承包人造成的实际损失并支付合理利润。</w:t>
      </w:r>
    </w:p>
    <w:p w14:paraId="70EF8B4E">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14:paraId="49C89F70">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（9）因发包人原因造成工程质量未达到合同约定标准的，由发包人承担由此增加的费用和（或）延误的工期，并支付合理利润。</w:t>
      </w:r>
    </w:p>
    <w:p w14:paraId="59816D65">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（10）因发包人违反合同约定造成暂停施工的违约责任：由发包人承担由此增加的费用和（或）顺延工期，并支付合理利润，具体索赔程序按照第19条〔索赔〕约定执行。</w:t>
      </w:r>
    </w:p>
    <w:p w14:paraId="24F9BAC3">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（11）发包人无正当理由没有在约定期限内发出复工指示，导致承包人无法复工的违约责任：由发包人承担由此增加的费用和（或）顺延工期，并支付合理利润，具体索赔程序按照第19条〔索赔〕约定执行。</w:t>
      </w:r>
    </w:p>
    <w:p w14:paraId="6F13AA94">
      <w:pPr>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（12）因发包人原因导致工程无法按期办理竣工验收或竣工结算的违约责任：由发包人承担由此增加的费用和（或）顺延工期，并支付合理利润，具体索赔程序按照第19条〔索赔〕约定执行。</w:t>
      </w:r>
    </w:p>
    <w:p w14:paraId="5A0C8513">
      <w:pPr>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olor w:val="auto"/>
          <w:szCs w:val="21"/>
          <w:highlight w:val="none"/>
        </w:rPr>
        <w:t>（13）</w:t>
      </w:r>
      <w:r>
        <w:rPr>
          <w:rFonts w:hint="eastAsia" w:ascii="宋体" w:hAnsi="宋体" w:cs="Microsoft Sans Serif"/>
          <w:color w:val="auto"/>
          <w:kern w:val="0"/>
          <w:szCs w:val="21"/>
          <w:highlight w:val="none"/>
        </w:rPr>
        <w:t>发包人无正当理由未按约定退还履约担保、低价风险担保、预付款担保或质量保证金的违约责任：发包人应向承包人支付违约金，自应当退还之日起28天后开始计算违约金，</w:t>
      </w:r>
      <w:r>
        <w:rPr>
          <w:rFonts w:hint="eastAsia" w:ascii="宋体" w:hAnsi="宋体" w:cs="Microsoft Sans Serif"/>
          <w:color w:val="auto"/>
          <w:kern w:val="0"/>
          <w:szCs w:val="21"/>
          <w:highlight w:val="none"/>
          <w:u w:val="single"/>
        </w:rPr>
        <w:t xml:space="preserve">计算公式：违约金=应退未退担保金额×中国人民银行 </w:t>
      </w:r>
      <w:r>
        <w:rPr>
          <w:rFonts w:hint="eastAsia" w:ascii="宋体" w:hAnsi="宋体" w:cs="Microsoft Sans Serif"/>
          <w:color w:val="auto"/>
          <w:kern w:val="0"/>
          <w:szCs w:val="21"/>
          <w:highlight w:val="none"/>
          <w:u w:val="single"/>
          <w:lang w:val="en-US" w:eastAsia="zh-CN"/>
        </w:rPr>
        <w:t>2024</w:t>
      </w:r>
      <w:r>
        <w:rPr>
          <w:rFonts w:hint="eastAsia" w:ascii="宋体" w:hAnsi="宋体" w:cs="Microsoft Sans Serif"/>
          <w:color w:val="auto"/>
          <w:kern w:val="0"/>
          <w:szCs w:val="21"/>
          <w:highlight w:val="none"/>
          <w:u w:val="single"/>
        </w:rPr>
        <w:t xml:space="preserve"> 年</w:t>
      </w:r>
      <w:r>
        <w:rPr>
          <w:rFonts w:hint="eastAsia" w:ascii="宋体" w:hAnsi="宋体" w:cs="Microsoft Sans Serif"/>
          <w:color w:val="auto"/>
          <w:kern w:val="0"/>
          <w:szCs w:val="21"/>
          <w:highlight w:val="none"/>
          <w:u w:val="single"/>
          <w:lang w:val="en-US" w:eastAsia="zh-CN"/>
        </w:rPr>
        <w:t>12</w:t>
      </w:r>
      <w:r>
        <w:rPr>
          <w:rFonts w:hint="eastAsia" w:ascii="宋体" w:hAnsi="宋体" w:cs="Microsoft Sans Serif"/>
          <w:color w:val="auto"/>
          <w:kern w:val="0"/>
          <w:szCs w:val="21"/>
          <w:highlight w:val="none"/>
          <w:u w:val="single"/>
        </w:rPr>
        <w:t xml:space="preserve">  月公布的5年期贷款市场报价利率/360天×逾期天数</w:t>
      </w:r>
      <w:r>
        <w:rPr>
          <w:rFonts w:hint="eastAsia" w:ascii="宋体" w:hAnsi="宋体"/>
          <w:color w:val="auto"/>
          <w:szCs w:val="21"/>
          <w:highlight w:val="none"/>
          <w:u w:val="single"/>
        </w:rPr>
        <w:t>（自第29天起计算）</w:t>
      </w:r>
      <w:r>
        <w:rPr>
          <w:rFonts w:hint="eastAsia" w:ascii="宋体" w:hAnsi="宋体" w:cs="Microsoft Sans Serif"/>
          <w:color w:val="auto"/>
          <w:kern w:val="0"/>
          <w:szCs w:val="21"/>
          <w:highlight w:val="none"/>
        </w:rPr>
        <w:t>。</w:t>
      </w:r>
    </w:p>
    <w:p w14:paraId="44ABECE7">
      <w:pPr>
        <w:pStyle w:val="2"/>
        <w:spacing w:after="0"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w:t>
      </w:r>
      <w:r>
        <w:rPr>
          <w:rFonts w:hint="eastAsia" w:ascii="宋体" w:hAnsi="宋体"/>
          <w:color w:val="auto"/>
          <w:szCs w:val="21"/>
          <w:highlight w:val="none"/>
        </w:rPr>
        <w:t>发包人不当提取履约担保、低价风险担保、预付款担保或质量保证金的，应及时予以退还，若不当提取超过28天的，应承担违约责任：发包人应向承包人支付违约金，</w:t>
      </w:r>
      <w:r>
        <w:rPr>
          <w:rFonts w:hint="eastAsia" w:ascii="宋体" w:hAnsi="宋体"/>
          <w:color w:val="auto"/>
          <w:szCs w:val="21"/>
          <w:highlight w:val="none"/>
          <w:u w:val="single"/>
        </w:rPr>
        <w:t xml:space="preserve">计算公式：违约金=不当提取的担保金额×中国人民银行 </w:t>
      </w:r>
      <w:r>
        <w:rPr>
          <w:rFonts w:hint="eastAsia" w:ascii="宋体" w:hAnsi="宋体"/>
          <w:color w:val="auto"/>
          <w:szCs w:val="21"/>
          <w:highlight w:val="none"/>
          <w:u w:val="single"/>
          <w:lang w:val="en-US" w:eastAsia="zh-CN"/>
        </w:rPr>
        <w:t>2024</w:t>
      </w:r>
      <w:r>
        <w:rPr>
          <w:rFonts w:hint="eastAsia" w:ascii="宋体" w:hAnsi="宋体"/>
          <w:color w:val="auto"/>
          <w:szCs w:val="21"/>
          <w:highlight w:val="none"/>
          <w:u w:val="single"/>
        </w:rPr>
        <w:t xml:space="preserve"> 年 </w:t>
      </w:r>
      <w:r>
        <w:rPr>
          <w:rFonts w:hint="eastAsia" w:ascii="宋体" w:hAnsi="宋体"/>
          <w:color w:val="auto"/>
          <w:szCs w:val="21"/>
          <w:highlight w:val="none"/>
          <w:u w:val="single"/>
          <w:lang w:val="en-US" w:eastAsia="zh-CN"/>
        </w:rPr>
        <w:t>12</w:t>
      </w:r>
      <w:r>
        <w:rPr>
          <w:rFonts w:hint="eastAsia" w:ascii="宋体" w:hAnsi="宋体"/>
          <w:color w:val="auto"/>
          <w:szCs w:val="21"/>
          <w:highlight w:val="none"/>
          <w:u w:val="single"/>
        </w:rPr>
        <w:t xml:space="preserve"> 月公布的5年期贷款市场报价利率/360天×逾期天数（自第29天起计算）</w:t>
      </w:r>
      <w:r>
        <w:rPr>
          <w:rFonts w:hint="eastAsia" w:ascii="宋体" w:hAnsi="宋体"/>
          <w:color w:val="auto"/>
          <w:szCs w:val="21"/>
          <w:highlight w:val="none"/>
        </w:rPr>
        <w:t>。</w:t>
      </w:r>
    </w:p>
    <w:p w14:paraId="1E0F656A">
      <w:pPr>
        <w:pStyle w:val="2"/>
        <w:spacing w:after="0"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（15）发包人未按合同约定接收全部或部分工作的违约责任：由发包人承担自应当接收工程之日起的工程照管、成品保护、保管等与工程有关的各项费用。</w:t>
      </w:r>
    </w:p>
    <w:p w14:paraId="7EC8D30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（16）由于发包人原因对承包人造成的人员人身伤亡和财产损失的，由发包人负责赔偿，并承担由此增加的费用和（或）延误的工期，并支付合理利润。</w:t>
      </w:r>
    </w:p>
    <w:p w14:paraId="201FEC92">
      <w:pPr>
        <w:spacing w:line="360" w:lineRule="auto"/>
        <w:ind w:firstLine="420" w:firstLineChars="200"/>
        <w:jc w:val="left"/>
        <w:rPr>
          <w:rFonts w:hint="default" w:ascii="宋体" w:hAnsi="宋体" w:eastAsia="宋体" w:cs="Microsoft Sans Serif"/>
          <w:color w:val="auto"/>
          <w:kern w:val="0"/>
          <w:szCs w:val="21"/>
          <w:highlight w:val="none"/>
          <w:u w:val="single"/>
          <w:lang w:val="en-US" w:eastAsia="zh-CN"/>
        </w:rPr>
      </w:pPr>
      <w:r>
        <w:rPr>
          <w:rFonts w:hint="eastAsia" w:ascii="宋体" w:hAnsi="宋体" w:cs="Microsoft Sans Serif"/>
          <w:color w:val="auto"/>
          <w:kern w:val="0"/>
          <w:szCs w:val="21"/>
          <w:highlight w:val="none"/>
        </w:rPr>
        <w:t>（17）发包人未按合同约定办理保险的违约责任：</w:t>
      </w:r>
      <w:r>
        <w:rPr>
          <w:rFonts w:hint="eastAsia" w:ascii="宋体" w:hAnsi="宋体" w:cs="Microsoft Sans Serif"/>
          <w:color w:val="auto"/>
          <w:kern w:val="0"/>
          <w:szCs w:val="21"/>
          <w:highlight w:val="none"/>
          <w:u w:val="single"/>
          <w:lang w:val="en-US" w:eastAsia="zh-CN"/>
        </w:rPr>
        <w:t>/</w:t>
      </w:r>
      <w:r>
        <w:rPr>
          <w:rFonts w:hint="eastAsia" w:ascii="宋体" w:hAnsi="宋体" w:cs="Microsoft Sans Serif"/>
          <w:color w:val="auto"/>
          <w:kern w:val="0"/>
          <w:szCs w:val="21"/>
          <w:highlight w:val="none"/>
          <w:u w:val="none"/>
          <w:lang w:val="en-US" w:eastAsia="zh-CN"/>
        </w:rPr>
        <w:t>。</w:t>
      </w:r>
    </w:p>
    <w:p w14:paraId="27D3A206">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（18）其他：</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14:paraId="128706F6">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14:paraId="286DCF4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16.1.3 因发包人违约解除合同</w:t>
      </w:r>
    </w:p>
    <w:p w14:paraId="1B8519F0">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因发包人违约并致使合同目的不能实现的，承包人有权解除合同：</w:t>
      </w:r>
    </w:p>
    <w:p w14:paraId="07A04E31">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（1）因发包人原因延迟支付合同价款超过180天的；</w:t>
      </w:r>
    </w:p>
    <w:p w14:paraId="2EE6F6CA">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（2）因发包人原因导致工期延误超过90天的；</w:t>
      </w:r>
    </w:p>
    <w:p w14:paraId="1465FB7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（3）因发包人第16.1.2（5）违约情形导致暂停施工满56天，且发包人仍未纠正其违约行为的；</w:t>
      </w:r>
    </w:p>
    <w:p w14:paraId="28142D98">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（4）其他未履行合同项下的义务构成对合同的实质性违约，并且在收到承包人要求说明其违约并予以补救的通知后56天内仍未补救该实质性违约的；</w:t>
      </w:r>
    </w:p>
    <w:p w14:paraId="059C52D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w:t>
      </w:r>
      <w:r>
        <w:rPr>
          <w:rFonts w:hint="eastAsia" w:ascii="宋体" w:hAnsi="宋体" w:cs="Microsoft Sans Serif"/>
          <w:color w:val="auto"/>
          <w:kern w:val="0"/>
          <w:szCs w:val="21"/>
          <w:highlight w:val="none"/>
          <w:u w:val="single"/>
        </w:rPr>
        <w:t>合同约定的承包人有权解除合同的其他情形</w:t>
      </w:r>
      <w:r>
        <w:rPr>
          <w:rFonts w:hint="eastAsia" w:ascii="宋体" w:hAnsi="宋体" w:cs="Microsoft Sans Serif"/>
          <w:color w:val="auto"/>
          <w:kern w:val="0"/>
          <w:szCs w:val="21"/>
          <w:highlight w:val="none"/>
        </w:rPr>
        <w:t>。</w:t>
      </w:r>
    </w:p>
    <w:p w14:paraId="494C1BE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16.1.4 因发包人违约解除合同后的付款</w:t>
      </w:r>
    </w:p>
    <w:p w14:paraId="172AFE8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承包人按照本款约定解除合同的，发包人应在解除合同后28天内支付下列款项，并解除履约担保、低价风险担保、预付款担保：</w:t>
      </w:r>
    </w:p>
    <w:p w14:paraId="207063C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（1）合同解除前所完成工作的价款；</w:t>
      </w:r>
    </w:p>
    <w:p w14:paraId="2FFDCE0B">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（2）承包人为工程施工订购并已付款的材料、工程设备和其他物品的价款；</w:t>
      </w:r>
    </w:p>
    <w:p w14:paraId="4EDC59A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（3）承包人撤离施工现场以及遣散承包人人员的款项；</w:t>
      </w:r>
    </w:p>
    <w:p w14:paraId="267DF08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（4）按照合同约定在合同解除前应支付的违约金；</w:t>
      </w:r>
    </w:p>
    <w:p w14:paraId="6BFA6152">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（5）按照合同约定应当支付给承包人的其他款项；</w:t>
      </w:r>
    </w:p>
    <w:p w14:paraId="1802B23F">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（6）按照合同约定应退还的质量保证金；</w:t>
      </w:r>
    </w:p>
    <w:p w14:paraId="474F925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（7）因解除合同给承包人造成的损失；</w:t>
      </w:r>
    </w:p>
    <w:p w14:paraId="4F8A6D5B">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w:t>
      </w:r>
      <w:r>
        <w:rPr>
          <w:rFonts w:hint="eastAsia" w:ascii="宋体" w:hAnsi="宋体" w:cs="Microsoft Sans Serif"/>
          <w:color w:val="auto"/>
          <w:kern w:val="0"/>
          <w:szCs w:val="21"/>
          <w:highlight w:val="none"/>
          <w:u w:val="single"/>
        </w:rPr>
        <w:t xml:space="preserve">        。</w:t>
      </w:r>
    </w:p>
    <w:p w14:paraId="152794D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合同当事人未能就解除合同后的结清达成一致的，按照第20条〔争议解决〕的约定处理。</w:t>
      </w:r>
    </w:p>
    <w:p w14:paraId="5694D4DA">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承包人应妥善做好已完工程和与工程有关的已购材料、工程设备的保护和移交工作，并将施工设备和人员撤出施工现场，发包人应为承包人撤出提供必要条件。</w:t>
      </w:r>
    </w:p>
    <w:p w14:paraId="798F8303">
      <w:pPr>
        <w:pStyle w:val="7"/>
        <w:spacing w:before="0" w:beforeAutospacing="0" w:after="0" w:afterAutospacing="0" w:line="360" w:lineRule="auto"/>
        <w:ind w:firstLine="422" w:firstLineChars="200"/>
        <w:rPr>
          <w:color w:val="auto"/>
          <w:sz w:val="21"/>
          <w:szCs w:val="21"/>
          <w:highlight w:val="none"/>
        </w:rPr>
      </w:pPr>
      <w:bookmarkStart w:id="1857" w:name="_Toc532377403"/>
      <w:r>
        <w:rPr>
          <w:rFonts w:hint="eastAsia"/>
          <w:color w:val="auto"/>
          <w:sz w:val="21"/>
          <w:szCs w:val="21"/>
          <w:highlight w:val="none"/>
        </w:rPr>
        <w:t>16.2 承包人违约</w:t>
      </w:r>
      <w:bookmarkEnd w:id="1857"/>
    </w:p>
    <w:p w14:paraId="2B78A917">
      <w:pPr>
        <w:snapToGrid w:val="0"/>
        <w:spacing w:line="360" w:lineRule="auto"/>
        <w:ind w:firstLine="420" w:firstLineChars="200"/>
        <w:jc w:val="left"/>
        <w:rPr>
          <w:rFonts w:ascii="宋体" w:hAnsi="宋体" w:cs="Microsoft Sans Serif"/>
          <w:color w:val="auto"/>
          <w:kern w:val="0"/>
          <w:szCs w:val="21"/>
          <w:highlight w:val="none"/>
        </w:rPr>
      </w:pPr>
      <w:bookmarkStart w:id="1858" w:name="_Hlk524380579"/>
      <w:r>
        <w:rPr>
          <w:rFonts w:hint="eastAsia" w:ascii="宋体" w:hAnsi="宋体" w:cs="Microsoft Sans Serif"/>
          <w:color w:val="auto"/>
          <w:kern w:val="0"/>
          <w:szCs w:val="21"/>
          <w:highlight w:val="none"/>
        </w:rPr>
        <w:t>16.2.1 承包人违约的情形</w:t>
      </w:r>
    </w:p>
    <w:p w14:paraId="37E34A1D">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除通用合同条款约定外，承包人违约的其他情形：</w:t>
      </w:r>
    </w:p>
    <w:p w14:paraId="7750302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（1）承包人未按合同约定提交履约担保或质量保证金的；</w:t>
      </w:r>
    </w:p>
    <w:p w14:paraId="1B94A0C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（2）承包人未能按期开工的；</w:t>
      </w:r>
    </w:p>
    <w:p w14:paraId="3CE6422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（3）承包人未按投标文件或监理人的要求及时配备称职的主要管理人员，或承包人未按经审定的施工组织设计配备或更换关键施工设备的；</w:t>
      </w:r>
    </w:p>
    <w:p w14:paraId="55FDD1D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（4）承包人有安全问题或有违反安全管理规章制度情况的；</w:t>
      </w:r>
    </w:p>
    <w:p w14:paraId="636BF19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（5）承包人在缺陷责任期及保修期内，未能在合理期限对工程缺陷进行修复，或拒绝按发包人要求进行修复的；</w:t>
      </w:r>
    </w:p>
    <w:p w14:paraId="327CEA3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（6）承包人拖欠其工人或所雇人员工资或报酬，导致其工人或所雇人员向有关部门投诉、控告、检举或以聚集等方式讨要工资或报酬的；</w:t>
      </w:r>
    </w:p>
    <w:p w14:paraId="6BD226F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（7）承包人不配合发包人、监理人及发包人委托的工程造价咨询服务单位结算审核或承包人其他原因导致未按期完成工程竣工结算的；</w:t>
      </w:r>
    </w:p>
    <w:p w14:paraId="63153F5A">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（8）承包人违反合同约定进行转包或违法分包的；</w:t>
      </w:r>
    </w:p>
    <w:p w14:paraId="27D746D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（9）承包人未按合同约定移交全部或部分工作的；</w:t>
      </w:r>
    </w:p>
    <w:p w14:paraId="2701255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（10）承包人未按合同约定购买保险的；</w:t>
      </w:r>
    </w:p>
    <w:p w14:paraId="3E3CB8EA">
      <w:pPr>
        <w:snapToGrid w:val="0"/>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（11）项目经理若有以下情形，属于承包人违约：</w:t>
      </w:r>
    </w:p>
    <w:p w14:paraId="1D96C33A">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1）项目经理不按承诺到岗的；</w:t>
      </w:r>
    </w:p>
    <w:p w14:paraId="09AE0988">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2）每月在施工现场的天数少于约定天数的；</w:t>
      </w:r>
    </w:p>
    <w:p w14:paraId="2233617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3）承包人未提交项目经理劳动合同和社会保险证明的；</w:t>
      </w:r>
    </w:p>
    <w:p w14:paraId="4450A69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4）未经批准，擅自离开施工现场（超过约定时间）的；</w:t>
      </w:r>
    </w:p>
    <w:p w14:paraId="46B6B43A">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5）未经批准，擅自变更项目经理的；</w:t>
      </w:r>
    </w:p>
    <w:p w14:paraId="29E59048">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6）按照渝建发〔2015〕35号文的要求，施工期间，项目经理因在一个记分周期内累计记分达到12分，被建设行政主管部门依法责令停止执业的；</w:t>
      </w:r>
    </w:p>
    <w:p w14:paraId="1813897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7）发包人有正当理由认为项目经理不称职/不履职，且承包人在约定时间内不予更换的；</w:t>
      </w:r>
    </w:p>
    <w:p w14:paraId="45585927">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14:paraId="7D232BC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（12）技术负责人若有以下情形，属于承包人违约：</w:t>
      </w:r>
    </w:p>
    <w:p w14:paraId="48A68037">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1）每月在施工现场的天数少于约定天数的；</w:t>
      </w:r>
    </w:p>
    <w:p w14:paraId="5BA08CBF">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2）承包人未提交技术负责人劳动合同和社会保险证明的；</w:t>
      </w:r>
    </w:p>
    <w:p w14:paraId="1D55B8BB">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3）未经批准，擅自离开施工现场（超过约定时间）的；</w:t>
      </w:r>
    </w:p>
    <w:p w14:paraId="147E33C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4）未经批准，擅自变更技术负责人的；</w:t>
      </w:r>
    </w:p>
    <w:p w14:paraId="1AAB8C1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5）发包人有正当理由认为技术负责人不称职/不履职，且承包人在约定时间内不予更换的；</w:t>
      </w:r>
    </w:p>
    <w:p w14:paraId="55F1EB9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14:paraId="264BEF6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（13）主要施工管理人员若有以下情形，属于承包人违约：</w:t>
      </w:r>
    </w:p>
    <w:p w14:paraId="3797422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1）承包人未提交主要管理人员劳动合同和社会保险证明的；</w:t>
      </w:r>
    </w:p>
    <w:p w14:paraId="63C4667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2）未经批准，擅自离开施工现场（超过约定时间）的；</w:t>
      </w:r>
    </w:p>
    <w:p w14:paraId="20922038">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3）未经批准，擅自变更主要施工管理人员的；</w:t>
      </w:r>
    </w:p>
    <w:p w14:paraId="7BB286C2">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4）发包人有正当理由认为主要施工管理人员不称职/不履职，且承包人在约定时间内不予更换的；</w:t>
      </w:r>
    </w:p>
    <w:p w14:paraId="6777B91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14:paraId="56CA15C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w:t>
      </w:r>
      <w:r>
        <w:rPr>
          <w:rFonts w:hint="eastAsia" w:ascii="宋体" w:hAnsi="宋体" w:cs="Microsoft Sans Serif"/>
          <w:color w:val="auto"/>
          <w:kern w:val="0"/>
          <w:szCs w:val="21"/>
          <w:highlight w:val="none"/>
          <w:u w:val="single"/>
        </w:rPr>
        <w:t xml:space="preserve">        。</w:t>
      </w:r>
    </w:p>
    <w:bookmarkEnd w:id="1858"/>
    <w:p w14:paraId="4C10CCE8">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16.2.2 承包人违约的责任</w:t>
      </w:r>
    </w:p>
    <w:p w14:paraId="6D261AFD">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承包人违约责任的承担方式和计算方法：</w:t>
      </w:r>
    </w:p>
    <w:p w14:paraId="7641C6D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（1）承包人未按合同约定提交履约担保、质量保证金的违约责任：承包人应支付违约金，</w:t>
      </w:r>
      <w:r>
        <w:rPr>
          <w:rFonts w:hint="eastAsia" w:ascii="宋体" w:hAnsi="宋体" w:cs="Microsoft Sans Serif"/>
          <w:color w:val="auto"/>
          <w:szCs w:val="21"/>
          <w:highlight w:val="none"/>
        </w:rPr>
        <w:t>违约金的计算方法：</w:t>
      </w:r>
      <w:r>
        <w:rPr>
          <w:rFonts w:hint="eastAsia" w:ascii="宋体" w:hAnsi="宋体" w:cs="Microsoft Sans Serif"/>
          <w:color w:val="auto"/>
          <w:kern w:val="0"/>
          <w:szCs w:val="21"/>
          <w:highlight w:val="none"/>
        </w:rPr>
        <w:t>每延误1天，承包人按</w:t>
      </w:r>
      <w:r>
        <w:rPr>
          <w:rFonts w:hint="eastAsia" w:ascii="宋体" w:hAnsi="宋体" w:cs="Microsoft Sans Serif"/>
          <w:color w:val="auto"/>
          <w:kern w:val="0"/>
          <w:szCs w:val="21"/>
          <w:highlight w:val="none"/>
          <w:u w:val="single"/>
        </w:rPr>
        <w:t xml:space="preserve">  5000元/天</w:t>
      </w:r>
      <w:r>
        <w:rPr>
          <w:rFonts w:hint="eastAsia" w:ascii="宋体" w:hAnsi="宋体" w:cs="Microsoft Sans Serif"/>
          <w:color w:val="auto"/>
          <w:kern w:val="0"/>
          <w:szCs w:val="21"/>
          <w:highlight w:val="none"/>
        </w:rPr>
        <w:t>计算违约金，累计违约金上限：</w:t>
      </w:r>
      <w:r>
        <w:rPr>
          <w:rFonts w:hint="eastAsia" w:ascii="宋体" w:hAnsi="宋体" w:cs="Microsoft Sans Serif"/>
          <w:color w:val="auto"/>
          <w:kern w:val="0"/>
          <w:szCs w:val="21"/>
          <w:highlight w:val="none"/>
          <w:u w:val="single"/>
        </w:rPr>
        <w:t xml:space="preserve">  不超过签约合同价的3%</w:t>
      </w:r>
      <w:r>
        <w:rPr>
          <w:rFonts w:hint="eastAsia" w:ascii="宋体" w:hAnsi="宋体" w:cs="Microsoft Sans Serif"/>
          <w:color w:val="auto"/>
          <w:kern w:val="0"/>
          <w:szCs w:val="21"/>
          <w:highlight w:val="none"/>
          <w:u w:val="single"/>
          <w:lang w:val="en-US" w:eastAsia="zh-CN"/>
        </w:rPr>
        <w:t xml:space="preserve"> </w:t>
      </w:r>
      <w:r>
        <w:rPr>
          <w:rFonts w:hint="eastAsia" w:ascii="宋体" w:hAnsi="宋体" w:cs="Microsoft Sans Serif"/>
          <w:color w:val="auto"/>
          <w:kern w:val="0"/>
          <w:szCs w:val="21"/>
          <w:highlight w:val="none"/>
          <w:lang w:val="zh-CN"/>
        </w:rPr>
        <w:t>。</w:t>
      </w:r>
    </w:p>
    <w:p w14:paraId="656AA35B">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（2）承包人违反合同约定进行转包或违法分包的违约责任：按照违反合同约定进行转包和（或）违法分包相应转包和（或）分包合同的合同金额的</w:t>
      </w:r>
      <w:r>
        <w:rPr>
          <w:rFonts w:hint="eastAsia" w:ascii="宋体" w:hAnsi="宋体" w:cs="Microsoft Sans Serif"/>
          <w:color w:val="auto"/>
          <w:kern w:val="0"/>
          <w:szCs w:val="21"/>
          <w:highlight w:val="none"/>
          <w:u w:val="single"/>
        </w:rPr>
        <w:t xml:space="preserve">  10%</w:t>
      </w:r>
      <w:r>
        <w:rPr>
          <w:rFonts w:hint="eastAsia" w:ascii="宋体" w:hAnsi="宋体" w:cs="Microsoft Sans Serif"/>
          <w:color w:val="auto"/>
          <w:kern w:val="0"/>
          <w:szCs w:val="21"/>
          <w:highlight w:val="none"/>
          <w:u w:val="single"/>
          <w:lang w:val="en-US" w:eastAsia="zh-CN"/>
        </w:rPr>
        <w:t xml:space="preserve"> </w:t>
      </w:r>
      <w:r>
        <w:rPr>
          <w:rFonts w:hint="eastAsia" w:ascii="宋体" w:hAnsi="宋体" w:cs="Microsoft Sans Serif"/>
          <w:color w:val="auto"/>
          <w:kern w:val="0"/>
          <w:szCs w:val="21"/>
          <w:highlight w:val="none"/>
        </w:rPr>
        <w:t>支付违约金，违法转/分包商应在7天内撤离出场。</w:t>
      </w:r>
    </w:p>
    <w:p w14:paraId="557DFA67">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（3）承包人违反合同约定采购和使用不合格的材料和工程设备的违约责任：按照违反合同约定采购和使用不合格的材料和（或）工程设备相应合同金额的</w:t>
      </w:r>
      <w:r>
        <w:rPr>
          <w:rFonts w:hint="eastAsia" w:ascii="宋体" w:hAnsi="宋体" w:cs="Microsoft Sans Serif"/>
          <w:color w:val="auto"/>
          <w:kern w:val="0"/>
          <w:szCs w:val="21"/>
          <w:highlight w:val="none"/>
          <w:u w:val="single"/>
        </w:rPr>
        <w:t xml:space="preserve">  10%</w:t>
      </w:r>
      <w:r>
        <w:rPr>
          <w:rFonts w:hint="eastAsia" w:ascii="宋体" w:hAnsi="宋体" w:cs="Microsoft Sans Serif"/>
          <w:color w:val="auto"/>
          <w:kern w:val="0"/>
          <w:szCs w:val="21"/>
          <w:highlight w:val="none"/>
          <w:u w:val="single"/>
          <w:lang w:val="en-US" w:eastAsia="zh-CN"/>
        </w:rPr>
        <w:t xml:space="preserve"> </w:t>
      </w:r>
      <w:r>
        <w:rPr>
          <w:rFonts w:hint="eastAsia" w:ascii="宋体" w:hAnsi="宋体" w:cs="Microsoft Sans Serif"/>
          <w:color w:val="auto"/>
          <w:kern w:val="0"/>
          <w:szCs w:val="21"/>
          <w:highlight w:val="none"/>
        </w:rPr>
        <w:t>支付违约金。</w:t>
      </w:r>
    </w:p>
    <w:p w14:paraId="3553957A">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color w:val="auto"/>
          <w:kern w:val="0"/>
          <w:szCs w:val="21"/>
          <w:highlight w:val="none"/>
          <w:u w:val="single"/>
        </w:rPr>
        <w:t xml:space="preserve">  10%</w:t>
      </w:r>
      <w:r>
        <w:rPr>
          <w:rFonts w:hint="eastAsia" w:ascii="宋体" w:hAnsi="宋体" w:cs="Microsoft Sans Serif"/>
          <w:color w:val="auto"/>
          <w:kern w:val="0"/>
          <w:szCs w:val="21"/>
          <w:highlight w:val="none"/>
          <w:u w:val="single"/>
          <w:lang w:val="en-US" w:eastAsia="zh-CN"/>
        </w:rPr>
        <w:t xml:space="preserve"> </w:t>
      </w:r>
      <w:r>
        <w:rPr>
          <w:rFonts w:hint="eastAsia" w:ascii="宋体" w:hAnsi="宋体" w:cs="Microsoft Sans Serif"/>
          <w:color w:val="auto"/>
          <w:kern w:val="0"/>
          <w:szCs w:val="21"/>
          <w:highlight w:val="none"/>
        </w:rPr>
        <w:t>支付违约金。</w:t>
      </w:r>
    </w:p>
    <w:p w14:paraId="7CC72D0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color w:val="auto"/>
          <w:kern w:val="0"/>
          <w:szCs w:val="21"/>
          <w:highlight w:val="none"/>
          <w:u w:val="single"/>
        </w:rPr>
        <w:t xml:space="preserve">  5</w:t>
      </w:r>
      <w:r>
        <w:rPr>
          <w:rFonts w:hint="eastAsia" w:ascii="宋体" w:hAnsi="宋体" w:cs="Microsoft Sans Serif"/>
          <w:color w:val="auto"/>
          <w:kern w:val="0"/>
          <w:szCs w:val="21"/>
          <w:highlight w:val="none"/>
          <w:u w:val="single"/>
          <w:lang w:val="en-US" w:eastAsia="zh-CN"/>
        </w:rPr>
        <w:t xml:space="preserve">  </w:t>
      </w:r>
      <w:r>
        <w:rPr>
          <w:rFonts w:hint="eastAsia" w:ascii="宋体" w:hAnsi="宋体" w:cs="Microsoft Sans Serif"/>
          <w:color w:val="auto"/>
          <w:kern w:val="0"/>
          <w:szCs w:val="21"/>
          <w:highlight w:val="none"/>
          <w:u w:val="single"/>
        </w:rPr>
        <w:t>%</w:t>
      </w:r>
      <w:r>
        <w:rPr>
          <w:rFonts w:hint="eastAsia" w:ascii="宋体" w:hAnsi="宋体" w:cs="Microsoft Sans Serif"/>
          <w:color w:val="auto"/>
          <w:kern w:val="0"/>
          <w:szCs w:val="21"/>
          <w:highlight w:val="none"/>
        </w:rPr>
        <w:t>支付违约金。</w:t>
      </w:r>
    </w:p>
    <w:p w14:paraId="3A54606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（6）因承包人原因造成工期延误的违约承担方式和计算方法：由承包人承担由此增加的费用，</w:t>
      </w:r>
      <w:r>
        <w:rPr>
          <w:rFonts w:hint="eastAsia" w:ascii="宋体" w:hAnsi="宋体" w:cs="Microsoft Sans Serif"/>
          <w:color w:val="auto"/>
          <w:szCs w:val="21"/>
          <w:highlight w:val="none"/>
        </w:rPr>
        <w:t>由此导致工期延误的，工期不予顺延；逾期竣工违约金的计算方法：</w:t>
      </w:r>
      <w:r>
        <w:rPr>
          <w:rFonts w:hint="eastAsia" w:ascii="宋体" w:hAnsi="宋体" w:cs="Microsoft Sans Serif"/>
          <w:color w:val="auto"/>
          <w:kern w:val="0"/>
          <w:szCs w:val="21"/>
          <w:highlight w:val="none"/>
        </w:rPr>
        <w:t>每延误1天，承包人按</w:t>
      </w:r>
      <w:r>
        <w:rPr>
          <w:rFonts w:hint="eastAsia" w:ascii="宋体" w:hAnsi="宋体" w:cs="Microsoft Sans Serif"/>
          <w:color w:val="auto"/>
          <w:kern w:val="0"/>
          <w:szCs w:val="21"/>
          <w:highlight w:val="none"/>
          <w:u w:val="single"/>
        </w:rPr>
        <w:t xml:space="preserve">  5000元/天</w:t>
      </w:r>
      <w:r>
        <w:rPr>
          <w:rFonts w:hint="eastAsia" w:ascii="宋体" w:hAnsi="宋体" w:cs="Microsoft Sans Serif"/>
          <w:color w:val="auto"/>
          <w:kern w:val="0"/>
          <w:szCs w:val="21"/>
          <w:highlight w:val="none"/>
        </w:rPr>
        <w:t>计算逾期竣工违约金，累计违约金上限：</w:t>
      </w:r>
      <w:r>
        <w:rPr>
          <w:rFonts w:hint="eastAsia" w:ascii="宋体" w:hAnsi="宋体" w:cs="Microsoft Sans Serif"/>
          <w:color w:val="auto"/>
          <w:kern w:val="0"/>
          <w:szCs w:val="21"/>
          <w:highlight w:val="none"/>
          <w:u w:val="single"/>
        </w:rPr>
        <w:t xml:space="preserve">  不超过签约合同价的3</w:t>
      </w:r>
      <w:r>
        <w:rPr>
          <w:rFonts w:hint="eastAsia" w:ascii="宋体" w:hAnsi="宋体" w:cs="Microsoft Sans Serif"/>
          <w:color w:val="auto"/>
          <w:kern w:val="0"/>
          <w:szCs w:val="21"/>
          <w:highlight w:val="none"/>
        </w:rPr>
        <w:t>%</w:t>
      </w:r>
      <w:r>
        <w:rPr>
          <w:rFonts w:hint="eastAsia" w:ascii="宋体" w:hAnsi="宋体" w:cs="Microsoft Sans Serif"/>
          <w:color w:val="auto"/>
          <w:kern w:val="0"/>
          <w:szCs w:val="21"/>
          <w:highlight w:val="none"/>
          <w:lang w:val="zh-CN"/>
        </w:rPr>
        <w:t>；</w:t>
      </w:r>
      <w:r>
        <w:rPr>
          <w:rFonts w:hint="eastAsia" w:ascii="宋体" w:hAnsi="宋体" w:cs="Microsoft Sans Serif"/>
          <w:color w:val="auto"/>
          <w:kern w:val="0"/>
          <w:szCs w:val="21"/>
          <w:highlight w:val="none"/>
        </w:rPr>
        <w:t>承包人支付逾期竣工违约金后，不免除承包人继续完成工程及修补缺陷的义务。</w:t>
      </w:r>
    </w:p>
    <w:p w14:paraId="10375BE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（7）承包人在缺陷责任期及保修期内，未能在合理期限对工程缺陷进行修复，或拒绝按发包人要求进行修复的违约责任：按照发包人修复缺陷费用的</w:t>
      </w:r>
      <w:r>
        <w:rPr>
          <w:rFonts w:hint="eastAsia" w:ascii="宋体" w:hAnsi="宋体" w:cs="Microsoft Sans Serif"/>
          <w:color w:val="auto"/>
          <w:kern w:val="0"/>
          <w:szCs w:val="21"/>
          <w:highlight w:val="none"/>
          <w:u w:val="single"/>
        </w:rPr>
        <w:t xml:space="preserve">  2%</w:t>
      </w:r>
      <w:r>
        <w:rPr>
          <w:rFonts w:hint="eastAsia" w:ascii="宋体" w:hAnsi="宋体" w:cs="Microsoft Sans Serif"/>
          <w:color w:val="auto"/>
          <w:kern w:val="0"/>
          <w:szCs w:val="21"/>
          <w:highlight w:val="none"/>
        </w:rPr>
        <w:t>支付违约金。</w:t>
      </w:r>
    </w:p>
    <w:p w14:paraId="4210685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（8）承包人明确表示或者以其行为表明不履行合同主要义务的违约责任：按签约合同价的</w:t>
      </w:r>
      <w:r>
        <w:rPr>
          <w:rFonts w:hint="eastAsia" w:ascii="宋体" w:hAnsi="宋体" w:cs="Microsoft Sans Serif"/>
          <w:color w:val="auto"/>
          <w:kern w:val="0"/>
          <w:szCs w:val="21"/>
          <w:highlight w:val="none"/>
          <w:u w:val="single"/>
        </w:rPr>
        <w:t xml:space="preserve">  10%</w:t>
      </w:r>
      <w:r>
        <w:rPr>
          <w:rFonts w:hint="eastAsia" w:ascii="宋体" w:hAnsi="宋体" w:cs="Microsoft Sans Serif"/>
          <w:color w:val="auto"/>
          <w:kern w:val="0"/>
          <w:szCs w:val="21"/>
          <w:highlight w:val="none"/>
          <w:u w:val="single"/>
          <w:lang w:val="en-US" w:eastAsia="zh-CN"/>
        </w:rPr>
        <w:t xml:space="preserve"> </w:t>
      </w:r>
      <w:r>
        <w:rPr>
          <w:rFonts w:hint="eastAsia" w:ascii="宋体" w:hAnsi="宋体" w:cs="Microsoft Sans Serif"/>
          <w:color w:val="auto"/>
          <w:kern w:val="0"/>
          <w:szCs w:val="21"/>
          <w:highlight w:val="none"/>
        </w:rPr>
        <w:t>支付违约金。</w:t>
      </w:r>
    </w:p>
    <w:p w14:paraId="0EDD946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（9）承包人未能按照合同约定履行其他义务的违约责任：按</w:t>
      </w:r>
      <w:r>
        <w:rPr>
          <w:rFonts w:hint="eastAsia" w:ascii="宋体" w:hAnsi="宋体" w:cs="Microsoft Sans Serif"/>
          <w:color w:val="auto"/>
          <w:kern w:val="0"/>
          <w:szCs w:val="21"/>
          <w:highlight w:val="none"/>
          <w:u w:val="single"/>
          <w:lang w:val="en-US" w:eastAsia="zh-CN"/>
        </w:rPr>
        <w:t>5000</w:t>
      </w:r>
      <w:r>
        <w:rPr>
          <w:rFonts w:hint="eastAsia" w:ascii="宋体" w:hAnsi="宋体" w:cs="Microsoft Sans Serif"/>
          <w:color w:val="auto"/>
          <w:kern w:val="0"/>
          <w:szCs w:val="21"/>
          <w:highlight w:val="none"/>
          <w:u w:val="single"/>
        </w:rPr>
        <w:t>元/次</w:t>
      </w:r>
      <w:r>
        <w:rPr>
          <w:rFonts w:hint="eastAsia" w:ascii="宋体" w:hAnsi="宋体" w:cs="Microsoft Sans Serif"/>
          <w:color w:val="auto"/>
          <w:kern w:val="0"/>
          <w:szCs w:val="21"/>
          <w:highlight w:val="none"/>
        </w:rPr>
        <w:t>支付违约金。</w:t>
      </w:r>
    </w:p>
    <w:p w14:paraId="0550FC5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（10）承包人未能按期开工的违约责任：按合同价</w:t>
      </w:r>
      <w:r>
        <w:rPr>
          <w:rFonts w:hint="eastAsia" w:ascii="宋体" w:hAnsi="宋体" w:cs="Microsoft Sans Serif"/>
          <w:color w:val="auto"/>
          <w:kern w:val="0"/>
          <w:szCs w:val="21"/>
          <w:highlight w:val="none"/>
          <w:u w:val="single"/>
        </w:rPr>
        <w:t>0.2‰/天</w:t>
      </w:r>
      <w:r>
        <w:rPr>
          <w:rFonts w:hint="eastAsia" w:ascii="宋体" w:hAnsi="宋体" w:cs="Microsoft Sans Serif"/>
          <w:color w:val="auto"/>
          <w:kern w:val="0"/>
          <w:szCs w:val="21"/>
          <w:highlight w:val="none"/>
        </w:rPr>
        <w:t>支付违约金，本项违约金累计限额为签约合同价的</w:t>
      </w:r>
      <w:r>
        <w:rPr>
          <w:rFonts w:hint="eastAsia" w:ascii="宋体" w:hAnsi="宋体" w:cs="Microsoft Sans Serif"/>
          <w:color w:val="auto"/>
          <w:kern w:val="0"/>
          <w:szCs w:val="21"/>
          <w:highlight w:val="none"/>
          <w:u w:val="single"/>
        </w:rPr>
        <w:t xml:space="preserve"> 1 %</w:t>
      </w:r>
      <w:r>
        <w:rPr>
          <w:rFonts w:hint="eastAsia" w:ascii="宋体" w:hAnsi="宋体" w:cs="Microsoft Sans Serif"/>
          <w:color w:val="auto"/>
          <w:kern w:val="0"/>
          <w:szCs w:val="21"/>
          <w:highlight w:val="none"/>
        </w:rPr>
        <w:t>。</w:t>
      </w:r>
    </w:p>
    <w:p w14:paraId="4D7CAF8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（11）承包人未按经审定的施工组织设计配备或更换关键施工设备的违约责任：按</w:t>
      </w:r>
      <w:r>
        <w:rPr>
          <w:rFonts w:hint="eastAsia" w:ascii="宋体" w:hAnsi="宋体" w:cs="Microsoft Sans Serif"/>
          <w:color w:val="auto"/>
          <w:kern w:val="0"/>
          <w:szCs w:val="21"/>
          <w:highlight w:val="none"/>
          <w:u w:val="single"/>
        </w:rPr>
        <w:t xml:space="preserve">  （5000～50000）元/台·次</w:t>
      </w:r>
      <w:r>
        <w:rPr>
          <w:rFonts w:hint="eastAsia" w:ascii="宋体" w:hAnsi="宋体" w:cs="Microsoft Sans Serif"/>
          <w:color w:val="auto"/>
          <w:kern w:val="0"/>
          <w:szCs w:val="21"/>
          <w:highlight w:val="none"/>
        </w:rPr>
        <w:t>支付违约金。</w:t>
      </w:r>
    </w:p>
    <w:p w14:paraId="6AC77C92">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（12）承包人有安全问题或有违反安全管理规章制度情况的违约责任：根据具体情节，按签约合同价的</w:t>
      </w:r>
      <w:r>
        <w:rPr>
          <w:rFonts w:hint="eastAsia" w:ascii="宋体" w:hAnsi="宋体" w:cs="Microsoft Sans Serif"/>
          <w:color w:val="auto"/>
          <w:kern w:val="0"/>
          <w:szCs w:val="21"/>
          <w:highlight w:val="none"/>
          <w:u w:val="single"/>
        </w:rPr>
        <w:t>0.5‰～4‰/次</w:t>
      </w:r>
      <w:r>
        <w:rPr>
          <w:rFonts w:hint="eastAsia" w:ascii="宋体" w:hAnsi="宋体" w:cs="Microsoft Sans Serif"/>
          <w:color w:val="auto"/>
          <w:kern w:val="0"/>
          <w:szCs w:val="21"/>
          <w:highlight w:val="none"/>
        </w:rPr>
        <w:t>支付违约金（累计不超过签约合同价的1%，详见附件9安全管理协议）。</w:t>
      </w:r>
    </w:p>
    <w:p w14:paraId="0BAA06FF">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color w:val="auto"/>
          <w:kern w:val="0"/>
          <w:szCs w:val="21"/>
          <w:highlight w:val="none"/>
          <w:u w:val="single"/>
        </w:rPr>
        <w:t xml:space="preserve">  （50000～200000）元/次</w:t>
      </w:r>
      <w:r>
        <w:rPr>
          <w:rFonts w:hint="eastAsia" w:ascii="宋体" w:hAnsi="宋体" w:cs="Microsoft Sans Serif"/>
          <w:color w:val="auto"/>
          <w:kern w:val="0"/>
          <w:szCs w:val="21"/>
          <w:highlight w:val="none"/>
        </w:rPr>
        <w:t>支付违约金。</w:t>
      </w:r>
    </w:p>
    <w:p w14:paraId="0856FCB7">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（14）承包人不配合发包人、监理人及发包人委托的工程造价咨询服务单位结算审核的违约责任：根据具体情节，按</w:t>
      </w:r>
      <w:r>
        <w:rPr>
          <w:rFonts w:hint="eastAsia" w:ascii="宋体" w:hAnsi="宋体" w:cs="Microsoft Sans Serif"/>
          <w:color w:val="auto"/>
          <w:kern w:val="0"/>
          <w:szCs w:val="21"/>
          <w:highlight w:val="none"/>
          <w:u w:val="single"/>
        </w:rPr>
        <w:t xml:space="preserve">  （10000～100000）元/次</w:t>
      </w:r>
      <w:r>
        <w:rPr>
          <w:rFonts w:hint="eastAsia" w:ascii="宋体" w:hAnsi="宋体" w:cs="Microsoft Sans Serif"/>
          <w:color w:val="auto"/>
          <w:kern w:val="0"/>
          <w:szCs w:val="21"/>
          <w:highlight w:val="none"/>
        </w:rPr>
        <w:t>支付违约金。</w:t>
      </w:r>
    </w:p>
    <w:p w14:paraId="2794CA0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color w:val="auto"/>
          <w:kern w:val="0"/>
          <w:szCs w:val="21"/>
          <w:highlight w:val="none"/>
          <w:u w:val="single"/>
        </w:rPr>
        <w:t>0.5～1‰</w:t>
      </w:r>
      <w:r>
        <w:rPr>
          <w:rFonts w:hint="eastAsia" w:ascii="宋体" w:hAnsi="宋体" w:cs="Microsoft Sans Serif"/>
          <w:color w:val="auto"/>
          <w:kern w:val="0"/>
          <w:szCs w:val="21"/>
          <w:highlight w:val="none"/>
        </w:rPr>
        <w:t>支付违约金。</w:t>
      </w:r>
    </w:p>
    <w:p w14:paraId="5C8A79D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（16）承包人未按合同约定购买保险的违约责任：除按18.6.2项约定执行外，每延迟1天，按</w:t>
      </w:r>
      <w:r>
        <w:rPr>
          <w:rFonts w:hint="eastAsia" w:ascii="宋体" w:hAnsi="宋体" w:cs="Microsoft Sans Serif"/>
          <w:color w:val="auto"/>
          <w:szCs w:val="21"/>
          <w:highlight w:val="none"/>
          <w:u w:val="single"/>
        </w:rPr>
        <w:t>500元/天</w:t>
      </w:r>
      <w:r>
        <w:rPr>
          <w:rFonts w:hint="eastAsia" w:ascii="宋体" w:hAnsi="宋体" w:cs="Microsoft Sans Serif"/>
          <w:color w:val="auto"/>
          <w:szCs w:val="21"/>
          <w:highlight w:val="none"/>
        </w:rPr>
        <w:t>支付违约金。</w:t>
      </w:r>
    </w:p>
    <w:p w14:paraId="02F47E1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（17）发生第16.2.1项（11）目、16.2.1项（12）目、16.2.1项（13）目违约情形的违约责任：除承担由此增加的费用和工期延误的责任，承包人应向发包人支付违约金：</w:t>
      </w:r>
    </w:p>
    <w:p w14:paraId="19766D5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1）项目经理违约承担方式和计算方法：对于第16.2.1项（11）目的情形，每发现一次，根据具体情节，按</w:t>
      </w:r>
      <w:r>
        <w:rPr>
          <w:rFonts w:hint="eastAsia" w:ascii="宋体" w:hAnsi="宋体" w:cs="Microsoft Sans Serif"/>
          <w:color w:val="auto"/>
          <w:kern w:val="0"/>
          <w:szCs w:val="21"/>
          <w:highlight w:val="none"/>
          <w:u w:val="single"/>
        </w:rPr>
        <w:t>1000～30000元/天·次</w:t>
      </w:r>
      <w:r>
        <w:rPr>
          <w:rFonts w:hint="eastAsia" w:ascii="宋体" w:hAnsi="宋体" w:cs="Microsoft Sans Serif"/>
          <w:color w:val="auto"/>
          <w:kern w:val="0"/>
          <w:szCs w:val="21"/>
          <w:highlight w:val="none"/>
        </w:rPr>
        <w:t>计算违约金；项目经理不按承诺到岗的（</w:t>
      </w:r>
      <w:r>
        <w:rPr>
          <w:rFonts w:ascii="宋体" w:hAnsi="宋体" w:cs="Microsoft Sans Serif"/>
          <w:color w:val="auto"/>
          <w:kern w:val="0"/>
          <w:szCs w:val="21"/>
          <w:highlight w:val="none"/>
        </w:rPr>
        <w:t>3.2.3项约定的情形除外</w:t>
      </w:r>
      <w:r>
        <w:rPr>
          <w:rFonts w:hint="eastAsia" w:ascii="宋体" w:hAnsi="宋体" w:cs="Microsoft Sans Serif"/>
          <w:color w:val="auto"/>
          <w:kern w:val="0"/>
          <w:szCs w:val="21"/>
          <w:highlight w:val="none"/>
        </w:rPr>
        <w:t>），按履约保证金的</w:t>
      </w:r>
      <w:r>
        <w:rPr>
          <w:rFonts w:hint="eastAsia" w:ascii="宋体" w:hAnsi="宋体" w:cs="Microsoft Sans Serif"/>
          <w:color w:val="auto"/>
          <w:kern w:val="0"/>
          <w:szCs w:val="21"/>
          <w:highlight w:val="none"/>
          <w:u w:val="single"/>
        </w:rPr>
        <w:t>（50～100）%</w:t>
      </w:r>
      <w:r>
        <w:rPr>
          <w:rFonts w:hint="eastAsia" w:ascii="宋体" w:hAnsi="宋体" w:cs="Microsoft Sans Serif"/>
          <w:color w:val="auto"/>
          <w:kern w:val="0"/>
          <w:szCs w:val="21"/>
          <w:highlight w:val="none"/>
        </w:rPr>
        <w:t>支付违约金，并解除合同；擅自更换项目经理的，按签约合同价的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200万</w:t>
      </w:r>
      <w:r>
        <w:rPr>
          <w:rFonts w:hint="eastAsia" w:ascii="宋体" w:hAnsi="宋体" w:cs="Microsoft Sans Serif"/>
          <w:color w:val="auto"/>
          <w:kern w:val="0"/>
          <w:szCs w:val="21"/>
          <w:highlight w:val="none"/>
        </w:rPr>
        <w:t>；项目经理被责令停止执业的，按签约合同价的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200万</w:t>
      </w:r>
      <w:r>
        <w:rPr>
          <w:rFonts w:hint="eastAsia" w:ascii="宋体" w:hAnsi="宋体" w:cs="Microsoft Sans Serif"/>
          <w:color w:val="auto"/>
          <w:kern w:val="0"/>
          <w:szCs w:val="21"/>
          <w:highlight w:val="none"/>
        </w:rPr>
        <w:t>；项目经理被责令停止执业的，按签约合同价的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w:t>
      </w:r>
      <w:r>
        <w:rPr>
          <w:rFonts w:hint="eastAsia" w:ascii="宋体" w:hAnsi="宋体" w:cs="Microsoft Sans Serif"/>
          <w:color w:val="auto"/>
          <w:kern w:val="0"/>
          <w:szCs w:val="21"/>
          <w:highlight w:val="none"/>
        </w:rPr>
        <w:t>万，累计不超过</w:t>
      </w:r>
      <w:r>
        <w:rPr>
          <w:rFonts w:hint="eastAsia" w:ascii="宋体" w:hAnsi="宋体" w:cs="Microsoft Sans Serif"/>
          <w:color w:val="auto"/>
          <w:kern w:val="0"/>
          <w:szCs w:val="21"/>
          <w:highlight w:val="none"/>
          <w:u w:val="single"/>
        </w:rPr>
        <w:t>200</w:t>
      </w:r>
      <w:r>
        <w:rPr>
          <w:rFonts w:hint="eastAsia" w:ascii="宋体" w:hAnsi="宋体" w:cs="Microsoft Sans Serif"/>
          <w:color w:val="auto"/>
          <w:kern w:val="0"/>
          <w:szCs w:val="21"/>
          <w:highlight w:val="none"/>
        </w:rPr>
        <w:t>万。</w:t>
      </w:r>
    </w:p>
    <w:p w14:paraId="3CFBCA32">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2）主要技术负责人违约承担方式和计算方法：对于第16.2.1项（12）目的六种情形，每发现一次，根据具体情节，按</w:t>
      </w:r>
      <w:r>
        <w:rPr>
          <w:rFonts w:hint="eastAsia" w:ascii="宋体" w:hAnsi="宋体" w:cs="Microsoft Sans Serif"/>
          <w:color w:val="auto"/>
          <w:kern w:val="0"/>
          <w:szCs w:val="21"/>
          <w:highlight w:val="none"/>
          <w:u w:val="single"/>
        </w:rPr>
        <w:t>1000～30000元/天·次</w:t>
      </w:r>
      <w:r>
        <w:rPr>
          <w:rFonts w:hint="eastAsia" w:ascii="宋体" w:hAnsi="宋体" w:cs="Microsoft Sans Serif"/>
          <w:color w:val="auto"/>
          <w:kern w:val="0"/>
          <w:szCs w:val="21"/>
          <w:highlight w:val="none"/>
        </w:rPr>
        <w:t>计算违约金；擅自更换主要技术负责人的，按签约合同价的</w:t>
      </w:r>
      <w:r>
        <w:rPr>
          <w:rFonts w:hint="eastAsia" w:ascii="宋体" w:hAnsi="宋体" w:cs="Microsoft Sans Serif"/>
          <w:color w:val="auto"/>
          <w:kern w:val="0"/>
          <w:szCs w:val="21"/>
          <w:highlight w:val="none"/>
          <w:u w:val="single"/>
        </w:rPr>
        <w:t>（0.5～2）%/人·次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10万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100万</w:t>
      </w:r>
      <w:r>
        <w:rPr>
          <w:rFonts w:hint="eastAsia" w:ascii="宋体" w:hAnsi="宋体" w:cs="Microsoft Sans Serif"/>
          <w:color w:val="auto"/>
          <w:kern w:val="0"/>
          <w:szCs w:val="21"/>
          <w:highlight w:val="none"/>
        </w:rPr>
        <w:t>。</w:t>
      </w:r>
    </w:p>
    <w:p w14:paraId="213EAA8E">
      <w:pPr>
        <w:snapToGrid w:val="0"/>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3）主要施工管理人员违约承担方式和计算方法：对于第16.2.1项（13）目的五种情形，每发现一次，根据具体情节，按</w:t>
      </w:r>
      <w:r>
        <w:rPr>
          <w:rFonts w:hint="eastAsia" w:ascii="宋体" w:hAnsi="宋体" w:cs="Microsoft Sans Serif"/>
          <w:color w:val="auto"/>
          <w:kern w:val="0"/>
          <w:szCs w:val="21"/>
          <w:highlight w:val="none"/>
          <w:u w:val="single"/>
        </w:rPr>
        <w:t>500～10000元/天·次</w:t>
      </w:r>
      <w:r>
        <w:rPr>
          <w:rFonts w:hint="eastAsia" w:ascii="宋体" w:hAnsi="宋体" w:cs="Microsoft Sans Serif"/>
          <w:color w:val="auto"/>
          <w:kern w:val="0"/>
          <w:szCs w:val="21"/>
          <w:highlight w:val="none"/>
        </w:rPr>
        <w:t>计算违约金。</w:t>
      </w:r>
    </w:p>
    <w:p w14:paraId="021BC73E">
      <w:pPr>
        <w:snapToGrid w:val="0"/>
        <w:spacing w:line="360" w:lineRule="auto"/>
        <w:ind w:firstLine="420" w:firstLineChars="200"/>
        <w:jc w:val="left"/>
        <w:rPr>
          <w:rFonts w:hint="eastAsia" w:ascii="宋体" w:hAnsi="宋体" w:cs="Microsoft Sans Serif"/>
          <w:color w:val="auto"/>
          <w:kern w:val="0"/>
          <w:szCs w:val="21"/>
          <w:highlight w:val="none"/>
        </w:rPr>
      </w:pPr>
      <w:r>
        <w:rPr>
          <w:rFonts w:hint="eastAsia" w:ascii="宋体" w:hAnsi="宋体" w:cs="Microsoft Sans Serif"/>
          <w:color w:val="auto"/>
          <w:kern w:val="0"/>
          <w:szCs w:val="21"/>
          <w:highlight w:val="none"/>
        </w:rPr>
        <w:t>（18）发包人不定期对承包人的工程全部资料进行检查，每发现一次工程资料未与工程建设同步的，第一次处罚2000元，第二次处罚4000元，以此类推，加倍处罚。工程完工验收合格后15天内，承包人未把工程</w:t>
      </w:r>
      <w:r>
        <w:rPr>
          <w:rFonts w:hint="eastAsia" w:ascii="宋体" w:hAnsi="宋体" w:cs="Microsoft Sans Serif"/>
          <w:color w:val="auto"/>
          <w:kern w:val="0"/>
          <w:szCs w:val="21"/>
          <w:highlight w:val="none"/>
          <w:lang w:eastAsia="zh-CN"/>
        </w:rPr>
        <w:t>全部</w:t>
      </w:r>
      <w:r>
        <w:rPr>
          <w:rFonts w:hint="eastAsia" w:ascii="宋体" w:hAnsi="宋体" w:cs="Microsoft Sans Serif"/>
          <w:color w:val="auto"/>
          <w:kern w:val="0"/>
          <w:szCs w:val="21"/>
          <w:highlight w:val="none"/>
        </w:rPr>
        <w:t>资料（包括但不限于结算资料、过程资料）移交给发包人，一次性处罚5000天，且如果发生超期情形，每天按500元/天叠加处罚。</w:t>
      </w:r>
      <w:bookmarkStart w:id="1859" w:name="_Hlk524380347"/>
    </w:p>
    <w:p w14:paraId="774F0FA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color w:val="auto"/>
          <w:kern w:val="0"/>
          <w:szCs w:val="21"/>
          <w:highlight w:val="none"/>
        </w:rPr>
        <w:t>16.2.2项第（1）目承担违约责任</w:t>
      </w:r>
      <w:r>
        <w:rPr>
          <w:rFonts w:hint="eastAsia" w:ascii="宋体" w:hAnsi="宋体" w:cs="Microsoft Sans Serif"/>
          <w:color w:val="auto"/>
          <w:szCs w:val="21"/>
          <w:highlight w:val="none"/>
        </w:rPr>
        <w:t>，并从应付或到期应付给承包人的任何款项中或采用其他方法，扣除该违约金。</w:t>
      </w:r>
    </w:p>
    <w:p w14:paraId="03DB5CC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color w:val="auto"/>
          <w:kern w:val="0"/>
          <w:szCs w:val="21"/>
          <w:highlight w:val="none"/>
        </w:rPr>
        <w:t>，承担由此给</w:t>
      </w:r>
      <w:r>
        <w:rPr>
          <w:rFonts w:hint="eastAsia" w:ascii="宋体" w:hAnsi="宋体" w:cs="Microsoft Sans Serif"/>
          <w:color w:val="auto"/>
          <w:szCs w:val="21"/>
          <w:highlight w:val="none"/>
        </w:rPr>
        <w:t>发包人造成的经济损失。</w:t>
      </w:r>
    </w:p>
    <w:p w14:paraId="2985AE1F">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承包人承担承包范围的工程质量、安全、环保责任，因承包人原因引起的质量、安全、环保等事故由承包人承担相应的法律后果。</w:t>
      </w:r>
    </w:p>
    <w:bookmarkEnd w:id="1859"/>
    <w:p w14:paraId="16FD6C9E">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16.2.3 因承包人违约解除合同</w:t>
      </w:r>
    </w:p>
    <w:p w14:paraId="6FBE1948">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因承包人违约并致使合同目的不能实现的，发包人有权解除合同：</w:t>
      </w:r>
    </w:p>
    <w:p w14:paraId="7C4CDCF4">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（1）未按合同约定延迟提供履约担保、质量保证金超过14天的；</w:t>
      </w:r>
    </w:p>
    <w:p w14:paraId="7F34F766">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（2）未按合同约定购买保险且经催告后超过56天的；</w:t>
      </w:r>
    </w:p>
    <w:p w14:paraId="73C154F2">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（3）因承包人原因导致开工时间累计延误超过56天的；</w:t>
      </w:r>
    </w:p>
    <w:p w14:paraId="49BECA7B">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（4）因承包人原因导致工期延误超过90天的；</w:t>
      </w:r>
    </w:p>
    <w:p w14:paraId="6D36CA15">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（5）发生第21.2款〔退出机制〕约定的情形的；</w:t>
      </w:r>
    </w:p>
    <w:p w14:paraId="2FFF7EF8">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（6）监理人发出整改通知后，承包人在监理人限定的期限内仍不纠正违约行为的；</w:t>
      </w:r>
    </w:p>
    <w:p w14:paraId="5BBB4548">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（7）承包人进入清算或者严重资不抵债且无法履行合同的；</w:t>
      </w:r>
    </w:p>
    <w:p w14:paraId="36C3C763">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（8）违反适用法律而被相关政府部门依法吊销营业执照、责令停业、清算或宣布破产、责令关闭的；</w:t>
      </w:r>
    </w:p>
    <w:p w14:paraId="1DC3928B">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（9）承包人未履行合同项下的义务构成对合同的实质性违约，并且在收到发包人要求说明其违约并予以补救的通知后56天内仍未能补救该实质性违约的；</w:t>
      </w:r>
    </w:p>
    <w:p w14:paraId="4ED186F0">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（10）</w:t>
      </w:r>
      <w:r>
        <w:rPr>
          <w:rFonts w:hint="eastAsia" w:ascii="宋体" w:hAnsi="宋体" w:cs="Microsoft Sans Serif"/>
          <w:color w:val="auto"/>
          <w:kern w:val="0"/>
          <w:sz w:val="21"/>
          <w:szCs w:val="21"/>
          <w:highlight w:val="none"/>
          <w:u w:val="single"/>
        </w:rPr>
        <w:t>合同约定的发包人有权解除合同的其他情形</w:t>
      </w:r>
      <w:r>
        <w:rPr>
          <w:rFonts w:hint="eastAsia" w:ascii="宋体" w:hAnsi="宋体" w:cs="Microsoft Sans Serif"/>
          <w:color w:val="auto"/>
          <w:kern w:val="0"/>
          <w:sz w:val="21"/>
          <w:szCs w:val="21"/>
          <w:highlight w:val="none"/>
        </w:rPr>
        <w:t>。</w:t>
      </w:r>
    </w:p>
    <w:p w14:paraId="41FA6F6E">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16.2.4因承包人违约解除合同后的处理</w:t>
      </w:r>
    </w:p>
    <w:p w14:paraId="4205AB86">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因承包人违约导致合同解除的，合同当事人应在合同解除后56天内完成估价、付款和清算，并按以下约定执行：</w:t>
      </w:r>
    </w:p>
    <w:p w14:paraId="2ABA4B10">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（1）合同解除后，按第14.2款结算审定方式确定承包人实际完成工作对应的合同价款，以及承包人已提供的材料、工程设备、施工设备和临时工程等的价值；</w:t>
      </w:r>
    </w:p>
    <w:p w14:paraId="0B5273EF">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（2）合同解除后，承包人应支付违约金；</w:t>
      </w:r>
    </w:p>
    <w:p w14:paraId="61C945FE">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（3）合同解除后，赔偿因解除合同给发包人造成的损失；</w:t>
      </w:r>
    </w:p>
    <w:p w14:paraId="03DBFC57">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（4）合同解除后，承包人应按照发包人要求和监理人的指示完成现场的清理和撤离。</w:t>
      </w:r>
    </w:p>
    <w:p w14:paraId="0406E4E0">
      <w:pPr>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（5）</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14:paraId="3A61B770">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因承包人违约导致解除合同的，发包人有权暂停对承包人的付款，查清各项付款和已扣款项。发包人和承包人未能就合同解除后的清算和款项支付达成一致的，按照第20条〔争议解决〕的约定处理。</w:t>
      </w:r>
    </w:p>
    <w:p w14:paraId="11CA9101">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846"/>
    <w:bookmarkEnd w:id="1847"/>
    <w:p w14:paraId="2B61DF70">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860" w:name="_Toc532377404"/>
      <w:bookmarkStart w:id="1861" w:name="_Toc351203649"/>
      <w:bookmarkStart w:id="1862" w:name="_Toc532375665"/>
      <w:bookmarkStart w:id="1863" w:name="_Hlk528928440"/>
      <w:r>
        <w:rPr>
          <w:rFonts w:hint="eastAsia"/>
          <w:color w:val="auto"/>
          <w:kern w:val="2"/>
          <w:sz w:val="21"/>
          <w:szCs w:val="21"/>
          <w:highlight w:val="none"/>
        </w:rPr>
        <w:t>17. 不可抗力</w:t>
      </w:r>
      <w:bookmarkEnd w:id="1860"/>
      <w:bookmarkEnd w:id="1861"/>
      <w:bookmarkEnd w:id="1862"/>
    </w:p>
    <w:p w14:paraId="40C5D69F">
      <w:pPr>
        <w:pStyle w:val="7"/>
        <w:spacing w:before="0" w:beforeAutospacing="0" w:after="0" w:afterAutospacing="0" w:line="360" w:lineRule="auto"/>
        <w:ind w:firstLine="422" w:firstLineChars="200"/>
        <w:rPr>
          <w:color w:val="auto"/>
          <w:sz w:val="21"/>
          <w:szCs w:val="21"/>
          <w:highlight w:val="none"/>
        </w:rPr>
      </w:pPr>
      <w:bookmarkStart w:id="1864" w:name="_Toc532377405"/>
      <w:bookmarkStart w:id="1865" w:name="_Toc532375666"/>
      <w:r>
        <w:rPr>
          <w:rFonts w:hint="eastAsia"/>
          <w:color w:val="auto"/>
          <w:sz w:val="21"/>
          <w:szCs w:val="21"/>
          <w:highlight w:val="none"/>
        </w:rPr>
        <w:t>17.1 不可抗力的确认</w:t>
      </w:r>
      <w:bookmarkEnd w:id="1864"/>
      <w:bookmarkEnd w:id="1865"/>
    </w:p>
    <w:p w14:paraId="5C127FB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除通用合同条款约定的不可抗力事件之外，视为不可抗力的其他情形：</w:t>
      </w:r>
      <w:bookmarkStart w:id="1866" w:name="_Hlk524379638"/>
    </w:p>
    <w:p w14:paraId="5D56F1C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（1）洪水、火山爆发、山崩、山体滑坡、泥石流、龙卷风、隧道内不可预测的突发性地质灾害等自然灾害；</w:t>
      </w:r>
    </w:p>
    <w:p w14:paraId="6BD69B9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（2）骚乱、戒严、封锁、禁运、恐怖行为、等社会行为，但承包人或其分包人派遣与雇佣的人员由于合同工程施工原因引起的除外；</w:t>
      </w:r>
    </w:p>
    <w:p w14:paraId="0F27662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（3）不能合理预见的重大交通阻滞、停运、交通事故，非双方责任引起的火灾、爆炸、船舶撞击等情形；</w:t>
      </w:r>
    </w:p>
    <w:p w14:paraId="40AE328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（4）化学或放射性污染或核辐射；</w:t>
      </w:r>
    </w:p>
    <w:p w14:paraId="08D6CFA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（5）环保治理等政府行为导致项目停工的。</w:t>
      </w:r>
      <w:bookmarkEnd w:id="1866"/>
    </w:p>
    <w:p w14:paraId="07996AC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A5C03A8">
      <w:pPr>
        <w:pStyle w:val="7"/>
        <w:spacing w:before="0" w:beforeAutospacing="0" w:after="0" w:afterAutospacing="0" w:line="360" w:lineRule="auto"/>
        <w:ind w:firstLine="422" w:firstLineChars="200"/>
        <w:rPr>
          <w:color w:val="auto"/>
          <w:sz w:val="21"/>
          <w:szCs w:val="21"/>
          <w:highlight w:val="none"/>
        </w:rPr>
      </w:pPr>
      <w:bookmarkStart w:id="1867" w:name="_Toc532377406"/>
      <w:bookmarkStart w:id="1868" w:name="_Toc351203610"/>
      <w:bookmarkStart w:id="1869" w:name="_Toc532375667"/>
      <w:bookmarkStart w:id="1870" w:name="_Toc296346620"/>
      <w:bookmarkStart w:id="1871" w:name="_Toc337558826"/>
      <w:bookmarkStart w:id="1872" w:name="_Toc296503119"/>
      <w:r>
        <w:rPr>
          <w:rFonts w:hint="eastAsia"/>
          <w:color w:val="auto"/>
          <w:sz w:val="21"/>
          <w:szCs w:val="21"/>
          <w:highlight w:val="none"/>
        </w:rPr>
        <w:t>17.3 不可抗力后果的承担</w:t>
      </w:r>
      <w:bookmarkEnd w:id="1867"/>
      <w:bookmarkEnd w:id="1868"/>
      <w:bookmarkEnd w:id="1869"/>
    </w:p>
    <w:bookmarkEnd w:id="1870"/>
    <w:bookmarkEnd w:id="1871"/>
    <w:bookmarkEnd w:id="1872"/>
    <w:p w14:paraId="4FB85E9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17.3.1 不可抗力引起的后果及造成的损失由合同当事人按照法律规定及合同约定各自承担。不可抗力发生前已完成的工程应当按照合同约定进行计量支付。</w:t>
      </w:r>
    </w:p>
    <w:p w14:paraId="5E0FAE3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17.3.2 不可抗力导致的人员伤亡、财产损失、费用增加和（或）工期延误等后果，由合同当事人按以下原则承担：</w:t>
      </w:r>
    </w:p>
    <w:p w14:paraId="7BD0AF3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（1）永久工程、已运至施工现场的施工材料和工程设备的损坏，以及因工程损坏造成的第三方人员伤亡和财产损失由发包人承担；</w:t>
      </w:r>
    </w:p>
    <w:p w14:paraId="088112D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（2）承包人施工设备的损坏由承包人承担；</w:t>
      </w:r>
    </w:p>
    <w:p w14:paraId="2F73E06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（3）发包人和承包人承担各自人员伤亡和财产的损失；</w:t>
      </w:r>
    </w:p>
    <w:p w14:paraId="6EE5F64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（4）因不可抗力影响承包人履行合同约定的义务，已经引起或将引起工期延误的，应当顺延工期，由此导致承包人停工的费用损失由发包人和承包人合理共担；</w:t>
      </w:r>
    </w:p>
    <w:p w14:paraId="31B33CC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（5）因不可抗力引起或将引起工期延误，发包人要求赶工的，由此增加的赶工费用由发包人承担；</w:t>
      </w:r>
    </w:p>
    <w:p w14:paraId="3E80337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（6）承包人在停工期间按照发包人要求照管、清理和修复工程的费用由发包人承担；</w:t>
      </w:r>
    </w:p>
    <w:p w14:paraId="53AAA51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（7）不可抗力事件发生后，合同当事人均应采取措施尽量避免和减少损失的扩大，任何一方当事人没有采取有效措施导致损失扩大的，应对扩大的损失承担责任。</w:t>
      </w:r>
    </w:p>
    <w:p w14:paraId="739F2D4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FE3075D">
      <w:pPr>
        <w:pStyle w:val="7"/>
        <w:spacing w:before="0" w:beforeAutospacing="0" w:after="0" w:afterAutospacing="0" w:line="360" w:lineRule="auto"/>
        <w:ind w:firstLine="422" w:firstLineChars="200"/>
        <w:rPr>
          <w:color w:val="auto"/>
          <w:sz w:val="21"/>
          <w:szCs w:val="21"/>
          <w:highlight w:val="none"/>
        </w:rPr>
      </w:pPr>
      <w:bookmarkStart w:id="1873" w:name="_Toc532377407"/>
      <w:bookmarkStart w:id="1874" w:name="_Toc532375668"/>
      <w:r>
        <w:rPr>
          <w:rFonts w:hint="eastAsia"/>
          <w:color w:val="auto"/>
          <w:sz w:val="21"/>
          <w:szCs w:val="21"/>
          <w:highlight w:val="none"/>
        </w:rPr>
        <w:t>17.4 因不可抗力解除合同</w:t>
      </w:r>
      <w:bookmarkEnd w:id="1873"/>
      <w:bookmarkEnd w:id="1874"/>
    </w:p>
    <w:p w14:paraId="021DD6D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合同解除后，发包人应在商定或确定发包人应支付款项后</w:t>
      </w:r>
      <w:r>
        <w:rPr>
          <w:rFonts w:hint="eastAsia" w:ascii="宋体" w:hAnsi="宋体"/>
          <w:color w:val="auto"/>
          <w:szCs w:val="21"/>
          <w:highlight w:val="none"/>
          <w:u w:val="single"/>
        </w:rPr>
        <w:t>28</w:t>
      </w:r>
      <w:r>
        <w:rPr>
          <w:rFonts w:hint="eastAsia" w:ascii="宋体" w:hAnsi="宋体"/>
          <w:color w:val="auto"/>
          <w:szCs w:val="21"/>
          <w:highlight w:val="none"/>
        </w:rPr>
        <w:t>天内完成款项的支付。</w:t>
      </w:r>
    </w:p>
    <w:p w14:paraId="244B8C64">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875" w:name="_Toc532377408"/>
      <w:bookmarkStart w:id="1876" w:name="_Toc351203650"/>
      <w:bookmarkStart w:id="1877" w:name="_Toc532375669"/>
      <w:r>
        <w:rPr>
          <w:rFonts w:hint="eastAsia"/>
          <w:color w:val="auto"/>
          <w:kern w:val="2"/>
          <w:sz w:val="21"/>
          <w:szCs w:val="21"/>
          <w:highlight w:val="none"/>
        </w:rPr>
        <w:t>18. 保险</w:t>
      </w:r>
      <w:bookmarkEnd w:id="1875"/>
      <w:bookmarkEnd w:id="1876"/>
      <w:bookmarkEnd w:id="1877"/>
    </w:p>
    <w:p w14:paraId="7277AC01">
      <w:pPr>
        <w:pStyle w:val="7"/>
        <w:spacing w:before="0" w:beforeAutospacing="0" w:after="0" w:afterAutospacing="0" w:line="360" w:lineRule="auto"/>
        <w:ind w:firstLine="422" w:firstLineChars="200"/>
        <w:rPr>
          <w:color w:val="auto"/>
          <w:sz w:val="21"/>
          <w:szCs w:val="21"/>
          <w:highlight w:val="none"/>
        </w:rPr>
      </w:pPr>
      <w:bookmarkStart w:id="1878" w:name="_Toc532377410"/>
      <w:bookmarkStart w:id="1879" w:name="_Toc532375671"/>
      <w:r>
        <w:rPr>
          <w:rFonts w:hint="eastAsia"/>
          <w:color w:val="auto"/>
          <w:sz w:val="21"/>
          <w:szCs w:val="21"/>
          <w:highlight w:val="none"/>
        </w:rPr>
        <w:t>18.3 其他保险</w:t>
      </w:r>
      <w:bookmarkEnd w:id="1878"/>
      <w:bookmarkEnd w:id="1879"/>
    </w:p>
    <w:p w14:paraId="2EDA4F3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关于其他保险的约定：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施工方必须自行购买相关保险</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19D718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承包人是否应为其施工设备等办理财产保险：</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由承包人自行决定购买</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670613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安全生产责任险：</w:t>
      </w:r>
      <w:r>
        <w:rPr>
          <w:rFonts w:hint="eastAsia" w:ascii="宋体" w:hAnsi="宋体"/>
          <w:color w:val="auto"/>
          <w:szCs w:val="21"/>
          <w:highlight w:val="none"/>
          <w:u w:val="single"/>
        </w:rPr>
        <w:t>承包人应按《重庆市人民政府办公厅关于在高危行业领域强制推行安全生产责任保险的实施意见》（渝府办法〔2017〕182号）的要求办理安全生产责任保险</w:t>
      </w:r>
      <w:r>
        <w:rPr>
          <w:rFonts w:hint="eastAsia" w:ascii="宋体" w:hAnsi="宋体"/>
          <w:color w:val="auto"/>
          <w:szCs w:val="21"/>
          <w:highlight w:val="none"/>
        </w:rPr>
        <w:t>。</w:t>
      </w:r>
    </w:p>
    <w:p w14:paraId="1246D2F5">
      <w:pPr>
        <w:pStyle w:val="7"/>
        <w:spacing w:before="0" w:beforeAutospacing="0" w:after="0" w:afterAutospacing="0" w:line="360" w:lineRule="auto"/>
        <w:ind w:firstLine="422" w:firstLineChars="200"/>
        <w:rPr>
          <w:color w:val="auto"/>
          <w:sz w:val="21"/>
          <w:szCs w:val="21"/>
          <w:highlight w:val="none"/>
        </w:rPr>
      </w:pPr>
      <w:bookmarkStart w:id="1880" w:name="_Toc532377411"/>
      <w:bookmarkStart w:id="1881" w:name="_Toc532375672"/>
      <w:r>
        <w:rPr>
          <w:rFonts w:hint="eastAsia"/>
          <w:color w:val="auto"/>
          <w:sz w:val="21"/>
          <w:szCs w:val="21"/>
          <w:highlight w:val="none"/>
        </w:rPr>
        <w:t>18.7 通知义务</w:t>
      </w:r>
      <w:bookmarkEnd w:id="1880"/>
      <w:bookmarkEnd w:id="1881"/>
    </w:p>
    <w:p w14:paraId="475E4CE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关于变更保险合同时的通知义务的约定：</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14:paraId="1798EEB7">
      <w:pPr>
        <w:pStyle w:val="7"/>
        <w:spacing w:before="0" w:beforeAutospacing="0" w:after="0" w:afterAutospacing="0" w:line="360" w:lineRule="auto"/>
        <w:ind w:firstLine="422" w:firstLineChars="200"/>
        <w:rPr>
          <w:color w:val="auto"/>
          <w:sz w:val="21"/>
          <w:szCs w:val="21"/>
          <w:highlight w:val="none"/>
        </w:rPr>
      </w:pPr>
      <w:bookmarkStart w:id="1882" w:name="_Toc532377412"/>
      <w:bookmarkStart w:id="1883" w:name="_Toc532375673"/>
      <w:r>
        <w:rPr>
          <w:rFonts w:hint="eastAsia"/>
          <w:color w:val="auto"/>
          <w:sz w:val="21"/>
          <w:szCs w:val="21"/>
          <w:highlight w:val="none"/>
        </w:rPr>
        <w:t>18.8 其他</w:t>
      </w:r>
      <w:bookmarkEnd w:id="1882"/>
      <w:bookmarkEnd w:id="1883"/>
    </w:p>
    <w:p w14:paraId="1AFEB4F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18.8.1 工程开工日前，承包人向发包人提交各项生效的保险证据和保险单副本。未按本项约定提交的，每延后1天，承包人按500元/天支付违约金。</w:t>
      </w:r>
    </w:p>
    <w:p w14:paraId="1A468E3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18.8.2 承包人保险赔偿金不足以补偿发包人损失时，</w:t>
      </w:r>
      <w:bookmarkStart w:id="1884" w:name="_Hlk524378346"/>
      <w:r>
        <w:rPr>
          <w:rFonts w:hint="eastAsia" w:ascii="宋体" w:hAnsi="宋体"/>
          <w:color w:val="auto"/>
          <w:szCs w:val="21"/>
          <w:highlight w:val="none"/>
        </w:rPr>
        <w:t>差额由承包人负责补足</w:t>
      </w:r>
      <w:bookmarkEnd w:id="1884"/>
      <w:r>
        <w:rPr>
          <w:rFonts w:hint="eastAsia" w:ascii="宋体" w:hAnsi="宋体"/>
          <w:color w:val="auto"/>
          <w:szCs w:val="21"/>
          <w:highlight w:val="none"/>
        </w:rPr>
        <w:t>。</w:t>
      </w:r>
    </w:p>
    <w:p w14:paraId="288BB714">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885" w:name="_Toc532375674"/>
      <w:bookmarkStart w:id="1886" w:name="_Toc351203620"/>
      <w:bookmarkStart w:id="1887" w:name="_Toc532377413"/>
      <w:bookmarkStart w:id="1888" w:name="_Toc296346641"/>
      <w:bookmarkStart w:id="1889" w:name="_Toc296503140"/>
      <w:bookmarkStart w:id="1890" w:name="_Toc337558835"/>
      <w:r>
        <w:rPr>
          <w:rFonts w:hint="eastAsia"/>
          <w:color w:val="auto"/>
          <w:kern w:val="2"/>
          <w:sz w:val="21"/>
          <w:szCs w:val="21"/>
          <w:highlight w:val="none"/>
        </w:rPr>
        <w:t>19. 索赔</w:t>
      </w:r>
      <w:bookmarkEnd w:id="1885"/>
      <w:bookmarkEnd w:id="1886"/>
      <w:bookmarkEnd w:id="1887"/>
    </w:p>
    <w:bookmarkEnd w:id="1888"/>
    <w:bookmarkEnd w:id="1889"/>
    <w:bookmarkEnd w:id="1890"/>
    <w:p w14:paraId="4E5D08BD">
      <w:pPr>
        <w:pStyle w:val="7"/>
        <w:spacing w:before="0" w:beforeAutospacing="0" w:after="0" w:afterAutospacing="0" w:line="360" w:lineRule="auto"/>
        <w:ind w:firstLine="422" w:firstLineChars="200"/>
        <w:rPr>
          <w:color w:val="auto"/>
          <w:sz w:val="21"/>
          <w:szCs w:val="21"/>
          <w:highlight w:val="none"/>
        </w:rPr>
      </w:pPr>
      <w:bookmarkStart w:id="1891" w:name="_Toc532375675"/>
      <w:bookmarkStart w:id="1892" w:name="_Toc532377414"/>
      <w:bookmarkStart w:id="1893" w:name="_Toc351203621"/>
      <w:bookmarkStart w:id="1894" w:name="_Toc296503141"/>
      <w:bookmarkStart w:id="1895" w:name="_Toc296346642"/>
      <w:bookmarkStart w:id="1896" w:name="_Toc337558836"/>
      <w:r>
        <w:rPr>
          <w:rFonts w:hint="eastAsia"/>
          <w:color w:val="auto"/>
          <w:sz w:val="21"/>
          <w:szCs w:val="21"/>
          <w:highlight w:val="none"/>
        </w:rPr>
        <w:t>19.1 承包人的索赔</w:t>
      </w:r>
      <w:bookmarkEnd w:id="1891"/>
      <w:bookmarkEnd w:id="1892"/>
    </w:p>
    <w:p w14:paraId="5AAD8BBB">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根据合同约定，承包人认为有权得到追加付款和（或）延长工期的，应按以下程序向发包人提出索赔：</w:t>
      </w:r>
    </w:p>
    <w:p w14:paraId="082F66E7">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（1）承包人应在索赔事件发生后28天内，向监理人递交索赔意向通知书，并说明发生索赔事件的事由；承包人未在前述28天内发出索赔意向通知书的，丧失要求追加付款和（或）延长工期的权利；</w:t>
      </w:r>
    </w:p>
    <w:p w14:paraId="4EADB285">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40CC5893">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（3）索赔事件具有持续影响的，承包人应按监理人要求的合理时间间隔继续递交延续索赔通知，说明持续影响的实际情况和记录，列出累计的追加付款金额和（或）工期延长天数；</w:t>
      </w:r>
    </w:p>
    <w:p w14:paraId="537296A4">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（4）在索赔事件影响结束后28天内，承包人应向监理人递交最终索赔报告，说明最终要求索赔的追加付款金额和（或）延长的工期，并附必要的记录和证明材料。</w:t>
      </w:r>
    </w:p>
    <w:p w14:paraId="37689F92">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6074E25">
      <w:pPr>
        <w:pStyle w:val="7"/>
        <w:spacing w:before="0" w:beforeAutospacing="0" w:after="0" w:afterAutospacing="0" w:line="360" w:lineRule="auto"/>
        <w:ind w:firstLine="422" w:firstLineChars="200"/>
        <w:rPr>
          <w:color w:val="auto"/>
          <w:sz w:val="21"/>
          <w:szCs w:val="21"/>
          <w:highlight w:val="none"/>
        </w:rPr>
      </w:pPr>
      <w:bookmarkStart w:id="1897" w:name="_Toc532377415"/>
      <w:bookmarkStart w:id="1898" w:name="_Toc532375676"/>
      <w:r>
        <w:rPr>
          <w:rFonts w:hint="eastAsia"/>
          <w:color w:val="auto"/>
          <w:sz w:val="21"/>
          <w:szCs w:val="21"/>
          <w:highlight w:val="none"/>
        </w:rPr>
        <w:t>19.2 对承包人索赔的处理</w:t>
      </w:r>
      <w:bookmarkEnd w:id="1897"/>
      <w:bookmarkEnd w:id="1898"/>
    </w:p>
    <w:p w14:paraId="6540B6D0">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对承包人索赔的处理如下：</w:t>
      </w:r>
    </w:p>
    <w:p w14:paraId="3A953F1F">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（1）监理人应在收到索赔报告后14天内完成审查并报送发包人。监理人对索赔报告存在异议的，有权要求承包人提交全部原始记录副本</w:t>
      </w:r>
      <w:r>
        <w:rPr>
          <w:rFonts w:hint="eastAsia" w:ascii="宋体" w:hAnsi="宋体"/>
          <w:color w:val="auto"/>
          <w:szCs w:val="21"/>
          <w:highlight w:val="none"/>
        </w:rPr>
        <w:t>；</w:t>
      </w:r>
    </w:p>
    <w:p w14:paraId="191000A9">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color w:val="auto"/>
          <w:szCs w:val="21"/>
          <w:highlight w:val="none"/>
        </w:rPr>
        <w:t>；</w:t>
      </w:r>
    </w:p>
    <w:p w14:paraId="5EED158C">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（3）承包人接受索赔处理结果的，索赔款项在当期进度款中进行支付；承包人不接受索赔处理结果的，按照第20条〔争议解决〕约定处理</w:t>
      </w:r>
      <w:r>
        <w:rPr>
          <w:rFonts w:hint="eastAsia" w:ascii="宋体" w:hAnsi="宋体"/>
          <w:color w:val="auto"/>
          <w:szCs w:val="21"/>
          <w:highlight w:val="none"/>
        </w:rPr>
        <w:t>；</w:t>
      </w:r>
    </w:p>
    <w:p w14:paraId="2278C3A9">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（4）工期延误的关键线路按照经监理人、发包人审批同意的施工组织设计计算</w:t>
      </w:r>
      <w:r>
        <w:rPr>
          <w:rFonts w:hint="eastAsia" w:ascii="宋体" w:hAnsi="宋体"/>
          <w:color w:val="auto"/>
          <w:szCs w:val="21"/>
          <w:highlight w:val="none"/>
        </w:rPr>
        <w:t>。</w:t>
      </w:r>
    </w:p>
    <w:p w14:paraId="2ECFB51A">
      <w:pPr>
        <w:pStyle w:val="7"/>
        <w:spacing w:before="0" w:beforeAutospacing="0" w:after="0" w:afterAutospacing="0" w:line="360" w:lineRule="auto"/>
        <w:ind w:firstLine="422" w:firstLineChars="200"/>
        <w:rPr>
          <w:color w:val="auto"/>
          <w:sz w:val="21"/>
          <w:szCs w:val="21"/>
          <w:highlight w:val="none"/>
        </w:rPr>
      </w:pPr>
      <w:bookmarkStart w:id="1899" w:name="_Toc532375677"/>
      <w:bookmarkStart w:id="1900" w:name="_Toc532377416"/>
      <w:r>
        <w:rPr>
          <w:rFonts w:hint="eastAsia"/>
          <w:color w:val="auto"/>
          <w:sz w:val="21"/>
          <w:szCs w:val="21"/>
          <w:highlight w:val="none"/>
        </w:rPr>
        <w:t>19.3发包人的索赔</w:t>
      </w:r>
      <w:bookmarkEnd w:id="1899"/>
      <w:bookmarkEnd w:id="1900"/>
    </w:p>
    <w:p w14:paraId="398119FD">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根据合同约定，发包人认为有权得到赔付金额和（或）延长缺陷责任期的，监理人应向承包人发出通知并附有详细的证明。</w:t>
      </w:r>
    </w:p>
    <w:p w14:paraId="1A9A0DF8">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901" w:name="_Hlk528652769"/>
      <w:r>
        <w:rPr>
          <w:rFonts w:hint="eastAsia" w:ascii="宋体" w:hAnsi="宋体"/>
          <w:color w:val="auto"/>
          <w:szCs w:val="21"/>
          <w:highlight w:val="none"/>
        </w:rPr>
        <w:t>通过监理人向承包人正式递交最终索赔报告</w:t>
      </w:r>
      <w:bookmarkEnd w:id="1901"/>
      <w:r>
        <w:rPr>
          <w:rFonts w:hint="eastAsia" w:ascii="宋体" w:hAnsi="宋体"/>
          <w:color w:val="auto"/>
          <w:szCs w:val="21"/>
          <w:highlight w:val="none"/>
        </w:rPr>
        <w:t>。</w:t>
      </w:r>
    </w:p>
    <w:p w14:paraId="11798FC9">
      <w:pPr>
        <w:pStyle w:val="7"/>
        <w:spacing w:before="0" w:beforeAutospacing="0" w:after="0" w:afterAutospacing="0" w:line="360" w:lineRule="auto"/>
        <w:ind w:firstLine="422" w:firstLineChars="200"/>
        <w:rPr>
          <w:color w:val="auto"/>
          <w:sz w:val="21"/>
          <w:szCs w:val="21"/>
          <w:highlight w:val="none"/>
        </w:rPr>
      </w:pPr>
      <w:bookmarkStart w:id="1902" w:name="_Toc532375678"/>
      <w:bookmarkStart w:id="1903" w:name="_Toc532377417"/>
      <w:r>
        <w:rPr>
          <w:rFonts w:hint="eastAsia"/>
          <w:color w:val="auto"/>
          <w:sz w:val="21"/>
          <w:szCs w:val="21"/>
          <w:highlight w:val="none"/>
        </w:rPr>
        <w:t>19.4 对发包人索赔的处理</w:t>
      </w:r>
      <w:bookmarkEnd w:id="1902"/>
      <w:bookmarkEnd w:id="1903"/>
    </w:p>
    <w:p w14:paraId="498E7BB9">
      <w:pPr>
        <w:autoSpaceDE w:val="0"/>
        <w:autoSpaceDN w:val="0"/>
        <w:spacing w:line="360" w:lineRule="auto"/>
        <w:ind w:right="105" w:rightChars="50"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对发包人索赔的处理如下：</w:t>
      </w:r>
    </w:p>
    <w:p w14:paraId="57E90E33">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（1）承包人收到发包人提交的索赔报告后，应及时审查索赔报告的内容、查验发包人证明材料；</w:t>
      </w:r>
    </w:p>
    <w:p w14:paraId="6ADCFAFA">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14:paraId="3A63D84B">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（3）承包人接受索赔处理结果的，发包人可从应支付给承包人的合同价款中扣除赔付的金额或延长缺陷责任期；发包人不接受索赔处理结果的，按第20条〔争议解决〕约定处理。</w:t>
      </w:r>
    </w:p>
    <w:p w14:paraId="1062EFD8">
      <w:pPr>
        <w:pStyle w:val="7"/>
        <w:spacing w:before="0" w:beforeAutospacing="0" w:after="0" w:afterAutospacing="0" w:line="360" w:lineRule="auto"/>
        <w:ind w:firstLine="422" w:firstLineChars="200"/>
        <w:rPr>
          <w:color w:val="auto"/>
          <w:sz w:val="21"/>
          <w:szCs w:val="21"/>
          <w:highlight w:val="none"/>
        </w:rPr>
      </w:pPr>
      <w:bookmarkStart w:id="1904" w:name="_Toc532377418"/>
      <w:bookmarkStart w:id="1905" w:name="_Toc532375679"/>
      <w:bookmarkStart w:id="1906" w:name="_Hlk528928420"/>
      <w:r>
        <w:rPr>
          <w:rFonts w:hint="eastAsia"/>
          <w:color w:val="auto"/>
          <w:sz w:val="21"/>
          <w:szCs w:val="21"/>
          <w:highlight w:val="none"/>
        </w:rPr>
        <w:t>19.5 提出索赔的期限</w:t>
      </w:r>
      <w:bookmarkEnd w:id="1904"/>
      <w:bookmarkEnd w:id="1905"/>
    </w:p>
    <w:p w14:paraId="2D711DDD">
      <w:pPr>
        <w:autoSpaceDE w:val="0"/>
        <w:autoSpaceDN w:val="0"/>
        <w:spacing w:line="360" w:lineRule="auto"/>
        <w:ind w:right="105" w:rightChars="50" w:firstLine="420" w:firstLineChars="200"/>
        <w:jc w:val="left"/>
        <w:rPr>
          <w:rFonts w:ascii="宋体" w:hAnsi="宋体"/>
          <w:color w:val="auto"/>
          <w:szCs w:val="21"/>
          <w:highlight w:val="none"/>
        </w:rPr>
      </w:pPr>
      <w:bookmarkStart w:id="1907" w:name="_Hlk524298376"/>
      <w:r>
        <w:rPr>
          <w:rFonts w:hint="eastAsia" w:ascii="宋体" w:hAnsi="宋体"/>
          <w:color w:val="auto"/>
          <w:szCs w:val="21"/>
          <w:highlight w:val="none"/>
        </w:rPr>
        <w:t>任一索赔事件发生后28天内，承包人/发包人未向对方发出索赔意向通知书的，视为其已放弃索赔权，无权再就该索赔事项提出任何索赔。</w:t>
      </w:r>
    </w:p>
    <w:bookmarkEnd w:id="1893"/>
    <w:bookmarkEnd w:id="1894"/>
    <w:bookmarkEnd w:id="1895"/>
    <w:bookmarkEnd w:id="1896"/>
    <w:bookmarkEnd w:id="1906"/>
    <w:bookmarkEnd w:id="1907"/>
    <w:p w14:paraId="7D1A1751">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908" w:name="_Toc532377419"/>
      <w:bookmarkStart w:id="1909" w:name="_Toc532375680"/>
      <w:bookmarkStart w:id="1910" w:name="_Toc351203651"/>
      <w:r>
        <w:rPr>
          <w:rFonts w:hint="eastAsia"/>
          <w:color w:val="auto"/>
          <w:kern w:val="2"/>
          <w:sz w:val="21"/>
          <w:szCs w:val="21"/>
          <w:highlight w:val="none"/>
        </w:rPr>
        <w:t>20. 争议解决</w:t>
      </w:r>
      <w:bookmarkEnd w:id="1908"/>
      <w:bookmarkEnd w:id="1909"/>
      <w:bookmarkEnd w:id="1910"/>
    </w:p>
    <w:p w14:paraId="6DF0A8E5">
      <w:pPr>
        <w:pStyle w:val="7"/>
        <w:spacing w:before="0" w:beforeAutospacing="0" w:after="0" w:afterAutospacing="0" w:line="360" w:lineRule="auto"/>
        <w:ind w:firstLine="422" w:firstLineChars="200"/>
        <w:rPr>
          <w:color w:val="auto"/>
          <w:sz w:val="21"/>
          <w:szCs w:val="21"/>
          <w:highlight w:val="none"/>
        </w:rPr>
      </w:pPr>
      <w:bookmarkStart w:id="1911" w:name="_Toc532375681"/>
      <w:bookmarkStart w:id="1912" w:name="_Toc532377420"/>
      <w:r>
        <w:rPr>
          <w:rFonts w:hint="eastAsia"/>
          <w:color w:val="auto"/>
          <w:sz w:val="21"/>
          <w:szCs w:val="21"/>
          <w:highlight w:val="none"/>
        </w:rPr>
        <w:t>20.3 争议评审</w:t>
      </w:r>
      <w:bookmarkEnd w:id="1911"/>
      <w:bookmarkEnd w:id="1912"/>
    </w:p>
    <w:p w14:paraId="01D6470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合同当事人是否同意将工程争议提交争议评审小组决定：</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4401B98">
      <w:pPr>
        <w:pStyle w:val="7"/>
        <w:spacing w:before="0" w:beforeAutospacing="0" w:after="0" w:afterAutospacing="0" w:line="360" w:lineRule="auto"/>
        <w:ind w:firstLine="422" w:firstLineChars="200"/>
        <w:rPr>
          <w:color w:val="auto"/>
          <w:sz w:val="21"/>
          <w:szCs w:val="21"/>
          <w:highlight w:val="none"/>
        </w:rPr>
      </w:pPr>
      <w:bookmarkStart w:id="1913" w:name="_Toc532375682"/>
      <w:bookmarkStart w:id="1914" w:name="_Toc532377421"/>
      <w:r>
        <w:rPr>
          <w:rFonts w:hint="eastAsia"/>
          <w:color w:val="auto"/>
          <w:sz w:val="21"/>
          <w:szCs w:val="21"/>
          <w:highlight w:val="none"/>
        </w:rPr>
        <w:t>20.4 仲裁或诉讼</w:t>
      </w:r>
      <w:bookmarkEnd w:id="1913"/>
      <w:bookmarkEnd w:id="1914"/>
    </w:p>
    <w:p w14:paraId="74EBA5F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因合同及合同有关事项发生的争议，按下列第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14:paraId="2DCF8370">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（1）向</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ascii="宋体" w:hAnsi="宋体"/>
          <w:color w:val="auto"/>
          <w:szCs w:val="21"/>
          <w:highlight w:val="none"/>
          <w:u w:val="single"/>
        </w:rPr>
        <w:t xml:space="preserve">        </w:t>
      </w:r>
      <w:r>
        <w:rPr>
          <w:rFonts w:ascii="宋体" w:hAnsi="宋体"/>
          <w:color w:val="auto"/>
          <w:szCs w:val="21"/>
          <w:highlight w:val="none"/>
        </w:rPr>
        <w:t>仲裁委员会申请仲裁；</w:t>
      </w:r>
    </w:p>
    <w:p w14:paraId="19EF3E0C">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（2）向</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垫江县      </w:t>
      </w:r>
      <w:r>
        <w:rPr>
          <w:rFonts w:ascii="宋体" w:hAnsi="宋体"/>
          <w:color w:val="auto"/>
          <w:szCs w:val="21"/>
          <w:highlight w:val="none"/>
          <w:u w:val="single"/>
        </w:rPr>
        <w:t xml:space="preserve">   </w:t>
      </w:r>
      <w:r>
        <w:rPr>
          <w:rFonts w:ascii="宋体" w:hAnsi="宋体"/>
          <w:color w:val="auto"/>
          <w:szCs w:val="21"/>
          <w:highlight w:val="none"/>
        </w:rPr>
        <w:t>人民法院起诉。</w:t>
      </w:r>
    </w:p>
    <w:p w14:paraId="0C2B8761">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915" w:name="_Toc532375683"/>
      <w:bookmarkStart w:id="1916" w:name="_Toc532377422"/>
      <w:r>
        <w:rPr>
          <w:rFonts w:hint="eastAsia"/>
          <w:color w:val="auto"/>
          <w:kern w:val="2"/>
          <w:sz w:val="21"/>
          <w:szCs w:val="21"/>
          <w:highlight w:val="none"/>
        </w:rPr>
        <w:t>21. 补充条款</w:t>
      </w:r>
      <w:bookmarkEnd w:id="1915"/>
      <w:bookmarkEnd w:id="1916"/>
    </w:p>
    <w:p w14:paraId="112D339C">
      <w:pPr>
        <w:pStyle w:val="7"/>
        <w:spacing w:before="0" w:beforeAutospacing="0" w:after="0" w:afterAutospacing="0" w:line="360" w:lineRule="auto"/>
        <w:ind w:firstLine="422" w:firstLineChars="200"/>
        <w:rPr>
          <w:color w:val="auto"/>
          <w:sz w:val="21"/>
          <w:szCs w:val="21"/>
          <w:highlight w:val="none"/>
        </w:rPr>
      </w:pPr>
      <w:bookmarkStart w:id="1917" w:name="_Toc532377423"/>
      <w:bookmarkStart w:id="1918" w:name="_Toc532375684"/>
      <w:r>
        <w:rPr>
          <w:rFonts w:hint="eastAsia"/>
          <w:color w:val="auto"/>
          <w:sz w:val="21"/>
          <w:szCs w:val="21"/>
          <w:highlight w:val="none"/>
        </w:rPr>
        <w:t>21.1 退出机制</w:t>
      </w:r>
      <w:bookmarkEnd w:id="1917"/>
      <w:bookmarkEnd w:id="1918"/>
    </w:p>
    <w:p w14:paraId="7AD9606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21.1.1有下列情形之一的，发包人有权解除合同，亦有权兑付履约担保，并对承包人做清退出场处理</w:t>
      </w:r>
      <w:r>
        <w:rPr>
          <w:rFonts w:hint="eastAsia" w:ascii="宋体" w:hAnsi="宋体"/>
          <w:color w:val="auto"/>
          <w:kern w:val="0"/>
          <w:szCs w:val="21"/>
          <w:highlight w:val="none"/>
        </w:rPr>
        <w:t>：</w:t>
      </w:r>
    </w:p>
    <w:p w14:paraId="2C348E3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（1）因承包人原因造成较大及以上等级生产安全事故或工程质量事故的；</w:t>
      </w:r>
    </w:p>
    <w:p w14:paraId="74D4AF11">
      <w:pPr>
        <w:spacing w:line="360" w:lineRule="auto"/>
        <w:ind w:right="105" w:rightChars="50"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（2）因承包人债权债务纠纷或其他纠纷导致工程无法正常施工的。</w:t>
      </w:r>
    </w:p>
    <w:p w14:paraId="1EEB923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kern w:val="0"/>
          <w:szCs w:val="21"/>
          <w:highlight w:val="none"/>
        </w:rPr>
        <w:t>（3）</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678AD9DF">
      <w:pPr>
        <w:pStyle w:val="2"/>
        <w:spacing w:after="0" w:line="360" w:lineRule="auto"/>
        <w:ind w:firstLine="420" w:firstLineChars="200"/>
        <w:rPr>
          <w:rFonts w:ascii="宋体" w:hAnsi="宋体"/>
          <w:color w:val="auto"/>
          <w:szCs w:val="21"/>
          <w:highlight w:val="none"/>
        </w:rPr>
      </w:pPr>
      <w:r>
        <w:rPr>
          <w:rFonts w:hint="eastAsia" w:ascii="宋体" w:hAnsi="宋体"/>
          <w:color w:val="auto"/>
          <w:szCs w:val="21"/>
          <w:highlight w:val="none"/>
        </w:rPr>
        <w:t>21.1.2有下列情形之一的，承包人有权解除合同，并按16.1.4约定执行：</w:t>
      </w:r>
    </w:p>
    <w:p w14:paraId="33C87860">
      <w:pPr>
        <w:pStyle w:val="2"/>
        <w:spacing w:after="0"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（1）因发包人征地、拆迁、补偿、审批手续等原因致使本工程延期开工超过90天的。</w:t>
      </w:r>
    </w:p>
    <w:p w14:paraId="239B730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30EBD166">
      <w:pPr>
        <w:pStyle w:val="7"/>
        <w:spacing w:before="0" w:beforeAutospacing="0" w:after="0" w:afterAutospacing="0" w:line="360" w:lineRule="auto"/>
        <w:ind w:firstLine="422" w:firstLineChars="200"/>
        <w:rPr>
          <w:color w:val="auto"/>
          <w:sz w:val="21"/>
          <w:szCs w:val="21"/>
          <w:highlight w:val="none"/>
        </w:rPr>
      </w:pPr>
      <w:bookmarkStart w:id="1919" w:name="_Toc532375685"/>
      <w:bookmarkStart w:id="1920" w:name="_Toc532377424"/>
      <w:r>
        <w:rPr>
          <w:rFonts w:hint="eastAsia"/>
          <w:color w:val="auto"/>
          <w:sz w:val="21"/>
          <w:szCs w:val="21"/>
          <w:highlight w:val="none"/>
        </w:rPr>
        <w:t>21.2智慧工地</w:t>
      </w:r>
      <w:bookmarkEnd w:id="1919"/>
      <w:bookmarkEnd w:id="1920"/>
    </w:p>
    <w:p w14:paraId="068D785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工地建设可参照重庆市城乡建设委员会《关于印发“智慧工地”建设工作方案的通知》（渝建〔2017〕414号）的相关要求建设。</w:t>
      </w:r>
      <w:bookmarkEnd w:id="1863"/>
    </w:p>
    <w:p w14:paraId="742D6A7C">
      <w:pPr>
        <w:pStyle w:val="7"/>
        <w:spacing w:before="0" w:beforeAutospacing="0" w:after="0" w:afterAutospacing="0" w:line="360" w:lineRule="auto"/>
        <w:ind w:firstLine="422" w:firstLineChars="200"/>
        <w:rPr>
          <w:color w:val="auto"/>
          <w:sz w:val="21"/>
          <w:szCs w:val="21"/>
          <w:highlight w:val="none"/>
          <w:u w:val="single"/>
        </w:rPr>
      </w:pPr>
      <w:r>
        <w:rPr>
          <w:rFonts w:hint="eastAsia"/>
          <w:color w:val="auto"/>
          <w:sz w:val="21"/>
          <w:szCs w:val="21"/>
          <w:highlight w:val="none"/>
        </w:rPr>
        <w:t>21.3低价风险担保</w:t>
      </w:r>
    </w:p>
    <w:p w14:paraId="102CB1D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承包人提供低价风险担保的情形：采用经评审的最低投标价法的项目投标报价低于最高限价85%时。</w:t>
      </w:r>
    </w:p>
    <w:p w14:paraId="1FCA708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承包人提供低价风险担保的形式、金额及期限：</w:t>
      </w:r>
    </w:p>
    <w:p w14:paraId="5EB7410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（1）低价风险担保的形式：现金或银行保函或现金+银行保函的组合；采用保函形式的，保函必须为不可撤销、不可转让且见索即付的独立保函；</w:t>
      </w:r>
    </w:p>
    <w:p w14:paraId="1871F97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（2）低价风险担保的金额：</w:t>
      </w:r>
      <w:r>
        <w:rPr>
          <w:rFonts w:hint="eastAsia" w:ascii="宋体" w:hAnsi="宋体" w:eastAsia="宋体" w:cs="宋体"/>
          <w:color w:val="auto"/>
          <w:kern w:val="0"/>
          <w:sz w:val="21"/>
          <w:szCs w:val="21"/>
          <w:highlight w:val="none"/>
          <w:u w:val="single"/>
        </w:rPr>
        <w:t>（最高限价×85%-中标价）×□1□2</w:t>
      </w:r>
      <w:r>
        <w:rPr>
          <w:rFonts w:hint="eastAsia" w:ascii="宋体" w:hAnsi="宋体" w:eastAsia="宋体" w:cs="宋体"/>
          <w:color w:val="auto"/>
          <w:kern w:val="0"/>
          <w:sz w:val="21"/>
          <w:szCs w:val="21"/>
          <w:highlight w:val="none"/>
          <w:u w:val="single"/>
        </w:rPr>
        <w:sym w:font="Wingdings 2" w:char="0052"/>
      </w:r>
      <w:r>
        <w:rPr>
          <w:rFonts w:hint="eastAsia" w:ascii="宋体" w:hAnsi="宋体" w:eastAsia="宋体" w:cs="宋体"/>
          <w:color w:val="auto"/>
          <w:kern w:val="0"/>
          <w:sz w:val="21"/>
          <w:szCs w:val="21"/>
          <w:highlight w:val="none"/>
          <w:u w:val="single"/>
        </w:rPr>
        <w:t>3</w:t>
      </w:r>
      <w:r>
        <w:rPr>
          <w:rStyle w:val="60"/>
          <w:rFonts w:hint="eastAsia" w:ascii="宋体" w:hAnsi="宋体" w:eastAsia="宋体" w:cs="宋体"/>
          <w:color w:val="auto"/>
          <w:sz w:val="21"/>
          <w:szCs w:val="21"/>
          <w:highlight w:val="none"/>
          <w:u w:val="single"/>
        </w:rPr>
        <w:t>，且最高不超过最高限价的85%</w:t>
      </w:r>
      <w:r>
        <w:rPr>
          <w:rFonts w:hint="eastAsia" w:ascii="宋体" w:hAnsi="宋体"/>
          <w:color w:val="auto"/>
          <w:szCs w:val="21"/>
          <w:highlight w:val="none"/>
        </w:rPr>
        <w:t>；</w:t>
      </w:r>
    </w:p>
    <w:p w14:paraId="64BBAF3D">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（3）低价风险担保的提交时间：</w:t>
      </w:r>
      <w:r>
        <w:rPr>
          <w:rFonts w:hint="eastAsia"/>
          <w:color w:val="auto"/>
          <w:szCs w:val="21"/>
          <w:highlight w:val="none"/>
          <w:u w:val="single"/>
        </w:rPr>
        <w:t>从招标人中标通知书送达拟中标人之日起15个工作日内；</w:t>
      </w:r>
      <w:r>
        <w:rPr>
          <w:rFonts w:hint="eastAsia" w:ascii="宋体" w:hAnsi="宋体"/>
          <w:color w:val="auto"/>
          <w:szCs w:val="21"/>
          <w:highlight w:val="none"/>
          <w:u w:val="single"/>
        </w:rPr>
        <w:t>；</w:t>
      </w:r>
    </w:p>
    <w:p w14:paraId="7E0E8870">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（4）低价风险担保的期限：</w:t>
      </w:r>
      <w:r>
        <w:rPr>
          <w:rFonts w:hint="eastAsia" w:ascii="宋体" w:hAnsi="宋体"/>
          <w:color w:val="auto"/>
          <w:szCs w:val="21"/>
          <w:highlight w:val="none"/>
          <w:u w:val="single"/>
        </w:rPr>
        <w:t>自低价风险担保生效之日起至竣工验收合格之日止</w:t>
      </w:r>
      <w:r>
        <w:rPr>
          <w:rFonts w:hint="eastAsia" w:ascii="宋体" w:hAnsi="宋体"/>
          <w:color w:val="auto"/>
          <w:szCs w:val="21"/>
          <w:highlight w:val="none"/>
        </w:rPr>
        <w:t>。</w:t>
      </w:r>
    </w:p>
    <w:p w14:paraId="5C366E4B">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低价风险担保的退还时间：</w:t>
      </w:r>
      <w:r>
        <w:rPr>
          <w:rFonts w:hint="eastAsia" w:ascii="宋体" w:hAnsi="宋体"/>
          <w:color w:val="auto"/>
          <w:szCs w:val="21"/>
          <w:highlight w:val="none"/>
          <w:u w:val="single"/>
        </w:rPr>
        <w:t>采用现金担保的，工程竣工验收合格后14天内退还，合同履行期间允许承包人用符合要求的银行保函进行置换；采用银行保函的，工程竣工验收合格后14天内退还。采用分段退还的，低价风险担保的退还时间及方式为：</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8BEA4B3">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（5）低价风险担保的扣减：</w:t>
      </w:r>
    </w:p>
    <w:p w14:paraId="2E315130">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hint="eastAsia" w:ascii="宋体" w:hAnsi="宋体"/>
          <w:color w:val="auto"/>
          <w:szCs w:val="21"/>
          <w:highlight w:val="none"/>
          <w:u w:val="single"/>
        </w:rPr>
        <w:t>50～100%</w:t>
      </w:r>
      <w:r>
        <w:rPr>
          <w:rFonts w:hint="eastAsia" w:ascii="宋体" w:hAnsi="宋体"/>
          <w:color w:val="auto"/>
          <w:szCs w:val="21"/>
          <w:highlight w:val="none"/>
        </w:rPr>
        <w:t>扣减，直至解除合同；</w:t>
      </w:r>
    </w:p>
    <w:p w14:paraId="4C066DD7">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②承包人在工程施工期间或竣工验收时，工程质量不符合国家现行有关施工质量验收规范要求的，按低价风险担保金额的</w:t>
      </w:r>
      <w:r>
        <w:rPr>
          <w:rFonts w:hint="eastAsia" w:ascii="宋体" w:hAnsi="宋体"/>
          <w:color w:val="auto"/>
          <w:szCs w:val="21"/>
          <w:highlight w:val="none"/>
          <w:u w:val="single"/>
        </w:rPr>
        <w:t>50～100%</w:t>
      </w:r>
      <w:r>
        <w:rPr>
          <w:rFonts w:hint="eastAsia" w:ascii="宋体" w:hAnsi="宋体"/>
          <w:color w:val="auto"/>
          <w:szCs w:val="21"/>
          <w:highlight w:val="none"/>
        </w:rPr>
        <w:t>扣减，直至解除合同；</w:t>
      </w:r>
    </w:p>
    <w:p w14:paraId="1F65FD57">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③承包人因16.2.3项原因被解除合同的，低价风险担保将全额扣除；</w:t>
      </w:r>
    </w:p>
    <w:p w14:paraId="3C4B2530">
      <w:pPr>
        <w:pStyle w:val="7"/>
        <w:spacing w:before="0" w:beforeAutospacing="0" w:after="0" w:afterAutospacing="0" w:line="360" w:lineRule="auto"/>
        <w:ind w:firstLine="400" w:firstLineChars="200"/>
        <w:rPr>
          <w:color w:val="auto"/>
          <w:sz w:val="21"/>
          <w:szCs w:val="21"/>
          <w:highlight w:val="none"/>
        </w:rPr>
      </w:pPr>
      <w:r>
        <w:rPr>
          <w:rFonts w:hint="eastAsia"/>
          <w:b w:val="0"/>
          <w:bCs w:val="0"/>
          <w:color w:val="auto"/>
          <w:szCs w:val="21"/>
          <w:highlight w:val="none"/>
        </w:rPr>
        <w:t>④因承包人过错导致的其他情形：</w:t>
      </w:r>
      <w:r>
        <w:rPr>
          <w:rFonts w:hint="eastAsia"/>
          <w:b w:val="0"/>
          <w:bCs w:val="0"/>
          <w:color w:val="auto"/>
          <w:szCs w:val="21"/>
          <w:highlight w:val="none"/>
          <w:u w:val="single"/>
        </w:rPr>
        <w:t xml:space="preserve">        </w:t>
      </w:r>
      <w:r>
        <w:rPr>
          <w:rFonts w:hint="eastAsia"/>
          <w:b w:val="0"/>
          <w:bCs w:val="0"/>
          <w:color w:val="auto"/>
          <w:szCs w:val="21"/>
          <w:highlight w:val="none"/>
        </w:rPr>
        <w:t>。</w:t>
      </w:r>
    </w:p>
    <w:p w14:paraId="77CDA3E4">
      <w:pPr>
        <w:pStyle w:val="7"/>
        <w:spacing w:before="0" w:beforeAutospacing="0" w:after="0" w:afterAutospacing="0" w:line="360" w:lineRule="auto"/>
        <w:ind w:firstLine="422" w:firstLineChars="200"/>
        <w:rPr>
          <w:rFonts w:hint="eastAsia"/>
          <w:color w:val="auto"/>
          <w:sz w:val="21"/>
          <w:szCs w:val="21"/>
          <w:highlight w:val="none"/>
          <w:u w:val="single"/>
        </w:rPr>
      </w:pPr>
      <w:r>
        <w:rPr>
          <w:rFonts w:hint="eastAsia"/>
          <w:color w:val="auto"/>
          <w:sz w:val="21"/>
          <w:szCs w:val="21"/>
          <w:highlight w:val="none"/>
        </w:rPr>
        <w:t>21.4 关于不平衡报价的约定</w:t>
      </w:r>
      <w:r>
        <w:rPr>
          <w:rFonts w:hint="eastAsia"/>
          <w:color w:val="auto"/>
          <w:sz w:val="21"/>
          <w:szCs w:val="21"/>
          <w:highlight w:val="none"/>
          <w:lang w:eastAsia="zh-CN"/>
        </w:rPr>
        <w:t>：</w:t>
      </w:r>
      <w:r>
        <w:rPr>
          <w:rFonts w:hint="eastAsia"/>
          <w:color w:val="auto"/>
          <w:sz w:val="21"/>
          <w:szCs w:val="21"/>
          <w:highlight w:val="none"/>
          <w:u w:val="single"/>
        </w:rPr>
        <w:t xml:space="preserve">       </w:t>
      </w:r>
    </w:p>
    <w:p w14:paraId="487E232C">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21.</w:t>
      </w:r>
      <w:r>
        <w:rPr>
          <w:rFonts w:hint="eastAsia"/>
          <w:color w:val="auto"/>
          <w:sz w:val="21"/>
          <w:szCs w:val="21"/>
          <w:highlight w:val="none"/>
          <w:lang w:val="en-US" w:eastAsia="zh-CN"/>
        </w:rPr>
        <w:t>5</w:t>
      </w:r>
      <w:r>
        <w:rPr>
          <w:rFonts w:hint="eastAsia"/>
          <w:color w:val="auto"/>
          <w:sz w:val="21"/>
          <w:szCs w:val="21"/>
          <w:highlight w:val="none"/>
        </w:rPr>
        <w:t xml:space="preserve"> </w:t>
      </w:r>
      <w:r>
        <w:rPr>
          <w:rFonts w:hint="eastAsia"/>
          <w:color w:val="auto"/>
          <w:sz w:val="21"/>
          <w:szCs w:val="21"/>
          <w:highlight w:val="none"/>
          <w:u w:val="single"/>
        </w:rPr>
        <w:t xml:space="preserve">       </w:t>
      </w:r>
    </w:p>
    <w:p w14:paraId="4C4BA341">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921" w:name="baidusnap3"/>
      <w:bookmarkEnd w:id="1921"/>
      <w:bookmarkStart w:id="1922" w:name="baidusnap7"/>
      <w:bookmarkEnd w:id="1922"/>
      <w:bookmarkStart w:id="1923" w:name="_Toc532377425"/>
      <w:bookmarkStart w:id="1924" w:name="_Toc532375686"/>
      <w:bookmarkStart w:id="1925" w:name="_Toc351203652"/>
      <w:r>
        <w:rPr>
          <w:rFonts w:hint="eastAsia"/>
          <w:color w:val="auto"/>
          <w:kern w:val="2"/>
          <w:sz w:val="21"/>
          <w:szCs w:val="21"/>
          <w:highlight w:val="none"/>
        </w:rPr>
        <w:t>22. 合同附件</w:t>
      </w:r>
      <w:bookmarkEnd w:id="1923"/>
      <w:bookmarkEnd w:id="1924"/>
    </w:p>
    <w:p w14:paraId="15C76601">
      <w:pPr>
        <w:spacing w:line="360" w:lineRule="auto"/>
        <w:ind w:right="105" w:rightChars="50" w:firstLine="420" w:firstLineChars="200"/>
        <w:jc w:val="left"/>
        <w:rPr>
          <w:rFonts w:ascii="宋体" w:hAnsi="宋体"/>
          <w:color w:val="auto"/>
          <w:highlight w:val="none"/>
        </w:rPr>
      </w:pPr>
      <w:r>
        <w:rPr>
          <w:rFonts w:hint="eastAsia" w:ascii="宋体" w:hAnsi="宋体"/>
          <w:color w:val="auto"/>
          <w:highlight w:val="none"/>
        </w:rPr>
        <w:t>以下附件是本合同的有效组成部分：</w:t>
      </w:r>
    </w:p>
    <w:p w14:paraId="34924BB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附件1：工程质量保修书</w:t>
      </w:r>
    </w:p>
    <w:p w14:paraId="4D42FE5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附件2：主要建设工程文件目录</w:t>
      </w:r>
    </w:p>
    <w:p w14:paraId="583BE29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附件3：承包人项目管理机构组成表</w:t>
      </w:r>
    </w:p>
    <w:p w14:paraId="75B8C35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附件4：履约</w:t>
      </w:r>
      <w:r>
        <w:rPr>
          <w:rFonts w:ascii="宋体" w:hAnsi="宋体"/>
          <w:color w:val="auto"/>
          <w:szCs w:val="21"/>
          <w:highlight w:val="none"/>
        </w:rPr>
        <w:t>担保</w:t>
      </w:r>
      <w:r>
        <w:rPr>
          <w:rFonts w:hint="eastAsia" w:ascii="宋体" w:hAnsi="宋体"/>
          <w:color w:val="auto"/>
          <w:szCs w:val="21"/>
          <w:highlight w:val="none"/>
        </w:rPr>
        <w:t>（如有）</w:t>
      </w:r>
    </w:p>
    <w:p w14:paraId="091432D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5</w:t>
      </w:r>
      <w:r>
        <w:rPr>
          <w:rFonts w:hint="eastAsia" w:ascii="宋体" w:hAnsi="宋体"/>
          <w:color w:val="auto"/>
          <w:szCs w:val="21"/>
          <w:highlight w:val="none"/>
        </w:rPr>
        <w:t>：预付款担保（如有）</w:t>
      </w:r>
    </w:p>
    <w:p w14:paraId="05D191E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6</w:t>
      </w:r>
      <w:r>
        <w:rPr>
          <w:rFonts w:hint="eastAsia" w:ascii="宋体" w:hAnsi="宋体"/>
          <w:color w:val="auto"/>
          <w:szCs w:val="21"/>
          <w:highlight w:val="none"/>
        </w:rPr>
        <w:t>：支付担保（如有）</w:t>
      </w:r>
    </w:p>
    <w:p w14:paraId="227617C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7</w:t>
      </w:r>
      <w:r>
        <w:rPr>
          <w:rFonts w:hint="eastAsia" w:ascii="宋体" w:hAnsi="宋体"/>
          <w:color w:val="auto"/>
          <w:szCs w:val="21"/>
          <w:highlight w:val="none"/>
        </w:rPr>
        <w:t>：专业工程暂估价表</w:t>
      </w:r>
    </w:p>
    <w:p w14:paraId="598337D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8</w:t>
      </w:r>
      <w:r>
        <w:rPr>
          <w:rFonts w:hint="eastAsia" w:ascii="宋体" w:hAnsi="宋体"/>
          <w:color w:val="auto"/>
          <w:szCs w:val="21"/>
          <w:highlight w:val="none"/>
        </w:rPr>
        <w:t>：廉洁从业协议</w:t>
      </w:r>
    </w:p>
    <w:p w14:paraId="47F2DC9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9</w:t>
      </w:r>
      <w:r>
        <w:rPr>
          <w:rFonts w:hint="eastAsia" w:ascii="宋体" w:hAnsi="宋体"/>
          <w:color w:val="auto"/>
          <w:szCs w:val="21"/>
          <w:highlight w:val="none"/>
        </w:rPr>
        <w:t>：安全管理协议</w:t>
      </w:r>
    </w:p>
    <w:p w14:paraId="4DDC939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10</w:t>
      </w:r>
      <w:r>
        <w:rPr>
          <w:rFonts w:hint="eastAsia" w:ascii="宋体" w:hAnsi="宋体"/>
          <w:color w:val="auto"/>
          <w:szCs w:val="21"/>
          <w:highlight w:val="none"/>
        </w:rPr>
        <w:t>：保障农民工工资支付协议</w:t>
      </w:r>
    </w:p>
    <w:p w14:paraId="2E1A9177">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szCs w:val="21"/>
          <w:highlight w:val="none"/>
        </w:rPr>
        <w:t>附件11：低价风险担保保函示范文本（独立保函）（如有）</w:t>
      </w:r>
    </w:p>
    <w:p w14:paraId="6F736DB2">
      <w:pPr>
        <w:spacing w:line="360" w:lineRule="auto"/>
        <w:ind w:right="105" w:rightChars="50"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附件12：质量保证金保函（如有）</w:t>
      </w:r>
    </w:p>
    <w:bookmarkEnd w:id="1925"/>
    <w:p w14:paraId="2AB6510A">
      <w:pPr>
        <w:spacing w:line="36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1926" w:name="_Toc267261693"/>
      <w:bookmarkStart w:id="1927" w:name="_Toc296503226"/>
      <w:bookmarkStart w:id="1928" w:name="_Toc296891054"/>
      <w:bookmarkStart w:id="1929" w:name="_Toc296944565"/>
      <w:bookmarkStart w:id="1930" w:name="_Toc296347225"/>
      <w:bookmarkStart w:id="1931" w:name="_Toc296346727"/>
      <w:bookmarkStart w:id="1932" w:name="_Toc296891266"/>
      <w:r>
        <w:rPr>
          <w:rFonts w:hint="eastAsia" w:ascii="宋体" w:hAnsi="宋体"/>
          <w:color w:val="auto"/>
          <w:szCs w:val="21"/>
          <w:highlight w:val="none"/>
        </w:rPr>
        <w:t>件1：</w:t>
      </w:r>
      <w:bookmarkEnd w:id="1926"/>
      <w:bookmarkEnd w:id="1927"/>
      <w:bookmarkEnd w:id="1928"/>
      <w:bookmarkEnd w:id="1929"/>
      <w:bookmarkEnd w:id="1930"/>
      <w:bookmarkEnd w:id="1931"/>
      <w:bookmarkEnd w:id="1932"/>
    </w:p>
    <w:p w14:paraId="426094DD">
      <w:pPr>
        <w:spacing w:before="156" w:beforeLines="50" w:after="156" w:afterLines="50" w:line="360" w:lineRule="auto"/>
        <w:jc w:val="center"/>
        <w:rPr>
          <w:rFonts w:ascii="宋体" w:hAnsi="宋体"/>
          <w:color w:val="auto"/>
          <w:szCs w:val="21"/>
          <w:highlight w:val="none"/>
        </w:rPr>
      </w:pPr>
      <w:r>
        <w:rPr>
          <w:rFonts w:hint="eastAsia" w:ascii="宋体" w:hAnsi="宋体"/>
          <w:color w:val="auto"/>
          <w:szCs w:val="21"/>
          <w:highlight w:val="none"/>
        </w:rPr>
        <w:t>工程质量保修书</w:t>
      </w:r>
    </w:p>
    <w:p w14:paraId="5472D21E">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10673205">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0E720AB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发包人和承包人根据《中华人民共和国建筑法》和《建设工程质量管理条例》，经协商一致就</w:t>
      </w:r>
    </w:p>
    <w:p w14:paraId="246BE8B3">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（工程全称）签订工程质量保修书。</w:t>
      </w:r>
    </w:p>
    <w:p w14:paraId="1575A8C7">
      <w:pPr>
        <w:spacing w:line="360" w:lineRule="auto"/>
        <w:ind w:firstLine="420" w:firstLineChars="200"/>
        <w:rPr>
          <w:rFonts w:ascii="宋体" w:hAnsi="宋体"/>
          <w:color w:val="auto"/>
          <w:szCs w:val="21"/>
          <w:highlight w:val="none"/>
        </w:rPr>
      </w:pPr>
      <w:bookmarkStart w:id="1933" w:name="_Toc532375687"/>
      <w:r>
        <w:rPr>
          <w:rFonts w:hint="eastAsia" w:ascii="宋体" w:hAnsi="宋体"/>
          <w:color w:val="auto"/>
          <w:szCs w:val="21"/>
          <w:highlight w:val="none"/>
        </w:rPr>
        <w:t>一、工程质量保修范围和内容</w:t>
      </w:r>
      <w:bookmarkEnd w:id="1933"/>
    </w:p>
    <w:p w14:paraId="0E03C2F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承包人在质量保修期内，按照有关法律规定和合同约定，承担工程质量保修责任。</w:t>
      </w:r>
    </w:p>
    <w:p w14:paraId="54A3CF4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3DF1A6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承包人承包范围内容均属质量保修范围内容；其中：</w:t>
      </w:r>
    </w:p>
    <w:p w14:paraId="66171E8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1.属于设计原因造成的质量问题，承包人负责维修，不留隐患，费用由发包人承担；</w:t>
      </w:r>
    </w:p>
    <w:p w14:paraId="4C71F41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2.属于施工造成的质量问题，承包人负责维修，不留隐患；</w:t>
      </w:r>
    </w:p>
    <w:p w14:paraId="5175F55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3.属于业主使用不当造成的质量问题，配合抢修，费用由发包人承担。</w:t>
      </w:r>
    </w:p>
    <w:p w14:paraId="1F4ADDB8">
      <w:pPr>
        <w:spacing w:line="360" w:lineRule="auto"/>
        <w:ind w:firstLine="420" w:firstLineChars="200"/>
        <w:rPr>
          <w:rFonts w:ascii="宋体" w:hAnsi="宋体"/>
          <w:color w:val="auto"/>
          <w:szCs w:val="21"/>
          <w:highlight w:val="none"/>
        </w:rPr>
      </w:pPr>
      <w:bookmarkStart w:id="1934" w:name="_Toc532375688"/>
      <w:r>
        <w:rPr>
          <w:rFonts w:hint="eastAsia" w:ascii="宋体" w:hAnsi="宋体"/>
          <w:color w:val="auto"/>
          <w:szCs w:val="21"/>
          <w:highlight w:val="none"/>
        </w:rPr>
        <w:t>二、质量保修期</w:t>
      </w:r>
      <w:bookmarkEnd w:id="1934"/>
    </w:p>
    <w:p w14:paraId="06A0E4C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根据《建设工程质量管理条例》及有关规定，本工程质量保修期约定如下：</w:t>
      </w:r>
    </w:p>
    <w:p w14:paraId="4814ECF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1.基础设施工程、房屋建筑的地基基础工程和主体结构工程，为设计文件规定的该工程的合理使用年限；</w:t>
      </w:r>
    </w:p>
    <w:p w14:paraId="7469E9B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2.屋面防水工程、有防水要求的卫生间、房间和外墙面的防渗漏，为5年；</w:t>
      </w:r>
    </w:p>
    <w:p w14:paraId="27D9032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3.供热与供冷系统，为2个采暖期、供冷期；</w:t>
      </w:r>
    </w:p>
    <w:p w14:paraId="214A270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4.电气管线、给排水管道、设备安装和装修工程，为2年；</w:t>
      </w:r>
    </w:p>
    <w:p w14:paraId="6F46DD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5.其他项目保修期限：2年；</w:t>
      </w:r>
      <w:r>
        <w:rPr>
          <w:rFonts w:hint="eastAsia" w:ascii="宋体" w:hAnsi="宋体"/>
          <w:i/>
          <w:color w:val="auto"/>
          <w:szCs w:val="21"/>
          <w:highlight w:val="none"/>
        </w:rPr>
        <w:t>[提示：如有不同，根据具体情况修改]</w:t>
      </w:r>
    </w:p>
    <w:p w14:paraId="737A205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建设工程的保修期，自工程竣工验收合格之日起计算。</w:t>
      </w:r>
    </w:p>
    <w:p w14:paraId="460F438F">
      <w:pPr>
        <w:spacing w:line="360" w:lineRule="auto"/>
        <w:ind w:firstLine="420" w:firstLineChars="200"/>
        <w:rPr>
          <w:rFonts w:ascii="宋体" w:hAnsi="宋体"/>
          <w:color w:val="auto"/>
          <w:szCs w:val="21"/>
          <w:highlight w:val="none"/>
        </w:rPr>
      </w:pPr>
      <w:bookmarkStart w:id="1935" w:name="_Toc532375689"/>
      <w:r>
        <w:rPr>
          <w:rFonts w:hint="eastAsia" w:ascii="宋体" w:hAnsi="宋体"/>
          <w:color w:val="auto"/>
          <w:szCs w:val="21"/>
          <w:highlight w:val="none"/>
        </w:rPr>
        <w:t>三、质量保修责任</w:t>
      </w:r>
      <w:bookmarkEnd w:id="1935"/>
    </w:p>
    <w:p w14:paraId="5084FB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1.属于保修范围、内容的项目，承包人应当在接到保修通知之日起7天内派人保修。承包人不在约定期限内派人保修的，发包人可以委托他人修理。</w:t>
      </w:r>
    </w:p>
    <w:p w14:paraId="77DAB5A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2.发生紧急事故需抢修的，承包人在接到事故通知后，应当立即到达事故现场抢修。</w:t>
      </w:r>
    </w:p>
    <w:p w14:paraId="6D0E06F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3141C5E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4.质量保修完成后，由发包人组织验收。</w:t>
      </w:r>
    </w:p>
    <w:p w14:paraId="77B2164D">
      <w:pPr>
        <w:spacing w:line="360" w:lineRule="auto"/>
        <w:ind w:firstLine="420" w:firstLineChars="200"/>
        <w:rPr>
          <w:rFonts w:ascii="宋体" w:hAnsi="宋体"/>
          <w:color w:val="auto"/>
          <w:szCs w:val="21"/>
          <w:highlight w:val="none"/>
        </w:rPr>
      </w:pPr>
      <w:bookmarkStart w:id="1936" w:name="_Toc532375690"/>
      <w:r>
        <w:rPr>
          <w:rFonts w:hint="eastAsia" w:ascii="宋体" w:hAnsi="宋体"/>
          <w:color w:val="auto"/>
          <w:szCs w:val="21"/>
          <w:highlight w:val="none"/>
        </w:rPr>
        <w:t>四、保修费用</w:t>
      </w:r>
      <w:bookmarkEnd w:id="1936"/>
    </w:p>
    <w:p w14:paraId="7D87D70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保修费用由质量缺陷的责任方承担。</w:t>
      </w:r>
    </w:p>
    <w:p w14:paraId="490EDDAF">
      <w:pPr>
        <w:spacing w:line="360" w:lineRule="auto"/>
        <w:ind w:firstLine="420" w:firstLineChars="200"/>
        <w:rPr>
          <w:rFonts w:ascii="宋体" w:hAnsi="宋体"/>
          <w:color w:val="auto"/>
          <w:szCs w:val="21"/>
          <w:highlight w:val="none"/>
        </w:rPr>
      </w:pPr>
      <w:bookmarkStart w:id="1937" w:name="_Toc532375691"/>
      <w:r>
        <w:rPr>
          <w:rFonts w:hint="eastAsia" w:ascii="宋体" w:hAnsi="宋体"/>
          <w:color w:val="auto"/>
          <w:szCs w:val="21"/>
          <w:highlight w:val="none"/>
        </w:rPr>
        <w:t>五、双方约定的其他工程质量保修事项</w:t>
      </w:r>
    </w:p>
    <w:p w14:paraId="4E6E307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按国家相关法律和规定执行</w:t>
      </w:r>
      <w:r>
        <w:rPr>
          <w:rFonts w:hint="eastAsia" w:ascii="宋体" w:hAnsi="宋体"/>
          <w:color w:val="auto"/>
          <w:szCs w:val="21"/>
          <w:highlight w:val="none"/>
        </w:rPr>
        <w:t>。</w:t>
      </w:r>
      <w:bookmarkEnd w:id="1937"/>
    </w:p>
    <w:p w14:paraId="43D818C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本工程质量保修书由发包人、承包人在工程竣工验收前共同签署，作为施工合同附件，其有效期限至保修期满。</w:t>
      </w:r>
    </w:p>
    <w:p w14:paraId="29688BE9">
      <w:pPr>
        <w:spacing w:line="360" w:lineRule="auto"/>
        <w:ind w:firstLine="420" w:firstLineChars="200"/>
        <w:rPr>
          <w:rFonts w:ascii="宋体" w:hAnsi="宋体"/>
          <w:color w:val="auto"/>
          <w:szCs w:val="21"/>
          <w:highlight w:val="none"/>
        </w:rPr>
      </w:pPr>
      <w:r>
        <w:rPr>
          <w:rFonts w:ascii="宋体" w:hAnsi="宋体"/>
          <w:color w:val="auto"/>
          <w:szCs w:val="21"/>
          <w:highlight w:val="none"/>
        </w:rPr>
        <w:t>六</w:t>
      </w:r>
      <w:r>
        <w:rPr>
          <w:rFonts w:hint="eastAsia" w:ascii="宋体" w:hAnsi="宋体"/>
          <w:color w:val="auto"/>
          <w:szCs w:val="21"/>
          <w:highlight w:val="none"/>
        </w:rPr>
        <w:t>、</w:t>
      </w:r>
      <w:r>
        <w:rPr>
          <w:rFonts w:ascii="宋体" w:hAnsi="宋体"/>
          <w:color w:val="auto"/>
          <w:szCs w:val="21"/>
          <w:highlight w:val="none"/>
        </w:rPr>
        <w:t>本文件生效</w:t>
      </w:r>
    </w:p>
    <w:p w14:paraId="4991516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本工程质量保修书经发包人与承包人盖章后生效。</w:t>
      </w:r>
    </w:p>
    <w:p w14:paraId="3606D61E">
      <w:pPr>
        <w:pStyle w:val="2"/>
        <w:spacing w:line="360" w:lineRule="auto"/>
        <w:ind w:firstLine="420" w:firstLineChars="200"/>
        <w:rPr>
          <w:rFonts w:ascii="宋体" w:hAnsi="宋体"/>
          <w:color w:val="auto"/>
          <w:szCs w:val="21"/>
          <w:highlight w:val="none"/>
        </w:rPr>
      </w:pPr>
    </w:p>
    <w:p w14:paraId="27184C5C">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14:paraId="4416A08C">
      <w:pPr>
        <w:spacing w:line="360" w:lineRule="auto"/>
        <w:ind w:firstLine="420" w:firstLineChars="200"/>
        <w:rPr>
          <w:rFonts w:ascii="宋体" w:hAnsi="宋体"/>
          <w:snapToGrid w:val="0"/>
          <w:color w:val="auto"/>
          <w:kern w:val="0"/>
          <w:szCs w:val="21"/>
          <w:highlight w:val="none"/>
        </w:rPr>
      </w:pPr>
    </w:p>
    <w:p w14:paraId="2A05DA82">
      <w:pPr>
        <w:spacing w:line="360" w:lineRule="auto"/>
        <w:ind w:firstLine="420" w:firstLineChars="200"/>
        <w:rPr>
          <w:rFonts w:ascii="宋体" w:hAnsi="宋体"/>
          <w:snapToGrid w:val="0"/>
          <w:color w:val="auto"/>
          <w:kern w:val="0"/>
          <w:szCs w:val="21"/>
          <w:highlight w:val="none"/>
        </w:rPr>
      </w:pPr>
    </w:p>
    <w:p w14:paraId="0F0C9E21">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14:paraId="4A77947E">
      <w:pPr>
        <w:spacing w:line="360" w:lineRule="auto"/>
        <w:ind w:firstLine="420" w:firstLineChars="200"/>
        <w:rPr>
          <w:rFonts w:ascii="宋体" w:hAnsi="宋体"/>
          <w:snapToGrid w:val="0"/>
          <w:color w:val="auto"/>
          <w:kern w:val="0"/>
          <w:szCs w:val="21"/>
          <w:highlight w:val="none"/>
        </w:rPr>
      </w:pPr>
    </w:p>
    <w:p w14:paraId="1B44919A">
      <w:pPr>
        <w:spacing w:line="360" w:lineRule="auto"/>
        <w:ind w:firstLine="420" w:firstLineChars="200"/>
        <w:rPr>
          <w:rFonts w:ascii="宋体" w:hAnsi="宋体"/>
          <w:snapToGrid w:val="0"/>
          <w:color w:val="auto"/>
          <w:kern w:val="0"/>
          <w:szCs w:val="21"/>
          <w:highlight w:val="none"/>
        </w:rPr>
      </w:pPr>
    </w:p>
    <w:p w14:paraId="3435B45A">
      <w:pPr>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承包人：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14:paraId="5F2CD8B1">
      <w:pPr>
        <w:spacing w:line="360" w:lineRule="auto"/>
        <w:ind w:firstLine="420" w:firstLineChars="200"/>
        <w:rPr>
          <w:rFonts w:ascii="宋体" w:hAnsi="宋体"/>
          <w:snapToGrid w:val="0"/>
          <w:color w:val="auto"/>
          <w:kern w:val="0"/>
          <w:szCs w:val="21"/>
          <w:highlight w:val="none"/>
        </w:rPr>
      </w:pPr>
    </w:p>
    <w:p w14:paraId="34393AD1">
      <w:pPr>
        <w:spacing w:line="360" w:lineRule="auto"/>
        <w:ind w:firstLine="420" w:firstLineChars="200"/>
        <w:rPr>
          <w:rFonts w:ascii="宋体" w:hAnsi="宋体"/>
          <w:snapToGrid w:val="0"/>
          <w:color w:val="auto"/>
          <w:kern w:val="0"/>
          <w:szCs w:val="21"/>
          <w:highlight w:val="none"/>
        </w:rPr>
      </w:pPr>
    </w:p>
    <w:p w14:paraId="657F26C9">
      <w:pPr>
        <w:spacing w:line="360" w:lineRule="auto"/>
        <w:ind w:firstLine="420" w:firstLineChars="200"/>
        <w:rPr>
          <w:rFonts w:ascii="宋体" w:hAnsi="宋体"/>
          <w:bCs/>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14:paraId="51B676D8">
      <w:pPr>
        <w:spacing w:line="360" w:lineRule="auto"/>
        <w:ind w:firstLine="418" w:firstLineChars="200"/>
        <w:rPr>
          <w:rFonts w:ascii="宋体" w:hAnsi="宋体"/>
          <w:snapToGrid w:val="0"/>
          <w:color w:val="auto"/>
          <w:spacing w:val="1"/>
          <w:w w:val="99"/>
          <w:kern w:val="0"/>
          <w:position w:val="-2"/>
          <w:szCs w:val="21"/>
          <w:highlight w:val="none"/>
        </w:rPr>
      </w:pPr>
    </w:p>
    <w:p w14:paraId="1D4CA1F9">
      <w:pPr>
        <w:spacing w:line="360" w:lineRule="auto"/>
        <w:ind w:firstLine="418" w:firstLineChars="200"/>
        <w:rPr>
          <w:rFonts w:ascii="宋体" w:hAnsi="宋体"/>
          <w:snapToGrid w:val="0"/>
          <w:color w:val="auto"/>
          <w:spacing w:val="1"/>
          <w:w w:val="99"/>
          <w:kern w:val="0"/>
          <w:position w:val="-2"/>
          <w:szCs w:val="21"/>
          <w:highlight w:val="none"/>
        </w:rPr>
      </w:pPr>
    </w:p>
    <w:p w14:paraId="30901023">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p>
    <w:p w14:paraId="0B7D7CE8">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附件2：</w:t>
      </w:r>
    </w:p>
    <w:p w14:paraId="278526A7">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主要建设工程文件目录</w:t>
      </w:r>
    </w:p>
    <w:tbl>
      <w:tblPr>
        <w:tblStyle w:val="46"/>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14:paraId="0A63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noWrap w:val="0"/>
            <w:vAlign w:val="center"/>
          </w:tcPr>
          <w:p w14:paraId="74374C18">
            <w:pPr>
              <w:spacing w:line="400" w:lineRule="exact"/>
              <w:jc w:val="center"/>
              <w:rPr>
                <w:rFonts w:ascii="宋体" w:hAnsi="宋体"/>
                <w:color w:val="auto"/>
                <w:szCs w:val="21"/>
                <w:highlight w:val="none"/>
              </w:rPr>
            </w:pPr>
            <w:r>
              <w:rPr>
                <w:rFonts w:hint="eastAsia" w:ascii="宋体" w:hAnsi="宋体"/>
                <w:color w:val="auto"/>
                <w:szCs w:val="21"/>
                <w:highlight w:val="none"/>
              </w:rPr>
              <w:t>文件名称</w:t>
            </w:r>
          </w:p>
        </w:tc>
        <w:tc>
          <w:tcPr>
            <w:tcW w:w="1418" w:type="dxa"/>
            <w:noWrap w:val="0"/>
            <w:vAlign w:val="center"/>
          </w:tcPr>
          <w:p w14:paraId="387D2303">
            <w:pPr>
              <w:spacing w:line="400" w:lineRule="exact"/>
              <w:jc w:val="center"/>
              <w:rPr>
                <w:rFonts w:ascii="宋体" w:hAnsi="宋体"/>
                <w:color w:val="auto"/>
                <w:szCs w:val="21"/>
                <w:highlight w:val="none"/>
              </w:rPr>
            </w:pPr>
            <w:r>
              <w:rPr>
                <w:rFonts w:hint="eastAsia" w:ascii="宋体" w:hAnsi="宋体"/>
                <w:color w:val="auto"/>
                <w:szCs w:val="21"/>
                <w:highlight w:val="none"/>
              </w:rPr>
              <w:t>套数</w:t>
            </w:r>
          </w:p>
        </w:tc>
        <w:tc>
          <w:tcPr>
            <w:tcW w:w="1418" w:type="dxa"/>
            <w:noWrap w:val="0"/>
            <w:vAlign w:val="top"/>
          </w:tcPr>
          <w:p w14:paraId="1A9E59B0">
            <w:pPr>
              <w:spacing w:line="400" w:lineRule="exact"/>
              <w:jc w:val="center"/>
              <w:rPr>
                <w:rFonts w:ascii="宋体" w:hAnsi="宋体"/>
                <w:color w:val="auto"/>
                <w:szCs w:val="21"/>
                <w:highlight w:val="none"/>
              </w:rPr>
            </w:pPr>
            <w:r>
              <w:rPr>
                <w:rFonts w:hint="eastAsia" w:ascii="宋体" w:hAnsi="宋体"/>
                <w:color w:val="auto"/>
                <w:szCs w:val="21"/>
                <w:highlight w:val="none"/>
              </w:rPr>
              <w:t>移交时间</w:t>
            </w:r>
          </w:p>
        </w:tc>
        <w:tc>
          <w:tcPr>
            <w:tcW w:w="2917" w:type="dxa"/>
            <w:noWrap w:val="0"/>
            <w:vAlign w:val="top"/>
          </w:tcPr>
          <w:p w14:paraId="62AC1BA8">
            <w:pPr>
              <w:spacing w:line="400" w:lineRule="exact"/>
              <w:jc w:val="center"/>
              <w:rPr>
                <w:rFonts w:ascii="宋体" w:hAnsi="宋体"/>
                <w:color w:val="auto"/>
                <w:szCs w:val="21"/>
                <w:highlight w:val="none"/>
              </w:rPr>
            </w:pPr>
            <w:r>
              <w:rPr>
                <w:rFonts w:hint="eastAsia" w:ascii="宋体" w:hAnsi="宋体"/>
                <w:color w:val="auto"/>
                <w:szCs w:val="21"/>
                <w:highlight w:val="none"/>
              </w:rPr>
              <w:t>责任人</w:t>
            </w:r>
          </w:p>
        </w:tc>
      </w:tr>
      <w:tr w14:paraId="659E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7C708CA1">
            <w:pPr>
              <w:spacing w:line="400" w:lineRule="exact"/>
              <w:ind w:firstLine="420" w:firstLineChars="200"/>
              <w:rPr>
                <w:rFonts w:ascii="宋体" w:hAnsi="宋体"/>
                <w:color w:val="auto"/>
                <w:szCs w:val="21"/>
                <w:highlight w:val="none"/>
              </w:rPr>
            </w:pPr>
          </w:p>
        </w:tc>
        <w:tc>
          <w:tcPr>
            <w:tcW w:w="1418" w:type="dxa"/>
            <w:noWrap w:val="0"/>
            <w:vAlign w:val="center"/>
          </w:tcPr>
          <w:p w14:paraId="210B7658">
            <w:pPr>
              <w:spacing w:line="400" w:lineRule="exact"/>
              <w:ind w:firstLine="420" w:firstLineChars="200"/>
              <w:rPr>
                <w:rFonts w:ascii="宋体" w:hAnsi="宋体"/>
                <w:color w:val="auto"/>
                <w:szCs w:val="21"/>
                <w:highlight w:val="none"/>
              </w:rPr>
            </w:pPr>
          </w:p>
        </w:tc>
        <w:tc>
          <w:tcPr>
            <w:tcW w:w="1418" w:type="dxa"/>
            <w:noWrap w:val="0"/>
            <w:vAlign w:val="center"/>
          </w:tcPr>
          <w:p w14:paraId="4B1407BC">
            <w:pPr>
              <w:spacing w:line="400" w:lineRule="exact"/>
              <w:ind w:firstLine="420" w:firstLineChars="200"/>
              <w:rPr>
                <w:rFonts w:ascii="宋体" w:hAnsi="宋体"/>
                <w:color w:val="auto"/>
                <w:szCs w:val="21"/>
                <w:highlight w:val="none"/>
              </w:rPr>
            </w:pPr>
          </w:p>
        </w:tc>
        <w:tc>
          <w:tcPr>
            <w:tcW w:w="2917" w:type="dxa"/>
            <w:noWrap w:val="0"/>
            <w:vAlign w:val="center"/>
          </w:tcPr>
          <w:p w14:paraId="791A76E7">
            <w:pPr>
              <w:spacing w:line="400" w:lineRule="exact"/>
              <w:ind w:firstLine="420" w:firstLineChars="200"/>
              <w:rPr>
                <w:rFonts w:ascii="宋体" w:hAnsi="宋体"/>
                <w:color w:val="auto"/>
                <w:szCs w:val="21"/>
                <w:highlight w:val="none"/>
              </w:rPr>
            </w:pPr>
          </w:p>
        </w:tc>
      </w:tr>
      <w:tr w14:paraId="108C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7C5A96CB">
            <w:pPr>
              <w:spacing w:line="400" w:lineRule="exact"/>
              <w:ind w:firstLine="420" w:firstLineChars="200"/>
              <w:rPr>
                <w:rFonts w:ascii="宋体" w:hAnsi="宋体"/>
                <w:color w:val="auto"/>
                <w:szCs w:val="21"/>
                <w:highlight w:val="none"/>
              </w:rPr>
            </w:pPr>
          </w:p>
        </w:tc>
        <w:tc>
          <w:tcPr>
            <w:tcW w:w="1418" w:type="dxa"/>
            <w:noWrap w:val="0"/>
            <w:vAlign w:val="center"/>
          </w:tcPr>
          <w:p w14:paraId="65017601">
            <w:pPr>
              <w:spacing w:line="400" w:lineRule="exact"/>
              <w:ind w:firstLine="420" w:firstLineChars="200"/>
              <w:rPr>
                <w:rFonts w:ascii="宋体" w:hAnsi="宋体"/>
                <w:color w:val="auto"/>
                <w:szCs w:val="21"/>
                <w:highlight w:val="none"/>
              </w:rPr>
            </w:pPr>
          </w:p>
        </w:tc>
        <w:tc>
          <w:tcPr>
            <w:tcW w:w="1418" w:type="dxa"/>
            <w:noWrap w:val="0"/>
            <w:vAlign w:val="center"/>
          </w:tcPr>
          <w:p w14:paraId="10C7839C">
            <w:pPr>
              <w:spacing w:line="400" w:lineRule="exact"/>
              <w:ind w:firstLine="420" w:firstLineChars="200"/>
              <w:rPr>
                <w:rFonts w:ascii="宋体" w:hAnsi="宋体"/>
                <w:color w:val="auto"/>
                <w:szCs w:val="21"/>
                <w:highlight w:val="none"/>
              </w:rPr>
            </w:pPr>
          </w:p>
        </w:tc>
        <w:tc>
          <w:tcPr>
            <w:tcW w:w="2917" w:type="dxa"/>
            <w:noWrap w:val="0"/>
            <w:vAlign w:val="center"/>
          </w:tcPr>
          <w:p w14:paraId="6D4591AE">
            <w:pPr>
              <w:spacing w:line="400" w:lineRule="exact"/>
              <w:ind w:firstLine="420" w:firstLineChars="200"/>
              <w:rPr>
                <w:rFonts w:ascii="宋体" w:hAnsi="宋体"/>
                <w:color w:val="auto"/>
                <w:szCs w:val="21"/>
                <w:highlight w:val="none"/>
              </w:rPr>
            </w:pPr>
          </w:p>
        </w:tc>
      </w:tr>
      <w:tr w14:paraId="19E8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4297E3AA">
            <w:pPr>
              <w:spacing w:line="400" w:lineRule="exact"/>
              <w:ind w:firstLine="420" w:firstLineChars="200"/>
              <w:rPr>
                <w:rFonts w:ascii="宋体" w:hAnsi="宋体"/>
                <w:color w:val="auto"/>
                <w:szCs w:val="21"/>
                <w:highlight w:val="none"/>
              </w:rPr>
            </w:pPr>
          </w:p>
        </w:tc>
        <w:tc>
          <w:tcPr>
            <w:tcW w:w="1418" w:type="dxa"/>
            <w:noWrap w:val="0"/>
            <w:vAlign w:val="center"/>
          </w:tcPr>
          <w:p w14:paraId="4319F17D">
            <w:pPr>
              <w:spacing w:line="400" w:lineRule="exact"/>
              <w:ind w:firstLine="420" w:firstLineChars="200"/>
              <w:rPr>
                <w:rFonts w:ascii="宋体" w:hAnsi="宋体"/>
                <w:color w:val="auto"/>
                <w:szCs w:val="21"/>
                <w:highlight w:val="none"/>
              </w:rPr>
            </w:pPr>
          </w:p>
        </w:tc>
        <w:tc>
          <w:tcPr>
            <w:tcW w:w="1418" w:type="dxa"/>
            <w:noWrap w:val="0"/>
            <w:vAlign w:val="center"/>
          </w:tcPr>
          <w:p w14:paraId="2DDCDB70">
            <w:pPr>
              <w:spacing w:line="400" w:lineRule="exact"/>
              <w:ind w:firstLine="420" w:firstLineChars="200"/>
              <w:rPr>
                <w:rFonts w:ascii="宋体" w:hAnsi="宋体"/>
                <w:color w:val="auto"/>
                <w:szCs w:val="21"/>
                <w:highlight w:val="none"/>
              </w:rPr>
            </w:pPr>
          </w:p>
        </w:tc>
        <w:tc>
          <w:tcPr>
            <w:tcW w:w="2917" w:type="dxa"/>
            <w:noWrap w:val="0"/>
            <w:vAlign w:val="center"/>
          </w:tcPr>
          <w:p w14:paraId="2B648F2A">
            <w:pPr>
              <w:spacing w:line="400" w:lineRule="exact"/>
              <w:ind w:firstLine="420" w:firstLineChars="200"/>
              <w:rPr>
                <w:rFonts w:ascii="宋体" w:hAnsi="宋体"/>
                <w:color w:val="auto"/>
                <w:szCs w:val="21"/>
                <w:highlight w:val="none"/>
              </w:rPr>
            </w:pPr>
          </w:p>
        </w:tc>
      </w:tr>
      <w:tr w14:paraId="76C2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605A965C">
            <w:pPr>
              <w:spacing w:line="400" w:lineRule="exact"/>
              <w:ind w:firstLine="420" w:firstLineChars="200"/>
              <w:rPr>
                <w:rFonts w:ascii="宋体" w:hAnsi="宋体"/>
                <w:color w:val="auto"/>
                <w:szCs w:val="21"/>
                <w:highlight w:val="none"/>
              </w:rPr>
            </w:pPr>
          </w:p>
        </w:tc>
        <w:tc>
          <w:tcPr>
            <w:tcW w:w="1418" w:type="dxa"/>
            <w:noWrap w:val="0"/>
            <w:vAlign w:val="center"/>
          </w:tcPr>
          <w:p w14:paraId="4EA7E125">
            <w:pPr>
              <w:spacing w:line="400" w:lineRule="exact"/>
              <w:ind w:firstLine="420" w:firstLineChars="200"/>
              <w:rPr>
                <w:rFonts w:ascii="宋体" w:hAnsi="宋体"/>
                <w:color w:val="auto"/>
                <w:szCs w:val="21"/>
                <w:highlight w:val="none"/>
              </w:rPr>
            </w:pPr>
          </w:p>
        </w:tc>
        <w:tc>
          <w:tcPr>
            <w:tcW w:w="1418" w:type="dxa"/>
            <w:noWrap w:val="0"/>
            <w:vAlign w:val="center"/>
          </w:tcPr>
          <w:p w14:paraId="532684F5">
            <w:pPr>
              <w:spacing w:line="400" w:lineRule="exact"/>
              <w:ind w:firstLine="420" w:firstLineChars="200"/>
              <w:rPr>
                <w:rFonts w:ascii="宋体" w:hAnsi="宋体"/>
                <w:color w:val="auto"/>
                <w:szCs w:val="21"/>
                <w:highlight w:val="none"/>
              </w:rPr>
            </w:pPr>
          </w:p>
        </w:tc>
        <w:tc>
          <w:tcPr>
            <w:tcW w:w="2917" w:type="dxa"/>
            <w:noWrap w:val="0"/>
            <w:vAlign w:val="center"/>
          </w:tcPr>
          <w:p w14:paraId="45E6E0FA">
            <w:pPr>
              <w:spacing w:line="400" w:lineRule="exact"/>
              <w:ind w:firstLine="420" w:firstLineChars="200"/>
              <w:rPr>
                <w:rFonts w:ascii="宋体" w:hAnsi="宋体"/>
                <w:color w:val="auto"/>
                <w:szCs w:val="21"/>
                <w:highlight w:val="none"/>
              </w:rPr>
            </w:pPr>
          </w:p>
        </w:tc>
      </w:tr>
      <w:tr w14:paraId="4E4D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617A7405">
            <w:pPr>
              <w:spacing w:line="400" w:lineRule="exact"/>
              <w:ind w:firstLine="420" w:firstLineChars="200"/>
              <w:rPr>
                <w:rFonts w:ascii="宋体" w:hAnsi="宋体"/>
                <w:color w:val="auto"/>
                <w:szCs w:val="21"/>
                <w:highlight w:val="none"/>
              </w:rPr>
            </w:pPr>
          </w:p>
        </w:tc>
        <w:tc>
          <w:tcPr>
            <w:tcW w:w="1418" w:type="dxa"/>
            <w:noWrap w:val="0"/>
            <w:vAlign w:val="center"/>
          </w:tcPr>
          <w:p w14:paraId="5CF0D4B7">
            <w:pPr>
              <w:spacing w:line="400" w:lineRule="exact"/>
              <w:ind w:firstLine="420" w:firstLineChars="200"/>
              <w:rPr>
                <w:rFonts w:ascii="宋体" w:hAnsi="宋体"/>
                <w:color w:val="auto"/>
                <w:szCs w:val="21"/>
                <w:highlight w:val="none"/>
              </w:rPr>
            </w:pPr>
          </w:p>
        </w:tc>
        <w:tc>
          <w:tcPr>
            <w:tcW w:w="1418" w:type="dxa"/>
            <w:noWrap w:val="0"/>
            <w:vAlign w:val="center"/>
          </w:tcPr>
          <w:p w14:paraId="57EDA252">
            <w:pPr>
              <w:spacing w:line="400" w:lineRule="exact"/>
              <w:ind w:firstLine="420" w:firstLineChars="200"/>
              <w:rPr>
                <w:rFonts w:ascii="宋体" w:hAnsi="宋体"/>
                <w:color w:val="auto"/>
                <w:szCs w:val="21"/>
                <w:highlight w:val="none"/>
              </w:rPr>
            </w:pPr>
          </w:p>
        </w:tc>
        <w:tc>
          <w:tcPr>
            <w:tcW w:w="2917" w:type="dxa"/>
            <w:noWrap w:val="0"/>
            <w:vAlign w:val="center"/>
          </w:tcPr>
          <w:p w14:paraId="4DCA1784">
            <w:pPr>
              <w:spacing w:line="400" w:lineRule="exact"/>
              <w:ind w:firstLine="420" w:firstLineChars="200"/>
              <w:rPr>
                <w:rFonts w:ascii="宋体" w:hAnsi="宋体"/>
                <w:color w:val="auto"/>
                <w:szCs w:val="21"/>
                <w:highlight w:val="none"/>
              </w:rPr>
            </w:pPr>
          </w:p>
        </w:tc>
      </w:tr>
      <w:tr w14:paraId="03C8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28260EF7">
            <w:pPr>
              <w:spacing w:line="400" w:lineRule="exact"/>
              <w:ind w:firstLine="420" w:firstLineChars="200"/>
              <w:rPr>
                <w:rFonts w:ascii="宋体" w:hAnsi="宋体"/>
                <w:color w:val="auto"/>
                <w:szCs w:val="21"/>
                <w:highlight w:val="none"/>
              </w:rPr>
            </w:pPr>
          </w:p>
        </w:tc>
        <w:tc>
          <w:tcPr>
            <w:tcW w:w="1418" w:type="dxa"/>
            <w:noWrap w:val="0"/>
            <w:vAlign w:val="center"/>
          </w:tcPr>
          <w:p w14:paraId="47C484C4">
            <w:pPr>
              <w:spacing w:line="400" w:lineRule="exact"/>
              <w:ind w:firstLine="420" w:firstLineChars="200"/>
              <w:rPr>
                <w:rFonts w:ascii="宋体" w:hAnsi="宋体"/>
                <w:color w:val="auto"/>
                <w:szCs w:val="21"/>
                <w:highlight w:val="none"/>
              </w:rPr>
            </w:pPr>
          </w:p>
        </w:tc>
        <w:tc>
          <w:tcPr>
            <w:tcW w:w="1418" w:type="dxa"/>
            <w:noWrap w:val="0"/>
            <w:vAlign w:val="center"/>
          </w:tcPr>
          <w:p w14:paraId="04736A40">
            <w:pPr>
              <w:spacing w:line="400" w:lineRule="exact"/>
              <w:ind w:firstLine="420" w:firstLineChars="200"/>
              <w:rPr>
                <w:rFonts w:ascii="宋体" w:hAnsi="宋体"/>
                <w:color w:val="auto"/>
                <w:szCs w:val="21"/>
                <w:highlight w:val="none"/>
              </w:rPr>
            </w:pPr>
          </w:p>
        </w:tc>
        <w:tc>
          <w:tcPr>
            <w:tcW w:w="2917" w:type="dxa"/>
            <w:noWrap w:val="0"/>
            <w:vAlign w:val="center"/>
          </w:tcPr>
          <w:p w14:paraId="14CF7F12">
            <w:pPr>
              <w:spacing w:line="400" w:lineRule="exact"/>
              <w:ind w:firstLine="420" w:firstLineChars="200"/>
              <w:rPr>
                <w:rFonts w:ascii="宋体" w:hAnsi="宋体"/>
                <w:color w:val="auto"/>
                <w:szCs w:val="21"/>
                <w:highlight w:val="none"/>
              </w:rPr>
            </w:pPr>
          </w:p>
        </w:tc>
      </w:tr>
      <w:tr w14:paraId="67CB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50498D12">
            <w:pPr>
              <w:spacing w:line="400" w:lineRule="exact"/>
              <w:ind w:firstLine="420" w:firstLineChars="200"/>
              <w:rPr>
                <w:rFonts w:ascii="宋体" w:hAnsi="宋体"/>
                <w:color w:val="auto"/>
                <w:szCs w:val="21"/>
                <w:highlight w:val="none"/>
              </w:rPr>
            </w:pPr>
          </w:p>
        </w:tc>
        <w:tc>
          <w:tcPr>
            <w:tcW w:w="1418" w:type="dxa"/>
            <w:noWrap w:val="0"/>
            <w:vAlign w:val="center"/>
          </w:tcPr>
          <w:p w14:paraId="249BEE80">
            <w:pPr>
              <w:spacing w:line="400" w:lineRule="exact"/>
              <w:ind w:firstLine="420" w:firstLineChars="200"/>
              <w:rPr>
                <w:rFonts w:ascii="宋体" w:hAnsi="宋体"/>
                <w:color w:val="auto"/>
                <w:szCs w:val="21"/>
                <w:highlight w:val="none"/>
              </w:rPr>
            </w:pPr>
          </w:p>
        </w:tc>
        <w:tc>
          <w:tcPr>
            <w:tcW w:w="1418" w:type="dxa"/>
            <w:noWrap w:val="0"/>
            <w:vAlign w:val="center"/>
          </w:tcPr>
          <w:p w14:paraId="2227D925">
            <w:pPr>
              <w:spacing w:line="400" w:lineRule="exact"/>
              <w:ind w:firstLine="420" w:firstLineChars="200"/>
              <w:rPr>
                <w:rFonts w:ascii="宋体" w:hAnsi="宋体"/>
                <w:color w:val="auto"/>
                <w:szCs w:val="21"/>
                <w:highlight w:val="none"/>
              </w:rPr>
            </w:pPr>
          </w:p>
        </w:tc>
        <w:tc>
          <w:tcPr>
            <w:tcW w:w="2917" w:type="dxa"/>
            <w:noWrap w:val="0"/>
            <w:vAlign w:val="center"/>
          </w:tcPr>
          <w:p w14:paraId="1B75D632">
            <w:pPr>
              <w:spacing w:line="400" w:lineRule="exact"/>
              <w:ind w:firstLine="420" w:firstLineChars="200"/>
              <w:rPr>
                <w:rFonts w:ascii="宋体" w:hAnsi="宋体"/>
                <w:color w:val="auto"/>
                <w:szCs w:val="21"/>
                <w:highlight w:val="none"/>
              </w:rPr>
            </w:pPr>
          </w:p>
        </w:tc>
      </w:tr>
      <w:tr w14:paraId="6BE5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5DE31C00">
            <w:pPr>
              <w:spacing w:line="400" w:lineRule="exact"/>
              <w:ind w:firstLine="420" w:firstLineChars="200"/>
              <w:rPr>
                <w:rFonts w:ascii="宋体" w:hAnsi="宋体"/>
                <w:color w:val="auto"/>
                <w:szCs w:val="21"/>
                <w:highlight w:val="none"/>
              </w:rPr>
            </w:pPr>
          </w:p>
        </w:tc>
        <w:tc>
          <w:tcPr>
            <w:tcW w:w="1418" w:type="dxa"/>
            <w:noWrap w:val="0"/>
            <w:vAlign w:val="center"/>
          </w:tcPr>
          <w:p w14:paraId="7619F0AA">
            <w:pPr>
              <w:spacing w:line="400" w:lineRule="exact"/>
              <w:ind w:firstLine="420" w:firstLineChars="200"/>
              <w:rPr>
                <w:rFonts w:ascii="宋体" w:hAnsi="宋体"/>
                <w:color w:val="auto"/>
                <w:szCs w:val="21"/>
                <w:highlight w:val="none"/>
              </w:rPr>
            </w:pPr>
          </w:p>
        </w:tc>
        <w:tc>
          <w:tcPr>
            <w:tcW w:w="1418" w:type="dxa"/>
            <w:noWrap w:val="0"/>
            <w:vAlign w:val="center"/>
          </w:tcPr>
          <w:p w14:paraId="551D8141">
            <w:pPr>
              <w:spacing w:line="400" w:lineRule="exact"/>
              <w:ind w:firstLine="420" w:firstLineChars="200"/>
              <w:rPr>
                <w:rFonts w:ascii="宋体" w:hAnsi="宋体"/>
                <w:color w:val="auto"/>
                <w:szCs w:val="21"/>
                <w:highlight w:val="none"/>
              </w:rPr>
            </w:pPr>
          </w:p>
        </w:tc>
        <w:tc>
          <w:tcPr>
            <w:tcW w:w="2917" w:type="dxa"/>
            <w:noWrap w:val="0"/>
            <w:vAlign w:val="center"/>
          </w:tcPr>
          <w:p w14:paraId="769AAE29">
            <w:pPr>
              <w:spacing w:line="400" w:lineRule="exact"/>
              <w:ind w:firstLine="420" w:firstLineChars="200"/>
              <w:rPr>
                <w:rFonts w:ascii="宋体" w:hAnsi="宋体"/>
                <w:color w:val="auto"/>
                <w:szCs w:val="21"/>
                <w:highlight w:val="none"/>
              </w:rPr>
            </w:pPr>
          </w:p>
        </w:tc>
      </w:tr>
      <w:tr w14:paraId="15E5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2921223A">
            <w:pPr>
              <w:spacing w:line="400" w:lineRule="exact"/>
              <w:ind w:firstLine="420" w:firstLineChars="200"/>
              <w:rPr>
                <w:rFonts w:ascii="宋体" w:hAnsi="宋体"/>
                <w:color w:val="auto"/>
                <w:szCs w:val="21"/>
                <w:highlight w:val="none"/>
              </w:rPr>
            </w:pPr>
          </w:p>
        </w:tc>
        <w:tc>
          <w:tcPr>
            <w:tcW w:w="1418" w:type="dxa"/>
            <w:noWrap w:val="0"/>
            <w:vAlign w:val="top"/>
          </w:tcPr>
          <w:p w14:paraId="0606BBE5">
            <w:pPr>
              <w:spacing w:line="400" w:lineRule="exact"/>
              <w:ind w:firstLine="420" w:firstLineChars="200"/>
              <w:rPr>
                <w:rFonts w:ascii="宋体" w:hAnsi="宋体"/>
                <w:color w:val="auto"/>
                <w:szCs w:val="21"/>
                <w:highlight w:val="none"/>
              </w:rPr>
            </w:pPr>
          </w:p>
        </w:tc>
        <w:tc>
          <w:tcPr>
            <w:tcW w:w="1418" w:type="dxa"/>
            <w:noWrap w:val="0"/>
            <w:vAlign w:val="top"/>
          </w:tcPr>
          <w:p w14:paraId="2EA6D9BF">
            <w:pPr>
              <w:spacing w:line="400" w:lineRule="exact"/>
              <w:ind w:firstLine="420" w:firstLineChars="200"/>
              <w:rPr>
                <w:rFonts w:ascii="宋体" w:hAnsi="宋体"/>
                <w:color w:val="auto"/>
                <w:szCs w:val="21"/>
                <w:highlight w:val="none"/>
              </w:rPr>
            </w:pPr>
          </w:p>
        </w:tc>
        <w:tc>
          <w:tcPr>
            <w:tcW w:w="2917" w:type="dxa"/>
            <w:noWrap w:val="0"/>
            <w:vAlign w:val="top"/>
          </w:tcPr>
          <w:p w14:paraId="1C0F5F9E">
            <w:pPr>
              <w:spacing w:line="400" w:lineRule="exact"/>
              <w:ind w:firstLine="420" w:firstLineChars="200"/>
              <w:rPr>
                <w:rFonts w:ascii="宋体" w:hAnsi="宋体"/>
                <w:color w:val="auto"/>
                <w:szCs w:val="21"/>
                <w:highlight w:val="none"/>
              </w:rPr>
            </w:pPr>
          </w:p>
        </w:tc>
      </w:tr>
      <w:tr w14:paraId="3B9C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371E3E1E">
            <w:pPr>
              <w:spacing w:line="400" w:lineRule="exact"/>
              <w:ind w:firstLine="420" w:firstLineChars="200"/>
              <w:rPr>
                <w:rFonts w:ascii="宋体" w:hAnsi="宋体"/>
                <w:color w:val="auto"/>
                <w:szCs w:val="21"/>
                <w:highlight w:val="none"/>
              </w:rPr>
            </w:pPr>
          </w:p>
        </w:tc>
        <w:tc>
          <w:tcPr>
            <w:tcW w:w="1418" w:type="dxa"/>
            <w:noWrap w:val="0"/>
            <w:vAlign w:val="center"/>
          </w:tcPr>
          <w:p w14:paraId="12950E89">
            <w:pPr>
              <w:spacing w:line="400" w:lineRule="exact"/>
              <w:ind w:firstLine="420" w:firstLineChars="200"/>
              <w:rPr>
                <w:rFonts w:ascii="宋体" w:hAnsi="宋体"/>
                <w:color w:val="auto"/>
                <w:szCs w:val="21"/>
                <w:highlight w:val="none"/>
              </w:rPr>
            </w:pPr>
          </w:p>
        </w:tc>
        <w:tc>
          <w:tcPr>
            <w:tcW w:w="1418" w:type="dxa"/>
            <w:noWrap w:val="0"/>
            <w:vAlign w:val="center"/>
          </w:tcPr>
          <w:p w14:paraId="315CE8A4">
            <w:pPr>
              <w:spacing w:line="400" w:lineRule="exact"/>
              <w:ind w:firstLine="420" w:firstLineChars="200"/>
              <w:rPr>
                <w:rFonts w:ascii="宋体" w:hAnsi="宋体"/>
                <w:color w:val="auto"/>
                <w:szCs w:val="21"/>
                <w:highlight w:val="none"/>
              </w:rPr>
            </w:pPr>
          </w:p>
        </w:tc>
        <w:tc>
          <w:tcPr>
            <w:tcW w:w="2917" w:type="dxa"/>
            <w:noWrap w:val="0"/>
            <w:vAlign w:val="center"/>
          </w:tcPr>
          <w:p w14:paraId="6E7E492A">
            <w:pPr>
              <w:spacing w:line="400" w:lineRule="exact"/>
              <w:ind w:firstLine="420" w:firstLineChars="200"/>
              <w:rPr>
                <w:rFonts w:ascii="宋体" w:hAnsi="宋体"/>
                <w:color w:val="auto"/>
                <w:szCs w:val="21"/>
                <w:highlight w:val="none"/>
              </w:rPr>
            </w:pPr>
          </w:p>
        </w:tc>
      </w:tr>
      <w:tr w14:paraId="7B2A4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34401B47">
            <w:pPr>
              <w:spacing w:line="400" w:lineRule="exact"/>
              <w:ind w:firstLine="420" w:firstLineChars="200"/>
              <w:rPr>
                <w:rFonts w:ascii="宋体" w:hAnsi="宋体"/>
                <w:color w:val="auto"/>
                <w:szCs w:val="21"/>
                <w:highlight w:val="none"/>
              </w:rPr>
            </w:pPr>
          </w:p>
        </w:tc>
        <w:tc>
          <w:tcPr>
            <w:tcW w:w="1418" w:type="dxa"/>
            <w:noWrap w:val="0"/>
            <w:vAlign w:val="top"/>
          </w:tcPr>
          <w:p w14:paraId="6CE89692">
            <w:pPr>
              <w:spacing w:line="400" w:lineRule="exact"/>
              <w:ind w:firstLine="420" w:firstLineChars="200"/>
              <w:rPr>
                <w:rFonts w:ascii="宋体" w:hAnsi="宋体"/>
                <w:color w:val="auto"/>
                <w:szCs w:val="21"/>
                <w:highlight w:val="none"/>
              </w:rPr>
            </w:pPr>
          </w:p>
        </w:tc>
        <w:tc>
          <w:tcPr>
            <w:tcW w:w="1418" w:type="dxa"/>
            <w:noWrap w:val="0"/>
            <w:vAlign w:val="top"/>
          </w:tcPr>
          <w:p w14:paraId="3BA774E8">
            <w:pPr>
              <w:spacing w:line="400" w:lineRule="exact"/>
              <w:ind w:firstLine="420" w:firstLineChars="200"/>
              <w:rPr>
                <w:rFonts w:ascii="宋体" w:hAnsi="宋体"/>
                <w:color w:val="auto"/>
                <w:szCs w:val="21"/>
                <w:highlight w:val="none"/>
              </w:rPr>
            </w:pPr>
          </w:p>
        </w:tc>
        <w:tc>
          <w:tcPr>
            <w:tcW w:w="2917" w:type="dxa"/>
            <w:noWrap w:val="0"/>
            <w:vAlign w:val="top"/>
          </w:tcPr>
          <w:p w14:paraId="30F74FA0">
            <w:pPr>
              <w:spacing w:line="400" w:lineRule="exact"/>
              <w:ind w:firstLine="420" w:firstLineChars="200"/>
              <w:rPr>
                <w:rFonts w:ascii="宋体" w:hAnsi="宋体"/>
                <w:color w:val="auto"/>
                <w:szCs w:val="21"/>
                <w:highlight w:val="none"/>
              </w:rPr>
            </w:pPr>
          </w:p>
        </w:tc>
      </w:tr>
      <w:tr w14:paraId="2A22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5362BE99">
            <w:pPr>
              <w:spacing w:line="400" w:lineRule="exact"/>
              <w:ind w:firstLine="420" w:firstLineChars="200"/>
              <w:rPr>
                <w:rFonts w:ascii="宋体" w:hAnsi="宋体"/>
                <w:color w:val="auto"/>
                <w:szCs w:val="21"/>
                <w:highlight w:val="none"/>
              </w:rPr>
            </w:pPr>
          </w:p>
        </w:tc>
        <w:tc>
          <w:tcPr>
            <w:tcW w:w="1418" w:type="dxa"/>
            <w:noWrap w:val="0"/>
            <w:vAlign w:val="top"/>
          </w:tcPr>
          <w:p w14:paraId="3DA02DDF">
            <w:pPr>
              <w:spacing w:line="400" w:lineRule="exact"/>
              <w:ind w:firstLine="420" w:firstLineChars="200"/>
              <w:rPr>
                <w:rFonts w:ascii="宋体" w:hAnsi="宋体"/>
                <w:color w:val="auto"/>
                <w:szCs w:val="21"/>
                <w:highlight w:val="none"/>
              </w:rPr>
            </w:pPr>
          </w:p>
        </w:tc>
        <w:tc>
          <w:tcPr>
            <w:tcW w:w="1418" w:type="dxa"/>
            <w:noWrap w:val="0"/>
            <w:vAlign w:val="top"/>
          </w:tcPr>
          <w:p w14:paraId="468C2D05">
            <w:pPr>
              <w:spacing w:line="400" w:lineRule="exact"/>
              <w:ind w:firstLine="420" w:firstLineChars="200"/>
              <w:rPr>
                <w:rFonts w:ascii="宋体" w:hAnsi="宋体"/>
                <w:color w:val="auto"/>
                <w:szCs w:val="21"/>
                <w:highlight w:val="none"/>
              </w:rPr>
            </w:pPr>
          </w:p>
        </w:tc>
        <w:tc>
          <w:tcPr>
            <w:tcW w:w="2917" w:type="dxa"/>
            <w:noWrap w:val="0"/>
            <w:vAlign w:val="top"/>
          </w:tcPr>
          <w:p w14:paraId="48BBE0C3">
            <w:pPr>
              <w:spacing w:line="400" w:lineRule="exact"/>
              <w:ind w:firstLine="420" w:firstLineChars="200"/>
              <w:rPr>
                <w:rFonts w:ascii="宋体" w:hAnsi="宋体"/>
                <w:color w:val="auto"/>
                <w:szCs w:val="21"/>
                <w:highlight w:val="none"/>
              </w:rPr>
            </w:pPr>
          </w:p>
        </w:tc>
      </w:tr>
      <w:tr w14:paraId="3340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0481ECFD">
            <w:pPr>
              <w:spacing w:line="400" w:lineRule="exact"/>
              <w:ind w:firstLine="420" w:firstLineChars="200"/>
              <w:rPr>
                <w:rFonts w:ascii="宋体" w:hAnsi="宋体"/>
                <w:color w:val="auto"/>
                <w:szCs w:val="21"/>
                <w:highlight w:val="none"/>
              </w:rPr>
            </w:pPr>
          </w:p>
        </w:tc>
        <w:tc>
          <w:tcPr>
            <w:tcW w:w="1418" w:type="dxa"/>
            <w:noWrap w:val="0"/>
            <w:vAlign w:val="top"/>
          </w:tcPr>
          <w:p w14:paraId="6D93251F">
            <w:pPr>
              <w:spacing w:line="400" w:lineRule="exact"/>
              <w:ind w:firstLine="420" w:firstLineChars="200"/>
              <w:rPr>
                <w:rFonts w:ascii="宋体" w:hAnsi="宋体"/>
                <w:color w:val="auto"/>
                <w:szCs w:val="21"/>
                <w:highlight w:val="none"/>
              </w:rPr>
            </w:pPr>
          </w:p>
        </w:tc>
        <w:tc>
          <w:tcPr>
            <w:tcW w:w="1418" w:type="dxa"/>
            <w:noWrap w:val="0"/>
            <w:vAlign w:val="top"/>
          </w:tcPr>
          <w:p w14:paraId="6A55A68E">
            <w:pPr>
              <w:spacing w:line="400" w:lineRule="exact"/>
              <w:ind w:firstLine="420" w:firstLineChars="200"/>
              <w:rPr>
                <w:rFonts w:ascii="宋体" w:hAnsi="宋体"/>
                <w:color w:val="auto"/>
                <w:szCs w:val="21"/>
                <w:highlight w:val="none"/>
              </w:rPr>
            </w:pPr>
          </w:p>
        </w:tc>
        <w:tc>
          <w:tcPr>
            <w:tcW w:w="2917" w:type="dxa"/>
            <w:noWrap w:val="0"/>
            <w:vAlign w:val="top"/>
          </w:tcPr>
          <w:p w14:paraId="7815C05B">
            <w:pPr>
              <w:spacing w:line="400" w:lineRule="exact"/>
              <w:ind w:firstLine="420" w:firstLineChars="200"/>
              <w:rPr>
                <w:rFonts w:ascii="宋体" w:hAnsi="宋体"/>
                <w:color w:val="auto"/>
                <w:szCs w:val="21"/>
                <w:highlight w:val="none"/>
              </w:rPr>
            </w:pPr>
          </w:p>
        </w:tc>
      </w:tr>
      <w:tr w14:paraId="32C5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6BEE6AC6">
            <w:pPr>
              <w:spacing w:line="400" w:lineRule="exact"/>
              <w:ind w:firstLine="420" w:firstLineChars="200"/>
              <w:rPr>
                <w:rFonts w:ascii="宋体" w:hAnsi="宋体"/>
                <w:color w:val="auto"/>
                <w:szCs w:val="21"/>
                <w:highlight w:val="none"/>
              </w:rPr>
            </w:pPr>
          </w:p>
        </w:tc>
        <w:tc>
          <w:tcPr>
            <w:tcW w:w="1418" w:type="dxa"/>
            <w:noWrap w:val="0"/>
            <w:vAlign w:val="top"/>
          </w:tcPr>
          <w:p w14:paraId="73A89CAB">
            <w:pPr>
              <w:spacing w:line="400" w:lineRule="exact"/>
              <w:ind w:firstLine="420" w:firstLineChars="200"/>
              <w:rPr>
                <w:rFonts w:ascii="宋体" w:hAnsi="宋体"/>
                <w:color w:val="auto"/>
                <w:szCs w:val="21"/>
                <w:highlight w:val="none"/>
              </w:rPr>
            </w:pPr>
          </w:p>
        </w:tc>
        <w:tc>
          <w:tcPr>
            <w:tcW w:w="1418" w:type="dxa"/>
            <w:noWrap w:val="0"/>
            <w:vAlign w:val="top"/>
          </w:tcPr>
          <w:p w14:paraId="4009491D">
            <w:pPr>
              <w:spacing w:line="400" w:lineRule="exact"/>
              <w:ind w:firstLine="420" w:firstLineChars="200"/>
              <w:rPr>
                <w:rFonts w:ascii="宋体" w:hAnsi="宋体"/>
                <w:color w:val="auto"/>
                <w:szCs w:val="21"/>
                <w:highlight w:val="none"/>
              </w:rPr>
            </w:pPr>
          </w:p>
        </w:tc>
        <w:tc>
          <w:tcPr>
            <w:tcW w:w="2917" w:type="dxa"/>
            <w:noWrap w:val="0"/>
            <w:vAlign w:val="top"/>
          </w:tcPr>
          <w:p w14:paraId="17256A0C">
            <w:pPr>
              <w:spacing w:line="400" w:lineRule="exact"/>
              <w:ind w:firstLine="420" w:firstLineChars="200"/>
              <w:rPr>
                <w:rFonts w:ascii="宋体" w:hAnsi="宋体"/>
                <w:color w:val="auto"/>
                <w:szCs w:val="21"/>
                <w:highlight w:val="none"/>
              </w:rPr>
            </w:pPr>
          </w:p>
        </w:tc>
      </w:tr>
      <w:tr w14:paraId="7C14E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7C9563AD">
            <w:pPr>
              <w:spacing w:line="400" w:lineRule="exact"/>
              <w:ind w:firstLine="420" w:firstLineChars="200"/>
              <w:rPr>
                <w:rFonts w:ascii="宋体" w:hAnsi="宋体"/>
                <w:color w:val="auto"/>
                <w:szCs w:val="21"/>
                <w:highlight w:val="none"/>
              </w:rPr>
            </w:pPr>
          </w:p>
        </w:tc>
        <w:tc>
          <w:tcPr>
            <w:tcW w:w="1418" w:type="dxa"/>
            <w:noWrap w:val="0"/>
            <w:vAlign w:val="top"/>
          </w:tcPr>
          <w:p w14:paraId="1C1A7754">
            <w:pPr>
              <w:spacing w:line="400" w:lineRule="exact"/>
              <w:ind w:firstLine="420" w:firstLineChars="200"/>
              <w:rPr>
                <w:rFonts w:ascii="宋体" w:hAnsi="宋体"/>
                <w:color w:val="auto"/>
                <w:szCs w:val="21"/>
                <w:highlight w:val="none"/>
              </w:rPr>
            </w:pPr>
          </w:p>
        </w:tc>
        <w:tc>
          <w:tcPr>
            <w:tcW w:w="1418" w:type="dxa"/>
            <w:noWrap w:val="0"/>
            <w:vAlign w:val="top"/>
          </w:tcPr>
          <w:p w14:paraId="30ED9ACF">
            <w:pPr>
              <w:spacing w:line="400" w:lineRule="exact"/>
              <w:ind w:firstLine="420" w:firstLineChars="200"/>
              <w:rPr>
                <w:rFonts w:ascii="宋体" w:hAnsi="宋体"/>
                <w:color w:val="auto"/>
                <w:szCs w:val="21"/>
                <w:highlight w:val="none"/>
              </w:rPr>
            </w:pPr>
          </w:p>
        </w:tc>
        <w:tc>
          <w:tcPr>
            <w:tcW w:w="2917" w:type="dxa"/>
            <w:noWrap w:val="0"/>
            <w:vAlign w:val="top"/>
          </w:tcPr>
          <w:p w14:paraId="55B8A9F1">
            <w:pPr>
              <w:spacing w:line="400" w:lineRule="exact"/>
              <w:ind w:firstLine="420" w:firstLineChars="200"/>
              <w:rPr>
                <w:rFonts w:ascii="宋体" w:hAnsi="宋体"/>
                <w:color w:val="auto"/>
                <w:szCs w:val="21"/>
                <w:highlight w:val="none"/>
              </w:rPr>
            </w:pPr>
          </w:p>
        </w:tc>
      </w:tr>
      <w:tr w14:paraId="26FD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021D9962">
            <w:pPr>
              <w:spacing w:line="400" w:lineRule="exact"/>
              <w:ind w:firstLine="420" w:firstLineChars="200"/>
              <w:rPr>
                <w:rFonts w:ascii="宋体" w:hAnsi="宋体"/>
                <w:color w:val="auto"/>
                <w:szCs w:val="21"/>
                <w:highlight w:val="none"/>
              </w:rPr>
            </w:pPr>
          </w:p>
        </w:tc>
        <w:tc>
          <w:tcPr>
            <w:tcW w:w="1418" w:type="dxa"/>
            <w:noWrap w:val="0"/>
            <w:vAlign w:val="top"/>
          </w:tcPr>
          <w:p w14:paraId="47A7096E">
            <w:pPr>
              <w:spacing w:line="400" w:lineRule="exact"/>
              <w:ind w:firstLine="420" w:firstLineChars="200"/>
              <w:rPr>
                <w:rFonts w:ascii="宋体" w:hAnsi="宋体"/>
                <w:color w:val="auto"/>
                <w:szCs w:val="21"/>
                <w:highlight w:val="none"/>
              </w:rPr>
            </w:pPr>
          </w:p>
        </w:tc>
        <w:tc>
          <w:tcPr>
            <w:tcW w:w="1418" w:type="dxa"/>
            <w:noWrap w:val="0"/>
            <w:vAlign w:val="top"/>
          </w:tcPr>
          <w:p w14:paraId="16CC67D1">
            <w:pPr>
              <w:spacing w:line="400" w:lineRule="exact"/>
              <w:ind w:firstLine="420" w:firstLineChars="200"/>
              <w:rPr>
                <w:rFonts w:ascii="宋体" w:hAnsi="宋体"/>
                <w:color w:val="auto"/>
                <w:szCs w:val="21"/>
                <w:highlight w:val="none"/>
              </w:rPr>
            </w:pPr>
          </w:p>
        </w:tc>
        <w:tc>
          <w:tcPr>
            <w:tcW w:w="2917" w:type="dxa"/>
            <w:noWrap w:val="0"/>
            <w:vAlign w:val="top"/>
          </w:tcPr>
          <w:p w14:paraId="6537F7E1">
            <w:pPr>
              <w:spacing w:line="400" w:lineRule="exact"/>
              <w:ind w:firstLine="420" w:firstLineChars="200"/>
              <w:rPr>
                <w:rFonts w:ascii="宋体" w:hAnsi="宋体"/>
                <w:color w:val="auto"/>
                <w:szCs w:val="21"/>
                <w:highlight w:val="none"/>
              </w:rPr>
            </w:pPr>
          </w:p>
        </w:tc>
      </w:tr>
      <w:tr w14:paraId="3F3A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75D9C85D">
            <w:pPr>
              <w:spacing w:line="400" w:lineRule="exact"/>
              <w:ind w:firstLine="420" w:firstLineChars="200"/>
              <w:rPr>
                <w:rFonts w:ascii="宋体" w:hAnsi="宋体"/>
                <w:color w:val="auto"/>
                <w:szCs w:val="21"/>
                <w:highlight w:val="none"/>
              </w:rPr>
            </w:pPr>
          </w:p>
        </w:tc>
        <w:tc>
          <w:tcPr>
            <w:tcW w:w="1418" w:type="dxa"/>
            <w:noWrap w:val="0"/>
            <w:vAlign w:val="top"/>
          </w:tcPr>
          <w:p w14:paraId="23394FB1">
            <w:pPr>
              <w:spacing w:line="400" w:lineRule="exact"/>
              <w:ind w:firstLine="420" w:firstLineChars="200"/>
              <w:rPr>
                <w:rFonts w:ascii="宋体" w:hAnsi="宋体"/>
                <w:color w:val="auto"/>
                <w:szCs w:val="21"/>
                <w:highlight w:val="none"/>
              </w:rPr>
            </w:pPr>
          </w:p>
        </w:tc>
        <w:tc>
          <w:tcPr>
            <w:tcW w:w="1418" w:type="dxa"/>
            <w:noWrap w:val="0"/>
            <w:vAlign w:val="top"/>
          </w:tcPr>
          <w:p w14:paraId="3EAFD415">
            <w:pPr>
              <w:spacing w:line="400" w:lineRule="exact"/>
              <w:ind w:firstLine="420" w:firstLineChars="200"/>
              <w:rPr>
                <w:rFonts w:ascii="宋体" w:hAnsi="宋体"/>
                <w:color w:val="auto"/>
                <w:szCs w:val="21"/>
                <w:highlight w:val="none"/>
              </w:rPr>
            </w:pPr>
          </w:p>
        </w:tc>
        <w:tc>
          <w:tcPr>
            <w:tcW w:w="2917" w:type="dxa"/>
            <w:noWrap w:val="0"/>
            <w:vAlign w:val="top"/>
          </w:tcPr>
          <w:p w14:paraId="2102408C">
            <w:pPr>
              <w:spacing w:line="400" w:lineRule="exact"/>
              <w:ind w:firstLine="420" w:firstLineChars="200"/>
              <w:rPr>
                <w:rFonts w:ascii="宋体" w:hAnsi="宋体"/>
                <w:color w:val="auto"/>
                <w:szCs w:val="21"/>
                <w:highlight w:val="none"/>
              </w:rPr>
            </w:pPr>
          </w:p>
        </w:tc>
      </w:tr>
      <w:tr w14:paraId="1690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41471A5F">
            <w:pPr>
              <w:spacing w:line="400" w:lineRule="exact"/>
              <w:ind w:firstLine="420" w:firstLineChars="200"/>
              <w:rPr>
                <w:rFonts w:ascii="宋体" w:hAnsi="宋体"/>
                <w:color w:val="auto"/>
                <w:szCs w:val="21"/>
                <w:highlight w:val="none"/>
              </w:rPr>
            </w:pPr>
          </w:p>
        </w:tc>
        <w:tc>
          <w:tcPr>
            <w:tcW w:w="1418" w:type="dxa"/>
            <w:noWrap w:val="0"/>
            <w:vAlign w:val="top"/>
          </w:tcPr>
          <w:p w14:paraId="4F642F1D">
            <w:pPr>
              <w:spacing w:line="400" w:lineRule="exact"/>
              <w:ind w:firstLine="420" w:firstLineChars="200"/>
              <w:rPr>
                <w:rFonts w:ascii="宋体" w:hAnsi="宋体"/>
                <w:color w:val="auto"/>
                <w:szCs w:val="21"/>
                <w:highlight w:val="none"/>
              </w:rPr>
            </w:pPr>
          </w:p>
        </w:tc>
        <w:tc>
          <w:tcPr>
            <w:tcW w:w="1418" w:type="dxa"/>
            <w:noWrap w:val="0"/>
            <w:vAlign w:val="top"/>
          </w:tcPr>
          <w:p w14:paraId="31E565CC">
            <w:pPr>
              <w:spacing w:line="400" w:lineRule="exact"/>
              <w:ind w:firstLine="420" w:firstLineChars="200"/>
              <w:rPr>
                <w:rFonts w:ascii="宋体" w:hAnsi="宋体"/>
                <w:color w:val="auto"/>
                <w:szCs w:val="21"/>
                <w:highlight w:val="none"/>
              </w:rPr>
            </w:pPr>
          </w:p>
        </w:tc>
        <w:tc>
          <w:tcPr>
            <w:tcW w:w="2917" w:type="dxa"/>
            <w:noWrap w:val="0"/>
            <w:vAlign w:val="top"/>
          </w:tcPr>
          <w:p w14:paraId="69178F4A">
            <w:pPr>
              <w:spacing w:line="400" w:lineRule="exact"/>
              <w:ind w:firstLine="420" w:firstLineChars="200"/>
              <w:rPr>
                <w:rFonts w:ascii="宋体" w:hAnsi="宋体"/>
                <w:color w:val="auto"/>
                <w:szCs w:val="21"/>
                <w:highlight w:val="none"/>
              </w:rPr>
            </w:pPr>
          </w:p>
        </w:tc>
      </w:tr>
    </w:tbl>
    <w:p w14:paraId="3632A380">
      <w:pPr>
        <w:spacing w:line="360" w:lineRule="auto"/>
        <w:ind w:firstLine="420" w:firstLineChars="200"/>
        <w:rPr>
          <w:rFonts w:ascii="宋体" w:hAnsi="宋体"/>
          <w:color w:val="auto"/>
          <w:szCs w:val="21"/>
          <w:highlight w:val="none"/>
        </w:rPr>
      </w:pPr>
    </w:p>
    <w:p w14:paraId="7FFE44E1">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1938" w:name="_Toc296891268"/>
      <w:bookmarkStart w:id="1939" w:name="_Toc296891056"/>
      <w:bookmarkStart w:id="1940" w:name="_Toc296346729"/>
      <w:bookmarkStart w:id="1941" w:name="_Toc296503228"/>
      <w:bookmarkStart w:id="1942" w:name="_Toc296944567"/>
      <w:bookmarkStart w:id="1943" w:name="_Toc296347227"/>
      <w:bookmarkStart w:id="1944" w:name="_Toc267261699"/>
      <w:r>
        <w:rPr>
          <w:rFonts w:hint="eastAsia" w:ascii="宋体" w:hAnsi="宋体"/>
          <w:color w:val="auto"/>
          <w:szCs w:val="21"/>
          <w:highlight w:val="none"/>
        </w:rPr>
        <w:t>件3：</w:t>
      </w:r>
    </w:p>
    <w:bookmarkEnd w:id="1938"/>
    <w:bookmarkEnd w:id="1939"/>
    <w:bookmarkEnd w:id="1940"/>
    <w:bookmarkEnd w:id="1941"/>
    <w:bookmarkEnd w:id="1942"/>
    <w:bookmarkEnd w:id="1943"/>
    <w:bookmarkEnd w:id="1944"/>
    <w:p w14:paraId="474F1F5F">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承包人项目管理机构组成表</w:t>
      </w:r>
    </w:p>
    <w:tbl>
      <w:tblPr>
        <w:tblStyle w:val="46"/>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505C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AEC16A7">
            <w:pPr>
              <w:spacing w:line="400" w:lineRule="exact"/>
              <w:jc w:val="center"/>
              <w:rPr>
                <w:rFonts w:ascii="宋体" w:hAnsi="宋体"/>
                <w:color w:val="auto"/>
                <w:szCs w:val="21"/>
                <w:highlight w:val="none"/>
              </w:rPr>
            </w:pPr>
            <w:r>
              <w:rPr>
                <w:rFonts w:hint="eastAsia" w:ascii="宋体" w:hAnsi="宋体"/>
                <w:color w:val="auto"/>
                <w:szCs w:val="21"/>
                <w:highlight w:val="none"/>
              </w:rPr>
              <w:t>名    称</w:t>
            </w:r>
          </w:p>
        </w:tc>
        <w:tc>
          <w:tcPr>
            <w:tcW w:w="1418" w:type="dxa"/>
            <w:noWrap w:val="0"/>
            <w:vAlign w:val="center"/>
          </w:tcPr>
          <w:p w14:paraId="3B8892AA">
            <w:pPr>
              <w:spacing w:line="400" w:lineRule="exact"/>
              <w:jc w:val="center"/>
              <w:rPr>
                <w:rFonts w:ascii="宋体" w:hAnsi="宋体"/>
                <w:color w:val="auto"/>
                <w:szCs w:val="21"/>
                <w:highlight w:val="none"/>
              </w:rPr>
            </w:pPr>
            <w:r>
              <w:rPr>
                <w:rFonts w:hint="eastAsia" w:ascii="宋体" w:hAnsi="宋体"/>
                <w:color w:val="auto"/>
                <w:szCs w:val="21"/>
                <w:highlight w:val="none"/>
              </w:rPr>
              <w:t>姓名</w:t>
            </w:r>
          </w:p>
        </w:tc>
        <w:tc>
          <w:tcPr>
            <w:tcW w:w="1134" w:type="dxa"/>
            <w:noWrap w:val="0"/>
            <w:vAlign w:val="center"/>
          </w:tcPr>
          <w:p w14:paraId="2A677131">
            <w:pPr>
              <w:spacing w:line="400" w:lineRule="exact"/>
              <w:jc w:val="center"/>
              <w:rPr>
                <w:rFonts w:ascii="宋体" w:hAnsi="宋体"/>
                <w:color w:val="auto"/>
                <w:szCs w:val="21"/>
                <w:highlight w:val="none"/>
              </w:rPr>
            </w:pPr>
            <w:r>
              <w:rPr>
                <w:rFonts w:hint="eastAsia" w:ascii="宋体" w:hAnsi="宋体"/>
                <w:color w:val="auto"/>
                <w:szCs w:val="21"/>
                <w:highlight w:val="none"/>
              </w:rPr>
              <w:t>职务</w:t>
            </w:r>
          </w:p>
        </w:tc>
        <w:tc>
          <w:tcPr>
            <w:tcW w:w="1134" w:type="dxa"/>
            <w:noWrap w:val="0"/>
            <w:vAlign w:val="center"/>
          </w:tcPr>
          <w:p w14:paraId="5A03A47D">
            <w:pPr>
              <w:spacing w:line="400" w:lineRule="exact"/>
              <w:jc w:val="center"/>
              <w:rPr>
                <w:rFonts w:ascii="宋体" w:hAnsi="宋体"/>
                <w:color w:val="auto"/>
                <w:szCs w:val="21"/>
                <w:highlight w:val="none"/>
              </w:rPr>
            </w:pPr>
            <w:r>
              <w:rPr>
                <w:rFonts w:hint="eastAsia" w:ascii="宋体" w:hAnsi="宋体"/>
                <w:color w:val="auto"/>
                <w:szCs w:val="21"/>
                <w:highlight w:val="none"/>
              </w:rPr>
              <w:t>职称</w:t>
            </w:r>
          </w:p>
        </w:tc>
        <w:tc>
          <w:tcPr>
            <w:tcW w:w="4252" w:type="dxa"/>
            <w:noWrap w:val="0"/>
            <w:vAlign w:val="center"/>
          </w:tcPr>
          <w:p w14:paraId="291BFE34">
            <w:pPr>
              <w:spacing w:line="400" w:lineRule="exact"/>
              <w:jc w:val="center"/>
              <w:rPr>
                <w:rFonts w:ascii="宋体" w:hAnsi="宋体"/>
                <w:color w:val="auto"/>
                <w:szCs w:val="21"/>
                <w:highlight w:val="none"/>
              </w:rPr>
            </w:pPr>
            <w:r>
              <w:rPr>
                <w:rFonts w:hint="eastAsia" w:ascii="宋体" w:hAnsi="宋体"/>
                <w:color w:val="auto"/>
                <w:szCs w:val="21"/>
                <w:highlight w:val="none"/>
              </w:rPr>
              <w:t>主要资历、经验及承担过的项目</w:t>
            </w:r>
          </w:p>
        </w:tc>
      </w:tr>
      <w:tr w14:paraId="34D1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noWrap w:val="0"/>
            <w:vAlign w:val="center"/>
          </w:tcPr>
          <w:p w14:paraId="71516EB8">
            <w:pPr>
              <w:spacing w:line="400" w:lineRule="exact"/>
              <w:rPr>
                <w:rFonts w:ascii="宋体" w:hAnsi="宋体"/>
                <w:color w:val="auto"/>
                <w:szCs w:val="21"/>
                <w:highlight w:val="none"/>
              </w:rPr>
            </w:pPr>
            <w:r>
              <w:rPr>
                <w:rFonts w:hint="eastAsia" w:ascii="宋体" w:hAnsi="宋体"/>
                <w:color w:val="auto"/>
                <w:szCs w:val="21"/>
                <w:highlight w:val="none"/>
              </w:rPr>
              <w:t>一、总部人员</w:t>
            </w:r>
          </w:p>
        </w:tc>
      </w:tr>
      <w:tr w14:paraId="6BB9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6B383C8">
            <w:pPr>
              <w:spacing w:line="400" w:lineRule="exact"/>
              <w:jc w:val="center"/>
              <w:rPr>
                <w:rFonts w:ascii="宋体" w:hAnsi="宋体"/>
                <w:color w:val="auto"/>
                <w:szCs w:val="21"/>
                <w:highlight w:val="none"/>
              </w:rPr>
            </w:pPr>
            <w:r>
              <w:rPr>
                <w:rFonts w:hint="eastAsia" w:ascii="宋体" w:hAnsi="宋体"/>
                <w:color w:val="auto"/>
                <w:szCs w:val="21"/>
                <w:highlight w:val="none"/>
              </w:rPr>
              <w:t>项目主管</w:t>
            </w:r>
          </w:p>
        </w:tc>
        <w:tc>
          <w:tcPr>
            <w:tcW w:w="1418" w:type="dxa"/>
            <w:noWrap w:val="0"/>
            <w:vAlign w:val="center"/>
          </w:tcPr>
          <w:p w14:paraId="55877B00">
            <w:pPr>
              <w:spacing w:line="400" w:lineRule="exact"/>
              <w:ind w:firstLine="420" w:firstLineChars="200"/>
              <w:rPr>
                <w:rFonts w:ascii="宋体" w:hAnsi="宋体"/>
                <w:color w:val="auto"/>
                <w:szCs w:val="21"/>
                <w:highlight w:val="none"/>
              </w:rPr>
            </w:pPr>
          </w:p>
        </w:tc>
        <w:tc>
          <w:tcPr>
            <w:tcW w:w="1134" w:type="dxa"/>
            <w:noWrap w:val="0"/>
            <w:vAlign w:val="center"/>
          </w:tcPr>
          <w:p w14:paraId="365649B3">
            <w:pPr>
              <w:spacing w:line="400" w:lineRule="exact"/>
              <w:ind w:firstLine="420" w:firstLineChars="200"/>
              <w:rPr>
                <w:rFonts w:ascii="宋体" w:hAnsi="宋体"/>
                <w:color w:val="auto"/>
                <w:szCs w:val="21"/>
                <w:highlight w:val="none"/>
              </w:rPr>
            </w:pPr>
          </w:p>
        </w:tc>
        <w:tc>
          <w:tcPr>
            <w:tcW w:w="1134" w:type="dxa"/>
            <w:noWrap w:val="0"/>
            <w:vAlign w:val="center"/>
          </w:tcPr>
          <w:p w14:paraId="0D881B95">
            <w:pPr>
              <w:spacing w:line="400" w:lineRule="exact"/>
              <w:ind w:firstLine="420" w:firstLineChars="200"/>
              <w:rPr>
                <w:rFonts w:ascii="宋体" w:hAnsi="宋体"/>
                <w:color w:val="auto"/>
                <w:szCs w:val="21"/>
                <w:highlight w:val="none"/>
              </w:rPr>
            </w:pPr>
          </w:p>
        </w:tc>
        <w:tc>
          <w:tcPr>
            <w:tcW w:w="4252" w:type="dxa"/>
            <w:noWrap w:val="0"/>
            <w:vAlign w:val="center"/>
          </w:tcPr>
          <w:p w14:paraId="3E44EAAB">
            <w:pPr>
              <w:spacing w:line="400" w:lineRule="exact"/>
              <w:ind w:firstLine="420" w:firstLineChars="200"/>
              <w:rPr>
                <w:rFonts w:ascii="宋体" w:hAnsi="宋体"/>
                <w:color w:val="auto"/>
                <w:szCs w:val="21"/>
                <w:highlight w:val="none"/>
              </w:rPr>
            </w:pPr>
          </w:p>
        </w:tc>
      </w:tr>
      <w:tr w14:paraId="08A1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B812ECD">
            <w:pPr>
              <w:spacing w:line="400" w:lineRule="exact"/>
              <w:jc w:val="center"/>
              <w:rPr>
                <w:rFonts w:ascii="宋体" w:hAnsi="宋体"/>
                <w:color w:val="auto"/>
                <w:szCs w:val="21"/>
                <w:highlight w:val="none"/>
              </w:rPr>
            </w:pPr>
          </w:p>
        </w:tc>
        <w:tc>
          <w:tcPr>
            <w:tcW w:w="1418" w:type="dxa"/>
            <w:noWrap w:val="0"/>
            <w:vAlign w:val="center"/>
          </w:tcPr>
          <w:p w14:paraId="70821083">
            <w:pPr>
              <w:spacing w:line="400" w:lineRule="exact"/>
              <w:ind w:firstLine="420" w:firstLineChars="200"/>
              <w:rPr>
                <w:rFonts w:ascii="宋体" w:hAnsi="宋体"/>
                <w:color w:val="auto"/>
                <w:szCs w:val="21"/>
                <w:highlight w:val="none"/>
              </w:rPr>
            </w:pPr>
          </w:p>
        </w:tc>
        <w:tc>
          <w:tcPr>
            <w:tcW w:w="1134" w:type="dxa"/>
            <w:noWrap w:val="0"/>
            <w:vAlign w:val="center"/>
          </w:tcPr>
          <w:p w14:paraId="4AF4ADE7">
            <w:pPr>
              <w:spacing w:line="400" w:lineRule="exact"/>
              <w:ind w:firstLine="420" w:firstLineChars="200"/>
              <w:rPr>
                <w:rFonts w:ascii="宋体" w:hAnsi="宋体"/>
                <w:color w:val="auto"/>
                <w:szCs w:val="21"/>
                <w:highlight w:val="none"/>
              </w:rPr>
            </w:pPr>
          </w:p>
        </w:tc>
        <w:tc>
          <w:tcPr>
            <w:tcW w:w="1134" w:type="dxa"/>
            <w:noWrap w:val="0"/>
            <w:vAlign w:val="center"/>
          </w:tcPr>
          <w:p w14:paraId="22C11B8E">
            <w:pPr>
              <w:spacing w:line="400" w:lineRule="exact"/>
              <w:ind w:firstLine="420" w:firstLineChars="200"/>
              <w:rPr>
                <w:rFonts w:ascii="宋体" w:hAnsi="宋体"/>
                <w:color w:val="auto"/>
                <w:szCs w:val="21"/>
                <w:highlight w:val="none"/>
              </w:rPr>
            </w:pPr>
          </w:p>
        </w:tc>
        <w:tc>
          <w:tcPr>
            <w:tcW w:w="4252" w:type="dxa"/>
            <w:noWrap w:val="0"/>
            <w:vAlign w:val="center"/>
          </w:tcPr>
          <w:p w14:paraId="2F47C7E7">
            <w:pPr>
              <w:spacing w:line="400" w:lineRule="exact"/>
              <w:ind w:firstLine="420" w:firstLineChars="200"/>
              <w:rPr>
                <w:rFonts w:ascii="宋体" w:hAnsi="宋体"/>
                <w:color w:val="auto"/>
                <w:szCs w:val="21"/>
                <w:highlight w:val="none"/>
              </w:rPr>
            </w:pPr>
          </w:p>
        </w:tc>
      </w:tr>
      <w:tr w14:paraId="47F6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40EC591">
            <w:pPr>
              <w:spacing w:line="400" w:lineRule="exact"/>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noWrap w:val="0"/>
            <w:vAlign w:val="center"/>
          </w:tcPr>
          <w:p w14:paraId="6BEE13CC">
            <w:pPr>
              <w:spacing w:line="400" w:lineRule="exact"/>
              <w:ind w:firstLine="420" w:firstLineChars="200"/>
              <w:rPr>
                <w:rFonts w:ascii="宋体" w:hAnsi="宋体"/>
                <w:color w:val="auto"/>
                <w:szCs w:val="21"/>
                <w:highlight w:val="none"/>
              </w:rPr>
            </w:pPr>
          </w:p>
        </w:tc>
        <w:tc>
          <w:tcPr>
            <w:tcW w:w="1134" w:type="dxa"/>
            <w:noWrap w:val="0"/>
            <w:vAlign w:val="center"/>
          </w:tcPr>
          <w:p w14:paraId="473BE36D">
            <w:pPr>
              <w:spacing w:line="400" w:lineRule="exact"/>
              <w:ind w:firstLine="420" w:firstLineChars="200"/>
              <w:rPr>
                <w:rFonts w:ascii="宋体" w:hAnsi="宋体"/>
                <w:color w:val="auto"/>
                <w:szCs w:val="21"/>
                <w:highlight w:val="none"/>
              </w:rPr>
            </w:pPr>
          </w:p>
        </w:tc>
        <w:tc>
          <w:tcPr>
            <w:tcW w:w="1134" w:type="dxa"/>
            <w:noWrap w:val="0"/>
            <w:vAlign w:val="center"/>
          </w:tcPr>
          <w:p w14:paraId="0E90DC02">
            <w:pPr>
              <w:spacing w:line="400" w:lineRule="exact"/>
              <w:ind w:firstLine="420" w:firstLineChars="200"/>
              <w:rPr>
                <w:rFonts w:ascii="宋体" w:hAnsi="宋体"/>
                <w:color w:val="auto"/>
                <w:szCs w:val="21"/>
                <w:highlight w:val="none"/>
              </w:rPr>
            </w:pPr>
          </w:p>
        </w:tc>
        <w:tc>
          <w:tcPr>
            <w:tcW w:w="4252" w:type="dxa"/>
            <w:noWrap w:val="0"/>
            <w:vAlign w:val="center"/>
          </w:tcPr>
          <w:p w14:paraId="2D32D3D5">
            <w:pPr>
              <w:spacing w:line="400" w:lineRule="exact"/>
              <w:ind w:firstLine="420" w:firstLineChars="200"/>
              <w:rPr>
                <w:rFonts w:ascii="宋体" w:hAnsi="宋体"/>
                <w:color w:val="auto"/>
                <w:szCs w:val="21"/>
                <w:highlight w:val="none"/>
              </w:rPr>
            </w:pPr>
          </w:p>
        </w:tc>
      </w:tr>
      <w:tr w14:paraId="216C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D5A4739">
            <w:pPr>
              <w:spacing w:line="400" w:lineRule="exact"/>
              <w:jc w:val="center"/>
              <w:rPr>
                <w:rFonts w:ascii="宋体" w:hAnsi="宋体"/>
                <w:color w:val="auto"/>
                <w:szCs w:val="21"/>
                <w:highlight w:val="none"/>
              </w:rPr>
            </w:pPr>
          </w:p>
        </w:tc>
        <w:tc>
          <w:tcPr>
            <w:tcW w:w="1418" w:type="dxa"/>
            <w:noWrap w:val="0"/>
            <w:vAlign w:val="center"/>
          </w:tcPr>
          <w:p w14:paraId="00A16BAE">
            <w:pPr>
              <w:spacing w:line="400" w:lineRule="exact"/>
              <w:ind w:firstLine="420" w:firstLineChars="200"/>
              <w:rPr>
                <w:rFonts w:ascii="宋体" w:hAnsi="宋体"/>
                <w:color w:val="auto"/>
                <w:szCs w:val="21"/>
                <w:highlight w:val="none"/>
              </w:rPr>
            </w:pPr>
          </w:p>
        </w:tc>
        <w:tc>
          <w:tcPr>
            <w:tcW w:w="1134" w:type="dxa"/>
            <w:noWrap w:val="0"/>
            <w:vAlign w:val="center"/>
          </w:tcPr>
          <w:p w14:paraId="7FB7833B">
            <w:pPr>
              <w:spacing w:line="400" w:lineRule="exact"/>
              <w:ind w:firstLine="420" w:firstLineChars="200"/>
              <w:rPr>
                <w:rFonts w:ascii="宋体" w:hAnsi="宋体"/>
                <w:color w:val="auto"/>
                <w:szCs w:val="21"/>
                <w:highlight w:val="none"/>
              </w:rPr>
            </w:pPr>
          </w:p>
        </w:tc>
        <w:tc>
          <w:tcPr>
            <w:tcW w:w="1134" w:type="dxa"/>
            <w:noWrap w:val="0"/>
            <w:vAlign w:val="center"/>
          </w:tcPr>
          <w:p w14:paraId="0E276C8B">
            <w:pPr>
              <w:spacing w:line="400" w:lineRule="exact"/>
              <w:ind w:firstLine="420" w:firstLineChars="200"/>
              <w:rPr>
                <w:rFonts w:ascii="宋体" w:hAnsi="宋体"/>
                <w:color w:val="auto"/>
                <w:szCs w:val="21"/>
                <w:highlight w:val="none"/>
              </w:rPr>
            </w:pPr>
          </w:p>
        </w:tc>
        <w:tc>
          <w:tcPr>
            <w:tcW w:w="4252" w:type="dxa"/>
            <w:noWrap w:val="0"/>
            <w:vAlign w:val="center"/>
          </w:tcPr>
          <w:p w14:paraId="0902432E">
            <w:pPr>
              <w:spacing w:line="400" w:lineRule="exact"/>
              <w:ind w:firstLine="420" w:firstLineChars="200"/>
              <w:rPr>
                <w:rFonts w:ascii="宋体" w:hAnsi="宋体"/>
                <w:color w:val="auto"/>
                <w:szCs w:val="21"/>
                <w:highlight w:val="none"/>
              </w:rPr>
            </w:pPr>
          </w:p>
        </w:tc>
      </w:tr>
      <w:tr w14:paraId="5F29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34075032">
            <w:pPr>
              <w:spacing w:line="400" w:lineRule="exact"/>
              <w:rPr>
                <w:rFonts w:ascii="宋体" w:hAnsi="宋体"/>
                <w:color w:val="auto"/>
                <w:szCs w:val="21"/>
                <w:highlight w:val="none"/>
              </w:rPr>
            </w:pPr>
            <w:r>
              <w:rPr>
                <w:rFonts w:hint="eastAsia" w:ascii="宋体" w:hAnsi="宋体"/>
                <w:color w:val="auto"/>
                <w:szCs w:val="21"/>
                <w:highlight w:val="none"/>
              </w:rPr>
              <w:t>二、现场人员</w:t>
            </w:r>
          </w:p>
        </w:tc>
      </w:tr>
      <w:tr w14:paraId="1081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AEBF70C">
            <w:pPr>
              <w:spacing w:line="400" w:lineRule="exact"/>
              <w:jc w:val="center"/>
              <w:rPr>
                <w:rFonts w:ascii="宋体" w:hAnsi="宋体"/>
                <w:color w:val="auto"/>
                <w:szCs w:val="21"/>
                <w:highlight w:val="none"/>
              </w:rPr>
            </w:pPr>
            <w:r>
              <w:rPr>
                <w:rFonts w:hint="eastAsia" w:ascii="宋体" w:hAnsi="宋体"/>
                <w:color w:val="auto"/>
                <w:szCs w:val="21"/>
                <w:highlight w:val="none"/>
              </w:rPr>
              <w:t>项目经理</w:t>
            </w:r>
          </w:p>
        </w:tc>
        <w:tc>
          <w:tcPr>
            <w:tcW w:w="1418" w:type="dxa"/>
            <w:noWrap w:val="0"/>
            <w:vAlign w:val="center"/>
          </w:tcPr>
          <w:p w14:paraId="7EF15544">
            <w:pPr>
              <w:spacing w:line="400" w:lineRule="exact"/>
              <w:ind w:firstLine="420" w:firstLineChars="200"/>
              <w:rPr>
                <w:rFonts w:ascii="宋体" w:hAnsi="宋体"/>
                <w:color w:val="auto"/>
                <w:szCs w:val="21"/>
                <w:highlight w:val="none"/>
              </w:rPr>
            </w:pPr>
          </w:p>
        </w:tc>
        <w:tc>
          <w:tcPr>
            <w:tcW w:w="1134" w:type="dxa"/>
            <w:noWrap w:val="0"/>
            <w:vAlign w:val="center"/>
          </w:tcPr>
          <w:p w14:paraId="5E137520">
            <w:pPr>
              <w:spacing w:line="400" w:lineRule="exact"/>
              <w:ind w:firstLine="420" w:firstLineChars="200"/>
              <w:rPr>
                <w:rFonts w:ascii="宋体" w:hAnsi="宋体"/>
                <w:color w:val="auto"/>
                <w:szCs w:val="21"/>
                <w:highlight w:val="none"/>
              </w:rPr>
            </w:pPr>
          </w:p>
        </w:tc>
        <w:tc>
          <w:tcPr>
            <w:tcW w:w="1134" w:type="dxa"/>
            <w:noWrap w:val="0"/>
            <w:vAlign w:val="center"/>
          </w:tcPr>
          <w:p w14:paraId="4EB83AA3">
            <w:pPr>
              <w:spacing w:line="400" w:lineRule="exact"/>
              <w:ind w:firstLine="420" w:firstLineChars="200"/>
              <w:rPr>
                <w:rFonts w:ascii="宋体" w:hAnsi="宋体"/>
                <w:color w:val="auto"/>
                <w:szCs w:val="21"/>
                <w:highlight w:val="none"/>
              </w:rPr>
            </w:pPr>
          </w:p>
        </w:tc>
        <w:tc>
          <w:tcPr>
            <w:tcW w:w="4252" w:type="dxa"/>
            <w:noWrap w:val="0"/>
            <w:vAlign w:val="center"/>
          </w:tcPr>
          <w:p w14:paraId="06778792">
            <w:pPr>
              <w:spacing w:line="400" w:lineRule="exact"/>
              <w:ind w:firstLine="420" w:firstLineChars="200"/>
              <w:rPr>
                <w:rFonts w:ascii="宋体" w:hAnsi="宋体"/>
                <w:color w:val="auto"/>
                <w:szCs w:val="21"/>
                <w:highlight w:val="none"/>
              </w:rPr>
            </w:pPr>
          </w:p>
        </w:tc>
      </w:tr>
      <w:tr w14:paraId="3A27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8DBE600">
            <w:pPr>
              <w:spacing w:line="400" w:lineRule="exact"/>
              <w:jc w:val="center"/>
              <w:rPr>
                <w:rFonts w:ascii="宋体" w:hAnsi="宋体"/>
                <w:color w:val="auto"/>
                <w:szCs w:val="21"/>
                <w:highlight w:val="none"/>
              </w:rPr>
            </w:pPr>
            <w:r>
              <w:rPr>
                <w:rFonts w:hint="eastAsia" w:ascii="宋体" w:hAnsi="宋体"/>
                <w:color w:val="auto"/>
                <w:szCs w:val="21"/>
                <w:highlight w:val="none"/>
              </w:rPr>
              <w:t>项目副经理</w:t>
            </w:r>
          </w:p>
        </w:tc>
        <w:tc>
          <w:tcPr>
            <w:tcW w:w="1418" w:type="dxa"/>
            <w:noWrap w:val="0"/>
            <w:vAlign w:val="center"/>
          </w:tcPr>
          <w:p w14:paraId="16CEBD42">
            <w:pPr>
              <w:spacing w:line="400" w:lineRule="exact"/>
              <w:ind w:firstLine="420" w:firstLineChars="200"/>
              <w:rPr>
                <w:rFonts w:ascii="宋体" w:hAnsi="宋体"/>
                <w:color w:val="auto"/>
                <w:szCs w:val="21"/>
                <w:highlight w:val="none"/>
              </w:rPr>
            </w:pPr>
          </w:p>
        </w:tc>
        <w:tc>
          <w:tcPr>
            <w:tcW w:w="1134" w:type="dxa"/>
            <w:noWrap w:val="0"/>
            <w:vAlign w:val="center"/>
          </w:tcPr>
          <w:p w14:paraId="6D6A2DFD">
            <w:pPr>
              <w:spacing w:line="400" w:lineRule="exact"/>
              <w:ind w:firstLine="420" w:firstLineChars="200"/>
              <w:rPr>
                <w:rFonts w:ascii="宋体" w:hAnsi="宋体"/>
                <w:color w:val="auto"/>
                <w:szCs w:val="21"/>
                <w:highlight w:val="none"/>
              </w:rPr>
            </w:pPr>
          </w:p>
        </w:tc>
        <w:tc>
          <w:tcPr>
            <w:tcW w:w="1134" w:type="dxa"/>
            <w:noWrap w:val="0"/>
            <w:vAlign w:val="center"/>
          </w:tcPr>
          <w:p w14:paraId="3CFAC819">
            <w:pPr>
              <w:spacing w:line="400" w:lineRule="exact"/>
              <w:ind w:firstLine="420" w:firstLineChars="200"/>
              <w:rPr>
                <w:rFonts w:ascii="宋体" w:hAnsi="宋体"/>
                <w:color w:val="auto"/>
                <w:szCs w:val="21"/>
                <w:highlight w:val="none"/>
              </w:rPr>
            </w:pPr>
          </w:p>
        </w:tc>
        <w:tc>
          <w:tcPr>
            <w:tcW w:w="4252" w:type="dxa"/>
            <w:noWrap w:val="0"/>
            <w:vAlign w:val="center"/>
          </w:tcPr>
          <w:p w14:paraId="56522315">
            <w:pPr>
              <w:spacing w:line="400" w:lineRule="exact"/>
              <w:ind w:firstLine="420" w:firstLineChars="200"/>
              <w:rPr>
                <w:rFonts w:ascii="宋体" w:hAnsi="宋体"/>
                <w:color w:val="auto"/>
                <w:szCs w:val="21"/>
                <w:highlight w:val="none"/>
              </w:rPr>
            </w:pPr>
          </w:p>
        </w:tc>
      </w:tr>
      <w:tr w14:paraId="397F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C357E91">
            <w:pPr>
              <w:spacing w:line="400" w:lineRule="exact"/>
              <w:jc w:val="center"/>
              <w:rPr>
                <w:rFonts w:ascii="宋体" w:hAnsi="宋体"/>
                <w:color w:val="auto"/>
                <w:szCs w:val="21"/>
                <w:highlight w:val="none"/>
              </w:rPr>
            </w:pPr>
            <w:r>
              <w:rPr>
                <w:rFonts w:hint="eastAsia" w:ascii="宋体" w:hAnsi="宋体"/>
                <w:color w:val="auto"/>
                <w:szCs w:val="21"/>
                <w:highlight w:val="none"/>
              </w:rPr>
              <w:t>技术负责人</w:t>
            </w:r>
          </w:p>
        </w:tc>
        <w:tc>
          <w:tcPr>
            <w:tcW w:w="1418" w:type="dxa"/>
            <w:noWrap w:val="0"/>
            <w:vAlign w:val="center"/>
          </w:tcPr>
          <w:p w14:paraId="7AA0C62C">
            <w:pPr>
              <w:spacing w:line="400" w:lineRule="exact"/>
              <w:ind w:firstLine="420" w:firstLineChars="200"/>
              <w:rPr>
                <w:rFonts w:ascii="宋体" w:hAnsi="宋体"/>
                <w:color w:val="auto"/>
                <w:szCs w:val="21"/>
                <w:highlight w:val="none"/>
              </w:rPr>
            </w:pPr>
          </w:p>
        </w:tc>
        <w:tc>
          <w:tcPr>
            <w:tcW w:w="1134" w:type="dxa"/>
            <w:noWrap w:val="0"/>
            <w:vAlign w:val="center"/>
          </w:tcPr>
          <w:p w14:paraId="578B0A91">
            <w:pPr>
              <w:spacing w:line="400" w:lineRule="exact"/>
              <w:ind w:firstLine="420" w:firstLineChars="200"/>
              <w:rPr>
                <w:rFonts w:ascii="宋体" w:hAnsi="宋体"/>
                <w:color w:val="auto"/>
                <w:szCs w:val="21"/>
                <w:highlight w:val="none"/>
              </w:rPr>
            </w:pPr>
          </w:p>
        </w:tc>
        <w:tc>
          <w:tcPr>
            <w:tcW w:w="1134" w:type="dxa"/>
            <w:noWrap w:val="0"/>
            <w:vAlign w:val="center"/>
          </w:tcPr>
          <w:p w14:paraId="15A80775">
            <w:pPr>
              <w:spacing w:line="400" w:lineRule="exact"/>
              <w:ind w:firstLine="420" w:firstLineChars="200"/>
              <w:rPr>
                <w:rFonts w:ascii="宋体" w:hAnsi="宋体"/>
                <w:color w:val="auto"/>
                <w:szCs w:val="21"/>
                <w:highlight w:val="none"/>
              </w:rPr>
            </w:pPr>
          </w:p>
        </w:tc>
        <w:tc>
          <w:tcPr>
            <w:tcW w:w="4252" w:type="dxa"/>
            <w:noWrap w:val="0"/>
            <w:vAlign w:val="center"/>
          </w:tcPr>
          <w:p w14:paraId="3EC3AE31">
            <w:pPr>
              <w:spacing w:line="400" w:lineRule="exact"/>
              <w:ind w:firstLine="420" w:firstLineChars="200"/>
              <w:rPr>
                <w:rFonts w:ascii="宋体" w:hAnsi="宋体"/>
                <w:color w:val="auto"/>
                <w:szCs w:val="21"/>
                <w:highlight w:val="none"/>
              </w:rPr>
            </w:pPr>
          </w:p>
        </w:tc>
      </w:tr>
      <w:tr w14:paraId="1FFE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D69068F">
            <w:pPr>
              <w:spacing w:line="400" w:lineRule="exact"/>
              <w:jc w:val="center"/>
              <w:rPr>
                <w:rFonts w:ascii="宋体" w:hAnsi="宋体"/>
                <w:color w:val="auto"/>
                <w:szCs w:val="21"/>
                <w:highlight w:val="none"/>
              </w:rPr>
            </w:pPr>
            <w:r>
              <w:rPr>
                <w:rFonts w:hint="eastAsia" w:ascii="宋体" w:hAnsi="宋体"/>
                <w:color w:val="auto"/>
                <w:szCs w:val="21"/>
                <w:highlight w:val="none"/>
              </w:rPr>
              <w:t>造价管理</w:t>
            </w:r>
          </w:p>
        </w:tc>
        <w:tc>
          <w:tcPr>
            <w:tcW w:w="1418" w:type="dxa"/>
            <w:noWrap w:val="0"/>
            <w:vAlign w:val="center"/>
          </w:tcPr>
          <w:p w14:paraId="37EF8312">
            <w:pPr>
              <w:spacing w:line="400" w:lineRule="exact"/>
              <w:ind w:firstLine="420" w:firstLineChars="200"/>
              <w:rPr>
                <w:rFonts w:ascii="宋体" w:hAnsi="宋体"/>
                <w:color w:val="auto"/>
                <w:szCs w:val="21"/>
                <w:highlight w:val="none"/>
              </w:rPr>
            </w:pPr>
          </w:p>
        </w:tc>
        <w:tc>
          <w:tcPr>
            <w:tcW w:w="1134" w:type="dxa"/>
            <w:noWrap w:val="0"/>
            <w:vAlign w:val="center"/>
          </w:tcPr>
          <w:p w14:paraId="33E20027">
            <w:pPr>
              <w:spacing w:line="400" w:lineRule="exact"/>
              <w:ind w:firstLine="420" w:firstLineChars="200"/>
              <w:rPr>
                <w:rFonts w:ascii="宋体" w:hAnsi="宋体"/>
                <w:color w:val="auto"/>
                <w:szCs w:val="21"/>
                <w:highlight w:val="none"/>
              </w:rPr>
            </w:pPr>
          </w:p>
        </w:tc>
        <w:tc>
          <w:tcPr>
            <w:tcW w:w="1134" w:type="dxa"/>
            <w:noWrap w:val="0"/>
            <w:vAlign w:val="center"/>
          </w:tcPr>
          <w:p w14:paraId="3055FCEA">
            <w:pPr>
              <w:spacing w:line="400" w:lineRule="exact"/>
              <w:ind w:firstLine="420" w:firstLineChars="200"/>
              <w:rPr>
                <w:rFonts w:ascii="宋体" w:hAnsi="宋体"/>
                <w:color w:val="auto"/>
                <w:szCs w:val="21"/>
                <w:highlight w:val="none"/>
              </w:rPr>
            </w:pPr>
          </w:p>
        </w:tc>
        <w:tc>
          <w:tcPr>
            <w:tcW w:w="4252" w:type="dxa"/>
            <w:noWrap w:val="0"/>
            <w:vAlign w:val="center"/>
          </w:tcPr>
          <w:p w14:paraId="17955075">
            <w:pPr>
              <w:spacing w:line="400" w:lineRule="exact"/>
              <w:ind w:firstLine="420" w:firstLineChars="200"/>
              <w:rPr>
                <w:rFonts w:ascii="宋体" w:hAnsi="宋体"/>
                <w:color w:val="auto"/>
                <w:szCs w:val="21"/>
                <w:highlight w:val="none"/>
              </w:rPr>
            </w:pPr>
          </w:p>
        </w:tc>
      </w:tr>
      <w:tr w14:paraId="0B28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6932D8B">
            <w:pPr>
              <w:spacing w:line="400" w:lineRule="exact"/>
              <w:jc w:val="center"/>
              <w:rPr>
                <w:rFonts w:ascii="宋体" w:hAnsi="宋体"/>
                <w:color w:val="auto"/>
                <w:szCs w:val="21"/>
                <w:highlight w:val="none"/>
              </w:rPr>
            </w:pPr>
            <w:r>
              <w:rPr>
                <w:rFonts w:hint="eastAsia" w:ascii="宋体" w:hAnsi="宋体"/>
                <w:color w:val="auto"/>
                <w:szCs w:val="21"/>
                <w:highlight w:val="none"/>
              </w:rPr>
              <w:t>质量管理</w:t>
            </w:r>
          </w:p>
        </w:tc>
        <w:tc>
          <w:tcPr>
            <w:tcW w:w="1418" w:type="dxa"/>
            <w:noWrap w:val="0"/>
            <w:vAlign w:val="center"/>
          </w:tcPr>
          <w:p w14:paraId="14F0322D">
            <w:pPr>
              <w:spacing w:line="400" w:lineRule="exact"/>
              <w:ind w:firstLine="420" w:firstLineChars="200"/>
              <w:rPr>
                <w:rFonts w:ascii="宋体" w:hAnsi="宋体"/>
                <w:color w:val="auto"/>
                <w:szCs w:val="21"/>
                <w:highlight w:val="none"/>
              </w:rPr>
            </w:pPr>
          </w:p>
        </w:tc>
        <w:tc>
          <w:tcPr>
            <w:tcW w:w="1134" w:type="dxa"/>
            <w:noWrap w:val="0"/>
            <w:vAlign w:val="center"/>
          </w:tcPr>
          <w:p w14:paraId="2953A18C">
            <w:pPr>
              <w:spacing w:line="400" w:lineRule="exact"/>
              <w:ind w:firstLine="420" w:firstLineChars="200"/>
              <w:rPr>
                <w:rFonts w:ascii="宋体" w:hAnsi="宋体"/>
                <w:color w:val="auto"/>
                <w:szCs w:val="21"/>
                <w:highlight w:val="none"/>
              </w:rPr>
            </w:pPr>
          </w:p>
        </w:tc>
        <w:tc>
          <w:tcPr>
            <w:tcW w:w="1134" w:type="dxa"/>
            <w:noWrap w:val="0"/>
            <w:vAlign w:val="center"/>
          </w:tcPr>
          <w:p w14:paraId="68E47B2E">
            <w:pPr>
              <w:spacing w:line="400" w:lineRule="exact"/>
              <w:ind w:firstLine="420" w:firstLineChars="200"/>
              <w:rPr>
                <w:rFonts w:ascii="宋体" w:hAnsi="宋体"/>
                <w:color w:val="auto"/>
                <w:szCs w:val="21"/>
                <w:highlight w:val="none"/>
              </w:rPr>
            </w:pPr>
          </w:p>
        </w:tc>
        <w:tc>
          <w:tcPr>
            <w:tcW w:w="4252" w:type="dxa"/>
            <w:noWrap w:val="0"/>
            <w:vAlign w:val="center"/>
          </w:tcPr>
          <w:p w14:paraId="3A8C8DBB">
            <w:pPr>
              <w:spacing w:line="400" w:lineRule="exact"/>
              <w:ind w:firstLine="420" w:firstLineChars="200"/>
              <w:rPr>
                <w:rFonts w:ascii="宋体" w:hAnsi="宋体"/>
                <w:color w:val="auto"/>
                <w:szCs w:val="21"/>
                <w:highlight w:val="none"/>
              </w:rPr>
            </w:pPr>
          </w:p>
        </w:tc>
      </w:tr>
      <w:tr w14:paraId="4465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86337F3">
            <w:pPr>
              <w:spacing w:line="400" w:lineRule="exact"/>
              <w:jc w:val="center"/>
              <w:rPr>
                <w:rFonts w:ascii="宋体" w:hAnsi="宋体"/>
                <w:color w:val="auto"/>
                <w:szCs w:val="21"/>
                <w:highlight w:val="none"/>
              </w:rPr>
            </w:pPr>
            <w:r>
              <w:rPr>
                <w:rFonts w:hint="eastAsia" w:ascii="宋体" w:hAnsi="宋体"/>
                <w:color w:val="auto"/>
                <w:szCs w:val="21"/>
                <w:highlight w:val="none"/>
              </w:rPr>
              <w:t>材料管理</w:t>
            </w:r>
          </w:p>
        </w:tc>
        <w:tc>
          <w:tcPr>
            <w:tcW w:w="1418" w:type="dxa"/>
            <w:noWrap w:val="0"/>
            <w:vAlign w:val="center"/>
          </w:tcPr>
          <w:p w14:paraId="7B0FD2FC">
            <w:pPr>
              <w:spacing w:line="400" w:lineRule="exact"/>
              <w:ind w:firstLine="420" w:firstLineChars="200"/>
              <w:rPr>
                <w:rFonts w:ascii="宋体" w:hAnsi="宋体"/>
                <w:color w:val="auto"/>
                <w:szCs w:val="21"/>
                <w:highlight w:val="none"/>
              </w:rPr>
            </w:pPr>
          </w:p>
        </w:tc>
        <w:tc>
          <w:tcPr>
            <w:tcW w:w="1134" w:type="dxa"/>
            <w:noWrap w:val="0"/>
            <w:vAlign w:val="center"/>
          </w:tcPr>
          <w:p w14:paraId="180A26C5">
            <w:pPr>
              <w:spacing w:line="400" w:lineRule="exact"/>
              <w:ind w:firstLine="420" w:firstLineChars="200"/>
              <w:rPr>
                <w:rFonts w:ascii="宋体" w:hAnsi="宋体"/>
                <w:color w:val="auto"/>
                <w:szCs w:val="21"/>
                <w:highlight w:val="none"/>
              </w:rPr>
            </w:pPr>
          </w:p>
        </w:tc>
        <w:tc>
          <w:tcPr>
            <w:tcW w:w="1134" w:type="dxa"/>
            <w:noWrap w:val="0"/>
            <w:vAlign w:val="center"/>
          </w:tcPr>
          <w:p w14:paraId="6DD0331C">
            <w:pPr>
              <w:spacing w:line="400" w:lineRule="exact"/>
              <w:ind w:firstLine="420" w:firstLineChars="200"/>
              <w:rPr>
                <w:rFonts w:ascii="宋体" w:hAnsi="宋体"/>
                <w:color w:val="auto"/>
                <w:szCs w:val="21"/>
                <w:highlight w:val="none"/>
              </w:rPr>
            </w:pPr>
          </w:p>
        </w:tc>
        <w:tc>
          <w:tcPr>
            <w:tcW w:w="4252" w:type="dxa"/>
            <w:noWrap w:val="0"/>
            <w:vAlign w:val="center"/>
          </w:tcPr>
          <w:p w14:paraId="7E74D010">
            <w:pPr>
              <w:spacing w:line="400" w:lineRule="exact"/>
              <w:ind w:firstLine="420" w:firstLineChars="200"/>
              <w:rPr>
                <w:rFonts w:ascii="宋体" w:hAnsi="宋体"/>
                <w:color w:val="auto"/>
                <w:szCs w:val="21"/>
                <w:highlight w:val="none"/>
              </w:rPr>
            </w:pPr>
          </w:p>
        </w:tc>
      </w:tr>
      <w:tr w14:paraId="2F1F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E0EB841">
            <w:pPr>
              <w:spacing w:line="400" w:lineRule="exact"/>
              <w:jc w:val="center"/>
              <w:rPr>
                <w:rFonts w:ascii="宋体" w:hAnsi="宋体"/>
                <w:color w:val="auto"/>
                <w:szCs w:val="21"/>
                <w:highlight w:val="none"/>
              </w:rPr>
            </w:pPr>
            <w:r>
              <w:rPr>
                <w:rFonts w:hint="eastAsia" w:ascii="宋体" w:hAnsi="宋体"/>
                <w:color w:val="auto"/>
                <w:szCs w:val="21"/>
                <w:highlight w:val="none"/>
              </w:rPr>
              <w:t>计划管理</w:t>
            </w:r>
          </w:p>
        </w:tc>
        <w:tc>
          <w:tcPr>
            <w:tcW w:w="1418" w:type="dxa"/>
            <w:noWrap w:val="0"/>
            <w:vAlign w:val="center"/>
          </w:tcPr>
          <w:p w14:paraId="47A7F8F5">
            <w:pPr>
              <w:spacing w:line="400" w:lineRule="exact"/>
              <w:ind w:firstLine="420" w:firstLineChars="200"/>
              <w:rPr>
                <w:rFonts w:ascii="宋体" w:hAnsi="宋体"/>
                <w:color w:val="auto"/>
                <w:szCs w:val="21"/>
                <w:highlight w:val="none"/>
              </w:rPr>
            </w:pPr>
          </w:p>
        </w:tc>
        <w:tc>
          <w:tcPr>
            <w:tcW w:w="1134" w:type="dxa"/>
            <w:noWrap w:val="0"/>
            <w:vAlign w:val="center"/>
          </w:tcPr>
          <w:p w14:paraId="701D4BBB">
            <w:pPr>
              <w:spacing w:line="400" w:lineRule="exact"/>
              <w:ind w:firstLine="420" w:firstLineChars="200"/>
              <w:rPr>
                <w:rFonts w:ascii="宋体" w:hAnsi="宋体"/>
                <w:color w:val="auto"/>
                <w:szCs w:val="21"/>
                <w:highlight w:val="none"/>
              </w:rPr>
            </w:pPr>
          </w:p>
        </w:tc>
        <w:tc>
          <w:tcPr>
            <w:tcW w:w="1134" w:type="dxa"/>
            <w:noWrap w:val="0"/>
            <w:vAlign w:val="center"/>
          </w:tcPr>
          <w:p w14:paraId="15600719">
            <w:pPr>
              <w:spacing w:line="400" w:lineRule="exact"/>
              <w:ind w:firstLine="420" w:firstLineChars="200"/>
              <w:rPr>
                <w:rFonts w:ascii="宋体" w:hAnsi="宋体"/>
                <w:color w:val="auto"/>
                <w:szCs w:val="21"/>
                <w:highlight w:val="none"/>
              </w:rPr>
            </w:pPr>
          </w:p>
        </w:tc>
        <w:tc>
          <w:tcPr>
            <w:tcW w:w="4252" w:type="dxa"/>
            <w:noWrap w:val="0"/>
            <w:vAlign w:val="center"/>
          </w:tcPr>
          <w:p w14:paraId="2768B148">
            <w:pPr>
              <w:spacing w:line="400" w:lineRule="exact"/>
              <w:ind w:firstLine="420" w:firstLineChars="200"/>
              <w:rPr>
                <w:rFonts w:ascii="宋体" w:hAnsi="宋体"/>
                <w:color w:val="auto"/>
                <w:szCs w:val="21"/>
                <w:highlight w:val="none"/>
              </w:rPr>
            </w:pPr>
          </w:p>
        </w:tc>
      </w:tr>
      <w:tr w14:paraId="3BE8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7E40334">
            <w:pPr>
              <w:spacing w:line="400" w:lineRule="exact"/>
              <w:jc w:val="center"/>
              <w:rPr>
                <w:rFonts w:ascii="宋体" w:hAnsi="宋体"/>
                <w:color w:val="auto"/>
                <w:szCs w:val="21"/>
                <w:highlight w:val="none"/>
              </w:rPr>
            </w:pPr>
            <w:r>
              <w:rPr>
                <w:rFonts w:hint="eastAsia" w:ascii="宋体" w:hAnsi="宋体"/>
                <w:color w:val="auto"/>
                <w:szCs w:val="21"/>
                <w:highlight w:val="none"/>
              </w:rPr>
              <w:t>安全管理</w:t>
            </w:r>
          </w:p>
        </w:tc>
        <w:tc>
          <w:tcPr>
            <w:tcW w:w="1418" w:type="dxa"/>
            <w:noWrap w:val="0"/>
            <w:vAlign w:val="center"/>
          </w:tcPr>
          <w:p w14:paraId="6593C161">
            <w:pPr>
              <w:spacing w:line="400" w:lineRule="exact"/>
              <w:ind w:firstLine="420" w:firstLineChars="200"/>
              <w:rPr>
                <w:rFonts w:ascii="宋体" w:hAnsi="宋体"/>
                <w:color w:val="auto"/>
                <w:szCs w:val="21"/>
                <w:highlight w:val="none"/>
              </w:rPr>
            </w:pPr>
          </w:p>
        </w:tc>
        <w:tc>
          <w:tcPr>
            <w:tcW w:w="1134" w:type="dxa"/>
            <w:noWrap w:val="0"/>
            <w:vAlign w:val="center"/>
          </w:tcPr>
          <w:p w14:paraId="48831361">
            <w:pPr>
              <w:spacing w:line="400" w:lineRule="exact"/>
              <w:ind w:firstLine="420" w:firstLineChars="200"/>
              <w:rPr>
                <w:rFonts w:ascii="宋体" w:hAnsi="宋体"/>
                <w:color w:val="auto"/>
                <w:szCs w:val="21"/>
                <w:highlight w:val="none"/>
              </w:rPr>
            </w:pPr>
          </w:p>
        </w:tc>
        <w:tc>
          <w:tcPr>
            <w:tcW w:w="1134" w:type="dxa"/>
            <w:noWrap w:val="0"/>
            <w:vAlign w:val="center"/>
          </w:tcPr>
          <w:p w14:paraId="77E3A696">
            <w:pPr>
              <w:spacing w:line="400" w:lineRule="exact"/>
              <w:ind w:firstLine="420" w:firstLineChars="200"/>
              <w:rPr>
                <w:rFonts w:ascii="宋体" w:hAnsi="宋体"/>
                <w:color w:val="auto"/>
                <w:szCs w:val="21"/>
                <w:highlight w:val="none"/>
              </w:rPr>
            </w:pPr>
          </w:p>
        </w:tc>
        <w:tc>
          <w:tcPr>
            <w:tcW w:w="4252" w:type="dxa"/>
            <w:noWrap w:val="0"/>
            <w:vAlign w:val="center"/>
          </w:tcPr>
          <w:p w14:paraId="52EAE059">
            <w:pPr>
              <w:spacing w:line="400" w:lineRule="exact"/>
              <w:ind w:firstLine="420" w:firstLineChars="200"/>
              <w:rPr>
                <w:rFonts w:ascii="宋体" w:hAnsi="宋体"/>
                <w:color w:val="auto"/>
                <w:szCs w:val="21"/>
                <w:highlight w:val="none"/>
              </w:rPr>
            </w:pPr>
          </w:p>
        </w:tc>
      </w:tr>
      <w:tr w14:paraId="3187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15005E77">
            <w:pPr>
              <w:spacing w:line="400" w:lineRule="exact"/>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noWrap w:val="0"/>
            <w:vAlign w:val="center"/>
          </w:tcPr>
          <w:p w14:paraId="27214E0E">
            <w:pPr>
              <w:spacing w:line="400" w:lineRule="exact"/>
              <w:ind w:firstLine="420" w:firstLineChars="200"/>
              <w:rPr>
                <w:rFonts w:ascii="宋体" w:hAnsi="宋体"/>
                <w:color w:val="auto"/>
                <w:szCs w:val="21"/>
                <w:highlight w:val="none"/>
              </w:rPr>
            </w:pPr>
          </w:p>
        </w:tc>
        <w:tc>
          <w:tcPr>
            <w:tcW w:w="1134" w:type="dxa"/>
            <w:noWrap w:val="0"/>
            <w:vAlign w:val="center"/>
          </w:tcPr>
          <w:p w14:paraId="33670468">
            <w:pPr>
              <w:spacing w:line="400" w:lineRule="exact"/>
              <w:ind w:firstLine="420" w:firstLineChars="200"/>
              <w:rPr>
                <w:rFonts w:ascii="宋体" w:hAnsi="宋体"/>
                <w:color w:val="auto"/>
                <w:szCs w:val="21"/>
                <w:highlight w:val="none"/>
              </w:rPr>
            </w:pPr>
          </w:p>
        </w:tc>
        <w:tc>
          <w:tcPr>
            <w:tcW w:w="1134" w:type="dxa"/>
            <w:noWrap w:val="0"/>
            <w:vAlign w:val="center"/>
          </w:tcPr>
          <w:p w14:paraId="49DB02DD">
            <w:pPr>
              <w:spacing w:line="400" w:lineRule="exact"/>
              <w:ind w:firstLine="420" w:firstLineChars="200"/>
              <w:rPr>
                <w:rFonts w:ascii="宋体" w:hAnsi="宋体"/>
                <w:color w:val="auto"/>
                <w:szCs w:val="21"/>
                <w:highlight w:val="none"/>
              </w:rPr>
            </w:pPr>
          </w:p>
        </w:tc>
        <w:tc>
          <w:tcPr>
            <w:tcW w:w="4252" w:type="dxa"/>
            <w:noWrap w:val="0"/>
            <w:vAlign w:val="center"/>
          </w:tcPr>
          <w:p w14:paraId="5848D18A">
            <w:pPr>
              <w:spacing w:line="400" w:lineRule="exact"/>
              <w:ind w:firstLine="420" w:firstLineChars="200"/>
              <w:rPr>
                <w:rFonts w:ascii="宋体" w:hAnsi="宋体"/>
                <w:color w:val="auto"/>
                <w:szCs w:val="21"/>
                <w:highlight w:val="none"/>
              </w:rPr>
            </w:pPr>
          </w:p>
        </w:tc>
      </w:tr>
      <w:tr w14:paraId="00F21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4D05D05">
            <w:pPr>
              <w:spacing w:line="400" w:lineRule="exact"/>
              <w:ind w:firstLine="420" w:firstLineChars="200"/>
              <w:rPr>
                <w:rFonts w:ascii="宋体" w:hAnsi="宋体"/>
                <w:color w:val="auto"/>
                <w:szCs w:val="21"/>
                <w:highlight w:val="none"/>
              </w:rPr>
            </w:pPr>
          </w:p>
        </w:tc>
        <w:tc>
          <w:tcPr>
            <w:tcW w:w="1418" w:type="dxa"/>
            <w:noWrap w:val="0"/>
            <w:vAlign w:val="center"/>
          </w:tcPr>
          <w:p w14:paraId="661FA800">
            <w:pPr>
              <w:spacing w:line="400" w:lineRule="exact"/>
              <w:ind w:firstLine="420" w:firstLineChars="200"/>
              <w:rPr>
                <w:rFonts w:ascii="宋体" w:hAnsi="宋体"/>
                <w:color w:val="auto"/>
                <w:szCs w:val="21"/>
                <w:highlight w:val="none"/>
              </w:rPr>
            </w:pPr>
          </w:p>
        </w:tc>
        <w:tc>
          <w:tcPr>
            <w:tcW w:w="1134" w:type="dxa"/>
            <w:noWrap w:val="0"/>
            <w:vAlign w:val="center"/>
          </w:tcPr>
          <w:p w14:paraId="33B624AD">
            <w:pPr>
              <w:spacing w:line="400" w:lineRule="exact"/>
              <w:ind w:firstLine="420" w:firstLineChars="200"/>
              <w:rPr>
                <w:rFonts w:ascii="宋体" w:hAnsi="宋体"/>
                <w:color w:val="auto"/>
                <w:szCs w:val="21"/>
                <w:highlight w:val="none"/>
              </w:rPr>
            </w:pPr>
          </w:p>
        </w:tc>
        <w:tc>
          <w:tcPr>
            <w:tcW w:w="1134" w:type="dxa"/>
            <w:noWrap w:val="0"/>
            <w:vAlign w:val="center"/>
          </w:tcPr>
          <w:p w14:paraId="6226D484">
            <w:pPr>
              <w:spacing w:line="400" w:lineRule="exact"/>
              <w:ind w:firstLine="420" w:firstLineChars="200"/>
              <w:rPr>
                <w:rFonts w:ascii="宋体" w:hAnsi="宋体"/>
                <w:color w:val="auto"/>
                <w:szCs w:val="21"/>
                <w:highlight w:val="none"/>
              </w:rPr>
            </w:pPr>
          </w:p>
        </w:tc>
        <w:tc>
          <w:tcPr>
            <w:tcW w:w="4252" w:type="dxa"/>
            <w:noWrap w:val="0"/>
            <w:vAlign w:val="center"/>
          </w:tcPr>
          <w:p w14:paraId="30553DD3">
            <w:pPr>
              <w:spacing w:line="400" w:lineRule="exact"/>
              <w:ind w:firstLine="420" w:firstLineChars="200"/>
              <w:rPr>
                <w:rFonts w:ascii="宋体" w:hAnsi="宋体"/>
                <w:color w:val="auto"/>
                <w:szCs w:val="21"/>
                <w:highlight w:val="none"/>
              </w:rPr>
            </w:pPr>
          </w:p>
        </w:tc>
      </w:tr>
      <w:tr w14:paraId="78827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5185B8D">
            <w:pPr>
              <w:spacing w:line="400" w:lineRule="exact"/>
              <w:ind w:firstLine="420" w:firstLineChars="200"/>
              <w:rPr>
                <w:rFonts w:ascii="宋体" w:hAnsi="宋体"/>
                <w:color w:val="auto"/>
                <w:szCs w:val="21"/>
                <w:highlight w:val="none"/>
              </w:rPr>
            </w:pPr>
          </w:p>
        </w:tc>
        <w:tc>
          <w:tcPr>
            <w:tcW w:w="1418" w:type="dxa"/>
            <w:noWrap w:val="0"/>
            <w:vAlign w:val="center"/>
          </w:tcPr>
          <w:p w14:paraId="14247C81">
            <w:pPr>
              <w:spacing w:line="400" w:lineRule="exact"/>
              <w:ind w:firstLine="420" w:firstLineChars="200"/>
              <w:rPr>
                <w:rFonts w:ascii="宋体" w:hAnsi="宋体"/>
                <w:color w:val="auto"/>
                <w:szCs w:val="21"/>
                <w:highlight w:val="none"/>
              </w:rPr>
            </w:pPr>
          </w:p>
        </w:tc>
        <w:tc>
          <w:tcPr>
            <w:tcW w:w="1134" w:type="dxa"/>
            <w:noWrap w:val="0"/>
            <w:vAlign w:val="center"/>
          </w:tcPr>
          <w:p w14:paraId="64DD8C01">
            <w:pPr>
              <w:spacing w:line="400" w:lineRule="exact"/>
              <w:ind w:firstLine="420" w:firstLineChars="200"/>
              <w:rPr>
                <w:rFonts w:ascii="宋体" w:hAnsi="宋体"/>
                <w:color w:val="auto"/>
                <w:szCs w:val="21"/>
                <w:highlight w:val="none"/>
              </w:rPr>
            </w:pPr>
          </w:p>
        </w:tc>
        <w:tc>
          <w:tcPr>
            <w:tcW w:w="1134" w:type="dxa"/>
            <w:noWrap w:val="0"/>
            <w:vAlign w:val="center"/>
          </w:tcPr>
          <w:p w14:paraId="2CCD67C6">
            <w:pPr>
              <w:spacing w:line="400" w:lineRule="exact"/>
              <w:ind w:firstLine="420" w:firstLineChars="200"/>
              <w:rPr>
                <w:rFonts w:ascii="宋体" w:hAnsi="宋体"/>
                <w:color w:val="auto"/>
                <w:szCs w:val="21"/>
                <w:highlight w:val="none"/>
              </w:rPr>
            </w:pPr>
          </w:p>
        </w:tc>
        <w:tc>
          <w:tcPr>
            <w:tcW w:w="4252" w:type="dxa"/>
            <w:noWrap w:val="0"/>
            <w:vAlign w:val="center"/>
          </w:tcPr>
          <w:p w14:paraId="4105F3AC">
            <w:pPr>
              <w:spacing w:line="400" w:lineRule="exact"/>
              <w:ind w:firstLine="420" w:firstLineChars="200"/>
              <w:rPr>
                <w:rFonts w:ascii="宋体" w:hAnsi="宋体"/>
                <w:color w:val="auto"/>
                <w:szCs w:val="21"/>
                <w:highlight w:val="none"/>
              </w:rPr>
            </w:pPr>
          </w:p>
        </w:tc>
      </w:tr>
      <w:tr w14:paraId="1E7B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noWrap w:val="0"/>
            <w:vAlign w:val="center"/>
          </w:tcPr>
          <w:p w14:paraId="6EFCA6B4">
            <w:pPr>
              <w:spacing w:line="400" w:lineRule="exact"/>
              <w:ind w:firstLine="420" w:firstLineChars="200"/>
              <w:rPr>
                <w:rFonts w:ascii="宋体" w:hAnsi="宋体"/>
                <w:color w:val="auto"/>
                <w:szCs w:val="21"/>
                <w:highlight w:val="none"/>
              </w:rPr>
            </w:pPr>
          </w:p>
        </w:tc>
        <w:tc>
          <w:tcPr>
            <w:tcW w:w="1418" w:type="dxa"/>
            <w:noWrap w:val="0"/>
            <w:vAlign w:val="center"/>
          </w:tcPr>
          <w:p w14:paraId="4B0E34E9">
            <w:pPr>
              <w:spacing w:line="400" w:lineRule="exact"/>
              <w:ind w:firstLine="420" w:firstLineChars="200"/>
              <w:rPr>
                <w:rFonts w:ascii="宋体" w:hAnsi="宋体"/>
                <w:color w:val="auto"/>
                <w:szCs w:val="21"/>
                <w:highlight w:val="none"/>
              </w:rPr>
            </w:pPr>
          </w:p>
        </w:tc>
        <w:tc>
          <w:tcPr>
            <w:tcW w:w="1134" w:type="dxa"/>
            <w:noWrap w:val="0"/>
            <w:vAlign w:val="center"/>
          </w:tcPr>
          <w:p w14:paraId="67450033">
            <w:pPr>
              <w:spacing w:line="400" w:lineRule="exact"/>
              <w:ind w:firstLine="420" w:firstLineChars="200"/>
              <w:rPr>
                <w:rFonts w:ascii="宋体" w:hAnsi="宋体"/>
                <w:color w:val="auto"/>
                <w:szCs w:val="21"/>
                <w:highlight w:val="none"/>
              </w:rPr>
            </w:pPr>
          </w:p>
        </w:tc>
        <w:tc>
          <w:tcPr>
            <w:tcW w:w="1134" w:type="dxa"/>
            <w:noWrap w:val="0"/>
            <w:vAlign w:val="center"/>
          </w:tcPr>
          <w:p w14:paraId="4CD10F76">
            <w:pPr>
              <w:spacing w:line="400" w:lineRule="exact"/>
              <w:ind w:firstLine="420" w:firstLineChars="200"/>
              <w:rPr>
                <w:rFonts w:ascii="宋体" w:hAnsi="宋体"/>
                <w:color w:val="auto"/>
                <w:szCs w:val="21"/>
                <w:highlight w:val="none"/>
              </w:rPr>
            </w:pPr>
          </w:p>
        </w:tc>
        <w:tc>
          <w:tcPr>
            <w:tcW w:w="4252" w:type="dxa"/>
            <w:noWrap w:val="0"/>
            <w:vAlign w:val="center"/>
          </w:tcPr>
          <w:p w14:paraId="79657556">
            <w:pPr>
              <w:spacing w:line="400" w:lineRule="exact"/>
              <w:ind w:firstLine="420" w:firstLineChars="200"/>
              <w:rPr>
                <w:rFonts w:ascii="宋体" w:hAnsi="宋体"/>
                <w:color w:val="auto"/>
                <w:szCs w:val="21"/>
                <w:highlight w:val="none"/>
              </w:rPr>
            </w:pPr>
          </w:p>
        </w:tc>
      </w:tr>
      <w:tr w14:paraId="76B2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noWrap w:val="0"/>
            <w:vAlign w:val="center"/>
          </w:tcPr>
          <w:p w14:paraId="4F69653E">
            <w:pPr>
              <w:spacing w:line="400" w:lineRule="exact"/>
              <w:ind w:firstLine="420" w:firstLineChars="200"/>
              <w:rPr>
                <w:rFonts w:ascii="宋体" w:hAnsi="宋体"/>
                <w:color w:val="auto"/>
                <w:szCs w:val="21"/>
                <w:highlight w:val="none"/>
              </w:rPr>
            </w:pPr>
          </w:p>
        </w:tc>
        <w:tc>
          <w:tcPr>
            <w:tcW w:w="1418" w:type="dxa"/>
            <w:noWrap w:val="0"/>
            <w:vAlign w:val="center"/>
          </w:tcPr>
          <w:p w14:paraId="45AD5730">
            <w:pPr>
              <w:spacing w:line="400" w:lineRule="exact"/>
              <w:ind w:firstLine="420" w:firstLineChars="200"/>
              <w:rPr>
                <w:rFonts w:ascii="宋体" w:hAnsi="宋体"/>
                <w:color w:val="auto"/>
                <w:szCs w:val="21"/>
                <w:highlight w:val="none"/>
              </w:rPr>
            </w:pPr>
          </w:p>
        </w:tc>
        <w:tc>
          <w:tcPr>
            <w:tcW w:w="1134" w:type="dxa"/>
            <w:noWrap w:val="0"/>
            <w:vAlign w:val="center"/>
          </w:tcPr>
          <w:p w14:paraId="24AB012A">
            <w:pPr>
              <w:spacing w:line="400" w:lineRule="exact"/>
              <w:ind w:firstLine="420" w:firstLineChars="200"/>
              <w:rPr>
                <w:rFonts w:ascii="宋体" w:hAnsi="宋体"/>
                <w:color w:val="auto"/>
                <w:szCs w:val="21"/>
                <w:highlight w:val="none"/>
              </w:rPr>
            </w:pPr>
          </w:p>
        </w:tc>
        <w:tc>
          <w:tcPr>
            <w:tcW w:w="1134" w:type="dxa"/>
            <w:noWrap w:val="0"/>
            <w:vAlign w:val="center"/>
          </w:tcPr>
          <w:p w14:paraId="38DC7124">
            <w:pPr>
              <w:spacing w:line="400" w:lineRule="exact"/>
              <w:ind w:firstLine="420" w:firstLineChars="200"/>
              <w:rPr>
                <w:rFonts w:ascii="宋体" w:hAnsi="宋体"/>
                <w:color w:val="auto"/>
                <w:szCs w:val="21"/>
                <w:highlight w:val="none"/>
              </w:rPr>
            </w:pPr>
          </w:p>
        </w:tc>
        <w:tc>
          <w:tcPr>
            <w:tcW w:w="4252" w:type="dxa"/>
            <w:noWrap w:val="0"/>
            <w:vAlign w:val="center"/>
          </w:tcPr>
          <w:p w14:paraId="66BDC8E1">
            <w:pPr>
              <w:spacing w:line="400" w:lineRule="exact"/>
              <w:ind w:firstLine="420" w:firstLineChars="200"/>
              <w:rPr>
                <w:rFonts w:ascii="宋体" w:hAnsi="宋体"/>
                <w:color w:val="auto"/>
                <w:szCs w:val="21"/>
                <w:highlight w:val="none"/>
              </w:rPr>
            </w:pPr>
          </w:p>
        </w:tc>
      </w:tr>
    </w:tbl>
    <w:p w14:paraId="3B04300B">
      <w:pPr>
        <w:spacing w:line="480" w:lineRule="auto"/>
        <w:rPr>
          <w:rFonts w:hint="default" w:ascii="宋体" w:hAnsi="宋体" w:eastAsia="宋体"/>
          <w:color w:val="auto"/>
          <w:szCs w:val="21"/>
          <w:highlight w:val="none"/>
          <w:lang w:val="en-US" w:eastAsia="zh-CN"/>
        </w:rPr>
      </w:pPr>
      <w:r>
        <w:rPr>
          <w:rFonts w:hint="eastAsia" w:ascii="宋体" w:hAnsi="宋体"/>
          <w:color w:val="auto"/>
          <w:szCs w:val="21"/>
          <w:highlight w:val="none"/>
        </w:rPr>
        <w:br w:type="page"/>
      </w:r>
      <w:bookmarkStart w:id="1945" w:name="_Toc267261701"/>
      <w:r>
        <w:rPr>
          <w:rFonts w:hint="eastAsia" w:ascii="宋体" w:hAnsi="宋体"/>
          <w:color w:val="auto"/>
          <w:szCs w:val="21"/>
          <w:highlight w:val="none"/>
        </w:rPr>
        <w:t>附</w:t>
      </w:r>
      <w:bookmarkStart w:id="1946" w:name="_Toc296944570"/>
      <w:bookmarkStart w:id="1947" w:name="_Toc296347230"/>
      <w:bookmarkStart w:id="1948" w:name="_Toc296891059"/>
      <w:bookmarkStart w:id="1949" w:name="_Toc296346732"/>
      <w:bookmarkStart w:id="1950" w:name="_Toc296891271"/>
      <w:bookmarkStart w:id="1951" w:name="_Toc296503231"/>
      <w:r>
        <w:rPr>
          <w:rFonts w:hint="eastAsia" w:ascii="宋体" w:hAnsi="宋体"/>
          <w:color w:val="auto"/>
          <w:szCs w:val="21"/>
          <w:highlight w:val="none"/>
        </w:rPr>
        <w:t>件4：</w:t>
      </w:r>
      <w:r>
        <w:rPr>
          <w:rFonts w:hint="eastAsia" w:ascii="宋体" w:hAnsi="宋体"/>
          <w:color w:val="auto"/>
          <w:szCs w:val="21"/>
          <w:highlight w:val="none"/>
          <w:lang w:val="en-US" w:eastAsia="zh-CN"/>
        </w:rPr>
        <w:t>履约担保（如有）</w:t>
      </w:r>
    </w:p>
    <w:bookmarkEnd w:id="1945"/>
    <w:bookmarkEnd w:id="1946"/>
    <w:bookmarkEnd w:id="1947"/>
    <w:bookmarkEnd w:id="1948"/>
    <w:bookmarkEnd w:id="1949"/>
    <w:bookmarkEnd w:id="1950"/>
    <w:bookmarkEnd w:id="1951"/>
    <w:p w14:paraId="366542F2">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履约保函示范文本</w:t>
      </w:r>
    </w:p>
    <w:p w14:paraId="3B5F6F13">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highlight w:val="none"/>
        </w:rPr>
      </w:pPr>
    </w:p>
    <w:p w14:paraId="1A09EED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14:paraId="48F062F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61179591">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14:paraId="5725C207">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01D484C8">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14:paraId="4B133853">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166A84D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p>
    <w:p w14:paraId="62CD30A8">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p>
    <w:p w14:paraId="22F55919">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鉴于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以下简称“受益人”）与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（以下简称“申请人”）就工程</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rPr>
        <w:t>（以下简称“基础合同”）约定的义务，向贵方提供不可撤销、不可转让的见索即付保函（以下简称“本保函”）。</w:t>
      </w:r>
    </w:p>
    <w:p w14:paraId="3BFFDFD3">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一、本保函担保范围：承包人未按照基础合同的约定履行义务，应当向贵方承担的违约责任和赔偿因此造成的损失、利息、律师费、诉讼费用等实现债权的费用。</w:t>
      </w:r>
    </w:p>
    <w:p w14:paraId="2E591252">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二、本保函担保金额最高不超过人民币（大写）</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元（¥</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112C5BB2">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rPr>
        <w:t>三、</w:t>
      </w:r>
      <w:r>
        <w:rPr>
          <w:rFonts w:hint="eastAsia" w:ascii="宋体" w:hAnsi="宋体" w:eastAsia="宋体" w:cs="宋体"/>
          <w:color w:val="auto"/>
          <w:spacing w:val="6"/>
          <w:kern w:val="2"/>
          <w:sz w:val="21"/>
          <w:szCs w:val="21"/>
          <w:highlight w:val="none"/>
        </w:rPr>
        <w:t>本保函有效期自</w:t>
      </w:r>
      <w:r>
        <w:rPr>
          <w:rFonts w:hint="eastAsia" w:ascii="宋体" w:hAnsi="宋体" w:eastAsia="宋体" w:cs="宋体"/>
          <w:color w:val="auto"/>
          <w:spacing w:val="6"/>
          <w:kern w:val="2"/>
          <w:sz w:val="21"/>
          <w:szCs w:val="21"/>
          <w:highlight w:val="none"/>
          <w:lang w:eastAsia="zh-CN"/>
        </w:rPr>
        <w:t>受益人与申请人签订的合同生效之日</w:t>
      </w:r>
      <w:r>
        <w:rPr>
          <w:rFonts w:hint="eastAsia" w:ascii="宋体" w:hAnsi="宋体" w:eastAsia="宋体" w:cs="宋体"/>
          <w:color w:val="auto"/>
          <w:spacing w:val="0"/>
          <w:kern w:val="2"/>
          <w:sz w:val="21"/>
          <w:szCs w:val="21"/>
          <w:highlight w:val="none"/>
          <w:lang w:eastAsia="zh-CN"/>
        </w:rPr>
        <w:t>起至合同约定的工期截止日后</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rPr>
        <w:t>天</w:t>
      </w:r>
      <w:r>
        <w:rPr>
          <w:rFonts w:hint="eastAsia" w:ascii="宋体" w:hAnsi="宋体" w:eastAsia="宋体" w:cs="宋体"/>
          <w:color w:val="auto"/>
          <w:spacing w:val="0"/>
          <w:kern w:val="2"/>
          <w:sz w:val="21"/>
          <w:szCs w:val="21"/>
          <w:highlight w:val="none"/>
          <w:lang w:eastAsia="zh-CN"/>
        </w:rPr>
        <w:t>，最迟不超过</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年</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月</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日。</w:t>
      </w:r>
    </w:p>
    <w:p w14:paraId="4578860E">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w:t>
      </w:r>
      <w:r>
        <w:rPr>
          <w:rFonts w:hint="eastAsia" w:ascii="宋体" w:hAnsi="宋体" w:eastAsia="宋体" w:cs="宋体"/>
          <w:color w:val="auto"/>
          <w:kern w:val="2"/>
          <w:sz w:val="21"/>
          <w:szCs w:val="21"/>
          <w:highlight w:val="none"/>
          <w:lang w:eastAsia="zh-CN"/>
        </w:rPr>
        <w:t>和本保函原件</w:t>
      </w:r>
      <w:r>
        <w:rPr>
          <w:rFonts w:hint="eastAsia" w:ascii="宋体" w:hAnsi="宋体" w:eastAsia="宋体" w:cs="宋体"/>
          <w:color w:val="auto"/>
          <w:kern w:val="2"/>
          <w:sz w:val="21"/>
          <w:szCs w:val="21"/>
          <w:highlight w:val="none"/>
        </w:rPr>
        <w:t>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个工作日内无条件支付至受益人指定账户，前述书面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14:paraId="032ECB05">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14:paraId="1FB563A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14:paraId="69E316B3">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（3）载明申请人违反合同义务的条款和内容；</w:t>
      </w:r>
    </w:p>
    <w:p w14:paraId="2777A4F7">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（4）声明不存在合同文件约定或我国法律规定免除申请人或开立人支付责任的情形；</w:t>
      </w:r>
    </w:p>
    <w:p w14:paraId="4C5C9B08">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667FBAED">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受益人发出的书面索赔通知应由其为鉴明受益人法定代表人（负责人）或授权代理人签名或盖个人名章并加盖公章。</w:t>
      </w:r>
    </w:p>
    <w:p w14:paraId="59AFCD76">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五、本保函项下的权利不得转让，不得设定担保。贵方未经我方书面同意转让本保函或其项下任何权利，对我方不发生法律效力。</w:t>
      </w:r>
    </w:p>
    <w:p w14:paraId="0E1A572C">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六、与本保函有关的基础合同不成立、不生效、无效、被撤销、被解除，不影响本保函的独立有效。</w:t>
      </w:r>
    </w:p>
    <w:p w14:paraId="00EB2E1E">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七、贵方应在本保函到期后的</w:t>
      </w:r>
      <w:r>
        <w:rPr>
          <w:rFonts w:hint="eastAsia" w:ascii="宋体" w:hAnsi="宋体" w:eastAsia="宋体" w:cs="宋体"/>
          <w:color w:val="auto"/>
          <w:kern w:val="2"/>
          <w:sz w:val="21"/>
          <w:szCs w:val="21"/>
          <w:highlight w:val="none"/>
          <w:lang w:val="en-US" w:eastAsia="zh-CN"/>
        </w:rPr>
        <w:t>七个工作</w:t>
      </w:r>
      <w:r>
        <w:rPr>
          <w:rFonts w:hint="eastAsia" w:ascii="宋体" w:hAnsi="宋体" w:eastAsia="宋体" w:cs="宋体"/>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14:paraId="4ADE619D">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八、本保函适用的法律为中华人民共和国法律，争议裁判管辖地为中华人民共和国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52A46C47">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九、本保函自我方法定代表人或授权代表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或盖个人名章并加盖公章或合同专用章之日起生效。</w:t>
      </w:r>
    </w:p>
    <w:p w14:paraId="5D0EDB34">
      <w:pPr>
        <w:keepNext w:val="0"/>
        <w:keepLines w:val="0"/>
        <w:pageBreakBefore w:val="0"/>
        <w:widowControl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val="en-US" w:eastAsia="zh-CN"/>
        </w:rPr>
        <w:t>十、</w:t>
      </w:r>
      <w:r>
        <w:rPr>
          <w:rFonts w:hint="eastAsia" w:ascii="宋体" w:hAnsi="宋体" w:eastAsia="宋体" w:cs="宋体"/>
          <w:color w:val="auto"/>
          <w:kern w:val="2"/>
          <w:sz w:val="21"/>
          <w:szCs w:val="21"/>
          <w:highlight w:val="none"/>
          <w:lang w:eastAsia="zh-CN"/>
        </w:rPr>
        <w:t>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14:paraId="172FAF3D">
      <w:pPr>
        <w:keepNext w:val="0"/>
        <w:keepLines w:val="0"/>
        <w:pageBreakBefore w:val="0"/>
        <w:widowControl w:val="0"/>
        <w:shd w:val="clear" w:color="auto" w:fill="auto"/>
        <w:kinsoku/>
        <w:wordWrap/>
        <w:topLinePunct w:val="0"/>
        <w:autoSpaceDE/>
        <w:autoSpaceDN/>
        <w:bidi w:val="0"/>
        <w:snapToGrid/>
        <w:spacing w:beforeLines="0" w:after="0" w:line="360" w:lineRule="auto"/>
        <w:jc w:val="both"/>
        <w:rPr>
          <w:rFonts w:hint="eastAsia" w:ascii="宋体" w:hAnsi="宋体" w:eastAsia="宋体" w:cs="宋体"/>
          <w:color w:val="auto"/>
          <w:kern w:val="2"/>
          <w:sz w:val="21"/>
          <w:szCs w:val="21"/>
          <w:highlight w:val="none"/>
          <w:lang w:val="en-US" w:eastAsia="zh-CN" w:bidi="ar-SA"/>
        </w:rPr>
      </w:pPr>
    </w:p>
    <w:p w14:paraId="321B8036">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（公章）</w:t>
      </w:r>
    </w:p>
    <w:p w14:paraId="4689A6BA">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法定代表人（或授权代表）：</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签名或盖个人名章</w:t>
      </w:r>
      <w:r>
        <w:rPr>
          <w:rFonts w:hint="eastAsia" w:ascii="宋体" w:hAnsi="宋体" w:eastAsia="宋体" w:cs="宋体"/>
          <w:color w:val="auto"/>
          <w:kern w:val="2"/>
          <w:sz w:val="21"/>
          <w:szCs w:val="21"/>
          <w:highlight w:val="none"/>
        </w:rPr>
        <w:t>）</w:t>
      </w:r>
    </w:p>
    <w:p w14:paraId="709FAA4E">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rPr>
        <w:t xml:space="preserve">地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39F39B91">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7492D342">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329EA467">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138E38D0">
      <w:pPr>
        <w:spacing w:line="360" w:lineRule="auto"/>
        <w:ind w:firstLine="420" w:firstLineChars="200"/>
        <w:jc w:val="left"/>
        <w:outlineLvl w:val="9"/>
        <w:rPr>
          <w:rFonts w:ascii="宋体" w:hAnsi="宋体"/>
          <w:color w:val="auto"/>
          <w:szCs w:val="21"/>
          <w:highlight w:val="none"/>
        </w:rPr>
      </w:pPr>
      <w:r>
        <w:rPr>
          <w:rFonts w:hint="eastAsia" w:ascii="宋体" w:hAnsi="宋体" w:eastAsia="宋体" w:cs="宋体"/>
          <w:color w:val="auto"/>
          <w:kern w:val="2"/>
          <w:sz w:val="21"/>
          <w:szCs w:val="21"/>
          <w:highlight w:val="none"/>
        </w:rPr>
        <w:t xml:space="preserve">开立时间：    年    月    </w:t>
      </w:r>
      <w:r>
        <w:rPr>
          <w:rFonts w:hint="eastAsia" w:ascii="宋体" w:hAnsi="宋体" w:eastAsia="宋体" w:cs="宋体"/>
          <w:color w:val="auto"/>
          <w:sz w:val="21"/>
          <w:szCs w:val="21"/>
          <w:highlight w:val="none"/>
          <w:lang w:eastAsia="zh-CN"/>
        </w:rPr>
        <w:t>日</w:t>
      </w:r>
    </w:p>
    <w:p w14:paraId="125B54A8">
      <w:pPr>
        <w:widowControl/>
        <w:spacing w:line="360" w:lineRule="auto"/>
        <w:jc w:val="left"/>
        <w:rPr>
          <w:rFonts w:ascii="宋体" w:hAnsi="宋体"/>
          <w:color w:val="auto"/>
          <w:szCs w:val="21"/>
          <w:highlight w:val="none"/>
        </w:rPr>
      </w:pPr>
    </w:p>
    <w:p w14:paraId="70664EDC">
      <w:pPr>
        <w:pStyle w:val="2"/>
        <w:rPr>
          <w:rFonts w:ascii="宋体" w:hAnsi="宋体"/>
          <w:color w:val="auto"/>
          <w:szCs w:val="21"/>
          <w:highlight w:val="none"/>
        </w:rPr>
      </w:pPr>
    </w:p>
    <w:p w14:paraId="5E74A91C">
      <w:pPr>
        <w:rPr>
          <w:rFonts w:ascii="宋体" w:hAnsi="宋体"/>
          <w:color w:val="auto"/>
          <w:szCs w:val="21"/>
          <w:highlight w:val="none"/>
        </w:rPr>
      </w:pPr>
    </w:p>
    <w:p w14:paraId="250EF157">
      <w:pPr>
        <w:pStyle w:val="2"/>
        <w:rPr>
          <w:rFonts w:ascii="宋体" w:hAnsi="宋体"/>
          <w:color w:val="auto"/>
          <w:szCs w:val="21"/>
          <w:highlight w:val="none"/>
        </w:rPr>
      </w:pPr>
    </w:p>
    <w:p w14:paraId="16C46406">
      <w:pPr>
        <w:rPr>
          <w:rFonts w:ascii="宋体" w:hAnsi="宋体"/>
          <w:color w:val="auto"/>
          <w:szCs w:val="21"/>
          <w:highlight w:val="none"/>
        </w:rPr>
      </w:pPr>
    </w:p>
    <w:p w14:paraId="74C79621">
      <w:pPr>
        <w:pStyle w:val="2"/>
        <w:rPr>
          <w:rFonts w:ascii="宋体" w:hAnsi="宋体"/>
          <w:color w:val="auto"/>
          <w:szCs w:val="21"/>
          <w:highlight w:val="none"/>
        </w:rPr>
      </w:pPr>
    </w:p>
    <w:p w14:paraId="7C5B8AA8">
      <w:pPr>
        <w:rPr>
          <w:rFonts w:ascii="宋体" w:hAnsi="宋体"/>
          <w:color w:val="auto"/>
          <w:szCs w:val="21"/>
          <w:highlight w:val="none"/>
        </w:rPr>
      </w:pPr>
    </w:p>
    <w:p w14:paraId="50312C31">
      <w:pPr>
        <w:pStyle w:val="2"/>
        <w:rPr>
          <w:rFonts w:ascii="宋体" w:hAnsi="宋体"/>
          <w:color w:val="auto"/>
          <w:szCs w:val="21"/>
          <w:highlight w:val="none"/>
        </w:rPr>
      </w:pPr>
    </w:p>
    <w:p w14:paraId="37CB3F68">
      <w:pPr>
        <w:rPr>
          <w:rFonts w:ascii="宋体" w:hAnsi="宋体"/>
          <w:color w:val="auto"/>
          <w:szCs w:val="21"/>
          <w:highlight w:val="none"/>
        </w:rPr>
      </w:pPr>
    </w:p>
    <w:p w14:paraId="7E094A5A">
      <w:pPr>
        <w:pStyle w:val="2"/>
        <w:rPr>
          <w:rFonts w:ascii="宋体" w:hAnsi="宋体"/>
          <w:color w:val="auto"/>
          <w:szCs w:val="21"/>
          <w:highlight w:val="none"/>
        </w:rPr>
      </w:pPr>
    </w:p>
    <w:p w14:paraId="30A31691">
      <w:pPr>
        <w:rPr>
          <w:rFonts w:ascii="宋体" w:hAnsi="宋体"/>
          <w:color w:val="auto"/>
          <w:szCs w:val="21"/>
          <w:highlight w:val="none"/>
        </w:rPr>
      </w:pPr>
    </w:p>
    <w:p w14:paraId="63B7307E">
      <w:pPr>
        <w:pStyle w:val="2"/>
        <w:rPr>
          <w:rFonts w:ascii="宋体" w:hAnsi="宋体"/>
          <w:color w:val="auto"/>
          <w:szCs w:val="21"/>
          <w:highlight w:val="none"/>
        </w:rPr>
      </w:pPr>
    </w:p>
    <w:p w14:paraId="23B6EA6B">
      <w:pPr>
        <w:rPr>
          <w:rFonts w:ascii="宋体" w:hAnsi="宋体"/>
          <w:color w:val="auto"/>
          <w:szCs w:val="21"/>
          <w:highlight w:val="none"/>
        </w:rPr>
      </w:pPr>
    </w:p>
    <w:p w14:paraId="3CAADBB7">
      <w:pPr>
        <w:rPr>
          <w:rFonts w:ascii="宋体" w:hAnsi="宋体"/>
          <w:color w:val="auto"/>
          <w:szCs w:val="21"/>
          <w:highlight w:val="none"/>
        </w:rPr>
      </w:pPr>
    </w:p>
    <w:p w14:paraId="70189F8A">
      <w:pPr>
        <w:rPr>
          <w:rFonts w:ascii="宋体" w:hAnsi="宋体"/>
          <w:color w:val="auto"/>
          <w:szCs w:val="21"/>
          <w:highlight w:val="none"/>
        </w:rPr>
      </w:pPr>
    </w:p>
    <w:p w14:paraId="7D77A6A5">
      <w:pPr>
        <w:rPr>
          <w:rFonts w:ascii="宋体" w:hAnsi="宋体"/>
          <w:color w:val="auto"/>
          <w:szCs w:val="21"/>
          <w:highlight w:val="none"/>
        </w:rPr>
      </w:pPr>
    </w:p>
    <w:p w14:paraId="4BAD9AD0">
      <w:pPr>
        <w:rPr>
          <w:rFonts w:ascii="宋体" w:hAnsi="宋体"/>
          <w:color w:val="auto"/>
          <w:szCs w:val="21"/>
          <w:highlight w:val="none"/>
        </w:rPr>
      </w:pPr>
    </w:p>
    <w:p w14:paraId="27E012EF">
      <w:pPr>
        <w:rPr>
          <w:rFonts w:ascii="宋体" w:hAnsi="宋体"/>
          <w:color w:val="auto"/>
          <w:szCs w:val="21"/>
          <w:highlight w:val="none"/>
        </w:rPr>
      </w:pPr>
    </w:p>
    <w:p w14:paraId="114CC80B">
      <w:pPr>
        <w:rPr>
          <w:rFonts w:ascii="宋体" w:hAnsi="宋体"/>
          <w:color w:val="auto"/>
          <w:szCs w:val="21"/>
          <w:highlight w:val="none"/>
        </w:rPr>
      </w:pPr>
    </w:p>
    <w:p w14:paraId="2EAF464B">
      <w:pPr>
        <w:rPr>
          <w:rFonts w:ascii="宋体" w:hAnsi="宋体"/>
          <w:color w:val="auto"/>
          <w:szCs w:val="21"/>
          <w:highlight w:val="none"/>
        </w:rPr>
      </w:pPr>
    </w:p>
    <w:p w14:paraId="022059CE">
      <w:pPr>
        <w:rPr>
          <w:rFonts w:ascii="宋体" w:hAnsi="宋体"/>
          <w:color w:val="auto"/>
          <w:szCs w:val="21"/>
          <w:highlight w:val="none"/>
        </w:rPr>
      </w:pPr>
    </w:p>
    <w:p w14:paraId="68C9033D">
      <w:pPr>
        <w:rPr>
          <w:rFonts w:ascii="宋体" w:hAnsi="宋体"/>
          <w:color w:val="auto"/>
          <w:szCs w:val="21"/>
          <w:highlight w:val="none"/>
        </w:rPr>
      </w:pPr>
    </w:p>
    <w:p w14:paraId="7D53C127">
      <w:pPr>
        <w:rPr>
          <w:rFonts w:ascii="宋体" w:hAnsi="宋体"/>
          <w:color w:val="auto"/>
          <w:szCs w:val="21"/>
          <w:highlight w:val="none"/>
        </w:rPr>
      </w:pPr>
    </w:p>
    <w:p w14:paraId="1F364870">
      <w:pPr>
        <w:rPr>
          <w:rFonts w:ascii="宋体" w:hAnsi="宋体"/>
          <w:color w:val="auto"/>
          <w:szCs w:val="21"/>
          <w:highlight w:val="none"/>
        </w:rPr>
      </w:pPr>
    </w:p>
    <w:p w14:paraId="3FD2E458">
      <w:pPr>
        <w:rPr>
          <w:rFonts w:ascii="宋体" w:hAnsi="宋体"/>
          <w:color w:val="auto"/>
          <w:szCs w:val="21"/>
          <w:highlight w:val="none"/>
        </w:rPr>
      </w:pPr>
    </w:p>
    <w:p w14:paraId="5CF0523D">
      <w:pPr>
        <w:rPr>
          <w:rFonts w:ascii="宋体" w:hAnsi="宋体"/>
          <w:color w:val="auto"/>
          <w:szCs w:val="21"/>
          <w:highlight w:val="none"/>
        </w:rPr>
      </w:pPr>
    </w:p>
    <w:p w14:paraId="76CACC89">
      <w:pPr>
        <w:pStyle w:val="2"/>
        <w:rPr>
          <w:rFonts w:ascii="宋体" w:hAnsi="宋体"/>
          <w:color w:val="auto"/>
          <w:szCs w:val="21"/>
          <w:highlight w:val="none"/>
        </w:rPr>
      </w:pPr>
    </w:p>
    <w:p w14:paraId="4DBF9DF5">
      <w:pPr>
        <w:rPr>
          <w:rFonts w:ascii="宋体" w:hAnsi="宋体"/>
          <w:color w:val="auto"/>
          <w:szCs w:val="21"/>
          <w:highlight w:val="none"/>
        </w:rPr>
      </w:pPr>
    </w:p>
    <w:p w14:paraId="306B810B">
      <w:pPr>
        <w:pStyle w:val="2"/>
        <w:rPr>
          <w:rFonts w:ascii="宋体" w:hAnsi="宋体"/>
          <w:color w:val="auto"/>
          <w:szCs w:val="21"/>
          <w:highlight w:val="none"/>
        </w:rPr>
      </w:pPr>
    </w:p>
    <w:p w14:paraId="46383C65">
      <w:pPr>
        <w:rPr>
          <w:color w:val="auto"/>
          <w:highlight w:val="none"/>
        </w:rPr>
      </w:pPr>
    </w:p>
    <w:p w14:paraId="7F93298C">
      <w:pPr>
        <w:spacing w:line="480" w:lineRule="auto"/>
        <w:rPr>
          <w:rFonts w:ascii="宋体" w:hAnsi="宋体"/>
          <w:color w:val="auto"/>
          <w:szCs w:val="21"/>
          <w:highlight w:val="none"/>
        </w:rPr>
      </w:pPr>
      <w:r>
        <w:rPr>
          <w:rFonts w:hint="eastAsia" w:ascii="宋体" w:hAnsi="宋体"/>
          <w:color w:val="auto"/>
          <w:szCs w:val="21"/>
          <w:highlight w:val="none"/>
        </w:rPr>
        <w:t>附</w:t>
      </w:r>
      <w:bookmarkStart w:id="1952" w:name="_Toc296944571"/>
      <w:bookmarkStart w:id="1953" w:name="_Toc296346733"/>
      <w:bookmarkStart w:id="1954" w:name="_Toc296891272"/>
      <w:bookmarkStart w:id="1955" w:name="_Toc296347231"/>
      <w:bookmarkStart w:id="1956" w:name="_Toc296503232"/>
      <w:bookmarkStart w:id="1957" w:name="_Toc267261702"/>
      <w:bookmarkStart w:id="1958" w:name="_Toc296891060"/>
      <w:r>
        <w:rPr>
          <w:rFonts w:hint="eastAsia" w:ascii="宋体" w:hAnsi="宋体"/>
          <w:color w:val="auto"/>
          <w:szCs w:val="21"/>
          <w:highlight w:val="none"/>
        </w:rPr>
        <w:t>件</w:t>
      </w:r>
      <w:r>
        <w:rPr>
          <w:rFonts w:ascii="宋体" w:hAnsi="宋体"/>
          <w:color w:val="auto"/>
          <w:szCs w:val="21"/>
          <w:highlight w:val="none"/>
        </w:rPr>
        <w:t>5</w:t>
      </w:r>
      <w:r>
        <w:rPr>
          <w:rFonts w:hint="eastAsia" w:ascii="宋体" w:hAnsi="宋体"/>
          <w:color w:val="auto"/>
          <w:szCs w:val="21"/>
          <w:highlight w:val="none"/>
        </w:rPr>
        <w:t>：</w:t>
      </w:r>
    </w:p>
    <w:bookmarkEnd w:id="1952"/>
    <w:bookmarkEnd w:id="1953"/>
    <w:bookmarkEnd w:id="1954"/>
    <w:bookmarkEnd w:id="1955"/>
    <w:bookmarkEnd w:id="1956"/>
    <w:bookmarkEnd w:id="1957"/>
    <w:bookmarkEnd w:id="1958"/>
    <w:p w14:paraId="1F36585C">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预付款担保（如有）</w:t>
      </w:r>
    </w:p>
    <w:p w14:paraId="14AE7B5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（发包人名称）：</w:t>
      </w:r>
    </w:p>
    <w:p w14:paraId="7DCA45E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w:t>
      </w:r>
      <w:r>
        <w:rPr>
          <w:rFonts w:hint="eastAsia" w:ascii="宋体" w:hAnsi="宋体"/>
          <w:color w:val="auto"/>
          <w:szCs w:val="21"/>
          <w:highlight w:val="none"/>
          <w:u w:val="single"/>
        </w:rPr>
        <w:t xml:space="preserve">       </w:t>
      </w:r>
      <w:r>
        <w:rPr>
          <w:rFonts w:hint="eastAsia" w:ascii="宋体" w:hAnsi="宋体"/>
          <w:color w:val="auto"/>
          <w:szCs w:val="21"/>
          <w:highlight w:val="none"/>
        </w:rPr>
        <w:t>（承包人名称）（以下称“承包人”）与</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（发包人名称）（以下简称“发包人”）于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日签订的</w:t>
      </w:r>
      <w:r>
        <w:rPr>
          <w:rFonts w:hint="eastAsia" w:ascii="宋体" w:hAnsi="宋体"/>
          <w:color w:val="auto"/>
          <w:szCs w:val="21"/>
          <w:highlight w:val="none"/>
          <w:u w:val="single"/>
        </w:rPr>
        <w:t xml:space="preserve">            </w:t>
      </w:r>
      <w:r>
        <w:rPr>
          <w:rFonts w:hint="eastAsia" w:ascii="宋体" w:hAnsi="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7ABF7C8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担保金额人民币（大写）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1A5A3A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担保有效期自预付款支付给承包人起生效，至你方签发的进度款支付证书说明已完全扣清止。</w:t>
      </w:r>
    </w:p>
    <w:p w14:paraId="6E0C706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7EA5ACD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你方和承包人按合同约定变更合同时，我方承担本保函规定的义务不变。</w:t>
      </w:r>
    </w:p>
    <w:p w14:paraId="5C33464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因本保函发生的纠纷，可由双方协商解决，协商不成的，按下列第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14:paraId="76170D1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14:paraId="65392C6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rPr>
        <w:t>人民法院起诉。</w:t>
      </w:r>
    </w:p>
    <w:p w14:paraId="47E9A5B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本保函自我方法定代表人（或其委托代理人）</w:t>
      </w:r>
      <w:r>
        <w:rPr>
          <w:rFonts w:hint="eastAsia" w:ascii="宋体" w:hAnsi="宋体"/>
          <w:color w:val="auto"/>
          <w:szCs w:val="21"/>
          <w:highlight w:val="none"/>
          <w:lang w:eastAsia="zh-CN"/>
        </w:rPr>
        <w:t>签名</w:t>
      </w:r>
      <w:r>
        <w:rPr>
          <w:rFonts w:hint="eastAsia" w:ascii="宋体" w:hAnsi="宋体"/>
          <w:color w:val="auto"/>
          <w:szCs w:val="21"/>
          <w:highlight w:val="none"/>
        </w:rPr>
        <w:t>并加盖</w:t>
      </w:r>
      <w:r>
        <w:rPr>
          <w:rFonts w:hint="eastAsia" w:ascii="宋体" w:hAnsi="宋体"/>
          <w:color w:val="auto"/>
          <w:szCs w:val="21"/>
          <w:highlight w:val="none"/>
          <w:lang w:val="en-US" w:eastAsia="zh-CN"/>
        </w:rPr>
        <w:t>单位</w:t>
      </w:r>
      <w:r>
        <w:rPr>
          <w:rFonts w:hint="eastAsia" w:ascii="宋体" w:hAnsi="宋体"/>
          <w:color w:val="auto"/>
          <w:szCs w:val="21"/>
          <w:highlight w:val="none"/>
        </w:rPr>
        <w:t>公章之日起生效。</w:t>
      </w:r>
    </w:p>
    <w:p w14:paraId="7B830259">
      <w:pPr>
        <w:pStyle w:val="2"/>
        <w:spacing w:line="360" w:lineRule="auto"/>
        <w:ind w:firstLine="420" w:firstLineChars="200"/>
        <w:rPr>
          <w:rFonts w:ascii="宋体" w:hAnsi="宋体"/>
          <w:color w:val="auto"/>
          <w:szCs w:val="21"/>
          <w:highlight w:val="none"/>
        </w:rPr>
      </w:pPr>
    </w:p>
    <w:p w14:paraId="4AED453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担保人：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w:t>
      </w:r>
      <w:r>
        <w:rPr>
          <w:rFonts w:hint="eastAsia" w:ascii="宋体" w:hAnsi="宋体"/>
          <w:color w:val="auto"/>
          <w:szCs w:val="21"/>
          <w:highlight w:val="none"/>
          <w:lang w:eastAsia="zh-CN"/>
        </w:rPr>
        <w:t>公</w:t>
      </w:r>
      <w:r>
        <w:rPr>
          <w:rFonts w:hint="eastAsia" w:ascii="宋体" w:hAnsi="宋体"/>
          <w:color w:val="auto"/>
          <w:szCs w:val="21"/>
          <w:highlight w:val="none"/>
        </w:rPr>
        <w:t>章）</w:t>
      </w:r>
    </w:p>
    <w:p w14:paraId="584CCDD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签名</w:t>
      </w:r>
      <w:r>
        <w:rPr>
          <w:rFonts w:hint="eastAsia" w:ascii="宋体" w:hAnsi="宋体"/>
          <w:color w:val="auto"/>
          <w:szCs w:val="21"/>
          <w:highlight w:val="none"/>
        </w:rPr>
        <w:t>）</w:t>
      </w:r>
    </w:p>
    <w:p w14:paraId="09CFA1A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2A26729C">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邮政编码：</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0F91B1C1">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58124870">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传    真：</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6EBD435B">
      <w:pPr>
        <w:spacing w:line="360" w:lineRule="auto"/>
        <w:ind w:firstLine="420" w:firstLineChars="200"/>
        <w:rPr>
          <w:rFonts w:ascii="宋体" w:hAnsi="宋体"/>
          <w:color w:val="auto"/>
          <w:szCs w:val="21"/>
          <w:highlight w:val="none"/>
          <w:u w:val="single"/>
        </w:rPr>
      </w:pPr>
    </w:p>
    <w:p w14:paraId="51124007">
      <w:pPr>
        <w:spacing w:line="360" w:lineRule="auto"/>
        <w:ind w:firstLine="420" w:firstLineChars="200"/>
        <w:jc w:val="righ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64823493">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1959" w:name="_Toc296891061"/>
      <w:bookmarkStart w:id="1960" w:name="_Toc296346734"/>
      <w:bookmarkStart w:id="1961" w:name="_Toc296347232"/>
      <w:bookmarkStart w:id="1962" w:name="_Toc296891273"/>
      <w:bookmarkStart w:id="1963" w:name="_Toc296944572"/>
      <w:bookmarkStart w:id="1964" w:name="_Toc296503233"/>
      <w:r>
        <w:rPr>
          <w:rFonts w:hint="eastAsia" w:ascii="宋体" w:hAnsi="宋体"/>
          <w:color w:val="auto"/>
          <w:szCs w:val="21"/>
          <w:highlight w:val="none"/>
        </w:rPr>
        <w:t>件</w:t>
      </w:r>
      <w:r>
        <w:rPr>
          <w:rFonts w:ascii="宋体" w:hAnsi="宋体"/>
          <w:color w:val="auto"/>
          <w:szCs w:val="21"/>
          <w:highlight w:val="none"/>
        </w:rPr>
        <w:t>6</w:t>
      </w:r>
      <w:r>
        <w:rPr>
          <w:rFonts w:hint="eastAsia" w:ascii="宋体" w:hAnsi="宋体"/>
          <w:color w:val="auto"/>
          <w:szCs w:val="21"/>
          <w:highlight w:val="none"/>
        </w:rPr>
        <w:t>：</w:t>
      </w:r>
    </w:p>
    <w:bookmarkEnd w:id="1959"/>
    <w:bookmarkEnd w:id="1960"/>
    <w:bookmarkEnd w:id="1961"/>
    <w:bookmarkEnd w:id="1962"/>
    <w:bookmarkEnd w:id="1963"/>
    <w:bookmarkEnd w:id="1964"/>
    <w:p w14:paraId="24078D91">
      <w:pPr>
        <w:spacing w:line="360" w:lineRule="auto"/>
        <w:ind w:firstLine="420" w:firstLineChars="200"/>
        <w:jc w:val="center"/>
        <w:rPr>
          <w:rFonts w:ascii="宋体" w:hAnsi="宋体"/>
          <w:color w:val="auto"/>
          <w:szCs w:val="21"/>
          <w:highlight w:val="none"/>
        </w:rPr>
      </w:pPr>
      <w:r>
        <w:rPr>
          <w:rFonts w:hint="eastAsia" w:ascii="宋体" w:hAnsi="宋体"/>
          <w:color w:val="auto"/>
          <w:szCs w:val="21"/>
          <w:highlight w:val="none"/>
        </w:rPr>
        <w:t>支付担保（如有）</w:t>
      </w:r>
    </w:p>
    <w:p w14:paraId="6EE4428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（承包人）：</w:t>
      </w:r>
    </w:p>
    <w:p w14:paraId="35F7E40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鉴于你方作为承包人已经与 </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（发包人名称）（以下称“发包人”）于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日签订了</w:t>
      </w:r>
      <w:r>
        <w:rPr>
          <w:rFonts w:hint="eastAsia" w:ascii="宋体" w:hAnsi="宋体"/>
          <w:color w:val="auto"/>
          <w:szCs w:val="21"/>
          <w:highlight w:val="none"/>
          <w:u w:val="single"/>
        </w:rPr>
        <w:t xml:space="preserve">             </w:t>
      </w:r>
      <w:r>
        <w:rPr>
          <w:rFonts w:hint="eastAsia" w:ascii="宋体" w:hAnsi="宋体"/>
          <w:color w:val="auto"/>
          <w:szCs w:val="21"/>
          <w:highlight w:val="none"/>
        </w:rPr>
        <w:t>（工程名称）《建设工程施工合同》（以下称“主合同”），应发包人的申请，我方愿就发包人履行主合同约定的工程款支付义务以保证的方式向你方提供如下担保：</w:t>
      </w:r>
    </w:p>
    <w:p w14:paraId="0BCD73A8">
      <w:pPr>
        <w:spacing w:line="360" w:lineRule="auto"/>
        <w:ind w:firstLine="420" w:firstLineChars="200"/>
        <w:rPr>
          <w:rFonts w:ascii="宋体" w:hAnsi="宋体"/>
          <w:color w:val="auto"/>
          <w:szCs w:val="21"/>
          <w:highlight w:val="none"/>
        </w:rPr>
      </w:pPr>
      <w:bookmarkStart w:id="1965" w:name="_Toc532375692"/>
      <w:r>
        <w:rPr>
          <w:rFonts w:hint="eastAsia" w:ascii="宋体" w:hAnsi="宋体"/>
          <w:color w:val="auto"/>
          <w:szCs w:val="21"/>
          <w:highlight w:val="none"/>
        </w:rPr>
        <w:t>一、保证的范围及保证金额</w:t>
      </w:r>
      <w:bookmarkEnd w:id="1965"/>
    </w:p>
    <w:p w14:paraId="25C2E75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我方的保证范围是主合同约定的工程款。</w:t>
      </w:r>
    </w:p>
    <w:p w14:paraId="2EB8A14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本保函所称主合同约定的工程款是指主合同约定的除工程质量保证金以外的合同价款。</w:t>
      </w:r>
    </w:p>
    <w:p w14:paraId="6BB6723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我方保证的金额是主合同约定的工程款的</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%，数额最高不超过人民币元（大写：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30948D2">
      <w:pPr>
        <w:spacing w:line="360" w:lineRule="auto"/>
        <w:ind w:firstLine="420" w:firstLineChars="200"/>
        <w:rPr>
          <w:rFonts w:ascii="宋体" w:hAnsi="宋体"/>
          <w:color w:val="auto"/>
          <w:szCs w:val="21"/>
          <w:highlight w:val="none"/>
        </w:rPr>
      </w:pPr>
      <w:bookmarkStart w:id="1966" w:name="_Toc532375693"/>
      <w:r>
        <w:rPr>
          <w:rFonts w:hint="eastAsia" w:ascii="宋体" w:hAnsi="宋体"/>
          <w:color w:val="auto"/>
          <w:szCs w:val="21"/>
          <w:highlight w:val="none"/>
        </w:rPr>
        <w:t>二、保证的方式及保证期间</w:t>
      </w:r>
      <w:bookmarkEnd w:id="1966"/>
    </w:p>
    <w:p w14:paraId="1F2A325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我方保证的方式为：连带责任保证。</w:t>
      </w:r>
    </w:p>
    <w:p w14:paraId="37C9065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我方保证的期间为：自合同生效之日起至主合同约定的工程款支付完毕之日后</w:t>
      </w:r>
      <w:r>
        <w:rPr>
          <w:rFonts w:hint="eastAsia" w:ascii="宋体" w:hAnsi="宋体"/>
          <w:color w:val="auto"/>
          <w:szCs w:val="21"/>
          <w:highlight w:val="none"/>
          <w:u w:val="single"/>
        </w:rPr>
        <w:t xml:space="preserve">    </w:t>
      </w:r>
      <w:r>
        <w:rPr>
          <w:rFonts w:hint="eastAsia" w:ascii="宋体" w:hAnsi="宋体"/>
          <w:color w:val="auto"/>
          <w:szCs w:val="21"/>
          <w:highlight w:val="none"/>
        </w:rPr>
        <w:t>日内。</w:t>
      </w:r>
    </w:p>
    <w:p w14:paraId="1098355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你方与发包人协议变更工程款支付日期的，经我方书面同意后，保证期间按照变更后的支付日期做相应调整。</w:t>
      </w:r>
    </w:p>
    <w:p w14:paraId="3F75BD13">
      <w:pPr>
        <w:spacing w:line="360" w:lineRule="auto"/>
        <w:ind w:firstLine="420" w:firstLineChars="200"/>
        <w:rPr>
          <w:rFonts w:ascii="宋体" w:hAnsi="宋体"/>
          <w:color w:val="auto"/>
          <w:szCs w:val="21"/>
          <w:highlight w:val="none"/>
        </w:rPr>
      </w:pPr>
      <w:bookmarkStart w:id="1967" w:name="_Toc532375694"/>
      <w:r>
        <w:rPr>
          <w:rFonts w:hint="eastAsia" w:ascii="宋体" w:hAnsi="宋体"/>
          <w:color w:val="auto"/>
          <w:szCs w:val="21"/>
          <w:highlight w:val="none"/>
        </w:rPr>
        <w:t>三、承担保证责任的形式</w:t>
      </w:r>
      <w:bookmarkEnd w:id="1967"/>
    </w:p>
    <w:p w14:paraId="5CAB11F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我方承担保证责任的形式是代为支付。发包人未按主合同约定向你方支付工程款的，由我方在保证金额内代为支付。</w:t>
      </w:r>
    </w:p>
    <w:p w14:paraId="48F2087F">
      <w:pPr>
        <w:spacing w:line="360" w:lineRule="auto"/>
        <w:ind w:firstLine="420" w:firstLineChars="200"/>
        <w:rPr>
          <w:rFonts w:ascii="宋体" w:hAnsi="宋体"/>
          <w:color w:val="auto"/>
          <w:szCs w:val="21"/>
          <w:highlight w:val="none"/>
        </w:rPr>
      </w:pPr>
      <w:bookmarkStart w:id="1968" w:name="_Toc532375695"/>
      <w:r>
        <w:rPr>
          <w:rFonts w:hint="eastAsia" w:ascii="宋体" w:hAnsi="宋体"/>
          <w:color w:val="auto"/>
          <w:szCs w:val="21"/>
          <w:highlight w:val="none"/>
        </w:rPr>
        <w:t>四、代偿的安排</w:t>
      </w:r>
      <w:bookmarkEnd w:id="1968"/>
    </w:p>
    <w:p w14:paraId="4F72B53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你方要求我方承担保证责任的，应向我方发出书面索赔通知及发包人未支付主合同约定工程款的证明材料。索赔通知应写明要求索赔的金额，支付款项应到达的账号。</w:t>
      </w:r>
    </w:p>
    <w:p w14:paraId="5F341A5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2E861E9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我方收到你方的书面索赔通知及相应的证明材料后７天内无条件支付。</w:t>
      </w:r>
    </w:p>
    <w:p w14:paraId="5F8105AA">
      <w:pPr>
        <w:spacing w:line="360" w:lineRule="auto"/>
        <w:ind w:firstLine="420" w:firstLineChars="200"/>
        <w:rPr>
          <w:rFonts w:ascii="宋体" w:hAnsi="宋体"/>
          <w:color w:val="auto"/>
          <w:szCs w:val="21"/>
          <w:highlight w:val="none"/>
        </w:rPr>
      </w:pPr>
      <w:bookmarkStart w:id="1969" w:name="_Toc532375696"/>
      <w:r>
        <w:rPr>
          <w:rFonts w:hint="eastAsia" w:ascii="宋体" w:hAnsi="宋体"/>
          <w:color w:val="auto"/>
          <w:szCs w:val="21"/>
          <w:highlight w:val="none"/>
        </w:rPr>
        <w:t>五、保证责任的解除</w:t>
      </w:r>
      <w:bookmarkEnd w:id="1969"/>
    </w:p>
    <w:p w14:paraId="352B411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在本保函承诺的保证期间内，你方未书面向我方主张保证责任的，自保证期间届满次日起，我方保证责任解除。</w:t>
      </w:r>
    </w:p>
    <w:p w14:paraId="051C5F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发包人按主合同约定履行了工程款的全部支付义务的，自本保函承诺的保证期间届满次日起，我方保证责任解除。</w:t>
      </w:r>
    </w:p>
    <w:p w14:paraId="5ED9B01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我方按照本保函向你方履行保证责任所支付金额达到本保函保证金额时，自我方向你方支付（支付款项从我方账户划出）之日起，保证责任即解除。</w:t>
      </w:r>
    </w:p>
    <w:p w14:paraId="38CE3FE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按照法律法规的规定或出现应解除我方保证责任的其他情形的，我方在本保函项下的保证责任亦解除。</w:t>
      </w:r>
    </w:p>
    <w:p w14:paraId="541224D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我方解除保证责任后，你方应自我方保证责任解除之日起  个工作日内，将本保函原件返还我方。</w:t>
      </w:r>
    </w:p>
    <w:p w14:paraId="0CC83F87">
      <w:pPr>
        <w:spacing w:line="360" w:lineRule="auto"/>
        <w:ind w:firstLine="420" w:firstLineChars="200"/>
        <w:rPr>
          <w:rFonts w:ascii="宋体" w:hAnsi="宋体"/>
          <w:color w:val="auto"/>
          <w:szCs w:val="21"/>
          <w:highlight w:val="none"/>
        </w:rPr>
      </w:pPr>
      <w:bookmarkStart w:id="1970" w:name="_Toc532375697"/>
      <w:r>
        <w:rPr>
          <w:rFonts w:hint="eastAsia" w:ascii="宋体" w:hAnsi="宋体"/>
          <w:color w:val="auto"/>
          <w:szCs w:val="21"/>
          <w:highlight w:val="none"/>
        </w:rPr>
        <w:t>六、免责条款</w:t>
      </w:r>
      <w:bookmarkEnd w:id="1970"/>
    </w:p>
    <w:p w14:paraId="34264EB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因你方违约致使发包人不能履行义务的，我方不承担保证责任。</w:t>
      </w:r>
    </w:p>
    <w:p w14:paraId="2842DCF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依照法律法规的规定或你方与发包人的另行约定，免除发包人部分或全部义务的，我方亦免除其相应的保证责任。</w:t>
      </w:r>
    </w:p>
    <w:p w14:paraId="65D2DBB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52C5D44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因不可抗力造成发包人不能履行义务的，我方不承担保证责任。</w:t>
      </w:r>
    </w:p>
    <w:p w14:paraId="28175159">
      <w:pPr>
        <w:spacing w:line="360" w:lineRule="auto"/>
        <w:ind w:firstLine="420" w:firstLineChars="200"/>
        <w:rPr>
          <w:rFonts w:ascii="宋体" w:hAnsi="宋体"/>
          <w:color w:val="auto"/>
          <w:szCs w:val="21"/>
          <w:highlight w:val="none"/>
        </w:rPr>
      </w:pPr>
      <w:bookmarkStart w:id="1971" w:name="_Toc532375698"/>
      <w:r>
        <w:rPr>
          <w:rFonts w:hint="eastAsia" w:ascii="宋体" w:hAnsi="宋体"/>
          <w:color w:val="auto"/>
          <w:szCs w:val="21"/>
          <w:highlight w:val="none"/>
        </w:rPr>
        <w:t>七、争议解决</w:t>
      </w:r>
      <w:bookmarkEnd w:id="1971"/>
    </w:p>
    <w:p w14:paraId="297AC37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因本保函或本保函相关事项发生的纠纷，可由双方协商解决，协商不成的，按下列第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14:paraId="55C3BE6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14:paraId="25E191A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rPr>
        <w:t>人民法院起诉。</w:t>
      </w:r>
    </w:p>
    <w:p w14:paraId="78DE9749">
      <w:pPr>
        <w:spacing w:line="360" w:lineRule="auto"/>
        <w:ind w:firstLine="420" w:firstLineChars="200"/>
        <w:rPr>
          <w:rFonts w:ascii="宋体" w:hAnsi="宋体"/>
          <w:color w:val="auto"/>
          <w:szCs w:val="21"/>
          <w:highlight w:val="none"/>
        </w:rPr>
      </w:pPr>
      <w:bookmarkStart w:id="1972" w:name="_Toc532375699"/>
      <w:r>
        <w:rPr>
          <w:rFonts w:hint="eastAsia" w:ascii="宋体" w:hAnsi="宋体"/>
          <w:color w:val="auto"/>
          <w:szCs w:val="21"/>
          <w:highlight w:val="none"/>
        </w:rPr>
        <w:t>八、保函的生效</w:t>
      </w:r>
      <w:bookmarkEnd w:id="1972"/>
    </w:p>
    <w:p w14:paraId="44A0890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本保函自我方法定代表人（或其委托代理人）</w:t>
      </w:r>
      <w:r>
        <w:rPr>
          <w:rFonts w:hint="eastAsia" w:ascii="宋体" w:hAnsi="宋体"/>
          <w:color w:val="auto"/>
          <w:szCs w:val="21"/>
          <w:highlight w:val="none"/>
          <w:lang w:eastAsia="zh-CN"/>
        </w:rPr>
        <w:t>签名</w:t>
      </w:r>
      <w:r>
        <w:rPr>
          <w:rFonts w:hint="eastAsia" w:ascii="宋体" w:hAnsi="宋体"/>
          <w:color w:val="auto"/>
          <w:szCs w:val="21"/>
          <w:highlight w:val="none"/>
        </w:rPr>
        <w:t>并加盖</w:t>
      </w:r>
      <w:r>
        <w:rPr>
          <w:rFonts w:hint="eastAsia" w:ascii="宋体" w:hAnsi="宋体"/>
          <w:color w:val="auto"/>
          <w:szCs w:val="21"/>
          <w:highlight w:val="none"/>
          <w:lang w:val="en-US" w:eastAsia="zh-CN"/>
        </w:rPr>
        <w:t>单位</w:t>
      </w:r>
      <w:r>
        <w:rPr>
          <w:rFonts w:hint="eastAsia" w:ascii="宋体" w:hAnsi="宋体"/>
          <w:color w:val="auto"/>
          <w:szCs w:val="21"/>
          <w:highlight w:val="none"/>
        </w:rPr>
        <w:t>公章之日起生效。</w:t>
      </w:r>
    </w:p>
    <w:p w14:paraId="5CF59875">
      <w:pPr>
        <w:spacing w:line="360" w:lineRule="auto"/>
        <w:ind w:firstLine="420" w:firstLineChars="200"/>
        <w:jc w:val="left"/>
        <w:rPr>
          <w:rFonts w:ascii="宋体" w:hAnsi="宋体"/>
          <w:color w:val="auto"/>
          <w:szCs w:val="21"/>
          <w:highlight w:val="none"/>
        </w:rPr>
      </w:pPr>
    </w:p>
    <w:p w14:paraId="09096CAB">
      <w:pPr>
        <w:spacing w:line="360" w:lineRule="auto"/>
        <w:ind w:firstLine="420" w:firstLineChars="200"/>
        <w:jc w:val="left"/>
        <w:rPr>
          <w:rFonts w:ascii="宋体" w:hAnsi="宋体"/>
          <w:color w:val="auto"/>
          <w:szCs w:val="21"/>
          <w:highlight w:val="none"/>
        </w:rPr>
      </w:pPr>
    </w:p>
    <w:p w14:paraId="045A9B9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担保人：</w:t>
      </w:r>
      <w:r>
        <w:rPr>
          <w:rFonts w:hint="eastAsia" w:ascii="宋体" w:hAnsi="宋体"/>
          <w:color w:val="auto"/>
          <w:szCs w:val="21"/>
          <w:highlight w:val="none"/>
          <w:u w:val="single"/>
        </w:rPr>
        <w:t xml:space="preserve">                                   </w:t>
      </w:r>
      <w:r>
        <w:rPr>
          <w:rFonts w:hint="eastAsia" w:ascii="宋体" w:hAnsi="宋体"/>
          <w:color w:val="auto"/>
          <w:szCs w:val="21"/>
          <w:highlight w:val="none"/>
        </w:rPr>
        <w:t>（盖</w:t>
      </w:r>
      <w:r>
        <w:rPr>
          <w:rFonts w:hint="eastAsia" w:ascii="宋体" w:hAnsi="宋体"/>
          <w:color w:val="auto"/>
          <w:szCs w:val="21"/>
          <w:highlight w:val="none"/>
          <w:lang w:val="en-US" w:eastAsia="zh-CN"/>
        </w:rPr>
        <w:t>单位公</w:t>
      </w:r>
      <w:r>
        <w:rPr>
          <w:rFonts w:hint="eastAsia" w:ascii="宋体" w:hAnsi="宋体"/>
          <w:color w:val="auto"/>
          <w:szCs w:val="21"/>
          <w:highlight w:val="none"/>
        </w:rPr>
        <w:t>章）</w:t>
      </w:r>
    </w:p>
    <w:p w14:paraId="546607F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签名</w:t>
      </w:r>
      <w:r>
        <w:rPr>
          <w:rFonts w:hint="eastAsia" w:ascii="宋体" w:hAnsi="宋体"/>
          <w:color w:val="auto"/>
          <w:szCs w:val="21"/>
          <w:highlight w:val="none"/>
        </w:rPr>
        <w:t>）</w:t>
      </w:r>
    </w:p>
    <w:p w14:paraId="14AE16B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14:paraId="4B9A4E0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14:paraId="7277276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p>
    <w:p w14:paraId="57E4A29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w:t>
      </w:r>
    </w:p>
    <w:p w14:paraId="3E3EAE1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rPr>
        <w:br w:type="page"/>
      </w:r>
    </w:p>
    <w:p w14:paraId="1DFB6877">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7</w:t>
      </w:r>
      <w:r>
        <w:rPr>
          <w:rFonts w:hint="eastAsia" w:ascii="宋体" w:hAnsi="宋体"/>
          <w:color w:val="auto"/>
          <w:szCs w:val="21"/>
          <w:highlight w:val="none"/>
        </w:rPr>
        <w:t>：</w:t>
      </w:r>
    </w:p>
    <w:p w14:paraId="3E02406C">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专业工程暂估价表</w:t>
      </w:r>
    </w:p>
    <w:tbl>
      <w:tblPr>
        <w:tblStyle w:val="46"/>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14:paraId="378F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702BB544">
            <w:pPr>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1984" w:type="dxa"/>
            <w:noWrap w:val="0"/>
            <w:vAlign w:val="top"/>
          </w:tcPr>
          <w:p w14:paraId="354E1824">
            <w:pPr>
              <w:spacing w:line="400" w:lineRule="exact"/>
              <w:jc w:val="center"/>
              <w:rPr>
                <w:rFonts w:ascii="宋体" w:hAnsi="宋体"/>
                <w:color w:val="auto"/>
                <w:szCs w:val="21"/>
                <w:highlight w:val="none"/>
              </w:rPr>
            </w:pPr>
            <w:r>
              <w:rPr>
                <w:rFonts w:hint="eastAsia" w:ascii="宋体" w:hAnsi="宋体"/>
                <w:color w:val="auto"/>
                <w:szCs w:val="21"/>
                <w:highlight w:val="none"/>
              </w:rPr>
              <w:t>专业工程名称</w:t>
            </w:r>
          </w:p>
        </w:tc>
        <w:tc>
          <w:tcPr>
            <w:tcW w:w="5103" w:type="dxa"/>
            <w:noWrap w:val="0"/>
            <w:vAlign w:val="top"/>
          </w:tcPr>
          <w:p w14:paraId="6DB13610">
            <w:pPr>
              <w:spacing w:line="400" w:lineRule="exact"/>
              <w:jc w:val="center"/>
              <w:rPr>
                <w:rFonts w:ascii="宋体" w:hAnsi="宋体"/>
                <w:color w:val="auto"/>
                <w:szCs w:val="21"/>
                <w:highlight w:val="none"/>
              </w:rPr>
            </w:pPr>
            <w:r>
              <w:rPr>
                <w:rFonts w:hint="eastAsia" w:ascii="宋体" w:hAnsi="宋体"/>
                <w:color w:val="auto"/>
                <w:szCs w:val="21"/>
                <w:highlight w:val="none"/>
              </w:rPr>
              <w:t>工程内容</w:t>
            </w:r>
          </w:p>
        </w:tc>
        <w:tc>
          <w:tcPr>
            <w:tcW w:w="1560" w:type="dxa"/>
            <w:noWrap w:val="0"/>
            <w:vAlign w:val="top"/>
          </w:tcPr>
          <w:p w14:paraId="607E5C9A">
            <w:pPr>
              <w:spacing w:line="400" w:lineRule="exact"/>
              <w:jc w:val="center"/>
              <w:rPr>
                <w:rFonts w:ascii="宋体" w:hAnsi="宋体"/>
                <w:color w:val="auto"/>
                <w:szCs w:val="21"/>
                <w:highlight w:val="none"/>
              </w:rPr>
            </w:pPr>
            <w:r>
              <w:rPr>
                <w:rFonts w:hint="eastAsia" w:ascii="宋体" w:hAnsi="宋体"/>
                <w:color w:val="auto"/>
                <w:szCs w:val="21"/>
                <w:highlight w:val="none"/>
              </w:rPr>
              <w:t>金额</w:t>
            </w:r>
          </w:p>
        </w:tc>
      </w:tr>
      <w:tr w14:paraId="2539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68ABB6CA">
            <w:pPr>
              <w:spacing w:line="400" w:lineRule="exact"/>
              <w:ind w:firstLine="420" w:firstLineChars="200"/>
              <w:rPr>
                <w:rFonts w:ascii="宋体" w:hAnsi="宋体"/>
                <w:color w:val="auto"/>
                <w:szCs w:val="21"/>
                <w:highlight w:val="none"/>
              </w:rPr>
            </w:pPr>
          </w:p>
        </w:tc>
        <w:tc>
          <w:tcPr>
            <w:tcW w:w="1984" w:type="dxa"/>
            <w:noWrap w:val="0"/>
            <w:vAlign w:val="top"/>
          </w:tcPr>
          <w:p w14:paraId="5279B0E2">
            <w:pPr>
              <w:spacing w:line="400" w:lineRule="exact"/>
              <w:ind w:firstLine="420" w:firstLineChars="200"/>
              <w:rPr>
                <w:rFonts w:ascii="宋体" w:hAnsi="宋体"/>
                <w:color w:val="auto"/>
                <w:szCs w:val="21"/>
                <w:highlight w:val="none"/>
              </w:rPr>
            </w:pPr>
          </w:p>
        </w:tc>
        <w:tc>
          <w:tcPr>
            <w:tcW w:w="5103" w:type="dxa"/>
            <w:noWrap w:val="0"/>
            <w:vAlign w:val="top"/>
          </w:tcPr>
          <w:p w14:paraId="2E109D6E">
            <w:pPr>
              <w:spacing w:line="400" w:lineRule="exact"/>
              <w:ind w:firstLine="420" w:firstLineChars="200"/>
              <w:rPr>
                <w:rFonts w:ascii="宋体" w:hAnsi="宋体"/>
                <w:color w:val="auto"/>
                <w:szCs w:val="21"/>
                <w:highlight w:val="none"/>
              </w:rPr>
            </w:pPr>
          </w:p>
        </w:tc>
        <w:tc>
          <w:tcPr>
            <w:tcW w:w="1560" w:type="dxa"/>
            <w:noWrap w:val="0"/>
            <w:vAlign w:val="top"/>
          </w:tcPr>
          <w:p w14:paraId="21279A52">
            <w:pPr>
              <w:spacing w:line="400" w:lineRule="exact"/>
              <w:ind w:firstLine="420" w:firstLineChars="200"/>
              <w:rPr>
                <w:rFonts w:ascii="宋体" w:hAnsi="宋体"/>
                <w:color w:val="auto"/>
                <w:szCs w:val="21"/>
                <w:highlight w:val="none"/>
              </w:rPr>
            </w:pPr>
          </w:p>
        </w:tc>
      </w:tr>
      <w:tr w14:paraId="08D71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40D6D0C7">
            <w:pPr>
              <w:spacing w:line="400" w:lineRule="exact"/>
              <w:ind w:firstLine="420" w:firstLineChars="200"/>
              <w:rPr>
                <w:rFonts w:ascii="宋体" w:hAnsi="宋体"/>
                <w:color w:val="auto"/>
                <w:szCs w:val="21"/>
                <w:highlight w:val="none"/>
              </w:rPr>
            </w:pPr>
          </w:p>
        </w:tc>
        <w:tc>
          <w:tcPr>
            <w:tcW w:w="1984" w:type="dxa"/>
            <w:noWrap w:val="0"/>
            <w:vAlign w:val="top"/>
          </w:tcPr>
          <w:p w14:paraId="74FD44EA">
            <w:pPr>
              <w:spacing w:line="400" w:lineRule="exact"/>
              <w:ind w:firstLine="420" w:firstLineChars="200"/>
              <w:rPr>
                <w:rFonts w:ascii="宋体" w:hAnsi="宋体"/>
                <w:color w:val="auto"/>
                <w:szCs w:val="21"/>
                <w:highlight w:val="none"/>
              </w:rPr>
            </w:pPr>
          </w:p>
        </w:tc>
        <w:tc>
          <w:tcPr>
            <w:tcW w:w="5103" w:type="dxa"/>
            <w:noWrap w:val="0"/>
            <w:vAlign w:val="top"/>
          </w:tcPr>
          <w:p w14:paraId="06096CA2">
            <w:pPr>
              <w:spacing w:line="400" w:lineRule="exact"/>
              <w:ind w:firstLine="420" w:firstLineChars="200"/>
              <w:rPr>
                <w:rFonts w:ascii="宋体" w:hAnsi="宋体"/>
                <w:color w:val="auto"/>
                <w:szCs w:val="21"/>
                <w:highlight w:val="none"/>
              </w:rPr>
            </w:pPr>
          </w:p>
        </w:tc>
        <w:tc>
          <w:tcPr>
            <w:tcW w:w="1560" w:type="dxa"/>
            <w:noWrap w:val="0"/>
            <w:vAlign w:val="top"/>
          </w:tcPr>
          <w:p w14:paraId="2715CB7D">
            <w:pPr>
              <w:spacing w:line="400" w:lineRule="exact"/>
              <w:ind w:firstLine="420" w:firstLineChars="200"/>
              <w:rPr>
                <w:rFonts w:ascii="宋体" w:hAnsi="宋体"/>
                <w:color w:val="auto"/>
                <w:szCs w:val="21"/>
                <w:highlight w:val="none"/>
              </w:rPr>
            </w:pPr>
          </w:p>
        </w:tc>
      </w:tr>
      <w:tr w14:paraId="1596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50E51498">
            <w:pPr>
              <w:spacing w:line="400" w:lineRule="exact"/>
              <w:ind w:firstLine="420" w:firstLineChars="200"/>
              <w:rPr>
                <w:rFonts w:ascii="宋体" w:hAnsi="宋体"/>
                <w:color w:val="auto"/>
                <w:szCs w:val="21"/>
                <w:highlight w:val="none"/>
              </w:rPr>
            </w:pPr>
          </w:p>
        </w:tc>
        <w:tc>
          <w:tcPr>
            <w:tcW w:w="1984" w:type="dxa"/>
            <w:noWrap w:val="0"/>
            <w:vAlign w:val="top"/>
          </w:tcPr>
          <w:p w14:paraId="7D1543EE">
            <w:pPr>
              <w:spacing w:line="400" w:lineRule="exact"/>
              <w:ind w:firstLine="420" w:firstLineChars="200"/>
              <w:rPr>
                <w:rFonts w:ascii="宋体" w:hAnsi="宋体"/>
                <w:color w:val="auto"/>
                <w:szCs w:val="21"/>
                <w:highlight w:val="none"/>
              </w:rPr>
            </w:pPr>
          </w:p>
        </w:tc>
        <w:tc>
          <w:tcPr>
            <w:tcW w:w="5103" w:type="dxa"/>
            <w:noWrap w:val="0"/>
            <w:vAlign w:val="top"/>
          </w:tcPr>
          <w:p w14:paraId="54B6F23D">
            <w:pPr>
              <w:spacing w:line="400" w:lineRule="exact"/>
              <w:ind w:firstLine="420" w:firstLineChars="200"/>
              <w:rPr>
                <w:rFonts w:ascii="宋体" w:hAnsi="宋体"/>
                <w:color w:val="auto"/>
                <w:szCs w:val="21"/>
                <w:highlight w:val="none"/>
              </w:rPr>
            </w:pPr>
          </w:p>
        </w:tc>
        <w:tc>
          <w:tcPr>
            <w:tcW w:w="1560" w:type="dxa"/>
            <w:noWrap w:val="0"/>
            <w:vAlign w:val="top"/>
          </w:tcPr>
          <w:p w14:paraId="6C7C057F">
            <w:pPr>
              <w:spacing w:line="400" w:lineRule="exact"/>
              <w:ind w:firstLine="420" w:firstLineChars="200"/>
              <w:rPr>
                <w:rFonts w:ascii="宋体" w:hAnsi="宋体"/>
                <w:color w:val="auto"/>
                <w:szCs w:val="21"/>
                <w:highlight w:val="none"/>
              </w:rPr>
            </w:pPr>
          </w:p>
        </w:tc>
      </w:tr>
      <w:tr w14:paraId="2167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6166C1AE">
            <w:pPr>
              <w:spacing w:line="400" w:lineRule="exact"/>
              <w:ind w:firstLine="420" w:firstLineChars="200"/>
              <w:rPr>
                <w:rFonts w:ascii="宋体" w:hAnsi="宋体"/>
                <w:color w:val="auto"/>
                <w:szCs w:val="21"/>
                <w:highlight w:val="none"/>
              </w:rPr>
            </w:pPr>
          </w:p>
        </w:tc>
        <w:tc>
          <w:tcPr>
            <w:tcW w:w="1984" w:type="dxa"/>
            <w:noWrap w:val="0"/>
            <w:vAlign w:val="top"/>
          </w:tcPr>
          <w:p w14:paraId="1D73CAFE">
            <w:pPr>
              <w:spacing w:line="400" w:lineRule="exact"/>
              <w:ind w:firstLine="420" w:firstLineChars="200"/>
              <w:rPr>
                <w:rFonts w:ascii="宋体" w:hAnsi="宋体"/>
                <w:color w:val="auto"/>
                <w:szCs w:val="21"/>
                <w:highlight w:val="none"/>
              </w:rPr>
            </w:pPr>
          </w:p>
        </w:tc>
        <w:tc>
          <w:tcPr>
            <w:tcW w:w="5103" w:type="dxa"/>
            <w:noWrap w:val="0"/>
            <w:vAlign w:val="top"/>
          </w:tcPr>
          <w:p w14:paraId="23F528C6">
            <w:pPr>
              <w:spacing w:line="400" w:lineRule="exact"/>
              <w:ind w:firstLine="420" w:firstLineChars="200"/>
              <w:rPr>
                <w:rFonts w:ascii="宋体" w:hAnsi="宋体"/>
                <w:color w:val="auto"/>
                <w:szCs w:val="21"/>
                <w:highlight w:val="none"/>
              </w:rPr>
            </w:pPr>
          </w:p>
        </w:tc>
        <w:tc>
          <w:tcPr>
            <w:tcW w:w="1560" w:type="dxa"/>
            <w:noWrap w:val="0"/>
            <w:vAlign w:val="top"/>
          </w:tcPr>
          <w:p w14:paraId="1737621E">
            <w:pPr>
              <w:spacing w:line="400" w:lineRule="exact"/>
              <w:ind w:firstLine="420" w:firstLineChars="200"/>
              <w:rPr>
                <w:rFonts w:ascii="宋体" w:hAnsi="宋体"/>
                <w:color w:val="auto"/>
                <w:szCs w:val="21"/>
                <w:highlight w:val="none"/>
              </w:rPr>
            </w:pPr>
          </w:p>
        </w:tc>
      </w:tr>
      <w:tr w14:paraId="648B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17530EA6">
            <w:pPr>
              <w:spacing w:line="400" w:lineRule="exact"/>
              <w:ind w:firstLine="420" w:firstLineChars="200"/>
              <w:rPr>
                <w:rFonts w:ascii="宋体" w:hAnsi="宋体"/>
                <w:color w:val="auto"/>
                <w:szCs w:val="21"/>
                <w:highlight w:val="none"/>
              </w:rPr>
            </w:pPr>
          </w:p>
        </w:tc>
        <w:tc>
          <w:tcPr>
            <w:tcW w:w="1984" w:type="dxa"/>
            <w:noWrap w:val="0"/>
            <w:vAlign w:val="top"/>
          </w:tcPr>
          <w:p w14:paraId="40BC89B8">
            <w:pPr>
              <w:spacing w:line="400" w:lineRule="exact"/>
              <w:ind w:firstLine="420" w:firstLineChars="200"/>
              <w:rPr>
                <w:rFonts w:ascii="宋体" w:hAnsi="宋体"/>
                <w:color w:val="auto"/>
                <w:szCs w:val="21"/>
                <w:highlight w:val="none"/>
              </w:rPr>
            </w:pPr>
          </w:p>
        </w:tc>
        <w:tc>
          <w:tcPr>
            <w:tcW w:w="5103" w:type="dxa"/>
            <w:noWrap w:val="0"/>
            <w:vAlign w:val="top"/>
          </w:tcPr>
          <w:p w14:paraId="669DC11C">
            <w:pPr>
              <w:spacing w:line="400" w:lineRule="exact"/>
              <w:ind w:firstLine="420" w:firstLineChars="200"/>
              <w:rPr>
                <w:rFonts w:ascii="宋体" w:hAnsi="宋体"/>
                <w:color w:val="auto"/>
                <w:szCs w:val="21"/>
                <w:highlight w:val="none"/>
              </w:rPr>
            </w:pPr>
          </w:p>
        </w:tc>
        <w:tc>
          <w:tcPr>
            <w:tcW w:w="1560" w:type="dxa"/>
            <w:noWrap w:val="0"/>
            <w:vAlign w:val="top"/>
          </w:tcPr>
          <w:p w14:paraId="091CEB51">
            <w:pPr>
              <w:spacing w:line="400" w:lineRule="exact"/>
              <w:ind w:firstLine="420" w:firstLineChars="200"/>
              <w:rPr>
                <w:rFonts w:ascii="宋体" w:hAnsi="宋体"/>
                <w:color w:val="auto"/>
                <w:szCs w:val="21"/>
                <w:highlight w:val="none"/>
              </w:rPr>
            </w:pPr>
          </w:p>
        </w:tc>
      </w:tr>
      <w:tr w14:paraId="5A34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27ADFA96">
            <w:pPr>
              <w:spacing w:line="400" w:lineRule="exact"/>
              <w:ind w:firstLine="420" w:firstLineChars="200"/>
              <w:rPr>
                <w:rFonts w:ascii="宋体" w:hAnsi="宋体"/>
                <w:color w:val="auto"/>
                <w:szCs w:val="21"/>
                <w:highlight w:val="none"/>
              </w:rPr>
            </w:pPr>
          </w:p>
        </w:tc>
        <w:tc>
          <w:tcPr>
            <w:tcW w:w="1984" w:type="dxa"/>
            <w:noWrap w:val="0"/>
            <w:vAlign w:val="top"/>
          </w:tcPr>
          <w:p w14:paraId="20A97FE3">
            <w:pPr>
              <w:spacing w:line="400" w:lineRule="exact"/>
              <w:ind w:firstLine="420" w:firstLineChars="200"/>
              <w:rPr>
                <w:rFonts w:ascii="宋体" w:hAnsi="宋体"/>
                <w:color w:val="auto"/>
                <w:szCs w:val="21"/>
                <w:highlight w:val="none"/>
              </w:rPr>
            </w:pPr>
          </w:p>
        </w:tc>
        <w:tc>
          <w:tcPr>
            <w:tcW w:w="5103" w:type="dxa"/>
            <w:noWrap w:val="0"/>
            <w:vAlign w:val="top"/>
          </w:tcPr>
          <w:p w14:paraId="4E3BE36B">
            <w:pPr>
              <w:spacing w:line="400" w:lineRule="exact"/>
              <w:ind w:firstLine="420" w:firstLineChars="200"/>
              <w:rPr>
                <w:rFonts w:ascii="宋体" w:hAnsi="宋体"/>
                <w:color w:val="auto"/>
                <w:szCs w:val="21"/>
                <w:highlight w:val="none"/>
              </w:rPr>
            </w:pPr>
          </w:p>
        </w:tc>
        <w:tc>
          <w:tcPr>
            <w:tcW w:w="1560" w:type="dxa"/>
            <w:noWrap w:val="0"/>
            <w:vAlign w:val="top"/>
          </w:tcPr>
          <w:p w14:paraId="697B7C49">
            <w:pPr>
              <w:spacing w:line="400" w:lineRule="exact"/>
              <w:ind w:firstLine="420" w:firstLineChars="200"/>
              <w:rPr>
                <w:rFonts w:ascii="宋体" w:hAnsi="宋体"/>
                <w:color w:val="auto"/>
                <w:szCs w:val="21"/>
                <w:highlight w:val="none"/>
              </w:rPr>
            </w:pPr>
          </w:p>
        </w:tc>
      </w:tr>
      <w:tr w14:paraId="49EF0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119DD303">
            <w:pPr>
              <w:spacing w:line="400" w:lineRule="exact"/>
              <w:ind w:firstLine="420" w:firstLineChars="200"/>
              <w:rPr>
                <w:rFonts w:ascii="宋体" w:hAnsi="宋体"/>
                <w:color w:val="auto"/>
                <w:szCs w:val="21"/>
                <w:highlight w:val="none"/>
              </w:rPr>
            </w:pPr>
          </w:p>
        </w:tc>
        <w:tc>
          <w:tcPr>
            <w:tcW w:w="1984" w:type="dxa"/>
            <w:noWrap w:val="0"/>
            <w:vAlign w:val="top"/>
          </w:tcPr>
          <w:p w14:paraId="6925AAF3">
            <w:pPr>
              <w:spacing w:line="400" w:lineRule="exact"/>
              <w:ind w:firstLine="420" w:firstLineChars="200"/>
              <w:rPr>
                <w:rFonts w:ascii="宋体" w:hAnsi="宋体"/>
                <w:color w:val="auto"/>
                <w:szCs w:val="21"/>
                <w:highlight w:val="none"/>
              </w:rPr>
            </w:pPr>
          </w:p>
        </w:tc>
        <w:tc>
          <w:tcPr>
            <w:tcW w:w="5103" w:type="dxa"/>
            <w:noWrap w:val="0"/>
            <w:vAlign w:val="top"/>
          </w:tcPr>
          <w:p w14:paraId="4E447674">
            <w:pPr>
              <w:spacing w:line="400" w:lineRule="exact"/>
              <w:ind w:firstLine="420" w:firstLineChars="200"/>
              <w:rPr>
                <w:rFonts w:ascii="宋体" w:hAnsi="宋体"/>
                <w:color w:val="auto"/>
                <w:szCs w:val="21"/>
                <w:highlight w:val="none"/>
              </w:rPr>
            </w:pPr>
          </w:p>
        </w:tc>
        <w:tc>
          <w:tcPr>
            <w:tcW w:w="1560" w:type="dxa"/>
            <w:noWrap w:val="0"/>
            <w:vAlign w:val="top"/>
          </w:tcPr>
          <w:p w14:paraId="44E15652">
            <w:pPr>
              <w:spacing w:line="400" w:lineRule="exact"/>
              <w:ind w:firstLine="420" w:firstLineChars="200"/>
              <w:rPr>
                <w:rFonts w:ascii="宋体" w:hAnsi="宋体"/>
                <w:color w:val="auto"/>
                <w:szCs w:val="21"/>
                <w:highlight w:val="none"/>
              </w:rPr>
            </w:pPr>
          </w:p>
        </w:tc>
      </w:tr>
      <w:tr w14:paraId="7406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368B0A2B">
            <w:pPr>
              <w:spacing w:line="400" w:lineRule="exact"/>
              <w:ind w:firstLine="420" w:firstLineChars="200"/>
              <w:rPr>
                <w:rFonts w:ascii="宋体" w:hAnsi="宋体"/>
                <w:color w:val="auto"/>
                <w:szCs w:val="21"/>
                <w:highlight w:val="none"/>
              </w:rPr>
            </w:pPr>
          </w:p>
        </w:tc>
        <w:tc>
          <w:tcPr>
            <w:tcW w:w="1984" w:type="dxa"/>
            <w:noWrap w:val="0"/>
            <w:vAlign w:val="top"/>
          </w:tcPr>
          <w:p w14:paraId="451ADC23">
            <w:pPr>
              <w:spacing w:line="400" w:lineRule="exact"/>
              <w:ind w:firstLine="420" w:firstLineChars="200"/>
              <w:rPr>
                <w:rFonts w:ascii="宋体" w:hAnsi="宋体"/>
                <w:color w:val="auto"/>
                <w:szCs w:val="21"/>
                <w:highlight w:val="none"/>
              </w:rPr>
            </w:pPr>
          </w:p>
        </w:tc>
        <w:tc>
          <w:tcPr>
            <w:tcW w:w="5103" w:type="dxa"/>
            <w:noWrap w:val="0"/>
            <w:vAlign w:val="top"/>
          </w:tcPr>
          <w:p w14:paraId="14CB2078">
            <w:pPr>
              <w:spacing w:line="400" w:lineRule="exact"/>
              <w:ind w:firstLine="420" w:firstLineChars="200"/>
              <w:rPr>
                <w:rFonts w:ascii="宋体" w:hAnsi="宋体"/>
                <w:color w:val="auto"/>
                <w:szCs w:val="21"/>
                <w:highlight w:val="none"/>
              </w:rPr>
            </w:pPr>
          </w:p>
        </w:tc>
        <w:tc>
          <w:tcPr>
            <w:tcW w:w="1560" w:type="dxa"/>
            <w:noWrap w:val="0"/>
            <w:vAlign w:val="top"/>
          </w:tcPr>
          <w:p w14:paraId="724D6FE6">
            <w:pPr>
              <w:spacing w:line="400" w:lineRule="exact"/>
              <w:ind w:firstLine="420" w:firstLineChars="200"/>
              <w:rPr>
                <w:rFonts w:ascii="宋体" w:hAnsi="宋体"/>
                <w:color w:val="auto"/>
                <w:szCs w:val="21"/>
                <w:highlight w:val="none"/>
              </w:rPr>
            </w:pPr>
          </w:p>
        </w:tc>
      </w:tr>
      <w:tr w14:paraId="2E93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72D3DE4A">
            <w:pPr>
              <w:spacing w:line="400" w:lineRule="exact"/>
              <w:ind w:firstLine="420" w:firstLineChars="200"/>
              <w:rPr>
                <w:rFonts w:ascii="宋体" w:hAnsi="宋体"/>
                <w:color w:val="auto"/>
                <w:szCs w:val="21"/>
                <w:highlight w:val="none"/>
              </w:rPr>
            </w:pPr>
          </w:p>
        </w:tc>
        <w:tc>
          <w:tcPr>
            <w:tcW w:w="1984" w:type="dxa"/>
            <w:noWrap w:val="0"/>
            <w:vAlign w:val="top"/>
          </w:tcPr>
          <w:p w14:paraId="0432FCA9">
            <w:pPr>
              <w:spacing w:line="400" w:lineRule="exact"/>
              <w:ind w:firstLine="420" w:firstLineChars="200"/>
              <w:rPr>
                <w:rFonts w:ascii="宋体" w:hAnsi="宋体"/>
                <w:color w:val="auto"/>
                <w:szCs w:val="21"/>
                <w:highlight w:val="none"/>
              </w:rPr>
            </w:pPr>
          </w:p>
        </w:tc>
        <w:tc>
          <w:tcPr>
            <w:tcW w:w="5103" w:type="dxa"/>
            <w:noWrap w:val="0"/>
            <w:vAlign w:val="top"/>
          </w:tcPr>
          <w:p w14:paraId="56C75638">
            <w:pPr>
              <w:spacing w:line="400" w:lineRule="exact"/>
              <w:ind w:firstLine="420" w:firstLineChars="200"/>
              <w:rPr>
                <w:rFonts w:ascii="宋体" w:hAnsi="宋体"/>
                <w:color w:val="auto"/>
                <w:szCs w:val="21"/>
                <w:highlight w:val="none"/>
              </w:rPr>
            </w:pPr>
          </w:p>
        </w:tc>
        <w:tc>
          <w:tcPr>
            <w:tcW w:w="1560" w:type="dxa"/>
            <w:noWrap w:val="0"/>
            <w:vAlign w:val="top"/>
          </w:tcPr>
          <w:p w14:paraId="0ACBC8FA">
            <w:pPr>
              <w:spacing w:line="400" w:lineRule="exact"/>
              <w:ind w:firstLine="420" w:firstLineChars="200"/>
              <w:rPr>
                <w:rFonts w:ascii="宋体" w:hAnsi="宋体"/>
                <w:color w:val="auto"/>
                <w:szCs w:val="21"/>
                <w:highlight w:val="none"/>
              </w:rPr>
            </w:pPr>
          </w:p>
        </w:tc>
      </w:tr>
      <w:tr w14:paraId="1F853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3816D664">
            <w:pPr>
              <w:spacing w:line="400" w:lineRule="exact"/>
              <w:ind w:firstLine="420" w:firstLineChars="200"/>
              <w:rPr>
                <w:rFonts w:ascii="宋体" w:hAnsi="宋体"/>
                <w:color w:val="auto"/>
                <w:szCs w:val="21"/>
                <w:highlight w:val="none"/>
              </w:rPr>
            </w:pPr>
          </w:p>
        </w:tc>
        <w:tc>
          <w:tcPr>
            <w:tcW w:w="1984" w:type="dxa"/>
            <w:noWrap w:val="0"/>
            <w:vAlign w:val="top"/>
          </w:tcPr>
          <w:p w14:paraId="6AD8AC08">
            <w:pPr>
              <w:spacing w:line="400" w:lineRule="exact"/>
              <w:ind w:firstLine="420" w:firstLineChars="200"/>
              <w:rPr>
                <w:rFonts w:ascii="宋体" w:hAnsi="宋体"/>
                <w:color w:val="auto"/>
                <w:szCs w:val="21"/>
                <w:highlight w:val="none"/>
              </w:rPr>
            </w:pPr>
          </w:p>
        </w:tc>
        <w:tc>
          <w:tcPr>
            <w:tcW w:w="5103" w:type="dxa"/>
            <w:noWrap w:val="0"/>
            <w:vAlign w:val="top"/>
          </w:tcPr>
          <w:p w14:paraId="2142E3D0">
            <w:pPr>
              <w:spacing w:line="400" w:lineRule="exact"/>
              <w:ind w:firstLine="420" w:firstLineChars="200"/>
              <w:rPr>
                <w:rFonts w:ascii="宋体" w:hAnsi="宋体"/>
                <w:color w:val="auto"/>
                <w:szCs w:val="21"/>
                <w:highlight w:val="none"/>
              </w:rPr>
            </w:pPr>
          </w:p>
        </w:tc>
        <w:tc>
          <w:tcPr>
            <w:tcW w:w="1560" w:type="dxa"/>
            <w:noWrap w:val="0"/>
            <w:vAlign w:val="top"/>
          </w:tcPr>
          <w:p w14:paraId="2EE42572">
            <w:pPr>
              <w:spacing w:line="400" w:lineRule="exact"/>
              <w:ind w:firstLine="420" w:firstLineChars="200"/>
              <w:rPr>
                <w:rFonts w:ascii="宋体" w:hAnsi="宋体"/>
                <w:color w:val="auto"/>
                <w:szCs w:val="21"/>
                <w:highlight w:val="none"/>
              </w:rPr>
            </w:pPr>
          </w:p>
        </w:tc>
      </w:tr>
      <w:tr w14:paraId="49FF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29BD0D3F">
            <w:pPr>
              <w:spacing w:line="400" w:lineRule="exact"/>
              <w:ind w:firstLine="420" w:firstLineChars="200"/>
              <w:rPr>
                <w:rFonts w:ascii="宋体" w:hAnsi="宋体"/>
                <w:color w:val="auto"/>
                <w:szCs w:val="21"/>
                <w:highlight w:val="none"/>
              </w:rPr>
            </w:pPr>
          </w:p>
        </w:tc>
        <w:tc>
          <w:tcPr>
            <w:tcW w:w="1984" w:type="dxa"/>
            <w:noWrap w:val="0"/>
            <w:vAlign w:val="top"/>
          </w:tcPr>
          <w:p w14:paraId="56106867">
            <w:pPr>
              <w:spacing w:line="400" w:lineRule="exact"/>
              <w:ind w:firstLine="420" w:firstLineChars="200"/>
              <w:rPr>
                <w:rFonts w:ascii="宋体" w:hAnsi="宋体"/>
                <w:color w:val="auto"/>
                <w:szCs w:val="21"/>
                <w:highlight w:val="none"/>
              </w:rPr>
            </w:pPr>
          </w:p>
        </w:tc>
        <w:tc>
          <w:tcPr>
            <w:tcW w:w="5103" w:type="dxa"/>
            <w:noWrap w:val="0"/>
            <w:vAlign w:val="top"/>
          </w:tcPr>
          <w:p w14:paraId="4B0CF604">
            <w:pPr>
              <w:spacing w:line="400" w:lineRule="exact"/>
              <w:ind w:firstLine="420" w:firstLineChars="200"/>
              <w:rPr>
                <w:rFonts w:ascii="宋体" w:hAnsi="宋体"/>
                <w:color w:val="auto"/>
                <w:szCs w:val="21"/>
                <w:highlight w:val="none"/>
              </w:rPr>
            </w:pPr>
          </w:p>
        </w:tc>
        <w:tc>
          <w:tcPr>
            <w:tcW w:w="1560" w:type="dxa"/>
            <w:noWrap w:val="0"/>
            <w:vAlign w:val="top"/>
          </w:tcPr>
          <w:p w14:paraId="5146DDA9">
            <w:pPr>
              <w:spacing w:line="400" w:lineRule="exact"/>
              <w:ind w:firstLine="420" w:firstLineChars="200"/>
              <w:rPr>
                <w:rFonts w:ascii="宋体" w:hAnsi="宋体"/>
                <w:color w:val="auto"/>
                <w:szCs w:val="21"/>
                <w:highlight w:val="none"/>
              </w:rPr>
            </w:pPr>
          </w:p>
        </w:tc>
      </w:tr>
      <w:tr w14:paraId="7BDB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4CF368BC">
            <w:pPr>
              <w:spacing w:line="400" w:lineRule="exact"/>
              <w:ind w:firstLine="420" w:firstLineChars="200"/>
              <w:rPr>
                <w:rFonts w:ascii="宋体" w:hAnsi="宋体"/>
                <w:color w:val="auto"/>
                <w:szCs w:val="21"/>
                <w:highlight w:val="none"/>
              </w:rPr>
            </w:pPr>
          </w:p>
        </w:tc>
        <w:tc>
          <w:tcPr>
            <w:tcW w:w="1984" w:type="dxa"/>
            <w:noWrap w:val="0"/>
            <w:vAlign w:val="top"/>
          </w:tcPr>
          <w:p w14:paraId="48F338E2">
            <w:pPr>
              <w:spacing w:line="400" w:lineRule="exact"/>
              <w:ind w:firstLine="420" w:firstLineChars="200"/>
              <w:rPr>
                <w:rFonts w:ascii="宋体" w:hAnsi="宋体"/>
                <w:color w:val="auto"/>
                <w:szCs w:val="21"/>
                <w:highlight w:val="none"/>
              </w:rPr>
            </w:pPr>
          </w:p>
        </w:tc>
        <w:tc>
          <w:tcPr>
            <w:tcW w:w="5103" w:type="dxa"/>
            <w:noWrap w:val="0"/>
            <w:vAlign w:val="top"/>
          </w:tcPr>
          <w:p w14:paraId="4CE749F8">
            <w:pPr>
              <w:spacing w:line="400" w:lineRule="exact"/>
              <w:ind w:firstLine="420" w:firstLineChars="200"/>
              <w:rPr>
                <w:rFonts w:ascii="宋体" w:hAnsi="宋体"/>
                <w:color w:val="auto"/>
                <w:szCs w:val="21"/>
                <w:highlight w:val="none"/>
              </w:rPr>
            </w:pPr>
          </w:p>
        </w:tc>
        <w:tc>
          <w:tcPr>
            <w:tcW w:w="1560" w:type="dxa"/>
            <w:noWrap w:val="0"/>
            <w:vAlign w:val="top"/>
          </w:tcPr>
          <w:p w14:paraId="3FC3A3A2">
            <w:pPr>
              <w:spacing w:line="400" w:lineRule="exact"/>
              <w:ind w:firstLine="420" w:firstLineChars="200"/>
              <w:rPr>
                <w:rFonts w:ascii="宋体" w:hAnsi="宋体"/>
                <w:color w:val="auto"/>
                <w:szCs w:val="21"/>
                <w:highlight w:val="none"/>
              </w:rPr>
            </w:pPr>
          </w:p>
        </w:tc>
      </w:tr>
      <w:tr w14:paraId="7799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7EE4E80D">
            <w:pPr>
              <w:spacing w:line="400" w:lineRule="exact"/>
              <w:ind w:firstLine="420" w:firstLineChars="200"/>
              <w:rPr>
                <w:rFonts w:ascii="宋体" w:hAnsi="宋体"/>
                <w:color w:val="auto"/>
                <w:szCs w:val="21"/>
                <w:highlight w:val="none"/>
              </w:rPr>
            </w:pPr>
          </w:p>
        </w:tc>
        <w:tc>
          <w:tcPr>
            <w:tcW w:w="1984" w:type="dxa"/>
            <w:noWrap w:val="0"/>
            <w:vAlign w:val="top"/>
          </w:tcPr>
          <w:p w14:paraId="09E70A22">
            <w:pPr>
              <w:spacing w:line="400" w:lineRule="exact"/>
              <w:ind w:firstLine="420" w:firstLineChars="200"/>
              <w:rPr>
                <w:rFonts w:ascii="宋体" w:hAnsi="宋体"/>
                <w:color w:val="auto"/>
                <w:szCs w:val="21"/>
                <w:highlight w:val="none"/>
              </w:rPr>
            </w:pPr>
          </w:p>
        </w:tc>
        <w:tc>
          <w:tcPr>
            <w:tcW w:w="5103" w:type="dxa"/>
            <w:noWrap w:val="0"/>
            <w:vAlign w:val="top"/>
          </w:tcPr>
          <w:p w14:paraId="49D36D07">
            <w:pPr>
              <w:spacing w:line="400" w:lineRule="exact"/>
              <w:ind w:firstLine="420" w:firstLineChars="200"/>
              <w:rPr>
                <w:rFonts w:ascii="宋体" w:hAnsi="宋体"/>
                <w:color w:val="auto"/>
                <w:szCs w:val="21"/>
                <w:highlight w:val="none"/>
              </w:rPr>
            </w:pPr>
          </w:p>
        </w:tc>
        <w:tc>
          <w:tcPr>
            <w:tcW w:w="1560" w:type="dxa"/>
            <w:noWrap w:val="0"/>
            <w:vAlign w:val="top"/>
          </w:tcPr>
          <w:p w14:paraId="2637A08C">
            <w:pPr>
              <w:spacing w:line="400" w:lineRule="exact"/>
              <w:ind w:firstLine="420" w:firstLineChars="200"/>
              <w:rPr>
                <w:rFonts w:ascii="宋体" w:hAnsi="宋体"/>
                <w:color w:val="auto"/>
                <w:szCs w:val="21"/>
                <w:highlight w:val="none"/>
              </w:rPr>
            </w:pPr>
          </w:p>
        </w:tc>
      </w:tr>
      <w:tr w14:paraId="7CB2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3B8F0C9C">
            <w:pPr>
              <w:spacing w:line="400" w:lineRule="exact"/>
              <w:ind w:firstLine="420" w:firstLineChars="200"/>
              <w:rPr>
                <w:rFonts w:ascii="宋体" w:hAnsi="宋体"/>
                <w:color w:val="auto"/>
                <w:szCs w:val="21"/>
                <w:highlight w:val="none"/>
              </w:rPr>
            </w:pPr>
          </w:p>
        </w:tc>
        <w:tc>
          <w:tcPr>
            <w:tcW w:w="1984" w:type="dxa"/>
            <w:noWrap w:val="0"/>
            <w:vAlign w:val="top"/>
          </w:tcPr>
          <w:p w14:paraId="4F58C9C5">
            <w:pPr>
              <w:spacing w:line="400" w:lineRule="exact"/>
              <w:ind w:firstLine="420" w:firstLineChars="200"/>
              <w:rPr>
                <w:rFonts w:ascii="宋体" w:hAnsi="宋体"/>
                <w:color w:val="auto"/>
                <w:szCs w:val="21"/>
                <w:highlight w:val="none"/>
              </w:rPr>
            </w:pPr>
          </w:p>
        </w:tc>
        <w:tc>
          <w:tcPr>
            <w:tcW w:w="5103" w:type="dxa"/>
            <w:noWrap w:val="0"/>
            <w:vAlign w:val="top"/>
          </w:tcPr>
          <w:p w14:paraId="6920AF0B">
            <w:pPr>
              <w:spacing w:line="400" w:lineRule="exact"/>
              <w:ind w:firstLine="420" w:firstLineChars="200"/>
              <w:rPr>
                <w:rFonts w:ascii="宋体" w:hAnsi="宋体"/>
                <w:color w:val="auto"/>
                <w:szCs w:val="21"/>
                <w:highlight w:val="none"/>
              </w:rPr>
            </w:pPr>
          </w:p>
        </w:tc>
        <w:tc>
          <w:tcPr>
            <w:tcW w:w="1560" w:type="dxa"/>
            <w:noWrap w:val="0"/>
            <w:vAlign w:val="top"/>
          </w:tcPr>
          <w:p w14:paraId="5468C253">
            <w:pPr>
              <w:spacing w:line="400" w:lineRule="exact"/>
              <w:ind w:firstLine="420" w:firstLineChars="200"/>
              <w:rPr>
                <w:rFonts w:ascii="宋体" w:hAnsi="宋体"/>
                <w:color w:val="auto"/>
                <w:szCs w:val="21"/>
                <w:highlight w:val="none"/>
              </w:rPr>
            </w:pPr>
          </w:p>
        </w:tc>
      </w:tr>
      <w:tr w14:paraId="67B6C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575B569E">
            <w:pPr>
              <w:spacing w:line="400" w:lineRule="exact"/>
              <w:ind w:firstLine="420" w:firstLineChars="200"/>
              <w:rPr>
                <w:rFonts w:ascii="宋体" w:hAnsi="宋体"/>
                <w:color w:val="auto"/>
                <w:szCs w:val="21"/>
                <w:highlight w:val="none"/>
              </w:rPr>
            </w:pPr>
          </w:p>
        </w:tc>
        <w:tc>
          <w:tcPr>
            <w:tcW w:w="1984" w:type="dxa"/>
            <w:noWrap w:val="0"/>
            <w:vAlign w:val="top"/>
          </w:tcPr>
          <w:p w14:paraId="17486AF5">
            <w:pPr>
              <w:spacing w:line="400" w:lineRule="exact"/>
              <w:ind w:firstLine="420" w:firstLineChars="200"/>
              <w:rPr>
                <w:rFonts w:ascii="宋体" w:hAnsi="宋体"/>
                <w:color w:val="auto"/>
                <w:szCs w:val="21"/>
                <w:highlight w:val="none"/>
              </w:rPr>
            </w:pPr>
          </w:p>
        </w:tc>
        <w:tc>
          <w:tcPr>
            <w:tcW w:w="5103" w:type="dxa"/>
            <w:noWrap w:val="0"/>
            <w:vAlign w:val="top"/>
          </w:tcPr>
          <w:p w14:paraId="11967B52">
            <w:pPr>
              <w:spacing w:line="400" w:lineRule="exact"/>
              <w:ind w:firstLine="420" w:firstLineChars="200"/>
              <w:rPr>
                <w:rFonts w:ascii="宋体" w:hAnsi="宋体"/>
                <w:color w:val="auto"/>
                <w:szCs w:val="21"/>
                <w:highlight w:val="none"/>
              </w:rPr>
            </w:pPr>
          </w:p>
        </w:tc>
        <w:tc>
          <w:tcPr>
            <w:tcW w:w="1560" w:type="dxa"/>
            <w:noWrap w:val="0"/>
            <w:vAlign w:val="top"/>
          </w:tcPr>
          <w:p w14:paraId="7A90C865">
            <w:pPr>
              <w:spacing w:line="400" w:lineRule="exact"/>
              <w:ind w:firstLine="420" w:firstLineChars="200"/>
              <w:rPr>
                <w:rFonts w:ascii="宋体" w:hAnsi="宋体"/>
                <w:color w:val="auto"/>
                <w:szCs w:val="21"/>
                <w:highlight w:val="none"/>
              </w:rPr>
            </w:pPr>
          </w:p>
        </w:tc>
      </w:tr>
      <w:tr w14:paraId="3C58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3F31D243">
            <w:pPr>
              <w:spacing w:line="400" w:lineRule="exact"/>
              <w:ind w:firstLine="420" w:firstLineChars="200"/>
              <w:rPr>
                <w:rFonts w:ascii="宋体" w:hAnsi="宋体"/>
                <w:color w:val="auto"/>
                <w:szCs w:val="21"/>
                <w:highlight w:val="none"/>
              </w:rPr>
            </w:pPr>
          </w:p>
        </w:tc>
        <w:tc>
          <w:tcPr>
            <w:tcW w:w="1984" w:type="dxa"/>
            <w:noWrap w:val="0"/>
            <w:vAlign w:val="top"/>
          </w:tcPr>
          <w:p w14:paraId="4B8F2778">
            <w:pPr>
              <w:spacing w:line="400" w:lineRule="exact"/>
              <w:ind w:firstLine="420" w:firstLineChars="200"/>
              <w:rPr>
                <w:rFonts w:ascii="宋体" w:hAnsi="宋体"/>
                <w:color w:val="auto"/>
                <w:szCs w:val="21"/>
                <w:highlight w:val="none"/>
              </w:rPr>
            </w:pPr>
          </w:p>
        </w:tc>
        <w:tc>
          <w:tcPr>
            <w:tcW w:w="5103" w:type="dxa"/>
            <w:noWrap w:val="0"/>
            <w:vAlign w:val="top"/>
          </w:tcPr>
          <w:p w14:paraId="35CD2FA7">
            <w:pPr>
              <w:spacing w:line="400" w:lineRule="exact"/>
              <w:ind w:firstLine="420" w:firstLineChars="200"/>
              <w:rPr>
                <w:rFonts w:ascii="宋体" w:hAnsi="宋体"/>
                <w:color w:val="auto"/>
                <w:szCs w:val="21"/>
                <w:highlight w:val="none"/>
              </w:rPr>
            </w:pPr>
          </w:p>
        </w:tc>
        <w:tc>
          <w:tcPr>
            <w:tcW w:w="1560" w:type="dxa"/>
            <w:noWrap w:val="0"/>
            <w:vAlign w:val="top"/>
          </w:tcPr>
          <w:p w14:paraId="6BE64576">
            <w:pPr>
              <w:spacing w:line="400" w:lineRule="exact"/>
              <w:ind w:firstLine="420" w:firstLineChars="200"/>
              <w:rPr>
                <w:rFonts w:ascii="宋体" w:hAnsi="宋体"/>
                <w:color w:val="auto"/>
                <w:szCs w:val="21"/>
                <w:highlight w:val="none"/>
              </w:rPr>
            </w:pPr>
          </w:p>
        </w:tc>
      </w:tr>
      <w:tr w14:paraId="3A3F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6DF92E67">
            <w:pPr>
              <w:spacing w:line="400" w:lineRule="exact"/>
              <w:ind w:firstLine="420" w:firstLineChars="200"/>
              <w:rPr>
                <w:rFonts w:ascii="宋体" w:hAnsi="宋体"/>
                <w:color w:val="auto"/>
                <w:szCs w:val="21"/>
                <w:highlight w:val="none"/>
              </w:rPr>
            </w:pPr>
          </w:p>
        </w:tc>
        <w:tc>
          <w:tcPr>
            <w:tcW w:w="1984" w:type="dxa"/>
            <w:noWrap w:val="0"/>
            <w:vAlign w:val="top"/>
          </w:tcPr>
          <w:p w14:paraId="1C0EBC3B">
            <w:pPr>
              <w:spacing w:line="400" w:lineRule="exact"/>
              <w:ind w:firstLine="420" w:firstLineChars="200"/>
              <w:rPr>
                <w:rFonts w:ascii="宋体" w:hAnsi="宋体"/>
                <w:color w:val="auto"/>
                <w:szCs w:val="21"/>
                <w:highlight w:val="none"/>
              </w:rPr>
            </w:pPr>
          </w:p>
        </w:tc>
        <w:tc>
          <w:tcPr>
            <w:tcW w:w="5103" w:type="dxa"/>
            <w:noWrap w:val="0"/>
            <w:vAlign w:val="top"/>
          </w:tcPr>
          <w:p w14:paraId="6CCD5C08">
            <w:pPr>
              <w:spacing w:line="400" w:lineRule="exact"/>
              <w:ind w:firstLine="420" w:firstLineChars="200"/>
              <w:rPr>
                <w:rFonts w:ascii="宋体" w:hAnsi="宋体"/>
                <w:color w:val="auto"/>
                <w:szCs w:val="21"/>
                <w:highlight w:val="none"/>
              </w:rPr>
            </w:pPr>
          </w:p>
        </w:tc>
        <w:tc>
          <w:tcPr>
            <w:tcW w:w="1560" w:type="dxa"/>
            <w:noWrap w:val="0"/>
            <w:vAlign w:val="top"/>
          </w:tcPr>
          <w:p w14:paraId="2C750B52">
            <w:pPr>
              <w:spacing w:line="400" w:lineRule="exact"/>
              <w:ind w:firstLine="420" w:firstLineChars="200"/>
              <w:rPr>
                <w:rFonts w:ascii="宋体" w:hAnsi="宋体"/>
                <w:color w:val="auto"/>
                <w:szCs w:val="21"/>
                <w:highlight w:val="none"/>
              </w:rPr>
            </w:pPr>
          </w:p>
        </w:tc>
      </w:tr>
      <w:tr w14:paraId="59B8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40734F1D">
            <w:pPr>
              <w:spacing w:line="400" w:lineRule="exact"/>
              <w:ind w:firstLine="420" w:firstLineChars="200"/>
              <w:rPr>
                <w:rFonts w:ascii="宋体" w:hAnsi="宋体"/>
                <w:color w:val="auto"/>
                <w:szCs w:val="21"/>
                <w:highlight w:val="none"/>
              </w:rPr>
            </w:pPr>
          </w:p>
        </w:tc>
        <w:tc>
          <w:tcPr>
            <w:tcW w:w="1984" w:type="dxa"/>
            <w:noWrap w:val="0"/>
            <w:vAlign w:val="top"/>
          </w:tcPr>
          <w:p w14:paraId="67898D71">
            <w:pPr>
              <w:spacing w:line="400" w:lineRule="exact"/>
              <w:ind w:firstLine="420" w:firstLineChars="200"/>
              <w:rPr>
                <w:rFonts w:ascii="宋体" w:hAnsi="宋体"/>
                <w:color w:val="auto"/>
                <w:szCs w:val="21"/>
                <w:highlight w:val="none"/>
              </w:rPr>
            </w:pPr>
          </w:p>
        </w:tc>
        <w:tc>
          <w:tcPr>
            <w:tcW w:w="5103" w:type="dxa"/>
            <w:noWrap w:val="0"/>
            <w:vAlign w:val="top"/>
          </w:tcPr>
          <w:p w14:paraId="7A2B27AE">
            <w:pPr>
              <w:spacing w:line="400" w:lineRule="exact"/>
              <w:ind w:firstLine="420" w:firstLineChars="200"/>
              <w:rPr>
                <w:rFonts w:ascii="宋体" w:hAnsi="宋体"/>
                <w:color w:val="auto"/>
                <w:szCs w:val="21"/>
                <w:highlight w:val="none"/>
              </w:rPr>
            </w:pPr>
          </w:p>
        </w:tc>
        <w:tc>
          <w:tcPr>
            <w:tcW w:w="1560" w:type="dxa"/>
            <w:noWrap w:val="0"/>
            <w:vAlign w:val="top"/>
          </w:tcPr>
          <w:p w14:paraId="014CFAC1">
            <w:pPr>
              <w:spacing w:line="400" w:lineRule="exact"/>
              <w:ind w:firstLine="420" w:firstLineChars="200"/>
              <w:rPr>
                <w:rFonts w:ascii="宋体" w:hAnsi="宋体"/>
                <w:color w:val="auto"/>
                <w:szCs w:val="21"/>
                <w:highlight w:val="none"/>
              </w:rPr>
            </w:pPr>
          </w:p>
        </w:tc>
      </w:tr>
      <w:tr w14:paraId="3B0B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41A2540A">
            <w:pPr>
              <w:spacing w:line="400" w:lineRule="exact"/>
              <w:ind w:firstLine="420" w:firstLineChars="200"/>
              <w:rPr>
                <w:rFonts w:ascii="宋体" w:hAnsi="宋体"/>
                <w:color w:val="auto"/>
                <w:szCs w:val="21"/>
                <w:highlight w:val="none"/>
              </w:rPr>
            </w:pPr>
          </w:p>
        </w:tc>
        <w:tc>
          <w:tcPr>
            <w:tcW w:w="1984" w:type="dxa"/>
            <w:noWrap w:val="0"/>
            <w:vAlign w:val="top"/>
          </w:tcPr>
          <w:p w14:paraId="2D6EDDDC">
            <w:pPr>
              <w:spacing w:line="400" w:lineRule="exact"/>
              <w:ind w:firstLine="420" w:firstLineChars="200"/>
              <w:rPr>
                <w:rFonts w:ascii="宋体" w:hAnsi="宋体"/>
                <w:color w:val="auto"/>
                <w:szCs w:val="21"/>
                <w:highlight w:val="none"/>
              </w:rPr>
            </w:pPr>
          </w:p>
        </w:tc>
        <w:tc>
          <w:tcPr>
            <w:tcW w:w="5103" w:type="dxa"/>
            <w:noWrap w:val="0"/>
            <w:vAlign w:val="top"/>
          </w:tcPr>
          <w:p w14:paraId="2BC3A816">
            <w:pPr>
              <w:spacing w:line="400" w:lineRule="exact"/>
              <w:ind w:firstLine="420" w:firstLineChars="200"/>
              <w:rPr>
                <w:rFonts w:ascii="宋体" w:hAnsi="宋体"/>
                <w:color w:val="auto"/>
                <w:szCs w:val="21"/>
                <w:highlight w:val="none"/>
              </w:rPr>
            </w:pPr>
          </w:p>
        </w:tc>
        <w:tc>
          <w:tcPr>
            <w:tcW w:w="1560" w:type="dxa"/>
            <w:noWrap w:val="0"/>
            <w:vAlign w:val="top"/>
          </w:tcPr>
          <w:p w14:paraId="0BC94586">
            <w:pPr>
              <w:spacing w:line="400" w:lineRule="exact"/>
              <w:ind w:firstLine="420" w:firstLineChars="200"/>
              <w:rPr>
                <w:rFonts w:ascii="宋体" w:hAnsi="宋体"/>
                <w:color w:val="auto"/>
                <w:szCs w:val="21"/>
                <w:highlight w:val="none"/>
              </w:rPr>
            </w:pPr>
          </w:p>
        </w:tc>
      </w:tr>
      <w:tr w14:paraId="6217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0193DF31">
            <w:pPr>
              <w:spacing w:line="400" w:lineRule="exact"/>
              <w:ind w:firstLine="420" w:firstLineChars="200"/>
              <w:rPr>
                <w:rFonts w:ascii="宋体" w:hAnsi="宋体"/>
                <w:color w:val="auto"/>
                <w:szCs w:val="21"/>
                <w:highlight w:val="none"/>
              </w:rPr>
            </w:pPr>
          </w:p>
        </w:tc>
        <w:tc>
          <w:tcPr>
            <w:tcW w:w="1984" w:type="dxa"/>
            <w:noWrap w:val="0"/>
            <w:vAlign w:val="top"/>
          </w:tcPr>
          <w:p w14:paraId="6D136B26">
            <w:pPr>
              <w:spacing w:line="400" w:lineRule="exact"/>
              <w:ind w:firstLine="420" w:firstLineChars="200"/>
              <w:rPr>
                <w:rFonts w:ascii="宋体" w:hAnsi="宋体"/>
                <w:color w:val="auto"/>
                <w:szCs w:val="21"/>
                <w:highlight w:val="none"/>
              </w:rPr>
            </w:pPr>
          </w:p>
        </w:tc>
        <w:tc>
          <w:tcPr>
            <w:tcW w:w="5103" w:type="dxa"/>
            <w:noWrap w:val="0"/>
            <w:vAlign w:val="top"/>
          </w:tcPr>
          <w:p w14:paraId="4CF1088C">
            <w:pPr>
              <w:spacing w:line="400" w:lineRule="exact"/>
              <w:ind w:firstLine="420" w:firstLineChars="200"/>
              <w:rPr>
                <w:rFonts w:ascii="宋体" w:hAnsi="宋体"/>
                <w:color w:val="auto"/>
                <w:szCs w:val="21"/>
                <w:highlight w:val="none"/>
              </w:rPr>
            </w:pPr>
          </w:p>
        </w:tc>
        <w:tc>
          <w:tcPr>
            <w:tcW w:w="1560" w:type="dxa"/>
            <w:noWrap w:val="0"/>
            <w:vAlign w:val="top"/>
          </w:tcPr>
          <w:p w14:paraId="64F38A68">
            <w:pPr>
              <w:spacing w:line="400" w:lineRule="exact"/>
              <w:ind w:firstLine="420" w:firstLineChars="200"/>
              <w:rPr>
                <w:rFonts w:ascii="宋体" w:hAnsi="宋体"/>
                <w:color w:val="auto"/>
                <w:szCs w:val="21"/>
                <w:highlight w:val="none"/>
              </w:rPr>
            </w:pPr>
          </w:p>
        </w:tc>
      </w:tr>
      <w:tr w14:paraId="6201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6EC848EB">
            <w:pPr>
              <w:spacing w:line="400" w:lineRule="exact"/>
              <w:ind w:firstLine="420" w:firstLineChars="200"/>
              <w:rPr>
                <w:rFonts w:ascii="宋体" w:hAnsi="宋体"/>
                <w:color w:val="auto"/>
                <w:szCs w:val="21"/>
                <w:highlight w:val="none"/>
              </w:rPr>
            </w:pPr>
          </w:p>
        </w:tc>
        <w:tc>
          <w:tcPr>
            <w:tcW w:w="1984" w:type="dxa"/>
            <w:noWrap w:val="0"/>
            <w:vAlign w:val="top"/>
          </w:tcPr>
          <w:p w14:paraId="16202959">
            <w:pPr>
              <w:spacing w:line="400" w:lineRule="exact"/>
              <w:ind w:firstLine="420" w:firstLineChars="200"/>
              <w:rPr>
                <w:rFonts w:ascii="宋体" w:hAnsi="宋体"/>
                <w:color w:val="auto"/>
                <w:szCs w:val="21"/>
                <w:highlight w:val="none"/>
              </w:rPr>
            </w:pPr>
          </w:p>
        </w:tc>
        <w:tc>
          <w:tcPr>
            <w:tcW w:w="5103" w:type="dxa"/>
            <w:noWrap w:val="0"/>
            <w:vAlign w:val="top"/>
          </w:tcPr>
          <w:p w14:paraId="16D6A2B4">
            <w:pPr>
              <w:spacing w:line="400" w:lineRule="exact"/>
              <w:ind w:firstLine="420" w:firstLineChars="200"/>
              <w:rPr>
                <w:rFonts w:ascii="宋体" w:hAnsi="宋体"/>
                <w:color w:val="auto"/>
                <w:szCs w:val="21"/>
                <w:highlight w:val="none"/>
              </w:rPr>
            </w:pPr>
          </w:p>
        </w:tc>
        <w:tc>
          <w:tcPr>
            <w:tcW w:w="1560" w:type="dxa"/>
            <w:noWrap w:val="0"/>
            <w:vAlign w:val="top"/>
          </w:tcPr>
          <w:p w14:paraId="05B25324">
            <w:pPr>
              <w:spacing w:line="400" w:lineRule="exact"/>
              <w:ind w:firstLine="420" w:firstLineChars="200"/>
              <w:rPr>
                <w:rFonts w:ascii="宋体" w:hAnsi="宋体"/>
                <w:color w:val="auto"/>
                <w:szCs w:val="21"/>
                <w:highlight w:val="none"/>
              </w:rPr>
            </w:pPr>
          </w:p>
        </w:tc>
      </w:tr>
      <w:tr w14:paraId="7111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6E0E60F7">
            <w:pPr>
              <w:spacing w:line="400" w:lineRule="exact"/>
              <w:ind w:firstLine="420" w:firstLineChars="200"/>
              <w:rPr>
                <w:rFonts w:ascii="宋体" w:hAnsi="宋体"/>
                <w:color w:val="auto"/>
                <w:szCs w:val="21"/>
                <w:highlight w:val="none"/>
              </w:rPr>
            </w:pPr>
          </w:p>
        </w:tc>
        <w:tc>
          <w:tcPr>
            <w:tcW w:w="1984" w:type="dxa"/>
            <w:noWrap w:val="0"/>
            <w:vAlign w:val="top"/>
          </w:tcPr>
          <w:p w14:paraId="3630FA65">
            <w:pPr>
              <w:spacing w:line="400" w:lineRule="exact"/>
              <w:ind w:firstLine="420" w:firstLineChars="200"/>
              <w:rPr>
                <w:rFonts w:ascii="宋体" w:hAnsi="宋体"/>
                <w:color w:val="auto"/>
                <w:szCs w:val="21"/>
                <w:highlight w:val="none"/>
              </w:rPr>
            </w:pPr>
          </w:p>
        </w:tc>
        <w:tc>
          <w:tcPr>
            <w:tcW w:w="5103" w:type="dxa"/>
            <w:noWrap w:val="0"/>
            <w:vAlign w:val="top"/>
          </w:tcPr>
          <w:p w14:paraId="1AF78D8E">
            <w:pPr>
              <w:spacing w:line="400" w:lineRule="exact"/>
              <w:ind w:firstLine="420" w:firstLineChars="200"/>
              <w:rPr>
                <w:rFonts w:ascii="宋体" w:hAnsi="宋体"/>
                <w:color w:val="auto"/>
                <w:szCs w:val="21"/>
                <w:highlight w:val="none"/>
              </w:rPr>
            </w:pPr>
          </w:p>
        </w:tc>
        <w:tc>
          <w:tcPr>
            <w:tcW w:w="1560" w:type="dxa"/>
            <w:noWrap w:val="0"/>
            <w:vAlign w:val="top"/>
          </w:tcPr>
          <w:p w14:paraId="4F277B9B">
            <w:pPr>
              <w:spacing w:line="400" w:lineRule="exact"/>
              <w:ind w:firstLine="420" w:firstLineChars="200"/>
              <w:rPr>
                <w:rFonts w:ascii="宋体" w:hAnsi="宋体"/>
                <w:color w:val="auto"/>
                <w:szCs w:val="21"/>
                <w:highlight w:val="none"/>
              </w:rPr>
            </w:pPr>
          </w:p>
        </w:tc>
      </w:tr>
      <w:tr w14:paraId="08C3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noWrap w:val="0"/>
            <w:vAlign w:val="top"/>
          </w:tcPr>
          <w:p w14:paraId="019EA81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小计：</w:t>
            </w:r>
          </w:p>
        </w:tc>
      </w:tr>
    </w:tbl>
    <w:p w14:paraId="00A1B79E">
      <w:pPr>
        <w:spacing w:line="360" w:lineRule="auto"/>
        <w:ind w:firstLine="420" w:firstLineChars="200"/>
        <w:rPr>
          <w:rFonts w:ascii="宋体" w:hAnsi="宋体"/>
          <w:color w:val="auto"/>
          <w:szCs w:val="21"/>
          <w:highlight w:val="none"/>
        </w:rPr>
      </w:pPr>
    </w:p>
    <w:p w14:paraId="5BC2CEB6">
      <w:pPr>
        <w:pStyle w:val="2"/>
        <w:spacing w:line="360" w:lineRule="auto"/>
        <w:rPr>
          <w:rFonts w:ascii="宋体" w:hAnsi="宋体"/>
          <w:color w:val="auto"/>
          <w:szCs w:val="21"/>
          <w:highlight w:val="none"/>
        </w:rPr>
      </w:pPr>
    </w:p>
    <w:p w14:paraId="5661E849">
      <w:pPr>
        <w:spacing w:line="480" w:lineRule="auto"/>
        <w:rPr>
          <w:rFonts w:ascii="宋体" w:hAnsi="宋体"/>
          <w:color w:val="auto"/>
          <w:szCs w:val="21"/>
          <w:highlight w:val="none"/>
        </w:rPr>
      </w:pPr>
    </w:p>
    <w:p w14:paraId="1F004C9F">
      <w:pPr>
        <w:spacing w:line="480" w:lineRule="auto"/>
        <w:rPr>
          <w:rFonts w:ascii="宋体" w:hAnsi="宋体"/>
          <w:color w:val="auto"/>
          <w:szCs w:val="21"/>
          <w:highlight w:val="none"/>
        </w:rPr>
      </w:pPr>
    </w:p>
    <w:p w14:paraId="64C8C80D">
      <w:pPr>
        <w:pStyle w:val="2"/>
        <w:rPr>
          <w:color w:val="auto"/>
          <w:highlight w:val="none"/>
        </w:rPr>
      </w:pPr>
    </w:p>
    <w:p w14:paraId="0BCDB47C">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8</w:t>
      </w:r>
      <w:r>
        <w:rPr>
          <w:rFonts w:hint="eastAsia" w:ascii="宋体" w:hAnsi="宋体"/>
          <w:color w:val="auto"/>
          <w:szCs w:val="21"/>
          <w:highlight w:val="none"/>
        </w:rPr>
        <w:t>：</w:t>
      </w:r>
    </w:p>
    <w:p w14:paraId="063723E5">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廉洁从业协议</w:t>
      </w:r>
    </w:p>
    <w:p w14:paraId="5233AD34">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5BC3A529">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1BC2959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47ECDD7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1. 发包人承包人的权利和义务</w:t>
      </w:r>
    </w:p>
    <w:p w14:paraId="12050D9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（1）严格遵守党的政策规定和国家有关法律法规及相关部门的有关规定。</w:t>
      </w:r>
    </w:p>
    <w:p w14:paraId="050A90C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（2）严格执行 工程的合同文件，自觉按合同办事。</w:t>
      </w:r>
    </w:p>
    <w:p w14:paraId="3283B16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（3）双方的业务活动坚持公开、公正、诚信、透明的原则（法律认定的商业秘密和合同文件另有规定除外），不得损害国家和集体利益，违反工程建设管理规章制度。</w:t>
      </w:r>
    </w:p>
    <w:p w14:paraId="38E4DAA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（4）建立健全廉政制度，开展廉政教育，设立廉政告示牌，公布举报电话，监督并认真查处违法违纪行为。</w:t>
      </w:r>
    </w:p>
    <w:p w14:paraId="135A738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（5）发现对方在业务活动中有违反廉政规定的行为，有及时提醒对方纠正的权利和义务。</w:t>
      </w:r>
    </w:p>
    <w:p w14:paraId="083A863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（6）发现对方严重违反协议义务条款的行为，有向其上级有关部门举报、建议给予处理并要求告知处理结果的权利。</w:t>
      </w:r>
    </w:p>
    <w:p w14:paraId="0B75F6D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发包人的义务</w:t>
      </w:r>
    </w:p>
    <w:p w14:paraId="00EBD41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（1）发包人及其工作人员不得索要或接受承包人的礼金、有价证券和贵重物品，不得在承包人报销任何应由发包人或发包人工作人员个人支付的费用等。</w:t>
      </w:r>
    </w:p>
    <w:p w14:paraId="4DA2220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（2）发包人工作人员不得参加承包人安排的超标准宴请和娱乐活动；不得接受承包人提供的通讯工具、交通工具和高档办公用品等。</w:t>
      </w:r>
    </w:p>
    <w:p w14:paraId="51B8FBC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（3）发包人及其工作人员不得要求或者接受承包人为其住房装修、婚丧嫁娶活动、配偶子女的工作安排以及出国出境、旅游等提供方便等。</w:t>
      </w:r>
    </w:p>
    <w:p w14:paraId="4012536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（4）发包人工作人员及其配偶、子女不得从事与发包人工程有关的材料设备供应、工程分包、劳务等经济活动等。</w:t>
      </w:r>
    </w:p>
    <w:p w14:paraId="6F455DE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（5）发包人及其工作人员不得以任何理由向承包人推荐分包单位或推销材料，不得要求承包人购买合同规定外的材料和设备。</w:t>
      </w:r>
    </w:p>
    <w:p w14:paraId="7E69F0E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（6）发包人工作人员要秉公办事，不准营私舞弊，不准利用职权从事各种个人有偿中介活动和安排个人施工队伍。</w:t>
      </w:r>
    </w:p>
    <w:p w14:paraId="1F4288F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承包人义务</w:t>
      </w:r>
    </w:p>
    <w:p w14:paraId="701CD4B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（1）承包人不得以任何理由向发包人及其工作人员行贿或馈赠礼金、有价证券、贵重礼品。</w:t>
      </w:r>
    </w:p>
    <w:p w14:paraId="0F3F58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（2）承包人不得以任何名义为发包人及其工作人员报销应由发包人单位或个人支付的任何费用。</w:t>
      </w:r>
    </w:p>
    <w:p w14:paraId="2C3E5F9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（3）承包人不得以任何理由安排发包人工作人员参加超标准宴请及娱乐活动。</w:t>
      </w:r>
    </w:p>
    <w:p w14:paraId="437236E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（4）承包人不得为发包人单位和个人购置或提供通讯工具、交通工具和高档办公用品等。</w:t>
      </w:r>
    </w:p>
    <w:p w14:paraId="2CDE411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违约责任</w:t>
      </w:r>
    </w:p>
    <w:p w14:paraId="74F2F5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（1）发包人及其工作人员违反合同第1、2条，按管理权限，依据有关规定给予党纪、政纪或组织处理；涉嫌犯罪的，移交司法机关追究刑事责任；给承包人单位造成经济损失的，应予以赔偿。</w:t>
      </w:r>
    </w:p>
    <w:p w14:paraId="0067AE9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（2）承包人及其工作人员违反合同第1、3条，按管理权限，依据有关规定给予党纪、政纪或组织处理；给发包人单位造成经济损失的，应予以赔偿。</w:t>
      </w:r>
    </w:p>
    <w:p w14:paraId="114F074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68DD455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协议有效期为甲乙双方签署之日起至该工程项目竣工验收后止。</w:t>
      </w:r>
    </w:p>
    <w:p w14:paraId="3DE415A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7.协议作为 工程施工合同的附件，与工程施工合同具有同等的法律效力，经合同双方签署立即生效。</w:t>
      </w:r>
    </w:p>
    <w:p w14:paraId="1F9052C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（以下无正文）</w:t>
      </w:r>
    </w:p>
    <w:p w14:paraId="21A0DC0F">
      <w:pPr>
        <w:spacing w:line="360" w:lineRule="auto"/>
        <w:rPr>
          <w:rFonts w:ascii="宋体" w:hAnsi="宋体"/>
          <w:color w:val="auto"/>
          <w:szCs w:val="21"/>
          <w:highlight w:val="none"/>
        </w:rPr>
      </w:pPr>
    </w:p>
    <w:p w14:paraId="6C95B0C7">
      <w:pPr>
        <w:pStyle w:val="2"/>
        <w:spacing w:line="360" w:lineRule="auto"/>
        <w:rPr>
          <w:rFonts w:ascii="宋体" w:hAnsi="宋体"/>
          <w:color w:val="auto"/>
          <w:szCs w:val="21"/>
          <w:highlight w:val="none"/>
        </w:rPr>
      </w:pPr>
    </w:p>
    <w:p w14:paraId="121B8085">
      <w:pPr>
        <w:pStyle w:val="2"/>
        <w:spacing w:line="360" w:lineRule="auto"/>
        <w:rPr>
          <w:rFonts w:ascii="宋体" w:hAnsi="宋体"/>
          <w:color w:val="auto"/>
          <w:szCs w:val="21"/>
          <w:highlight w:val="none"/>
        </w:rPr>
      </w:pPr>
    </w:p>
    <w:p w14:paraId="3557AC7E">
      <w:pPr>
        <w:spacing w:line="360" w:lineRule="auto"/>
        <w:rPr>
          <w:rFonts w:ascii="宋体" w:hAnsi="宋体"/>
          <w:color w:val="auto"/>
          <w:szCs w:val="21"/>
          <w:highlight w:val="none"/>
        </w:rPr>
      </w:pPr>
      <w:r>
        <w:rPr>
          <w:rFonts w:hint="eastAsia" w:ascii="宋体" w:hAnsi="宋体"/>
          <w:color w:val="auto"/>
          <w:szCs w:val="21"/>
          <w:highlight w:val="none"/>
        </w:rPr>
        <w:t>甲     方：                         乙     方：</w:t>
      </w:r>
    </w:p>
    <w:p w14:paraId="24B2A507">
      <w:pPr>
        <w:spacing w:line="360" w:lineRule="auto"/>
        <w:rPr>
          <w:rFonts w:ascii="宋体" w:hAnsi="宋体"/>
          <w:color w:val="auto"/>
          <w:szCs w:val="21"/>
          <w:highlight w:val="none"/>
        </w:rPr>
      </w:pPr>
    </w:p>
    <w:p w14:paraId="66BDE85D">
      <w:pPr>
        <w:spacing w:line="360" w:lineRule="auto"/>
        <w:rPr>
          <w:rFonts w:ascii="宋体" w:hAnsi="宋体"/>
          <w:color w:val="auto"/>
          <w:szCs w:val="21"/>
          <w:highlight w:val="none"/>
        </w:rPr>
      </w:pPr>
    </w:p>
    <w:p w14:paraId="6192EFF2">
      <w:pPr>
        <w:spacing w:line="360" w:lineRule="auto"/>
        <w:rPr>
          <w:rFonts w:ascii="宋体" w:hAnsi="宋体"/>
          <w:color w:val="auto"/>
          <w:szCs w:val="21"/>
          <w:highlight w:val="none"/>
        </w:rPr>
      </w:pPr>
      <w:r>
        <w:rPr>
          <w:rFonts w:hint="eastAsia" w:ascii="宋体" w:hAnsi="宋体"/>
          <w:color w:val="auto"/>
          <w:szCs w:val="21"/>
          <w:highlight w:val="none"/>
        </w:rPr>
        <w:t xml:space="preserve">法定代表人                          法定代表人                      </w:t>
      </w:r>
    </w:p>
    <w:p w14:paraId="40E3B8AA">
      <w:pPr>
        <w:spacing w:line="360" w:lineRule="auto"/>
        <w:rPr>
          <w:rFonts w:ascii="宋体" w:hAnsi="宋体"/>
          <w:color w:val="auto"/>
          <w:szCs w:val="21"/>
          <w:highlight w:val="none"/>
        </w:rPr>
      </w:pPr>
    </w:p>
    <w:p w14:paraId="0A1DC595">
      <w:pPr>
        <w:spacing w:line="360" w:lineRule="auto"/>
        <w:rPr>
          <w:rFonts w:ascii="宋体" w:hAnsi="宋体"/>
          <w:color w:val="auto"/>
          <w:szCs w:val="21"/>
          <w:highlight w:val="none"/>
        </w:rPr>
      </w:pPr>
    </w:p>
    <w:p w14:paraId="0776B751">
      <w:pPr>
        <w:spacing w:line="360" w:lineRule="auto"/>
        <w:rPr>
          <w:rFonts w:ascii="宋体" w:hAnsi="宋体"/>
          <w:color w:val="auto"/>
          <w:szCs w:val="21"/>
          <w:highlight w:val="none"/>
        </w:rPr>
      </w:pPr>
      <w:r>
        <w:rPr>
          <w:rFonts w:hint="eastAsia" w:ascii="宋体" w:hAnsi="宋体"/>
          <w:color w:val="auto"/>
          <w:szCs w:val="21"/>
          <w:highlight w:val="none"/>
        </w:rPr>
        <w:t>或其授权的代理人：                  或授权的代理人：</w:t>
      </w:r>
    </w:p>
    <w:p w14:paraId="2F99AAAC">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w:t>
      </w:r>
      <w:r>
        <w:rPr>
          <w:rFonts w:ascii="宋体" w:hAnsi="宋体"/>
          <w:color w:val="auto"/>
          <w:szCs w:val="21"/>
          <w:highlight w:val="none"/>
        </w:rPr>
        <w:t>9</w:t>
      </w:r>
      <w:r>
        <w:rPr>
          <w:rFonts w:hint="eastAsia" w:ascii="宋体" w:hAnsi="宋体"/>
          <w:color w:val="auto"/>
          <w:szCs w:val="21"/>
          <w:highlight w:val="none"/>
        </w:rPr>
        <w:t>：</w:t>
      </w:r>
    </w:p>
    <w:p w14:paraId="34F36BE4">
      <w:pPr>
        <w:spacing w:before="156" w:beforeLines="50" w:after="156" w:afterLines="50" w:line="480" w:lineRule="auto"/>
        <w:jc w:val="center"/>
        <w:rPr>
          <w:rFonts w:ascii="宋体" w:hAnsi="宋体"/>
          <w:color w:val="auto"/>
          <w:szCs w:val="21"/>
          <w:highlight w:val="none"/>
        </w:rPr>
      </w:pPr>
      <w:bookmarkStart w:id="1973" w:name="_Toc239510288"/>
      <w:bookmarkStart w:id="1974" w:name="_Toc448406299"/>
      <w:bookmarkStart w:id="1975" w:name="_Toc247431422"/>
      <w:bookmarkStart w:id="1976" w:name="_Toc435690184"/>
      <w:bookmarkStart w:id="1977" w:name="_Toc336680145"/>
      <w:bookmarkStart w:id="1978" w:name="_Toc435689499"/>
      <w:r>
        <w:rPr>
          <w:rFonts w:hint="eastAsia" w:ascii="宋体" w:hAnsi="宋体"/>
          <w:color w:val="auto"/>
          <w:szCs w:val="21"/>
          <w:highlight w:val="none"/>
        </w:rPr>
        <w:t>安全管理协议</w:t>
      </w:r>
      <w:bookmarkEnd w:id="1973"/>
      <w:bookmarkEnd w:id="1974"/>
      <w:bookmarkEnd w:id="1975"/>
      <w:bookmarkEnd w:id="1976"/>
      <w:bookmarkEnd w:id="1977"/>
      <w:bookmarkEnd w:id="1978"/>
    </w:p>
    <w:p w14:paraId="57E5F753">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13C226EC">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58AFE1D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为了确保实现</w:t>
      </w:r>
      <w:r>
        <w:rPr>
          <w:rFonts w:hint="eastAsia" w:ascii="宋体" w:hAnsi="宋体"/>
          <w:color w:val="auto"/>
          <w:szCs w:val="21"/>
          <w:highlight w:val="none"/>
          <w:u w:val="single"/>
        </w:rPr>
        <w:t xml:space="preserve">        </w:t>
      </w:r>
      <w:r>
        <w:rPr>
          <w:rFonts w:hint="eastAsia" w:ascii="宋体" w:hAnsi="宋体"/>
          <w:color w:val="auto"/>
          <w:szCs w:val="21"/>
          <w:highlight w:val="none"/>
        </w:rPr>
        <w:t>安全生产目标，进一步明确双方的安全管理责任，加强安全生产管理工作的协调、管理力度，</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（以下简称“发包人”）与</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1EA88097">
      <w:pPr>
        <w:spacing w:line="360" w:lineRule="auto"/>
        <w:ind w:firstLine="420" w:firstLineChars="200"/>
        <w:rPr>
          <w:rFonts w:ascii="宋体" w:hAnsi="宋体"/>
          <w:color w:val="auto"/>
          <w:szCs w:val="21"/>
          <w:highlight w:val="none"/>
        </w:rPr>
      </w:pPr>
      <w:bookmarkStart w:id="1979" w:name="_Toc247418263"/>
      <w:bookmarkStart w:id="1980" w:name="_Toc532375700"/>
      <w:bookmarkStart w:id="1981" w:name="_Toc247431423"/>
      <w:bookmarkStart w:id="1982" w:name="_Toc239510289"/>
      <w:r>
        <w:rPr>
          <w:rFonts w:hint="eastAsia" w:ascii="宋体" w:hAnsi="宋体"/>
          <w:color w:val="auto"/>
          <w:szCs w:val="21"/>
          <w:highlight w:val="none"/>
        </w:rPr>
        <w:t>一、协议有效期限</w:t>
      </w:r>
      <w:bookmarkEnd w:id="1979"/>
      <w:bookmarkEnd w:id="1980"/>
      <w:bookmarkEnd w:id="1981"/>
      <w:bookmarkEnd w:id="1982"/>
    </w:p>
    <w:p w14:paraId="093A4BC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本协议中所涉及的安全管理责任自合同签订之日起开始生效，至合同工程全部完工验收且经发包人与承包人签订移交协议生效后之日终止。</w:t>
      </w:r>
    </w:p>
    <w:p w14:paraId="56271673">
      <w:pPr>
        <w:spacing w:line="360" w:lineRule="auto"/>
        <w:ind w:firstLine="420" w:firstLineChars="200"/>
        <w:rPr>
          <w:rFonts w:ascii="宋体" w:hAnsi="宋体"/>
          <w:color w:val="auto"/>
          <w:szCs w:val="21"/>
          <w:highlight w:val="none"/>
        </w:rPr>
      </w:pPr>
      <w:bookmarkStart w:id="1983" w:name="_Toc532375701"/>
      <w:bookmarkStart w:id="1984" w:name="_Toc247431424"/>
      <w:bookmarkStart w:id="1985" w:name="_Toc239510290"/>
      <w:bookmarkStart w:id="1986" w:name="_Toc247418264"/>
      <w:r>
        <w:rPr>
          <w:rFonts w:hint="eastAsia" w:ascii="宋体" w:hAnsi="宋体"/>
          <w:color w:val="auto"/>
          <w:szCs w:val="21"/>
          <w:highlight w:val="none"/>
        </w:rPr>
        <w:t>二、责任目标</w:t>
      </w:r>
      <w:bookmarkEnd w:id="1983"/>
      <w:bookmarkEnd w:id="1984"/>
      <w:bookmarkEnd w:id="1985"/>
      <w:bookmarkEnd w:id="1986"/>
    </w:p>
    <w:p w14:paraId="055D840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（一）承包人承诺承担和履行合同和发包人所规定的安全责任，且满足要求。</w:t>
      </w:r>
    </w:p>
    <w:p w14:paraId="55167E0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（二）承包人的安全控制目标是确保本工程在实施过程中：</w:t>
      </w:r>
    </w:p>
    <w:p w14:paraId="63055C8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1．不发生人身重伤事故；</w:t>
      </w:r>
    </w:p>
    <w:p w14:paraId="48F762D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2．不发生火灾事故；</w:t>
      </w:r>
    </w:p>
    <w:p w14:paraId="7663428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3．不发生负有同等及以上事故责任的造成人身重伤的一般交通事故；</w:t>
      </w:r>
    </w:p>
    <w:p w14:paraId="2069447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4．不发生集体食物中毒事件（同时5人及以上的食物中毒）；</w:t>
      </w:r>
    </w:p>
    <w:p w14:paraId="0E03A62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5．不发生流行性传染病 （无甲型传染病、其他常见传染病未形成多人同时患病）；</w:t>
      </w:r>
    </w:p>
    <w:p w14:paraId="01F758E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6．不发生重大环境污染事件（生活、工业垃圾及其他污染物造成环境污染和大面积水土流失）；</w:t>
      </w:r>
    </w:p>
    <w:p w14:paraId="42EEE79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7．不发生对施工区附近生产、生活造成重大影响的事件（如造成重大设备损坏、重大财产损失、人员伤害等）；</w:t>
      </w:r>
    </w:p>
    <w:p w14:paraId="1741734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8．不发生治安保卫事件（构成刑事拘留及以上的事件、盗窃直接损失超过1万元人民币的事件）。</w:t>
      </w:r>
    </w:p>
    <w:p w14:paraId="161BECD4">
      <w:pPr>
        <w:spacing w:line="360" w:lineRule="auto"/>
        <w:ind w:firstLine="420" w:firstLineChars="200"/>
        <w:jc w:val="left"/>
        <w:rPr>
          <w:rFonts w:ascii="宋体" w:hAnsi="宋体"/>
          <w:color w:val="auto"/>
          <w:szCs w:val="21"/>
          <w:highlight w:val="none"/>
        </w:rPr>
      </w:pPr>
      <w:bookmarkStart w:id="1987" w:name="_Toc239510291"/>
      <w:bookmarkStart w:id="1988" w:name="_Toc247418265"/>
      <w:bookmarkStart w:id="1989" w:name="_Toc247431425"/>
      <w:r>
        <w:rPr>
          <w:rFonts w:hint="eastAsia" w:ascii="宋体" w:hAnsi="宋体"/>
          <w:color w:val="auto"/>
          <w:szCs w:val="21"/>
          <w:highlight w:val="none"/>
        </w:rPr>
        <w:t>（三）承包人承诺在施工中控制以下安全事故的发生：</w:t>
      </w:r>
      <w:bookmarkEnd w:id="1987"/>
      <w:bookmarkEnd w:id="1988"/>
      <w:bookmarkEnd w:id="1989"/>
    </w:p>
    <w:p w14:paraId="2212B09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1．人员轻伤事故。</w:t>
      </w:r>
    </w:p>
    <w:p w14:paraId="06E891F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2．负有同等及以上事故责任的人身轻伤交通事故。</w:t>
      </w:r>
    </w:p>
    <w:p w14:paraId="6EAC8AC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3．其他安全未遂事故和异常事件。</w:t>
      </w:r>
    </w:p>
    <w:p w14:paraId="368CABB7">
      <w:pPr>
        <w:spacing w:line="360" w:lineRule="auto"/>
        <w:ind w:firstLine="420" w:firstLineChars="200"/>
        <w:rPr>
          <w:rFonts w:ascii="宋体" w:hAnsi="宋体"/>
          <w:color w:val="auto"/>
          <w:szCs w:val="21"/>
          <w:highlight w:val="none"/>
        </w:rPr>
      </w:pPr>
      <w:bookmarkStart w:id="1990" w:name="_Toc247431426"/>
      <w:bookmarkStart w:id="1991" w:name="_Toc247418266"/>
      <w:bookmarkStart w:id="1992" w:name="_Toc532375702"/>
      <w:bookmarkStart w:id="1993" w:name="_Toc239510292"/>
      <w:r>
        <w:rPr>
          <w:rFonts w:hint="eastAsia" w:ascii="宋体" w:hAnsi="宋体"/>
          <w:color w:val="auto"/>
          <w:szCs w:val="21"/>
          <w:highlight w:val="none"/>
        </w:rPr>
        <w:t>三、安全责任</w:t>
      </w:r>
      <w:bookmarkEnd w:id="1990"/>
      <w:bookmarkEnd w:id="1991"/>
      <w:bookmarkEnd w:id="1992"/>
      <w:bookmarkEnd w:id="1993"/>
    </w:p>
    <w:p w14:paraId="7DB8085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1．承包人负有安全生产的管理责任和直接责任。</w:t>
      </w:r>
    </w:p>
    <w:p w14:paraId="542FEF7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2．承包人的法人或签署合同的公司总经理或受委托的代理人对合同安全负有全面的领导责任。</w:t>
      </w:r>
    </w:p>
    <w:p w14:paraId="53B15EB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3．承包人项目经理对施工现场的安全工作负有全面的直接领导责任。</w:t>
      </w:r>
    </w:p>
    <w:p w14:paraId="0AB4B82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4．承包人保证执行“谁施工、谁负责”的施工安全原则。</w:t>
      </w:r>
    </w:p>
    <w:p w14:paraId="647269D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5．承包人保证服从发包人对安全工作的统一协调和管理。</w:t>
      </w:r>
    </w:p>
    <w:p w14:paraId="190F8C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6．承包人保证对本工程项目安全生产条件及其管理资源自行投入，保证安全资金的专款专用。</w:t>
      </w:r>
    </w:p>
    <w:p w14:paraId="7674576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7．承包人保证建立本工程项目的安全管理体系及安全保证体系（注：项目安全管理大纲/手册、管理性的程序文件等）。</w:t>
      </w:r>
    </w:p>
    <w:p w14:paraId="0D95D4A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8．承包人保证现场的安全管理专职人员必须持有建设主管部门安全生产培训考核合格证书。</w:t>
      </w:r>
    </w:p>
    <w:p w14:paraId="0DFA707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9．承包人保证为现场所有工作人员（含分包商员工及劳务人员）配备符合国家标准的有承包人和/或其下属分包商标志的个人基本劳动保护用品。</w:t>
      </w:r>
    </w:p>
    <w:p w14:paraId="2B1A098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10．承包人保证按照国家法律规定为现场所有工作人员（含分包商员工及劳务人员）购买意外伤害保险。</w:t>
      </w:r>
    </w:p>
    <w:p w14:paraId="30D8160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11．承包人保证施工生活营地（包括自建的和租用的营地）满足消防、安全用电、卫生防疫、防暴雨、防雷击等方面的安全要求。</w:t>
      </w:r>
    </w:p>
    <w:p w14:paraId="626B860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12．承包人保证对带入现场的设备、工具、材料按照国家法规和标准进行检测、试验，并持有法定部门出具的检验证书。</w:t>
      </w:r>
    </w:p>
    <w:p w14:paraId="589DD45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13．承包人保证制订施工现场的文明施工措施，保护环境、树木和植被，保持施工现场的良好秩序和整洁的作业环境。</w:t>
      </w:r>
    </w:p>
    <w:p w14:paraId="344D46D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14．承包人负责在施工过程中与当地政府、周边群众及其他承包商保持良好的沟通和交流。承包人遇到与周边群众发生纠纷时，应负责协调工作，确保工程能够顺利进行。</w:t>
      </w:r>
    </w:p>
    <w:p w14:paraId="18236AE3">
      <w:pPr>
        <w:spacing w:line="360" w:lineRule="auto"/>
        <w:ind w:firstLine="420" w:firstLineChars="200"/>
        <w:rPr>
          <w:rFonts w:ascii="宋体" w:hAnsi="宋体"/>
          <w:color w:val="auto"/>
          <w:szCs w:val="21"/>
          <w:highlight w:val="none"/>
        </w:rPr>
      </w:pPr>
      <w:bookmarkStart w:id="1994" w:name="_Toc532375703"/>
      <w:bookmarkStart w:id="1995" w:name="_Toc239510293"/>
      <w:bookmarkStart w:id="1996" w:name="_Toc247431427"/>
      <w:bookmarkStart w:id="1997" w:name="_Toc247418267"/>
      <w:r>
        <w:rPr>
          <w:rFonts w:hint="eastAsia" w:ascii="宋体" w:hAnsi="宋体"/>
          <w:color w:val="auto"/>
          <w:szCs w:val="21"/>
          <w:highlight w:val="none"/>
        </w:rPr>
        <w:t>四、接口及协调</w:t>
      </w:r>
      <w:bookmarkEnd w:id="1994"/>
      <w:bookmarkEnd w:id="1995"/>
      <w:bookmarkEnd w:id="1996"/>
      <w:bookmarkEnd w:id="1997"/>
    </w:p>
    <w:p w14:paraId="5462BE4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1．发包人委托监理公司对该工程实施监理，监理公司在安全管理方面代表发包人行使监督检查职能，承包人必须给予配合和支持。</w:t>
      </w:r>
    </w:p>
    <w:p w14:paraId="18A8F55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2．承包人人员、车辆的出入，带入现场的设备、机具、材料，在现场使用的或直接管理的办公、生活、生产性设施的安全管理须满足发包人现场管理的基本要求。</w:t>
      </w:r>
    </w:p>
    <w:p w14:paraId="022BC89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14:paraId="0ABAFE9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0B1B42F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5．承包人指定的专职安全管理人员应与发包人委托的监理公司建立联系，在业务上接受发包人委托的监理公司的协调和指导。</w:t>
      </w:r>
    </w:p>
    <w:p w14:paraId="18F2AAA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6．开工后承包人的专职安全管理人员应按照发包人委托的监理公司的规定，定期报送安全月度快报、季报、年报和各种专项事故报告等。</w:t>
      </w:r>
    </w:p>
    <w:p w14:paraId="74CC4B4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7．在工程实体未全部正式移交发包人施工管理部门之前，承包人依旧对施工范围内的安全管理负责。</w:t>
      </w:r>
    </w:p>
    <w:p w14:paraId="7BA9C43F">
      <w:pPr>
        <w:spacing w:line="360" w:lineRule="auto"/>
        <w:ind w:firstLine="420" w:firstLineChars="200"/>
        <w:rPr>
          <w:rFonts w:ascii="宋体" w:hAnsi="宋体"/>
          <w:color w:val="auto"/>
          <w:szCs w:val="21"/>
          <w:highlight w:val="none"/>
        </w:rPr>
      </w:pPr>
      <w:bookmarkStart w:id="1998" w:name="_Toc532375704"/>
      <w:bookmarkStart w:id="1999" w:name="_Toc239510294"/>
      <w:bookmarkStart w:id="2000" w:name="_Toc247418268"/>
      <w:bookmarkStart w:id="2001" w:name="_Toc247431428"/>
      <w:r>
        <w:rPr>
          <w:rFonts w:hint="eastAsia" w:ascii="宋体" w:hAnsi="宋体"/>
          <w:color w:val="auto"/>
          <w:szCs w:val="21"/>
          <w:highlight w:val="none"/>
        </w:rPr>
        <w:t>五、安全资质审查</w:t>
      </w:r>
      <w:bookmarkEnd w:id="1998"/>
      <w:bookmarkEnd w:id="1999"/>
      <w:bookmarkEnd w:id="2000"/>
      <w:bookmarkEnd w:id="2001"/>
    </w:p>
    <w:p w14:paraId="6C0A1BA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承包人在项目开工前5个工作天内向发包人委托的监理公司提供以下安全资质供审查和存档：</w:t>
      </w:r>
    </w:p>
    <w:p w14:paraId="3BB3253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1．企业安全生产许可证书复印件。</w:t>
      </w:r>
    </w:p>
    <w:p w14:paraId="4609B53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2．企业近三年的施工简历及安全施工业绩证明文件。</w:t>
      </w:r>
    </w:p>
    <w:p w14:paraId="5148D85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3．企业主要安全管理人员（包括项目经理、专职安全管理人员）经建设主管部门安全生产知识考核合格证书。</w:t>
      </w:r>
    </w:p>
    <w:p w14:paraId="0CCD216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4．特种作业人员资格证书。</w:t>
      </w:r>
    </w:p>
    <w:p w14:paraId="2BE550E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5．项目安全管理机构及其人员配备（承包人必须配有专职的安全员）。</w:t>
      </w:r>
    </w:p>
    <w:p w14:paraId="079538F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6．适用于项目的安全管理体系及保证体系文件（安全管理大纲及管理程序文件）。</w:t>
      </w:r>
    </w:p>
    <w:p w14:paraId="169D41A4">
      <w:pPr>
        <w:spacing w:line="360" w:lineRule="auto"/>
        <w:ind w:firstLine="420" w:firstLineChars="200"/>
        <w:rPr>
          <w:rFonts w:ascii="宋体" w:hAnsi="宋体"/>
          <w:color w:val="auto"/>
          <w:szCs w:val="21"/>
          <w:highlight w:val="none"/>
        </w:rPr>
      </w:pPr>
      <w:bookmarkStart w:id="2002" w:name="_Toc239510295"/>
      <w:bookmarkStart w:id="2003" w:name="_Toc532375705"/>
      <w:bookmarkStart w:id="2004" w:name="_Toc247431429"/>
      <w:bookmarkStart w:id="2005" w:name="_Toc247418269"/>
      <w:r>
        <w:rPr>
          <w:rFonts w:hint="eastAsia" w:ascii="宋体" w:hAnsi="宋体"/>
          <w:color w:val="auto"/>
          <w:szCs w:val="21"/>
          <w:highlight w:val="none"/>
        </w:rPr>
        <w:t>六、人员基本素质</w:t>
      </w:r>
      <w:bookmarkEnd w:id="2002"/>
      <w:bookmarkEnd w:id="2003"/>
      <w:bookmarkEnd w:id="2004"/>
      <w:bookmarkEnd w:id="2005"/>
    </w:p>
    <w:p w14:paraId="7EC2C71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承包人提供的人员必须满足下列要求：</w:t>
      </w:r>
    </w:p>
    <w:p w14:paraId="0F2AFFC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7AAB58C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2．无刑事案件牵连。</w:t>
      </w:r>
    </w:p>
    <w:p w14:paraId="2A5311B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3．无吸毒、酗酒、赌博、嫖娼等恶习及违法行为。</w:t>
      </w:r>
    </w:p>
    <w:p w14:paraId="6EE4FE68">
      <w:pPr>
        <w:spacing w:line="360" w:lineRule="auto"/>
        <w:ind w:firstLine="420" w:firstLineChars="200"/>
        <w:rPr>
          <w:rFonts w:ascii="宋体" w:hAnsi="宋体"/>
          <w:color w:val="auto"/>
          <w:szCs w:val="21"/>
          <w:highlight w:val="none"/>
        </w:rPr>
      </w:pPr>
      <w:bookmarkStart w:id="2006" w:name="_Toc247431430"/>
      <w:bookmarkStart w:id="2007" w:name="_Toc247418270"/>
      <w:bookmarkStart w:id="2008" w:name="_Toc532375706"/>
      <w:bookmarkStart w:id="2009" w:name="_Toc239510296"/>
      <w:r>
        <w:rPr>
          <w:rFonts w:hint="eastAsia" w:ascii="宋体" w:hAnsi="宋体"/>
          <w:color w:val="auto"/>
          <w:szCs w:val="21"/>
          <w:highlight w:val="none"/>
        </w:rPr>
        <w:t>七、劳动保护</w:t>
      </w:r>
      <w:bookmarkEnd w:id="2006"/>
      <w:bookmarkEnd w:id="2007"/>
      <w:bookmarkEnd w:id="2008"/>
      <w:bookmarkEnd w:id="2009"/>
    </w:p>
    <w:p w14:paraId="00979CA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1．承包人负责为本单位任何用工形式的员工提供个人劳动保护用品（包括工作服、安全帽、安全鞋等）。</w:t>
      </w:r>
    </w:p>
    <w:p w14:paraId="3D09E5E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2．承包人负责向特殊工种的员工提供特殊劳动保护，否则不得从事特殊工种作业。</w:t>
      </w:r>
    </w:p>
    <w:p w14:paraId="23756C1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3．发包人委托的监理公司有权检查承包人的个人劳动保护用品是否符合国家的相应标准。</w:t>
      </w:r>
    </w:p>
    <w:p w14:paraId="488E340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 承包人在特殊风险场所作业而需要特殊防护用品或安全仪表时，必须在上述防护用品全部到位后才能开工。</w:t>
      </w:r>
    </w:p>
    <w:p w14:paraId="779CB98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5．承包人应配备临时安全围栏、警示带、警告标志、防火布等集体防护用品。</w:t>
      </w:r>
    </w:p>
    <w:p w14:paraId="2E81A112">
      <w:pPr>
        <w:spacing w:line="360" w:lineRule="auto"/>
        <w:ind w:firstLine="420" w:firstLineChars="200"/>
        <w:rPr>
          <w:rFonts w:ascii="宋体" w:hAnsi="宋体"/>
          <w:color w:val="auto"/>
          <w:szCs w:val="21"/>
          <w:highlight w:val="none"/>
        </w:rPr>
      </w:pPr>
      <w:bookmarkStart w:id="2010" w:name="_Toc532375707"/>
      <w:bookmarkStart w:id="2011" w:name="_Toc239510297"/>
      <w:bookmarkStart w:id="2012" w:name="_Toc247431431"/>
      <w:bookmarkStart w:id="2013" w:name="_Toc247418271"/>
      <w:r>
        <w:rPr>
          <w:rFonts w:hint="eastAsia" w:ascii="宋体" w:hAnsi="宋体"/>
          <w:color w:val="auto"/>
          <w:szCs w:val="21"/>
          <w:highlight w:val="none"/>
        </w:rPr>
        <w:t>八、施工机具与材料</w:t>
      </w:r>
      <w:bookmarkEnd w:id="2010"/>
      <w:bookmarkEnd w:id="2011"/>
      <w:bookmarkEnd w:id="2012"/>
      <w:bookmarkEnd w:id="2013"/>
    </w:p>
    <w:p w14:paraId="08F9894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1．承包人对带入现场的施工机械和工器具的安全负责。</w:t>
      </w:r>
    </w:p>
    <w:p w14:paraId="751560B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2．对于承包人带入现场的特殊工器具，如起重设备、索具、机动车辆、压缩气瓶等，承包人必须按国家法规和标准进行检测、试验，并持有法定部门出具的检验证书。</w:t>
      </w:r>
    </w:p>
    <w:p w14:paraId="2C4608F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3．对于不属于法定检测的工器具，承包人也必须建立相应的管理、检测制度，这些工器具包括登高工具、脚手架材料、电动工具、安全防护设备及用具等。</w:t>
      </w:r>
    </w:p>
    <w:p w14:paraId="71AA256A">
      <w:pPr>
        <w:spacing w:line="360" w:lineRule="auto"/>
        <w:ind w:firstLine="420" w:firstLineChars="200"/>
        <w:rPr>
          <w:rFonts w:ascii="宋体" w:hAnsi="宋体"/>
          <w:color w:val="auto"/>
          <w:szCs w:val="21"/>
          <w:highlight w:val="none"/>
        </w:rPr>
      </w:pPr>
      <w:bookmarkStart w:id="2014" w:name="_Toc247431432"/>
      <w:bookmarkStart w:id="2015" w:name="_Toc247418272"/>
      <w:bookmarkStart w:id="2016" w:name="_Toc239510298"/>
      <w:bookmarkStart w:id="2017" w:name="_Toc532375708"/>
      <w:r>
        <w:rPr>
          <w:rFonts w:hint="eastAsia" w:ascii="宋体" w:hAnsi="宋体"/>
          <w:color w:val="auto"/>
          <w:szCs w:val="21"/>
          <w:highlight w:val="none"/>
        </w:rPr>
        <w:t>九、开工前安全条件检查</w:t>
      </w:r>
      <w:bookmarkEnd w:id="2014"/>
      <w:bookmarkEnd w:id="2015"/>
      <w:bookmarkEnd w:id="2016"/>
      <w:bookmarkEnd w:id="2017"/>
    </w:p>
    <w:p w14:paraId="54D6C7B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4309F82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3F9C6EE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3．发包人委托的监理公司检查发现的缺陷，承包人应在规定期限内完成整改。对于重大缺陷，发包人委托的监理公司有权要求承包人推迟开工，由此对工期产生的影响或经济损失，由承包人承担。</w:t>
      </w:r>
    </w:p>
    <w:p w14:paraId="6FFA7300">
      <w:pPr>
        <w:spacing w:line="360" w:lineRule="auto"/>
        <w:ind w:firstLine="420" w:firstLineChars="200"/>
        <w:rPr>
          <w:rFonts w:ascii="宋体" w:hAnsi="宋体"/>
          <w:color w:val="auto"/>
          <w:szCs w:val="21"/>
          <w:highlight w:val="none"/>
        </w:rPr>
      </w:pPr>
      <w:bookmarkStart w:id="2018" w:name="_Toc247431433"/>
      <w:bookmarkStart w:id="2019" w:name="_Toc247418273"/>
      <w:bookmarkStart w:id="2020" w:name="_Toc532375709"/>
      <w:bookmarkStart w:id="2021" w:name="_Toc239510299"/>
      <w:r>
        <w:rPr>
          <w:rFonts w:hint="eastAsia" w:ascii="宋体" w:hAnsi="宋体"/>
          <w:color w:val="auto"/>
          <w:szCs w:val="21"/>
          <w:highlight w:val="none"/>
        </w:rPr>
        <w:t>十、安全监督</w:t>
      </w:r>
      <w:bookmarkEnd w:id="2018"/>
      <w:bookmarkEnd w:id="2019"/>
      <w:bookmarkEnd w:id="2020"/>
      <w:bookmarkEnd w:id="2021"/>
    </w:p>
    <w:p w14:paraId="629ABAB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1．承包人应配备有满足项目安全管理需要的专职安全管理人员。</w:t>
      </w:r>
    </w:p>
    <w:p w14:paraId="6A29A11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2．承包人的专职安全管理人员必须持建设主管部门颁发的安全生产知识考核合格证书。</w:t>
      </w:r>
    </w:p>
    <w:p w14:paraId="153254E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3．承包人的专职安全管理人员在业务上接受发包人委托的监理公司和发包人安全管理部门的协调和指导。</w:t>
      </w:r>
    </w:p>
    <w:p w14:paraId="16934EB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4．承包人应建立班前安全交底制度；施工期间坚持开展安全检查和日常安全监督并形成相应的记录。</w:t>
      </w:r>
    </w:p>
    <w:p w14:paraId="21B3120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5．承包人应在每个作业区任命兼职安全员，赋予兼职安全员相应的授权和义务，并对兼职安全员进行定期考核。</w:t>
      </w:r>
    </w:p>
    <w:p w14:paraId="229C680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6．承包人应接受和配合发包人专业部门及委托的监理公司的监督与安全评价。</w:t>
      </w:r>
    </w:p>
    <w:p w14:paraId="62AE2AA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14:paraId="70053BCA">
      <w:pPr>
        <w:spacing w:line="360" w:lineRule="auto"/>
        <w:ind w:firstLine="420" w:firstLineChars="200"/>
        <w:rPr>
          <w:rFonts w:ascii="宋体" w:hAnsi="宋体"/>
          <w:color w:val="auto"/>
          <w:szCs w:val="21"/>
          <w:highlight w:val="none"/>
        </w:rPr>
      </w:pPr>
      <w:bookmarkStart w:id="2022" w:name="_Toc247431434"/>
      <w:bookmarkStart w:id="2023" w:name="_Toc247418274"/>
      <w:bookmarkStart w:id="2024" w:name="_Toc239510300"/>
      <w:bookmarkStart w:id="2025" w:name="_Toc532375710"/>
      <w:r>
        <w:rPr>
          <w:rFonts w:hint="eastAsia" w:ascii="宋体" w:hAnsi="宋体"/>
          <w:color w:val="auto"/>
          <w:szCs w:val="21"/>
          <w:highlight w:val="none"/>
        </w:rPr>
        <w:t>十一、安全培训与授权</w:t>
      </w:r>
      <w:bookmarkEnd w:id="2022"/>
      <w:bookmarkEnd w:id="2023"/>
      <w:bookmarkEnd w:id="2024"/>
      <w:bookmarkEnd w:id="2025"/>
    </w:p>
    <w:p w14:paraId="7734084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14:paraId="32D5D59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2．承包人应在特殊工种之外的其他工种中，筛选出高风险工种，并对其开展针对性的专题安全培训。</w:t>
      </w:r>
    </w:p>
    <w:p w14:paraId="600C1A2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3．承包人应组织 “入场培训”和考核。发包人委托的监理公司有权监督培训、考核情况或组织抽查考核。</w:t>
      </w:r>
    </w:p>
    <w:p w14:paraId="22EA32F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4．承包人应建立安全培训和考核机制，编制培训教材和培训滚动计划。承包人应组织安全考试/考核，建立培训考核记录，发包人委托的监理公司有权查看这些记录。</w:t>
      </w:r>
    </w:p>
    <w:p w14:paraId="08622D18">
      <w:pPr>
        <w:spacing w:line="360" w:lineRule="auto"/>
        <w:ind w:firstLine="420" w:firstLineChars="200"/>
        <w:rPr>
          <w:rFonts w:ascii="宋体" w:hAnsi="宋体"/>
          <w:color w:val="auto"/>
          <w:szCs w:val="21"/>
          <w:highlight w:val="none"/>
        </w:rPr>
      </w:pPr>
      <w:bookmarkStart w:id="2026" w:name="_Toc247431435"/>
      <w:bookmarkStart w:id="2027" w:name="_Toc532375711"/>
      <w:bookmarkStart w:id="2028" w:name="_Toc239510301"/>
      <w:bookmarkStart w:id="2029" w:name="_Toc247418275"/>
      <w:r>
        <w:rPr>
          <w:rFonts w:hint="eastAsia" w:ascii="宋体" w:hAnsi="宋体"/>
          <w:color w:val="auto"/>
          <w:szCs w:val="21"/>
          <w:highlight w:val="none"/>
        </w:rPr>
        <w:t>十二、职业健康与卫生防疫</w:t>
      </w:r>
      <w:bookmarkEnd w:id="2026"/>
      <w:bookmarkEnd w:id="2027"/>
      <w:bookmarkEnd w:id="2028"/>
      <w:bookmarkEnd w:id="2029"/>
    </w:p>
    <w:p w14:paraId="583B3FE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1．承包人应有特殊健康检查制度，预防有禁忌症患者从事有关职业，如恐高症患者不得从事高空作业，患有心血管疾病的人员不得从事繁重的体力劳动，特殊工种人员的体检应符合国家的规定。</w:t>
      </w:r>
    </w:p>
    <w:p w14:paraId="518017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2．承包人应保证卫生防疫基本设施的投入，以满足医疗、急救的要求，建立外部医疗支持渠道。</w:t>
      </w:r>
    </w:p>
    <w:p w14:paraId="6B99E7F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1EBAFA99">
      <w:pPr>
        <w:spacing w:line="360" w:lineRule="auto"/>
        <w:ind w:firstLine="420" w:firstLineChars="200"/>
        <w:rPr>
          <w:rFonts w:ascii="宋体" w:hAnsi="宋体"/>
          <w:color w:val="auto"/>
          <w:szCs w:val="21"/>
          <w:highlight w:val="none"/>
        </w:rPr>
      </w:pPr>
      <w:bookmarkStart w:id="2030" w:name="_Toc247431436"/>
      <w:bookmarkStart w:id="2031" w:name="_Toc239510302"/>
      <w:bookmarkStart w:id="2032" w:name="_Toc532375712"/>
      <w:bookmarkStart w:id="2033" w:name="_Toc247418276"/>
      <w:r>
        <w:rPr>
          <w:rFonts w:hint="eastAsia" w:ascii="宋体" w:hAnsi="宋体"/>
          <w:color w:val="auto"/>
          <w:szCs w:val="21"/>
          <w:highlight w:val="none"/>
        </w:rPr>
        <w:t>十三、文明施工与环保要求</w:t>
      </w:r>
      <w:bookmarkEnd w:id="2030"/>
      <w:bookmarkEnd w:id="2031"/>
      <w:bookmarkEnd w:id="2032"/>
      <w:bookmarkEnd w:id="2033"/>
    </w:p>
    <w:p w14:paraId="7370883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1．承包人需制订施工现场的文明施工措施，保持良好的施工现场秩序。施工现场的物料堆放要摆放整齐，安全标志和宣传标志要清楚醒目，废料、废物要分类收集，安全通道要畅通。</w:t>
      </w:r>
    </w:p>
    <w:p w14:paraId="3D64F63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2．承包人作业时应避免建筑材料抛洒、飞扬、流淌；应尽可能降低噪音、震动。</w:t>
      </w:r>
    </w:p>
    <w:p w14:paraId="767C35E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3．承包人应根据实际需要，在施工现场布置临时卫生设施（洗手间、卫生间等），施工作业不破坏环境卫生，不污染现场环境。</w:t>
      </w:r>
    </w:p>
    <w:p w14:paraId="17696D8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4．承包人在施工中应充分重视对环境的保护，保护绿色植被，保护古树。施工如需伤害古树，必须报告发包人委托的监理公司，在未得到指令前，禁止擅自伤害古树。</w:t>
      </w:r>
    </w:p>
    <w:p w14:paraId="5DE14A8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2937FA0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6．承包人在施工中应禁止向环境，排放工业污水、生活污水、废油或其他有害物质。</w:t>
      </w:r>
    </w:p>
    <w:p w14:paraId="3649E0A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6485E912">
      <w:pPr>
        <w:spacing w:line="360" w:lineRule="auto"/>
        <w:ind w:firstLine="420" w:firstLineChars="200"/>
        <w:rPr>
          <w:rFonts w:ascii="宋体" w:hAnsi="宋体"/>
          <w:color w:val="auto"/>
          <w:szCs w:val="21"/>
          <w:highlight w:val="none"/>
        </w:rPr>
      </w:pPr>
      <w:bookmarkStart w:id="2034" w:name="_Toc247431437"/>
      <w:bookmarkStart w:id="2035" w:name="_Toc247418277"/>
      <w:bookmarkStart w:id="2036" w:name="_Toc239510303"/>
      <w:bookmarkStart w:id="2037" w:name="_Toc532375713"/>
      <w:r>
        <w:rPr>
          <w:rFonts w:hint="eastAsia" w:ascii="宋体" w:hAnsi="宋体"/>
          <w:color w:val="auto"/>
          <w:szCs w:val="21"/>
          <w:highlight w:val="none"/>
        </w:rPr>
        <w:t>十四、工程风险管理与事故预防</w:t>
      </w:r>
      <w:bookmarkEnd w:id="2034"/>
      <w:bookmarkEnd w:id="2035"/>
      <w:bookmarkEnd w:id="2036"/>
      <w:bookmarkEnd w:id="2037"/>
    </w:p>
    <w:p w14:paraId="48D1AA9C">
      <w:pPr>
        <w:spacing w:line="360" w:lineRule="auto"/>
        <w:ind w:firstLine="420" w:firstLineChars="200"/>
        <w:jc w:val="left"/>
        <w:rPr>
          <w:rFonts w:ascii="宋体" w:hAnsi="宋体"/>
          <w:color w:val="auto"/>
          <w:szCs w:val="21"/>
          <w:highlight w:val="none"/>
        </w:rPr>
      </w:pPr>
      <w:bookmarkStart w:id="2038" w:name="_Toc239510304"/>
      <w:bookmarkStart w:id="2039" w:name="_Toc247418278"/>
      <w:bookmarkStart w:id="2040" w:name="_Toc247431438"/>
      <w:r>
        <w:rPr>
          <w:rFonts w:hint="eastAsia" w:ascii="宋体" w:hAnsi="宋体"/>
          <w:color w:val="auto"/>
          <w:szCs w:val="21"/>
          <w:highlight w:val="none"/>
        </w:rPr>
        <w:t>（一）基本要求</w:t>
      </w:r>
      <w:bookmarkEnd w:id="2038"/>
      <w:bookmarkEnd w:id="2039"/>
      <w:bookmarkEnd w:id="2040"/>
    </w:p>
    <w:p w14:paraId="60F26FC9">
      <w:pPr>
        <w:spacing w:line="360" w:lineRule="auto"/>
        <w:ind w:firstLine="420" w:firstLineChars="200"/>
        <w:jc w:val="left"/>
        <w:rPr>
          <w:rFonts w:ascii="宋体" w:hAnsi="宋体"/>
          <w:color w:val="auto"/>
          <w:szCs w:val="21"/>
          <w:highlight w:val="none"/>
        </w:rPr>
      </w:pPr>
      <w:bookmarkStart w:id="2041" w:name="_Toc532375714"/>
      <w:r>
        <w:rPr>
          <w:rFonts w:hint="eastAsia" w:ascii="宋体" w:hAnsi="宋体"/>
          <w:color w:val="auto"/>
          <w:szCs w:val="21"/>
          <w:highlight w:val="none"/>
        </w:rPr>
        <w:t>1．承包人应对施工过程进行全面、深入的危险源识别和风险分析。在施工安全组织设计中提供危险源及重要危险源清单、作业风险分析报告，该报告应包括（但不限于）如下信息：</w:t>
      </w:r>
      <w:bookmarkEnd w:id="2041"/>
    </w:p>
    <w:p w14:paraId="3BF8C53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（1）高风险作业和工种清单：作业名称、类别和数量、主要事故风险。</w:t>
      </w:r>
    </w:p>
    <w:p w14:paraId="627E7D2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（2）施工能源和机械的种类、数量和主要事故风险。</w:t>
      </w:r>
    </w:p>
    <w:p w14:paraId="7BFBF50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（3）施工作业条件的类型和主要事故风险。</w:t>
      </w:r>
    </w:p>
    <w:p w14:paraId="41F0121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（4）主要工艺过程（或施工活动）的类别及其相关的事故风险。</w:t>
      </w:r>
    </w:p>
    <w:p w14:paraId="61A3C55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（5）主要火灾危险（可燃物、点火源）。</w:t>
      </w:r>
    </w:p>
    <w:p w14:paraId="6869772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（6）主要自然灾害（洪水、大风、雷暴、暴雨、地质灾害等）。</w:t>
      </w:r>
    </w:p>
    <w:p w14:paraId="147FEF7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（7）主要环境保护事件（有害垃圾、机械的跑冒滴漏、原材料流失、水土流失等）。</w:t>
      </w:r>
    </w:p>
    <w:p w14:paraId="76D082F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（8）其他。</w:t>
      </w:r>
    </w:p>
    <w:p w14:paraId="76AE8F4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2．承包人应针对识别出的危险源制定有针对性的事故预防措施并确保在施工中得到有效落实。</w:t>
      </w:r>
    </w:p>
    <w:p w14:paraId="44F97A8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3．承包人应建立日常施工活动的动态作业风险分析和安全交底制度。该制度应明确规定风险分析的方法、责任和交底的内容、时间及记录。</w:t>
      </w:r>
    </w:p>
    <w:p w14:paraId="4DDD428D">
      <w:pPr>
        <w:spacing w:line="360" w:lineRule="auto"/>
        <w:ind w:firstLine="420" w:firstLineChars="200"/>
        <w:jc w:val="left"/>
        <w:rPr>
          <w:rFonts w:ascii="宋体" w:hAnsi="宋体"/>
          <w:color w:val="auto"/>
          <w:szCs w:val="21"/>
          <w:highlight w:val="none"/>
        </w:rPr>
      </w:pPr>
      <w:bookmarkStart w:id="2042" w:name="_Toc247418279"/>
      <w:bookmarkStart w:id="2043" w:name="_Toc239510305"/>
      <w:bookmarkStart w:id="2044" w:name="_Toc247431439"/>
      <w:r>
        <w:rPr>
          <w:rFonts w:hint="eastAsia" w:ascii="宋体" w:hAnsi="宋体"/>
          <w:color w:val="auto"/>
          <w:szCs w:val="21"/>
          <w:highlight w:val="none"/>
        </w:rPr>
        <w:t>（二）现场作业基本安全条件</w:t>
      </w:r>
      <w:bookmarkEnd w:id="2042"/>
      <w:bookmarkEnd w:id="2043"/>
      <w:bookmarkEnd w:id="2044"/>
    </w:p>
    <w:p w14:paraId="7A50C58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7ED74E36">
      <w:pPr>
        <w:spacing w:line="360" w:lineRule="auto"/>
        <w:ind w:firstLine="420" w:firstLineChars="200"/>
        <w:rPr>
          <w:rFonts w:ascii="宋体" w:hAnsi="宋体"/>
          <w:color w:val="auto"/>
          <w:szCs w:val="21"/>
          <w:highlight w:val="none"/>
        </w:rPr>
      </w:pPr>
      <w:bookmarkStart w:id="2045" w:name="_Toc247431440"/>
      <w:bookmarkStart w:id="2046" w:name="_Toc247418280"/>
      <w:bookmarkStart w:id="2047" w:name="_Toc239510306"/>
      <w:bookmarkStart w:id="2048" w:name="_Toc532375715"/>
      <w:r>
        <w:rPr>
          <w:rFonts w:hint="eastAsia" w:ascii="宋体" w:hAnsi="宋体"/>
          <w:color w:val="auto"/>
          <w:szCs w:val="21"/>
          <w:highlight w:val="none"/>
        </w:rPr>
        <w:t>十五、事故报告与应急救援</w:t>
      </w:r>
      <w:bookmarkEnd w:id="2045"/>
      <w:bookmarkEnd w:id="2046"/>
      <w:bookmarkEnd w:id="2047"/>
      <w:bookmarkEnd w:id="2048"/>
    </w:p>
    <w:p w14:paraId="24AB8DE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1．承包人应制定对于未遂事故及以上级别的安全事件和事故，定期报送安全月度快报、季报、年报和各种专项事故报告等。</w:t>
      </w:r>
    </w:p>
    <w:p w14:paraId="22E9BB3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2．承包人应建立安全事故统计记录、未遂事故统计记录、违章统计记录，并根据统计情况进行分析，并就分析结果制定相应的预防措施。</w:t>
      </w:r>
    </w:p>
    <w:p w14:paraId="79C8B06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3．承包人应建立事故应急救援机制，明确事故处置的基本原则，即现场发生事故时，首先抢救生命，向救援组织报警，并采取措施限制事故扩大。</w:t>
      </w:r>
    </w:p>
    <w:p w14:paraId="43844CF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4．承包人应建立相应的应急响应组织，以便能迅速处理突发意外。</w:t>
      </w:r>
    </w:p>
    <w:p w14:paraId="2899FD1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5．承包人应建立专项应急响应预案，包括重大人身伤亡事故的救护预案、火灾响应预案、“四防”预案（防风、防冻、防雷、防暴雨）、重大疫病防护预案、环境污染防护预案、地质灾害防护预案等。</w:t>
      </w:r>
    </w:p>
    <w:p w14:paraId="025CF51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6．承包人应对应急预案进行适当演练，保证应急预案的可操作性。</w:t>
      </w:r>
    </w:p>
    <w:p w14:paraId="1AFE210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7．在工地的其他施工单位发生重大事故时，承包人应无条件立即配合、支持事故抢险。</w:t>
      </w:r>
    </w:p>
    <w:p w14:paraId="4303682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8．承包人必须为事故处置支付各项费用，包括受伤者的抚恤、补偿等费用，并按合同要求赔偿对发包人造成的损失。</w:t>
      </w:r>
    </w:p>
    <w:p w14:paraId="12028BC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9．由于发包人原因而造成的事故，发包人应负责按事故的具体损失情况给予承包人经济赔偿。</w:t>
      </w:r>
    </w:p>
    <w:p w14:paraId="78FEB43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10．涉及承包人员工的伤害事故，承包人除要报告发包人委托的监理公司外，还应负责按照国家、行业和本单位上级公司的要求，上报事故。</w:t>
      </w:r>
    </w:p>
    <w:p w14:paraId="7158DDA8">
      <w:pPr>
        <w:spacing w:line="360" w:lineRule="auto"/>
        <w:ind w:firstLine="420" w:firstLineChars="200"/>
        <w:rPr>
          <w:rFonts w:ascii="宋体" w:hAnsi="宋体"/>
          <w:color w:val="auto"/>
          <w:szCs w:val="21"/>
          <w:highlight w:val="none"/>
        </w:rPr>
      </w:pPr>
      <w:bookmarkStart w:id="2049" w:name="_Toc247431441"/>
      <w:bookmarkStart w:id="2050" w:name="_Toc247418281"/>
      <w:bookmarkStart w:id="2051" w:name="_Toc532375716"/>
      <w:bookmarkStart w:id="2052" w:name="_Toc239510307"/>
      <w:r>
        <w:rPr>
          <w:rFonts w:hint="eastAsia" w:ascii="宋体" w:hAnsi="宋体"/>
          <w:color w:val="auto"/>
          <w:szCs w:val="21"/>
          <w:highlight w:val="none"/>
        </w:rPr>
        <w:t>十六、安全业绩考核</w:t>
      </w:r>
      <w:bookmarkEnd w:id="2049"/>
      <w:bookmarkEnd w:id="2050"/>
      <w:bookmarkEnd w:id="2051"/>
      <w:bookmarkEnd w:id="2052"/>
    </w:p>
    <w:p w14:paraId="6000A6A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为了落实安全管理的责任，承包人在施工过程中发生安全事故时，承包人除应按国家有关规定承担责任和处罚外，发包人还将按照以下标准进行考核：</w:t>
      </w:r>
    </w:p>
    <w:tbl>
      <w:tblPr>
        <w:tblStyle w:val="46"/>
        <w:tblW w:w="7005" w:type="dxa"/>
        <w:jc w:val="center"/>
        <w:tblLayout w:type="fixed"/>
        <w:tblCellMar>
          <w:top w:w="0" w:type="dxa"/>
          <w:left w:w="0" w:type="dxa"/>
          <w:bottom w:w="0" w:type="dxa"/>
          <w:right w:w="0" w:type="dxa"/>
        </w:tblCellMar>
      </w:tblPr>
      <w:tblGrid>
        <w:gridCol w:w="3240"/>
        <w:gridCol w:w="3765"/>
      </w:tblGrid>
      <w:tr w14:paraId="0464C5F7">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F07D0E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事件类型</w:t>
            </w:r>
          </w:p>
        </w:tc>
        <w:tc>
          <w:tcPr>
            <w:tcW w:w="37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17062A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违约金额</w:t>
            </w:r>
          </w:p>
        </w:tc>
      </w:tr>
      <w:tr w14:paraId="63F51B6A">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B1AC73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较大事故</w:t>
            </w:r>
          </w:p>
        </w:tc>
        <w:tc>
          <w:tcPr>
            <w:tcW w:w="3765" w:type="dxa"/>
            <w:tcBorders>
              <w:top w:val="single" w:color="auto" w:sz="8" w:space="0"/>
              <w:left w:val="nil"/>
              <w:bottom w:val="single" w:color="auto" w:sz="8" w:space="0"/>
              <w:right w:val="single" w:color="auto" w:sz="8" w:space="0"/>
            </w:tcBorders>
            <w:noWrap w:val="0"/>
            <w:vAlign w:val="center"/>
          </w:tcPr>
          <w:p w14:paraId="66A25415">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签约合同价</w:t>
            </w:r>
            <w:r>
              <w:rPr>
                <w:rFonts w:hint="eastAsia" w:ascii="宋体" w:hAnsi="宋体"/>
                <w:color w:val="auto"/>
                <w:szCs w:val="21"/>
                <w:highlight w:val="none"/>
              </w:rPr>
              <w:t>的0.5‰</w:t>
            </w:r>
          </w:p>
        </w:tc>
      </w:tr>
      <w:tr w14:paraId="4D0F0756">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811AD3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重大事故</w:t>
            </w:r>
          </w:p>
        </w:tc>
        <w:tc>
          <w:tcPr>
            <w:tcW w:w="3765" w:type="dxa"/>
            <w:tcBorders>
              <w:top w:val="single" w:color="auto" w:sz="8" w:space="0"/>
              <w:left w:val="nil"/>
              <w:bottom w:val="single" w:color="auto" w:sz="8" w:space="0"/>
              <w:right w:val="single" w:color="auto" w:sz="8" w:space="0"/>
            </w:tcBorders>
            <w:noWrap w:val="0"/>
            <w:vAlign w:val="center"/>
          </w:tcPr>
          <w:p w14:paraId="52345CA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签约合同价的2‰</w:t>
            </w:r>
          </w:p>
        </w:tc>
      </w:tr>
      <w:tr w14:paraId="579B6C3D">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CCCCEE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特别重大事故</w:t>
            </w:r>
          </w:p>
        </w:tc>
        <w:tc>
          <w:tcPr>
            <w:tcW w:w="3765" w:type="dxa"/>
            <w:tcBorders>
              <w:top w:val="single" w:color="auto" w:sz="8" w:space="0"/>
              <w:left w:val="nil"/>
              <w:bottom w:val="single" w:color="auto" w:sz="8" w:space="0"/>
              <w:right w:val="single" w:color="auto" w:sz="8" w:space="0"/>
            </w:tcBorders>
            <w:noWrap w:val="0"/>
            <w:vAlign w:val="center"/>
          </w:tcPr>
          <w:p w14:paraId="483294B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签约合同价的4‰</w:t>
            </w:r>
          </w:p>
        </w:tc>
      </w:tr>
    </w:tbl>
    <w:p w14:paraId="0FF7685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（1）较大事故，是指造成3人以上10人以下死亡，或者10人以上50人以下重伤，或者1000万元以上5000万元以下直接经济损失的事故；</w:t>
      </w:r>
    </w:p>
    <w:p w14:paraId="06CDEE6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（2）重大事故，是指造成10人以上30人以下死亡，或者50人以上100人以下重伤，或者5000万元以上1亿元以下直接经济损失的事故；</w:t>
      </w:r>
    </w:p>
    <w:p w14:paraId="7480A32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（3）特别重大事故，是指造成30人以上死亡，或者100人以上重伤（包括急性工业中毒，下同），或者1亿元以上直接经济损失的事故；</w:t>
      </w:r>
    </w:p>
    <w:p w14:paraId="11F9DD54">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（4）所称的“以上”包括本数，所称的“以下”不包括本数。</w:t>
      </w:r>
    </w:p>
    <w:p w14:paraId="70C8AA17">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6437E380">
      <w:pPr>
        <w:spacing w:line="276" w:lineRule="auto"/>
        <w:ind w:firstLine="420" w:firstLineChars="200"/>
        <w:rPr>
          <w:rFonts w:ascii="宋体" w:hAnsi="宋体"/>
          <w:color w:val="auto"/>
          <w:szCs w:val="21"/>
          <w:highlight w:val="none"/>
        </w:rPr>
      </w:pPr>
      <w:bookmarkStart w:id="2053" w:name="_Toc247431442"/>
      <w:bookmarkStart w:id="2054" w:name="_Toc532375717"/>
      <w:bookmarkStart w:id="2055" w:name="_Toc247418282"/>
      <w:bookmarkStart w:id="2056" w:name="_Toc239510308"/>
      <w:r>
        <w:rPr>
          <w:rFonts w:hint="eastAsia" w:ascii="宋体" w:hAnsi="宋体"/>
          <w:color w:val="auto"/>
          <w:szCs w:val="21"/>
          <w:highlight w:val="none"/>
        </w:rPr>
        <w:t>十七、协议条款的修订</w:t>
      </w:r>
      <w:bookmarkEnd w:id="2053"/>
      <w:bookmarkEnd w:id="2054"/>
      <w:bookmarkEnd w:id="2055"/>
      <w:bookmarkEnd w:id="2056"/>
    </w:p>
    <w:p w14:paraId="36A0619B">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在项目实施过程中，经双方友好协商，本协议的有关条款也可做出相应的修改。</w:t>
      </w:r>
    </w:p>
    <w:p w14:paraId="7575BF2B">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本工程安全管理协议，由发包人、承包人双方在施工承包合同签订后7天内共同签署，作为施工合同附件。</w:t>
      </w:r>
    </w:p>
    <w:p w14:paraId="78F7E05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  包  人（</w:t>
      </w:r>
      <w:r>
        <w:rPr>
          <w:rFonts w:hint="eastAsia" w:ascii="宋体" w:hAnsi="宋体"/>
          <w:color w:val="auto"/>
          <w:szCs w:val="21"/>
          <w:highlight w:val="none"/>
          <w:lang w:val="en-US" w:eastAsia="zh-CN"/>
        </w:rPr>
        <w:t>单位</w:t>
      </w:r>
      <w:r>
        <w:rPr>
          <w:rFonts w:hint="eastAsia" w:ascii="宋体" w:hAnsi="宋体"/>
          <w:color w:val="auto"/>
          <w:szCs w:val="21"/>
          <w:highlight w:val="none"/>
        </w:rPr>
        <w:t>公章）：</w:t>
      </w:r>
      <w:r>
        <w:rPr>
          <w:rFonts w:hint="eastAsia" w:ascii="宋体" w:hAnsi="宋体" w:cs="宋体"/>
          <w:color w:val="auto"/>
          <w:szCs w:val="21"/>
          <w:highlight w:val="none"/>
          <w:u w:val="single"/>
        </w:rPr>
        <w:t xml:space="preserve">                   </w:t>
      </w:r>
    </w:p>
    <w:p w14:paraId="2909B87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64F4B26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或其委托代理人（签名）：</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717BF793">
      <w:pPr>
        <w:spacing w:line="360" w:lineRule="auto"/>
        <w:ind w:firstLine="420" w:firstLineChars="200"/>
        <w:jc w:val="left"/>
        <w:rPr>
          <w:rFonts w:ascii="宋体" w:hAnsi="宋体"/>
          <w:color w:val="auto"/>
          <w:szCs w:val="21"/>
          <w:highlight w:val="none"/>
        </w:rPr>
      </w:pPr>
    </w:p>
    <w:p w14:paraId="1C78E6D0">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承  包  人（</w:t>
      </w:r>
      <w:r>
        <w:rPr>
          <w:rFonts w:hint="eastAsia" w:ascii="宋体" w:hAnsi="宋体"/>
          <w:color w:val="auto"/>
          <w:szCs w:val="21"/>
          <w:highlight w:val="none"/>
          <w:lang w:val="en-US" w:eastAsia="zh-CN"/>
        </w:rPr>
        <w:t>单位</w:t>
      </w:r>
      <w:r>
        <w:rPr>
          <w:rFonts w:hint="eastAsia" w:ascii="宋体" w:hAnsi="宋体"/>
          <w:color w:val="auto"/>
          <w:szCs w:val="21"/>
          <w:highlight w:val="none"/>
        </w:rPr>
        <w:t>公章）：</w:t>
      </w:r>
      <w:r>
        <w:rPr>
          <w:rFonts w:hint="eastAsia" w:ascii="宋体" w:hAnsi="宋体" w:cs="宋体"/>
          <w:color w:val="auto"/>
          <w:szCs w:val="21"/>
          <w:highlight w:val="none"/>
          <w:u w:val="single"/>
        </w:rPr>
        <w:t xml:space="preserve">                   </w:t>
      </w:r>
    </w:p>
    <w:p w14:paraId="21F9B3C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s="宋体"/>
          <w:color w:val="auto"/>
          <w:szCs w:val="21"/>
          <w:highlight w:val="none"/>
          <w:u w:val="single"/>
        </w:rPr>
        <w:t xml:space="preserve">                       </w:t>
      </w:r>
    </w:p>
    <w:p w14:paraId="6D993FE7">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或其委托代理人（签名）：</w:t>
      </w:r>
      <w:r>
        <w:rPr>
          <w:rFonts w:hint="eastAsia" w:ascii="宋体" w:hAnsi="宋体" w:cs="宋体"/>
          <w:color w:val="auto"/>
          <w:szCs w:val="21"/>
          <w:highlight w:val="none"/>
          <w:u w:val="single"/>
        </w:rPr>
        <w:t xml:space="preserve">                   </w:t>
      </w:r>
    </w:p>
    <w:p w14:paraId="2A308E73">
      <w:pPr>
        <w:snapToGrid w:val="0"/>
        <w:spacing w:line="360" w:lineRule="auto"/>
        <w:jc w:val="left"/>
        <w:rPr>
          <w:rFonts w:ascii="宋体" w:hAnsi="宋体"/>
          <w:color w:val="auto"/>
          <w:kern w:val="0"/>
          <w:szCs w:val="21"/>
          <w:highlight w:val="none"/>
        </w:rPr>
      </w:pPr>
      <w:r>
        <w:rPr>
          <w:rFonts w:hint="eastAsia" w:ascii="宋体" w:hAnsi="宋体"/>
          <w:color w:val="auto"/>
          <w:szCs w:val="21"/>
          <w:highlight w:val="none"/>
        </w:rPr>
        <w:br w:type="page"/>
      </w:r>
    </w:p>
    <w:p w14:paraId="59A62CE4">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10</w:t>
      </w:r>
      <w:r>
        <w:rPr>
          <w:rFonts w:hint="eastAsia" w:ascii="宋体" w:hAnsi="宋体"/>
          <w:color w:val="auto"/>
          <w:szCs w:val="21"/>
          <w:highlight w:val="none"/>
        </w:rPr>
        <w:t>：</w:t>
      </w:r>
    </w:p>
    <w:p w14:paraId="51E48DBF">
      <w:pPr>
        <w:spacing w:before="156" w:beforeLines="50" w:after="156" w:afterLines="50" w:line="480" w:lineRule="auto"/>
        <w:jc w:val="center"/>
        <w:rPr>
          <w:rFonts w:hint="eastAsia" w:ascii="宋体" w:hAnsi="宋体"/>
          <w:color w:val="auto"/>
          <w:szCs w:val="21"/>
          <w:highlight w:val="none"/>
        </w:rPr>
      </w:pPr>
      <w:r>
        <w:rPr>
          <w:rFonts w:hint="eastAsia" w:ascii="宋体" w:hAnsi="宋体"/>
          <w:color w:val="auto"/>
          <w:szCs w:val="21"/>
          <w:highlight w:val="none"/>
        </w:rPr>
        <w:t>保障农民工工资支付协议</w:t>
      </w:r>
    </w:p>
    <w:p w14:paraId="6D746937">
      <w:pPr>
        <w:spacing w:before="156" w:beforeLines="50" w:after="156" w:afterLines="50" w:line="480" w:lineRule="auto"/>
        <w:jc w:val="both"/>
        <w:rPr>
          <w:rFonts w:hint="eastAsia" w:ascii="宋体" w:hAnsi="宋体" w:eastAsia="宋体" w:cs="宋体"/>
          <w:color w:val="auto"/>
          <w:sz w:val="21"/>
          <w:szCs w:val="21"/>
          <w:highlight w:val="none"/>
          <w:lang w:val="en-US" w:eastAsia="zh-CN"/>
        </w:rPr>
      </w:pPr>
      <w:r>
        <w:rPr>
          <w:rFonts w:hint="eastAsia" w:ascii="宋体" w:hAnsi="宋体" w:eastAsia="方正仿宋_GBK"/>
          <w:color w:val="auto"/>
          <w:szCs w:val="21"/>
          <w:highlight w:val="none"/>
          <w:lang w:val="en-US" w:eastAsia="zh-CN"/>
        </w:rPr>
        <w:t xml:space="preserve">    </w:t>
      </w:r>
      <w:r>
        <w:rPr>
          <w:rFonts w:hint="eastAsia" w:ascii="宋体" w:hAnsi="宋体" w:eastAsia="宋体" w:cs="宋体"/>
          <w:color w:val="auto"/>
          <w:sz w:val="21"/>
          <w:szCs w:val="21"/>
          <w:highlight w:val="none"/>
          <w:lang w:val="en-US" w:eastAsia="zh-CN"/>
        </w:rPr>
        <w:t>为在</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施工合同的实施过程中确保农民工工资拖欠问题重要性，贯彻落实好《保障农民工工资支付条例》和重庆市、垫江县有关政策规定，高度重视、依法保障农民工工资支付，维护农民工的切身利益，促进社会公平正义和社会和谐稳定。本工程发包人</w:t>
      </w:r>
      <w:r>
        <w:rPr>
          <w:rFonts w:hint="eastAsia" w:ascii="宋体" w:hAnsi="宋体" w:cs="宋体"/>
          <w:color w:val="auto"/>
          <w:sz w:val="21"/>
          <w:szCs w:val="21"/>
          <w:highlight w:val="none"/>
          <w:lang w:val="en-US" w:eastAsia="zh-CN"/>
        </w:rPr>
        <w:t>重庆明月山建设开发有限公司</w:t>
      </w:r>
      <w:r>
        <w:rPr>
          <w:rFonts w:hint="eastAsia" w:ascii="宋体" w:hAnsi="宋体" w:eastAsia="宋体" w:cs="宋体"/>
          <w:color w:val="auto"/>
          <w:sz w:val="21"/>
          <w:szCs w:val="21"/>
          <w:highlight w:val="none"/>
          <w:lang w:val="en-US" w:eastAsia="zh-CN"/>
        </w:rPr>
        <w:t>（发包人名称，以下简称“发包人”）与承包人   （承包人名称，以下简称“承包人”）特此签订保障农民工工资支付协议。</w:t>
      </w:r>
    </w:p>
    <w:p w14:paraId="0F85A422">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一、发包人职责</w:t>
      </w:r>
    </w:p>
    <w:p w14:paraId="339BF703">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（一）建设单位职能职责 </w:t>
      </w:r>
    </w:p>
    <w:p w14:paraId="0AEA524A">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1.工程项目资金安排要落实到位；</w:t>
      </w:r>
    </w:p>
    <w:p w14:paraId="0A696EA6">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2.施工合同中，要依法约定人工费用支付条款，做到按月、足额拨付至施工总承包单位农民工工资专户；</w:t>
      </w:r>
    </w:p>
    <w:p w14:paraId="7B1E0688">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3.项目单位建立农民工工资协调机制和工资拖欠预防机制，发生农民工集体讨薪事件的，建设单位督促施工总承包单位及时处理，并向县人社部门、行业主管部门报告；</w:t>
      </w:r>
    </w:p>
    <w:p w14:paraId="7AAE7089">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4加强对施工总承包单位按时足额支付农民工工资的监督，督促施工总承包单位加强劳动用工管理，妥善处理因农民工工资支付产生的矛盾纠纷。</w:t>
      </w:r>
    </w:p>
    <w:p w14:paraId="3A799E37">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（二）建设单位必须按月、足额支付农民工工资 </w:t>
      </w:r>
    </w:p>
    <w:p w14:paraId="2663F1B8">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1.总承包单位根据施工合同约定，按月申报农民工工资资料，建设单位每月足额向施工总承包单位开设的农民工工资专用账户拨付农民工工资。</w:t>
      </w:r>
    </w:p>
    <w:p w14:paraId="18DB23A8">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每月5号前，施工总承包单位必须按照以上要求据实申报农民工工资，业主项目部、造价部予以审核。原则上不采用按实际完成产值一定比例套算的模式（以实际产生的农民工工资为准），以确保真正在工地上做工的农民工能够领到工资。 </w:t>
      </w:r>
    </w:p>
    <w:p w14:paraId="330E68CB">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3.每月15号前，建设单位根据施工总承包单位提供的申报资料完成资金支付审签流程，以确保能够及时支付到施工总承包单位的农民工工资专户上，施工总承包单位有足够的时间办理发放工作。</w:t>
      </w:r>
    </w:p>
    <w:p w14:paraId="0E8B981C">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4.建设单位根据施工总承包当月完成产值支付农民工工资，若人工费数大于当月已完工产值的 30%时，按当月已完工产值的30%拨付；若人工费数额小于当月已完工产值30%时，按实际人工费数额拨付。</w:t>
      </w:r>
    </w:p>
    <w:p w14:paraId="36824944">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二、承包人职责 </w:t>
      </w:r>
    </w:p>
    <w:p w14:paraId="1BC3A3C1">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（一）施工总承包单位按规定存储农民工工资保证金</w:t>
      </w:r>
    </w:p>
    <w:p w14:paraId="0617F52E">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施工总承包单位每月申报的农民工工资资料中，应当包括：农民工工资支付监控预警平台考勤数据或者《进出场考勤表》、经农民工本人签字确认并公示的《农民工工资支付表》、总包单位与分包单位签订的《委托支付协议》或《农民工工资代发委托书》、上月的《农民工工资银行支付凭证》以及在本工地公示公告的照片等资料。 </w:t>
      </w:r>
    </w:p>
    <w:p w14:paraId="2438A8A4">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（2）施工总承包单位必须按月如实申报，不得伪造出勤信息、提供虚假身份信息套取农民工工资，不得高估冒算农民工工资。 </w:t>
      </w:r>
    </w:p>
    <w:p w14:paraId="60D1D1DD">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（3）施工总承包单位必须按照规定使用农民工工资支付监控预警平台。</w:t>
      </w:r>
    </w:p>
    <w:p w14:paraId="324A3FEE">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（4）根据《垫江县工程建设领域农民工工资保证金管理实施案》（垫江人社发〔2022〕71号）规定，及时办理农民工工资保证金存储。 </w:t>
      </w:r>
    </w:p>
    <w:p w14:paraId="63DF7899">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施工总承包单位在收到中标通知书之日起20天内，必须按规定存储农民工工资保证金或申请开立银行保函。工资保证金实行专款专用，除用于清偿或先行清偿施工总承包企业所承包工程拖欠农民工工资外，不得用于其他用途。 </w:t>
      </w:r>
    </w:p>
    <w:p w14:paraId="5A6E177B">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（6）施工总承包企业与银行签订《农民工工资保证金存款协议书》之后，必须在3个工作日内报送县人社部门备案（须提供施工合同、营业执照副本等资料）。 </w:t>
      </w:r>
    </w:p>
    <w:p w14:paraId="17FFC9D5">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（7）建设单位项目管理人员收集施工总承包单位存储农民工工资保证金的相关资料，并与文件精神进行比对，核实是否符合政策规定。</w:t>
      </w:r>
    </w:p>
    <w:p w14:paraId="08CD34A3">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（二）施工总承包单位使用农民工工资支付监控预警平台。</w:t>
      </w:r>
    </w:p>
    <w:p w14:paraId="71CEFE4A">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根据重庆市、垫江县关于农民工工资支付监控预警平台建设使用管理的要求，要求施工总承包单位购买农民工工资支付监控预警平台设备，并接入使用。要依法将农民工工资专用账户信息、劳动合同签订情况、实名制管理信息、考勤表情况、工资支付表信息、工资支付信息等实时上传预警平台。建设单位项目管理人员有权进行现场核查、后台核查。 </w:t>
      </w:r>
    </w:p>
    <w:p w14:paraId="17E6D7F8">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2.农民工《进出场考勤表》《农民工工资支付表》等信息，必须与预警平台考勤数据吻合，考勤率必须每天达到100%，建设单位项目管理人员有权进行后台核查比对。</w:t>
      </w:r>
    </w:p>
    <w:p w14:paraId="629172B4">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（三）施工总承包单位设立《维权信息告示牌》维权信息告示牌必须在本工地醒目位置设立；  </w:t>
      </w:r>
    </w:p>
    <w:p w14:paraId="2E9F422D">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（四）施工总承包单位落实“实名制”管理。 </w:t>
      </w:r>
    </w:p>
    <w:p w14:paraId="2C5386E5">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1.施工总承包单位（及分包单位）必须与所招用的农民工签订《劳动合同》，并进行用工实名登记，建立《职工花名册》等实名制管理台账。 </w:t>
      </w:r>
    </w:p>
    <w:p w14:paraId="5E7C9692">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2.施工总承包单位或分包单位订立劳动合同并进行实名登记的人员，未签订劳动合同的不得进入项目现场施工。 </w:t>
      </w:r>
    </w:p>
    <w:p w14:paraId="5F8C1033">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3.施工总承包单位必须每天对进出场的农民工实施考勤，如实填写《进出场考勤表》，实名管理。没有刷卡考勤的项目，农民工本人签字确认当天出勤情况。 </w:t>
      </w:r>
    </w:p>
    <w:p w14:paraId="5C35DB2A">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（五）施工总承包单位落实“专户制”。 </w:t>
      </w:r>
    </w:p>
    <w:p w14:paraId="5B31F11A">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农民工工资专用账户的开立、撤销、使用、管理等，必须严格按照重庆市人力资源和社会保障局等11个部门关于印发《重庆市工程建设领域农民工工资专用账户管理实施细则》的通知（渝人社发〔2022〕45号）要求执行。 </w:t>
      </w:r>
    </w:p>
    <w:p w14:paraId="13EB9F8B">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2.施工总承包单位必须在合同签订后20天内，按照规定开设农民工工资专用账户，并与建设单位、开户银行签订《资金管理三方协议》。 </w:t>
      </w:r>
    </w:p>
    <w:p w14:paraId="67D2F3AD">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3.专用账户名称为“施工总承包单位名称+工程建设项目名+农民工工资专用账户”，专用账户专门用于该项目的农民工工资支付，不得挪作他用。 </w:t>
      </w:r>
    </w:p>
    <w:p w14:paraId="1D0E47F0">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4.专用账户开立后，施工总承包单位应在20天之内报相关行业工程建设主管部门备案。 </w:t>
      </w:r>
    </w:p>
    <w:p w14:paraId="1DFAFBED">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5.工程完毕后，专用账户上结余资金的转出，必须符合相关程序。 </w:t>
      </w:r>
    </w:p>
    <w:p w14:paraId="345ACD88">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6.建设单位项目管理人员有权收集施工总承包单位开设农工工资专户的相关资料，以备查验。 </w:t>
      </w:r>
    </w:p>
    <w:p w14:paraId="0B55F69D">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（六）施工总承包单位落实“代发制”。 </w:t>
      </w:r>
    </w:p>
    <w:p w14:paraId="4B5941AE">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施工总承包单位对农民工工资支付负总责。推行分包单位农民工工资委托施工总承包单位代发制度（简称“总包代发制度”）。施工总承包单位与分包单位必须签订农民工工资《委托支付协议》或《农民工工资代发委托书》。 </w:t>
      </w:r>
    </w:p>
    <w:p w14:paraId="106394BB">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施工总承包单位（及分包单位）必须按月考核农民工工作量，结合预警平台考勤数据或书面考勤表，据实编制《农民工工资支付表》，不得伪造出勤信息、提供虚假身份信息套取农民工工资，不得高估冒算农民工工资。《农民工工资支付表》经农民工本人签字确认后，交总包单位备查。分包单位或班组每月应向施工总承包单位出具农民工工资已结清的承诺书。 </w:t>
      </w:r>
    </w:p>
    <w:p w14:paraId="5E15B179">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实行总包代发制度的，分包单位必须以实名制为基础，按月考核农民工工作量并编制《农民工工资支付表》，经农民工本人签字确认后，与农民工考勤表、当月工程进度等情况一并交施工总承包单位，并协助总承包单位做好农民工工资支付工作。施工总承包单位应对分包单位劳动用工实施监督管理，审核分包单位编制的农民工考勤表、工资支付表等工资发放资料。 </w:t>
      </w:r>
    </w:p>
    <w:p w14:paraId="0CCE79BB">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4.建设单位拨付至施工总承包单位的专户后，施工总承包单位向开户银行提供公示无异议的《农民工工资支付表》等工资发放资料，由银行打卡发放。农民工工资卡实行一人一卡、本人持卡。 </w:t>
      </w:r>
    </w:p>
    <w:p w14:paraId="1F03C31B">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5.银行代发结束后，施工总承包单位必须在本工地醒目位置张贴农民工工资已发放的公告，公告期不得少于5天，（不涉及农民工本人信息，如：XXX班组，工资总额数XX多，人数XX，数量等）并拍照打印留存。 </w:t>
      </w:r>
    </w:p>
    <w:p w14:paraId="194196F2">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6.施工总承包单位每月向建设单位申报农民工工资时，必须一并提交《进出场考勤表》、《农民工工资支付表》、《委托支付协议》或《农民工工资代发委托书》、上月的《农民工工资银 行支付凭证》以及在本工地公示公告的照片等资料。 </w:t>
      </w:r>
    </w:p>
    <w:p w14:paraId="6D2FB604">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三、违约责任</w:t>
      </w:r>
    </w:p>
    <w:p w14:paraId="1D1D9542">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1、承包人拖欠其工人或所雇人员工资或报酬，导致其工人或所雇人员向有关部门投诉、控告、检举或以聚集等方式讨要工资或报酬的违约责任根据具体情节，按10000-100000元/次扣除违约金。</w:t>
      </w:r>
    </w:p>
    <w:p w14:paraId="5AFD6A45">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2、因农民工工资支付出现问题，扣款规则为:</w:t>
      </w:r>
    </w:p>
    <w:p w14:paraId="456DA350">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（1）因施工总承包单位未按国家法律法规和政策规定落实 </w:t>
      </w:r>
    </w:p>
    <w:p w14:paraId="75D13E19">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一金三制”等要求的，根据垫治欠办发〔2021〕26号文件，属于或视为拖欠农民工工资行为的9种情形之一的，发生第一次，从工程结算款中扣除20000元作为违约处罚，发生第二次，从工程结算款中扣除40000元作为违约处罚，依次递增。 </w:t>
      </w:r>
    </w:p>
    <w:p w14:paraId="61987039">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（2）通过伪造出勤信息、提供虚假身份信息、高估冒算农民工工资等手段套取农民工工资的，经查证属实的，按照套取金额的2倍，从工程结算款中扣除作为违约处罚，依次递增。 </w:t>
      </w:r>
    </w:p>
    <w:p w14:paraId="02A0BB16">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根据《保障农民工工资支付条例》第五十二条规定：单位或者个人编造虚假事实或者采取非法手段讨要农民工工资，或者以拖欠农民工工资为名讨要工程款、机械费、租赁费、材料费、进度款等各种手段涉及信访农民工工资的，经查证属实，在县级部门信访1次，按涉及信访金额的1倍从工程结算款中扣除，依信访次数1.2.3.......以1.2.3.....的倍数递增；在市级部门信访1次，按涉及信访金额的2倍从工程结算款中扣除，依信访次数1..2..3.......以2.4.6.....倍数递增，并同时纳入企业信用评价。</w:t>
      </w:r>
    </w:p>
    <w:p w14:paraId="54AEB074">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被县级实地检查通报1次，从工程结算款中扣除20000元作为违约处罚，依信访次数1.2.3.......以1.2.3.....倍数递增；被市级实地检查通报1次，从工程结算款中扣除40000元作为违约处罚，依信访次数1.2.3.......以2.4.6.....倍数递增。 </w:t>
      </w:r>
    </w:p>
    <w:p w14:paraId="66D0D764">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（5）施工总承包单位未按月申报农民工工资的，每发生1次扣除20000元，从工程结算款中扣除作为违约处罚 。</w:t>
      </w:r>
    </w:p>
    <w:p w14:paraId="394A113D">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（6）施工总承包单位未按规定使用农民工工资支付监控预警平台，从工程结算款中扣除20000元作为违约处罚。</w:t>
      </w:r>
    </w:p>
    <w:p w14:paraId="162365F8">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第七条 本协议涉及违约处罚的合计总金额不超过合同总价的20%。</w:t>
      </w:r>
    </w:p>
    <w:p w14:paraId="5954D6EC">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第八条 本《合同》为        (工程名称)施工承包合同的附件，与工程施工承包合同具有同等法律效力，经甲乙双方法定代表人(或其授权代表)签署，加盖公章立即生效。</w:t>
      </w:r>
    </w:p>
    <w:p w14:paraId="1B4B0CF4">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第九条 本《合同》 一式陆份，甲、乙双方各执贰份，送交项目所在地的水行政主管部门和人力资源与社会劳动保障部门各一份备案。</w:t>
      </w:r>
    </w:p>
    <w:p w14:paraId="7DCD2871">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第十条 未尽事宜，双方另行协商或签订补充协议解决，补充协议及本合同附件与本合同具有同等法律效力。</w:t>
      </w:r>
    </w:p>
    <w:p w14:paraId="4F36F367">
      <w:pPr>
        <w:spacing w:line="58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eastAsia="zh-CN"/>
        </w:rPr>
        <w:t>：</w:t>
      </w:r>
    </w:p>
    <w:p w14:paraId="2E77C329">
      <w:pPr>
        <w:spacing w:line="5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1.农民工维权告示牌</w:t>
      </w:r>
    </w:p>
    <w:p w14:paraId="0D69579C">
      <w:pPr>
        <w:spacing w:line="580" w:lineRule="exact"/>
        <w:ind w:firstLine="6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2.农民工花名册</w:t>
      </w:r>
    </w:p>
    <w:p w14:paraId="56FB1A49">
      <w:pPr>
        <w:spacing w:line="580" w:lineRule="exact"/>
        <w:ind w:firstLine="6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3.农民工工资表</w:t>
      </w:r>
    </w:p>
    <w:p w14:paraId="50660BEA">
      <w:pPr>
        <w:spacing w:line="580" w:lineRule="exact"/>
        <w:ind w:firstLine="6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4.劳动用工及工资支付情况汇总表</w:t>
      </w:r>
    </w:p>
    <w:p w14:paraId="38C6D899">
      <w:pPr>
        <w:spacing w:line="594" w:lineRule="exact"/>
        <w:ind w:firstLine="6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5.承诺书</w:t>
      </w:r>
    </w:p>
    <w:p w14:paraId="13F23D67">
      <w:pPr>
        <w:spacing w:line="594" w:lineRule="exact"/>
        <w:ind w:firstLine="64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6.农民工</w:t>
      </w:r>
      <w:r>
        <w:rPr>
          <w:rFonts w:hint="eastAsia" w:ascii="宋体" w:hAnsi="宋体" w:eastAsia="宋体" w:cs="宋体"/>
          <w:color w:val="auto"/>
          <w:sz w:val="21"/>
          <w:szCs w:val="21"/>
          <w:highlight w:val="none"/>
          <w:lang w:eastAsia="zh-CN"/>
        </w:rPr>
        <w:t>打卡原始记录</w:t>
      </w:r>
    </w:p>
    <w:p w14:paraId="348BAAF4">
      <w:pPr>
        <w:spacing w:line="594" w:lineRule="exact"/>
        <w:ind w:firstLine="640"/>
        <w:jc w:val="left"/>
        <w:rPr>
          <w:rFonts w:hint="eastAsia" w:ascii="宋体" w:hAnsi="宋体" w:eastAsia="宋体" w:cs="宋体"/>
          <w:color w:val="auto"/>
          <w:sz w:val="21"/>
          <w:szCs w:val="21"/>
          <w:highlight w:val="none"/>
          <w:lang w:val="en-US" w:eastAsia="zh-CN"/>
        </w:rPr>
      </w:pPr>
    </w:p>
    <w:p w14:paraId="6A92ED84">
      <w:pPr>
        <w:spacing w:line="594" w:lineRule="exact"/>
        <w:ind w:firstLine="640"/>
        <w:jc w:val="left"/>
        <w:rPr>
          <w:rFonts w:hint="eastAsia" w:ascii="宋体" w:hAnsi="宋体" w:eastAsia="宋体" w:cs="宋体"/>
          <w:color w:val="auto"/>
          <w:sz w:val="21"/>
          <w:szCs w:val="21"/>
          <w:highlight w:val="none"/>
          <w:lang w:val="en-US" w:eastAsia="zh-CN"/>
        </w:rPr>
      </w:pPr>
    </w:p>
    <w:p w14:paraId="56E48F0D">
      <w:pPr>
        <w:spacing w:line="594" w:lineRule="exact"/>
        <w:ind w:firstLine="64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（以下无正文）</w:t>
      </w:r>
    </w:p>
    <w:p w14:paraId="27020698">
      <w:pPr>
        <w:spacing w:line="594" w:lineRule="exact"/>
        <w:rPr>
          <w:rFonts w:hint="eastAsia" w:ascii="宋体" w:hAnsi="宋体" w:eastAsia="宋体" w:cs="宋体"/>
          <w:color w:val="auto"/>
          <w:sz w:val="21"/>
          <w:szCs w:val="21"/>
          <w:highlight w:val="none"/>
          <w:lang w:val="en-US" w:eastAsia="zh-CN"/>
        </w:rPr>
      </w:pPr>
    </w:p>
    <w:p w14:paraId="2DD0F561">
      <w:pPr>
        <w:spacing w:line="594" w:lineRule="exact"/>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发包人（公章）：                  承包人（公章）：      </w:t>
      </w:r>
    </w:p>
    <w:p w14:paraId="6AB75A76">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5D256920">
      <w:pPr>
        <w:spacing w:line="594" w:lineRule="exact"/>
        <w:rPr>
          <w:rFonts w:hint="eastAsia" w:ascii="宋体" w:hAnsi="宋体" w:eastAsia="宋体" w:cs="宋体"/>
          <w:color w:val="auto"/>
          <w:sz w:val="21"/>
          <w:szCs w:val="21"/>
          <w:highlight w:val="none"/>
          <w:lang w:val="en-US" w:eastAsia="zh-CN"/>
        </w:rPr>
      </w:pPr>
    </w:p>
    <w:p w14:paraId="71F6A338">
      <w:pPr>
        <w:spacing w:line="594" w:lineRule="exact"/>
        <w:ind w:firstLine="640"/>
        <w:rPr>
          <w:rFonts w:hint="eastAsia" w:ascii="宋体" w:hAnsi="宋体" w:eastAsia="宋体" w:cs="宋体"/>
          <w:color w:val="auto"/>
          <w:sz w:val="21"/>
          <w:szCs w:val="21"/>
          <w:highlight w:val="none"/>
          <w:lang w:val="en-US" w:eastAsia="zh-CN"/>
        </w:rPr>
      </w:pPr>
    </w:p>
    <w:p w14:paraId="007E5FB0">
      <w:pPr>
        <w:spacing w:line="594" w:lineRule="exact"/>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                      法定代表人：</w:t>
      </w:r>
    </w:p>
    <w:p w14:paraId="0C94E7B0">
      <w:pPr>
        <w:spacing w:line="594" w:lineRule="exact"/>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或委托代理人：                    或委托代理人： </w:t>
      </w:r>
    </w:p>
    <w:p w14:paraId="3F3A5615">
      <w:pPr>
        <w:spacing w:line="594" w:lineRule="exact"/>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经办人：                          经办人：</w:t>
      </w:r>
    </w:p>
    <w:p w14:paraId="48C2110A">
      <w:pPr>
        <w:spacing w:line="594" w:lineRule="exact"/>
        <w:ind w:firstLine="640"/>
        <w:rPr>
          <w:rFonts w:hint="eastAsia" w:ascii="宋体" w:hAnsi="宋体" w:eastAsia="宋体" w:cs="宋体"/>
          <w:color w:val="auto"/>
          <w:sz w:val="21"/>
          <w:szCs w:val="21"/>
          <w:highlight w:val="none"/>
          <w:lang w:val="en-US" w:eastAsia="zh-CN"/>
        </w:rPr>
      </w:pPr>
    </w:p>
    <w:p w14:paraId="0AE1C5A4">
      <w:pPr>
        <w:spacing w:line="594" w:lineRule="exact"/>
        <w:ind w:firstLine="640"/>
        <w:rPr>
          <w:rFonts w:hint="eastAsia" w:ascii="宋体" w:hAnsi="宋体" w:eastAsia="宋体" w:cs="宋体"/>
          <w:color w:val="auto"/>
          <w:sz w:val="21"/>
          <w:szCs w:val="21"/>
          <w:highlight w:val="none"/>
          <w:lang w:val="en-US" w:eastAsia="zh-CN"/>
        </w:rPr>
      </w:pPr>
    </w:p>
    <w:p w14:paraId="0AA09185">
      <w:pPr>
        <w:spacing w:line="594" w:lineRule="exact"/>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                       联系电话：</w:t>
      </w:r>
    </w:p>
    <w:p w14:paraId="6F7E4108">
      <w:pPr>
        <w:spacing w:line="594" w:lineRule="exact"/>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签订日期：  年  月 日            签订日期：  年  月 日</w:t>
      </w:r>
    </w:p>
    <w:p w14:paraId="76FB9F44">
      <w:pPr>
        <w:spacing w:line="594" w:lineRule="exact"/>
        <w:ind w:firstLine="640"/>
        <w:rPr>
          <w:rFonts w:hint="default" w:ascii="Times New Roman" w:hAnsi="方正仿宋_GBK" w:eastAsia="方正仿宋_GBK" w:cs="Times New Roman"/>
          <w:color w:val="auto"/>
          <w:sz w:val="32"/>
          <w:szCs w:val="32"/>
          <w:highlight w:val="none"/>
          <w:lang w:val="en-US" w:eastAsia="zh-CN"/>
        </w:rPr>
      </w:pPr>
    </w:p>
    <w:p w14:paraId="5C139137">
      <w:pPr>
        <w:spacing w:line="594" w:lineRule="exact"/>
        <w:rPr>
          <w:rFonts w:hint="eastAsia" w:ascii="宋体" w:hAnsi="宋体" w:eastAsia="宋体" w:cs="宋体"/>
          <w:color w:val="auto"/>
          <w:sz w:val="21"/>
          <w:szCs w:val="21"/>
          <w:highlight w:val="none"/>
          <w:lang w:val="en-US" w:eastAsia="zh-CN"/>
        </w:rPr>
      </w:pPr>
    </w:p>
    <w:tbl>
      <w:tblPr>
        <w:tblStyle w:val="326"/>
        <w:tblW w:w="8990" w:type="dxa"/>
        <w:tblInd w:w="3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2"/>
        <w:gridCol w:w="4488"/>
      </w:tblGrid>
      <w:tr w14:paraId="71754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9" w:hRule="atLeast"/>
        </w:trPr>
        <w:tc>
          <w:tcPr>
            <w:tcW w:w="8990" w:type="dxa"/>
            <w:gridSpan w:val="2"/>
            <w:tcBorders>
              <w:bottom w:val="nil"/>
            </w:tcBorders>
            <w:noWrap w:val="0"/>
            <w:vAlign w:val="top"/>
          </w:tcPr>
          <w:p w14:paraId="4ABBB9F8">
            <w:pPr>
              <w:keepNext w:val="0"/>
              <w:keepLines w:val="0"/>
              <w:pageBreakBefore w:val="0"/>
              <w:widowControl w:val="0"/>
              <w:kinsoku/>
              <w:wordWrap/>
              <w:overflowPunct/>
              <w:topLinePunct w:val="0"/>
              <w:autoSpaceDE/>
              <w:autoSpaceDN/>
              <w:bidi w:val="0"/>
              <w:adjustRightInd/>
              <w:snapToGrid/>
              <w:spacing w:line="454" w:lineRule="exact"/>
              <w:ind w:firstLine="641"/>
              <w:jc w:val="center"/>
              <w:textAlignment w:val="auto"/>
              <w:rPr>
                <w:rFonts w:hint="eastAsia" w:ascii="宋体" w:hAnsi="宋体" w:eastAsia="宋体" w:cs="宋体"/>
                <w:color w:val="auto"/>
                <w:sz w:val="21"/>
                <w:szCs w:val="21"/>
                <w:highlight w:val="none"/>
                <w:lang w:val="en-US" w:eastAsia="zh-CN"/>
              </w:rPr>
            </w:pPr>
          </w:p>
          <w:p w14:paraId="42D05066">
            <w:pPr>
              <w:keepNext w:val="0"/>
              <w:keepLines w:val="0"/>
              <w:pageBreakBefore w:val="0"/>
              <w:widowControl w:val="0"/>
              <w:kinsoku/>
              <w:wordWrap/>
              <w:overflowPunct/>
              <w:topLinePunct w:val="0"/>
              <w:autoSpaceDE/>
              <w:autoSpaceDN/>
              <w:bidi w:val="0"/>
              <w:adjustRightInd/>
              <w:snapToGrid/>
              <w:spacing w:line="454" w:lineRule="exact"/>
              <w:ind w:firstLine="641"/>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农民工维权告示牌</w:t>
            </w:r>
          </w:p>
          <w:p w14:paraId="366B0DB2">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p>
          <w:p w14:paraId="2CA6A565">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项目全体农民工：</w:t>
            </w:r>
          </w:p>
          <w:p w14:paraId="1F363897">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为保障你在本项目劳动期间的合法权益，帮助你依法有序维权，现将有关情况告示如下：</w:t>
            </w:r>
          </w:p>
          <w:p w14:paraId="1AB4A0AF">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◆农民工劳动保障权益主要内容：</w:t>
            </w:r>
          </w:p>
          <w:p w14:paraId="0C9CB00E">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建筑领域直接招用农民工的施工企业或劳务分包企业，必须依照《中华人民共和国劳动法》、</w:t>
            </w:r>
          </w:p>
          <w:p w14:paraId="54DDD852">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《中华人民共和国劳动合同法》的规定，与农民工签订劳动合同，并提倡签订集体合同。</w:t>
            </w:r>
          </w:p>
          <w:p w14:paraId="4E0EC79A">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建筑领域直接招用农民工的施工企业或劳务分包企业，必须按劳动合同约定或劳动保障法律</w:t>
            </w:r>
          </w:p>
          <w:p w14:paraId="6C07951F">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法规规定足额支付工资。</w:t>
            </w:r>
          </w:p>
          <w:p w14:paraId="793326A1">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◆特别提醒</w:t>
            </w:r>
          </w:p>
          <w:p w14:paraId="10DF1155">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如果用人单位拒不与你签订劳动合同、集体合同，以及未按劳动合同、集体合同约定足额支 付工资，请及时向劳工监督员或劳工管理员反映有关情况，由其协调解决；同时也可向项目所在地劳动保障监察机构投诉。</w:t>
            </w:r>
          </w:p>
          <w:p w14:paraId="3C96CCA6">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为有效维护你的权益，你应妥善保留各种有效证据，如劳动合同或协议、工作证件、工资结算单等 。</w:t>
            </w:r>
          </w:p>
        </w:tc>
      </w:tr>
      <w:tr w14:paraId="780D2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502" w:type="dxa"/>
            <w:tcBorders>
              <w:top w:val="nil"/>
              <w:right w:val="nil"/>
            </w:tcBorders>
            <w:noWrap w:val="0"/>
            <w:vAlign w:val="top"/>
          </w:tcPr>
          <w:p w14:paraId="164143B4">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施工企业劳工管理员： </w:t>
            </w:r>
          </w:p>
          <w:p w14:paraId="79A38AAC">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分包企业劳工管理员： </w:t>
            </w:r>
          </w:p>
          <w:p w14:paraId="58F2E1DD">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建设单位劳工监督员：</w:t>
            </w:r>
          </w:p>
          <w:p w14:paraId="352ABE35">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劳动保障监察机构：</w:t>
            </w:r>
          </w:p>
          <w:p w14:paraId="0D3C0109">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 址 ：</w:t>
            </w:r>
          </w:p>
          <w:p w14:paraId="0AC79B55">
            <w:pPr>
              <w:pStyle w:val="34"/>
              <w:rPr>
                <w:rFonts w:hint="eastAsia" w:ascii="宋体" w:hAnsi="宋体" w:eastAsia="宋体" w:cs="宋体"/>
                <w:color w:val="auto"/>
                <w:sz w:val="21"/>
                <w:szCs w:val="21"/>
                <w:highlight w:val="none"/>
                <w:lang w:val="en-US" w:eastAsia="zh-CN"/>
              </w:rPr>
            </w:pPr>
          </w:p>
          <w:p w14:paraId="06430960">
            <w:pPr>
              <w:pStyle w:val="35"/>
              <w:rPr>
                <w:rFonts w:hint="eastAsia" w:ascii="宋体" w:hAnsi="宋体" w:eastAsia="宋体" w:cs="宋体"/>
                <w:color w:val="auto"/>
                <w:sz w:val="21"/>
                <w:szCs w:val="21"/>
                <w:highlight w:val="none"/>
                <w:lang w:val="en-US" w:eastAsia="zh-CN"/>
              </w:rPr>
            </w:pPr>
          </w:p>
          <w:p w14:paraId="7B9DA88A">
            <w:pPr>
              <w:rPr>
                <w:rFonts w:hint="eastAsia" w:ascii="宋体" w:hAnsi="宋体" w:eastAsia="宋体" w:cs="宋体"/>
                <w:color w:val="auto"/>
                <w:sz w:val="21"/>
                <w:szCs w:val="21"/>
                <w:highlight w:val="none"/>
                <w:lang w:val="en-US" w:eastAsia="zh-CN"/>
              </w:rPr>
            </w:pPr>
          </w:p>
        </w:tc>
        <w:tc>
          <w:tcPr>
            <w:tcW w:w="4488" w:type="dxa"/>
            <w:tcBorders>
              <w:top w:val="nil"/>
              <w:left w:val="nil"/>
            </w:tcBorders>
            <w:noWrap w:val="0"/>
            <w:vAlign w:val="top"/>
          </w:tcPr>
          <w:p w14:paraId="63EB4EBC">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w:t>
            </w:r>
          </w:p>
          <w:p w14:paraId="1AFFDDED">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w:t>
            </w:r>
          </w:p>
          <w:p w14:paraId="13412CA1">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w:t>
            </w:r>
          </w:p>
          <w:p w14:paraId="3B44EC89">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w:t>
            </w:r>
          </w:p>
        </w:tc>
      </w:tr>
    </w:tbl>
    <w:p w14:paraId="398FF22D">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Times New Roman" w:hAnsi="方正仿宋_GBK" w:eastAsia="方正仿宋_GBK" w:cs="Times New Roman"/>
          <w:color w:val="auto"/>
          <w:sz w:val="32"/>
          <w:szCs w:val="32"/>
          <w:highlight w:val="none"/>
          <w:lang w:val="en-US" w:eastAsia="zh-CN"/>
        </w:rPr>
      </w:pPr>
    </w:p>
    <w:p w14:paraId="3446FA29">
      <w:pPr>
        <w:spacing w:line="594" w:lineRule="exact"/>
        <w:ind w:firstLine="640"/>
        <w:rPr>
          <w:rFonts w:hint="eastAsia" w:ascii="Times New Roman" w:hAnsi="方正仿宋_GBK" w:eastAsia="方正仿宋_GBK" w:cs="Times New Roman"/>
          <w:color w:val="auto"/>
          <w:sz w:val="32"/>
          <w:szCs w:val="32"/>
          <w:highlight w:val="none"/>
          <w:lang w:val="en-US" w:eastAsia="zh-CN"/>
        </w:rPr>
        <w:sectPr>
          <w:footerReference r:id="rId8" w:type="default"/>
          <w:pgSz w:w="12340" w:h="17130"/>
          <w:pgMar w:top="1457" w:right="1134" w:bottom="1468" w:left="1417" w:header="0" w:footer="1329" w:gutter="0"/>
          <w:pgNumType w:fmt="decimal"/>
          <w:cols w:space="720" w:num="1"/>
        </w:sectPr>
      </w:pPr>
    </w:p>
    <w:p w14:paraId="1A53991D">
      <w:pPr>
        <w:spacing w:line="594" w:lineRule="exact"/>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农民工花名册</w:t>
      </w:r>
    </w:p>
    <w:p w14:paraId="7B9E79A1">
      <w:pPr>
        <w:spacing w:line="594"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农民工花名册</w:t>
      </w:r>
    </w:p>
    <w:p w14:paraId="07BEDEEC">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项目名称：                                                     用工单位名称(盖章):</w:t>
      </w:r>
    </w:p>
    <w:tbl>
      <w:tblPr>
        <w:tblStyle w:val="326"/>
        <w:tblW w:w="943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7"/>
        <w:gridCol w:w="626"/>
        <w:gridCol w:w="621"/>
        <w:gridCol w:w="1771"/>
        <w:gridCol w:w="762"/>
        <w:gridCol w:w="867"/>
        <w:gridCol w:w="875"/>
        <w:gridCol w:w="865"/>
        <w:gridCol w:w="865"/>
        <w:gridCol w:w="865"/>
        <w:gridCol w:w="870"/>
      </w:tblGrid>
      <w:tr w14:paraId="3AC6D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47" w:type="dxa"/>
            <w:noWrap w:val="0"/>
            <w:vAlign w:val="top"/>
          </w:tcPr>
          <w:p w14:paraId="532667C5">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626" w:type="dxa"/>
            <w:noWrap w:val="0"/>
            <w:vAlign w:val="top"/>
          </w:tcPr>
          <w:p w14:paraId="1D8FDBCC">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姓  名</w:t>
            </w:r>
          </w:p>
        </w:tc>
        <w:tc>
          <w:tcPr>
            <w:tcW w:w="621" w:type="dxa"/>
            <w:noWrap w:val="0"/>
            <w:textDirection w:val="tbRlV"/>
            <w:vAlign w:val="top"/>
          </w:tcPr>
          <w:p w14:paraId="5C2C069E">
            <w:pPr>
              <w:spacing w:line="594" w:lineRule="exact"/>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性 别</w:t>
            </w:r>
          </w:p>
        </w:tc>
        <w:tc>
          <w:tcPr>
            <w:tcW w:w="1771" w:type="dxa"/>
            <w:noWrap w:val="0"/>
            <w:vAlign w:val="top"/>
          </w:tcPr>
          <w:p w14:paraId="1FAAE8D8">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身份证号</w:t>
            </w:r>
          </w:p>
        </w:tc>
        <w:tc>
          <w:tcPr>
            <w:tcW w:w="762" w:type="dxa"/>
            <w:noWrap w:val="0"/>
            <w:vAlign w:val="top"/>
          </w:tcPr>
          <w:p w14:paraId="51559473">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w:t>
            </w:r>
          </w:p>
          <w:p w14:paraId="7220A867">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方式</w:t>
            </w:r>
          </w:p>
        </w:tc>
        <w:tc>
          <w:tcPr>
            <w:tcW w:w="867" w:type="dxa"/>
            <w:noWrap w:val="0"/>
            <w:vAlign w:val="top"/>
          </w:tcPr>
          <w:p w14:paraId="1333ACDB">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工种</w:t>
            </w:r>
          </w:p>
        </w:tc>
        <w:tc>
          <w:tcPr>
            <w:tcW w:w="875" w:type="dxa"/>
            <w:noWrap w:val="0"/>
            <w:vAlign w:val="top"/>
          </w:tcPr>
          <w:p w14:paraId="0E970A12">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w:t>
            </w:r>
          </w:p>
          <w:p w14:paraId="58A0FC73">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岗位</w:t>
            </w:r>
          </w:p>
        </w:tc>
        <w:tc>
          <w:tcPr>
            <w:tcW w:w="865" w:type="dxa"/>
            <w:noWrap w:val="0"/>
            <w:vAlign w:val="top"/>
          </w:tcPr>
          <w:p w14:paraId="67DA467E">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进场</w:t>
            </w:r>
          </w:p>
          <w:p w14:paraId="3C29CD6D">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时间</w:t>
            </w:r>
          </w:p>
        </w:tc>
        <w:tc>
          <w:tcPr>
            <w:tcW w:w="865" w:type="dxa"/>
            <w:noWrap w:val="0"/>
            <w:vAlign w:val="top"/>
          </w:tcPr>
          <w:p w14:paraId="3E0E60B4">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劳动者签 名</w:t>
            </w:r>
          </w:p>
        </w:tc>
        <w:tc>
          <w:tcPr>
            <w:tcW w:w="865" w:type="dxa"/>
            <w:noWrap w:val="0"/>
            <w:vAlign w:val="top"/>
          </w:tcPr>
          <w:p w14:paraId="1090685B">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离场</w:t>
            </w:r>
          </w:p>
          <w:p w14:paraId="088E8525">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时间</w:t>
            </w:r>
          </w:p>
        </w:tc>
        <w:tc>
          <w:tcPr>
            <w:tcW w:w="870" w:type="dxa"/>
            <w:noWrap w:val="0"/>
            <w:vAlign w:val="top"/>
          </w:tcPr>
          <w:p w14:paraId="2B9BD247">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劳动者签 名</w:t>
            </w:r>
          </w:p>
        </w:tc>
      </w:tr>
      <w:tr w14:paraId="3B65A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47" w:type="dxa"/>
            <w:noWrap w:val="0"/>
            <w:vAlign w:val="top"/>
          </w:tcPr>
          <w:p w14:paraId="5150B153">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14:paraId="09C0FD94">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14:paraId="76B0D85F">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14:paraId="0B3EDA85">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14:paraId="725CF0A2">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14:paraId="26668416">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14:paraId="60D67476">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00F3039C">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04ADE785">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60FC9962">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14:paraId="71155BC6">
            <w:pPr>
              <w:spacing w:line="594" w:lineRule="exact"/>
              <w:ind w:firstLine="640"/>
              <w:rPr>
                <w:rFonts w:hint="eastAsia" w:ascii="宋体" w:hAnsi="宋体" w:eastAsia="宋体" w:cs="宋体"/>
                <w:color w:val="auto"/>
                <w:sz w:val="21"/>
                <w:szCs w:val="21"/>
                <w:highlight w:val="none"/>
                <w:lang w:val="en-US" w:eastAsia="zh-CN"/>
              </w:rPr>
            </w:pPr>
          </w:p>
        </w:tc>
      </w:tr>
      <w:tr w14:paraId="1BCE5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447" w:type="dxa"/>
            <w:noWrap w:val="0"/>
            <w:vAlign w:val="top"/>
          </w:tcPr>
          <w:p w14:paraId="4F0998C1">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14:paraId="2690A86D">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14:paraId="720530C6">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14:paraId="11AB95D7">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14:paraId="38E6594C">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14:paraId="78F9915B">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14:paraId="7B7874F6">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11A93DB1">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2956B91E">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5F4C9B28">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14:paraId="45EB7427">
            <w:pPr>
              <w:spacing w:line="594" w:lineRule="exact"/>
              <w:ind w:firstLine="640"/>
              <w:rPr>
                <w:rFonts w:hint="eastAsia" w:ascii="宋体" w:hAnsi="宋体" w:eastAsia="宋体" w:cs="宋体"/>
                <w:color w:val="auto"/>
                <w:sz w:val="21"/>
                <w:szCs w:val="21"/>
                <w:highlight w:val="none"/>
                <w:lang w:val="en-US" w:eastAsia="zh-CN"/>
              </w:rPr>
            </w:pPr>
          </w:p>
        </w:tc>
      </w:tr>
      <w:tr w14:paraId="257A0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47" w:type="dxa"/>
            <w:noWrap w:val="0"/>
            <w:vAlign w:val="top"/>
          </w:tcPr>
          <w:p w14:paraId="50609599">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14:paraId="51BBCE01">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14:paraId="27D3B7DF">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14:paraId="32EDBFF3">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14:paraId="1C086A22">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14:paraId="145B7863">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14:paraId="5647B663">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7F528C18">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2F4A411C">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4F80DEA6">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14:paraId="395CAD4A">
            <w:pPr>
              <w:spacing w:line="594" w:lineRule="exact"/>
              <w:ind w:firstLine="640"/>
              <w:rPr>
                <w:rFonts w:hint="eastAsia" w:ascii="宋体" w:hAnsi="宋体" w:eastAsia="宋体" w:cs="宋体"/>
                <w:color w:val="auto"/>
                <w:sz w:val="21"/>
                <w:szCs w:val="21"/>
                <w:highlight w:val="none"/>
                <w:lang w:val="en-US" w:eastAsia="zh-CN"/>
              </w:rPr>
            </w:pPr>
          </w:p>
        </w:tc>
      </w:tr>
      <w:tr w14:paraId="16D41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47" w:type="dxa"/>
            <w:noWrap w:val="0"/>
            <w:vAlign w:val="top"/>
          </w:tcPr>
          <w:p w14:paraId="10CED930">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14:paraId="2A47459D">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14:paraId="51C9F1D8">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14:paraId="50D5F0A2">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14:paraId="42DB4EBF">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14:paraId="21525F5A">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14:paraId="106E0328">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7A59ABBD">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4454CA70">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666A5D24">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14:paraId="6D085A5A">
            <w:pPr>
              <w:spacing w:line="594" w:lineRule="exact"/>
              <w:ind w:firstLine="640"/>
              <w:rPr>
                <w:rFonts w:hint="eastAsia" w:ascii="宋体" w:hAnsi="宋体" w:eastAsia="宋体" w:cs="宋体"/>
                <w:color w:val="auto"/>
                <w:sz w:val="21"/>
                <w:szCs w:val="21"/>
                <w:highlight w:val="none"/>
                <w:lang w:val="en-US" w:eastAsia="zh-CN"/>
              </w:rPr>
            </w:pPr>
          </w:p>
        </w:tc>
      </w:tr>
      <w:tr w14:paraId="79AC6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47" w:type="dxa"/>
            <w:noWrap w:val="0"/>
            <w:vAlign w:val="top"/>
          </w:tcPr>
          <w:p w14:paraId="039ACC04">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14:paraId="56B95728">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14:paraId="783B6DD2">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14:paraId="4796E564">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14:paraId="1913764C">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14:paraId="43407003">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14:paraId="00304E5D">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792AAC08">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1A516A5F">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57CA0AD4">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14:paraId="25D7C260">
            <w:pPr>
              <w:spacing w:line="594" w:lineRule="exact"/>
              <w:ind w:firstLine="640"/>
              <w:rPr>
                <w:rFonts w:hint="eastAsia" w:ascii="宋体" w:hAnsi="宋体" w:eastAsia="宋体" w:cs="宋体"/>
                <w:color w:val="auto"/>
                <w:sz w:val="21"/>
                <w:szCs w:val="21"/>
                <w:highlight w:val="none"/>
                <w:lang w:val="en-US" w:eastAsia="zh-CN"/>
              </w:rPr>
            </w:pPr>
          </w:p>
        </w:tc>
      </w:tr>
      <w:tr w14:paraId="16108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447" w:type="dxa"/>
            <w:noWrap w:val="0"/>
            <w:vAlign w:val="top"/>
          </w:tcPr>
          <w:p w14:paraId="7B7350ED">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14:paraId="07D5B90C">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14:paraId="51AF3C82">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14:paraId="6699E4F2">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14:paraId="689C3B48">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14:paraId="1BCB6250">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14:paraId="71475E7F">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1949EAE3">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5890290C">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5E5302BC">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14:paraId="01880150">
            <w:pPr>
              <w:spacing w:line="594" w:lineRule="exact"/>
              <w:ind w:firstLine="640"/>
              <w:rPr>
                <w:rFonts w:hint="eastAsia" w:ascii="宋体" w:hAnsi="宋体" w:eastAsia="宋体" w:cs="宋体"/>
                <w:color w:val="auto"/>
                <w:sz w:val="21"/>
                <w:szCs w:val="21"/>
                <w:highlight w:val="none"/>
                <w:lang w:val="en-US" w:eastAsia="zh-CN"/>
              </w:rPr>
            </w:pPr>
          </w:p>
        </w:tc>
      </w:tr>
      <w:tr w14:paraId="50895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47" w:type="dxa"/>
            <w:noWrap w:val="0"/>
            <w:vAlign w:val="top"/>
          </w:tcPr>
          <w:p w14:paraId="6BB69B48">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14:paraId="3F4545F0">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14:paraId="55C5FADF">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14:paraId="4355E0AD">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14:paraId="692BF633">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14:paraId="0A9BC775">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14:paraId="7021A1D0">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7933F036">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5BBE9A69">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4CF81370">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14:paraId="0492891F">
            <w:pPr>
              <w:spacing w:line="594" w:lineRule="exact"/>
              <w:ind w:firstLine="640"/>
              <w:rPr>
                <w:rFonts w:hint="eastAsia" w:ascii="宋体" w:hAnsi="宋体" w:eastAsia="宋体" w:cs="宋体"/>
                <w:color w:val="auto"/>
                <w:sz w:val="21"/>
                <w:szCs w:val="21"/>
                <w:highlight w:val="none"/>
                <w:lang w:val="en-US" w:eastAsia="zh-CN"/>
              </w:rPr>
            </w:pPr>
          </w:p>
        </w:tc>
      </w:tr>
      <w:tr w14:paraId="38F3F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447" w:type="dxa"/>
            <w:noWrap w:val="0"/>
            <w:vAlign w:val="top"/>
          </w:tcPr>
          <w:p w14:paraId="3B74DD3C">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14:paraId="27A98BD8">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14:paraId="1CB21532">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14:paraId="47E7C343">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14:paraId="67B2571E">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14:paraId="72C9E318">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14:paraId="54574B23">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42D57B13">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52E09F96">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6BDA299F">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14:paraId="02E050C1">
            <w:pPr>
              <w:spacing w:line="594" w:lineRule="exact"/>
              <w:ind w:firstLine="640"/>
              <w:rPr>
                <w:rFonts w:hint="eastAsia" w:ascii="宋体" w:hAnsi="宋体" w:eastAsia="宋体" w:cs="宋体"/>
                <w:color w:val="auto"/>
                <w:sz w:val="21"/>
                <w:szCs w:val="21"/>
                <w:highlight w:val="none"/>
                <w:lang w:val="en-US" w:eastAsia="zh-CN"/>
              </w:rPr>
            </w:pPr>
          </w:p>
        </w:tc>
      </w:tr>
      <w:tr w14:paraId="7C332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447" w:type="dxa"/>
            <w:noWrap w:val="0"/>
            <w:vAlign w:val="top"/>
          </w:tcPr>
          <w:p w14:paraId="4BEF738E">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14:paraId="755CE394">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14:paraId="47FF01E9">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14:paraId="5D5FCA50">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14:paraId="308DA5EC">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14:paraId="1B1E6235">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14:paraId="00AEB693">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4F63501B">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2418CCE1">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6CE114BA">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14:paraId="0B7F6BE3">
            <w:pPr>
              <w:spacing w:line="594" w:lineRule="exact"/>
              <w:ind w:firstLine="640"/>
              <w:rPr>
                <w:rFonts w:hint="eastAsia" w:ascii="宋体" w:hAnsi="宋体" w:eastAsia="宋体" w:cs="宋体"/>
                <w:color w:val="auto"/>
                <w:sz w:val="21"/>
                <w:szCs w:val="21"/>
                <w:highlight w:val="none"/>
                <w:lang w:val="en-US" w:eastAsia="zh-CN"/>
              </w:rPr>
            </w:pPr>
          </w:p>
        </w:tc>
      </w:tr>
      <w:tr w14:paraId="58AA4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47" w:type="dxa"/>
            <w:noWrap w:val="0"/>
            <w:vAlign w:val="top"/>
          </w:tcPr>
          <w:p w14:paraId="59768B30">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14:paraId="1C4420A0">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14:paraId="6B3295FE">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14:paraId="5A66E8E5">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14:paraId="4369467F">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14:paraId="15710987">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14:paraId="33A3CADB">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182F8D70">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13F309A2">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45F8DE24">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14:paraId="27350B89">
            <w:pPr>
              <w:spacing w:line="594" w:lineRule="exact"/>
              <w:ind w:firstLine="640"/>
              <w:rPr>
                <w:rFonts w:hint="eastAsia" w:ascii="宋体" w:hAnsi="宋体" w:eastAsia="宋体" w:cs="宋体"/>
                <w:color w:val="auto"/>
                <w:sz w:val="21"/>
                <w:szCs w:val="21"/>
                <w:highlight w:val="none"/>
                <w:lang w:val="en-US" w:eastAsia="zh-CN"/>
              </w:rPr>
            </w:pPr>
          </w:p>
        </w:tc>
      </w:tr>
      <w:tr w14:paraId="5B3FD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47" w:type="dxa"/>
            <w:noWrap w:val="0"/>
            <w:vAlign w:val="top"/>
          </w:tcPr>
          <w:p w14:paraId="4F579792">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14:paraId="6431A6A1">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14:paraId="163C57FB">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14:paraId="12E59FC7">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14:paraId="096642E9">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14:paraId="226FD5AF">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14:paraId="1F2CAAD9">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3001CE84">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279BFE1B">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130EDE69">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14:paraId="5D08E1AA">
            <w:pPr>
              <w:spacing w:line="594" w:lineRule="exact"/>
              <w:ind w:firstLine="640"/>
              <w:rPr>
                <w:rFonts w:hint="eastAsia" w:ascii="宋体" w:hAnsi="宋体" w:eastAsia="宋体" w:cs="宋体"/>
                <w:color w:val="auto"/>
                <w:sz w:val="21"/>
                <w:szCs w:val="21"/>
                <w:highlight w:val="none"/>
                <w:lang w:val="en-US" w:eastAsia="zh-CN"/>
              </w:rPr>
            </w:pPr>
          </w:p>
        </w:tc>
      </w:tr>
      <w:tr w14:paraId="61EE4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47" w:type="dxa"/>
            <w:noWrap w:val="0"/>
            <w:vAlign w:val="top"/>
          </w:tcPr>
          <w:p w14:paraId="3D798975">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14:paraId="44BDFC3B">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14:paraId="7F2D3AF7">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14:paraId="5775F0BE">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14:paraId="78C46BEF">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14:paraId="1A5578D7">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14:paraId="53E2BC53">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2EC4FB6E">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54A1A895">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14:paraId="7189CBFF">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14:paraId="1A69A34C">
            <w:pPr>
              <w:spacing w:line="594" w:lineRule="exact"/>
              <w:ind w:firstLine="640"/>
              <w:rPr>
                <w:rFonts w:hint="eastAsia" w:ascii="宋体" w:hAnsi="宋体" w:eastAsia="宋体" w:cs="宋体"/>
                <w:color w:val="auto"/>
                <w:sz w:val="21"/>
                <w:szCs w:val="21"/>
                <w:highlight w:val="none"/>
                <w:lang w:val="en-US" w:eastAsia="zh-CN"/>
              </w:rPr>
            </w:pPr>
          </w:p>
        </w:tc>
      </w:tr>
    </w:tbl>
    <w:p w14:paraId="5815B1B7">
      <w:pPr>
        <w:spacing w:line="594" w:lineRule="exact"/>
        <w:rPr>
          <w:rFonts w:hint="default" w:ascii="Times New Roman" w:hAnsi="方正仿宋_GBK" w:eastAsia="方正仿宋_GBK" w:cs="Times New Roman"/>
          <w:color w:val="auto"/>
          <w:sz w:val="32"/>
          <w:szCs w:val="32"/>
          <w:highlight w:val="none"/>
          <w:lang w:val="en-US" w:eastAsia="zh-CN"/>
        </w:rPr>
        <w:sectPr>
          <w:footerReference r:id="rId9" w:type="default"/>
          <w:pgSz w:w="12200" w:h="17030"/>
          <w:pgMar w:top="1447" w:right="894" w:bottom="400" w:left="1830" w:header="0" w:footer="828" w:gutter="0"/>
          <w:pgNumType w:fmt="decimal"/>
          <w:cols w:space="720" w:num="1"/>
        </w:sectPr>
      </w:pPr>
    </w:p>
    <w:p w14:paraId="4D10A0A0">
      <w:pPr>
        <w:spacing w:line="594" w:lineRule="exact"/>
        <w:jc w:val="both"/>
        <w:rPr>
          <w:rFonts w:hint="eastAsia" w:ascii="方正小标宋_GBK" w:hAnsi="方正小标宋_GBK" w:eastAsia="方正小标宋_GBK" w:cs="方正小标宋_GBK"/>
          <w:color w:val="auto"/>
          <w:sz w:val="44"/>
          <w:szCs w:val="44"/>
          <w:highlight w:val="none"/>
          <w:lang w:val="en-US" w:eastAsia="zh-CN"/>
        </w:rPr>
      </w:pPr>
    </w:p>
    <w:p w14:paraId="4407AA23">
      <w:pPr>
        <w:spacing w:line="594"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劳动用工及工资支付情况汇总表</w:t>
      </w:r>
    </w:p>
    <w:p w14:paraId="3920A307">
      <w:pPr>
        <w:spacing w:line="594" w:lineRule="exact"/>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项目名称：          时 间 ：  年   季度</w:t>
      </w:r>
    </w:p>
    <w:tbl>
      <w:tblPr>
        <w:tblStyle w:val="326"/>
        <w:tblW w:w="8920" w:type="dxa"/>
        <w:tblInd w:w="3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009"/>
        <w:gridCol w:w="1019"/>
        <w:gridCol w:w="1019"/>
        <w:gridCol w:w="1009"/>
        <w:gridCol w:w="1019"/>
        <w:gridCol w:w="1009"/>
        <w:gridCol w:w="1019"/>
        <w:gridCol w:w="1023"/>
      </w:tblGrid>
      <w:tr w14:paraId="367DC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794" w:type="dxa"/>
            <w:vMerge w:val="restart"/>
            <w:tcBorders>
              <w:bottom w:val="nil"/>
              <w:tl2br w:val="single" w:color="000000" w:sz="4" w:space="0"/>
            </w:tcBorders>
            <w:noWrap w:val="0"/>
            <w:vAlign w:val="top"/>
          </w:tcPr>
          <w:p w14:paraId="17D6FF7C">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3047" w:type="dxa"/>
            <w:gridSpan w:val="3"/>
            <w:noWrap w:val="0"/>
            <w:vAlign w:val="top"/>
          </w:tcPr>
          <w:p w14:paraId="4B5296BC">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用工变动情况</w:t>
            </w:r>
          </w:p>
        </w:tc>
        <w:tc>
          <w:tcPr>
            <w:tcW w:w="4056" w:type="dxa"/>
            <w:gridSpan w:val="4"/>
            <w:noWrap w:val="0"/>
            <w:vAlign w:val="top"/>
          </w:tcPr>
          <w:p w14:paraId="7EB2868D">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工资支付情况</w:t>
            </w:r>
          </w:p>
        </w:tc>
        <w:tc>
          <w:tcPr>
            <w:tcW w:w="1023" w:type="dxa"/>
            <w:noWrap w:val="0"/>
            <w:vAlign w:val="top"/>
          </w:tcPr>
          <w:p w14:paraId="615CA8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w:t>
            </w:r>
          </w:p>
        </w:tc>
      </w:tr>
      <w:tr w14:paraId="5627B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794" w:type="dxa"/>
            <w:vMerge w:val="continue"/>
            <w:tcBorders>
              <w:top w:val="nil"/>
              <w:tl2br w:val="single" w:color="000000" w:sz="4" w:space="0"/>
            </w:tcBorders>
            <w:noWrap w:val="0"/>
            <w:vAlign w:val="top"/>
          </w:tcPr>
          <w:p w14:paraId="3E7BF141">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09" w:type="dxa"/>
            <w:noWrap w:val="0"/>
            <w:vAlign w:val="top"/>
          </w:tcPr>
          <w:p w14:paraId="08B541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当月离场人数</w:t>
            </w:r>
          </w:p>
          <w:p w14:paraId="018ADD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w:t>
            </w:r>
          </w:p>
        </w:tc>
        <w:tc>
          <w:tcPr>
            <w:tcW w:w="1019" w:type="dxa"/>
            <w:noWrap w:val="0"/>
            <w:vAlign w:val="top"/>
          </w:tcPr>
          <w:p w14:paraId="43F547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当月新增进场人数</w:t>
            </w:r>
          </w:p>
          <w:p w14:paraId="380444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w:t>
            </w:r>
          </w:p>
        </w:tc>
        <w:tc>
          <w:tcPr>
            <w:tcW w:w="1019" w:type="dxa"/>
            <w:noWrap w:val="0"/>
            <w:vAlign w:val="top"/>
          </w:tcPr>
          <w:p w14:paraId="7FE045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月末</w:t>
            </w:r>
          </w:p>
          <w:p w14:paraId="488541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农民工人数(人)</w:t>
            </w:r>
          </w:p>
        </w:tc>
        <w:tc>
          <w:tcPr>
            <w:tcW w:w="1009" w:type="dxa"/>
            <w:noWrap w:val="0"/>
            <w:vAlign w:val="top"/>
          </w:tcPr>
          <w:p w14:paraId="54A5B5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应付工资总额(元)</w:t>
            </w:r>
          </w:p>
        </w:tc>
        <w:tc>
          <w:tcPr>
            <w:tcW w:w="1019" w:type="dxa"/>
            <w:noWrap w:val="0"/>
            <w:vAlign w:val="top"/>
          </w:tcPr>
          <w:p w14:paraId="3DB489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应付工资人数(人)</w:t>
            </w:r>
          </w:p>
        </w:tc>
        <w:tc>
          <w:tcPr>
            <w:tcW w:w="1009" w:type="dxa"/>
            <w:noWrap w:val="0"/>
            <w:vAlign w:val="top"/>
          </w:tcPr>
          <w:p w14:paraId="4130D4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实付工资总额(元)</w:t>
            </w:r>
          </w:p>
        </w:tc>
        <w:tc>
          <w:tcPr>
            <w:tcW w:w="1019" w:type="dxa"/>
            <w:noWrap w:val="0"/>
            <w:vAlign w:val="top"/>
          </w:tcPr>
          <w:p w14:paraId="19E920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实付工资人数(人)</w:t>
            </w:r>
          </w:p>
        </w:tc>
        <w:tc>
          <w:tcPr>
            <w:tcW w:w="1023" w:type="dxa"/>
            <w:noWrap w:val="0"/>
            <w:vAlign w:val="top"/>
          </w:tcPr>
          <w:p w14:paraId="7019C4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签订劳动合同人数</w:t>
            </w:r>
          </w:p>
          <w:p w14:paraId="450FD8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w:t>
            </w:r>
          </w:p>
        </w:tc>
      </w:tr>
      <w:tr w14:paraId="5BE9C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794" w:type="dxa"/>
            <w:noWrap w:val="0"/>
            <w:vAlign w:val="top"/>
          </w:tcPr>
          <w:p w14:paraId="5102C1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本季</w:t>
            </w:r>
          </w:p>
          <w:p w14:paraId="27FCAA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度第</w:t>
            </w:r>
          </w:p>
          <w:p w14:paraId="650C9B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一月</w:t>
            </w:r>
          </w:p>
        </w:tc>
        <w:tc>
          <w:tcPr>
            <w:tcW w:w="1009" w:type="dxa"/>
            <w:noWrap w:val="0"/>
            <w:vAlign w:val="top"/>
          </w:tcPr>
          <w:p w14:paraId="51E486AE">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60054577">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7C66D62D">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09" w:type="dxa"/>
            <w:noWrap w:val="0"/>
            <w:vAlign w:val="top"/>
          </w:tcPr>
          <w:p w14:paraId="05FF4797">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729C1995">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09" w:type="dxa"/>
            <w:noWrap w:val="0"/>
            <w:vAlign w:val="top"/>
          </w:tcPr>
          <w:p w14:paraId="5C45B6FC">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49C933D7">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23" w:type="dxa"/>
            <w:noWrap w:val="0"/>
            <w:vAlign w:val="top"/>
          </w:tcPr>
          <w:p w14:paraId="44F9011A">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r>
      <w:tr w14:paraId="6D2D8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794" w:type="dxa"/>
            <w:noWrap w:val="0"/>
            <w:vAlign w:val="top"/>
          </w:tcPr>
          <w:p w14:paraId="4209C3C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本季</w:t>
            </w:r>
          </w:p>
          <w:p w14:paraId="3572C59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度第</w:t>
            </w:r>
          </w:p>
          <w:p w14:paraId="1DFBCD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二月</w:t>
            </w:r>
          </w:p>
        </w:tc>
        <w:tc>
          <w:tcPr>
            <w:tcW w:w="1009" w:type="dxa"/>
            <w:noWrap w:val="0"/>
            <w:vAlign w:val="top"/>
          </w:tcPr>
          <w:p w14:paraId="7EF07B48">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2A2339F5">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517D4936">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09" w:type="dxa"/>
            <w:noWrap w:val="0"/>
            <w:vAlign w:val="top"/>
          </w:tcPr>
          <w:p w14:paraId="115F2E45">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391A4344">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09" w:type="dxa"/>
            <w:noWrap w:val="0"/>
            <w:vAlign w:val="top"/>
          </w:tcPr>
          <w:p w14:paraId="55B6A480">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6BDB936A">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23" w:type="dxa"/>
            <w:noWrap w:val="0"/>
            <w:vAlign w:val="top"/>
          </w:tcPr>
          <w:p w14:paraId="7A15D560">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r>
      <w:tr w14:paraId="6B630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794" w:type="dxa"/>
            <w:noWrap w:val="0"/>
            <w:vAlign w:val="top"/>
          </w:tcPr>
          <w:p w14:paraId="40DCD99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本季</w:t>
            </w:r>
          </w:p>
          <w:p w14:paraId="1152166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度第</w:t>
            </w:r>
          </w:p>
          <w:p w14:paraId="1ADB39B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三月</w:t>
            </w:r>
          </w:p>
        </w:tc>
        <w:tc>
          <w:tcPr>
            <w:tcW w:w="1009" w:type="dxa"/>
            <w:noWrap w:val="0"/>
            <w:vAlign w:val="top"/>
          </w:tcPr>
          <w:p w14:paraId="4905639E">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743BDE3E">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44DFA46E">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09" w:type="dxa"/>
            <w:noWrap w:val="0"/>
            <w:vAlign w:val="top"/>
          </w:tcPr>
          <w:p w14:paraId="70F91346">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05805B5B">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09" w:type="dxa"/>
            <w:noWrap w:val="0"/>
            <w:vAlign w:val="top"/>
          </w:tcPr>
          <w:p w14:paraId="01E121A6">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49BABD05">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23" w:type="dxa"/>
            <w:noWrap w:val="0"/>
            <w:vAlign w:val="top"/>
          </w:tcPr>
          <w:p w14:paraId="3949A5AA">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r>
      <w:tr w14:paraId="6058E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794" w:type="dxa"/>
            <w:noWrap w:val="0"/>
            <w:vAlign w:val="top"/>
          </w:tcPr>
          <w:p w14:paraId="0BD3F64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季度</w:t>
            </w:r>
          </w:p>
          <w:p w14:paraId="633DA74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1009" w:type="dxa"/>
            <w:noWrap w:val="0"/>
            <w:vAlign w:val="top"/>
          </w:tcPr>
          <w:p w14:paraId="01838503">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61D94A78">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70FA2A4A">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09" w:type="dxa"/>
            <w:noWrap w:val="0"/>
            <w:vAlign w:val="top"/>
          </w:tcPr>
          <w:p w14:paraId="5675E6E4">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12159746">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09" w:type="dxa"/>
            <w:noWrap w:val="0"/>
            <w:vAlign w:val="top"/>
          </w:tcPr>
          <w:p w14:paraId="3C1F1F72">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14:paraId="0447C6DF">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23" w:type="dxa"/>
            <w:noWrap w:val="0"/>
            <w:vAlign w:val="top"/>
          </w:tcPr>
          <w:p w14:paraId="4F085464">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r>
    </w:tbl>
    <w:p w14:paraId="79E2B40C">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用工单位负责人：        </w:t>
      </w:r>
    </w:p>
    <w:p w14:paraId="42683B9D">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用工单位劳工管理员：      </w:t>
      </w:r>
    </w:p>
    <w:p w14:paraId="11E9A6F4">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填表时间：</w:t>
      </w:r>
    </w:p>
    <w:p w14:paraId="467C9B35">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注：此表为每季度末后5天内向项目所在地区县(自治县)劳动和社会保障行政部门报送。</w:t>
      </w:r>
    </w:p>
    <w:p w14:paraId="6973E0A3">
      <w:pPr>
        <w:spacing w:line="594" w:lineRule="exact"/>
        <w:ind w:firstLine="640"/>
        <w:rPr>
          <w:rFonts w:hint="eastAsia" w:ascii="宋体" w:hAnsi="宋体" w:eastAsia="宋体" w:cs="宋体"/>
          <w:color w:val="auto"/>
          <w:sz w:val="21"/>
          <w:szCs w:val="21"/>
          <w:highlight w:val="none"/>
          <w:lang w:val="en-US" w:eastAsia="zh-CN"/>
        </w:rPr>
        <w:sectPr>
          <w:footerReference r:id="rId10" w:type="default"/>
          <w:pgSz w:w="12190" w:h="17030"/>
          <w:pgMar w:top="1447" w:right="1095" w:bottom="1552" w:left="1828" w:header="0" w:footer="1393" w:gutter="0"/>
          <w:pgNumType w:fmt="decimal"/>
          <w:cols w:space="720" w:num="1"/>
        </w:sectPr>
      </w:pPr>
      <w:r>
        <w:rPr>
          <w:rFonts w:hint="eastAsia" w:ascii="宋体" w:hAnsi="宋体" w:eastAsia="宋体" w:cs="宋体"/>
          <w:color w:val="auto"/>
          <w:sz w:val="21"/>
          <w:szCs w:val="21"/>
          <w:highlight w:val="none"/>
          <w:lang w:val="en-US" w:eastAsia="zh-CN"/>
        </w:rPr>
        <w:t>联系人：              联系电话：        传真：</w:t>
      </w:r>
    </w:p>
    <w:p w14:paraId="60878706">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9"/>
        <w:rPr>
          <w:rFonts w:hint="default" w:ascii="Times New Roman" w:hAnsi="Times New Roman" w:eastAsia="宋体" w:cs="Times New Roman"/>
          <w:b/>
          <w:bCs/>
          <w:color w:val="auto"/>
          <w:sz w:val="28"/>
          <w:szCs w:val="28"/>
          <w:highlight w:val="none"/>
          <w:lang w:eastAsia="zh-CN"/>
        </w:rPr>
      </w:pPr>
    </w:p>
    <w:p w14:paraId="2828A165">
      <w:pPr>
        <w:pStyle w:val="3"/>
        <w:ind w:left="0" w:leftChars="0" w:firstLine="0" w:firstLineChars="0"/>
        <w:jc w:val="center"/>
        <w:rPr>
          <w:rFonts w:hint="default" w:ascii="Times New Roman" w:hAnsi="Times New Roman" w:eastAsia="宋体" w:cs="Times New Roman"/>
          <w:b/>
          <w:bCs/>
          <w:color w:val="auto"/>
          <w:sz w:val="32"/>
          <w:szCs w:val="32"/>
          <w:highlight w:val="none"/>
          <w:lang w:eastAsia="zh-CN"/>
        </w:rPr>
      </w:pPr>
      <w:bookmarkStart w:id="2057" w:name="_Toc18342"/>
      <w:r>
        <w:rPr>
          <w:rFonts w:hint="default" w:ascii="Times New Roman" w:hAnsi="Times New Roman" w:eastAsia="宋体" w:cs="Times New Roman"/>
          <w:b/>
          <w:bCs/>
          <w:color w:val="auto"/>
          <w:sz w:val="32"/>
          <w:szCs w:val="32"/>
          <w:highlight w:val="none"/>
          <w:lang w:eastAsia="zh-CN"/>
        </w:rPr>
        <w:t>承</w:t>
      </w:r>
      <w:r>
        <w:rPr>
          <w:rFonts w:hint="default" w:ascii="Times New Roman" w:hAnsi="Times New Roman" w:eastAsia="宋体" w:cs="Times New Roman"/>
          <w:b/>
          <w:bCs/>
          <w:color w:val="auto"/>
          <w:sz w:val="32"/>
          <w:szCs w:val="32"/>
          <w:highlight w:val="none"/>
          <w:lang w:val="en-US" w:eastAsia="zh-CN"/>
        </w:rPr>
        <w:t xml:space="preserve"> </w:t>
      </w:r>
      <w:r>
        <w:rPr>
          <w:rFonts w:hint="default" w:ascii="Times New Roman" w:hAnsi="Times New Roman" w:eastAsia="宋体" w:cs="Times New Roman"/>
          <w:b/>
          <w:bCs/>
          <w:color w:val="auto"/>
          <w:sz w:val="32"/>
          <w:szCs w:val="32"/>
          <w:highlight w:val="none"/>
          <w:lang w:eastAsia="zh-CN"/>
        </w:rPr>
        <w:t>诺</w:t>
      </w:r>
      <w:r>
        <w:rPr>
          <w:rFonts w:hint="default" w:ascii="Times New Roman" w:hAnsi="Times New Roman" w:eastAsia="宋体" w:cs="Times New Roman"/>
          <w:b/>
          <w:bCs/>
          <w:color w:val="auto"/>
          <w:sz w:val="32"/>
          <w:szCs w:val="32"/>
          <w:highlight w:val="none"/>
          <w:lang w:val="en-US" w:eastAsia="zh-CN"/>
        </w:rPr>
        <w:t xml:space="preserve"> </w:t>
      </w:r>
      <w:r>
        <w:rPr>
          <w:rFonts w:hint="default" w:ascii="Times New Roman" w:hAnsi="Times New Roman" w:eastAsia="宋体" w:cs="Times New Roman"/>
          <w:b/>
          <w:bCs/>
          <w:color w:val="auto"/>
          <w:sz w:val="32"/>
          <w:szCs w:val="32"/>
          <w:highlight w:val="none"/>
          <w:lang w:eastAsia="zh-CN"/>
        </w:rPr>
        <w:t>书</w:t>
      </w:r>
      <w:bookmarkEnd w:id="2057"/>
    </w:p>
    <w:p w14:paraId="08928B3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u w:val="none"/>
          <w:lang w:val="en-US" w:eastAsia="zh-CN"/>
        </w:rPr>
        <w:t>重庆明月山建设开发有限公司</w:t>
      </w:r>
      <w:r>
        <w:rPr>
          <w:rFonts w:hint="default" w:ascii="Times New Roman" w:hAnsi="Times New Roman" w:eastAsia="宋体" w:cs="Times New Roman"/>
          <w:color w:val="auto"/>
          <w:sz w:val="24"/>
          <w:szCs w:val="24"/>
          <w:highlight w:val="none"/>
          <w:u w:val="none"/>
          <w:lang w:val="en-US" w:eastAsia="zh-CN"/>
        </w:rPr>
        <w:t>：</w:t>
      </w:r>
    </w:p>
    <w:p w14:paraId="6573F68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我单位已中标</w:t>
      </w:r>
      <w:r>
        <w:rPr>
          <w:rFonts w:hint="default" w:ascii="Times New Roman" w:hAnsi="Times New Roman" w:eastAsia="宋体"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none"/>
          <w:lang w:val="en-US" w:eastAsia="zh-CN"/>
        </w:rPr>
        <w:t>，对贵单位在垫江县人民政府网上发出的该工程招标公告及相关的补遗资料、通知等全部内容予以确认，此工程项目为清单计价合同，并按其招标文件上工程量清单及图纸内容组织施工。其人员严格按照投标人员管理施工。</w:t>
      </w:r>
    </w:p>
    <w:p w14:paraId="2935A46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u w:val="none"/>
          <w:lang w:val="en-US" w:eastAsia="zh-CN"/>
        </w:rPr>
      </w:pPr>
    </w:p>
    <w:p w14:paraId="5C9FFF6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u w:val="none"/>
          <w:lang w:val="en-US" w:eastAsia="zh-CN"/>
        </w:rPr>
      </w:pPr>
    </w:p>
    <w:p w14:paraId="038EE3B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right"/>
        <w:textAlignment w:val="auto"/>
        <w:outlineLvl w:val="9"/>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施工单位：</w:t>
      </w:r>
      <w:r>
        <w:rPr>
          <w:rFonts w:hint="eastAsia"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none"/>
          <w:lang w:val="en-US" w:eastAsia="zh-CN"/>
        </w:rPr>
        <w:t>（公章）</w:t>
      </w:r>
    </w:p>
    <w:p w14:paraId="598EFFC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right"/>
        <w:textAlignment w:val="auto"/>
        <w:outlineLvl w:val="9"/>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法定代表人或委托代理人：</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none"/>
          <w:lang w:val="en-US" w:eastAsia="zh-CN"/>
        </w:rPr>
        <w:t>（签字）</w:t>
      </w:r>
    </w:p>
    <w:p w14:paraId="71B9ED98">
      <w:pPr>
        <w:rPr>
          <w:rFonts w:ascii="宋体" w:hAnsi="宋体"/>
          <w:color w:val="auto"/>
          <w:sz w:val="24"/>
          <w:highlight w:val="none"/>
        </w:rPr>
      </w:pPr>
      <w:r>
        <w:rPr>
          <w:rFonts w:ascii="宋体" w:hAnsi="宋体"/>
          <w:color w:val="auto"/>
          <w:sz w:val="24"/>
          <w:highlight w:val="none"/>
        </w:rPr>
        <w:br w:type="page"/>
      </w:r>
    </w:p>
    <w:p w14:paraId="71003807">
      <w:pPr>
        <w:spacing w:line="360" w:lineRule="auto"/>
        <w:rPr>
          <w:rFonts w:ascii="宋体" w:hAnsi="宋体"/>
          <w:color w:val="auto"/>
          <w:szCs w:val="21"/>
          <w:highlight w:val="none"/>
        </w:rPr>
      </w:pPr>
      <w:r>
        <w:rPr>
          <w:rFonts w:hint="eastAsia" w:ascii="宋体" w:hAnsi="宋体"/>
          <w:color w:val="auto"/>
          <w:szCs w:val="21"/>
          <w:highlight w:val="none"/>
        </w:rPr>
        <w:t>附件11：低价风险担保保函示范文本（独立保函）（如有）</w:t>
      </w:r>
    </w:p>
    <w:p w14:paraId="422CC620">
      <w:pPr>
        <w:spacing w:line="360" w:lineRule="auto"/>
        <w:jc w:val="center"/>
        <w:rPr>
          <w:rFonts w:ascii="宋体" w:hAnsi="宋体" w:eastAsia="宋体" w:cs="宋体"/>
          <w:b/>
          <w:bCs/>
          <w:color w:val="auto"/>
          <w:szCs w:val="21"/>
          <w:highlight w:val="none"/>
        </w:rPr>
      </w:pPr>
    </w:p>
    <w:p w14:paraId="335362B7">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低价风险担保保函示范文本</w:t>
      </w:r>
    </w:p>
    <w:p w14:paraId="2F7B8D8E">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（独立保函）</w:t>
      </w:r>
    </w:p>
    <w:p w14:paraId="3E47E0C4">
      <w:pPr>
        <w:wordWrap w:val="0"/>
        <w:spacing w:line="360" w:lineRule="auto"/>
        <w:jc w:val="righ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编号：           </w:t>
      </w:r>
    </w:p>
    <w:p w14:paraId="0642AAF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申请人：</w:t>
      </w:r>
    </w:p>
    <w:p w14:paraId="68B29F6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p>
    <w:p w14:paraId="0B5F4FE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受益人：</w:t>
      </w:r>
    </w:p>
    <w:p w14:paraId="0F375F7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p>
    <w:p w14:paraId="63E3342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开立人：</w:t>
      </w:r>
    </w:p>
    <w:p w14:paraId="3A18B6C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p>
    <w:p w14:paraId="08A28BB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FE95C9F">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（受益人名称）： </w:t>
      </w:r>
    </w:p>
    <w:p w14:paraId="7D9C538A">
      <w:pPr>
        <w:pStyle w:val="2"/>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（以下简称“申请人”）于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（以下简称“受益人”）的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（项目名称）的投标，收到受益人于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14:paraId="67F23D17">
      <w:pPr>
        <w:pStyle w:val="2"/>
        <w:numPr>
          <w:ilvl w:val="0"/>
          <w:numId w:val="3"/>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14:paraId="1F77566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二、本保函担保金额最高不超过人民币（大写）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48082A5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三、本保函有效期自开立之日起至合同约定的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日止，最迟不超过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14:paraId="3A5EF04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四、我方承诺，在收到受益人发来的书面付款通知后的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工作日内无条件支付，前述书面付款通知即为付款要求之单据，且应满足以下要求：</w:t>
      </w:r>
    </w:p>
    <w:p w14:paraId="0EDA2E7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（1）付款通知到达的日期在本保函的有效期内；</w:t>
      </w:r>
    </w:p>
    <w:p w14:paraId="1A10051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（2）载明要求支付的金额；</w:t>
      </w:r>
    </w:p>
    <w:p w14:paraId="62F932F4">
      <w:pPr>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（3）载明申请人未按照中标通知书、招标文件和投标文件约定签订合同或违反合同义务的条款和内容；</w:t>
      </w:r>
    </w:p>
    <w:p w14:paraId="205B899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（4）付款通知中应声明不存在招标文件约定、合同文件约定或我国法律规定免除申请人或开立人支付责任的情形；</w:t>
      </w:r>
    </w:p>
    <w:p w14:paraId="08F7B3B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（5）付款通知应在本保函有效期内到达的地址是：</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FD70E0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受益人发出的书面付款通知应由其为鉴明受益人法定代表人（负责人）或授权代理人签名加盖公章。</w:t>
      </w:r>
    </w:p>
    <w:p w14:paraId="7689144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五、本保函项下的权利不得转让，不得设定担保。贵方未经我方书面同意转让本保函或其项下任何权利，对我方不发生法律效力。 </w:t>
      </w:r>
    </w:p>
    <w:p w14:paraId="2D62845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六、与本保函有关的合同不成立、不生效、无效、被撤销、被解除，不影响本保函的独立有效。 </w:t>
      </w:r>
    </w:p>
    <w:p w14:paraId="5DE3402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14:paraId="6CCA25C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八、本保函适用的法律为中华人民共和国法律，争议裁判管辖地为中华人民共和国</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7F768F7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九、本保函自我方法定代表人或授权代表签名并加盖公章之日起生效。 </w:t>
      </w:r>
    </w:p>
    <w:p w14:paraId="5685890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开 立 人：                              （公章） </w:t>
      </w:r>
    </w:p>
    <w:p w14:paraId="44A40EA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法定代表人（或授权代表）：              （签名） </w:t>
      </w:r>
    </w:p>
    <w:p w14:paraId="15026C8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地    址：                                       </w:t>
      </w:r>
    </w:p>
    <w:p w14:paraId="7B41471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邮政编码：                 </w:t>
      </w:r>
    </w:p>
    <w:p w14:paraId="5257A60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电    话：                 </w:t>
      </w:r>
    </w:p>
    <w:p w14:paraId="03A8113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传    真：                 </w:t>
      </w:r>
    </w:p>
    <w:p w14:paraId="41825EFD">
      <w:pPr>
        <w:spacing w:line="360" w:lineRule="auto"/>
        <w:ind w:firstLine="420" w:firstLineChars="200"/>
        <w:rPr>
          <w:color w:val="auto"/>
          <w:highlight w:val="none"/>
        </w:rPr>
      </w:pPr>
      <w:r>
        <w:rPr>
          <w:rFonts w:hint="eastAsia" w:ascii="宋体" w:hAnsi="宋体" w:eastAsia="宋体" w:cs="宋体"/>
          <w:color w:val="auto"/>
          <w:szCs w:val="21"/>
          <w:highlight w:val="none"/>
        </w:rPr>
        <w:t>开立时间：      年      月</w:t>
      </w:r>
      <w:r>
        <w:rPr>
          <w:rFonts w:hint="eastAsia" w:ascii="宋体" w:hAnsi="宋体" w:eastAsia="宋体" w:cs="宋体"/>
          <w:color w:val="auto"/>
          <w:szCs w:val="21"/>
          <w:highlight w:val="none"/>
          <w:lang w:val="en-US" w:eastAsia="zh-CN"/>
        </w:rPr>
        <w:t xml:space="preserve">      日</w:t>
      </w:r>
    </w:p>
    <w:p w14:paraId="4EE403FF">
      <w:pPr>
        <w:pStyle w:val="2"/>
        <w:rPr>
          <w:rFonts w:ascii="宋体" w:hAnsi="宋体"/>
          <w:color w:val="auto"/>
          <w:sz w:val="24"/>
          <w:highlight w:val="none"/>
        </w:rPr>
      </w:pPr>
    </w:p>
    <w:p w14:paraId="5325AEDA">
      <w:pPr>
        <w:pStyle w:val="2"/>
        <w:rPr>
          <w:rFonts w:ascii="宋体" w:hAnsi="宋体"/>
          <w:color w:val="auto"/>
          <w:sz w:val="24"/>
          <w:highlight w:val="none"/>
        </w:rPr>
      </w:pPr>
    </w:p>
    <w:p w14:paraId="2139393E">
      <w:pPr>
        <w:pStyle w:val="2"/>
        <w:rPr>
          <w:rFonts w:ascii="宋体" w:hAnsi="宋体"/>
          <w:color w:val="auto"/>
          <w:sz w:val="24"/>
          <w:highlight w:val="none"/>
        </w:rPr>
      </w:pPr>
    </w:p>
    <w:p w14:paraId="2DBFF4D9">
      <w:pPr>
        <w:pStyle w:val="2"/>
        <w:rPr>
          <w:rFonts w:ascii="宋体" w:hAnsi="宋体"/>
          <w:color w:val="auto"/>
          <w:sz w:val="24"/>
          <w:highlight w:val="none"/>
        </w:rPr>
      </w:pPr>
    </w:p>
    <w:p w14:paraId="3AFE1045">
      <w:pPr>
        <w:pStyle w:val="2"/>
        <w:rPr>
          <w:rFonts w:ascii="宋体" w:hAnsi="宋体"/>
          <w:color w:val="auto"/>
          <w:sz w:val="24"/>
          <w:highlight w:val="none"/>
        </w:rPr>
      </w:pPr>
    </w:p>
    <w:p w14:paraId="6153F36D">
      <w:pPr>
        <w:pStyle w:val="2"/>
        <w:rPr>
          <w:rFonts w:ascii="宋体" w:hAnsi="宋体"/>
          <w:color w:val="auto"/>
          <w:sz w:val="24"/>
          <w:highlight w:val="none"/>
        </w:rPr>
      </w:pPr>
    </w:p>
    <w:p w14:paraId="084E3CC6">
      <w:pPr>
        <w:pStyle w:val="2"/>
        <w:rPr>
          <w:rFonts w:ascii="宋体" w:hAnsi="宋体"/>
          <w:color w:val="auto"/>
          <w:sz w:val="24"/>
          <w:highlight w:val="none"/>
        </w:rPr>
      </w:pPr>
    </w:p>
    <w:p w14:paraId="4E41524F">
      <w:pPr>
        <w:spacing w:line="360" w:lineRule="auto"/>
        <w:jc w:val="left"/>
        <w:rPr>
          <w:rFonts w:ascii="宋体" w:hAnsi="宋体"/>
          <w:color w:val="auto"/>
          <w:sz w:val="24"/>
          <w:highlight w:val="none"/>
        </w:rPr>
      </w:pPr>
    </w:p>
    <w:bookmarkEnd w:id="584"/>
    <w:p w14:paraId="2052B809">
      <w:pPr>
        <w:spacing w:line="360" w:lineRule="auto"/>
        <w:rPr>
          <w:rFonts w:ascii="宋体" w:hAnsi="宋体"/>
          <w:color w:val="auto"/>
          <w:szCs w:val="20"/>
          <w:highlight w:val="none"/>
        </w:rPr>
      </w:pPr>
    </w:p>
    <w:p w14:paraId="23D75241">
      <w:pPr>
        <w:spacing w:line="240" w:lineRule="auto"/>
        <w:rPr>
          <w:rFonts w:ascii="宋体" w:hAnsi="宋体"/>
          <w:color w:val="auto"/>
          <w:szCs w:val="20"/>
          <w:highlight w:val="none"/>
        </w:rPr>
      </w:pPr>
      <w:r>
        <w:rPr>
          <w:rFonts w:ascii="宋体" w:hAnsi="宋体"/>
          <w:color w:val="auto"/>
          <w:szCs w:val="20"/>
          <w:highlight w:val="none"/>
        </w:rPr>
        <w:br w:type="page"/>
      </w:r>
    </w:p>
    <w:p w14:paraId="426D6371">
      <w:pPr>
        <w:spacing w:line="360" w:lineRule="auto"/>
        <w:rPr>
          <w:rFonts w:ascii="宋体" w:hAnsi="宋体"/>
          <w:color w:val="auto"/>
          <w:szCs w:val="21"/>
          <w:highlight w:val="none"/>
        </w:rPr>
      </w:pPr>
      <w:r>
        <w:rPr>
          <w:rFonts w:hint="eastAsia" w:ascii="宋体" w:hAnsi="宋体"/>
          <w:color w:val="auto"/>
          <w:szCs w:val="20"/>
          <w:highlight w:val="none"/>
          <w:lang w:val="en-US" w:eastAsia="zh-CN"/>
        </w:rPr>
        <w:t>附件12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质量保证金保函</w:t>
      </w:r>
      <w:r>
        <w:rPr>
          <w:rFonts w:hint="eastAsia" w:ascii="宋体" w:hAnsi="宋体"/>
          <w:color w:val="auto"/>
          <w:szCs w:val="21"/>
          <w:highlight w:val="none"/>
        </w:rPr>
        <w:t>（如有）</w:t>
      </w:r>
    </w:p>
    <w:p w14:paraId="547BD671">
      <w:pPr>
        <w:keepNext w:val="0"/>
        <w:keepLines w:val="0"/>
        <w:pageBreakBefore w:val="0"/>
        <w:kinsoku/>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auto"/>
          <w:sz w:val="21"/>
          <w:szCs w:val="21"/>
          <w:highlight w:val="none"/>
        </w:rPr>
      </w:pPr>
    </w:p>
    <w:p w14:paraId="02B93E03">
      <w:pPr>
        <w:keepNext w:val="0"/>
        <w:keepLines w:val="0"/>
        <w:pageBreakBefore w:val="0"/>
        <w:kinsoku/>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工程质量保函示范文本</w:t>
      </w:r>
    </w:p>
    <w:p w14:paraId="026CFFE6">
      <w:pPr>
        <w:keepNext w:val="0"/>
        <w:keepLines w:val="0"/>
        <w:pageBreakBefore w:val="0"/>
        <w:kinsoku/>
        <w:wordWrap w:val="0"/>
        <w:overflowPunct/>
        <w:topLinePunct w:val="0"/>
        <w:autoSpaceDE/>
        <w:autoSpaceDN/>
        <w:bidi w:val="0"/>
        <w:adjustRightInd/>
        <w:snapToGrid/>
        <w:spacing w:line="360" w:lineRule="auto"/>
        <w:ind w:right="0" w:right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B132E8C">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14:paraId="4E8F7F2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536FE7F7">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14:paraId="021DAC1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26EECEAF">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14:paraId="061C09C1">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18390656">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rPr>
          <w:rFonts w:hint="eastAsia" w:ascii="宋体" w:hAnsi="宋体" w:eastAsia="宋体" w:cs="宋体"/>
          <w:color w:val="auto"/>
          <w:kern w:val="2"/>
          <w:sz w:val="21"/>
          <w:szCs w:val="21"/>
          <w:highlight w:val="none"/>
        </w:rPr>
      </w:pPr>
    </w:p>
    <w:p w14:paraId="4BBD37FE">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（受益人名称）： </w:t>
      </w:r>
    </w:p>
    <w:p w14:paraId="037973C2">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鉴于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（以下简称“受益人”）与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（以下简称“申请人”）于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日就</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工程（以下简称“本工程”）施工和有关事项协商一致共同签订</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（合同名称）合同编号</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我方（即“开立人”）根据上述合同了解到申请人为合同项下之承包人，受益人为合同项下之发包人，基于申请人的请求，我方同意就申请人履行与贵方签订的合同项下的义务，向贵方提供不可撤销、不可转让的见索即付保函（以下简称“本保函”）。</w:t>
      </w:r>
    </w:p>
    <w:p w14:paraId="3327D387">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一、本保函担保范围：承包人未按照合同约定履行工程缺陷责任期内的保修义务，应当向贵方承担的违约责任和赔偿因此造成的损失、利息、律师费、诉讼费用等实现债权的费用。</w:t>
      </w:r>
    </w:p>
    <w:p w14:paraId="6D05710A">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二、本保函担保金额最高不超过人民币（大写）</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元（¥</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272D5B0D">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三、本保函有效期（保证期间）为以下第</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种：</w:t>
      </w:r>
    </w:p>
    <w:p w14:paraId="122401AD">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本保函有效期至</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p w14:paraId="45CB1FED">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472A57A8">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四、我方承诺，在收到受益人发来的书面索赔通知和本保函原件后的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个工作</w:t>
      </w:r>
      <w:r>
        <w:rPr>
          <w:rFonts w:hint="eastAsia" w:ascii="宋体" w:hAnsi="宋体" w:eastAsia="宋体" w:cs="宋体"/>
          <w:color w:val="auto"/>
          <w:kern w:val="2"/>
          <w:sz w:val="21"/>
          <w:szCs w:val="21"/>
          <w:highlight w:val="none"/>
        </w:rPr>
        <w:t>日内无条件支付至受益人指定账户，前述书面索赔通知即为付款要求之单据，且应满足以下要求：</w:t>
      </w:r>
    </w:p>
    <w:p w14:paraId="116BB630">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（1）索赔通知到达的日期在本保函的有效期内；</w:t>
      </w:r>
    </w:p>
    <w:p w14:paraId="39DBC2E6">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14:paraId="21AB9682">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（3）载明申请人违反合同义务的条款和内容；</w:t>
      </w:r>
    </w:p>
    <w:p w14:paraId="76E539F1">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（4）声明不存在合同文件约定或我国法律规定免除申请人或开立人支付责任的情形；</w:t>
      </w:r>
    </w:p>
    <w:p w14:paraId="16BEF17B">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（5）索赔通知应在本保函有效期内到达的地址是：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1BABE7F7">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受益人发出的书面索赔通知应由其为鉴明受益人法定代表人（负责人）或授权代理人签名或盖个人名章并加盖公章。</w:t>
      </w:r>
    </w:p>
    <w:p w14:paraId="4AC1304D">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五、本保函项下的权利不得转让，不得设定担保。贵方未经我方书面同意转让本保函或其项下任何权利，对我方不发生法律效力。</w:t>
      </w:r>
    </w:p>
    <w:p w14:paraId="7D38E7F8">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六、与本保函有关的合同不成立、不生效、无效、被撤销、被解除，不影响本保函的独立有效。 </w:t>
      </w:r>
    </w:p>
    <w:p w14:paraId="0B1717EF">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七、贵方应在本保函到期后的</w:t>
      </w:r>
      <w:r>
        <w:rPr>
          <w:rFonts w:hint="eastAsia" w:ascii="宋体" w:hAnsi="宋体" w:eastAsia="宋体" w:cs="宋体"/>
          <w:color w:val="auto"/>
          <w:kern w:val="2"/>
          <w:sz w:val="21"/>
          <w:szCs w:val="21"/>
          <w:highlight w:val="none"/>
          <w:lang w:eastAsia="zh-CN"/>
        </w:rPr>
        <w:t>七个工作</w:t>
      </w:r>
      <w:r>
        <w:rPr>
          <w:rFonts w:hint="eastAsia" w:ascii="宋体" w:hAnsi="宋体" w:eastAsia="宋体" w:cs="宋体"/>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14:paraId="6E9CACD9">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八、本保函适用的法律为中华人民共和国法律，争议裁判管辖地为中华人民共和国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57F37DCE">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九、本保函自我方法定代表人或授权代表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或盖个人名章并加盖公章或合同专用章之日起生效。</w:t>
      </w:r>
    </w:p>
    <w:p w14:paraId="088E0207">
      <w:pPr>
        <w:keepNext w:val="0"/>
        <w:keepLines w:val="0"/>
        <w:pageBreakBefore w:val="0"/>
        <w:widowControl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val="en-US" w:eastAsia="zh-CN"/>
        </w:rPr>
        <w:t>十、</w:t>
      </w:r>
      <w:r>
        <w:rPr>
          <w:rFonts w:hint="eastAsia" w:ascii="宋体" w:hAnsi="宋体" w:eastAsia="宋体" w:cs="宋体"/>
          <w:color w:val="auto"/>
          <w:kern w:val="2"/>
          <w:sz w:val="21"/>
          <w:szCs w:val="21"/>
          <w:highlight w:val="none"/>
          <w:lang w:eastAsia="zh-CN"/>
        </w:rPr>
        <w:t>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14:paraId="62A7C94E">
      <w:pPr>
        <w:keepNext w:val="0"/>
        <w:keepLines w:val="0"/>
        <w:pageBreakBefore w:val="0"/>
        <w:widowControl w:val="0"/>
        <w:shd w:val="clear" w:color="auto" w:fill="auto"/>
        <w:kinsoku/>
        <w:wordWrap/>
        <w:topLinePunct w:val="0"/>
        <w:autoSpaceDE/>
        <w:autoSpaceDN/>
        <w:bidi w:val="0"/>
        <w:snapToGrid/>
        <w:spacing w:beforeLines="0" w:after="0" w:line="360" w:lineRule="auto"/>
        <w:ind w:firstLine="420" w:firstLineChars="200"/>
        <w:jc w:val="both"/>
        <w:rPr>
          <w:rFonts w:hint="eastAsia" w:ascii="宋体" w:hAnsi="宋体" w:eastAsia="宋体" w:cs="宋体"/>
          <w:color w:val="auto"/>
          <w:kern w:val="2"/>
          <w:sz w:val="21"/>
          <w:szCs w:val="21"/>
          <w:highlight w:val="none"/>
          <w:lang w:val="en-US" w:eastAsia="zh-CN" w:bidi="ar-SA"/>
        </w:rPr>
      </w:pPr>
    </w:p>
    <w:p w14:paraId="674A07CE">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（公章）</w:t>
      </w:r>
    </w:p>
    <w:p w14:paraId="41AD147A">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法定代表人（或授权代表）：</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签名或盖个人名章</w:t>
      </w:r>
      <w:r>
        <w:rPr>
          <w:rFonts w:hint="eastAsia" w:ascii="宋体" w:hAnsi="宋体" w:eastAsia="宋体" w:cs="宋体"/>
          <w:color w:val="auto"/>
          <w:kern w:val="2"/>
          <w:sz w:val="21"/>
          <w:szCs w:val="21"/>
          <w:highlight w:val="none"/>
        </w:rPr>
        <w:t>）</w:t>
      </w:r>
    </w:p>
    <w:p w14:paraId="3087CB71">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25AF8036">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447F847F">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67E57072">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10DCA664">
      <w:pPr>
        <w:spacing w:line="240" w:lineRule="exact"/>
        <w:ind w:firstLine="420" w:firstLineChars="200"/>
        <w:rPr>
          <w:rFonts w:ascii="宋体" w:hAnsi="宋体"/>
          <w:color w:val="auto"/>
          <w:szCs w:val="20"/>
          <w:highlight w:val="none"/>
        </w:rPr>
      </w:pPr>
      <w:r>
        <w:rPr>
          <w:rFonts w:hint="eastAsia" w:ascii="宋体" w:hAnsi="宋体" w:eastAsia="宋体" w:cs="宋体"/>
          <w:color w:val="auto"/>
          <w:kern w:val="2"/>
          <w:sz w:val="21"/>
          <w:szCs w:val="21"/>
          <w:highlight w:val="none"/>
        </w:rPr>
        <w:t xml:space="preserve">开立时间：    年    月    </w:t>
      </w:r>
      <w:r>
        <w:rPr>
          <w:rFonts w:hint="eastAsia" w:ascii="宋体" w:hAnsi="宋体" w:eastAsia="宋体" w:cs="宋体"/>
          <w:color w:val="auto"/>
          <w:sz w:val="21"/>
          <w:szCs w:val="21"/>
          <w:highlight w:val="none"/>
        </w:rPr>
        <w:t>日</w:t>
      </w:r>
      <w:r>
        <w:rPr>
          <w:rFonts w:ascii="宋体" w:hAnsi="宋体"/>
          <w:color w:val="auto"/>
          <w:szCs w:val="20"/>
          <w:highlight w:val="none"/>
        </w:rPr>
        <w:br w:type="page"/>
      </w:r>
      <w:bookmarkStart w:id="2058" w:name="招标文件05章工程量清单"/>
      <w:bookmarkEnd w:id="2058"/>
    </w:p>
    <w:p w14:paraId="1C86CE8F">
      <w:pPr>
        <w:pStyle w:val="3"/>
        <w:numPr>
          <w:ilvl w:val="0"/>
          <w:numId w:val="4"/>
        </w:numPr>
        <w:spacing w:before="0" w:after="0" w:line="360" w:lineRule="auto"/>
        <w:jc w:val="center"/>
        <w:rPr>
          <w:rFonts w:hint="eastAsia" w:ascii="宋体" w:hAnsi="宋体"/>
          <w:color w:val="auto"/>
          <w:highlight w:val="none"/>
          <w:lang w:val="en-US" w:eastAsia="zh-CN"/>
        </w:rPr>
      </w:pPr>
      <w:bookmarkStart w:id="2059" w:name="_Toc430530513"/>
      <w:bookmarkStart w:id="2060" w:name="_Toc287607855"/>
      <w:bookmarkStart w:id="2061" w:name="_Toc534185822"/>
      <w:bookmarkStart w:id="2062" w:name="_Toc509218843"/>
      <w:bookmarkStart w:id="2063" w:name="_Toc287620797"/>
      <w:r>
        <w:rPr>
          <w:rFonts w:hint="eastAsia" w:ascii="宋体" w:hAnsi="宋体"/>
          <w:color w:val="auto"/>
          <w:highlight w:val="none"/>
        </w:rPr>
        <w:t xml:space="preserve"> </w:t>
      </w:r>
      <w:bookmarkStart w:id="2064" w:name="_Toc3325"/>
      <w:r>
        <w:rPr>
          <w:rFonts w:hint="eastAsia" w:ascii="宋体" w:hAnsi="宋体"/>
          <w:color w:val="auto"/>
          <w:highlight w:val="none"/>
        </w:rPr>
        <w:t>工程量清</w:t>
      </w:r>
      <w:bookmarkEnd w:id="2059"/>
      <w:bookmarkEnd w:id="2060"/>
      <w:bookmarkEnd w:id="2061"/>
      <w:bookmarkEnd w:id="2062"/>
      <w:bookmarkEnd w:id="2063"/>
      <w:bookmarkStart w:id="2065" w:name="招标文件05章工程量清单01"/>
      <w:bookmarkEnd w:id="2065"/>
      <w:bookmarkStart w:id="2066" w:name="_Toc287607856"/>
      <w:bookmarkStart w:id="2067" w:name="_Toc430530514"/>
      <w:bookmarkStart w:id="2068" w:name="_Toc277082638"/>
      <w:bookmarkStart w:id="2069" w:name="_Toc224103477"/>
      <w:bookmarkStart w:id="2070" w:name="_Toc287620798"/>
      <w:r>
        <w:rPr>
          <w:rFonts w:hint="eastAsia" w:ascii="宋体" w:hAnsi="宋体"/>
          <w:color w:val="auto"/>
          <w:highlight w:val="none"/>
          <w:lang w:val="en-US" w:eastAsia="zh-CN"/>
        </w:rPr>
        <w:t>单</w:t>
      </w:r>
      <w:bookmarkEnd w:id="2064"/>
    </w:p>
    <w:p w14:paraId="59F8C531">
      <w:pPr>
        <w:widowControl w:val="0"/>
        <w:numPr>
          <w:ilvl w:val="0"/>
          <w:numId w:val="0"/>
        </w:numPr>
        <w:jc w:val="both"/>
        <w:rPr>
          <w:rFonts w:hint="eastAsia"/>
          <w:color w:val="auto"/>
          <w:highlight w:val="none"/>
          <w:lang w:val="en-US" w:eastAsia="zh-CN"/>
        </w:rPr>
      </w:pPr>
    </w:p>
    <w:p w14:paraId="6B613A0C">
      <w:pPr>
        <w:spacing w:line="360" w:lineRule="auto"/>
        <w:jc w:val="center"/>
        <w:rPr>
          <w:rFonts w:ascii="宋体" w:hAnsi="宋体"/>
          <w:color w:val="auto"/>
          <w:szCs w:val="20"/>
          <w:highlight w:val="none"/>
        </w:rPr>
      </w:pPr>
      <w:r>
        <w:rPr>
          <w:rFonts w:hint="eastAsia" w:ascii="宋体" w:hAnsi="宋体"/>
          <w:color w:val="auto"/>
          <w:szCs w:val="20"/>
          <w:highlight w:val="none"/>
        </w:rPr>
        <w:t>在</w:t>
      </w:r>
      <w:r>
        <w:rPr>
          <w:rFonts w:hint="eastAsia" w:ascii="宋体" w:hAnsi="宋体"/>
          <w:color w:val="auto"/>
          <w:szCs w:val="20"/>
          <w:highlight w:val="none"/>
          <w:u w:val="single"/>
          <w:lang w:eastAsia="zh-CN"/>
        </w:rPr>
        <w:t>垫江县人民政府网</w:t>
      </w:r>
      <w:r>
        <w:rPr>
          <w:rFonts w:hint="eastAsia" w:ascii="宋体" w:hAnsi="宋体"/>
          <w:color w:val="auto"/>
          <w:szCs w:val="20"/>
          <w:highlight w:val="none"/>
        </w:rPr>
        <w:t>下载。</w:t>
      </w:r>
    </w:p>
    <w:p w14:paraId="5D5F3F66">
      <w:pPr>
        <w:pStyle w:val="66"/>
        <w:rPr>
          <w:rFonts w:hint="eastAsia"/>
          <w:color w:val="auto"/>
          <w:highlight w:val="none"/>
          <w:lang w:val="en-US" w:eastAsia="zh-CN"/>
        </w:rPr>
        <w:sectPr>
          <w:footerReference r:id="rId11" w:type="default"/>
          <w:pgSz w:w="11906" w:h="16838"/>
          <w:pgMar w:top="1304" w:right="1134" w:bottom="1304" w:left="1304" w:header="851" w:footer="992" w:gutter="0"/>
          <w:cols w:space="720" w:num="1"/>
          <w:docGrid w:type="lines" w:linePitch="312" w:charSpace="0"/>
        </w:sectPr>
      </w:pPr>
    </w:p>
    <w:bookmarkEnd w:id="2066"/>
    <w:bookmarkEnd w:id="2067"/>
    <w:bookmarkEnd w:id="2068"/>
    <w:bookmarkEnd w:id="2069"/>
    <w:bookmarkEnd w:id="2070"/>
    <w:p w14:paraId="20BE6CEF">
      <w:pPr>
        <w:snapToGrid w:val="0"/>
        <w:spacing w:line="360" w:lineRule="auto"/>
        <w:jc w:val="both"/>
        <w:rPr>
          <w:rFonts w:ascii="宋体" w:hAnsi="宋体"/>
          <w:color w:val="auto"/>
          <w:szCs w:val="21"/>
          <w:highlight w:val="none"/>
        </w:rPr>
      </w:pPr>
    </w:p>
    <w:p w14:paraId="6EA82322">
      <w:pPr>
        <w:pStyle w:val="3"/>
        <w:spacing w:before="0" w:after="0" w:line="360" w:lineRule="auto"/>
        <w:jc w:val="center"/>
        <w:rPr>
          <w:rFonts w:ascii="宋体" w:hAnsi="宋体"/>
          <w:color w:val="auto"/>
          <w:sz w:val="52"/>
          <w:szCs w:val="52"/>
          <w:highlight w:val="none"/>
        </w:rPr>
      </w:pPr>
      <w:bookmarkStart w:id="2071" w:name="_Toc509218844"/>
      <w:bookmarkStart w:id="2072" w:name="_Toc2716"/>
      <w:bookmarkStart w:id="2073" w:name="_Toc534185823"/>
      <w:r>
        <w:rPr>
          <w:rFonts w:ascii="宋体" w:hAnsi="宋体"/>
          <w:color w:val="auto"/>
          <w:sz w:val="52"/>
          <w:szCs w:val="52"/>
          <w:highlight w:val="none"/>
        </w:rPr>
        <w:t>第 二 卷</w:t>
      </w:r>
      <w:bookmarkEnd w:id="2071"/>
      <w:bookmarkEnd w:id="2072"/>
      <w:bookmarkEnd w:id="2073"/>
    </w:p>
    <w:p w14:paraId="3EE56851">
      <w:pPr>
        <w:spacing w:line="360" w:lineRule="auto"/>
        <w:rPr>
          <w:rFonts w:ascii="宋体" w:hAnsi="宋体"/>
          <w:color w:val="auto"/>
          <w:szCs w:val="20"/>
          <w:highlight w:val="none"/>
        </w:rPr>
      </w:pPr>
      <w:r>
        <w:rPr>
          <w:rFonts w:ascii="宋体" w:hAnsi="宋体"/>
          <w:color w:val="auto"/>
          <w:szCs w:val="20"/>
          <w:highlight w:val="none"/>
        </w:rPr>
        <w:br w:type="page"/>
      </w:r>
    </w:p>
    <w:p w14:paraId="5F6799C9">
      <w:pPr>
        <w:pStyle w:val="3"/>
        <w:spacing w:line="360" w:lineRule="auto"/>
        <w:jc w:val="center"/>
        <w:rPr>
          <w:rFonts w:ascii="宋体" w:hAnsi="宋体"/>
          <w:color w:val="auto"/>
          <w:highlight w:val="none"/>
        </w:rPr>
      </w:pPr>
      <w:bookmarkStart w:id="2074" w:name="招标文件06章图纸"/>
      <w:bookmarkEnd w:id="2074"/>
      <w:bookmarkStart w:id="2075" w:name="_Toc430530519"/>
      <w:bookmarkStart w:id="2076" w:name="_Toc287620803"/>
      <w:bookmarkStart w:id="2077" w:name="_Toc20887"/>
      <w:bookmarkStart w:id="2078" w:name="_Toc509218846"/>
      <w:bookmarkStart w:id="2079" w:name="_Toc287607861"/>
      <w:bookmarkStart w:id="2080" w:name="_Toc534185825"/>
      <w:r>
        <w:rPr>
          <w:rFonts w:hint="eastAsia" w:ascii="宋体" w:hAnsi="宋体"/>
          <w:color w:val="auto"/>
          <w:highlight w:val="none"/>
        </w:rPr>
        <w:t>第六章  图纸</w:t>
      </w:r>
      <w:bookmarkEnd w:id="2075"/>
      <w:bookmarkEnd w:id="2076"/>
      <w:bookmarkEnd w:id="2077"/>
      <w:bookmarkEnd w:id="2078"/>
      <w:bookmarkEnd w:id="2079"/>
      <w:bookmarkEnd w:id="2080"/>
    </w:p>
    <w:p w14:paraId="1FE9BAFB">
      <w:pPr>
        <w:spacing w:line="360" w:lineRule="auto"/>
        <w:jc w:val="center"/>
        <w:rPr>
          <w:rFonts w:ascii="宋体" w:hAnsi="宋体"/>
          <w:color w:val="auto"/>
          <w:szCs w:val="20"/>
          <w:highlight w:val="none"/>
        </w:rPr>
      </w:pPr>
      <w:r>
        <w:rPr>
          <w:rFonts w:hint="eastAsia" w:ascii="宋体" w:hAnsi="宋体"/>
          <w:color w:val="auto"/>
          <w:szCs w:val="20"/>
          <w:highlight w:val="none"/>
        </w:rPr>
        <w:t>在</w:t>
      </w:r>
      <w:r>
        <w:rPr>
          <w:rFonts w:hint="eastAsia" w:ascii="宋体" w:hAnsi="宋体"/>
          <w:color w:val="auto"/>
          <w:szCs w:val="20"/>
          <w:highlight w:val="none"/>
          <w:u w:val="single"/>
          <w:lang w:eastAsia="zh-CN"/>
        </w:rPr>
        <w:t>垫江县人民政府网</w:t>
      </w:r>
      <w:r>
        <w:rPr>
          <w:rFonts w:hint="eastAsia" w:ascii="宋体" w:hAnsi="宋体"/>
          <w:color w:val="auto"/>
          <w:szCs w:val="20"/>
          <w:highlight w:val="none"/>
        </w:rPr>
        <w:t>下载。</w:t>
      </w:r>
    </w:p>
    <w:p w14:paraId="7F5EC977">
      <w:pPr>
        <w:spacing w:line="360" w:lineRule="auto"/>
        <w:rPr>
          <w:rFonts w:ascii="宋体" w:hAnsi="宋体"/>
          <w:color w:val="auto"/>
          <w:szCs w:val="20"/>
          <w:highlight w:val="none"/>
        </w:rPr>
      </w:pPr>
      <w:bookmarkStart w:id="2081" w:name="招标文件06章图纸01"/>
      <w:bookmarkEnd w:id="2081"/>
      <w:bookmarkStart w:id="2082" w:name="_Toc287620804"/>
      <w:bookmarkStart w:id="2083" w:name="_Toc430530520"/>
    </w:p>
    <w:bookmarkEnd w:id="2082"/>
    <w:bookmarkEnd w:id="2083"/>
    <w:p w14:paraId="5D30E174">
      <w:pPr>
        <w:spacing w:line="360" w:lineRule="auto"/>
        <w:rPr>
          <w:rFonts w:ascii="宋体" w:hAnsi="宋体"/>
          <w:color w:val="auto"/>
          <w:highlight w:val="none"/>
        </w:rPr>
      </w:pPr>
      <w:r>
        <w:rPr>
          <w:rFonts w:ascii="宋体" w:hAnsi="宋体"/>
          <w:color w:val="auto"/>
          <w:szCs w:val="20"/>
          <w:highlight w:val="none"/>
        </w:rPr>
        <w:br w:type="page"/>
      </w:r>
    </w:p>
    <w:p w14:paraId="156B3DBA">
      <w:pPr>
        <w:pStyle w:val="3"/>
        <w:spacing w:before="0" w:after="0" w:line="360" w:lineRule="auto"/>
        <w:jc w:val="center"/>
        <w:rPr>
          <w:rFonts w:ascii="宋体" w:hAnsi="宋体"/>
          <w:color w:val="auto"/>
          <w:sz w:val="52"/>
          <w:szCs w:val="52"/>
          <w:highlight w:val="none"/>
        </w:rPr>
      </w:pPr>
      <w:bookmarkStart w:id="2084" w:name="_Toc2767"/>
      <w:r>
        <w:rPr>
          <w:rFonts w:hint="eastAsia" w:ascii="宋体" w:hAnsi="宋体"/>
          <w:color w:val="auto"/>
          <w:sz w:val="52"/>
          <w:szCs w:val="52"/>
          <w:highlight w:val="none"/>
        </w:rPr>
        <w:t>第 三 卷</w:t>
      </w:r>
      <w:bookmarkEnd w:id="2084"/>
      <w:bookmarkStart w:id="2085" w:name="_Toc509218847"/>
      <w:bookmarkStart w:id="2086" w:name="_Toc534185826"/>
      <w:bookmarkStart w:id="2087" w:name="_Toc536628344"/>
      <w:bookmarkStart w:id="2088" w:name="_Toc536796850"/>
      <w:bookmarkStart w:id="2089" w:name="_Toc536796986"/>
      <w:bookmarkStart w:id="2090" w:name="_Toc13211206"/>
      <w:bookmarkStart w:id="2091" w:name="_Toc536620100"/>
      <w:bookmarkStart w:id="2092" w:name="_Toc536797255"/>
      <w:bookmarkStart w:id="2093" w:name="_Toc13211764"/>
      <w:bookmarkStart w:id="2094" w:name="_Toc536797390"/>
      <w:bookmarkStart w:id="2095" w:name="_Toc536797121"/>
      <w:bookmarkStart w:id="2096" w:name="_Toc536621880"/>
      <w:bookmarkStart w:id="2097" w:name="_Toc536619968"/>
      <w:bookmarkStart w:id="2098" w:name="_Toc13210772"/>
    </w:p>
    <w:bookmarkEnd w:id="2085"/>
    <w:p w14:paraId="7BF8DBFE">
      <w:pPr>
        <w:rPr>
          <w:color w:val="auto"/>
          <w:highlight w:val="none"/>
        </w:rPr>
      </w:pPr>
      <w:r>
        <w:rPr>
          <w:color w:val="auto"/>
          <w:highlight w:val="none"/>
        </w:rPr>
        <w:br w:type="page"/>
      </w:r>
      <w:bookmarkEnd w:id="2086"/>
      <w:bookmarkEnd w:id="2087"/>
      <w:bookmarkEnd w:id="2088"/>
      <w:bookmarkEnd w:id="2089"/>
      <w:bookmarkEnd w:id="2090"/>
      <w:bookmarkEnd w:id="2091"/>
      <w:bookmarkEnd w:id="2092"/>
      <w:bookmarkEnd w:id="2093"/>
      <w:bookmarkEnd w:id="2094"/>
      <w:bookmarkEnd w:id="2095"/>
      <w:bookmarkEnd w:id="2096"/>
      <w:bookmarkEnd w:id="2097"/>
      <w:bookmarkEnd w:id="2098"/>
    </w:p>
    <w:p w14:paraId="7AB7C701">
      <w:pPr>
        <w:pStyle w:val="3"/>
        <w:spacing w:line="360" w:lineRule="auto"/>
        <w:jc w:val="center"/>
        <w:rPr>
          <w:rFonts w:ascii="宋体" w:hAnsi="宋体"/>
          <w:color w:val="auto"/>
          <w:highlight w:val="none"/>
        </w:rPr>
      </w:pPr>
      <w:bookmarkStart w:id="2099" w:name="招标文件07章技术标准和要求"/>
      <w:bookmarkEnd w:id="2099"/>
      <w:bookmarkStart w:id="2100" w:name="_Toc2973"/>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bookmarkEnd w:id="2100"/>
      <w:bookmarkStart w:id="2101" w:name="招标文件07章技术标准和要求01"/>
      <w:bookmarkEnd w:id="2101"/>
      <w:bookmarkStart w:id="2102" w:name="_Toc287620808"/>
      <w:bookmarkStart w:id="2103" w:name="_Toc430530524"/>
    </w:p>
    <w:bookmarkEnd w:id="2102"/>
    <w:bookmarkEnd w:id="2103"/>
    <w:p w14:paraId="716573C9">
      <w:pPr>
        <w:spacing w:line="360" w:lineRule="auto"/>
        <w:jc w:val="center"/>
        <w:rPr>
          <w:rStyle w:val="60"/>
          <w:color w:val="auto"/>
          <w:highlight w:val="none"/>
        </w:rPr>
      </w:pPr>
      <w:r>
        <w:rPr>
          <w:rFonts w:ascii="宋体" w:hAnsi="宋体"/>
          <w:color w:val="auto"/>
          <w:szCs w:val="21"/>
          <w:highlight w:val="none"/>
        </w:rPr>
        <w:t>由招标人根据招标项目的实际情况编写</w:t>
      </w:r>
      <w:r>
        <w:rPr>
          <w:rFonts w:hint="eastAsia" w:ascii="宋体" w:hAnsi="宋体"/>
          <w:color w:val="auto"/>
          <w:szCs w:val="21"/>
          <w:highlight w:val="none"/>
        </w:rPr>
        <w:t>（如有）。</w:t>
      </w:r>
    </w:p>
    <w:p w14:paraId="5E49F50F">
      <w:pPr>
        <w:spacing w:line="360" w:lineRule="auto"/>
        <w:rPr>
          <w:rFonts w:ascii="宋体" w:hAnsi="宋体"/>
          <w:color w:val="auto"/>
          <w:highlight w:val="none"/>
        </w:rPr>
      </w:pPr>
      <w:r>
        <w:rPr>
          <w:rFonts w:ascii="宋体" w:hAnsi="宋体"/>
          <w:color w:val="auto"/>
          <w:highlight w:val="none"/>
        </w:rPr>
        <w:br w:type="page"/>
      </w:r>
    </w:p>
    <w:p w14:paraId="71C2B7D4">
      <w:pPr>
        <w:pStyle w:val="3"/>
        <w:spacing w:before="0" w:after="0" w:line="360" w:lineRule="auto"/>
        <w:jc w:val="center"/>
        <w:rPr>
          <w:rFonts w:ascii="宋体" w:hAnsi="宋体"/>
          <w:color w:val="auto"/>
          <w:sz w:val="52"/>
          <w:szCs w:val="52"/>
          <w:highlight w:val="none"/>
        </w:rPr>
      </w:pPr>
      <w:bookmarkStart w:id="2104" w:name="_Toc534185827"/>
      <w:bookmarkStart w:id="2105" w:name="_Toc509218849"/>
      <w:bookmarkStart w:id="2106" w:name="_Toc16131"/>
      <w:r>
        <w:rPr>
          <w:rFonts w:ascii="宋体" w:hAnsi="宋体"/>
          <w:color w:val="auto"/>
          <w:sz w:val="52"/>
          <w:szCs w:val="52"/>
          <w:highlight w:val="none"/>
        </w:rPr>
        <w:t>第 四 卷</w:t>
      </w:r>
      <w:bookmarkEnd w:id="2104"/>
      <w:bookmarkEnd w:id="2105"/>
      <w:bookmarkEnd w:id="2106"/>
      <w:bookmarkStart w:id="2107" w:name="_Toc536796989"/>
      <w:bookmarkStart w:id="2108" w:name="_Toc536621883"/>
      <w:bookmarkStart w:id="2109" w:name="_Toc13211767"/>
      <w:bookmarkStart w:id="2110" w:name="_Toc13211209"/>
      <w:bookmarkStart w:id="2111" w:name="_Toc536797124"/>
      <w:bookmarkStart w:id="2112" w:name="_Toc536620102"/>
      <w:bookmarkStart w:id="2113" w:name="_Toc536796853"/>
      <w:bookmarkStart w:id="2114" w:name="_Toc536628347"/>
      <w:bookmarkStart w:id="2115" w:name="_Toc509218850"/>
      <w:bookmarkStart w:id="2116" w:name="_Toc536619970"/>
      <w:bookmarkStart w:id="2117" w:name="_Toc536797393"/>
      <w:bookmarkStart w:id="2118" w:name="_Toc13210775"/>
      <w:bookmarkStart w:id="2119" w:name="_Toc534185828"/>
      <w:bookmarkStart w:id="2120" w:name="_Toc536797258"/>
    </w:p>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p w14:paraId="41525F6D">
      <w:pPr>
        <w:rPr>
          <w:color w:val="auto"/>
          <w:highlight w:val="none"/>
        </w:rPr>
      </w:pPr>
      <w:r>
        <w:rPr>
          <w:color w:val="auto"/>
          <w:highlight w:val="none"/>
        </w:rPr>
        <w:br w:type="page"/>
      </w:r>
      <w:bookmarkStart w:id="2121" w:name="招标文件08章投标文件格式"/>
      <w:bookmarkEnd w:id="2121"/>
      <w:bookmarkStart w:id="2122" w:name="_Toc287620812"/>
      <w:bookmarkStart w:id="2123" w:name="_Toc287607865"/>
    </w:p>
    <w:p w14:paraId="7C177628">
      <w:pPr>
        <w:pStyle w:val="3"/>
        <w:spacing w:line="360" w:lineRule="auto"/>
        <w:jc w:val="center"/>
        <w:rPr>
          <w:rFonts w:ascii="宋体" w:hAnsi="宋体"/>
          <w:color w:val="auto"/>
          <w:highlight w:val="none"/>
        </w:rPr>
      </w:pPr>
      <w:bookmarkStart w:id="2124" w:name="_Toc4558"/>
      <w:bookmarkStart w:id="2125" w:name="_Toc534185829"/>
      <w:bookmarkStart w:id="2126" w:name="_Toc430530528"/>
      <w:bookmarkStart w:id="2127" w:name="_Toc509218852"/>
      <w:r>
        <w:rPr>
          <w:rFonts w:hint="eastAsia" w:ascii="宋体" w:hAnsi="宋体"/>
          <w:color w:val="auto"/>
          <w:highlight w:val="none"/>
        </w:rPr>
        <w:t>第八章  投标文件格式</w:t>
      </w:r>
      <w:bookmarkEnd w:id="2122"/>
      <w:bookmarkEnd w:id="2123"/>
      <w:bookmarkEnd w:id="2124"/>
      <w:bookmarkEnd w:id="2125"/>
      <w:bookmarkEnd w:id="2126"/>
      <w:bookmarkEnd w:id="2127"/>
    </w:p>
    <w:p w14:paraId="44CA8EEB">
      <w:pPr>
        <w:spacing w:line="360" w:lineRule="auto"/>
        <w:rPr>
          <w:rFonts w:ascii="宋体" w:hAnsi="宋体"/>
          <w:color w:val="auto"/>
          <w:sz w:val="32"/>
          <w:szCs w:val="32"/>
          <w:highlight w:val="none"/>
        </w:rPr>
      </w:pPr>
    </w:p>
    <w:p w14:paraId="0BAEF6EE">
      <w:pPr>
        <w:spacing w:line="360" w:lineRule="auto"/>
        <w:jc w:val="center"/>
        <w:rPr>
          <w:rFonts w:ascii="宋体" w:hAnsi="宋体"/>
          <w:color w:val="auto"/>
          <w:szCs w:val="20"/>
          <w:highlight w:val="none"/>
        </w:rPr>
      </w:pPr>
    </w:p>
    <w:p w14:paraId="0698DC76">
      <w:pPr>
        <w:spacing w:line="360" w:lineRule="auto"/>
        <w:jc w:val="center"/>
        <w:rPr>
          <w:rFonts w:ascii="宋体" w:hAnsi="宋体"/>
          <w:color w:val="auto"/>
          <w:szCs w:val="20"/>
          <w:highlight w:val="none"/>
        </w:rPr>
      </w:pPr>
    </w:p>
    <w:p w14:paraId="7706CA61">
      <w:pPr>
        <w:spacing w:line="360" w:lineRule="auto"/>
        <w:jc w:val="center"/>
        <w:rPr>
          <w:rFonts w:ascii="宋体" w:hAnsi="宋体"/>
          <w:color w:val="auto"/>
          <w:szCs w:val="20"/>
          <w:highlight w:val="none"/>
        </w:rPr>
      </w:pPr>
    </w:p>
    <w:p w14:paraId="63CD3657">
      <w:pPr>
        <w:spacing w:line="360" w:lineRule="auto"/>
        <w:jc w:val="center"/>
        <w:rPr>
          <w:rFonts w:ascii="宋体" w:hAnsi="宋体"/>
          <w:color w:val="auto"/>
          <w:szCs w:val="20"/>
          <w:highlight w:val="none"/>
        </w:rPr>
      </w:pPr>
    </w:p>
    <w:p w14:paraId="7A7AE0F5">
      <w:pPr>
        <w:spacing w:line="360" w:lineRule="auto"/>
        <w:jc w:val="center"/>
        <w:rPr>
          <w:rFonts w:ascii="宋体" w:hAnsi="宋体"/>
          <w:color w:val="auto"/>
          <w:szCs w:val="20"/>
          <w:highlight w:val="none"/>
        </w:rPr>
      </w:pPr>
    </w:p>
    <w:p w14:paraId="0C4EF4E3">
      <w:pPr>
        <w:spacing w:line="360" w:lineRule="auto"/>
        <w:jc w:val="center"/>
        <w:rPr>
          <w:rFonts w:ascii="宋体" w:hAnsi="宋体"/>
          <w:color w:val="auto"/>
          <w:szCs w:val="20"/>
          <w:highlight w:val="none"/>
        </w:rPr>
      </w:pPr>
    </w:p>
    <w:p w14:paraId="3B62D385">
      <w:pPr>
        <w:spacing w:line="360" w:lineRule="auto"/>
        <w:jc w:val="center"/>
        <w:rPr>
          <w:rFonts w:ascii="宋体" w:hAnsi="宋体"/>
          <w:color w:val="auto"/>
          <w:szCs w:val="20"/>
          <w:highlight w:val="none"/>
        </w:rPr>
      </w:pPr>
    </w:p>
    <w:p w14:paraId="31A10E5A">
      <w:pPr>
        <w:spacing w:line="360" w:lineRule="auto"/>
        <w:jc w:val="center"/>
        <w:rPr>
          <w:rFonts w:ascii="宋体" w:hAnsi="宋体"/>
          <w:color w:val="auto"/>
          <w:szCs w:val="20"/>
          <w:highlight w:val="none"/>
        </w:rPr>
      </w:pPr>
    </w:p>
    <w:p w14:paraId="112FEB49">
      <w:pPr>
        <w:spacing w:line="360" w:lineRule="auto"/>
        <w:jc w:val="center"/>
        <w:rPr>
          <w:rFonts w:ascii="宋体" w:hAnsi="宋体"/>
          <w:color w:val="auto"/>
          <w:szCs w:val="20"/>
          <w:highlight w:val="none"/>
        </w:rPr>
      </w:pPr>
    </w:p>
    <w:p w14:paraId="50EF1415">
      <w:pPr>
        <w:spacing w:line="360" w:lineRule="auto"/>
        <w:jc w:val="center"/>
        <w:rPr>
          <w:rFonts w:ascii="宋体" w:hAnsi="宋体"/>
          <w:color w:val="auto"/>
          <w:szCs w:val="20"/>
          <w:highlight w:val="none"/>
        </w:rPr>
      </w:pPr>
    </w:p>
    <w:p w14:paraId="75FB24F9">
      <w:pPr>
        <w:spacing w:line="360" w:lineRule="auto"/>
        <w:jc w:val="center"/>
        <w:rPr>
          <w:rFonts w:ascii="宋体" w:hAnsi="宋体"/>
          <w:color w:val="auto"/>
          <w:szCs w:val="20"/>
          <w:highlight w:val="none"/>
        </w:rPr>
      </w:pPr>
    </w:p>
    <w:p w14:paraId="6ECD70C9">
      <w:pPr>
        <w:spacing w:line="360" w:lineRule="auto"/>
        <w:jc w:val="center"/>
        <w:rPr>
          <w:rFonts w:ascii="宋体" w:hAnsi="宋体"/>
          <w:color w:val="auto"/>
          <w:szCs w:val="20"/>
          <w:highlight w:val="none"/>
        </w:rPr>
      </w:pPr>
    </w:p>
    <w:p w14:paraId="473C583D">
      <w:pPr>
        <w:spacing w:line="360" w:lineRule="auto"/>
        <w:jc w:val="center"/>
        <w:rPr>
          <w:rFonts w:ascii="宋体" w:hAnsi="宋体"/>
          <w:color w:val="auto"/>
          <w:szCs w:val="20"/>
          <w:highlight w:val="none"/>
        </w:rPr>
      </w:pPr>
    </w:p>
    <w:p w14:paraId="7CDE6D3A">
      <w:pPr>
        <w:spacing w:line="360" w:lineRule="auto"/>
        <w:jc w:val="center"/>
        <w:rPr>
          <w:rFonts w:ascii="宋体" w:hAnsi="宋体"/>
          <w:color w:val="auto"/>
          <w:szCs w:val="20"/>
          <w:highlight w:val="none"/>
        </w:rPr>
      </w:pPr>
    </w:p>
    <w:p w14:paraId="6E106C47">
      <w:pPr>
        <w:spacing w:line="360" w:lineRule="auto"/>
        <w:jc w:val="center"/>
        <w:rPr>
          <w:rFonts w:ascii="宋体" w:hAnsi="宋体"/>
          <w:color w:val="auto"/>
          <w:szCs w:val="20"/>
          <w:highlight w:val="none"/>
        </w:rPr>
      </w:pPr>
    </w:p>
    <w:p w14:paraId="0E19460B">
      <w:pPr>
        <w:spacing w:line="360" w:lineRule="auto"/>
        <w:jc w:val="center"/>
        <w:rPr>
          <w:rFonts w:ascii="宋体" w:hAnsi="宋体"/>
          <w:color w:val="auto"/>
          <w:szCs w:val="20"/>
          <w:highlight w:val="none"/>
        </w:rPr>
      </w:pPr>
    </w:p>
    <w:p w14:paraId="6B33D7C7">
      <w:pPr>
        <w:spacing w:line="360" w:lineRule="auto"/>
        <w:jc w:val="center"/>
        <w:rPr>
          <w:rFonts w:ascii="宋体" w:hAnsi="宋体"/>
          <w:color w:val="auto"/>
          <w:szCs w:val="20"/>
          <w:highlight w:val="none"/>
        </w:rPr>
      </w:pPr>
    </w:p>
    <w:p w14:paraId="74C56184">
      <w:pPr>
        <w:spacing w:line="360" w:lineRule="auto"/>
        <w:jc w:val="center"/>
        <w:rPr>
          <w:rFonts w:ascii="宋体" w:hAnsi="宋体"/>
          <w:color w:val="auto"/>
          <w:szCs w:val="20"/>
          <w:highlight w:val="none"/>
        </w:rPr>
      </w:pPr>
    </w:p>
    <w:p w14:paraId="0E4F7FB5">
      <w:pPr>
        <w:spacing w:line="360" w:lineRule="auto"/>
        <w:jc w:val="center"/>
        <w:rPr>
          <w:rFonts w:ascii="宋体" w:hAnsi="宋体"/>
          <w:color w:val="auto"/>
          <w:szCs w:val="20"/>
          <w:highlight w:val="none"/>
        </w:rPr>
      </w:pPr>
    </w:p>
    <w:p w14:paraId="71C8173F">
      <w:pPr>
        <w:spacing w:line="360" w:lineRule="auto"/>
        <w:jc w:val="center"/>
        <w:rPr>
          <w:rFonts w:ascii="宋体" w:hAnsi="宋体"/>
          <w:color w:val="auto"/>
          <w:szCs w:val="20"/>
          <w:highlight w:val="none"/>
        </w:rPr>
      </w:pPr>
    </w:p>
    <w:p w14:paraId="37814CAD">
      <w:pPr>
        <w:spacing w:line="360" w:lineRule="auto"/>
        <w:jc w:val="center"/>
        <w:rPr>
          <w:rFonts w:ascii="宋体" w:hAnsi="宋体"/>
          <w:color w:val="auto"/>
          <w:szCs w:val="20"/>
          <w:highlight w:val="none"/>
        </w:rPr>
      </w:pPr>
    </w:p>
    <w:p w14:paraId="3AFDA0C0">
      <w:pPr>
        <w:spacing w:line="360" w:lineRule="auto"/>
        <w:jc w:val="center"/>
        <w:rPr>
          <w:rFonts w:ascii="宋体" w:hAnsi="宋体"/>
          <w:color w:val="auto"/>
          <w:szCs w:val="20"/>
          <w:highlight w:val="none"/>
        </w:rPr>
      </w:pPr>
    </w:p>
    <w:p w14:paraId="740D4A5F">
      <w:pPr>
        <w:spacing w:line="360" w:lineRule="auto"/>
        <w:jc w:val="center"/>
        <w:rPr>
          <w:rFonts w:ascii="宋体" w:hAnsi="宋体"/>
          <w:color w:val="auto"/>
          <w:szCs w:val="20"/>
          <w:highlight w:val="none"/>
        </w:rPr>
      </w:pPr>
    </w:p>
    <w:p w14:paraId="3EEC55E9">
      <w:pPr>
        <w:spacing w:line="360" w:lineRule="auto"/>
        <w:jc w:val="center"/>
        <w:rPr>
          <w:rFonts w:ascii="宋体" w:hAnsi="宋体"/>
          <w:color w:val="auto"/>
          <w:szCs w:val="20"/>
          <w:highlight w:val="none"/>
        </w:rPr>
      </w:pPr>
    </w:p>
    <w:p w14:paraId="747E7ED8">
      <w:pPr>
        <w:spacing w:line="360" w:lineRule="auto"/>
        <w:jc w:val="center"/>
        <w:rPr>
          <w:rFonts w:ascii="宋体" w:hAnsi="宋体"/>
          <w:color w:val="auto"/>
          <w:szCs w:val="20"/>
          <w:highlight w:val="none"/>
        </w:rPr>
      </w:pPr>
    </w:p>
    <w:p w14:paraId="390BC019">
      <w:pPr>
        <w:spacing w:line="360" w:lineRule="auto"/>
        <w:jc w:val="center"/>
        <w:rPr>
          <w:rFonts w:ascii="宋体" w:hAnsi="宋体"/>
          <w:color w:val="auto"/>
          <w:szCs w:val="20"/>
          <w:highlight w:val="none"/>
        </w:rPr>
      </w:pPr>
    </w:p>
    <w:p w14:paraId="238485FA">
      <w:pPr>
        <w:spacing w:line="360" w:lineRule="auto"/>
        <w:jc w:val="center"/>
        <w:rPr>
          <w:rFonts w:ascii="宋体" w:hAnsi="宋体"/>
          <w:color w:val="auto"/>
          <w:szCs w:val="20"/>
          <w:highlight w:val="none"/>
        </w:rPr>
      </w:pPr>
    </w:p>
    <w:bookmarkEnd w:id="577"/>
    <w:bookmarkEnd w:id="578"/>
    <w:bookmarkEnd w:id="579"/>
    <w:p w14:paraId="77C072BA">
      <w:pPr>
        <w:spacing w:line="360" w:lineRule="auto"/>
        <w:jc w:val="center"/>
        <w:outlineLvl w:val="0"/>
        <w:rPr>
          <w:rFonts w:ascii="宋体" w:hAnsi="宋体"/>
          <w:color w:val="auto"/>
          <w:szCs w:val="20"/>
          <w:highlight w:val="none"/>
        </w:rPr>
      </w:pPr>
      <w:bookmarkStart w:id="2128" w:name="_Toc26913"/>
      <w:bookmarkStart w:id="2129" w:name="_Toc26407"/>
      <w:r>
        <w:rPr>
          <w:rFonts w:hint="eastAsia" w:ascii="宋体" w:hAnsi="宋体"/>
          <w:b/>
          <w:bCs/>
          <w:color w:val="auto"/>
          <w:sz w:val="36"/>
          <w:szCs w:val="36"/>
          <w:highlight w:val="none"/>
        </w:rPr>
        <w:t>目  录</w:t>
      </w:r>
      <w:bookmarkEnd w:id="2128"/>
      <w:bookmarkEnd w:id="2129"/>
    </w:p>
    <w:p w14:paraId="6BF96816">
      <w:pPr>
        <w:spacing w:line="360" w:lineRule="auto"/>
        <w:outlineLvl w:val="0"/>
        <w:rPr>
          <w:rFonts w:ascii="宋体" w:hAnsi="宋体"/>
          <w:b/>
          <w:color w:val="auto"/>
          <w:highlight w:val="none"/>
        </w:rPr>
      </w:pPr>
      <w:bookmarkStart w:id="2130" w:name="_Toc32740"/>
      <w:bookmarkStart w:id="2131" w:name="_Toc6284"/>
      <w:r>
        <w:rPr>
          <w:rFonts w:hint="eastAsia" w:ascii="宋体" w:hAnsi="宋体"/>
          <w:b/>
          <w:color w:val="auto"/>
          <w:highlight w:val="none"/>
        </w:rPr>
        <w:t>一</w:t>
      </w:r>
      <w:r>
        <w:rPr>
          <w:rFonts w:ascii="宋体" w:hAnsi="宋体"/>
          <w:b/>
          <w:color w:val="auto"/>
          <w:highlight w:val="none"/>
        </w:rPr>
        <w:t>、投标函部分</w:t>
      </w:r>
      <w:bookmarkEnd w:id="2130"/>
      <w:bookmarkEnd w:id="2131"/>
    </w:p>
    <w:p w14:paraId="6A236249">
      <w:pPr>
        <w:spacing w:line="360" w:lineRule="auto"/>
        <w:ind w:firstLine="420" w:firstLineChars="200"/>
        <w:rPr>
          <w:rFonts w:ascii="宋体" w:hAnsi="宋体"/>
          <w:color w:val="auto"/>
          <w:highlight w:val="none"/>
        </w:rPr>
      </w:pPr>
      <w:r>
        <w:rPr>
          <w:rFonts w:ascii="宋体" w:hAnsi="宋体"/>
          <w:color w:val="auto"/>
          <w:highlight w:val="none"/>
        </w:rPr>
        <w:t>（一）投标函</w:t>
      </w:r>
    </w:p>
    <w:p w14:paraId="77C92EB2">
      <w:pPr>
        <w:spacing w:line="360" w:lineRule="auto"/>
        <w:ind w:firstLine="420" w:firstLineChars="200"/>
        <w:rPr>
          <w:rFonts w:ascii="宋体" w:hAnsi="宋体"/>
          <w:color w:val="auto"/>
          <w:highlight w:val="none"/>
        </w:rPr>
      </w:pPr>
      <w:r>
        <w:rPr>
          <w:rFonts w:ascii="宋体" w:hAnsi="宋体"/>
          <w:color w:val="auto"/>
          <w:highlight w:val="none"/>
        </w:rPr>
        <w:t>（二）投标函附录</w:t>
      </w:r>
    </w:p>
    <w:p w14:paraId="49841AF6">
      <w:pPr>
        <w:spacing w:line="360" w:lineRule="auto"/>
        <w:ind w:firstLine="420" w:firstLineChars="200"/>
        <w:rPr>
          <w:rFonts w:ascii="宋体" w:hAnsi="宋体"/>
          <w:color w:val="auto"/>
          <w:highlight w:val="none"/>
        </w:rPr>
      </w:pPr>
      <w:r>
        <w:rPr>
          <w:rFonts w:ascii="宋体" w:hAnsi="宋体"/>
          <w:color w:val="auto"/>
          <w:highlight w:val="none"/>
        </w:rPr>
        <w:t>（三）</w:t>
      </w:r>
      <w:r>
        <w:rPr>
          <w:rFonts w:hint="eastAsia" w:ascii="宋体" w:hAnsi="宋体"/>
          <w:color w:val="auto"/>
          <w:highlight w:val="none"/>
        </w:rPr>
        <w:t>法定代表人身份证明或附有法定代表人身份证明的授权委托书</w:t>
      </w:r>
    </w:p>
    <w:p w14:paraId="2C13F0F7">
      <w:pPr>
        <w:spacing w:line="360" w:lineRule="auto"/>
        <w:ind w:firstLine="420" w:firstLineChars="200"/>
        <w:rPr>
          <w:rFonts w:ascii="宋体" w:hAnsi="宋体"/>
          <w:color w:val="auto"/>
          <w:highlight w:val="none"/>
        </w:rPr>
      </w:pPr>
      <w:r>
        <w:rPr>
          <w:rFonts w:ascii="宋体" w:hAnsi="宋体"/>
          <w:color w:val="auto"/>
          <w:highlight w:val="none"/>
        </w:rPr>
        <w:t>（四）</w:t>
      </w:r>
      <w:r>
        <w:rPr>
          <w:rFonts w:hint="eastAsia" w:ascii="宋体" w:hAnsi="宋体"/>
          <w:color w:val="auto"/>
          <w:highlight w:val="none"/>
        </w:rPr>
        <w:t>低价风险担保</w:t>
      </w:r>
      <w:r>
        <w:rPr>
          <w:rFonts w:hint="eastAsia" w:ascii="宋体" w:hAnsi="宋体"/>
          <w:color w:val="auto"/>
          <w:highlight w:val="none"/>
          <w:lang w:val="en-US" w:eastAsia="zh-CN"/>
        </w:rPr>
        <w:t>提交</w:t>
      </w:r>
      <w:r>
        <w:rPr>
          <w:rFonts w:hint="eastAsia" w:ascii="宋体" w:hAnsi="宋体"/>
          <w:color w:val="auto"/>
          <w:highlight w:val="none"/>
        </w:rPr>
        <w:t>承诺书（如有）</w:t>
      </w:r>
    </w:p>
    <w:p w14:paraId="3CF0EED0">
      <w:pPr>
        <w:spacing w:line="360" w:lineRule="auto"/>
        <w:outlineLvl w:val="0"/>
        <w:rPr>
          <w:rFonts w:ascii="宋体" w:hAnsi="宋体"/>
          <w:b/>
          <w:color w:val="auto"/>
          <w:highlight w:val="none"/>
        </w:rPr>
      </w:pPr>
      <w:bookmarkStart w:id="2132" w:name="_Toc9602"/>
      <w:bookmarkStart w:id="2133" w:name="_Toc4411"/>
      <w:r>
        <w:rPr>
          <w:rFonts w:hint="eastAsia" w:ascii="宋体" w:hAnsi="宋体"/>
          <w:b/>
          <w:color w:val="auto"/>
          <w:highlight w:val="none"/>
        </w:rPr>
        <w:t>二</w:t>
      </w:r>
      <w:r>
        <w:rPr>
          <w:rFonts w:ascii="宋体" w:hAnsi="宋体"/>
          <w:b/>
          <w:color w:val="auto"/>
          <w:highlight w:val="none"/>
        </w:rPr>
        <w:t>、</w:t>
      </w:r>
      <w:r>
        <w:rPr>
          <w:rFonts w:hint="eastAsia" w:ascii="宋体" w:hAnsi="宋体"/>
          <w:b/>
          <w:color w:val="auto"/>
          <w:highlight w:val="none"/>
        </w:rPr>
        <w:t>经济</w:t>
      </w:r>
      <w:r>
        <w:rPr>
          <w:rFonts w:ascii="宋体" w:hAnsi="宋体"/>
          <w:b/>
          <w:color w:val="auto"/>
          <w:highlight w:val="none"/>
        </w:rPr>
        <w:t>部分</w:t>
      </w:r>
      <w:bookmarkEnd w:id="2132"/>
      <w:bookmarkEnd w:id="2133"/>
    </w:p>
    <w:p w14:paraId="113754DD">
      <w:pPr>
        <w:spacing w:line="360" w:lineRule="auto"/>
        <w:ind w:firstLine="420" w:firstLineChars="200"/>
        <w:rPr>
          <w:rFonts w:ascii="宋体" w:hAnsi="宋体"/>
          <w:color w:val="auto"/>
          <w:highlight w:val="none"/>
        </w:rPr>
      </w:pPr>
      <w:r>
        <w:rPr>
          <w:rFonts w:hint="eastAsia" w:ascii="宋体" w:hAnsi="宋体"/>
          <w:color w:val="auto"/>
          <w:highlight w:val="none"/>
        </w:rPr>
        <w:t>已标价工程量清单</w:t>
      </w:r>
    </w:p>
    <w:p w14:paraId="35AE5A2F">
      <w:pPr>
        <w:spacing w:line="360" w:lineRule="auto"/>
        <w:outlineLvl w:val="0"/>
        <w:rPr>
          <w:rFonts w:ascii="宋体" w:hAnsi="宋体"/>
          <w:b/>
          <w:color w:val="auto"/>
          <w:highlight w:val="none"/>
        </w:rPr>
      </w:pPr>
      <w:bookmarkStart w:id="2134" w:name="_Toc7696"/>
      <w:bookmarkStart w:id="2135" w:name="_Toc30360"/>
      <w:r>
        <w:rPr>
          <w:rFonts w:hint="eastAsia" w:ascii="宋体" w:hAnsi="宋体"/>
          <w:b/>
          <w:color w:val="auto"/>
          <w:highlight w:val="none"/>
          <w:lang w:val="en-US" w:eastAsia="zh-CN"/>
        </w:rPr>
        <w:t>三</w:t>
      </w:r>
      <w:r>
        <w:rPr>
          <w:rFonts w:ascii="宋体" w:hAnsi="宋体"/>
          <w:b/>
          <w:color w:val="auto"/>
          <w:highlight w:val="none"/>
        </w:rPr>
        <w:t>、</w:t>
      </w:r>
      <w:r>
        <w:rPr>
          <w:rFonts w:hint="eastAsia" w:ascii="宋体" w:hAnsi="宋体"/>
          <w:b/>
          <w:color w:val="auto"/>
          <w:highlight w:val="none"/>
        </w:rPr>
        <w:t>资格审查部分</w:t>
      </w:r>
      <w:bookmarkEnd w:id="2134"/>
      <w:bookmarkEnd w:id="2135"/>
    </w:p>
    <w:p w14:paraId="3E0B8C0C">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158F969D">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二</w:t>
      </w:r>
      <w:r>
        <w:rPr>
          <w:rFonts w:ascii="宋体" w:hAnsi="宋体"/>
          <w:color w:val="auto"/>
          <w:highlight w:val="none"/>
        </w:rPr>
        <w:t>）投标人基本情况表</w:t>
      </w:r>
    </w:p>
    <w:p w14:paraId="58806440">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三</w:t>
      </w:r>
      <w:r>
        <w:rPr>
          <w:rFonts w:ascii="宋体" w:hAnsi="宋体"/>
          <w:color w:val="auto"/>
          <w:highlight w:val="none"/>
        </w:rPr>
        <w:t>）项目管理机构</w:t>
      </w:r>
    </w:p>
    <w:p w14:paraId="322991C9">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四</w:t>
      </w:r>
      <w:r>
        <w:rPr>
          <w:rFonts w:ascii="宋体" w:hAnsi="宋体"/>
          <w:color w:val="auto"/>
          <w:highlight w:val="none"/>
        </w:rPr>
        <w:t>）</w:t>
      </w:r>
      <w:r>
        <w:rPr>
          <w:rFonts w:hint="eastAsia" w:ascii="宋体" w:hAnsi="宋体"/>
          <w:color w:val="auto"/>
          <w:highlight w:val="none"/>
        </w:rPr>
        <w:t>承诺</w:t>
      </w:r>
    </w:p>
    <w:p w14:paraId="42DA6190">
      <w:pPr>
        <w:spacing w:line="360" w:lineRule="auto"/>
        <w:ind w:firstLine="420" w:firstLineChars="200"/>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五</w:t>
      </w:r>
      <w:r>
        <w:rPr>
          <w:rFonts w:ascii="宋体" w:hAnsi="宋体"/>
          <w:color w:val="auto"/>
          <w:highlight w:val="none"/>
        </w:rPr>
        <w:t>）其他资料</w:t>
      </w:r>
    </w:p>
    <w:p w14:paraId="2C0B1296">
      <w:pPr>
        <w:pStyle w:val="4"/>
        <w:spacing w:line="360" w:lineRule="auto"/>
        <w:jc w:val="center"/>
        <w:outlineLvl w:val="0"/>
        <w:rPr>
          <w:rFonts w:ascii="宋体" w:hAnsi="宋体"/>
          <w:b w:val="0"/>
          <w:bCs w:val="0"/>
          <w:color w:val="auto"/>
          <w:sz w:val="44"/>
          <w:szCs w:val="44"/>
          <w:highlight w:val="none"/>
        </w:rPr>
      </w:pPr>
      <w:r>
        <w:rPr>
          <w:rFonts w:hint="eastAsia" w:ascii="宋体" w:hAnsi="宋体"/>
          <w:color w:val="auto"/>
          <w:highlight w:val="none"/>
        </w:rPr>
        <w:br w:type="page"/>
      </w:r>
      <w:bookmarkStart w:id="2136" w:name="_Toc18743"/>
      <w:bookmarkStart w:id="2137" w:name="_Toc12248"/>
      <w:bookmarkStart w:id="2138" w:name="_Toc33106472"/>
      <w:r>
        <w:rPr>
          <w:rFonts w:hint="eastAsia" w:ascii="宋体" w:hAnsi="宋体"/>
          <w:b w:val="0"/>
          <w:bCs w:val="0"/>
          <w:color w:val="auto"/>
          <w:sz w:val="44"/>
          <w:szCs w:val="44"/>
          <w:highlight w:val="none"/>
        </w:rPr>
        <w:t>一、投标函部分</w:t>
      </w:r>
      <w:bookmarkEnd w:id="2136"/>
      <w:bookmarkEnd w:id="2137"/>
      <w:bookmarkEnd w:id="2138"/>
    </w:p>
    <w:p w14:paraId="5BDC780D">
      <w:pPr>
        <w:rPr>
          <w:rFonts w:hint="eastAsia" w:ascii="宋体" w:hAnsi="宋体"/>
          <w:color w:val="auto"/>
          <w:highlight w:val="none"/>
        </w:rPr>
      </w:pPr>
      <w:r>
        <w:rPr>
          <w:rFonts w:hint="eastAsia" w:ascii="宋体" w:hAnsi="宋体"/>
          <w:color w:val="auto"/>
          <w:highlight w:val="none"/>
        </w:rPr>
        <w:br w:type="page"/>
      </w:r>
    </w:p>
    <w:p w14:paraId="60D4DD1D">
      <w:pPr>
        <w:pStyle w:val="2"/>
        <w:rPr>
          <w:rFonts w:hint="eastAsia" w:ascii="宋体" w:hAnsi="宋体"/>
          <w:color w:val="auto"/>
          <w:highlight w:val="none"/>
        </w:rPr>
      </w:pPr>
    </w:p>
    <w:p w14:paraId="0CCC0336">
      <w:pPr>
        <w:spacing w:line="360" w:lineRule="auto"/>
        <w:jc w:val="center"/>
        <w:outlineLvl w:val="1"/>
        <w:rPr>
          <w:rFonts w:hint="eastAsia" w:ascii="宋体" w:hAnsi="宋体"/>
          <w:color w:val="auto"/>
          <w:kern w:val="0"/>
          <w:sz w:val="32"/>
          <w:szCs w:val="32"/>
          <w:highlight w:val="none"/>
          <w:u w:val="single"/>
        </w:rPr>
      </w:pPr>
      <w:bookmarkStart w:id="2139" w:name="_Toc509218853"/>
      <w:bookmarkStart w:id="2140" w:name="_Toc536800771"/>
      <w:bookmarkStart w:id="2141" w:name="_Toc534185830"/>
      <w:r>
        <w:rPr>
          <w:rFonts w:hint="eastAsia" w:ascii="宋体" w:hAnsi="宋体"/>
          <w:b/>
          <w:color w:val="auto"/>
          <w:sz w:val="32"/>
          <w:szCs w:val="32"/>
          <w:highlight w:val="none"/>
        </w:rPr>
        <w:t xml:space="preserve"> </w:t>
      </w:r>
      <w:r>
        <w:rPr>
          <w:rFonts w:hint="eastAsia" w:ascii="宋体" w:hAnsi="宋体"/>
          <w:color w:val="auto"/>
          <w:kern w:val="0"/>
          <w:sz w:val="32"/>
          <w:szCs w:val="32"/>
          <w:highlight w:val="none"/>
          <w:u w:val="single"/>
        </w:rPr>
        <w:t xml:space="preserve">                   </w:t>
      </w:r>
      <w:bookmarkStart w:id="2142" w:name="_Toc7332"/>
      <w:bookmarkStart w:id="2143" w:name="_Toc15062"/>
      <w:r>
        <w:rPr>
          <w:rFonts w:hint="eastAsia" w:ascii="宋体" w:hAnsi="宋体"/>
          <w:color w:val="auto"/>
          <w:kern w:val="0"/>
          <w:sz w:val="32"/>
          <w:szCs w:val="32"/>
          <w:highlight w:val="none"/>
          <w:u w:val="single"/>
        </w:rPr>
        <w:t>（项目名称）</w:t>
      </w:r>
      <w:bookmarkEnd w:id="2142"/>
      <w:bookmarkEnd w:id="2143"/>
    </w:p>
    <w:p w14:paraId="30EA96FD">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1E19328">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76293C4">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B3A23F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CE00FEB">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7F7E52C9">
      <w:pPr>
        <w:autoSpaceDE w:val="0"/>
        <w:autoSpaceDN w:val="0"/>
        <w:adjustRightInd w:val="0"/>
        <w:snapToGrid w:val="0"/>
        <w:spacing w:line="360" w:lineRule="auto"/>
        <w:jc w:val="left"/>
        <w:rPr>
          <w:rFonts w:ascii="宋体" w:hAnsi="宋体"/>
          <w:color w:val="auto"/>
          <w:kern w:val="0"/>
          <w:sz w:val="16"/>
          <w:szCs w:val="16"/>
          <w:highlight w:val="none"/>
        </w:rPr>
      </w:pPr>
    </w:p>
    <w:p w14:paraId="087B2552">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投标函部分</w:t>
      </w:r>
    </w:p>
    <w:p w14:paraId="755FA373">
      <w:pPr>
        <w:autoSpaceDE w:val="0"/>
        <w:autoSpaceDN w:val="0"/>
        <w:adjustRightInd w:val="0"/>
        <w:snapToGrid w:val="0"/>
        <w:spacing w:line="360" w:lineRule="auto"/>
        <w:jc w:val="left"/>
        <w:rPr>
          <w:rFonts w:ascii="宋体" w:hAnsi="宋体"/>
          <w:b/>
          <w:color w:val="auto"/>
          <w:kern w:val="0"/>
          <w:sz w:val="20"/>
          <w:szCs w:val="20"/>
          <w:highlight w:val="none"/>
        </w:rPr>
      </w:pPr>
    </w:p>
    <w:p w14:paraId="14031A4B">
      <w:pPr>
        <w:autoSpaceDE w:val="0"/>
        <w:autoSpaceDN w:val="0"/>
        <w:adjustRightInd w:val="0"/>
        <w:snapToGrid w:val="0"/>
        <w:spacing w:line="360" w:lineRule="auto"/>
        <w:jc w:val="left"/>
        <w:rPr>
          <w:rFonts w:ascii="宋体" w:hAnsi="宋体"/>
          <w:b/>
          <w:color w:val="auto"/>
          <w:kern w:val="0"/>
          <w:sz w:val="20"/>
          <w:szCs w:val="20"/>
          <w:highlight w:val="none"/>
        </w:rPr>
      </w:pPr>
    </w:p>
    <w:p w14:paraId="25BBC5EB">
      <w:pPr>
        <w:autoSpaceDE w:val="0"/>
        <w:autoSpaceDN w:val="0"/>
        <w:adjustRightInd w:val="0"/>
        <w:snapToGrid w:val="0"/>
        <w:spacing w:line="360" w:lineRule="auto"/>
        <w:jc w:val="left"/>
        <w:rPr>
          <w:rFonts w:ascii="宋体" w:hAnsi="宋体"/>
          <w:b/>
          <w:color w:val="auto"/>
          <w:kern w:val="0"/>
          <w:sz w:val="20"/>
          <w:szCs w:val="20"/>
          <w:highlight w:val="none"/>
        </w:rPr>
      </w:pPr>
    </w:p>
    <w:p w14:paraId="3C21DA0E">
      <w:pPr>
        <w:autoSpaceDE w:val="0"/>
        <w:autoSpaceDN w:val="0"/>
        <w:adjustRightInd w:val="0"/>
        <w:snapToGrid w:val="0"/>
        <w:spacing w:line="360" w:lineRule="auto"/>
        <w:jc w:val="left"/>
        <w:rPr>
          <w:rFonts w:ascii="宋体" w:hAnsi="宋体"/>
          <w:b/>
          <w:color w:val="auto"/>
          <w:kern w:val="0"/>
          <w:sz w:val="20"/>
          <w:szCs w:val="20"/>
          <w:highlight w:val="none"/>
        </w:rPr>
      </w:pPr>
    </w:p>
    <w:p w14:paraId="3F4ED0B2">
      <w:pPr>
        <w:autoSpaceDE w:val="0"/>
        <w:autoSpaceDN w:val="0"/>
        <w:adjustRightInd w:val="0"/>
        <w:snapToGrid w:val="0"/>
        <w:spacing w:line="360" w:lineRule="auto"/>
        <w:jc w:val="left"/>
        <w:rPr>
          <w:rFonts w:ascii="宋体" w:hAnsi="宋体"/>
          <w:b/>
          <w:color w:val="auto"/>
          <w:kern w:val="0"/>
          <w:sz w:val="20"/>
          <w:szCs w:val="20"/>
          <w:highlight w:val="none"/>
        </w:rPr>
      </w:pPr>
    </w:p>
    <w:p w14:paraId="5EF4C037">
      <w:pPr>
        <w:autoSpaceDE w:val="0"/>
        <w:autoSpaceDN w:val="0"/>
        <w:adjustRightInd w:val="0"/>
        <w:snapToGrid w:val="0"/>
        <w:spacing w:line="360" w:lineRule="auto"/>
        <w:jc w:val="left"/>
        <w:rPr>
          <w:rFonts w:ascii="宋体" w:hAnsi="宋体"/>
          <w:b/>
          <w:color w:val="auto"/>
          <w:kern w:val="0"/>
          <w:sz w:val="20"/>
          <w:szCs w:val="20"/>
          <w:highlight w:val="none"/>
        </w:rPr>
      </w:pPr>
    </w:p>
    <w:p w14:paraId="7D7FFD08">
      <w:pPr>
        <w:autoSpaceDE w:val="0"/>
        <w:autoSpaceDN w:val="0"/>
        <w:adjustRightInd w:val="0"/>
        <w:snapToGrid w:val="0"/>
        <w:spacing w:line="360" w:lineRule="auto"/>
        <w:jc w:val="left"/>
        <w:rPr>
          <w:rFonts w:ascii="宋体" w:hAnsi="宋体"/>
          <w:b/>
          <w:color w:val="auto"/>
          <w:kern w:val="0"/>
          <w:sz w:val="20"/>
          <w:szCs w:val="20"/>
          <w:highlight w:val="none"/>
        </w:rPr>
      </w:pPr>
    </w:p>
    <w:p w14:paraId="128078CE">
      <w:pPr>
        <w:autoSpaceDE w:val="0"/>
        <w:autoSpaceDN w:val="0"/>
        <w:adjustRightInd w:val="0"/>
        <w:snapToGrid w:val="0"/>
        <w:spacing w:line="360" w:lineRule="auto"/>
        <w:jc w:val="left"/>
        <w:rPr>
          <w:rFonts w:ascii="宋体" w:hAnsi="宋体"/>
          <w:b/>
          <w:color w:val="auto"/>
          <w:kern w:val="0"/>
          <w:sz w:val="20"/>
          <w:szCs w:val="20"/>
          <w:highlight w:val="none"/>
        </w:rPr>
      </w:pPr>
    </w:p>
    <w:p w14:paraId="6312F096">
      <w:pPr>
        <w:autoSpaceDE w:val="0"/>
        <w:autoSpaceDN w:val="0"/>
        <w:adjustRightInd w:val="0"/>
        <w:snapToGrid w:val="0"/>
        <w:spacing w:line="360" w:lineRule="auto"/>
        <w:jc w:val="left"/>
        <w:rPr>
          <w:rFonts w:ascii="宋体" w:hAnsi="宋体"/>
          <w:b/>
          <w:color w:val="auto"/>
          <w:kern w:val="0"/>
          <w:sz w:val="20"/>
          <w:szCs w:val="20"/>
          <w:highlight w:val="none"/>
        </w:rPr>
      </w:pPr>
    </w:p>
    <w:p w14:paraId="6A445717">
      <w:pPr>
        <w:autoSpaceDE w:val="0"/>
        <w:autoSpaceDN w:val="0"/>
        <w:adjustRightInd w:val="0"/>
        <w:snapToGrid w:val="0"/>
        <w:spacing w:line="360" w:lineRule="auto"/>
        <w:jc w:val="left"/>
        <w:rPr>
          <w:rFonts w:ascii="宋体" w:hAnsi="宋体"/>
          <w:b/>
          <w:color w:val="auto"/>
          <w:kern w:val="0"/>
          <w:sz w:val="20"/>
          <w:szCs w:val="20"/>
          <w:highlight w:val="none"/>
        </w:rPr>
      </w:pPr>
    </w:p>
    <w:p w14:paraId="0C1E0005">
      <w:pPr>
        <w:autoSpaceDE w:val="0"/>
        <w:autoSpaceDN w:val="0"/>
        <w:adjustRightInd w:val="0"/>
        <w:snapToGrid w:val="0"/>
        <w:spacing w:line="360" w:lineRule="auto"/>
        <w:jc w:val="left"/>
        <w:rPr>
          <w:rFonts w:ascii="宋体" w:hAnsi="宋体"/>
          <w:b/>
          <w:color w:val="auto"/>
          <w:kern w:val="0"/>
          <w:sz w:val="20"/>
          <w:szCs w:val="20"/>
          <w:highlight w:val="none"/>
        </w:rPr>
      </w:pPr>
    </w:p>
    <w:p w14:paraId="13B896F0">
      <w:pPr>
        <w:tabs>
          <w:tab w:val="left" w:pos="6080"/>
          <w:tab w:val="left" w:pos="6640"/>
        </w:tabs>
        <w:autoSpaceDE w:val="0"/>
        <w:autoSpaceDN w:val="0"/>
        <w:adjustRightInd w:val="0"/>
        <w:snapToGrid w:val="0"/>
        <w:spacing w:after="156" w:afterLines="50" w:line="360" w:lineRule="auto"/>
        <w:jc w:val="center"/>
        <w:outlineLvl w:val="1"/>
        <w:rPr>
          <w:rFonts w:ascii="宋体" w:hAnsi="宋体"/>
          <w:color w:val="auto"/>
          <w:w w:val="99"/>
          <w:kern w:val="0"/>
          <w:sz w:val="28"/>
          <w:szCs w:val="28"/>
          <w:highlight w:val="none"/>
        </w:rPr>
      </w:pPr>
      <w:bookmarkStart w:id="2144" w:name="_Toc10673"/>
      <w:bookmarkStart w:id="2145" w:name="_Toc23881"/>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bookmarkEnd w:id="2144"/>
      <w:bookmarkEnd w:id="2145"/>
    </w:p>
    <w:p w14:paraId="700BF181">
      <w:pPr>
        <w:tabs>
          <w:tab w:val="left" w:pos="6080"/>
          <w:tab w:val="left" w:pos="6640"/>
        </w:tabs>
        <w:autoSpaceDE w:val="0"/>
        <w:autoSpaceDN w:val="0"/>
        <w:adjustRightInd w:val="0"/>
        <w:snapToGrid w:val="0"/>
        <w:spacing w:after="156" w:afterLines="50" w:line="360" w:lineRule="auto"/>
        <w:jc w:val="center"/>
        <w:outlineLvl w:val="1"/>
        <w:rPr>
          <w:rFonts w:ascii="宋体" w:hAnsi="宋体"/>
          <w:color w:val="auto"/>
          <w:kern w:val="0"/>
          <w:sz w:val="28"/>
          <w:szCs w:val="28"/>
          <w:highlight w:val="none"/>
        </w:rPr>
      </w:pPr>
      <w:bookmarkStart w:id="2146" w:name="_Toc28919"/>
      <w:bookmarkStart w:id="2147" w:name="_Toc24155"/>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lang w:eastAsia="zh-CN"/>
        </w:rPr>
        <w:t>签名</w:t>
      </w:r>
      <w:r>
        <w:rPr>
          <w:rFonts w:ascii="宋体" w:hAnsi="宋体"/>
          <w:color w:val="auto"/>
          <w:w w:val="99"/>
          <w:kern w:val="0"/>
          <w:sz w:val="28"/>
          <w:szCs w:val="28"/>
          <w:highlight w:val="none"/>
        </w:rPr>
        <w:t>或盖章）</w:t>
      </w:r>
      <w:bookmarkEnd w:id="2146"/>
      <w:bookmarkEnd w:id="2147"/>
    </w:p>
    <w:p w14:paraId="2E98720B">
      <w:pPr>
        <w:tabs>
          <w:tab w:val="left" w:pos="2580"/>
          <w:tab w:val="left" w:pos="5940"/>
        </w:tabs>
        <w:autoSpaceDE w:val="0"/>
        <w:autoSpaceDN w:val="0"/>
        <w:adjustRightInd w:val="0"/>
        <w:snapToGrid w:val="0"/>
        <w:spacing w:line="360" w:lineRule="auto"/>
        <w:ind w:firstLine="2940"/>
        <w:jc w:val="left"/>
        <w:rPr>
          <w:rFonts w:hint="eastAsia" w:ascii="宋体" w:hAnsi="宋体" w:cs="宋体"/>
          <w:bCs/>
          <w:color w:val="auto"/>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highlight w:val="none"/>
        </w:rPr>
        <w:br w:type="page"/>
      </w:r>
      <w:bookmarkEnd w:id="2139"/>
      <w:bookmarkEnd w:id="2140"/>
      <w:bookmarkEnd w:id="2141"/>
      <w:bookmarkStart w:id="2148" w:name="_Toc287620813"/>
      <w:bookmarkStart w:id="2149" w:name="_Toc224103494"/>
      <w:bookmarkStart w:id="2150" w:name="_Toc430530529"/>
      <w:bookmarkStart w:id="2151" w:name="_Toc287607866"/>
      <w:bookmarkStart w:id="2152" w:name="_Toc277082642"/>
    </w:p>
    <w:bookmarkEnd w:id="2148"/>
    <w:bookmarkEnd w:id="2149"/>
    <w:bookmarkEnd w:id="2150"/>
    <w:bookmarkEnd w:id="2151"/>
    <w:bookmarkEnd w:id="2152"/>
    <w:p w14:paraId="3D2BA995">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7B773D8D">
      <w:pPr>
        <w:autoSpaceDE w:val="0"/>
        <w:autoSpaceDN w:val="0"/>
        <w:adjustRightInd w:val="0"/>
        <w:snapToGrid w:val="0"/>
        <w:spacing w:line="360" w:lineRule="auto"/>
        <w:jc w:val="left"/>
        <w:rPr>
          <w:rFonts w:ascii="宋体" w:hAnsi="宋体"/>
          <w:color w:val="auto"/>
          <w:kern w:val="0"/>
          <w:sz w:val="24"/>
          <w:szCs w:val="21"/>
          <w:highlight w:val="none"/>
        </w:rPr>
      </w:pPr>
    </w:p>
    <w:p w14:paraId="599F7574">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（一）投标函</w:t>
      </w:r>
    </w:p>
    <w:p w14:paraId="49353445">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（二）投标函附录</w:t>
      </w:r>
    </w:p>
    <w:p w14:paraId="675BB848">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（三）</w:t>
      </w:r>
      <w:r>
        <w:rPr>
          <w:rFonts w:hint="eastAsia" w:ascii="宋体" w:hAnsi="宋体"/>
          <w:color w:val="auto"/>
          <w:kern w:val="0"/>
          <w:sz w:val="24"/>
          <w:highlight w:val="none"/>
        </w:rPr>
        <w:t>法定代表人身份证明或附有法定代表人身份证明的授权委托书</w:t>
      </w:r>
    </w:p>
    <w:p w14:paraId="5426D943">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（四）</w:t>
      </w:r>
      <w:r>
        <w:rPr>
          <w:rFonts w:hint="eastAsia" w:ascii="宋体" w:hAnsi="宋体"/>
          <w:color w:val="auto"/>
          <w:kern w:val="0"/>
          <w:sz w:val="24"/>
          <w:highlight w:val="none"/>
        </w:rPr>
        <w:t>低价风险担保</w:t>
      </w:r>
      <w:r>
        <w:rPr>
          <w:rFonts w:hint="eastAsia" w:ascii="宋体" w:hAnsi="宋体"/>
          <w:color w:val="auto"/>
          <w:kern w:val="0"/>
          <w:sz w:val="24"/>
          <w:highlight w:val="none"/>
          <w:lang w:val="en-US" w:eastAsia="zh-CN"/>
        </w:rPr>
        <w:t>提交</w:t>
      </w:r>
      <w:r>
        <w:rPr>
          <w:rFonts w:hint="eastAsia" w:ascii="宋体" w:hAnsi="宋体"/>
          <w:color w:val="auto"/>
          <w:kern w:val="0"/>
          <w:sz w:val="24"/>
          <w:highlight w:val="none"/>
        </w:rPr>
        <w:t>承诺书（如有）</w:t>
      </w:r>
    </w:p>
    <w:p w14:paraId="7EC41AE1">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eastAsia" w:ascii="宋体" w:hAnsi="宋体" w:cs="宋体"/>
          <w:b w:val="0"/>
          <w:color w:val="auto"/>
          <w:highlight w:val="none"/>
        </w:rPr>
      </w:pPr>
      <w:r>
        <w:rPr>
          <w:rFonts w:hint="eastAsia" w:ascii="宋体" w:hAnsi="宋体" w:cs="宋体"/>
          <w:color w:val="auto"/>
          <w:kern w:val="0"/>
          <w:sz w:val="28"/>
          <w:szCs w:val="28"/>
          <w:highlight w:val="none"/>
          <w:u w:val="single"/>
        </w:rPr>
        <w:br w:type="page"/>
      </w:r>
      <w:bookmarkStart w:id="2153" w:name="_Toc18904"/>
      <w:bookmarkStart w:id="2154" w:name="_Toc287607867"/>
      <w:bookmarkStart w:id="2155" w:name="_Toc224103495"/>
      <w:bookmarkStart w:id="2156" w:name="_Toc430530530"/>
      <w:bookmarkStart w:id="2157" w:name="_Toc509218854"/>
      <w:bookmarkStart w:id="2158" w:name="_Toc655"/>
      <w:bookmarkStart w:id="2159" w:name="_Toc277082643"/>
      <w:bookmarkStart w:id="2160" w:name="_Toc534185831"/>
      <w:bookmarkStart w:id="2161" w:name="_Toc287620814"/>
      <w:bookmarkStart w:id="2162" w:name="_Toc536800772"/>
      <w:r>
        <w:rPr>
          <w:rFonts w:hint="eastAsia" w:ascii="宋体" w:hAnsi="宋体" w:cs="宋体"/>
          <w:b w:val="0"/>
          <w:bCs w:val="0"/>
          <w:color w:val="auto"/>
          <w:highlight w:val="none"/>
        </w:rPr>
        <w:t>（一）投标函</w:t>
      </w:r>
      <w:bookmarkEnd w:id="2153"/>
      <w:bookmarkEnd w:id="2154"/>
      <w:bookmarkEnd w:id="2155"/>
      <w:bookmarkEnd w:id="2156"/>
      <w:bookmarkEnd w:id="2157"/>
      <w:bookmarkEnd w:id="2158"/>
      <w:bookmarkEnd w:id="2159"/>
      <w:bookmarkEnd w:id="2160"/>
      <w:bookmarkEnd w:id="2161"/>
      <w:bookmarkEnd w:id="2162"/>
    </w:p>
    <w:p w14:paraId="4CD7E95A">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val="en-US" w:eastAsia="zh-CN"/>
        </w:rPr>
        <w:t>比选</w:t>
      </w:r>
      <w:r>
        <w:rPr>
          <w:rFonts w:ascii="宋体" w:hAnsi="宋体"/>
          <w:snapToGrid w:val="0"/>
          <w:color w:val="auto"/>
          <w:kern w:val="0"/>
          <w:szCs w:val="21"/>
          <w:highlight w:val="none"/>
          <w:u w:val="single"/>
        </w:rPr>
        <w:t>人名称）</w:t>
      </w:r>
      <w:r>
        <w:rPr>
          <w:rFonts w:ascii="宋体" w:hAnsi="宋体"/>
          <w:snapToGrid w:val="0"/>
          <w:color w:val="auto"/>
          <w:kern w:val="0"/>
          <w:szCs w:val="21"/>
          <w:highlight w:val="none"/>
        </w:rPr>
        <w:t>：</w:t>
      </w:r>
    </w:p>
    <w:p w14:paraId="5A8FAF10">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招标文件的全部内容，愿意以人民币（大写）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）的投标总报价进行报价，其中</w:t>
      </w:r>
      <w:r>
        <w:rPr>
          <w:rFonts w:ascii="宋体" w:hAnsi="宋体"/>
          <w:snapToGrid w:val="0"/>
          <w:color w:val="auto"/>
          <w:kern w:val="0"/>
          <w:highlight w:val="none"/>
        </w:rPr>
        <w:t>安全文明施工费暂定金额为人民币</w:t>
      </w:r>
      <w:r>
        <w:rPr>
          <w:rFonts w:ascii="宋体" w:hAnsi="宋体"/>
          <w:snapToGrid w:val="0"/>
          <w:color w:val="auto"/>
          <w:kern w:val="0"/>
          <w:szCs w:val="21"/>
          <w:highlight w:val="none"/>
        </w:rPr>
        <w:t>（大写）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），该工程</w:t>
      </w:r>
      <w:r>
        <w:rPr>
          <w:rFonts w:ascii="宋体" w:hAnsi="宋体"/>
          <w:snapToGrid w:val="0"/>
          <w:color w:val="auto"/>
          <w:kern w:val="0"/>
          <w:highlight w:val="none"/>
        </w:rPr>
        <w:t>项目经理为</w:t>
      </w:r>
      <w:r>
        <w:rPr>
          <w:rFonts w:hint="eastAsia" w:ascii="宋体" w:hAnsi="宋体"/>
          <w:snapToGrid w:val="0"/>
          <w:color w:val="auto"/>
          <w:kern w:val="0"/>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u w:val="single"/>
        </w:rPr>
        <w:t>达到招标文件的要求</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缺陷责任期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 xml:space="preserve"> 按合同约定实施和完成承包工程，修补工程中的任何缺陷，工程质量</w:t>
      </w:r>
      <w:r>
        <w:rPr>
          <w:rFonts w:hint="eastAsia" w:ascii="宋体" w:hAnsi="宋体"/>
          <w:snapToGrid w:val="0"/>
          <w:color w:val="auto"/>
          <w:kern w:val="0"/>
          <w:szCs w:val="21"/>
          <w:highlight w:val="none"/>
          <w:u w:val="single"/>
        </w:rPr>
        <w:t>达到招标文件的要求</w:t>
      </w:r>
      <w:r>
        <w:rPr>
          <w:rFonts w:ascii="宋体" w:hAnsi="宋体"/>
          <w:snapToGrid w:val="0"/>
          <w:color w:val="auto"/>
          <w:kern w:val="0"/>
          <w:szCs w:val="21"/>
          <w:highlight w:val="none"/>
        </w:rPr>
        <w:t>。</w:t>
      </w:r>
    </w:p>
    <w:p w14:paraId="4D7486F6">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响应招标文件规定的投标有效期，</w:t>
      </w:r>
      <w:r>
        <w:rPr>
          <w:rFonts w:ascii="宋体" w:hAnsi="宋体"/>
          <w:snapToGrid w:val="0"/>
          <w:color w:val="auto"/>
          <w:kern w:val="0"/>
          <w:szCs w:val="21"/>
          <w:highlight w:val="none"/>
        </w:rPr>
        <w:t>在投标有效期内不修改、撤销投标文件。</w:t>
      </w:r>
    </w:p>
    <w:p w14:paraId="468583EB">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随同本投标函提交投标保证金一份，金额为人民币（大写）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投标保证金有效期</w:t>
      </w:r>
      <w:r>
        <w:rPr>
          <w:rFonts w:ascii="宋体" w:hAnsi="宋体"/>
          <w:snapToGrid w:val="0"/>
          <w:color w:val="auto"/>
          <w:kern w:val="0"/>
          <w:szCs w:val="21"/>
          <w:highlight w:val="none"/>
        </w:rPr>
        <w:t>与</w:t>
      </w:r>
      <w:r>
        <w:rPr>
          <w:rFonts w:hint="eastAsia" w:ascii="宋体" w:hAnsi="宋体"/>
          <w:snapToGrid w:val="0"/>
          <w:color w:val="auto"/>
          <w:kern w:val="0"/>
          <w:szCs w:val="21"/>
          <w:highlight w:val="none"/>
        </w:rPr>
        <w:t>投标有效期</w:t>
      </w:r>
      <w:r>
        <w:rPr>
          <w:rFonts w:ascii="宋体" w:hAnsi="宋体"/>
          <w:snapToGrid w:val="0"/>
          <w:color w:val="auto"/>
          <w:kern w:val="0"/>
          <w:szCs w:val="21"/>
          <w:highlight w:val="none"/>
        </w:rPr>
        <w:t>一致，在此期间，若我方违反招投标有关法律、法规及本招标文件的相关规定，投标保证金的受益人为招标人。</w:t>
      </w:r>
    </w:p>
    <w:p w14:paraId="6C1EE4C4">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14:paraId="1FE477CF">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14:paraId="1A2F29C6">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（2）随同本投标函递交的投标函附录属于合同文件的组成部分。</w:t>
      </w:r>
    </w:p>
    <w:p w14:paraId="758AC06F">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（3）我方承诺按照招标文件规定向你方递交履约担保。</w:t>
      </w:r>
    </w:p>
    <w:p w14:paraId="7DFD0603">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14:paraId="4ACF1AE5">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rPr>
        <w:t>（5）我方承诺以不低于招标文件第七章 技术标准和要求中所列的技术指标和参数要求完成全部合同工程。</w:t>
      </w:r>
    </w:p>
    <w:p w14:paraId="27845D42">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在此声明，所递交的投标文件及有关资料内容完整、真实和准确，且不存在第二章“投标人</w:t>
      </w:r>
      <w:r>
        <w:rPr>
          <w:rFonts w:ascii="宋体" w:hAnsi="宋体"/>
          <w:snapToGrid w:val="0"/>
          <w:color w:val="auto"/>
          <w:kern w:val="0"/>
          <w:szCs w:val="21"/>
          <w:highlight w:val="none"/>
        </w:rPr>
        <w:t>须知”第 1.4.3 项规定的任何一种情形。同时我方承诺接受招标文件及附件、</w:t>
      </w:r>
      <w:r>
        <w:rPr>
          <w:rFonts w:hint="eastAsia" w:ascii="宋体" w:hAnsi="宋体"/>
          <w:snapToGrid w:val="0"/>
          <w:color w:val="auto"/>
          <w:kern w:val="0"/>
          <w:szCs w:val="21"/>
          <w:highlight w:val="none"/>
        </w:rPr>
        <w:t>澄清</w:t>
      </w:r>
      <w:r>
        <w:rPr>
          <w:rFonts w:ascii="宋体" w:hAnsi="宋体"/>
          <w:snapToGrid w:val="0"/>
          <w:color w:val="auto"/>
          <w:kern w:val="0"/>
          <w:szCs w:val="21"/>
          <w:highlight w:val="none"/>
        </w:rPr>
        <w:t>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01A532BE">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14:paraId="609477A8">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449B66F5">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7868BFD0">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65532B50">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7F24152">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89DA0D4">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1646C1F2">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77B2AB73">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276A9796">
      <w:pPr>
        <w:keepNext w:val="0"/>
        <w:keepLines w:val="0"/>
        <w:pageBreakBefore w:val="0"/>
        <w:widowControl w:val="0"/>
        <w:tabs>
          <w:tab w:val="left" w:pos="8300"/>
        </w:tabs>
        <w:kinsoku/>
        <w:wordWrap/>
        <w:overflowPunct/>
        <w:topLinePunct w:val="0"/>
        <w:autoSpaceDE w:val="0"/>
        <w:autoSpaceDN w:val="0"/>
        <w:bidi w:val="0"/>
        <w:adjustRightInd w:val="0"/>
        <w:snapToGrid/>
        <w:spacing w:line="380" w:lineRule="exact"/>
        <w:ind w:firstLine="420" w:firstLineChars="200"/>
        <w:jc w:val="right"/>
        <w:textAlignment w:val="auto"/>
        <w:rPr>
          <w:rFonts w:ascii="宋体" w:hAnsi="宋体"/>
          <w:snapToGrid w:val="0"/>
          <w:color w:val="auto"/>
          <w:kern w:val="0"/>
          <w:sz w:val="20"/>
          <w:szCs w:val="20"/>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2EA032D7">
      <w:pPr>
        <w:pStyle w:val="5"/>
        <w:spacing w:before="0" w:line="360" w:lineRule="auto"/>
        <w:jc w:val="center"/>
        <w:outlineLvl w:val="1"/>
        <w:rPr>
          <w:rFonts w:ascii="宋体" w:hAnsi="宋体"/>
          <w:snapToGrid w:val="0"/>
          <w:color w:val="auto"/>
          <w:kern w:val="0"/>
          <w:szCs w:val="21"/>
          <w:highlight w:val="none"/>
        </w:rPr>
      </w:pPr>
      <w:r>
        <w:rPr>
          <w:rFonts w:hint="eastAsia" w:ascii="宋体" w:hAnsi="宋体" w:cs="宋体"/>
          <w:snapToGrid w:val="0"/>
          <w:color w:val="auto"/>
          <w:highlight w:val="none"/>
        </w:rPr>
        <w:br w:type="page"/>
      </w:r>
      <w:bookmarkStart w:id="2163" w:name="_Toc534185832"/>
      <w:bookmarkStart w:id="2164" w:name="_Toc16253"/>
      <w:bookmarkStart w:id="2165" w:name="_Toc509218855"/>
      <w:bookmarkStart w:id="2166" w:name="_Toc886"/>
      <w:bookmarkStart w:id="2167" w:name="_Toc224103497"/>
      <w:bookmarkStart w:id="2168" w:name="_Toc287620816"/>
      <w:bookmarkStart w:id="2169" w:name="_Toc430530532"/>
      <w:bookmarkStart w:id="2170" w:name="_Toc277082645"/>
      <w:bookmarkStart w:id="2171" w:name="_Toc287607869"/>
      <w:r>
        <w:rPr>
          <w:rFonts w:hint="eastAsia" w:ascii="宋体" w:hAnsi="宋体" w:cs="宋体"/>
          <w:b w:val="0"/>
          <w:bCs w:val="0"/>
          <w:color w:val="auto"/>
          <w:highlight w:val="none"/>
        </w:rPr>
        <w:t>（二）投标函附录</w:t>
      </w:r>
      <w:bookmarkEnd w:id="2163"/>
      <w:bookmarkEnd w:id="2164"/>
      <w:bookmarkEnd w:id="2165"/>
      <w:bookmarkEnd w:id="2166"/>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376CA3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4C114E3D">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2582" w:type="dxa"/>
            <w:noWrap w:val="0"/>
            <w:vAlign w:val="center"/>
          </w:tcPr>
          <w:p w14:paraId="0BC97740">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条款名称</w:t>
            </w:r>
          </w:p>
        </w:tc>
        <w:tc>
          <w:tcPr>
            <w:tcW w:w="2388" w:type="dxa"/>
            <w:noWrap w:val="0"/>
            <w:vAlign w:val="center"/>
          </w:tcPr>
          <w:p w14:paraId="7FF21041">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合同条款号</w:t>
            </w:r>
          </w:p>
        </w:tc>
        <w:tc>
          <w:tcPr>
            <w:tcW w:w="2987" w:type="dxa"/>
            <w:noWrap w:val="0"/>
            <w:vAlign w:val="center"/>
          </w:tcPr>
          <w:p w14:paraId="35AAC43E">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约定内容</w:t>
            </w:r>
          </w:p>
        </w:tc>
        <w:tc>
          <w:tcPr>
            <w:tcW w:w="792" w:type="dxa"/>
            <w:noWrap w:val="0"/>
            <w:vAlign w:val="center"/>
          </w:tcPr>
          <w:p w14:paraId="3ACBF726">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r>
      <w:tr w14:paraId="2A6217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02641E30">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2582" w:type="dxa"/>
            <w:noWrap w:val="0"/>
            <w:vAlign w:val="center"/>
          </w:tcPr>
          <w:p w14:paraId="3C632FA9">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2388" w:type="dxa"/>
            <w:noWrap w:val="0"/>
            <w:vAlign w:val="center"/>
          </w:tcPr>
          <w:p w14:paraId="3A6F9A01">
            <w:pPr>
              <w:tabs>
                <w:tab w:val="left" w:pos="2051"/>
              </w:tabs>
              <w:autoSpaceDE w:val="0"/>
              <w:autoSpaceDN w:val="0"/>
              <w:adjustRightInd w:val="0"/>
              <w:jc w:val="center"/>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w:t>
            </w:r>
          </w:p>
        </w:tc>
        <w:tc>
          <w:tcPr>
            <w:tcW w:w="2987" w:type="dxa"/>
            <w:noWrap w:val="0"/>
            <w:vAlign w:val="center"/>
          </w:tcPr>
          <w:p w14:paraId="3E72A9C1">
            <w:pPr>
              <w:tabs>
                <w:tab w:val="left" w:pos="1560"/>
              </w:tabs>
              <w:autoSpaceDE w:val="0"/>
              <w:autoSpaceDN w:val="0"/>
              <w:adjustRightInd w:val="0"/>
              <w:jc w:val="center"/>
              <w:rPr>
                <w:rFonts w:ascii="宋体" w:hAnsi="宋体"/>
                <w:snapToGrid w:val="0"/>
                <w:color w:val="auto"/>
                <w:kern w:val="0"/>
                <w:szCs w:val="21"/>
                <w:highlight w:val="none"/>
              </w:rPr>
            </w:pPr>
          </w:p>
        </w:tc>
        <w:tc>
          <w:tcPr>
            <w:tcW w:w="792" w:type="dxa"/>
            <w:noWrap w:val="0"/>
            <w:vAlign w:val="center"/>
          </w:tcPr>
          <w:p w14:paraId="33962F77">
            <w:pPr>
              <w:autoSpaceDE w:val="0"/>
              <w:autoSpaceDN w:val="0"/>
              <w:adjustRightInd w:val="0"/>
              <w:jc w:val="center"/>
              <w:rPr>
                <w:rFonts w:ascii="宋体" w:hAnsi="宋体"/>
                <w:snapToGrid w:val="0"/>
                <w:color w:val="auto"/>
                <w:kern w:val="0"/>
                <w:szCs w:val="21"/>
                <w:highlight w:val="none"/>
              </w:rPr>
            </w:pPr>
          </w:p>
        </w:tc>
      </w:tr>
      <w:tr w14:paraId="3AEFFA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6B5D232B">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2582" w:type="dxa"/>
            <w:noWrap w:val="0"/>
            <w:vAlign w:val="center"/>
          </w:tcPr>
          <w:p w14:paraId="751529AE">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分包</w:t>
            </w:r>
          </w:p>
        </w:tc>
        <w:tc>
          <w:tcPr>
            <w:tcW w:w="2388" w:type="dxa"/>
            <w:noWrap w:val="0"/>
            <w:vAlign w:val="center"/>
          </w:tcPr>
          <w:p w14:paraId="34814E3B">
            <w:pPr>
              <w:tabs>
                <w:tab w:val="left" w:pos="2051"/>
              </w:tabs>
              <w:autoSpaceDE w:val="0"/>
              <w:autoSpaceDN w:val="0"/>
              <w:adjustRightInd w:val="0"/>
              <w:jc w:val="center"/>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val="en-US" w:eastAsia="zh-CN"/>
              </w:rPr>
              <w:t>/</w:t>
            </w:r>
          </w:p>
        </w:tc>
        <w:tc>
          <w:tcPr>
            <w:tcW w:w="2987" w:type="dxa"/>
            <w:noWrap w:val="0"/>
            <w:vAlign w:val="center"/>
          </w:tcPr>
          <w:p w14:paraId="23A4C77F">
            <w:pPr>
              <w:autoSpaceDE w:val="0"/>
              <w:autoSpaceDN w:val="0"/>
              <w:adjustRightInd w:val="0"/>
              <w:jc w:val="center"/>
              <w:rPr>
                <w:rFonts w:ascii="宋体" w:hAnsi="宋体"/>
                <w:snapToGrid w:val="0"/>
                <w:color w:val="auto"/>
                <w:kern w:val="0"/>
                <w:szCs w:val="21"/>
                <w:highlight w:val="none"/>
              </w:rPr>
            </w:pPr>
          </w:p>
        </w:tc>
        <w:tc>
          <w:tcPr>
            <w:tcW w:w="792" w:type="dxa"/>
            <w:noWrap w:val="0"/>
            <w:vAlign w:val="center"/>
          </w:tcPr>
          <w:p w14:paraId="2B866F9D">
            <w:pPr>
              <w:autoSpaceDE w:val="0"/>
              <w:autoSpaceDN w:val="0"/>
              <w:adjustRightInd w:val="0"/>
              <w:jc w:val="center"/>
              <w:rPr>
                <w:rFonts w:ascii="宋体" w:hAnsi="宋体"/>
                <w:snapToGrid w:val="0"/>
                <w:color w:val="auto"/>
                <w:kern w:val="0"/>
                <w:szCs w:val="21"/>
                <w:highlight w:val="none"/>
              </w:rPr>
            </w:pPr>
          </w:p>
        </w:tc>
      </w:tr>
      <w:tr w14:paraId="096295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342D5843">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2582" w:type="dxa"/>
            <w:noWrap w:val="0"/>
            <w:vAlign w:val="center"/>
          </w:tcPr>
          <w:p w14:paraId="05A983AB">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工程质量</w:t>
            </w:r>
          </w:p>
        </w:tc>
        <w:tc>
          <w:tcPr>
            <w:tcW w:w="2388" w:type="dxa"/>
            <w:noWrap w:val="0"/>
            <w:vAlign w:val="center"/>
          </w:tcPr>
          <w:p w14:paraId="25CD8BC3">
            <w:pPr>
              <w:tabs>
                <w:tab w:val="left" w:pos="2051"/>
              </w:tabs>
              <w:autoSpaceDE w:val="0"/>
              <w:autoSpaceDN w:val="0"/>
              <w:adjustRightInd w:val="0"/>
              <w:jc w:val="center"/>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val="en-US" w:eastAsia="zh-CN"/>
              </w:rPr>
              <w:t>/</w:t>
            </w:r>
          </w:p>
        </w:tc>
        <w:tc>
          <w:tcPr>
            <w:tcW w:w="2987" w:type="dxa"/>
            <w:noWrap w:val="0"/>
            <w:vAlign w:val="center"/>
          </w:tcPr>
          <w:p w14:paraId="5B7118C9">
            <w:pPr>
              <w:autoSpaceDE w:val="0"/>
              <w:autoSpaceDN w:val="0"/>
              <w:adjustRightInd w:val="0"/>
              <w:jc w:val="center"/>
              <w:rPr>
                <w:rFonts w:ascii="宋体" w:hAnsi="宋体"/>
                <w:snapToGrid w:val="0"/>
                <w:color w:val="auto"/>
                <w:kern w:val="0"/>
                <w:szCs w:val="21"/>
                <w:highlight w:val="none"/>
              </w:rPr>
            </w:pPr>
          </w:p>
        </w:tc>
        <w:tc>
          <w:tcPr>
            <w:tcW w:w="792" w:type="dxa"/>
            <w:noWrap w:val="0"/>
            <w:vAlign w:val="center"/>
          </w:tcPr>
          <w:p w14:paraId="6EEDA1DA">
            <w:pPr>
              <w:autoSpaceDE w:val="0"/>
              <w:autoSpaceDN w:val="0"/>
              <w:adjustRightInd w:val="0"/>
              <w:jc w:val="center"/>
              <w:rPr>
                <w:rFonts w:ascii="宋体" w:hAnsi="宋体"/>
                <w:snapToGrid w:val="0"/>
                <w:color w:val="auto"/>
                <w:kern w:val="0"/>
                <w:szCs w:val="21"/>
                <w:highlight w:val="none"/>
              </w:rPr>
            </w:pPr>
          </w:p>
        </w:tc>
      </w:tr>
      <w:tr w14:paraId="37BA88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444B3D22">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noWrap w:val="0"/>
            <w:vAlign w:val="center"/>
          </w:tcPr>
          <w:p w14:paraId="0B83209A">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noWrap w:val="0"/>
            <w:vAlign w:val="center"/>
          </w:tcPr>
          <w:p w14:paraId="54F42D71">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noWrap w:val="0"/>
            <w:vAlign w:val="center"/>
          </w:tcPr>
          <w:p w14:paraId="4D702C67">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noWrap w:val="0"/>
            <w:vAlign w:val="center"/>
          </w:tcPr>
          <w:p w14:paraId="52FE473D">
            <w:pPr>
              <w:autoSpaceDE w:val="0"/>
              <w:autoSpaceDN w:val="0"/>
              <w:adjustRightInd w:val="0"/>
              <w:jc w:val="center"/>
              <w:rPr>
                <w:rFonts w:ascii="宋体" w:hAnsi="宋体"/>
                <w:snapToGrid w:val="0"/>
                <w:color w:val="auto"/>
                <w:kern w:val="0"/>
                <w:szCs w:val="21"/>
                <w:highlight w:val="none"/>
              </w:rPr>
            </w:pPr>
          </w:p>
        </w:tc>
      </w:tr>
      <w:tr w14:paraId="0B53EA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63718849">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noWrap w:val="0"/>
            <w:vAlign w:val="center"/>
          </w:tcPr>
          <w:p w14:paraId="60011521">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noWrap w:val="0"/>
            <w:vAlign w:val="center"/>
          </w:tcPr>
          <w:p w14:paraId="2B4CE95D">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noWrap w:val="0"/>
            <w:vAlign w:val="center"/>
          </w:tcPr>
          <w:p w14:paraId="1731DE91">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noWrap w:val="0"/>
            <w:vAlign w:val="center"/>
          </w:tcPr>
          <w:p w14:paraId="217381C5">
            <w:pPr>
              <w:autoSpaceDE w:val="0"/>
              <w:autoSpaceDN w:val="0"/>
              <w:adjustRightInd w:val="0"/>
              <w:jc w:val="center"/>
              <w:rPr>
                <w:rFonts w:ascii="宋体" w:hAnsi="宋体"/>
                <w:snapToGrid w:val="0"/>
                <w:color w:val="auto"/>
                <w:kern w:val="0"/>
                <w:szCs w:val="21"/>
                <w:highlight w:val="none"/>
              </w:rPr>
            </w:pPr>
          </w:p>
        </w:tc>
      </w:tr>
    </w:tbl>
    <w:p w14:paraId="604280AC">
      <w:pPr>
        <w:spacing w:line="360" w:lineRule="auto"/>
        <w:rPr>
          <w:rFonts w:ascii="宋体" w:hAnsi="宋体"/>
          <w:snapToGrid w:val="0"/>
          <w:color w:val="auto"/>
          <w:highlight w:val="none"/>
        </w:rPr>
      </w:pPr>
    </w:p>
    <w:p w14:paraId="345985E4">
      <w:pPr>
        <w:tabs>
          <w:tab w:val="left" w:pos="7140"/>
          <w:tab w:val="left" w:pos="7560"/>
          <w:tab w:val="left" w:pos="8300"/>
        </w:tabs>
        <w:autoSpaceDE w:val="0"/>
        <w:autoSpaceDN w:val="0"/>
        <w:adjustRightInd w:val="0"/>
        <w:spacing w:line="360" w:lineRule="auto"/>
        <w:ind w:right="210"/>
        <w:jc w:val="right"/>
        <w:rPr>
          <w:rFonts w:hint="eastAsia"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3B0DC0AC">
      <w:pPr>
        <w:pStyle w:val="2"/>
        <w:rPr>
          <w:rFonts w:hint="eastAsia" w:ascii="宋体" w:hAnsi="宋体"/>
          <w:snapToGrid w:val="0"/>
          <w:color w:val="auto"/>
          <w:kern w:val="0"/>
          <w:szCs w:val="21"/>
          <w:highlight w:val="none"/>
        </w:rPr>
      </w:pPr>
    </w:p>
    <w:p w14:paraId="619E5286">
      <w:pPr>
        <w:pStyle w:val="2"/>
        <w:jc w:val="right"/>
        <w:rPr>
          <w:rFonts w:hint="eastAsia" w:ascii="宋体" w:hAnsi="宋体"/>
          <w:color w:val="auto"/>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签名</w:t>
      </w:r>
      <w:r>
        <w:rPr>
          <w:rFonts w:ascii="宋体" w:hAnsi="宋体"/>
          <w:snapToGrid w:val="0"/>
          <w:color w:val="auto"/>
          <w:kern w:val="0"/>
          <w:szCs w:val="21"/>
          <w:highlight w:val="none"/>
        </w:rPr>
        <w:t>或盖章）</w:t>
      </w:r>
      <w:r>
        <w:rPr>
          <w:rFonts w:hint="eastAsia" w:ascii="宋体" w:hAnsi="宋体"/>
          <w:color w:val="auto"/>
          <w:highlight w:val="none"/>
        </w:rPr>
        <w:br w:type="page"/>
      </w:r>
    </w:p>
    <w:p w14:paraId="30D984AC">
      <w:pPr>
        <w:pStyle w:val="5"/>
        <w:spacing w:before="0" w:line="360" w:lineRule="auto"/>
        <w:jc w:val="center"/>
        <w:outlineLvl w:val="1"/>
        <w:rPr>
          <w:rFonts w:ascii="宋体" w:hAnsi="宋体" w:cs="宋体"/>
          <w:b w:val="0"/>
          <w:bCs w:val="0"/>
          <w:color w:val="auto"/>
          <w:highlight w:val="none"/>
        </w:rPr>
      </w:pPr>
      <w:bookmarkStart w:id="2172" w:name="_Toc31686"/>
      <w:bookmarkStart w:id="2173" w:name="_Toc18898"/>
      <w:r>
        <w:rPr>
          <w:rFonts w:ascii="宋体" w:hAnsi="宋体" w:cs="宋体"/>
          <w:b w:val="0"/>
          <w:bCs w:val="0"/>
          <w:color w:val="auto"/>
          <w:highlight w:val="none"/>
        </w:rPr>
        <w:t>（</w:t>
      </w:r>
      <w:r>
        <w:rPr>
          <w:rFonts w:hint="eastAsia" w:ascii="宋体" w:hAnsi="宋体" w:cs="宋体"/>
          <w:b w:val="0"/>
          <w:bCs w:val="0"/>
          <w:color w:val="auto"/>
          <w:highlight w:val="none"/>
        </w:rPr>
        <w:t>三</w:t>
      </w:r>
      <w:r>
        <w:rPr>
          <w:rFonts w:ascii="宋体" w:hAnsi="宋体" w:cs="宋体"/>
          <w:b w:val="0"/>
          <w:bCs w:val="0"/>
          <w:color w:val="auto"/>
          <w:highlight w:val="none"/>
        </w:rPr>
        <w:t>）</w:t>
      </w:r>
      <w:r>
        <w:rPr>
          <w:rFonts w:hint="eastAsia" w:ascii="宋体" w:hAnsi="宋体" w:cs="宋体"/>
          <w:b w:val="0"/>
          <w:bCs w:val="0"/>
          <w:color w:val="auto"/>
          <w:highlight w:val="none"/>
        </w:rPr>
        <w:t>法定代表人身份证明或附有法定代表人身份证明的授权委托书</w:t>
      </w:r>
      <w:bookmarkEnd w:id="2167"/>
      <w:bookmarkEnd w:id="2168"/>
      <w:bookmarkEnd w:id="2169"/>
      <w:bookmarkEnd w:id="2170"/>
      <w:bookmarkEnd w:id="2171"/>
      <w:bookmarkEnd w:id="2172"/>
      <w:bookmarkEnd w:id="2173"/>
    </w:p>
    <w:p w14:paraId="5FBAFAC1">
      <w:pPr>
        <w:spacing w:line="480" w:lineRule="auto"/>
        <w:jc w:val="center"/>
        <w:outlineLvl w:val="1"/>
        <w:rPr>
          <w:rFonts w:hint="eastAsia" w:ascii="宋体" w:hAnsi="宋体"/>
          <w:color w:val="auto"/>
          <w:sz w:val="28"/>
          <w:highlight w:val="none"/>
        </w:rPr>
      </w:pPr>
      <w:bookmarkStart w:id="2174" w:name="_Toc9929"/>
      <w:bookmarkStart w:id="2175" w:name="_Toc21794"/>
      <w:r>
        <w:rPr>
          <w:rFonts w:hint="eastAsia" w:ascii="宋体" w:hAnsi="宋体"/>
          <w:color w:val="auto"/>
          <w:sz w:val="28"/>
          <w:highlight w:val="none"/>
        </w:rPr>
        <w:t>法定代表人身份证明</w:t>
      </w:r>
      <w:bookmarkEnd w:id="2174"/>
      <w:bookmarkEnd w:id="2175"/>
    </w:p>
    <w:p w14:paraId="2A4CB6E2">
      <w:pPr>
        <w:spacing w:line="480" w:lineRule="auto"/>
        <w:jc w:val="center"/>
        <w:rPr>
          <w:rFonts w:ascii="宋体" w:hAnsi="宋体"/>
          <w:color w:val="auto"/>
          <w:highlight w:val="none"/>
        </w:rPr>
      </w:pPr>
    </w:p>
    <w:p w14:paraId="16062C51">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22D792F">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3C7F6A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FFDA768">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668246E1">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AAC9449">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73343367">
      <w:pPr>
        <w:tabs>
          <w:tab w:val="left" w:pos="336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5C76C757">
      <w:pPr>
        <w:tabs>
          <w:tab w:val="left" w:pos="336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特此证明。</w:t>
      </w:r>
    </w:p>
    <w:p w14:paraId="3F761FDA">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hint="eastAsia" w:ascii="宋体" w:hAnsi="宋体"/>
          <w:color w:val="auto"/>
          <w:kern w:val="0"/>
          <w:szCs w:val="21"/>
          <w:highlight w:val="none"/>
        </w:rPr>
        <w:t>附：法定代表人身份证扫描件（双面）</w:t>
      </w:r>
    </w:p>
    <w:p w14:paraId="2A98BAA5">
      <w:pPr>
        <w:autoSpaceDE w:val="0"/>
        <w:autoSpaceDN w:val="0"/>
        <w:adjustRightInd w:val="0"/>
        <w:snapToGrid w:val="0"/>
        <w:spacing w:line="360" w:lineRule="auto"/>
        <w:jc w:val="left"/>
        <w:rPr>
          <w:rFonts w:hint="eastAsia" w:ascii="宋体" w:hAnsi="宋体"/>
          <w:color w:val="auto"/>
          <w:szCs w:val="21"/>
          <w:highlight w:val="none"/>
        </w:rPr>
      </w:pPr>
    </w:p>
    <w:p w14:paraId="07B09C34">
      <w:pPr>
        <w:pStyle w:val="2"/>
        <w:spacing w:after="0" w:line="360" w:lineRule="auto"/>
        <w:rPr>
          <w:rFonts w:hint="eastAsia" w:ascii="宋体" w:hAnsi="宋体"/>
          <w:color w:val="auto"/>
          <w:szCs w:val="21"/>
          <w:highlight w:val="none"/>
        </w:rPr>
      </w:pPr>
    </w:p>
    <w:p w14:paraId="60934AF6">
      <w:pPr>
        <w:pStyle w:val="2"/>
        <w:spacing w:after="0" w:line="360" w:lineRule="auto"/>
        <w:rPr>
          <w:rFonts w:hint="eastAsia" w:ascii="宋体" w:hAnsi="宋体"/>
          <w:color w:val="auto"/>
          <w:szCs w:val="21"/>
          <w:highlight w:val="none"/>
        </w:rPr>
      </w:pPr>
    </w:p>
    <w:p w14:paraId="1CC94246">
      <w:pPr>
        <w:pStyle w:val="2"/>
        <w:spacing w:after="0" w:line="360" w:lineRule="auto"/>
        <w:rPr>
          <w:rFonts w:hint="eastAsia" w:ascii="宋体" w:hAnsi="宋体"/>
          <w:color w:val="auto"/>
          <w:szCs w:val="21"/>
          <w:highlight w:val="none"/>
        </w:rPr>
      </w:pPr>
    </w:p>
    <w:p w14:paraId="5882C0DC">
      <w:pPr>
        <w:pStyle w:val="2"/>
        <w:spacing w:after="0" w:line="360" w:lineRule="auto"/>
        <w:rPr>
          <w:rFonts w:hint="eastAsia" w:ascii="宋体" w:hAnsi="宋体"/>
          <w:color w:val="auto"/>
          <w:szCs w:val="21"/>
          <w:highlight w:val="none"/>
        </w:rPr>
      </w:pPr>
    </w:p>
    <w:p w14:paraId="4EF07BC1">
      <w:pPr>
        <w:pStyle w:val="2"/>
        <w:spacing w:after="0" w:line="360" w:lineRule="auto"/>
        <w:rPr>
          <w:rFonts w:ascii="宋体" w:hAnsi="宋体"/>
          <w:color w:val="auto"/>
          <w:szCs w:val="21"/>
          <w:highlight w:val="none"/>
        </w:rPr>
      </w:pPr>
    </w:p>
    <w:p w14:paraId="6D422263">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07B56391">
      <w:pPr>
        <w:autoSpaceDE w:val="0"/>
        <w:autoSpaceDN w:val="0"/>
        <w:adjustRightInd w:val="0"/>
        <w:snapToGrid w:val="0"/>
        <w:spacing w:line="480" w:lineRule="auto"/>
        <w:jc w:val="left"/>
        <w:rPr>
          <w:rFonts w:ascii="宋体" w:hAnsi="宋体"/>
          <w:color w:val="auto"/>
          <w:kern w:val="0"/>
          <w:sz w:val="20"/>
          <w:szCs w:val="20"/>
          <w:highlight w:val="none"/>
        </w:rPr>
      </w:pPr>
    </w:p>
    <w:p w14:paraId="3D625AB1">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7D45F03F">
      <w:pPr>
        <w:pStyle w:val="2"/>
        <w:rPr>
          <w:color w:val="auto"/>
          <w:highlight w:val="none"/>
        </w:rPr>
      </w:pPr>
    </w:p>
    <w:p w14:paraId="3D4BC822">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32BF65DC">
      <w:pPr>
        <w:autoSpaceDE w:val="0"/>
        <w:autoSpaceDN w:val="0"/>
        <w:adjustRightInd w:val="0"/>
        <w:snapToGrid w:val="0"/>
        <w:spacing w:line="360" w:lineRule="auto"/>
        <w:jc w:val="left"/>
        <w:rPr>
          <w:rFonts w:ascii="宋体" w:hAnsi="宋体"/>
          <w:color w:val="auto"/>
          <w:kern w:val="0"/>
          <w:highlight w:val="none"/>
        </w:rPr>
      </w:pPr>
    </w:p>
    <w:p w14:paraId="659A1EEB">
      <w:pPr>
        <w:tabs>
          <w:tab w:val="left" w:pos="1680"/>
          <w:tab w:val="left" w:pos="4215"/>
          <w:tab w:val="left" w:pos="4305"/>
          <w:tab w:val="left" w:pos="8000"/>
        </w:tabs>
        <w:autoSpaceDE w:val="0"/>
        <w:autoSpaceDN w:val="0"/>
        <w:adjustRightInd w:val="0"/>
        <w:snapToGrid w:val="0"/>
        <w:spacing w:line="360" w:lineRule="auto"/>
        <w:jc w:val="center"/>
        <w:outlineLvl w:val="1"/>
        <w:rPr>
          <w:rFonts w:ascii="宋体" w:hAnsi="宋体"/>
          <w:color w:val="auto"/>
          <w:kern w:val="0"/>
          <w:sz w:val="12"/>
          <w:szCs w:val="12"/>
          <w:highlight w:val="none"/>
        </w:rPr>
      </w:pPr>
      <w:r>
        <w:rPr>
          <w:rFonts w:ascii="宋体" w:hAnsi="宋体"/>
          <w:b/>
          <w:color w:val="auto"/>
          <w:kern w:val="0"/>
          <w:sz w:val="28"/>
          <w:szCs w:val="28"/>
          <w:highlight w:val="none"/>
        </w:rPr>
        <w:br w:type="page"/>
      </w:r>
      <w:bookmarkStart w:id="2176" w:name="_Toc8879"/>
      <w:bookmarkStart w:id="2177" w:name="_Toc10266"/>
      <w:r>
        <w:rPr>
          <w:rFonts w:ascii="宋体" w:hAnsi="宋体"/>
          <w:snapToGrid w:val="0"/>
          <w:color w:val="auto"/>
          <w:kern w:val="0"/>
          <w:sz w:val="32"/>
          <w:szCs w:val="32"/>
          <w:highlight w:val="none"/>
        </w:rPr>
        <w:t>授权委托书</w:t>
      </w:r>
      <w:bookmarkEnd w:id="2176"/>
      <w:bookmarkEnd w:id="2177"/>
    </w:p>
    <w:p w14:paraId="1F7B043A">
      <w:pPr>
        <w:autoSpaceDE w:val="0"/>
        <w:autoSpaceDN w:val="0"/>
        <w:adjustRightInd w:val="0"/>
        <w:snapToGrid w:val="0"/>
        <w:spacing w:line="360" w:lineRule="auto"/>
        <w:jc w:val="left"/>
        <w:rPr>
          <w:rFonts w:ascii="宋体" w:hAnsi="宋体"/>
          <w:color w:val="auto"/>
          <w:kern w:val="0"/>
          <w:sz w:val="20"/>
          <w:szCs w:val="20"/>
          <w:highlight w:val="none"/>
        </w:rPr>
      </w:pPr>
    </w:p>
    <w:p w14:paraId="15C84353">
      <w:pPr>
        <w:autoSpaceDE w:val="0"/>
        <w:autoSpaceDN w:val="0"/>
        <w:adjustRightInd w:val="0"/>
        <w:snapToGrid w:val="0"/>
        <w:spacing w:line="360" w:lineRule="auto"/>
        <w:jc w:val="left"/>
        <w:rPr>
          <w:rFonts w:ascii="宋体" w:hAnsi="宋体"/>
          <w:color w:val="auto"/>
          <w:kern w:val="0"/>
          <w:sz w:val="20"/>
          <w:szCs w:val="20"/>
          <w:highlight w:val="none"/>
        </w:rPr>
      </w:pPr>
    </w:p>
    <w:p w14:paraId="762E6388">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为我方代理人。代理人根据授权，以我方名义签署、澄清、说明、补正、递交、撤回、修改</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14:paraId="19D1939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14:paraId="30331C18">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highlight w:val="none"/>
        </w:rPr>
      </w:pPr>
      <w:r>
        <w:rPr>
          <w:rFonts w:ascii="宋体" w:hAnsi="宋体"/>
          <w:color w:val="auto"/>
          <w:kern w:val="0"/>
          <w:szCs w:val="21"/>
          <w:highlight w:val="none"/>
        </w:rPr>
        <w:t>代理人无转委托权。</w:t>
      </w:r>
    </w:p>
    <w:p w14:paraId="7F8E6FD3">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76497590">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或盖章）</w:t>
      </w:r>
    </w:p>
    <w:p w14:paraId="5D2EF66A">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BD4E387">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w:t>
      </w:r>
    </w:p>
    <w:p w14:paraId="01A08F62">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p>
    <w:p w14:paraId="77258470">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0DE457EF">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 w:val="20"/>
          <w:szCs w:val="20"/>
          <w:highlight w:val="none"/>
          <w:u w:val="single"/>
        </w:rPr>
      </w:pPr>
      <w:r>
        <w:rPr>
          <w:rFonts w:hint="eastAsia" w:ascii="宋体" w:hAnsi="宋体"/>
          <w:color w:val="auto"/>
          <w:kern w:val="0"/>
          <w:szCs w:val="21"/>
          <w:highlight w:val="none"/>
        </w:rPr>
        <w:t xml:space="preserve">委托代理人电话（手机）：                                                </w:t>
      </w:r>
    </w:p>
    <w:p w14:paraId="6F67261A">
      <w:pPr>
        <w:autoSpaceDE w:val="0"/>
        <w:autoSpaceDN w:val="0"/>
        <w:adjustRightInd w:val="0"/>
        <w:snapToGrid w:val="0"/>
        <w:spacing w:line="480" w:lineRule="auto"/>
        <w:jc w:val="left"/>
        <w:rPr>
          <w:rFonts w:hint="eastAsia" w:ascii="宋体" w:hAnsi="宋体"/>
          <w:color w:val="auto"/>
          <w:kern w:val="0"/>
          <w:sz w:val="20"/>
          <w:szCs w:val="20"/>
          <w:highlight w:val="none"/>
        </w:rPr>
      </w:pPr>
    </w:p>
    <w:p w14:paraId="716BFD9A">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hint="eastAsia" w:ascii="宋体" w:hAnsi="宋体"/>
          <w:color w:val="auto"/>
          <w:kern w:val="0"/>
          <w:szCs w:val="21"/>
          <w:highlight w:val="none"/>
        </w:rPr>
        <w:t>附：法定代表人和委托代理人身份证扫描件（双面）</w:t>
      </w:r>
    </w:p>
    <w:p w14:paraId="3A491CD8">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0068613A">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76D2C89E">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6CE5BC32">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261501DB">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3E7089A8">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131ABAB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7455F054">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kern w:val="0"/>
          <w:highlight w:val="none"/>
        </w:rPr>
      </w:pPr>
      <w:r>
        <w:rPr>
          <w:rFonts w:hint="eastAsia" w:ascii="宋体" w:hAnsi="宋体"/>
          <w:color w:val="auto"/>
          <w:kern w:val="0"/>
          <w:szCs w:val="21"/>
          <w:highlight w:val="none"/>
        </w:rPr>
        <w:t xml:space="preserve"> </w:t>
      </w:r>
    </w:p>
    <w:p w14:paraId="1B89AFE9">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409DA388">
      <w:pPr>
        <w:tabs>
          <w:tab w:val="left" w:pos="5760"/>
        </w:tabs>
        <w:autoSpaceDE w:val="0"/>
        <w:autoSpaceDN w:val="0"/>
        <w:adjustRightInd w:val="0"/>
        <w:spacing w:line="360" w:lineRule="auto"/>
        <w:ind w:firstLine="420" w:firstLineChars="200"/>
        <w:rPr>
          <w:rFonts w:hint="eastAsia" w:ascii="宋体" w:hAnsi="宋体"/>
          <w:color w:val="auto"/>
          <w:highlight w:val="none"/>
        </w:rPr>
      </w:pPr>
      <w:r>
        <w:rPr>
          <w:rFonts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2D051435">
      <w:pPr>
        <w:tabs>
          <w:tab w:val="left" w:pos="5760"/>
        </w:tabs>
        <w:autoSpaceDE w:val="0"/>
        <w:autoSpaceDN w:val="0"/>
        <w:adjustRightInd w:val="0"/>
        <w:rPr>
          <w:rFonts w:hint="eastAsia" w:ascii="宋体" w:hAnsi="宋体"/>
          <w:color w:val="auto"/>
          <w:kern w:val="0"/>
          <w:szCs w:val="21"/>
          <w:highlight w:val="none"/>
        </w:rPr>
      </w:pPr>
    </w:p>
    <w:p w14:paraId="2893DA12">
      <w:pPr>
        <w:pStyle w:val="5"/>
        <w:spacing w:before="0" w:line="360" w:lineRule="auto"/>
        <w:jc w:val="center"/>
        <w:outlineLvl w:val="1"/>
        <w:rPr>
          <w:rFonts w:ascii="宋体" w:hAnsi="宋体" w:cs="宋体"/>
          <w:b w:val="0"/>
          <w:bCs w:val="0"/>
          <w:color w:val="auto"/>
          <w:highlight w:val="none"/>
        </w:rPr>
      </w:pPr>
      <w:r>
        <w:rPr>
          <w:rFonts w:ascii="宋体" w:hAnsi="宋体" w:cs="宋体"/>
          <w:b w:val="0"/>
          <w:bCs w:val="0"/>
          <w:color w:val="auto"/>
          <w:highlight w:val="none"/>
        </w:rPr>
        <w:br w:type="page"/>
      </w:r>
      <w:bookmarkStart w:id="2178" w:name="_Toc19913"/>
      <w:bookmarkStart w:id="2179" w:name="_Toc13566"/>
      <w:r>
        <w:rPr>
          <w:rFonts w:ascii="宋体" w:hAnsi="宋体" w:cs="宋体"/>
          <w:b w:val="0"/>
          <w:bCs w:val="0"/>
          <w:color w:val="auto"/>
          <w:highlight w:val="none"/>
        </w:rPr>
        <w:t>（</w:t>
      </w:r>
      <w:r>
        <w:rPr>
          <w:rFonts w:hint="eastAsia" w:ascii="宋体" w:hAnsi="宋体" w:cs="宋体"/>
          <w:b w:val="0"/>
          <w:bCs w:val="0"/>
          <w:color w:val="auto"/>
          <w:highlight w:val="none"/>
        </w:rPr>
        <w:t>四</w:t>
      </w:r>
      <w:r>
        <w:rPr>
          <w:rFonts w:ascii="宋体" w:hAnsi="宋体" w:cs="宋体"/>
          <w:b w:val="0"/>
          <w:bCs w:val="0"/>
          <w:color w:val="auto"/>
          <w:highlight w:val="none"/>
        </w:rPr>
        <w:t>）</w:t>
      </w:r>
      <w:r>
        <w:rPr>
          <w:rFonts w:hint="eastAsia" w:ascii="宋体" w:hAnsi="宋体" w:cs="宋体"/>
          <w:b w:val="0"/>
          <w:bCs w:val="0"/>
          <w:color w:val="auto"/>
          <w:highlight w:val="none"/>
        </w:rPr>
        <w:t>低价风险担保</w:t>
      </w:r>
      <w:r>
        <w:rPr>
          <w:rFonts w:hint="eastAsia" w:ascii="宋体" w:hAnsi="宋体" w:cs="宋体"/>
          <w:b w:val="0"/>
          <w:bCs w:val="0"/>
          <w:color w:val="auto"/>
          <w:highlight w:val="none"/>
          <w:lang w:val="en-US" w:eastAsia="zh-CN"/>
        </w:rPr>
        <w:t>提交</w:t>
      </w:r>
      <w:r>
        <w:rPr>
          <w:rFonts w:hint="eastAsia" w:ascii="宋体" w:hAnsi="宋体" w:cs="宋体"/>
          <w:b w:val="0"/>
          <w:bCs w:val="0"/>
          <w:color w:val="auto"/>
          <w:highlight w:val="none"/>
        </w:rPr>
        <w:t>承诺书</w:t>
      </w:r>
      <w:bookmarkEnd w:id="2178"/>
      <w:bookmarkEnd w:id="2179"/>
    </w:p>
    <w:p w14:paraId="5E071974">
      <w:pPr>
        <w:autoSpaceDE w:val="0"/>
        <w:autoSpaceDN w:val="0"/>
        <w:adjustRightInd w:val="0"/>
        <w:snapToGrid w:val="0"/>
        <w:spacing w:line="360" w:lineRule="auto"/>
        <w:jc w:val="center"/>
        <w:outlineLvl w:val="1"/>
        <w:rPr>
          <w:rFonts w:hint="eastAsia" w:ascii="宋体" w:hAnsi="宋体"/>
          <w:snapToGrid w:val="0"/>
          <w:color w:val="auto"/>
          <w:kern w:val="0"/>
          <w:sz w:val="28"/>
          <w:szCs w:val="28"/>
          <w:highlight w:val="none"/>
        </w:rPr>
      </w:pPr>
      <w:bookmarkStart w:id="2180" w:name="_Toc10889"/>
      <w:bookmarkStart w:id="2181" w:name="_Toc21534"/>
      <w:r>
        <w:rPr>
          <w:rFonts w:hint="eastAsia" w:ascii="宋体" w:hAnsi="宋体"/>
          <w:snapToGrid w:val="0"/>
          <w:color w:val="auto"/>
          <w:kern w:val="0"/>
          <w:sz w:val="28"/>
          <w:szCs w:val="28"/>
          <w:highlight w:val="none"/>
        </w:rPr>
        <w:t>（投标报价低于招标项目最高限价的85%时采用）</w:t>
      </w:r>
      <w:bookmarkEnd w:id="2180"/>
      <w:bookmarkEnd w:id="2181"/>
    </w:p>
    <w:p w14:paraId="69EF96F9">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0534A076">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比选人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14:paraId="26AF529C">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（投标人名称）</w:t>
      </w:r>
      <w:r>
        <w:rPr>
          <w:rFonts w:hint="eastAsia" w:ascii="宋体" w:hAnsi="宋体" w:cs="宋体"/>
          <w:snapToGrid w:val="0"/>
          <w:color w:val="auto"/>
          <w:kern w:val="0"/>
          <w:szCs w:val="21"/>
          <w:highlight w:val="none"/>
        </w:rPr>
        <w:t>参加了你</w:t>
      </w:r>
      <w:r>
        <w:rPr>
          <w:rFonts w:hint="eastAsia" w:ascii="宋体" w:hAnsi="宋体" w:cs="宋体"/>
          <w:snapToGrid w:val="0"/>
          <w:color w:val="auto"/>
          <w:kern w:val="0"/>
          <w:szCs w:val="21"/>
          <w:highlight w:val="none"/>
          <w:lang w:eastAsia="zh-CN"/>
        </w:rPr>
        <w:t>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的投标。我公司投标报价低于最高限价85</w:t>
      </w:r>
      <w:r>
        <w:rPr>
          <w:rFonts w:ascii="宋体" w:hAnsi="宋体" w:cs="宋体"/>
          <w:snapToGrid w:val="0"/>
          <w:color w:val="auto"/>
          <w:kern w:val="0"/>
          <w:szCs w:val="21"/>
          <w:highlight w:val="none"/>
        </w:rPr>
        <w:t>%</w:t>
      </w:r>
      <w:r>
        <w:rPr>
          <w:rFonts w:hint="eastAsia" w:ascii="宋体" w:hAnsi="宋体" w:cs="宋体"/>
          <w:snapToGrid w:val="0"/>
          <w:color w:val="auto"/>
          <w:kern w:val="0"/>
          <w:szCs w:val="21"/>
          <w:highlight w:val="none"/>
        </w:rPr>
        <w:t>，若获得中标资格，我公司承诺按照招标文件的规定递交低价风险担保。</w:t>
      </w:r>
      <w:r>
        <w:rPr>
          <w:rFonts w:hint="eastAsia" w:ascii="宋体" w:hAnsi="宋体" w:cs="宋体"/>
          <w:snapToGrid w:val="0"/>
          <w:color w:val="auto"/>
          <w:kern w:val="0"/>
          <w:szCs w:val="21"/>
          <w:highlight w:val="none"/>
          <w:lang w:val="en-US" w:eastAsia="zh-CN"/>
        </w:rPr>
        <w:t>同时，我公司</w:t>
      </w:r>
      <w:r>
        <w:rPr>
          <w:rFonts w:hint="eastAsia" w:ascii="宋体" w:hAnsi="宋体" w:cs="宋体"/>
          <w:snapToGrid w:val="0"/>
          <w:color w:val="auto"/>
          <w:kern w:val="0"/>
          <w:szCs w:val="21"/>
          <w:highlight w:val="none"/>
        </w:rPr>
        <w:t>已落实低价风险担保</w:t>
      </w:r>
      <w:r>
        <w:rPr>
          <w:rFonts w:hint="eastAsia" w:ascii="宋体" w:hAnsi="宋体" w:cs="宋体"/>
          <w:snapToGrid w:val="0"/>
          <w:color w:val="auto"/>
          <w:kern w:val="0"/>
          <w:szCs w:val="21"/>
          <w:highlight w:val="none"/>
          <w:lang w:val="en-US" w:eastAsia="zh-CN"/>
        </w:rPr>
        <w:t>的提交</w:t>
      </w:r>
      <w:r>
        <w:rPr>
          <w:rFonts w:hint="eastAsia" w:ascii="宋体" w:hAnsi="宋体" w:cs="宋体"/>
          <w:snapToGrid w:val="0"/>
          <w:color w:val="auto"/>
          <w:kern w:val="0"/>
          <w:szCs w:val="21"/>
          <w:highlight w:val="none"/>
        </w:rPr>
        <w:t>方案，承诺</w:t>
      </w:r>
      <w:r>
        <w:rPr>
          <w:rFonts w:hint="eastAsia" w:ascii="宋体" w:hAnsi="宋体" w:cs="宋体"/>
          <w:snapToGrid w:val="0"/>
          <w:color w:val="auto"/>
          <w:kern w:val="0"/>
          <w:szCs w:val="21"/>
          <w:highlight w:val="none"/>
          <w:lang w:val="en-US" w:eastAsia="zh-CN"/>
        </w:rPr>
        <w:t>如</w:t>
      </w:r>
      <w:r>
        <w:rPr>
          <w:rFonts w:hint="eastAsia" w:ascii="宋体" w:hAnsi="宋体" w:cs="宋体"/>
          <w:snapToGrid w:val="0"/>
          <w:color w:val="auto"/>
          <w:kern w:val="0"/>
          <w:szCs w:val="21"/>
          <w:highlight w:val="none"/>
        </w:rPr>
        <w:t>采用保函</w:t>
      </w:r>
      <w:r>
        <w:rPr>
          <w:rFonts w:hint="eastAsia" w:ascii="宋体" w:hAnsi="宋体" w:cs="宋体"/>
          <w:snapToGrid w:val="0"/>
          <w:color w:val="auto"/>
          <w:kern w:val="0"/>
          <w:szCs w:val="21"/>
          <w:highlight w:val="none"/>
          <w:lang w:val="en-US" w:eastAsia="zh-CN"/>
        </w:rPr>
        <w:t>形式提交低价风险担保</w:t>
      </w:r>
      <w:r>
        <w:rPr>
          <w:rFonts w:hint="eastAsia" w:ascii="宋体" w:hAnsi="宋体" w:cs="宋体"/>
          <w:snapToGrid w:val="0"/>
          <w:color w:val="auto"/>
          <w:kern w:val="0"/>
          <w:szCs w:val="21"/>
          <w:highlight w:val="none"/>
        </w:rPr>
        <w:t>，保函</w:t>
      </w:r>
      <w:r>
        <w:rPr>
          <w:rFonts w:hint="eastAsia" w:ascii="宋体" w:hAnsi="宋体" w:cs="宋体"/>
          <w:snapToGrid w:val="0"/>
          <w:color w:val="auto"/>
          <w:kern w:val="0"/>
          <w:szCs w:val="21"/>
          <w:highlight w:val="none"/>
          <w:lang w:val="en-US" w:eastAsia="zh-CN"/>
        </w:rPr>
        <w:t>的</w:t>
      </w:r>
      <w:r>
        <w:rPr>
          <w:rFonts w:hint="eastAsia" w:ascii="宋体" w:hAnsi="宋体" w:cs="宋体"/>
          <w:snapToGrid w:val="0"/>
          <w:color w:val="auto"/>
          <w:kern w:val="0"/>
          <w:szCs w:val="21"/>
          <w:highlight w:val="none"/>
        </w:rPr>
        <w:t>格式和内容符合招标文件</w:t>
      </w:r>
      <w:r>
        <w:rPr>
          <w:rFonts w:hint="eastAsia" w:ascii="宋体" w:hAnsi="宋体" w:cs="宋体"/>
          <w:snapToGrid w:val="0"/>
          <w:color w:val="auto"/>
          <w:kern w:val="0"/>
          <w:szCs w:val="21"/>
          <w:highlight w:val="none"/>
          <w:lang w:val="en-US" w:eastAsia="zh-CN"/>
        </w:rPr>
        <w:t>的</w:t>
      </w:r>
      <w:r>
        <w:rPr>
          <w:rFonts w:hint="eastAsia" w:ascii="宋体" w:hAnsi="宋体" w:cs="宋体"/>
          <w:snapToGrid w:val="0"/>
          <w:color w:val="auto"/>
          <w:kern w:val="0"/>
          <w:szCs w:val="21"/>
          <w:highlight w:val="none"/>
        </w:rPr>
        <w:t>要求</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rPr>
        <w:t>否则，我公司愿承担招标文件中约定的，因未按规定递交低价风险担保的相应责任。</w:t>
      </w:r>
    </w:p>
    <w:p w14:paraId="51BCF1D8">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p>
    <w:p w14:paraId="70D1E99E">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212A9E16">
      <w:pPr>
        <w:autoSpaceDE w:val="0"/>
        <w:autoSpaceDN w:val="0"/>
        <w:adjustRightInd w:val="0"/>
        <w:snapToGrid w:val="0"/>
        <w:spacing w:line="360" w:lineRule="auto"/>
        <w:rPr>
          <w:rFonts w:ascii="宋体" w:hAnsi="宋体" w:cs="宋体"/>
          <w:snapToGrid w:val="0"/>
          <w:color w:val="auto"/>
          <w:kern w:val="0"/>
          <w:sz w:val="32"/>
          <w:szCs w:val="32"/>
          <w:highlight w:val="none"/>
        </w:rPr>
      </w:pPr>
    </w:p>
    <w:p w14:paraId="620FAE55">
      <w:pPr>
        <w:autoSpaceDE w:val="0"/>
        <w:autoSpaceDN w:val="0"/>
        <w:adjustRightInd w:val="0"/>
        <w:snapToGrid w:val="0"/>
        <w:spacing w:line="360" w:lineRule="auto"/>
        <w:rPr>
          <w:rFonts w:ascii="宋体" w:hAnsi="宋体" w:cs="宋体"/>
          <w:snapToGrid w:val="0"/>
          <w:color w:val="auto"/>
          <w:kern w:val="0"/>
          <w:sz w:val="32"/>
          <w:szCs w:val="32"/>
          <w:highlight w:val="none"/>
        </w:rPr>
      </w:pPr>
    </w:p>
    <w:p w14:paraId="6BA6B9D8">
      <w:pPr>
        <w:autoSpaceDE w:val="0"/>
        <w:autoSpaceDN w:val="0"/>
        <w:adjustRightInd w:val="0"/>
        <w:snapToGrid w:val="0"/>
        <w:spacing w:line="360" w:lineRule="auto"/>
        <w:rPr>
          <w:rFonts w:hint="eastAsia" w:ascii="宋体" w:hAnsi="宋体" w:cs="宋体"/>
          <w:snapToGrid w:val="0"/>
          <w:color w:val="auto"/>
          <w:kern w:val="0"/>
          <w:sz w:val="32"/>
          <w:szCs w:val="32"/>
          <w:highlight w:val="none"/>
        </w:rPr>
      </w:pPr>
    </w:p>
    <w:p w14:paraId="47B3BF60">
      <w:pPr>
        <w:autoSpaceDE w:val="0"/>
        <w:autoSpaceDN w:val="0"/>
        <w:adjustRightInd w:val="0"/>
        <w:snapToGrid w:val="0"/>
        <w:spacing w:line="360" w:lineRule="auto"/>
        <w:rPr>
          <w:rFonts w:hint="eastAsia" w:ascii="宋体" w:hAnsi="宋体" w:cs="宋体"/>
          <w:snapToGrid w:val="0"/>
          <w:color w:val="auto"/>
          <w:kern w:val="0"/>
          <w:sz w:val="32"/>
          <w:szCs w:val="32"/>
          <w:highlight w:val="none"/>
        </w:rPr>
      </w:pPr>
    </w:p>
    <w:p w14:paraId="0DA8CE33">
      <w:pPr>
        <w:autoSpaceDE w:val="0"/>
        <w:autoSpaceDN w:val="0"/>
        <w:adjustRightInd w:val="0"/>
        <w:snapToGrid w:val="0"/>
        <w:spacing w:line="360" w:lineRule="auto"/>
        <w:rPr>
          <w:rFonts w:ascii="宋体" w:hAnsi="宋体" w:cs="宋体"/>
          <w:snapToGrid w:val="0"/>
          <w:color w:val="auto"/>
          <w:kern w:val="0"/>
          <w:sz w:val="32"/>
          <w:szCs w:val="32"/>
          <w:highlight w:val="none"/>
        </w:rPr>
      </w:pPr>
    </w:p>
    <w:p w14:paraId="43FD31BF">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731CDCB2">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或盖章）</w:t>
      </w:r>
    </w:p>
    <w:p w14:paraId="7AC5CBBF">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p>
    <w:p w14:paraId="356E87D3">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0C0A6494">
      <w:pPr>
        <w:spacing w:line="360" w:lineRule="auto"/>
        <w:ind w:firstLine="640" w:firstLineChars="200"/>
        <w:jc w:val="center"/>
        <w:rPr>
          <w:rFonts w:hint="eastAsia" w:ascii="宋体" w:hAnsi="宋体"/>
          <w:snapToGrid w:val="0"/>
          <w:color w:val="auto"/>
          <w:kern w:val="0"/>
          <w:sz w:val="32"/>
          <w:szCs w:val="32"/>
          <w:highlight w:val="none"/>
        </w:rPr>
      </w:pPr>
    </w:p>
    <w:p w14:paraId="0B5DB50B">
      <w:pPr>
        <w:spacing w:line="360" w:lineRule="auto"/>
        <w:ind w:firstLine="640" w:firstLineChars="200"/>
        <w:jc w:val="center"/>
        <w:rPr>
          <w:rFonts w:hint="eastAsia" w:ascii="宋体" w:hAnsi="宋体"/>
          <w:snapToGrid w:val="0"/>
          <w:color w:val="auto"/>
          <w:kern w:val="0"/>
          <w:sz w:val="32"/>
          <w:szCs w:val="32"/>
          <w:highlight w:val="none"/>
        </w:rPr>
      </w:pPr>
    </w:p>
    <w:p w14:paraId="74DE7AD9">
      <w:pPr>
        <w:spacing w:line="360" w:lineRule="auto"/>
        <w:ind w:firstLine="640" w:firstLineChars="200"/>
        <w:jc w:val="center"/>
        <w:rPr>
          <w:rFonts w:hint="eastAsia" w:ascii="宋体" w:hAnsi="宋体"/>
          <w:snapToGrid w:val="0"/>
          <w:color w:val="auto"/>
          <w:kern w:val="0"/>
          <w:sz w:val="32"/>
          <w:szCs w:val="32"/>
          <w:highlight w:val="none"/>
        </w:rPr>
      </w:pPr>
    </w:p>
    <w:p w14:paraId="5C4FBC67">
      <w:pPr>
        <w:spacing w:line="360" w:lineRule="auto"/>
        <w:ind w:firstLine="640" w:firstLineChars="200"/>
        <w:jc w:val="center"/>
        <w:rPr>
          <w:rFonts w:hint="eastAsia" w:ascii="宋体" w:hAnsi="宋体"/>
          <w:snapToGrid w:val="0"/>
          <w:color w:val="auto"/>
          <w:kern w:val="0"/>
          <w:sz w:val="32"/>
          <w:szCs w:val="32"/>
          <w:highlight w:val="none"/>
        </w:rPr>
      </w:pPr>
    </w:p>
    <w:p w14:paraId="02EAE545">
      <w:pPr>
        <w:spacing w:line="360" w:lineRule="auto"/>
        <w:ind w:firstLine="640" w:firstLineChars="200"/>
        <w:jc w:val="center"/>
        <w:rPr>
          <w:rFonts w:hint="eastAsia" w:ascii="宋体" w:hAnsi="宋体"/>
          <w:snapToGrid w:val="0"/>
          <w:color w:val="auto"/>
          <w:kern w:val="0"/>
          <w:sz w:val="32"/>
          <w:szCs w:val="32"/>
          <w:highlight w:val="none"/>
        </w:rPr>
      </w:pPr>
    </w:p>
    <w:p w14:paraId="2476B878">
      <w:pPr>
        <w:spacing w:line="360" w:lineRule="auto"/>
        <w:ind w:firstLine="640" w:firstLineChars="200"/>
        <w:jc w:val="center"/>
        <w:rPr>
          <w:rFonts w:hint="eastAsia" w:ascii="宋体" w:hAnsi="宋体"/>
          <w:snapToGrid w:val="0"/>
          <w:color w:val="auto"/>
          <w:kern w:val="0"/>
          <w:sz w:val="32"/>
          <w:szCs w:val="32"/>
          <w:highlight w:val="none"/>
        </w:rPr>
      </w:pPr>
    </w:p>
    <w:p w14:paraId="4BB8AA4B">
      <w:pPr>
        <w:pStyle w:val="4"/>
        <w:spacing w:line="360" w:lineRule="auto"/>
        <w:jc w:val="center"/>
        <w:outlineLvl w:val="0"/>
        <w:rPr>
          <w:rFonts w:ascii="宋体" w:hAnsi="宋体"/>
          <w:b w:val="0"/>
          <w:bCs w:val="0"/>
          <w:color w:val="auto"/>
          <w:sz w:val="44"/>
          <w:szCs w:val="44"/>
          <w:highlight w:val="none"/>
        </w:rPr>
      </w:pPr>
      <w:bookmarkStart w:id="2182" w:name="_Toc224103500"/>
      <w:r>
        <w:rPr>
          <w:rFonts w:hint="eastAsia" w:ascii="宋体" w:hAnsi="宋体" w:cs="宋体"/>
          <w:color w:val="auto"/>
          <w:highlight w:val="none"/>
        </w:rPr>
        <w:br w:type="page"/>
      </w:r>
      <w:bookmarkEnd w:id="2182"/>
      <w:bookmarkStart w:id="2183" w:name="_Toc2771"/>
      <w:bookmarkStart w:id="2184" w:name="_Toc24522"/>
      <w:bookmarkStart w:id="2185" w:name="_Toc7263"/>
      <w:r>
        <w:rPr>
          <w:rFonts w:hint="eastAsia" w:ascii="宋体" w:hAnsi="宋体"/>
          <w:b w:val="0"/>
          <w:bCs w:val="0"/>
          <w:color w:val="auto"/>
          <w:sz w:val="44"/>
          <w:szCs w:val="44"/>
          <w:highlight w:val="none"/>
        </w:rPr>
        <w:t>二、经济部分</w:t>
      </w:r>
      <w:bookmarkEnd w:id="2183"/>
      <w:bookmarkEnd w:id="2184"/>
      <w:bookmarkEnd w:id="2185"/>
    </w:p>
    <w:p w14:paraId="15927140">
      <w:pPr>
        <w:autoSpaceDE w:val="0"/>
        <w:autoSpaceDN w:val="0"/>
        <w:adjustRightInd w:val="0"/>
        <w:snapToGrid w:val="0"/>
        <w:spacing w:line="360" w:lineRule="auto"/>
        <w:jc w:val="center"/>
        <w:rPr>
          <w:rFonts w:ascii="宋体" w:hAnsi="宋体" w:cs="宋体"/>
          <w:color w:val="auto"/>
          <w:sz w:val="32"/>
          <w:szCs w:val="32"/>
          <w:highlight w:val="none"/>
        </w:rPr>
      </w:pPr>
    </w:p>
    <w:p w14:paraId="2EF687A1">
      <w:pPr>
        <w:spacing w:line="360" w:lineRule="auto"/>
        <w:jc w:val="center"/>
        <w:rPr>
          <w:rFonts w:hint="eastAsia" w:ascii="宋体" w:hAnsi="宋体"/>
          <w:color w:val="auto"/>
          <w:kern w:val="0"/>
          <w:sz w:val="32"/>
          <w:szCs w:val="32"/>
          <w:highlight w:val="none"/>
        </w:rPr>
      </w:pPr>
      <w:r>
        <w:rPr>
          <w:rFonts w:ascii="宋体" w:hAnsi="宋体" w:cs="宋体"/>
          <w:color w:val="auto"/>
          <w:sz w:val="32"/>
          <w:szCs w:val="32"/>
          <w:highlight w:val="none"/>
        </w:rPr>
        <w:br w:type="page"/>
      </w:r>
      <w:r>
        <w:rPr>
          <w:rFonts w:hint="eastAsia" w:ascii="宋体" w:hAnsi="宋体"/>
          <w:color w:val="auto"/>
          <w:kern w:val="0"/>
          <w:sz w:val="32"/>
          <w:szCs w:val="32"/>
          <w:highlight w:val="none"/>
          <w:u w:val="single"/>
        </w:rPr>
        <w:t xml:space="preserve">                   （项目名称）</w:t>
      </w:r>
    </w:p>
    <w:p w14:paraId="2B406EEE">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39B8AC4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4DB0FF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E841CA4">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7AEA620">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511E8214">
      <w:pPr>
        <w:autoSpaceDE w:val="0"/>
        <w:autoSpaceDN w:val="0"/>
        <w:adjustRightInd w:val="0"/>
        <w:snapToGrid w:val="0"/>
        <w:spacing w:line="360" w:lineRule="auto"/>
        <w:jc w:val="left"/>
        <w:rPr>
          <w:rFonts w:ascii="宋体" w:hAnsi="宋体"/>
          <w:color w:val="auto"/>
          <w:kern w:val="0"/>
          <w:sz w:val="16"/>
          <w:szCs w:val="16"/>
          <w:highlight w:val="none"/>
        </w:rPr>
      </w:pPr>
    </w:p>
    <w:p w14:paraId="35C06CBD">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经济部分</w:t>
      </w:r>
    </w:p>
    <w:p w14:paraId="3AB35C92">
      <w:pPr>
        <w:autoSpaceDE w:val="0"/>
        <w:autoSpaceDN w:val="0"/>
        <w:adjustRightInd w:val="0"/>
        <w:snapToGrid w:val="0"/>
        <w:spacing w:line="360" w:lineRule="auto"/>
        <w:jc w:val="left"/>
        <w:rPr>
          <w:rFonts w:ascii="宋体" w:hAnsi="宋体"/>
          <w:b/>
          <w:color w:val="auto"/>
          <w:kern w:val="0"/>
          <w:sz w:val="20"/>
          <w:szCs w:val="20"/>
          <w:highlight w:val="none"/>
        </w:rPr>
      </w:pPr>
    </w:p>
    <w:p w14:paraId="71F36774">
      <w:pPr>
        <w:autoSpaceDE w:val="0"/>
        <w:autoSpaceDN w:val="0"/>
        <w:adjustRightInd w:val="0"/>
        <w:snapToGrid w:val="0"/>
        <w:spacing w:line="360" w:lineRule="auto"/>
        <w:jc w:val="left"/>
        <w:rPr>
          <w:rFonts w:ascii="宋体" w:hAnsi="宋体"/>
          <w:b/>
          <w:color w:val="auto"/>
          <w:kern w:val="0"/>
          <w:sz w:val="20"/>
          <w:szCs w:val="20"/>
          <w:highlight w:val="none"/>
        </w:rPr>
      </w:pPr>
    </w:p>
    <w:p w14:paraId="6EB135D1">
      <w:pPr>
        <w:autoSpaceDE w:val="0"/>
        <w:autoSpaceDN w:val="0"/>
        <w:adjustRightInd w:val="0"/>
        <w:snapToGrid w:val="0"/>
        <w:spacing w:line="360" w:lineRule="auto"/>
        <w:jc w:val="left"/>
        <w:rPr>
          <w:rFonts w:ascii="宋体" w:hAnsi="宋体"/>
          <w:b/>
          <w:color w:val="auto"/>
          <w:kern w:val="0"/>
          <w:sz w:val="20"/>
          <w:szCs w:val="20"/>
          <w:highlight w:val="none"/>
        </w:rPr>
      </w:pPr>
    </w:p>
    <w:p w14:paraId="099F536A">
      <w:pPr>
        <w:autoSpaceDE w:val="0"/>
        <w:autoSpaceDN w:val="0"/>
        <w:adjustRightInd w:val="0"/>
        <w:snapToGrid w:val="0"/>
        <w:spacing w:line="360" w:lineRule="auto"/>
        <w:jc w:val="left"/>
        <w:rPr>
          <w:rFonts w:ascii="宋体" w:hAnsi="宋体"/>
          <w:b/>
          <w:color w:val="auto"/>
          <w:kern w:val="0"/>
          <w:sz w:val="20"/>
          <w:szCs w:val="20"/>
          <w:highlight w:val="none"/>
        </w:rPr>
      </w:pPr>
    </w:p>
    <w:p w14:paraId="7E97DF56">
      <w:pPr>
        <w:autoSpaceDE w:val="0"/>
        <w:autoSpaceDN w:val="0"/>
        <w:adjustRightInd w:val="0"/>
        <w:snapToGrid w:val="0"/>
        <w:spacing w:line="360" w:lineRule="auto"/>
        <w:jc w:val="left"/>
        <w:rPr>
          <w:rFonts w:ascii="宋体" w:hAnsi="宋体"/>
          <w:b/>
          <w:color w:val="auto"/>
          <w:kern w:val="0"/>
          <w:sz w:val="20"/>
          <w:szCs w:val="20"/>
          <w:highlight w:val="none"/>
        </w:rPr>
      </w:pPr>
    </w:p>
    <w:p w14:paraId="2692C179">
      <w:pPr>
        <w:autoSpaceDE w:val="0"/>
        <w:autoSpaceDN w:val="0"/>
        <w:adjustRightInd w:val="0"/>
        <w:snapToGrid w:val="0"/>
        <w:spacing w:line="360" w:lineRule="auto"/>
        <w:jc w:val="left"/>
        <w:rPr>
          <w:rFonts w:ascii="宋体" w:hAnsi="宋体"/>
          <w:b/>
          <w:color w:val="auto"/>
          <w:kern w:val="0"/>
          <w:sz w:val="20"/>
          <w:szCs w:val="20"/>
          <w:highlight w:val="none"/>
        </w:rPr>
      </w:pPr>
    </w:p>
    <w:p w14:paraId="30587F26">
      <w:pPr>
        <w:autoSpaceDE w:val="0"/>
        <w:autoSpaceDN w:val="0"/>
        <w:adjustRightInd w:val="0"/>
        <w:snapToGrid w:val="0"/>
        <w:spacing w:line="360" w:lineRule="auto"/>
        <w:jc w:val="left"/>
        <w:rPr>
          <w:rFonts w:ascii="宋体" w:hAnsi="宋体"/>
          <w:b/>
          <w:color w:val="auto"/>
          <w:kern w:val="0"/>
          <w:sz w:val="20"/>
          <w:szCs w:val="20"/>
          <w:highlight w:val="none"/>
        </w:rPr>
      </w:pPr>
    </w:p>
    <w:p w14:paraId="30AABA13">
      <w:pPr>
        <w:autoSpaceDE w:val="0"/>
        <w:autoSpaceDN w:val="0"/>
        <w:adjustRightInd w:val="0"/>
        <w:snapToGrid w:val="0"/>
        <w:spacing w:line="360" w:lineRule="auto"/>
        <w:jc w:val="left"/>
        <w:rPr>
          <w:rFonts w:ascii="宋体" w:hAnsi="宋体"/>
          <w:b/>
          <w:color w:val="auto"/>
          <w:kern w:val="0"/>
          <w:sz w:val="20"/>
          <w:szCs w:val="20"/>
          <w:highlight w:val="none"/>
        </w:rPr>
      </w:pPr>
    </w:p>
    <w:p w14:paraId="30B9E523">
      <w:pPr>
        <w:autoSpaceDE w:val="0"/>
        <w:autoSpaceDN w:val="0"/>
        <w:adjustRightInd w:val="0"/>
        <w:snapToGrid w:val="0"/>
        <w:spacing w:line="360" w:lineRule="auto"/>
        <w:jc w:val="left"/>
        <w:rPr>
          <w:rFonts w:ascii="宋体" w:hAnsi="宋体"/>
          <w:b/>
          <w:color w:val="auto"/>
          <w:kern w:val="0"/>
          <w:sz w:val="20"/>
          <w:szCs w:val="20"/>
          <w:highlight w:val="none"/>
        </w:rPr>
      </w:pPr>
    </w:p>
    <w:p w14:paraId="2777F4E2">
      <w:pPr>
        <w:autoSpaceDE w:val="0"/>
        <w:autoSpaceDN w:val="0"/>
        <w:adjustRightInd w:val="0"/>
        <w:snapToGrid w:val="0"/>
        <w:spacing w:line="360" w:lineRule="auto"/>
        <w:jc w:val="left"/>
        <w:rPr>
          <w:rFonts w:ascii="宋体" w:hAnsi="宋体"/>
          <w:b/>
          <w:color w:val="auto"/>
          <w:kern w:val="0"/>
          <w:sz w:val="20"/>
          <w:szCs w:val="20"/>
          <w:highlight w:val="none"/>
        </w:rPr>
      </w:pPr>
    </w:p>
    <w:p w14:paraId="2BA0AE81">
      <w:pPr>
        <w:autoSpaceDE w:val="0"/>
        <w:autoSpaceDN w:val="0"/>
        <w:adjustRightInd w:val="0"/>
        <w:snapToGrid w:val="0"/>
        <w:spacing w:line="360" w:lineRule="auto"/>
        <w:jc w:val="left"/>
        <w:rPr>
          <w:rFonts w:ascii="宋体" w:hAnsi="宋体"/>
          <w:b/>
          <w:color w:val="auto"/>
          <w:kern w:val="0"/>
          <w:sz w:val="20"/>
          <w:szCs w:val="20"/>
          <w:highlight w:val="none"/>
        </w:rPr>
      </w:pPr>
    </w:p>
    <w:p w14:paraId="484CF12E">
      <w:pPr>
        <w:autoSpaceDE w:val="0"/>
        <w:autoSpaceDN w:val="0"/>
        <w:adjustRightInd w:val="0"/>
        <w:snapToGrid w:val="0"/>
        <w:spacing w:line="360" w:lineRule="auto"/>
        <w:jc w:val="left"/>
        <w:rPr>
          <w:rFonts w:ascii="宋体" w:hAnsi="宋体"/>
          <w:b/>
          <w:color w:val="auto"/>
          <w:kern w:val="0"/>
          <w:sz w:val="20"/>
          <w:szCs w:val="20"/>
          <w:highlight w:val="none"/>
        </w:rPr>
      </w:pPr>
    </w:p>
    <w:p w14:paraId="1CE79F4A">
      <w:pPr>
        <w:autoSpaceDE w:val="0"/>
        <w:autoSpaceDN w:val="0"/>
        <w:adjustRightInd w:val="0"/>
        <w:snapToGrid w:val="0"/>
        <w:spacing w:line="360" w:lineRule="auto"/>
        <w:jc w:val="left"/>
        <w:rPr>
          <w:rFonts w:ascii="宋体" w:hAnsi="宋体"/>
          <w:b/>
          <w:color w:val="auto"/>
          <w:kern w:val="0"/>
          <w:sz w:val="20"/>
          <w:szCs w:val="20"/>
          <w:highlight w:val="none"/>
        </w:rPr>
      </w:pPr>
    </w:p>
    <w:p w14:paraId="2606DD54">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4DED19D8">
      <w:pPr>
        <w:tabs>
          <w:tab w:val="left" w:pos="6080"/>
          <w:tab w:val="left" w:pos="6640"/>
        </w:tabs>
        <w:autoSpaceDE w:val="0"/>
        <w:autoSpaceDN w:val="0"/>
        <w:adjustRightInd w:val="0"/>
        <w:snapToGrid w:val="0"/>
        <w:spacing w:after="156"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lang w:eastAsia="zh-CN"/>
        </w:rPr>
        <w:t>签名</w:t>
      </w:r>
      <w:r>
        <w:rPr>
          <w:rFonts w:ascii="宋体" w:hAnsi="宋体"/>
          <w:color w:val="auto"/>
          <w:w w:val="99"/>
          <w:kern w:val="0"/>
          <w:sz w:val="28"/>
          <w:szCs w:val="28"/>
          <w:highlight w:val="none"/>
        </w:rPr>
        <w:t>或盖章）</w:t>
      </w:r>
    </w:p>
    <w:p w14:paraId="0EF177C5">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409F5340">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14:paraId="58784CF9">
      <w:pPr>
        <w:autoSpaceDE w:val="0"/>
        <w:autoSpaceDN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 w:val="36"/>
          <w:szCs w:val="36"/>
          <w:highlight w:val="none"/>
        </w:rPr>
        <w:t>目  录</w:t>
      </w:r>
    </w:p>
    <w:p w14:paraId="6D584640">
      <w:pPr>
        <w:autoSpaceDE w:val="0"/>
        <w:autoSpaceDN w:val="0"/>
        <w:adjustRightInd w:val="0"/>
        <w:snapToGrid w:val="0"/>
        <w:spacing w:line="360" w:lineRule="auto"/>
        <w:jc w:val="left"/>
        <w:rPr>
          <w:rFonts w:ascii="宋体" w:hAnsi="宋体"/>
          <w:color w:val="auto"/>
          <w:kern w:val="0"/>
          <w:szCs w:val="21"/>
          <w:highlight w:val="none"/>
        </w:rPr>
      </w:pPr>
    </w:p>
    <w:p w14:paraId="50A24D44">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目录由投标人自行编制]</w:t>
      </w:r>
    </w:p>
    <w:p w14:paraId="56CD0973">
      <w:pPr>
        <w:pStyle w:val="5"/>
        <w:spacing w:before="0" w:after="0" w:line="240" w:lineRule="auto"/>
        <w:jc w:val="center"/>
        <w:rPr>
          <w:rFonts w:ascii="宋体" w:hAnsi="宋体"/>
          <w:b w:val="0"/>
          <w:bCs w:val="0"/>
          <w:color w:val="auto"/>
          <w:highlight w:val="none"/>
        </w:rPr>
      </w:pPr>
      <w:bookmarkStart w:id="2186" w:name="_Toc224103501"/>
      <w:bookmarkStart w:id="2187" w:name="_Toc430530535"/>
      <w:bookmarkStart w:id="2188" w:name="_Toc287620820"/>
      <w:bookmarkStart w:id="2189" w:name="_Toc287607873"/>
      <w:bookmarkStart w:id="2190" w:name="_Toc277082648"/>
      <w:r>
        <w:rPr>
          <w:rFonts w:ascii="宋体" w:hAnsi="宋体"/>
          <w:b w:val="0"/>
          <w:bCs w:val="0"/>
          <w:color w:val="auto"/>
          <w:kern w:val="0"/>
          <w:sz w:val="21"/>
          <w:szCs w:val="21"/>
          <w:highlight w:val="none"/>
        </w:rPr>
        <w:br w:type="page"/>
      </w:r>
      <w:bookmarkStart w:id="2191" w:name="_Toc5189"/>
      <w:bookmarkStart w:id="2192" w:name="_Toc4688"/>
      <w:bookmarkStart w:id="2193" w:name="_Toc10606"/>
      <w:r>
        <w:rPr>
          <w:rFonts w:hint="eastAsia" w:ascii="宋体" w:hAnsi="宋体"/>
          <w:b w:val="0"/>
          <w:bCs w:val="0"/>
          <w:color w:val="auto"/>
          <w:highlight w:val="none"/>
        </w:rPr>
        <w:t>（一）已标价工程量清单</w:t>
      </w:r>
      <w:bookmarkEnd w:id="2186"/>
      <w:bookmarkEnd w:id="2187"/>
      <w:bookmarkEnd w:id="2188"/>
      <w:bookmarkEnd w:id="2189"/>
      <w:bookmarkEnd w:id="2190"/>
      <w:bookmarkEnd w:id="2191"/>
      <w:bookmarkEnd w:id="2192"/>
      <w:bookmarkEnd w:id="2193"/>
    </w:p>
    <w:p w14:paraId="4518767E">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7A4F817F">
      <w:pPr>
        <w:pStyle w:val="4"/>
        <w:spacing w:line="360" w:lineRule="auto"/>
        <w:jc w:val="center"/>
        <w:outlineLvl w:val="0"/>
        <w:rPr>
          <w:rFonts w:hint="eastAsia" w:ascii="宋体" w:hAnsi="宋体" w:cs="宋体"/>
          <w:color w:val="auto"/>
          <w:sz w:val="44"/>
          <w:szCs w:val="44"/>
          <w:highlight w:val="none"/>
        </w:rPr>
      </w:pPr>
      <w:r>
        <w:rPr>
          <w:rFonts w:ascii="宋体" w:hAnsi="宋体"/>
          <w:color w:val="auto"/>
          <w:highlight w:val="none"/>
        </w:rPr>
        <w:br w:type="page"/>
      </w:r>
      <w:bookmarkStart w:id="2194" w:name="_Toc430530545"/>
      <w:bookmarkStart w:id="2195" w:name="_Toc277082656"/>
      <w:bookmarkStart w:id="2196" w:name="_Toc3887"/>
      <w:bookmarkStart w:id="2197" w:name="_Toc287620829"/>
      <w:bookmarkStart w:id="2198" w:name="_Toc224103510"/>
      <w:bookmarkStart w:id="2199" w:name="_Toc287607882"/>
      <w:bookmarkStart w:id="2200" w:name="_Toc2060"/>
      <w:r>
        <w:rPr>
          <w:rFonts w:hint="eastAsia" w:ascii="宋体" w:hAnsi="宋体" w:cs="Times New Roman"/>
          <w:b w:val="0"/>
          <w:bCs w:val="0"/>
          <w:color w:val="auto"/>
          <w:sz w:val="44"/>
          <w:szCs w:val="44"/>
          <w:highlight w:val="none"/>
          <w:lang w:val="en-US" w:eastAsia="zh-CN"/>
        </w:rPr>
        <w:t>三</w:t>
      </w:r>
      <w:r>
        <w:rPr>
          <w:rFonts w:hint="eastAsia" w:ascii="宋体" w:hAnsi="宋体" w:cs="Times New Roman"/>
          <w:b w:val="0"/>
          <w:bCs w:val="0"/>
          <w:color w:val="auto"/>
          <w:sz w:val="44"/>
          <w:szCs w:val="44"/>
          <w:highlight w:val="none"/>
        </w:rPr>
        <w:t>、</w:t>
      </w:r>
      <w:r>
        <w:rPr>
          <w:rFonts w:hint="eastAsia" w:ascii="宋体" w:hAnsi="宋体"/>
          <w:b w:val="0"/>
          <w:bCs w:val="0"/>
          <w:color w:val="auto"/>
          <w:sz w:val="44"/>
          <w:szCs w:val="44"/>
          <w:highlight w:val="none"/>
        </w:rPr>
        <w:t>资格审查资料</w:t>
      </w:r>
      <w:bookmarkEnd w:id="2194"/>
      <w:bookmarkEnd w:id="2195"/>
      <w:bookmarkEnd w:id="2196"/>
      <w:bookmarkEnd w:id="2197"/>
      <w:bookmarkEnd w:id="2198"/>
      <w:bookmarkEnd w:id="2199"/>
      <w:bookmarkEnd w:id="2200"/>
    </w:p>
    <w:p w14:paraId="2E804A98">
      <w:pPr>
        <w:spacing w:line="360" w:lineRule="auto"/>
        <w:jc w:val="center"/>
        <w:rPr>
          <w:rFonts w:hint="eastAsia" w:ascii="宋体" w:hAnsi="宋体"/>
          <w:color w:val="auto"/>
          <w:kern w:val="0"/>
          <w:sz w:val="32"/>
          <w:szCs w:val="32"/>
          <w:highlight w:val="none"/>
          <w:u w:val="single"/>
        </w:rPr>
      </w:pPr>
      <w:bookmarkStart w:id="2201" w:name="_Toc27983327"/>
      <w:r>
        <w:rPr>
          <w:rFonts w:ascii="宋体" w:hAnsi="宋体" w:cs="宋体"/>
          <w:color w:val="auto"/>
          <w:sz w:val="32"/>
          <w:szCs w:val="32"/>
          <w:highlight w:val="none"/>
        </w:rPr>
        <w:br w:type="page"/>
      </w:r>
      <w:r>
        <w:rPr>
          <w:rFonts w:hint="eastAsia" w:ascii="宋体" w:hAnsi="宋体"/>
          <w:color w:val="auto"/>
          <w:kern w:val="0"/>
          <w:sz w:val="32"/>
          <w:szCs w:val="32"/>
          <w:highlight w:val="none"/>
          <w:u w:val="single"/>
        </w:rPr>
        <w:t xml:space="preserve">                   （项目名称）</w:t>
      </w:r>
    </w:p>
    <w:p w14:paraId="021E53CB">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56348FFE">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1CF0CA95">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6B79B457">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3372CCE1">
      <w:pPr>
        <w:autoSpaceDE w:val="0"/>
        <w:autoSpaceDN w:val="0"/>
        <w:adjustRightInd w:val="0"/>
        <w:snapToGrid w:val="0"/>
        <w:spacing w:line="360" w:lineRule="auto"/>
        <w:jc w:val="left"/>
        <w:rPr>
          <w:rFonts w:ascii="宋体" w:hAnsi="宋体"/>
          <w:color w:val="auto"/>
          <w:kern w:val="0"/>
          <w:sz w:val="16"/>
          <w:szCs w:val="16"/>
          <w:highlight w:val="none"/>
        </w:rPr>
      </w:pPr>
    </w:p>
    <w:p w14:paraId="779E9824">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14:paraId="1DD4750D">
      <w:pPr>
        <w:autoSpaceDE w:val="0"/>
        <w:autoSpaceDN w:val="0"/>
        <w:adjustRightInd w:val="0"/>
        <w:snapToGrid w:val="0"/>
        <w:spacing w:line="360" w:lineRule="auto"/>
        <w:jc w:val="left"/>
        <w:rPr>
          <w:rFonts w:ascii="宋体" w:hAnsi="宋体" w:cs="MingLiU"/>
          <w:color w:val="auto"/>
          <w:kern w:val="0"/>
          <w:sz w:val="20"/>
          <w:szCs w:val="20"/>
          <w:highlight w:val="none"/>
        </w:rPr>
      </w:pPr>
    </w:p>
    <w:p w14:paraId="00EABDAD">
      <w:pPr>
        <w:adjustRightInd w:val="0"/>
        <w:snapToGrid w:val="0"/>
        <w:spacing w:line="264" w:lineRule="auto"/>
        <w:rPr>
          <w:rFonts w:ascii="宋体" w:hAnsi="宋体"/>
          <w:color w:val="auto"/>
          <w:szCs w:val="21"/>
          <w:highlight w:val="none"/>
        </w:rPr>
      </w:pPr>
    </w:p>
    <w:p w14:paraId="547A66EF">
      <w:pPr>
        <w:autoSpaceDE w:val="0"/>
        <w:autoSpaceDN w:val="0"/>
        <w:adjustRightInd w:val="0"/>
        <w:snapToGrid w:val="0"/>
        <w:spacing w:line="360" w:lineRule="auto"/>
        <w:jc w:val="left"/>
        <w:rPr>
          <w:rFonts w:ascii="宋体" w:hAnsi="宋体" w:cs="MingLiU"/>
          <w:color w:val="auto"/>
          <w:kern w:val="0"/>
          <w:sz w:val="20"/>
          <w:szCs w:val="20"/>
          <w:highlight w:val="none"/>
        </w:rPr>
      </w:pPr>
    </w:p>
    <w:p w14:paraId="3985ED77">
      <w:pPr>
        <w:autoSpaceDE w:val="0"/>
        <w:autoSpaceDN w:val="0"/>
        <w:adjustRightInd w:val="0"/>
        <w:snapToGrid w:val="0"/>
        <w:spacing w:line="360" w:lineRule="auto"/>
        <w:jc w:val="left"/>
        <w:rPr>
          <w:rFonts w:ascii="宋体" w:hAnsi="宋体" w:cs="MingLiU"/>
          <w:color w:val="auto"/>
          <w:kern w:val="0"/>
          <w:sz w:val="20"/>
          <w:szCs w:val="20"/>
          <w:highlight w:val="none"/>
        </w:rPr>
      </w:pPr>
    </w:p>
    <w:p w14:paraId="7485FD22">
      <w:pPr>
        <w:autoSpaceDE w:val="0"/>
        <w:autoSpaceDN w:val="0"/>
        <w:adjustRightInd w:val="0"/>
        <w:snapToGrid w:val="0"/>
        <w:spacing w:line="360" w:lineRule="auto"/>
        <w:jc w:val="left"/>
        <w:rPr>
          <w:rFonts w:ascii="宋体" w:hAnsi="宋体" w:cs="MingLiU"/>
          <w:color w:val="auto"/>
          <w:kern w:val="0"/>
          <w:sz w:val="20"/>
          <w:szCs w:val="20"/>
          <w:highlight w:val="none"/>
        </w:rPr>
      </w:pPr>
    </w:p>
    <w:p w14:paraId="0F78A27E">
      <w:pPr>
        <w:autoSpaceDE w:val="0"/>
        <w:autoSpaceDN w:val="0"/>
        <w:adjustRightInd w:val="0"/>
        <w:snapToGrid w:val="0"/>
        <w:spacing w:line="360" w:lineRule="auto"/>
        <w:jc w:val="left"/>
        <w:rPr>
          <w:rFonts w:ascii="宋体" w:hAnsi="宋体" w:cs="MingLiU"/>
          <w:color w:val="auto"/>
          <w:kern w:val="0"/>
          <w:sz w:val="20"/>
          <w:szCs w:val="20"/>
          <w:highlight w:val="none"/>
        </w:rPr>
      </w:pPr>
    </w:p>
    <w:p w14:paraId="585E9771">
      <w:pPr>
        <w:autoSpaceDE w:val="0"/>
        <w:autoSpaceDN w:val="0"/>
        <w:adjustRightInd w:val="0"/>
        <w:snapToGrid w:val="0"/>
        <w:spacing w:line="360" w:lineRule="auto"/>
        <w:jc w:val="left"/>
        <w:rPr>
          <w:rFonts w:ascii="宋体" w:hAnsi="宋体" w:cs="MingLiU"/>
          <w:color w:val="auto"/>
          <w:kern w:val="0"/>
          <w:sz w:val="20"/>
          <w:szCs w:val="20"/>
          <w:highlight w:val="none"/>
        </w:rPr>
      </w:pPr>
    </w:p>
    <w:p w14:paraId="37D4C7B9">
      <w:pPr>
        <w:autoSpaceDE w:val="0"/>
        <w:autoSpaceDN w:val="0"/>
        <w:adjustRightInd w:val="0"/>
        <w:snapToGrid w:val="0"/>
        <w:spacing w:line="360" w:lineRule="auto"/>
        <w:jc w:val="left"/>
        <w:rPr>
          <w:rFonts w:ascii="宋体" w:hAnsi="宋体" w:cs="MingLiU"/>
          <w:color w:val="auto"/>
          <w:kern w:val="0"/>
          <w:sz w:val="20"/>
          <w:szCs w:val="20"/>
          <w:highlight w:val="none"/>
        </w:rPr>
      </w:pPr>
    </w:p>
    <w:p w14:paraId="29D78AF2">
      <w:pPr>
        <w:autoSpaceDE w:val="0"/>
        <w:autoSpaceDN w:val="0"/>
        <w:adjustRightInd w:val="0"/>
        <w:snapToGrid w:val="0"/>
        <w:spacing w:line="360" w:lineRule="auto"/>
        <w:jc w:val="left"/>
        <w:rPr>
          <w:rFonts w:ascii="宋体" w:hAnsi="宋体" w:cs="MingLiU"/>
          <w:color w:val="auto"/>
          <w:kern w:val="0"/>
          <w:sz w:val="20"/>
          <w:szCs w:val="20"/>
          <w:highlight w:val="none"/>
        </w:rPr>
      </w:pPr>
    </w:p>
    <w:p w14:paraId="74F4E304">
      <w:pPr>
        <w:autoSpaceDE w:val="0"/>
        <w:autoSpaceDN w:val="0"/>
        <w:adjustRightInd w:val="0"/>
        <w:snapToGrid w:val="0"/>
        <w:spacing w:line="360" w:lineRule="auto"/>
        <w:jc w:val="left"/>
        <w:rPr>
          <w:rFonts w:ascii="宋体" w:hAnsi="宋体" w:cs="MingLiU"/>
          <w:color w:val="auto"/>
          <w:kern w:val="0"/>
          <w:sz w:val="20"/>
          <w:szCs w:val="20"/>
          <w:highlight w:val="none"/>
        </w:rPr>
      </w:pPr>
    </w:p>
    <w:p w14:paraId="0D6F7A00">
      <w:pPr>
        <w:autoSpaceDE w:val="0"/>
        <w:autoSpaceDN w:val="0"/>
        <w:adjustRightInd w:val="0"/>
        <w:snapToGrid w:val="0"/>
        <w:spacing w:line="360" w:lineRule="auto"/>
        <w:jc w:val="left"/>
        <w:rPr>
          <w:rFonts w:ascii="宋体" w:hAnsi="宋体" w:cs="MingLiU"/>
          <w:color w:val="auto"/>
          <w:kern w:val="0"/>
          <w:sz w:val="20"/>
          <w:szCs w:val="20"/>
          <w:highlight w:val="none"/>
        </w:rPr>
      </w:pPr>
    </w:p>
    <w:p w14:paraId="47EA1EFD">
      <w:pPr>
        <w:autoSpaceDE w:val="0"/>
        <w:autoSpaceDN w:val="0"/>
        <w:adjustRightInd w:val="0"/>
        <w:snapToGrid w:val="0"/>
        <w:spacing w:line="360" w:lineRule="auto"/>
        <w:jc w:val="left"/>
        <w:rPr>
          <w:rFonts w:ascii="宋体" w:hAnsi="宋体" w:cs="MingLiU"/>
          <w:color w:val="auto"/>
          <w:kern w:val="0"/>
          <w:sz w:val="20"/>
          <w:szCs w:val="20"/>
          <w:highlight w:val="none"/>
        </w:rPr>
      </w:pPr>
    </w:p>
    <w:p w14:paraId="1C30293F">
      <w:pPr>
        <w:autoSpaceDE w:val="0"/>
        <w:autoSpaceDN w:val="0"/>
        <w:adjustRightInd w:val="0"/>
        <w:snapToGrid w:val="0"/>
        <w:spacing w:line="360" w:lineRule="auto"/>
        <w:jc w:val="left"/>
        <w:rPr>
          <w:rFonts w:ascii="宋体" w:hAnsi="宋体" w:cs="MingLiU"/>
          <w:color w:val="auto"/>
          <w:kern w:val="0"/>
          <w:sz w:val="20"/>
          <w:szCs w:val="20"/>
          <w:highlight w:val="none"/>
        </w:rPr>
      </w:pPr>
    </w:p>
    <w:p w14:paraId="6A4EF8F5">
      <w:pPr>
        <w:autoSpaceDE w:val="0"/>
        <w:autoSpaceDN w:val="0"/>
        <w:adjustRightInd w:val="0"/>
        <w:snapToGrid w:val="0"/>
        <w:spacing w:line="360" w:lineRule="auto"/>
        <w:jc w:val="left"/>
        <w:rPr>
          <w:rFonts w:ascii="宋体" w:hAnsi="宋体" w:cs="MingLiU"/>
          <w:color w:val="auto"/>
          <w:kern w:val="0"/>
          <w:sz w:val="20"/>
          <w:szCs w:val="20"/>
          <w:highlight w:val="none"/>
        </w:rPr>
      </w:pPr>
    </w:p>
    <w:p w14:paraId="391C4966">
      <w:pPr>
        <w:autoSpaceDE w:val="0"/>
        <w:autoSpaceDN w:val="0"/>
        <w:adjustRightInd w:val="0"/>
        <w:snapToGrid w:val="0"/>
        <w:spacing w:line="360" w:lineRule="auto"/>
        <w:jc w:val="left"/>
        <w:rPr>
          <w:rFonts w:ascii="宋体" w:hAnsi="宋体" w:cs="MingLiU"/>
          <w:color w:val="auto"/>
          <w:kern w:val="0"/>
          <w:sz w:val="20"/>
          <w:szCs w:val="20"/>
          <w:highlight w:val="none"/>
        </w:rPr>
      </w:pPr>
    </w:p>
    <w:p w14:paraId="105BBA4A">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48B5E3EC">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lang w:eastAsia="zh-CN"/>
        </w:rPr>
        <w:t>签名</w:t>
      </w:r>
      <w:r>
        <w:rPr>
          <w:rFonts w:ascii="宋体" w:hAnsi="宋体"/>
          <w:color w:val="auto"/>
          <w:w w:val="99"/>
          <w:kern w:val="0"/>
          <w:sz w:val="28"/>
          <w:szCs w:val="28"/>
          <w:highlight w:val="none"/>
        </w:rPr>
        <w:t>或盖章）</w:t>
      </w:r>
    </w:p>
    <w:p w14:paraId="10C5D47E">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03890CEA">
      <w:pPr>
        <w:autoSpaceDE w:val="0"/>
        <w:autoSpaceDN w:val="0"/>
        <w:adjustRightInd w:val="0"/>
        <w:snapToGrid w:val="0"/>
        <w:jc w:val="center"/>
        <w:rPr>
          <w:rFonts w:hint="eastAsia" w:ascii="宋体" w:hAnsi="宋体"/>
          <w:color w:val="auto"/>
          <w:kern w:val="0"/>
          <w:sz w:val="36"/>
          <w:szCs w:val="36"/>
          <w:highlight w:val="none"/>
        </w:rPr>
      </w:pPr>
    </w:p>
    <w:p w14:paraId="7BC31AA1">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41051222">
      <w:pPr>
        <w:spacing w:line="360" w:lineRule="auto"/>
        <w:jc w:val="center"/>
        <w:rPr>
          <w:rFonts w:ascii="宋体" w:hAnsi="宋体"/>
          <w:b/>
          <w:color w:val="auto"/>
          <w:kern w:val="0"/>
          <w:sz w:val="32"/>
          <w:szCs w:val="32"/>
          <w:highlight w:val="none"/>
        </w:rPr>
      </w:pPr>
    </w:p>
    <w:p w14:paraId="1E88D275">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3639137B">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二</w:t>
      </w:r>
      <w:r>
        <w:rPr>
          <w:rFonts w:ascii="宋体" w:hAnsi="宋体"/>
          <w:color w:val="auto"/>
          <w:highlight w:val="none"/>
        </w:rPr>
        <w:t>）投标人基本情况表</w:t>
      </w:r>
    </w:p>
    <w:p w14:paraId="5B5B58C4">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三</w:t>
      </w:r>
      <w:r>
        <w:rPr>
          <w:rFonts w:ascii="宋体" w:hAnsi="宋体"/>
          <w:color w:val="auto"/>
          <w:highlight w:val="none"/>
        </w:rPr>
        <w:t>）项目管理机构</w:t>
      </w:r>
    </w:p>
    <w:p w14:paraId="1EF55D64">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四</w:t>
      </w:r>
      <w:r>
        <w:rPr>
          <w:rFonts w:ascii="宋体" w:hAnsi="宋体"/>
          <w:color w:val="auto"/>
          <w:highlight w:val="none"/>
        </w:rPr>
        <w:t>）</w:t>
      </w:r>
      <w:r>
        <w:rPr>
          <w:rFonts w:hint="eastAsia" w:ascii="宋体" w:hAnsi="宋体"/>
          <w:color w:val="auto"/>
          <w:highlight w:val="none"/>
        </w:rPr>
        <w:t>承诺</w:t>
      </w:r>
    </w:p>
    <w:p w14:paraId="20EBD95F">
      <w:pPr>
        <w:spacing w:line="360" w:lineRule="auto"/>
        <w:ind w:firstLine="420" w:firstLineChars="200"/>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五</w:t>
      </w:r>
      <w:r>
        <w:rPr>
          <w:rFonts w:ascii="宋体" w:hAnsi="宋体"/>
          <w:color w:val="auto"/>
          <w:highlight w:val="none"/>
        </w:rPr>
        <w:t>）其他资料</w:t>
      </w:r>
    </w:p>
    <w:p w14:paraId="5E554491">
      <w:pPr>
        <w:pStyle w:val="2"/>
        <w:rPr>
          <w:rFonts w:ascii="宋体" w:hAnsi="宋体"/>
          <w:color w:val="auto"/>
          <w:szCs w:val="21"/>
          <w:highlight w:val="none"/>
        </w:rPr>
      </w:pPr>
    </w:p>
    <w:p w14:paraId="5C59C94E">
      <w:pPr>
        <w:pStyle w:val="5"/>
        <w:spacing w:before="0" w:after="0" w:line="240" w:lineRule="auto"/>
        <w:jc w:val="center"/>
        <w:rPr>
          <w:rFonts w:hint="eastAsia" w:ascii="宋体" w:hAnsi="宋体"/>
          <w:color w:val="auto"/>
          <w:sz w:val="36"/>
          <w:szCs w:val="36"/>
          <w:highlight w:val="none"/>
        </w:rPr>
      </w:pPr>
      <w:bookmarkStart w:id="2202" w:name="_Toc287620830"/>
      <w:bookmarkStart w:id="2203" w:name="_Toc287607883"/>
      <w:bookmarkStart w:id="2204" w:name="_Toc224103511"/>
      <w:bookmarkStart w:id="2205" w:name="_Toc277082657"/>
      <w:bookmarkStart w:id="2206" w:name="_Toc33106476"/>
      <w:bookmarkStart w:id="2207" w:name="_Toc430530546"/>
      <w:r>
        <w:rPr>
          <w:rFonts w:hint="eastAsia" w:ascii="宋体" w:hAnsi="宋体"/>
          <w:b w:val="0"/>
          <w:bCs w:val="0"/>
          <w:color w:val="auto"/>
          <w:highlight w:val="none"/>
        </w:rPr>
        <w:br w:type="page"/>
      </w:r>
      <w:bookmarkStart w:id="2208" w:name="_Toc5401"/>
      <w:bookmarkStart w:id="2209" w:name="_Toc22048"/>
      <w:r>
        <w:rPr>
          <w:rFonts w:hint="eastAsia" w:ascii="宋体" w:hAnsi="宋体"/>
          <w:b w:val="0"/>
          <w:bCs w:val="0"/>
          <w:color w:val="auto"/>
          <w:highlight w:val="none"/>
        </w:rPr>
        <w:t>（一）法定代表人身份证明或附有法定代表人身份证明的授权委托书</w:t>
      </w:r>
      <w:bookmarkEnd w:id="2202"/>
      <w:bookmarkEnd w:id="2203"/>
      <w:bookmarkEnd w:id="2204"/>
      <w:bookmarkEnd w:id="2205"/>
      <w:bookmarkEnd w:id="2206"/>
      <w:bookmarkEnd w:id="2207"/>
      <w:bookmarkEnd w:id="2208"/>
      <w:bookmarkEnd w:id="2209"/>
    </w:p>
    <w:p w14:paraId="456FA94E">
      <w:pPr>
        <w:spacing w:line="480" w:lineRule="auto"/>
        <w:jc w:val="center"/>
        <w:rPr>
          <w:rFonts w:hint="eastAsia" w:ascii="宋体" w:hAnsi="宋体"/>
          <w:color w:val="auto"/>
          <w:sz w:val="28"/>
          <w:highlight w:val="none"/>
        </w:rPr>
      </w:pPr>
      <w:r>
        <w:rPr>
          <w:rFonts w:hint="eastAsia" w:ascii="宋体" w:hAnsi="宋体"/>
          <w:color w:val="auto"/>
          <w:sz w:val="28"/>
          <w:highlight w:val="none"/>
        </w:rPr>
        <w:t>法定代表人身份证明</w:t>
      </w:r>
    </w:p>
    <w:p w14:paraId="7322E0B3">
      <w:pPr>
        <w:spacing w:line="480" w:lineRule="auto"/>
        <w:jc w:val="center"/>
        <w:rPr>
          <w:rFonts w:ascii="宋体" w:hAnsi="宋体"/>
          <w:color w:val="auto"/>
          <w:highlight w:val="none"/>
        </w:rPr>
      </w:pPr>
    </w:p>
    <w:p w14:paraId="243B5B58">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8EF3E4C">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36ABC12">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291F064">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470EBC03">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9125521">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16F789F8">
      <w:pPr>
        <w:tabs>
          <w:tab w:val="left" w:pos="336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7F14A97F">
      <w:pPr>
        <w:tabs>
          <w:tab w:val="left" w:pos="336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特此证明。</w:t>
      </w:r>
    </w:p>
    <w:p w14:paraId="51CE5A5E">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hint="eastAsia" w:ascii="宋体" w:hAnsi="宋体"/>
          <w:color w:val="auto"/>
          <w:kern w:val="0"/>
          <w:szCs w:val="21"/>
          <w:highlight w:val="none"/>
        </w:rPr>
        <w:t>附：法定代表人身份证扫描件（双面）</w:t>
      </w:r>
    </w:p>
    <w:p w14:paraId="3C5331D4">
      <w:pPr>
        <w:autoSpaceDE w:val="0"/>
        <w:autoSpaceDN w:val="0"/>
        <w:adjustRightInd w:val="0"/>
        <w:snapToGrid w:val="0"/>
        <w:spacing w:line="360" w:lineRule="auto"/>
        <w:jc w:val="left"/>
        <w:rPr>
          <w:rFonts w:hint="eastAsia" w:ascii="宋体" w:hAnsi="宋体"/>
          <w:color w:val="auto"/>
          <w:szCs w:val="21"/>
          <w:highlight w:val="none"/>
        </w:rPr>
      </w:pPr>
    </w:p>
    <w:p w14:paraId="752E0E80">
      <w:pPr>
        <w:pStyle w:val="2"/>
        <w:spacing w:after="0" w:line="360" w:lineRule="auto"/>
        <w:rPr>
          <w:rFonts w:hint="eastAsia" w:ascii="宋体" w:hAnsi="宋体"/>
          <w:color w:val="auto"/>
          <w:szCs w:val="21"/>
          <w:highlight w:val="none"/>
        </w:rPr>
      </w:pPr>
    </w:p>
    <w:p w14:paraId="33539C64">
      <w:pPr>
        <w:pStyle w:val="2"/>
        <w:spacing w:after="0" w:line="360" w:lineRule="auto"/>
        <w:rPr>
          <w:rFonts w:hint="eastAsia" w:ascii="宋体" w:hAnsi="宋体"/>
          <w:color w:val="auto"/>
          <w:szCs w:val="21"/>
          <w:highlight w:val="none"/>
        </w:rPr>
      </w:pPr>
    </w:p>
    <w:p w14:paraId="6D00FE4D">
      <w:pPr>
        <w:pStyle w:val="2"/>
        <w:spacing w:after="0" w:line="360" w:lineRule="auto"/>
        <w:rPr>
          <w:rFonts w:hint="eastAsia" w:ascii="宋体" w:hAnsi="宋体"/>
          <w:color w:val="auto"/>
          <w:szCs w:val="21"/>
          <w:highlight w:val="none"/>
        </w:rPr>
      </w:pPr>
    </w:p>
    <w:p w14:paraId="6EBF3BAB">
      <w:pPr>
        <w:pStyle w:val="2"/>
        <w:spacing w:after="0" w:line="360" w:lineRule="auto"/>
        <w:rPr>
          <w:rFonts w:hint="eastAsia" w:ascii="宋体" w:hAnsi="宋体"/>
          <w:color w:val="auto"/>
          <w:szCs w:val="21"/>
          <w:highlight w:val="none"/>
        </w:rPr>
      </w:pPr>
    </w:p>
    <w:p w14:paraId="282F0AB8">
      <w:pPr>
        <w:pStyle w:val="2"/>
        <w:spacing w:after="0" w:line="360" w:lineRule="auto"/>
        <w:rPr>
          <w:rFonts w:ascii="宋体" w:hAnsi="宋体"/>
          <w:color w:val="auto"/>
          <w:szCs w:val="21"/>
          <w:highlight w:val="none"/>
        </w:rPr>
      </w:pPr>
    </w:p>
    <w:p w14:paraId="1DE2C6C2">
      <w:pPr>
        <w:tabs>
          <w:tab w:val="left" w:pos="3360"/>
        </w:tabs>
        <w:autoSpaceDE w:val="0"/>
        <w:autoSpaceDN w:val="0"/>
        <w:adjustRightInd w:val="0"/>
        <w:snapToGrid w:val="0"/>
        <w:spacing w:line="480" w:lineRule="auto"/>
        <w:ind w:firstLine="390" w:firstLineChars="186"/>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366C558A">
      <w:pPr>
        <w:autoSpaceDE w:val="0"/>
        <w:autoSpaceDN w:val="0"/>
        <w:adjustRightInd w:val="0"/>
        <w:snapToGrid w:val="0"/>
        <w:spacing w:line="480" w:lineRule="auto"/>
        <w:jc w:val="left"/>
        <w:rPr>
          <w:rFonts w:ascii="宋体" w:hAnsi="宋体"/>
          <w:color w:val="auto"/>
          <w:kern w:val="0"/>
          <w:sz w:val="20"/>
          <w:szCs w:val="20"/>
          <w:highlight w:val="none"/>
        </w:rPr>
      </w:pPr>
    </w:p>
    <w:p w14:paraId="789DCCFB">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44877415">
      <w:pPr>
        <w:autoSpaceDE w:val="0"/>
        <w:autoSpaceDN w:val="0"/>
        <w:adjustRightInd w:val="0"/>
        <w:snapToGrid w:val="0"/>
        <w:spacing w:line="360" w:lineRule="auto"/>
        <w:jc w:val="left"/>
        <w:rPr>
          <w:rFonts w:ascii="宋体" w:hAnsi="宋体"/>
          <w:color w:val="auto"/>
          <w:kern w:val="0"/>
          <w:highlight w:val="none"/>
        </w:rPr>
      </w:pPr>
    </w:p>
    <w:p w14:paraId="43D50B18">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rFonts w:ascii="宋体" w:hAnsi="宋体"/>
          <w:color w:val="auto"/>
          <w:highlight w:val="none"/>
        </w:rPr>
        <w:t>注：法定代表人身份证明需按上述格式填写完整，不可缺少内容。在此基础上增加内容的不影响其有效性</w:t>
      </w:r>
      <w:r>
        <w:rPr>
          <w:rFonts w:hint="eastAsia" w:ascii="宋体" w:hAnsi="宋体"/>
          <w:color w:val="auto"/>
          <w:kern w:val="0"/>
          <w:szCs w:val="21"/>
          <w:highlight w:val="none"/>
        </w:rPr>
        <w:t>。</w:t>
      </w:r>
    </w:p>
    <w:p w14:paraId="746848CE">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29B47863">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为我方代理人。代理人根据授权，以我方名义签署、澄清、说明、补正、递交、撤回、修改</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14:paraId="6FBA5455">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14:paraId="5C4B3868">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highlight w:val="none"/>
        </w:rPr>
      </w:pPr>
      <w:r>
        <w:rPr>
          <w:rFonts w:ascii="宋体" w:hAnsi="宋体"/>
          <w:color w:val="auto"/>
          <w:kern w:val="0"/>
          <w:szCs w:val="21"/>
          <w:highlight w:val="none"/>
        </w:rPr>
        <w:t>代理人无转委托权。</w:t>
      </w:r>
    </w:p>
    <w:p w14:paraId="5D410899">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03D2D3EF">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或盖章）</w:t>
      </w:r>
    </w:p>
    <w:p w14:paraId="14FC754C">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F6104AF">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w:t>
      </w:r>
    </w:p>
    <w:p w14:paraId="323870CA">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p>
    <w:p w14:paraId="1BCE5C40">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10FEDAAD">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 w:val="20"/>
          <w:szCs w:val="20"/>
          <w:highlight w:val="none"/>
          <w:u w:val="single"/>
        </w:rPr>
      </w:pPr>
      <w:r>
        <w:rPr>
          <w:rFonts w:hint="eastAsia" w:ascii="宋体" w:hAnsi="宋体"/>
          <w:color w:val="auto"/>
          <w:kern w:val="0"/>
          <w:szCs w:val="21"/>
          <w:highlight w:val="none"/>
        </w:rPr>
        <w:t xml:space="preserve">委托代理人电话（手机）：                                                </w:t>
      </w:r>
    </w:p>
    <w:p w14:paraId="433CE353">
      <w:pPr>
        <w:tabs>
          <w:tab w:val="left" w:pos="6825"/>
        </w:tabs>
        <w:autoSpaceDE w:val="0"/>
        <w:autoSpaceDN w:val="0"/>
        <w:adjustRightInd w:val="0"/>
        <w:snapToGrid w:val="0"/>
        <w:spacing w:line="480" w:lineRule="auto"/>
        <w:jc w:val="left"/>
        <w:rPr>
          <w:rFonts w:hint="eastAsia" w:ascii="宋体" w:hAnsi="宋体"/>
          <w:color w:val="auto"/>
          <w:kern w:val="0"/>
          <w:sz w:val="20"/>
          <w:szCs w:val="20"/>
          <w:highlight w:val="none"/>
        </w:rPr>
      </w:pPr>
    </w:p>
    <w:p w14:paraId="7AC3CF06">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hint="eastAsia" w:ascii="宋体" w:hAnsi="宋体"/>
          <w:color w:val="auto"/>
          <w:kern w:val="0"/>
          <w:szCs w:val="21"/>
          <w:highlight w:val="none"/>
        </w:rPr>
        <w:t>附：法定代表人和委托代理人身份证扫描件（双面）</w:t>
      </w:r>
    </w:p>
    <w:p w14:paraId="3C1E0F88">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6906557B">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2317A7E5">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36F224B9">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7F343185">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7D5841CA">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33F380BD">
      <w:pPr>
        <w:autoSpaceDE w:val="0"/>
        <w:autoSpaceDN w:val="0"/>
        <w:adjustRightInd w:val="0"/>
        <w:snapToGrid w:val="0"/>
        <w:spacing w:line="480" w:lineRule="auto"/>
        <w:jc w:val="left"/>
        <w:rPr>
          <w:rFonts w:hint="eastAsia" w:ascii="宋体" w:hAnsi="宋体"/>
          <w:color w:val="auto"/>
          <w:kern w:val="0"/>
          <w:sz w:val="20"/>
          <w:szCs w:val="20"/>
          <w:highlight w:val="none"/>
        </w:rPr>
      </w:pPr>
    </w:p>
    <w:p w14:paraId="2017F9F4">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5732DBD0">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kern w:val="0"/>
          <w:highlight w:val="none"/>
        </w:rPr>
      </w:pPr>
      <w:r>
        <w:rPr>
          <w:rFonts w:hint="eastAsia" w:ascii="宋体" w:hAnsi="宋体"/>
          <w:color w:val="auto"/>
          <w:kern w:val="0"/>
          <w:szCs w:val="21"/>
          <w:highlight w:val="none"/>
        </w:rPr>
        <w:t xml:space="preserve"> </w:t>
      </w:r>
    </w:p>
    <w:p w14:paraId="61EB4C40">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69429B94">
      <w:pPr>
        <w:autoSpaceDE w:val="0"/>
        <w:autoSpaceDN w:val="0"/>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38C2D81D">
      <w:pPr>
        <w:pStyle w:val="2"/>
        <w:rPr>
          <w:color w:val="auto"/>
          <w:highlight w:val="none"/>
        </w:rPr>
      </w:pPr>
    </w:p>
    <w:p w14:paraId="5D583CF3">
      <w:pPr>
        <w:autoSpaceDE w:val="0"/>
        <w:autoSpaceDN w:val="0"/>
        <w:adjustRightInd w:val="0"/>
        <w:snapToGrid w:val="0"/>
        <w:jc w:val="center"/>
        <w:rPr>
          <w:rFonts w:ascii="宋体" w:hAnsi="宋体"/>
          <w:color w:val="auto"/>
          <w:highlight w:val="none"/>
        </w:rPr>
      </w:pPr>
      <w:r>
        <w:rPr>
          <w:rFonts w:ascii="宋体" w:hAnsi="宋体"/>
          <w:color w:val="auto"/>
          <w:highlight w:val="none"/>
        </w:rPr>
        <w:br w:type="page"/>
      </w:r>
    </w:p>
    <w:bookmarkEnd w:id="2201"/>
    <w:p w14:paraId="1676B895">
      <w:pPr>
        <w:pStyle w:val="5"/>
        <w:spacing w:before="0" w:after="0" w:line="240" w:lineRule="auto"/>
        <w:jc w:val="center"/>
        <w:rPr>
          <w:rFonts w:ascii="宋体" w:hAnsi="宋体"/>
          <w:color w:val="auto"/>
          <w:highlight w:val="none"/>
        </w:rPr>
      </w:pPr>
      <w:bookmarkStart w:id="2210" w:name="_Toc8691"/>
      <w:bookmarkStart w:id="2211" w:name="_Toc33106478"/>
      <w:bookmarkStart w:id="2212" w:name="_Toc8353"/>
      <w:r>
        <w:rPr>
          <w:rFonts w:hint="eastAsia" w:ascii="宋体" w:hAnsi="宋体"/>
          <w:b w:val="0"/>
          <w:bCs w:val="0"/>
          <w:color w:val="auto"/>
          <w:highlight w:val="none"/>
        </w:rPr>
        <w:t>（</w:t>
      </w:r>
      <w:r>
        <w:rPr>
          <w:rFonts w:hint="eastAsia" w:ascii="宋体" w:hAnsi="宋体"/>
          <w:b w:val="0"/>
          <w:bCs w:val="0"/>
          <w:color w:val="auto"/>
          <w:highlight w:val="none"/>
          <w:lang w:val="en-US" w:eastAsia="zh-CN"/>
        </w:rPr>
        <w:t>二</w:t>
      </w:r>
      <w:r>
        <w:rPr>
          <w:rFonts w:hint="eastAsia" w:ascii="宋体" w:hAnsi="宋体"/>
          <w:b w:val="0"/>
          <w:bCs w:val="0"/>
          <w:color w:val="auto"/>
          <w:highlight w:val="none"/>
        </w:rPr>
        <w:t>）投标人基本情况表</w:t>
      </w:r>
      <w:bookmarkEnd w:id="2210"/>
      <w:bookmarkEnd w:id="2211"/>
      <w:bookmarkEnd w:id="2212"/>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2F1349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F3B87E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投标人名称</w:t>
            </w:r>
          </w:p>
        </w:tc>
        <w:tc>
          <w:tcPr>
            <w:tcW w:w="7607" w:type="dxa"/>
            <w:gridSpan w:val="9"/>
            <w:vAlign w:val="center"/>
          </w:tcPr>
          <w:p w14:paraId="0ADB073C">
            <w:pPr>
              <w:autoSpaceDE w:val="0"/>
              <w:autoSpaceDN w:val="0"/>
              <w:adjustRightInd w:val="0"/>
              <w:snapToGrid w:val="0"/>
              <w:jc w:val="center"/>
              <w:rPr>
                <w:rFonts w:ascii="宋体" w:hAnsi="宋体"/>
                <w:color w:val="auto"/>
                <w:kern w:val="0"/>
                <w:szCs w:val="21"/>
                <w:highlight w:val="none"/>
              </w:rPr>
            </w:pPr>
          </w:p>
        </w:tc>
      </w:tr>
      <w:tr w14:paraId="23E8CF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81AF27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14:paraId="36F7A1C0">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43325AB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14:paraId="479488FC">
            <w:pPr>
              <w:autoSpaceDE w:val="0"/>
              <w:autoSpaceDN w:val="0"/>
              <w:adjustRightInd w:val="0"/>
              <w:snapToGrid w:val="0"/>
              <w:jc w:val="center"/>
              <w:rPr>
                <w:rFonts w:ascii="宋体" w:hAnsi="宋体"/>
                <w:color w:val="auto"/>
                <w:kern w:val="0"/>
                <w:szCs w:val="21"/>
                <w:highlight w:val="none"/>
              </w:rPr>
            </w:pPr>
          </w:p>
        </w:tc>
      </w:tr>
      <w:tr w14:paraId="517431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2F584BB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14:paraId="0E6EC20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14:paraId="5F5CAB32">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3F454D8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14:paraId="2F8E17BE">
            <w:pPr>
              <w:autoSpaceDE w:val="0"/>
              <w:autoSpaceDN w:val="0"/>
              <w:adjustRightInd w:val="0"/>
              <w:snapToGrid w:val="0"/>
              <w:jc w:val="center"/>
              <w:rPr>
                <w:rFonts w:ascii="宋体" w:hAnsi="宋体"/>
                <w:color w:val="auto"/>
                <w:kern w:val="0"/>
                <w:szCs w:val="21"/>
                <w:highlight w:val="none"/>
              </w:rPr>
            </w:pPr>
          </w:p>
        </w:tc>
      </w:tr>
      <w:tr w14:paraId="74E51F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25AD860C">
            <w:pPr>
              <w:autoSpaceDE w:val="0"/>
              <w:autoSpaceDN w:val="0"/>
              <w:adjustRightInd w:val="0"/>
              <w:snapToGrid w:val="0"/>
              <w:jc w:val="center"/>
              <w:rPr>
                <w:rFonts w:ascii="宋体" w:hAnsi="宋体"/>
                <w:color w:val="auto"/>
                <w:kern w:val="0"/>
                <w:szCs w:val="21"/>
                <w:highlight w:val="none"/>
              </w:rPr>
            </w:pPr>
          </w:p>
        </w:tc>
        <w:tc>
          <w:tcPr>
            <w:tcW w:w="967" w:type="dxa"/>
            <w:vAlign w:val="center"/>
          </w:tcPr>
          <w:p w14:paraId="1E9E0916">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14:paraId="0BF68F59">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6B469DF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14:paraId="071ABA81">
            <w:pPr>
              <w:autoSpaceDE w:val="0"/>
              <w:autoSpaceDN w:val="0"/>
              <w:adjustRightInd w:val="0"/>
              <w:snapToGrid w:val="0"/>
              <w:jc w:val="center"/>
              <w:rPr>
                <w:rFonts w:ascii="宋体" w:hAnsi="宋体"/>
                <w:color w:val="auto"/>
                <w:kern w:val="0"/>
                <w:szCs w:val="21"/>
                <w:highlight w:val="none"/>
              </w:rPr>
            </w:pPr>
          </w:p>
        </w:tc>
      </w:tr>
      <w:tr w14:paraId="60C578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528A74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14:paraId="1405F741">
            <w:pPr>
              <w:autoSpaceDE w:val="0"/>
              <w:autoSpaceDN w:val="0"/>
              <w:adjustRightInd w:val="0"/>
              <w:snapToGrid w:val="0"/>
              <w:jc w:val="center"/>
              <w:rPr>
                <w:rFonts w:ascii="宋体" w:hAnsi="宋体"/>
                <w:color w:val="auto"/>
                <w:kern w:val="0"/>
                <w:szCs w:val="21"/>
                <w:highlight w:val="none"/>
              </w:rPr>
            </w:pPr>
          </w:p>
        </w:tc>
      </w:tr>
      <w:tr w14:paraId="2A42B7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E0AB1A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14:paraId="3757BEC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7D45A0E7">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51B8BCF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0B7CB326">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74591DF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03EC5361">
            <w:pPr>
              <w:autoSpaceDE w:val="0"/>
              <w:autoSpaceDN w:val="0"/>
              <w:adjustRightInd w:val="0"/>
              <w:snapToGrid w:val="0"/>
              <w:jc w:val="center"/>
              <w:rPr>
                <w:rFonts w:ascii="宋体" w:hAnsi="宋体"/>
                <w:color w:val="auto"/>
                <w:kern w:val="0"/>
                <w:szCs w:val="21"/>
                <w:highlight w:val="none"/>
              </w:rPr>
            </w:pPr>
          </w:p>
        </w:tc>
      </w:tr>
      <w:tr w14:paraId="2DD186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F1470A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项目总工</w:t>
            </w:r>
          </w:p>
        </w:tc>
        <w:tc>
          <w:tcPr>
            <w:tcW w:w="967" w:type="dxa"/>
            <w:vAlign w:val="center"/>
          </w:tcPr>
          <w:p w14:paraId="00CB558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2F2B1A5F">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7311C00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72C8FE73">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349E143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64FB8EAC">
            <w:pPr>
              <w:autoSpaceDE w:val="0"/>
              <w:autoSpaceDN w:val="0"/>
              <w:adjustRightInd w:val="0"/>
              <w:snapToGrid w:val="0"/>
              <w:jc w:val="center"/>
              <w:rPr>
                <w:rFonts w:ascii="宋体" w:hAnsi="宋体"/>
                <w:color w:val="auto"/>
                <w:kern w:val="0"/>
                <w:szCs w:val="21"/>
                <w:highlight w:val="none"/>
              </w:rPr>
            </w:pPr>
          </w:p>
        </w:tc>
      </w:tr>
      <w:tr w14:paraId="3ED67C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226987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14:paraId="371B616B">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14:paraId="6E4EB68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5C58EC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C094C4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14:paraId="2302FE39">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14:paraId="1CD5BA8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14:paraId="025ABEC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14:paraId="77947EE4">
            <w:pPr>
              <w:autoSpaceDE w:val="0"/>
              <w:autoSpaceDN w:val="0"/>
              <w:adjustRightInd w:val="0"/>
              <w:snapToGrid w:val="0"/>
              <w:jc w:val="center"/>
              <w:rPr>
                <w:rFonts w:ascii="宋体" w:hAnsi="宋体"/>
                <w:color w:val="auto"/>
                <w:kern w:val="0"/>
                <w:szCs w:val="21"/>
                <w:highlight w:val="none"/>
              </w:rPr>
            </w:pPr>
          </w:p>
        </w:tc>
      </w:tr>
      <w:tr w14:paraId="2D8249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EBD925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14:paraId="0181DCBF">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708F719F">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675DA39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14:paraId="5E3CF184">
            <w:pPr>
              <w:autoSpaceDE w:val="0"/>
              <w:autoSpaceDN w:val="0"/>
              <w:adjustRightInd w:val="0"/>
              <w:snapToGrid w:val="0"/>
              <w:jc w:val="center"/>
              <w:rPr>
                <w:rFonts w:ascii="宋体" w:hAnsi="宋体"/>
                <w:color w:val="auto"/>
                <w:kern w:val="0"/>
                <w:szCs w:val="21"/>
                <w:highlight w:val="none"/>
              </w:rPr>
            </w:pPr>
          </w:p>
        </w:tc>
      </w:tr>
      <w:tr w14:paraId="33997D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E27BB2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14:paraId="276448D8">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01D27500">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7434DC0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14:paraId="56D71A20">
            <w:pPr>
              <w:autoSpaceDE w:val="0"/>
              <w:autoSpaceDN w:val="0"/>
              <w:adjustRightInd w:val="0"/>
              <w:snapToGrid w:val="0"/>
              <w:jc w:val="center"/>
              <w:rPr>
                <w:rFonts w:ascii="宋体" w:hAnsi="宋体"/>
                <w:color w:val="auto"/>
                <w:kern w:val="0"/>
                <w:szCs w:val="21"/>
                <w:highlight w:val="none"/>
              </w:rPr>
            </w:pPr>
          </w:p>
        </w:tc>
      </w:tr>
      <w:tr w14:paraId="06CE2C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D670B7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14:paraId="791950FC">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4DA08406">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73A5FB7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14:paraId="62132B6B">
            <w:pPr>
              <w:autoSpaceDE w:val="0"/>
              <w:autoSpaceDN w:val="0"/>
              <w:adjustRightInd w:val="0"/>
              <w:snapToGrid w:val="0"/>
              <w:jc w:val="center"/>
              <w:rPr>
                <w:rFonts w:ascii="宋体" w:hAnsi="宋体"/>
                <w:color w:val="auto"/>
                <w:kern w:val="0"/>
                <w:szCs w:val="21"/>
                <w:highlight w:val="none"/>
              </w:rPr>
            </w:pPr>
          </w:p>
        </w:tc>
      </w:tr>
      <w:tr w14:paraId="66F991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C0D4292">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14:paraId="357FA8D9">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0DBFFE08">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5AB5E688">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14:paraId="46148EF1">
            <w:pPr>
              <w:autoSpaceDE w:val="0"/>
              <w:autoSpaceDN w:val="0"/>
              <w:adjustRightInd w:val="0"/>
              <w:snapToGrid w:val="0"/>
              <w:jc w:val="center"/>
              <w:rPr>
                <w:rFonts w:ascii="宋体" w:hAnsi="宋体"/>
                <w:color w:val="auto"/>
                <w:kern w:val="0"/>
                <w:szCs w:val="21"/>
                <w:highlight w:val="none"/>
              </w:rPr>
            </w:pPr>
          </w:p>
        </w:tc>
      </w:tr>
      <w:tr w14:paraId="69016C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C54A2C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14:paraId="3803C502">
            <w:pPr>
              <w:autoSpaceDE w:val="0"/>
              <w:autoSpaceDN w:val="0"/>
              <w:adjustRightInd w:val="0"/>
              <w:snapToGrid w:val="0"/>
              <w:jc w:val="center"/>
              <w:rPr>
                <w:rFonts w:ascii="宋体" w:hAnsi="宋体"/>
                <w:color w:val="auto"/>
                <w:kern w:val="0"/>
                <w:szCs w:val="21"/>
                <w:highlight w:val="none"/>
              </w:rPr>
            </w:pPr>
          </w:p>
        </w:tc>
      </w:tr>
      <w:tr w14:paraId="73C407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0E0036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14:paraId="55211BB0">
            <w:pPr>
              <w:autoSpaceDE w:val="0"/>
              <w:autoSpaceDN w:val="0"/>
              <w:adjustRightInd w:val="0"/>
              <w:snapToGrid w:val="0"/>
              <w:jc w:val="center"/>
              <w:rPr>
                <w:rFonts w:ascii="宋体" w:hAnsi="宋体"/>
                <w:color w:val="auto"/>
                <w:kern w:val="0"/>
                <w:szCs w:val="21"/>
                <w:highlight w:val="none"/>
              </w:rPr>
            </w:pPr>
          </w:p>
        </w:tc>
      </w:tr>
    </w:tbl>
    <w:p w14:paraId="5562D678">
      <w:pPr>
        <w:spacing w:line="360" w:lineRule="auto"/>
        <w:rPr>
          <w:rFonts w:hint="eastAsia" w:ascii="宋体" w:hAnsi="宋体"/>
          <w:color w:val="auto"/>
          <w:szCs w:val="21"/>
          <w:highlight w:val="none"/>
        </w:rPr>
      </w:pPr>
    </w:p>
    <w:p w14:paraId="6F8A4FB6">
      <w:pPr>
        <w:pStyle w:val="5"/>
        <w:spacing w:before="0" w:after="0" w:line="240" w:lineRule="auto"/>
        <w:jc w:val="center"/>
        <w:rPr>
          <w:rFonts w:ascii="宋体" w:hAnsi="宋体"/>
          <w:b w:val="0"/>
          <w:bCs w:val="0"/>
          <w:color w:val="auto"/>
          <w:highlight w:val="none"/>
        </w:rPr>
      </w:pPr>
      <w:bookmarkStart w:id="2213" w:name="_Toc33106479"/>
      <w:bookmarkStart w:id="2214" w:name="_Toc11694"/>
      <w:bookmarkStart w:id="2215" w:name="_Toc17784"/>
      <w:r>
        <w:rPr>
          <w:rFonts w:hint="eastAsia" w:ascii="宋体" w:hAnsi="宋体"/>
          <w:b w:val="0"/>
          <w:bCs w:val="0"/>
          <w:color w:val="auto"/>
          <w:highlight w:val="none"/>
        </w:rPr>
        <w:t>（</w:t>
      </w:r>
      <w:r>
        <w:rPr>
          <w:rFonts w:hint="eastAsia" w:ascii="宋体" w:hAnsi="宋体"/>
          <w:b w:val="0"/>
          <w:bCs w:val="0"/>
          <w:color w:val="auto"/>
          <w:highlight w:val="none"/>
          <w:lang w:val="en-US" w:eastAsia="zh-CN"/>
        </w:rPr>
        <w:t>三</w:t>
      </w:r>
      <w:r>
        <w:rPr>
          <w:rFonts w:hint="eastAsia" w:ascii="宋体" w:hAnsi="宋体"/>
          <w:b w:val="0"/>
          <w:bCs w:val="0"/>
          <w:color w:val="auto"/>
          <w:highlight w:val="none"/>
        </w:rPr>
        <w:t>）项目管理机构</w:t>
      </w:r>
      <w:bookmarkEnd w:id="2213"/>
      <w:bookmarkEnd w:id="2214"/>
      <w:bookmarkEnd w:id="2215"/>
    </w:p>
    <w:p w14:paraId="3384DF1E">
      <w:pPr>
        <w:spacing w:line="360" w:lineRule="auto"/>
        <w:rPr>
          <w:rFonts w:ascii="宋体" w:hAnsi="宋体"/>
          <w:color w:val="auto"/>
          <w:highlight w:val="none"/>
        </w:rPr>
      </w:pPr>
    </w:p>
    <w:p w14:paraId="1D4142AD">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72B550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5A4A947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14:paraId="1A54B2E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14:paraId="33A1BF2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14:paraId="4120AD8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14:paraId="4C59088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09A717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vAlign w:val="top"/>
          </w:tcPr>
          <w:p w14:paraId="1FE4D6F3">
            <w:pPr>
              <w:autoSpaceDE w:val="0"/>
              <w:autoSpaceDN w:val="0"/>
              <w:adjustRightInd w:val="0"/>
              <w:snapToGrid w:val="0"/>
              <w:jc w:val="left"/>
              <w:rPr>
                <w:rFonts w:ascii="宋体" w:hAnsi="宋体"/>
                <w:color w:val="auto"/>
                <w:kern w:val="0"/>
                <w:szCs w:val="21"/>
                <w:highlight w:val="none"/>
              </w:rPr>
            </w:pPr>
          </w:p>
        </w:tc>
        <w:tc>
          <w:tcPr>
            <w:tcW w:w="734" w:type="dxa"/>
            <w:vMerge w:val="continue"/>
            <w:vAlign w:val="top"/>
          </w:tcPr>
          <w:p w14:paraId="191F42D1">
            <w:pPr>
              <w:autoSpaceDE w:val="0"/>
              <w:autoSpaceDN w:val="0"/>
              <w:adjustRightInd w:val="0"/>
              <w:snapToGrid w:val="0"/>
              <w:jc w:val="left"/>
              <w:rPr>
                <w:rFonts w:ascii="宋体" w:hAnsi="宋体"/>
                <w:color w:val="auto"/>
                <w:kern w:val="0"/>
                <w:szCs w:val="21"/>
                <w:highlight w:val="none"/>
              </w:rPr>
            </w:pPr>
          </w:p>
        </w:tc>
        <w:tc>
          <w:tcPr>
            <w:tcW w:w="776" w:type="dxa"/>
            <w:vMerge w:val="continue"/>
            <w:vAlign w:val="top"/>
          </w:tcPr>
          <w:p w14:paraId="587F3575">
            <w:pPr>
              <w:autoSpaceDE w:val="0"/>
              <w:autoSpaceDN w:val="0"/>
              <w:adjustRightInd w:val="0"/>
              <w:snapToGrid w:val="0"/>
              <w:jc w:val="left"/>
              <w:rPr>
                <w:rFonts w:ascii="宋体" w:hAnsi="宋体"/>
                <w:color w:val="auto"/>
                <w:kern w:val="0"/>
                <w:szCs w:val="21"/>
                <w:highlight w:val="none"/>
              </w:rPr>
            </w:pPr>
          </w:p>
        </w:tc>
        <w:tc>
          <w:tcPr>
            <w:tcW w:w="1167" w:type="dxa"/>
            <w:vAlign w:val="center"/>
          </w:tcPr>
          <w:p w14:paraId="10CA198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14:paraId="7E4574E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14:paraId="2EDD292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14:paraId="385E8A1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14:paraId="7C5894A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vAlign w:val="top"/>
          </w:tcPr>
          <w:p w14:paraId="7759676C">
            <w:pPr>
              <w:autoSpaceDE w:val="0"/>
              <w:autoSpaceDN w:val="0"/>
              <w:adjustRightInd w:val="0"/>
              <w:snapToGrid w:val="0"/>
              <w:jc w:val="left"/>
              <w:rPr>
                <w:rFonts w:ascii="宋体" w:hAnsi="宋体"/>
                <w:color w:val="auto"/>
                <w:kern w:val="0"/>
                <w:szCs w:val="21"/>
                <w:highlight w:val="none"/>
              </w:rPr>
            </w:pPr>
          </w:p>
        </w:tc>
      </w:tr>
      <w:tr w14:paraId="50980A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72B9A000">
            <w:pPr>
              <w:autoSpaceDE w:val="0"/>
              <w:autoSpaceDN w:val="0"/>
              <w:adjustRightInd w:val="0"/>
              <w:snapToGrid w:val="0"/>
              <w:jc w:val="center"/>
              <w:rPr>
                <w:rFonts w:ascii="宋体" w:hAnsi="宋体"/>
                <w:color w:val="auto"/>
                <w:kern w:val="0"/>
                <w:szCs w:val="21"/>
                <w:highlight w:val="none"/>
              </w:rPr>
            </w:pPr>
          </w:p>
        </w:tc>
        <w:tc>
          <w:tcPr>
            <w:tcW w:w="734" w:type="dxa"/>
            <w:vAlign w:val="top"/>
          </w:tcPr>
          <w:p w14:paraId="32585C5D">
            <w:pPr>
              <w:autoSpaceDE w:val="0"/>
              <w:autoSpaceDN w:val="0"/>
              <w:adjustRightInd w:val="0"/>
              <w:snapToGrid w:val="0"/>
              <w:jc w:val="left"/>
              <w:rPr>
                <w:rFonts w:ascii="宋体" w:hAnsi="宋体"/>
                <w:color w:val="auto"/>
                <w:kern w:val="0"/>
                <w:szCs w:val="21"/>
                <w:highlight w:val="none"/>
              </w:rPr>
            </w:pPr>
          </w:p>
        </w:tc>
        <w:tc>
          <w:tcPr>
            <w:tcW w:w="776" w:type="dxa"/>
            <w:vAlign w:val="top"/>
          </w:tcPr>
          <w:p w14:paraId="6CE1EED0">
            <w:pPr>
              <w:autoSpaceDE w:val="0"/>
              <w:autoSpaceDN w:val="0"/>
              <w:adjustRightInd w:val="0"/>
              <w:snapToGrid w:val="0"/>
              <w:jc w:val="left"/>
              <w:rPr>
                <w:rFonts w:ascii="宋体" w:hAnsi="宋体"/>
                <w:color w:val="auto"/>
                <w:kern w:val="0"/>
                <w:szCs w:val="21"/>
                <w:highlight w:val="none"/>
              </w:rPr>
            </w:pPr>
          </w:p>
        </w:tc>
        <w:tc>
          <w:tcPr>
            <w:tcW w:w="1167" w:type="dxa"/>
            <w:vAlign w:val="top"/>
          </w:tcPr>
          <w:p w14:paraId="27322EA2">
            <w:pPr>
              <w:autoSpaceDE w:val="0"/>
              <w:autoSpaceDN w:val="0"/>
              <w:adjustRightInd w:val="0"/>
              <w:snapToGrid w:val="0"/>
              <w:jc w:val="left"/>
              <w:rPr>
                <w:rFonts w:ascii="宋体" w:hAnsi="宋体"/>
                <w:color w:val="auto"/>
                <w:kern w:val="0"/>
                <w:szCs w:val="21"/>
                <w:highlight w:val="none"/>
              </w:rPr>
            </w:pPr>
          </w:p>
        </w:tc>
        <w:tc>
          <w:tcPr>
            <w:tcW w:w="776" w:type="dxa"/>
            <w:vAlign w:val="top"/>
          </w:tcPr>
          <w:p w14:paraId="6D544CA5">
            <w:pPr>
              <w:autoSpaceDE w:val="0"/>
              <w:autoSpaceDN w:val="0"/>
              <w:adjustRightInd w:val="0"/>
              <w:snapToGrid w:val="0"/>
              <w:jc w:val="left"/>
              <w:rPr>
                <w:rFonts w:ascii="宋体" w:hAnsi="宋体"/>
                <w:color w:val="auto"/>
                <w:kern w:val="0"/>
                <w:szCs w:val="21"/>
                <w:highlight w:val="none"/>
              </w:rPr>
            </w:pPr>
          </w:p>
        </w:tc>
        <w:tc>
          <w:tcPr>
            <w:tcW w:w="778" w:type="dxa"/>
            <w:vAlign w:val="top"/>
          </w:tcPr>
          <w:p w14:paraId="0A9700CA">
            <w:pPr>
              <w:autoSpaceDE w:val="0"/>
              <w:autoSpaceDN w:val="0"/>
              <w:adjustRightInd w:val="0"/>
              <w:snapToGrid w:val="0"/>
              <w:jc w:val="left"/>
              <w:rPr>
                <w:rFonts w:ascii="宋体" w:hAnsi="宋体"/>
                <w:color w:val="auto"/>
                <w:kern w:val="0"/>
                <w:szCs w:val="21"/>
                <w:highlight w:val="none"/>
              </w:rPr>
            </w:pPr>
          </w:p>
        </w:tc>
        <w:tc>
          <w:tcPr>
            <w:tcW w:w="776" w:type="dxa"/>
            <w:vAlign w:val="top"/>
          </w:tcPr>
          <w:p w14:paraId="7325839C">
            <w:pPr>
              <w:autoSpaceDE w:val="0"/>
              <w:autoSpaceDN w:val="0"/>
              <w:adjustRightInd w:val="0"/>
              <w:snapToGrid w:val="0"/>
              <w:jc w:val="left"/>
              <w:rPr>
                <w:rFonts w:ascii="宋体" w:hAnsi="宋体"/>
                <w:color w:val="auto"/>
                <w:kern w:val="0"/>
                <w:szCs w:val="21"/>
                <w:highlight w:val="none"/>
              </w:rPr>
            </w:pPr>
          </w:p>
        </w:tc>
        <w:tc>
          <w:tcPr>
            <w:tcW w:w="2723" w:type="dxa"/>
            <w:vAlign w:val="top"/>
          </w:tcPr>
          <w:p w14:paraId="318219E8">
            <w:pPr>
              <w:autoSpaceDE w:val="0"/>
              <w:autoSpaceDN w:val="0"/>
              <w:adjustRightInd w:val="0"/>
              <w:snapToGrid w:val="0"/>
              <w:jc w:val="left"/>
              <w:rPr>
                <w:rFonts w:ascii="宋体" w:hAnsi="宋体"/>
                <w:color w:val="auto"/>
                <w:kern w:val="0"/>
                <w:szCs w:val="21"/>
                <w:highlight w:val="none"/>
              </w:rPr>
            </w:pPr>
          </w:p>
        </w:tc>
        <w:tc>
          <w:tcPr>
            <w:tcW w:w="896" w:type="dxa"/>
            <w:vAlign w:val="top"/>
          </w:tcPr>
          <w:p w14:paraId="7AC5D74F">
            <w:pPr>
              <w:autoSpaceDE w:val="0"/>
              <w:autoSpaceDN w:val="0"/>
              <w:adjustRightInd w:val="0"/>
              <w:snapToGrid w:val="0"/>
              <w:jc w:val="left"/>
              <w:rPr>
                <w:rFonts w:ascii="宋体" w:hAnsi="宋体"/>
                <w:color w:val="auto"/>
                <w:kern w:val="0"/>
                <w:szCs w:val="21"/>
                <w:highlight w:val="none"/>
              </w:rPr>
            </w:pPr>
          </w:p>
        </w:tc>
      </w:tr>
      <w:tr w14:paraId="3D35CA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53A8D338">
            <w:pPr>
              <w:autoSpaceDE w:val="0"/>
              <w:autoSpaceDN w:val="0"/>
              <w:adjustRightInd w:val="0"/>
              <w:snapToGrid w:val="0"/>
              <w:jc w:val="center"/>
              <w:rPr>
                <w:rFonts w:ascii="宋体" w:hAnsi="宋体"/>
                <w:color w:val="auto"/>
                <w:kern w:val="0"/>
                <w:szCs w:val="21"/>
                <w:highlight w:val="none"/>
              </w:rPr>
            </w:pPr>
          </w:p>
        </w:tc>
        <w:tc>
          <w:tcPr>
            <w:tcW w:w="734" w:type="dxa"/>
            <w:vAlign w:val="top"/>
          </w:tcPr>
          <w:p w14:paraId="531E2820">
            <w:pPr>
              <w:autoSpaceDE w:val="0"/>
              <w:autoSpaceDN w:val="0"/>
              <w:adjustRightInd w:val="0"/>
              <w:snapToGrid w:val="0"/>
              <w:jc w:val="left"/>
              <w:rPr>
                <w:rFonts w:ascii="宋体" w:hAnsi="宋体"/>
                <w:color w:val="auto"/>
                <w:kern w:val="0"/>
                <w:szCs w:val="21"/>
                <w:highlight w:val="none"/>
              </w:rPr>
            </w:pPr>
          </w:p>
        </w:tc>
        <w:tc>
          <w:tcPr>
            <w:tcW w:w="776" w:type="dxa"/>
            <w:vAlign w:val="top"/>
          </w:tcPr>
          <w:p w14:paraId="642A05B2">
            <w:pPr>
              <w:autoSpaceDE w:val="0"/>
              <w:autoSpaceDN w:val="0"/>
              <w:adjustRightInd w:val="0"/>
              <w:snapToGrid w:val="0"/>
              <w:jc w:val="left"/>
              <w:rPr>
                <w:rFonts w:ascii="宋体" w:hAnsi="宋体"/>
                <w:color w:val="auto"/>
                <w:kern w:val="0"/>
                <w:szCs w:val="21"/>
                <w:highlight w:val="none"/>
              </w:rPr>
            </w:pPr>
          </w:p>
        </w:tc>
        <w:tc>
          <w:tcPr>
            <w:tcW w:w="1167" w:type="dxa"/>
            <w:vAlign w:val="top"/>
          </w:tcPr>
          <w:p w14:paraId="5CB05707">
            <w:pPr>
              <w:autoSpaceDE w:val="0"/>
              <w:autoSpaceDN w:val="0"/>
              <w:adjustRightInd w:val="0"/>
              <w:snapToGrid w:val="0"/>
              <w:jc w:val="left"/>
              <w:rPr>
                <w:rFonts w:ascii="宋体" w:hAnsi="宋体"/>
                <w:color w:val="auto"/>
                <w:kern w:val="0"/>
                <w:szCs w:val="21"/>
                <w:highlight w:val="none"/>
              </w:rPr>
            </w:pPr>
          </w:p>
        </w:tc>
        <w:tc>
          <w:tcPr>
            <w:tcW w:w="776" w:type="dxa"/>
            <w:vAlign w:val="top"/>
          </w:tcPr>
          <w:p w14:paraId="15D2913D">
            <w:pPr>
              <w:autoSpaceDE w:val="0"/>
              <w:autoSpaceDN w:val="0"/>
              <w:adjustRightInd w:val="0"/>
              <w:snapToGrid w:val="0"/>
              <w:jc w:val="left"/>
              <w:rPr>
                <w:rFonts w:ascii="宋体" w:hAnsi="宋体"/>
                <w:color w:val="auto"/>
                <w:kern w:val="0"/>
                <w:szCs w:val="21"/>
                <w:highlight w:val="none"/>
              </w:rPr>
            </w:pPr>
          </w:p>
        </w:tc>
        <w:tc>
          <w:tcPr>
            <w:tcW w:w="778" w:type="dxa"/>
            <w:vAlign w:val="top"/>
          </w:tcPr>
          <w:p w14:paraId="2B7A2E61">
            <w:pPr>
              <w:autoSpaceDE w:val="0"/>
              <w:autoSpaceDN w:val="0"/>
              <w:adjustRightInd w:val="0"/>
              <w:snapToGrid w:val="0"/>
              <w:jc w:val="left"/>
              <w:rPr>
                <w:rFonts w:ascii="宋体" w:hAnsi="宋体"/>
                <w:color w:val="auto"/>
                <w:kern w:val="0"/>
                <w:szCs w:val="21"/>
                <w:highlight w:val="none"/>
              </w:rPr>
            </w:pPr>
          </w:p>
        </w:tc>
        <w:tc>
          <w:tcPr>
            <w:tcW w:w="776" w:type="dxa"/>
            <w:vAlign w:val="top"/>
          </w:tcPr>
          <w:p w14:paraId="10E82E17">
            <w:pPr>
              <w:autoSpaceDE w:val="0"/>
              <w:autoSpaceDN w:val="0"/>
              <w:adjustRightInd w:val="0"/>
              <w:snapToGrid w:val="0"/>
              <w:jc w:val="left"/>
              <w:rPr>
                <w:rFonts w:ascii="宋体" w:hAnsi="宋体"/>
                <w:color w:val="auto"/>
                <w:kern w:val="0"/>
                <w:szCs w:val="21"/>
                <w:highlight w:val="none"/>
              </w:rPr>
            </w:pPr>
          </w:p>
        </w:tc>
        <w:tc>
          <w:tcPr>
            <w:tcW w:w="2723" w:type="dxa"/>
            <w:vAlign w:val="top"/>
          </w:tcPr>
          <w:p w14:paraId="4754F27E">
            <w:pPr>
              <w:autoSpaceDE w:val="0"/>
              <w:autoSpaceDN w:val="0"/>
              <w:adjustRightInd w:val="0"/>
              <w:snapToGrid w:val="0"/>
              <w:jc w:val="left"/>
              <w:rPr>
                <w:rFonts w:ascii="宋体" w:hAnsi="宋体"/>
                <w:color w:val="auto"/>
                <w:kern w:val="0"/>
                <w:szCs w:val="21"/>
                <w:highlight w:val="none"/>
              </w:rPr>
            </w:pPr>
          </w:p>
        </w:tc>
        <w:tc>
          <w:tcPr>
            <w:tcW w:w="896" w:type="dxa"/>
            <w:vAlign w:val="top"/>
          </w:tcPr>
          <w:p w14:paraId="7302DAFA">
            <w:pPr>
              <w:autoSpaceDE w:val="0"/>
              <w:autoSpaceDN w:val="0"/>
              <w:adjustRightInd w:val="0"/>
              <w:snapToGrid w:val="0"/>
              <w:jc w:val="left"/>
              <w:rPr>
                <w:rFonts w:ascii="宋体" w:hAnsi="宋体"/>
                <w:color w:val="auto"/>
                <w:kern w:val="0"/>
                <w:szCs w:val="21"/>
                <w:highlight w:val="none"/>
              </w:rPr>
            </w:pPr>
          </w:p>
        </w:tc>
      </w:tr>
      <w:tr w14:paraId="0118F0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3343B970">
            <w:pPr>
              <w:autoSpaceDE w:val="0"/>
              <w:autoSpaceDN w:val="0"/>
              <w:adjustRightInd w:val="0"/>
              <w:snapToGrid w:val="0"/>
              <w:jc w:val="left"/>
              <w:rPr>
                <w:rFonts w:ascii="宋体" w:hAnsi="宋体"/>
                <w:color w:val="auto"/>
                <w:kern w:val="0"/>
                <w:szCs w:val="21"/>
                <w:highlight w:val="none"/>
              </w:rPr>
            </w:pPr>
          </w:p>
        </w:tc>
        <w:tc>
          <w:tcPr>
            <w:tcW w:w="734" w:type="dxa"/>
            <w:vAlign w:val="top"/>
          </w:tcPr>
          <w:p w14:paraId="2449E1CD">
            <w:pPr>
              <w:autoSpaceDE w:val="0"/>
              <w:autoSpaceDN w:val="0"/>
              <w:adjustRightInd w:val="0"/>
              <w:snapToGrid w:val="0"/>
              <w:jc w:val="left"/>
              <w:rPr>
                <w:rFonts w:ascii="宋体" w:hAnsi="宋体"/>
                <w:color w:val="auto"/>
                <w:kern w:val="0"/>
                <w:szCs w:val="21"/>
                <w:highlight w:val="none"/>
              </w:rPr>
            </w:pPr>
          </w:p>
        </w:tc>
        <w:tc>
          <w:tcPr>
            <w:tcW w:w="776" w:type="dxa"/>
            <w:vAlign w:val="top"/>
          </w:tcPr>
          <w:p w14:paraId="66C06045">
            <w:pPr>
              <w:autoSpaceDE w:val="0"/>
              <w:autoSpaceDN w:val="0"/>
              <w:adjustRightInd w:val="0"/>
              <w:snapToGrid w:val="0"/>
              <w:jc w:val="left"/>
              <w:rPr>
                <w:rFonts w:ascii="宋体" w:hAnsi="宋体"/>
                <w:color w:val="auto"/>
                <w:kern w:val="0"/>
                <w:szCs w:val="21"/>
                <w:highlight w:val="none"/>
              </w:rPr>
            </w:pPr>
          </w:p>
        </w:tc>
        <w:tc>
          <w:tcPr>
            <w:tcW w:w="1167" w:type="dxa"/>
            <w:vAlign w:val="top"/>
          </w:tcPr>
          <w:p w14:paraId="60D758D0">
            <w:pPr>
              <w:autoSpaceDE w:val="0"/>
              <w:autoSpaceDN w:val="0"/>
              <w:adjustRightInd w:val="0"/>
              <w:snapToGrid w:val="0"/>
              <w:jc w:val="left"/>
              <w:rPr>
                <w:rFonts w:ascii="宋体" w:hAnsi="宋体"/>
                <w:color w:val="auto"/>
                <w:kern w:val="0"/>
                <w:szCs w:val="21"/>
                <w:highlight w:val="none"/>
              </w:rPr>
            </w:pPr>
          </w:p>
        </w:tc>
        <w:tc>
          <w:tcPr>
            <w:tcW w:w="776" w:type="dxa"/>
            <w:vAlign w:val="top"/>
          </w:tcPr>
          <w:p w14:paraId="57031222">
            <w:pPr>
              <w:autoSpaceDE w:val="0"/>
              <w:autoSpaceDN w:val="0"/>
              <w:adjustRightInd w:val="0"/>
              <w:snapToGrid w:val="0"/>
              <w:jc w:val="left"/>
              <w:rPr>
                <w:rFonts w:ascii="宋体" w:hAnsi="宋体"/>
                <w:color w:val="auto"/>
                <w:kern w:val="0"/>
                <w:szCs w:val="21"/>
                <w:highlight w:val="none"/>
              </w:rPr>
            </w:pPr>
          </w:p>
        </w:tc>
        <w:tc>
          <w:tcPr>
            <w:tcW w:w="778" w:type="dxa"/>
            <w:vAlign w:val="top"/>
          </w:tcPr>
          <w:p w14:paraId="7FE0D6AD">
            <w:pPr>
              <w:autoSpaceDE w:val="0"/>
              <w:autoSpaceDN w:val="0"/>
              <w:adjustRightInd w:val="0"/>
              <w:snapToGrid w:val="0"/>
              <w:jc w:val="left"/>
              <w:rPr>
                <w:rFonts w:ascii="宋体" w:hAnsi="宋体"/>
                <w:color w:val="auto"/>
                <w:kern w:val="0"/>
                <w:szCs w:val="21"/>
                <w:highlight w:val="none"/>
              </w:rPr>
            </w:pPr>
          </w:p>
        </w:tc>
        <w:tc>
          <w:tcPr>
            <w:tcW w:w="776" w:type="dxa"/>
            <w:vAlign w:val="top"/>
          </w:tcPr>
          <w:p w14:paraId="3AFBABD5">
            <w:pPr>
              <w:autoSpaceDE w:val="0"/>
              <w:autoSpaceDN w:val="0"/>
              <w:adjustRightInd w:val="0"/>
              <w:snapToGrid w:val="0"/>
              <w:jc w:val="left"/>
              <w:rPr>
                <w:rFonts w:ascii="宋体" w:hAnsi="宋体"/>
                <w:color w:val="auto"/>
                <w:kern w:val="0"/>
                <w:szCs w:val="21"/>
                <w:highlight w:val="none"/>
              </w:rPr>
            </w:pPr>
          </w:p>
        </w:tc>
        <w:tc>
          <w:tcPr>
            <w:tcW w:w="2723" w:type="dxa"/>
            <w:vAlign w:val="top"/>
          </w:tcPr>
          <w:p w14:paraId="4BA23BD3">
            <w:pPr>
              <w:autoSpaceDE w:val="0"/>
              <w:autoSpaceDN w:val="0"/>
              <w:adjustRightInd w:val="0"/>
              <w:snapToGrid w:val="0"/>
              <w:jc w:val="left"/>
              <w:rPr>
                <w:rFonts w:ascii="宋体" w:hAnsi="宋体"/>
                <w:color w:val="auto"/>
                <w:kern w:val="0"/>
                <w:szCs w:val="21"/>
                <w:highlight w:val="none"/>
              </w:rPr>
            </w:pPr>
          </w:p>
        </w:tc>
        <w:tc>
          <w:tcPr>
            <w:tcW w:w="896" w:type="dxa"/>
            <w:vAlign w:val="top"/>
          </w:tcPr>
          <w:p w14:paraId="2FBA7078">
            <w:pPr>
              <w:autoSpaceDE w:val="0"/>
              <w:autoSpaceDN w:val="0"/>
              <w:adjustRightInd w:val="0"/>
              <w:snapToGrid w:val="0"/>
              <w:jc w:val="left"/>
              <w:rPr>
                <w:rFonts w:ascii="宋体" w:hAnsi="宋体"/>
                <w:color w:val="auto"/>
                <w:kern w:val="0"/>
                <w:szCs w:val="21"/>
                <w:highlight w:val="none"/>
              </w:rPr>
            </w:pPr>
          </w:p>
        </w:tc>
      </w:tr>
      <w:tr w14:paraId="349F04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653628DE">
            <w:pPr>
              <w:autoSpaceDE w:val="0"/>
              <w:autoSpaceDN w:val="0"/>
              <w:adjustRightInd w:val="0"/>
              <w:snapToGrid w:val="0"/>
              <w:jc w:val="left"/>
              <w:rPr>
                <w:rFonts w:ascii="宋体" w:hAnsi="宋体"/>
                <w:color w:val="auto"/>
                <w:kern w:val="0"/>
                <w:szCs w:val="21"/>
                <w:highlight w:val="none"/>
              </w:rPr>
            </w:pPr>
          </w:p>
        </w:tc>
        <w:tc>
          <w:tcPr>
            <w:tcW w:w="734" w:type="dxa"/>
            <w:vAlign w:val="top"/>
          </w:tcPr>
          <w:p w14:paraId="78E51B14">
            <w:pPr>
              <w:autoSpaceDE w:val="0"/>
              <w:autoSpaceDN w:val="0"/>
              <w:adjustRightInd w:val="0"/>
              <w:snapToGrid w:val="0"/>
              <w:jc w:val="left"/>
              <w:rPr>
                <w:rFonts w:ascii="宋体" w:hAnsi="宋体"/>
                <w:color w:val="auto"/>
                <w:kern w:val="0"/>
                <w:szCs w:val="21"/>
                <w:highlight w:val="none"/>
              </w:rPr>
            </w:pPr>
          </w:p>
        </w:tc>
        <w:tc>
          <w:tcPr>
            <w:tcW w:w="776" w:type="dxa"/>
            <w:vAlign w:val="top"/>
          </w:tcPr>
          <w:p w14:paraId="0D8232BB">
            <w:pPr>
              <w:autoSpaceDE w:val="0"/>
              <w:autoSpaceDN w:val="0"/>
              <w:adjustRightInd w:val="0"/>
              <w:snapToGrid w:val="0"/>
              <w:jc w:val="left"/>
              <w:rPr>
                <w:rFonts w:ascii="宋体" w:hAnsi="宋体"/>
                <w:color w:val="auto"/>
                <w:kern w:val="0"/>
                <w:szCs w:val="21"/>
                <w:highlight w:val="none"/>
              </w:rPr>
            </w:pPr>
          </w:p>
        </w:tc>
        <w:tc>
          <w:tcPr>
            <w:tcW w:w="1167" w:type="dxa"/>
            <w:vAlign w:val="top"/>
          </w:tcPr>
          <w:p w14:paraId="41EAFD26">
            <w:pPr>
              <w:autoSpaceDE w:val="0"/>
              <w:autoSpaceDN w:val="0"/>
              <w:adjustRightInd w:val="0"/>
              <w:snapToGrid w:val="0"/>
              <w:jc w:val="left"/>
              <w:rPr>
                <w:rFonts w:ascii="宋体" w:hAnsi="宋体"/>
                <w:color w:val="auto"/>
                <w:kern w:val="0"/>
                <w:szCs w:val="21"/>
                <w:highlight w:val="none"/>
              </w:rPr>
            </w:pPr>
          </w:p>
        </w:tc>
        <w:tc>
          <w:tcPr>
            <w:tcW w:w="776" w:type="dxa"/>
            <w:vAlign w:val="top"/>
          </w:tcPr>
          <w:p w14:paraId="71E164E7">
            <w:pPr>
              <w:autoSpaceDE w:val="0"/>
              <w:autoSpaceDN w:val="0"/>
              <w:adjustRightInd w:val="0"/>
              <w:snapToGrid w:val="0"/>
              <w:jc w:val="left"/>
              <w:rPr>
                <w:rFonts w:ascii="宋体" w:hAnsi="宋体"/>
                <w:color w:val="auto"/>
                <w:kern w:val="0"/>
                <w:szCs w:val="21"/>
                <w:highlight w:val="none"/>
              </w:rPr>
            </w:pPr>
          </w:p>
        </w:tc>
        <w:tc>
          <w:tcPr>
            <w:tcW w:w="778" w:type="dxa"/>
            <w:vAlign w:val="top"/>
          </w:tcPr>
          <w:p w14:paraId="05A571F6">
            <w:pPr>
              <w:autoSpaceDE w:val="0"/>
              <w:autoSpaceDN w:val="0"/>
              <w:adjustRightInd w:val="0"/>
              <w:snapToGrid w:val="0"/>
              <w:jc w:val="left"/>
              <w:rPr>
                <w:rFonts w:ascii="宋体" w:hAnsi="宋体"/>
                <w:color w:val="auto"/>
                <w:kern w:val="0"/>
                <w:szCs w:val="21"/>
                <w:highlight w:val="none"/>
              </w:rPr>
            </w:pPr>
          </w:p>
        </w:tc>
        <w:tc>
          <w:tcPr>
            <w:tcW w:w="776" w:type="dxa"/>
            <w:vAlign w:val="top"/>
          </w:tcPr>
          <w:p w14:paraId="61EA2961">
            <w:pPr>
              <w:autoSpaceDE w:val="0"/>
              <w:autoSpaceDN w:val="0"/>
              <w:adjustRightInd w:val="0"/>
              <w:snapToGrid w:val="0"/>
              <w:jc w:val="left"/>
              <w:rPr>
                <w:rFonts w:ascii="宋体" w:hAnsi="宋体"/>
                <w:color w:val="auto"/>
                <w:kern w:val="0"/>
                <w:szCs w:val="21"/>
                <w:highlight w:val="none"/>
              </w:rPr>
            </w:pPr>
          </w:p>
        </w:tc>
        <w:tc>
          <w:tcPr>
            <w:tcW w:w="2723" w:type="dxa"/>
            <w:vAlign w:val="top"/>
          </w:tcPr>
          <w:p w14:paraId="029F26F3">
            <w:pPr>
              <w:autoSpaceDE w:val="0"/>
              <w:autoSpaceDN w:val="0"/>
              <w:adjustRightInd w:val="0"/>
              <w:snapToGrid w:val="0"/>
              <w:jc w:val="left"/>
              <w:rPr>
                <w:rFonts w:ascii="宋体" w:hAnsi="宋体"/>
                <w:color w:val="auto"/>
                <w:kern w:val="0"/>
                <w:szCs w:val="21"/>
                <w:highlight w:val="none"/>
              </w:rPr>
            </w:pPr>
          </w:p>
        </w:tc>
        <w:tc>
          <w:tcPr>
            <w:tcW w:w="896" w:type="dxa"/>
            <w:vAlign w:val="top"/>
          </w:tcPr>
          <w:p w14:paraId="0CB489EC">
            <w:pPr>
              <w:autoSpaceDE w:val="0"/>
              <w:autoSpaceDN w:val="0"/>
              <w:adjustRightInd w:val="0"/>
              <w:snapToGrid w:val="0"/>
              <w:jc w:val="left"/>
              <w:rPr>
                <w:rFonts w:ascii="宋体" w:hAnsi="宋体"/>
                <w:color w:val="auto"/>
                <w:kern w:val="0"/>
                <w:szCs w:val="21"/>
                <w:highlight w:val="none"/>
              </w:rPr>
            </w:pPr>
          </w:p>
        </w:tc>
      </w:tr>
      <w:tr w14:paraId="674A0A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604BBCB4">
            <w:pPr>
              <w:autoSpaceDE w:val="0"/>
              <w:autoSpaceDN w:val="0"/>
              <w:adjustRightInd w:val="0"/>
              <w:snapToGrid w:val="0"/>
              <w:jc w:val="left"/>
              <w:rPr>
                <w:rFonts w:ascii="宋体" w:hAnsi="宋体"/>
                <w:color w:val="auto"/>
                <w:kern w:val="0"/>
                <w:szCs w:val="21"/>
                <w:highlight w:val="none"/>
              </w:rPr>
            </w:pPr>
          </w:p>
        </w:tc>
        <w:tc>
          <w:tcPr>
            <w:tcW w:w="734" w:type="dxa"/>
            <w:vAlign w:val="top"/>
          </w:tcPr>
          <w:p w14:paraId="67630D98">
            <w:pPr>
              <w:autoSpaceDE w:val="0"/>
              <w:autoSpaceDN w:val="0"/>
              <w:adjustRightInd w:val="0"/>
              <w:snapToGrid w:val="0"/>
              <w:jc w:val="left"/>
              <w:rPr>
                <w:rFonts w:ascii="宋体" w:hAnsi="宋体"/>
                <w:color w:val="auto"/>
                <w:kern w:val="0"/>
                <w:szCs w:val="21"/>
                <w:highlight w:val="none"/>
              </w:rPr>
            </w:pPr>
          </w:p>
        </w:tc>
        <w:tc>
          <w:tcPr>
            <w:tcW w:w="776" w:type="dxa"/>
            <w:vAlign w:val="top"/>
          </w:tcPr>
          <w:p w14:paraId="5C6B1AB4">
            <w:pPr>
              <w:autoSpaceDE w:val="0"/>
              <w:autoSpaceDN w:val="0"/>
              <w:adjustRightInd w:val="0"/>
              <w:snapToGrid w:val="0"/>
              <w:jc w:val="left"/>
              <w:rPr>
                <w:rFonts w:ascii="宋体" w:hAnsi="宋体"/>
                <w:color w:val="auto"/>
                <w:kern w:val="0"/>
                <w:szCs w:val="21"/>
                <w:highlight w:val="none"/>
              </w:rPr>
            </w:pPr>
          </w:p>
        </w:tc>
        <w:tc>
          <w:tcPr>
            <w:tcW w:w="1167" w:type="dxa"/>
            <w:vAlign w:val="top"/>
          </w:tcPr>
          <w:p w14:paraId="61089607">
            <w:pPr>
              <w:autoSpaceDE w:val="0"/>
              <w:autoSpaceDN w:val="0"/>
              <w:adjustRightInd w:val="0"/>
              <w:snapToGrid w:val="0"/>
              <w:jc w:val="left"/>
              <w:rPr>
                <w:rFonts w:ascii="宋体" w:hAnsi="宋体"/>
                <w:color w:val="auto"/>
                <w:kern w:val="0"/>
                <w:szCs w:val="21"/>
                <w:highlight w:val="none"/>
              </w:rPr>
            </w:pPr>
          </w:p>
        </w:tc>
        <w:tc>
          <w:tcPr>
            <w:tcW w:w="776" w:type="dxa"/>
            <w:vAlign w:val="top"/>
          </w:tcPr>
          <w:p w14:paraId="705F833B">
            <w:pPr>
              <w:autoSpaceDE w:val="0"/>
              <w:autoSpaceDN w:val="0"/>
              <w:adjustRightInd w:val="0"/>
              <w:snapToGrid w:val="0"/>
              <w:jc w:val="left"/>
              <w:rPr>
                <w:rFonts w:ascii="宋体" w:hAnsi="宋体"/>
                <w:color w:val="auto"/>
                <w:kern w:val="0"/>
                <w:szCs w:val="21"/>
                <w:highlight w:val="none"/>
              </w:rPr>
            </w:pPr>
          </w:p>
        </w:tc>
        <w:tc>
          <w:tcPr>
            <w:tcW w:w="778" w:type="dxa"/>
            <w:vAlign w:val="top"/>
          </w:tcPr>
          <w:p w14:paraId="558872A5">
            <w:pPr>
              <w:autoSpaceDE w:val="0"/>
              <w:autoSpaceDN w:val="0"/>
              <w:adjustRightInd w:val="0"/>
              <w:snapToGrid w:val="0"/>
              <w:jc w:val="left"/>
              <w:rPr>
                <w:rFonts w:ascii="宋体" w:hAnsi="宋体"/>
                <w:color w:val="auto"/>
                <w:kern w:val="0"/>
                <w:szCs w:val="21"/>
                <w:highlight w:val="none"/>
              </w:rPr>
            </w:pPr>
          </w:p>
        </w:tc>
        <w:tc>
          <w:tcPr>
            <w:tcW w:w="776" w:type="dxa"/>
            <w:vAlign w:val="top"/>
          </w:tcPr>
          <w:p w14:paraId="1F98D401">
            <w:pPr>
              <w:autoSpaceDE w:val="0"/>
              <w:autoSpaceDN w:val="0"/>
              <w:adjustRightInd w:val="0"/>
              <w:snapToGrid w:val="0"/>
              <w:jc w:val="left"/>
              <w:rPr>
                <w:rFonts w:ascii="宋体" w:hAnsi="宋体"/>
                <w:color w:val="auto"/>
                <w:kern w:val="0"/>
                <w:szCs w:val="21"/>
                <w:highlight w:val="none"/>
              </w:rPr>
            </w:pPr>
          </w:p>
        </w:tc>
        <w:tc>
          <w:tcPr>
            <w:tcW w:w="2723" w:type="dxa"/>
            <w:vAlign w:val="top"/>
          </w:tcPr>
          <w:p w14:paraId="047D5226">
            <w:pPr>
              <w:autoSpaceDE w:val="0"/>
              <w:autoSpaceDN w:val="0"/>
              <w:adjustRightInd w:val="0"/>
              <w:snapToGrid w:val="0"/>
              <w:jc w:val="left"/>
              <w:rPr>
                <w:rFonts w:ascii="宋体" w:hAnsi="宋体"/>
                <w:color w:val="auto"/>
                <w:kern w:val="0"/>
                <w:szCs w:val="21"/>
                <w:highlight w:val="none"/>
              </w:rPr>
            </w:pPr>
          </w:p>
        </w:tc>
        <w:tc>
          <w:tcPr>
            <w:tcW w:w="896" w:type="dxa"/>
            <w:vAlign w:val="top"/>
          </w:tcPr>
          <w:p w14:paraId="0CEFE1E8">
            <w:pPr>
              <w:autoSpaceDE w:val="0"/>
              <w:autoSpaceDN w:val="0"/>
              <w:adjustRightInd w:val="0"/>
              <w:snapToGrid w:val="0"/>
              <w:jc w:val="left"/>
              <w:rPr>
                <w:rFonts w:ascii="宋体" w:hAnsi="宋体"/>
                <w:color w:val="auto"/>
                <w:kern w:val="0"/>
                <w:szCs w:val="21"/>
                <w:highlight w:val="none"/>
              </w:rPr>
            </w:pPr>
          </w:p>
        </w:tc>
      </w:tr>
      <w:tr w14:paraId="06CC9A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22EF69B1">
            <w:pPr>
              <w:autoSpaceDE w:val="0"/>
              <w:autoSpaceDN w:val="0"/>
              <w:adjustRightInd w:val="0"/>
              <w:snapToGrid w:val="0"/>
              <w:jc w:val="left"/>
              <w:rPr>
                <w:rFonts w:ascii="宋体" w:hAnsi="宋体"/>
                <w:color w:val="auto"/>
                <w:kern w:val="0"/>
                <w:szCs w:val="21"/>
                <w:highlight w:val="none"/>
              </w:rPr>
            </w:pPr>
          </w:p>
        </w:tc>
        <w:tc>
          <w:tcPr>
            <w:tcW w:w="734" w:type="dxa"/>
            <w:vAlign w:val="top"/>
          </w:tcPr>
          <w:p w14:paraId="77DA3C31">
            <w:pPr>
              <w:autoSpaceDE w:val="0"/>
              <w:autoSpaceDN w:val="0"/>
              <w:adjustRightInd w:val="0"/>
              <w:snapToGrid w:val="0"/>
              <w:jc w:val="left"/>
              <w:rPr>
                <w:rFonts w:ascii="宋体" w:hAnsi="宋体"/>
                <w:color w:val="auto"/>
                <w:kern w:val="0"/>
                <w:szCs w:val="21"/>
                <w:highlight w:val="none"/>
              </w:rPr>
            </w:pPr>
          </w:p>
        </w:tc>
        <w:tc>
          <w:tcPr>
            <w:tcW w:w="776" w:type="dxa"/>
            <w:vAlign w:val="top"/>
          </w:tcPr>
          <w:p w14:paraId="4C6B2A03">
            <w:pPr>
              <w:autoSpaceDE w:val="0"/>
              <w:autoSpaceDN w:val="0"/>
              <w:adjustRightInd w:val="0"/>
              <w:snapToGrid w:val="0"/>
              <w:jc w:val="left"/>
              <w:rPr>
                <w:rFonts w:ascii="宋体" w:hAnsi="宋体"/>
                <w:color w:val="auto"/>
                <w:kern w:val="0"/>
                <w:szCs w:val="21"/>
                <w:highlight w:val="none"/>
              </w:rPr>
            </w:pPr>
          </w:p>
        </w:tc>
        <w:tc>
          <w:tcPr>
            <w:tcW w:w="1167" w:type="dxa"/>
            <w:vAlign w:val="top"/>
          </w:tcPr>
          <w:p w14:paraId="5A110A95">
            <w:pPr>
              <w:autoSpaceDE w:val="0"/>
              <w:autoSpaceDN w:val="0"/>
              <w:adjustRightInd w:val="0"/>
              <w:snapToGrid w:val="0"/>
              <w:jc w:val="left"/>
              <w:rPr>
                <w:rFonts w:ascii="宋体" w:hAnsi="宋体"/>
                <w:color w:val="auto"/>
                <w:kern w:val="0"/>
                <w:szCs w:val="21"/>
                <w:highlight w:val="none"/>
              </w:rPr>
            </w:pPr>
          </w:p>
        </w:tc>
        <w:tc>
          <w:tcPr>
            <w:tcW w:w="776" w:type="dxa"/>
            <w:vAlign w:val="top"/>
          </w:tcPr>
          <w:p w14:paraId="6B93B37E">
            <w:pPr>
              <w:autoSpaceDE w:val="0"/>
              <w:autoSpaceDN w:val="0"/>
              <w:adjustRightInd w:val="0"/>
              <w:snapToGrid w:val="0"/>
              <w:jc w:val="left"/>
              <w:rPr>
                <w:rFonts w:ascii="宋体" w:hAnsi="宋体"/>
                <w:color w:val="auto"/>
                <w:kern w:val="0"/>
                <w:szCs w:val="21"/>
                <w:highlight w:val="none"/>
              </w:rPr>
            </w:pPr>
          </w:p>
        </w:tc>
        <w:tc>
          <w:tcPr>
            <w:tcW w:w="778" w:type="dxa"/>
            <w:vAlign w:val="top"/>
          </w:tcPr>
          <w:p w14:paraId="17ADE748">
            <w:pPr>
              <w:autoSpaceDE w:val="0"/>
              <w:autoSpaceDN w:val="0"/>
              <w:adjustRightInd w:val="0"/>
              <w:snapToGrid w:val="0"/>
              <w:jc w:val="left"/>
              <w:rPr>
                <w:rFonts w:ascii="宋体" w:hAnsi="宋体"/>
                <w:color w:val="auto"/>
                <w:kern w:val="0"/>
                <w:szCs w:val="21"/>
                <w:highlight w:val="none"/>
              </w:rPr>
            </w:pPr>
          </w:p>
        </w:tc>
        <w:tc>
          <w:tcPr>
            <w:tcW w:w="776" w:type="dxa"/>
            <w:vAlign w:val="top"/>
          </w:tcPr>
          <w:p w14:paraId="187D9844">
            <w:pPr>
              <w:autoSpaceDE w:val="0"/>
              <w:autoSpaceDN w:val="0"/>
              <w:adjustRightInd w:val="0"/>
              <w:snapToGrid w:val="0"/>
              <w:jc w:val="left"/>
              <w:rPr>
                <w:rFonts w:ascii="宋体" w:hAnsi="宋体"/>
                <w:color w:val="auto"/>
                <w:kern w:val="0"/>
                <w:szCs w:val="21"/>
                <w:highlight w:val="none"/>
              </w:rPr>
            </w:pPr>
          </w:p>
        </w:tc>
        <w:tc>
          <w:tcPr>
            <w:tcW w:w="2723" w:type="dxa"/>
            <w:vAlign w:val="top"/>
          </w:tcPr>
          <w:p w14:paraId="0030EC79">
            <w:pPr>
              <w:autoSpaceDE w:val="0"/>
              <w:autoSpaceDN w:val="0"/>
              <w:adjustRightInd w:val="0"/>
              <w:snapToGrid w:val="0"/>
              <w:jc w:val="left"/>
              <w:rPr>
                <w:rFonts w:ascii="宋体" w:hAnsi="宋体"/>
                <w:color w:val="auto"/>
                <w:kern w:val="0"/>
                <w:szCs w:val="21"/>
                <w:highlight w:val="none"/>
              </w:rPr>
            </w:pPr>
          </w:p>
        </w:tc>
        <w:tc>
          <w:tcPr>
            <w:tcW w:w="896" w:type="dxa"/>
            <w:vAlign w:val="top"/>
          </w:tcPr>
          <w:p w14:paraId="11E10D8E">
            <w:pPr>
              <w:autoSpaceDE w:val="0"/>
              <w:autoSpaceDN w:val="0"/>
              <w:adjustRightInd w:val="0"/>
              <w:snapToGrid w:val="0"/>
              <w:jc w:val="left"/>
              <w:rPr>
                <w:rFonts w:ascii="宋体" w:hAnsi="宋体"/>
                <w:color w:val="auto"/>
                <w:kern w:val="0"/>
                <w:szCs w:val="21"/>
                <w:highlight w:val="none"/>
              </w:rPr>
            </w:pPr>
          </w:p>
        </w:tc>
      </w:tr>
      <w:tr w14:paraId="21296E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3C3693ED">
            <w:pPr>
              <w:autoSpaceDE w:val="0"/>
              <w:autoSpaceDN w:val="0"/>
              <w:adjustRightInd w:val="0"/>
              <w:snapToGrid w:val="0"/>
              <w:jc w:val="left"/>
              <w:rPr>
                <w:rFonts w:ascii="宋体" w:hAnsi="宋体"/>
                <w:color w:val="auto"/>
                <w:kern w:val="0"/>
                <w:szCs w:val="21"/>
                <w:highlight w:val="none"/>
              </w:rPr>
            </w:pPr>
          </w:p>
        </w:tc>
        <w:tc>
          <w:tcPr>
            <w:tcW w:w="734" w:type="dxa"/>
            <w:vAlign w:val="top"/>
          </w:tcPr>
          <w:p w14:paraId="52DB2221">
            <w:pPr>
              <w:autoSpaceDE w:val="0"/>
              <w:autoSpaceDN w:val="0"/>
              <w:adjustRightInd w:val="0"/>
              <w:snapToGrid w:val="0"/>
              <w:jc w:val="left"/>
              <w:rPr>
                <w:rFonts w:ascii="宋体" w:hAnsi="宋体"/>
                <w:color w:val="auto"/>
                <w:kern w:val="0"/>
                <w:szCs w:val="21"/>
                <w:highlight w:val="none"/>
              </w:rPr>
            </w:pPr>
          </w:p>
        </w:tc>
        <w:tc>
          <w:tcPr>
            <w:tcW w:w="776" w:type="dxa"/>
            <w:vAlign w:val="top"/>
          </w:tcPr>
          <w:p w14:paraId="58C00ACD">
            <w:pPr>
              <w:autoSpaceDE w:val="0"/>
              <w:autoSpaceDN w:val="0"/>
              <w:adjustRightInd w:val="0"/>
              <w:snapToGrid w:val="0"/>
              <w:jc w:val="left"/>
              <w:rPr>
                <w:rFonts w:ascii="宋体" w:hAnsi="宋体"/>
                <w:color w:val="auto"/>
                <w:kern w:val="0"/>
                <w:szCs w:val="21"/>
                <w:highlight w:val="none"/>
              </w:rPr>
            </w:pPr>
          </w:p>
        </w:tc>
        <w:tc>
          <w:tcPr>
            <w:tcW w:w="1167" w:type="dxa"/>
            <w:vAlign w:val="top"/>
          </w:tcPr>
          <w:p w14:paraId="5BB0CC22">
            <w:pPr>
              <w:autoSpaceDE w:val="0"/>
              <w:autoSpaceDN w:val="0"/>
              <w:adjustRightInd w:val="0"/>
              <w:snapToGrid w:val="0"/>
              <w:jc w:val="left"/>
              <w:rPr>
                <w:rFonts w:ascii="宋体" w:hAnsi="宋体"/>
                <w:color w:val="auto"/>
                <w:kern w:val="0"/>
                <w:szCs w:val="21"/>
                <w:highlight w:val="none"/>
              </w:rPr>
            </w:pPr>
          </w:p>
        </w:tc>
        <w:tc>
          <w:tcPr>
            <w:tcW w:w="776" w:type="dxa"/>
            <w:vAlign w:val="top"/>
          </w:tcPr>
          <w:p w14:paraId="7ADE3E6F">
            <w:pPr>
              <w:autoSpaceDE w:val="0"/>
              <w:autoSpaceDN w:val="0"/>
              <w:adjustRightInd w:val="0"/>
              <w:snapToGrid w:val="0"/>
              <w:jc w:val="left"/>
              <w:rPr>
                <w:rFonts w:ascii="宋体" w:hAnsi="宋体"/>
                <w:color w:val="auto"/>
                <w:kern w:val="0"/>
                <w:szCs w:val="21"/>
                <w:highlight w:val="none"/>
              </w:rPr>
            </w:pPr>
          </w:p>
        </w:tc>
        <w:tc>
          <w:tcPr>
            <w:tcW w:w="778" w:type="dxa"/>
            <w:vAlign w:val="top"/>
          </w:tcPr>
          <w:p w14:paraId="6314A9A5">
            <w:pPr>
              <w:autoSpaceDE w:val="0"/>
              <w:autoSpaceDN w:val="0"/>
              <w:adjustRightInd w:val="0"/>
              <w:snapToGrid w:val="0"/>
              <w:jc w:val="left"/>
              <w:rPr>
                <w:rFonts w:ascii="宋体" w:hAnsi="宋体"/>
                <w:color w:val="auto"/>
                <w:kern w:val="0"/>
                <w:szCs w:val="21"/>
                <w:highlight w:val="none"/>
              </w:rPr>
            </w:pPr>
          </w:p>
        </w:tc>
        <w:tc>
          <w:tcPr>
            <w:tcW w:w="776" w:type="dxa"/>
            <w:vAlign w:val="top"/>
          </w:tcPr>
          <w:p w14:paraId="24AE6232">
            <w:pPr>
              <w:autoSpaceDE w:val="0"/>
              <w:autoSpaceDN w:val="0"/>
              <w:adjustRightInd w:val="0"/>
              <w:snapToGrid w:val="0"/>
              <w:jc w:val="left"/>
              <w:rPr>
                <w:rFonts w:ascii="宋体" w:hAnsi="宋体"/>
                <w:color w:val="auto"/>
                <w:kern w:val="0"/>
                <w:szCs w:val="21"/>
                <w:highlight w:val="none"/>
              </w:rPr>
            </w:pPr>
          </w:p>
        </w:tc>
        <w:tc>
          <w:tcPr>
            <w:tcW w:w="2723" w:type="dxa"/>
            <w:vAlign w:val="top"/>
          </w:tcPr>
          <w:p w14:paraId="2FABDE4A">
            <w:pPr>
              <w:autoSpaceDE w:val="0"/>
              <w:autoSpaceDN w:val="0"/>
              <w:adjustRightInd w:val="0"/>
              <w:snapToGrid w:val="0"/>
              <w:jc w:val="left"/>
              <w:rPr>
                <w:rFonts w:ascii="宋体" w:hAnsi="宋体"/>
                <w:color w:val="auto"/>
                <w:kern w:val="0"/>
                <w:szCs w:val="21"/>
                <w:highlight w:val="none"/>
              </w:rPr>
            </w:pPr>
          </w:p>
        </w:tc>
        <w:tc>
          <w:tcPr>
            <w:tcW w:w="896" w:type="dxa"/>
            <w:vAlign w:val="top"/>
          </w:tcPr>
          <w:p w14:paraId="6A3AF27F">
            <w:pPr>
              <w:autoSpaceDE w:val="0"/>
              <w:autoSpaceDN w:val="0"/>
              <w:adjustRightInd w:val="0"/>
              <w:snapToGrid w:val="0"/>
              <w:jc w:val="left"/>
              <w:rPr>
                <w:rFonts w:ascii="宋体" w:hAnsi="宋体"/>
                <w:color w:val="auto"/>
                <w:kern w:val="0"/>
                <w:szCs w:val="21"/>
                <w:highlight w:val="none"/>
              </w:rPr>
            </w:pPr>
          </w:p>
        </w:tc>
      </w:tr>
      <w:tr w14:paraId="1A63A8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7E7A0956">
            <w:pPr>
              <w:autoSpaceDE w:val="0"/>
              <w:autoSpaceDN w:val="0"/>
              <w:adjustRightInd w:val="0"/>
              <w:snapToGrid w:val="0"/>
              <w:jc w:val="left"/>
              <w:rPr>
                <w:rFonts w:ascii="宋体" w:hAnsi="宋体"/>
                <w:color w:val="auto"/>
                <w:kern w:val="0"/>
                <w:szCs w:val="21"/>
                <w:highlight w:val="none"/>
              </w:rPr>
            </w:pPr>
          </w:p>
        </w:tc>
        <w:tc>
          <w:tcPr>
            <w:tcW w:w="734" w:type="dxa"/>
            <w:vAlign w:val="top"/>
          </w:tcPr>
          <w:p w14:paraId="704E0193">
            <w:pPr>
              <w:autoSpaceDE w:val="0"/>
              <w:autoSpaceDN w:val="0"/>
              <w:adjustRightInd w:val="0"/>
              <w:snapToGrid w:val="0"/>
              <w:jc w:val="left"/>
              <w:rPr>
                <w:rFonts w:ascii="宋体" w:hAnsi="宋体"/>
                <w:color w:val="auto"/>
                <w:kern w:val="0"/>
                <w:szCs w:val="21"/>
                <w:highlight w:val="none"/>
              </w:rPr>
            </w:pPr>
          </w:p>
        </w:tc>
        <w:tc>
          <w:tcPr>
            <w:tcW w:w="776" w:type="dxa"/>
            <w:vAlign w:val="top"/>
          </w:tcPr>
          <w:p w14:paraId="1026C4E9">
            <w:pPr>
              <w:autoSpaceDE w:val="0"/>
              <w:autoSpaceDN w:val="0"/>
              <w:adjustRightInd w:val="0"/>
              <w:snapToGrid w:val="0"/>
              <w:jc w:val="left"/>
              <w:rPr>
                <w:rFonts w:ascii="宋体" w:hAnsi="宋体"/>
                <w:color w:val="auto"/>
                <w:kern w:val="0"/>
                <w:szCs w:val="21"/>
                <w:highlight w:val="none"/>
              </w:rPr>
            </w:pPr>
          </w:p>
        </w:tc>
        <w:tc>
          <w:tcPr>
            <w:tcW w:w="1167" w:type="dxa"/>
            <w:vAlign w:val="top"/>
          </w:tcPr>
          <w:p w14:paraId="665F4340">
            <w:pPr>
              <w:autoSpaceDE w:val="0"/>
              <w:autoSpaceDN w:val="0"/>
              <w:adjustRightInd w:val="0"/>
              <w:snapToGrid w:val="0"/>
              <w:jc w:val="left"/>
              <w:rPr>
                <w:rFonts w:ascii="宋体" w:hAnsi="宋体"/>
                <w:color w:val="auto"/>
                <w:kern w:val="0"/>
                <w:szCs w:val="21"/>
                <w:highlight w:val="none"/>
              </w:rPr>
            </w:pPr>
          </w:p>
        </w:tc>
        <w:tc>
          <w:tcPr>
            <w:tcW w:w="776" w:type="dxa"/>
            <w:vAlign w:val="top"/>
          </w:tcPr>
          <w:p w14:paraId="27438568">
            <w:pPr>
              <w:autoSpaceDE w:val="0"/>
              <w:autoSpaceDN w:val="0"/>
              <w:adjustRightInd w:val="0"/>
              <w:snapToGrid w:val="0"/>
              <w:jc w:val="left"/>
              <w:rPr>
                <w:rFonts w:ascii="宋体" w:hAnsi="宋体"/>
                <w:color w:val="auto"/>
                <w:kern w:val="0"/>
                <w:szCs w:val="21"/>
                <w:highlight w:val="none"/>
              </w:rPr>
            </w:pPr>
          </w:p>
        </w:tc>
        <w:tc>
          <w:tcPr>
            <w:tcW w:w="778" w:type="dxa"/>
            <w:vAlign w:val="top"/>
          </w:tcPr>
          <w:p w14:paraId="0D1950EE">
            <w:pPr>
              <w:autoSpaceDE w:val="0"/>
              <w:autoSpaceDN w:val="0"/>
              <w:adjustRightInd w:val="0"/>
              <w:snapToGrid w:val="0"/>
              <w:jc w:val="left"/>
              <w:rPr>
                <w:rFonts w:ascii="宋体" w:hAnsi="宋体"/>
                <w:color w:val="auto"/>
                <w:kern w:val="0"/>
                <w:szCs w:val="21"/>
                <w:highlight w:val="none"/>
              </w:rPr>
            </w:pPr>
          </w:p>
        </w:tc>
        <w:tc>
          <w:tcPr>
            <w:tcW w:w="776" w:type="dxa"/>
            <w:vAlign w:val="top"/>
          </w:tcPr>
          <w:p w14:paraId="24F79586">
            <w:pPr>
              <w:autoSpaceDE w:val="0"/>
              <w:autoSpaceDN w:val="0"/>
              <w:adjustRightInd w:val="0"/>
              <w:snapToGrid w:val="0"/>
              <w:jc w:val="left"/>
              <w:rPr>
                <w:rFonts w:ascii="宋体" w:hAnsi="宋体"/>
                <w:color w:val="auto"/>
                <w:kern w:val="0"/>
                <w:szCs w:val="21"/>
                <w:highlight w:val="none"/>
              </w:rPr>
            </w:pPr>
          </w:p>
        </w:tc>
        <w:tc>
          <w:tcPr>
            <w:tcW w:w="2723" w:type="dxa"/>
            <w:vAlign w:val="top"/>
          </w:tcPr>
          <w:p w14:paraId="2B0D752B">
            <w:pPr>
              <w:autoSpaceDE w:val="0"/>
              <w:autoSpaceDN w:val="0"/>
              <w:adjustRightInd w:val="0"/>
              <w:snapToGrid w:val="0"/>
              <w:jc w:val="left"/>
              <w:rPr>
                <w:rFonts w:ascii="宋体" w:hAnsi="宋体"/>
                <w:color w:val="auto"/>
                <w:kern w:val="0"/>
                <w:szCs w:val="21"/>
                <w:highlight w:val="none"/>
              </w:rPr>
            </w:pPr>
          </w:p>
        </w:tc>
        <w:tc>
          <w:tcPr>
            <w:tcW w:w="896" w:type="dxa"/>
            <w:vAlign w:val="top"/>
          </w:tcPr>
          <w:p w14:paraId="6731BD8C">
            <w:pPr>
              <w:autoSpaceDE w:val="0"/>
              <w:autoSpaceDN w:val="0"/>
              <w:adjustRightInd w:val="0"/>
              <w:snapToGrid w:val="0"/>
              <w:jc w:val="left"/>
              <w:rPr>
                <w:rFonts w:ascii="宋体" w:hAnsi="宋体"/>
                <w:color w:val="auto"/>
                <w:kern w:val="0"/>
                <w:szCs w:val="21"/>
                <w:highlight w:val="none"/>
              </w:rPr>
            </w:pPr>
          </w:p>
        </w:tc>
      </w:tr>
      <w:tr w14:paraId="25FC48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36BE323D">
            <w:pPr>
              <w:autoSpaceDE w:val="0"/>
              <w:autoSpaceDN w:val="0"/>
              <w:adjustRightInd w:val="0"/>
              <w:snapToGrid w:val="0"/>
              <w:jc w:val="left"/>
              <w:rPr>
                <w:rFonts w:ascii="宋体" w:hAnsi="宋体"/>
                <w:color w:val="auto"/>
                <w:kern w:val="0"/>
                <w:szCs w:val="21"/>
                <w:highlight w:val="none"/>
              </w:rPr>
            </w:pPr>
          </w:p>
        </w:tc>
        <w:tc>
          <w:tcPr>
            <w:tcW w:w="734" w:type="dxa"/>
            <w:vAlign w:val="top"/>
          </w:tcPr>
          <w:p w14:paraId="7E468271">
            <w:pPr>
              <w:autoSpaceDE w:val="0"/>
              <w:autoSpaceDN w:val="0"/>
              <w:adjustRightInd w:val="0"/>
              <w:snapToGrid w:val="0"/>
              <w:jc w:val="left"/>
              <w:rPr>
                <w:rFonts w:ascii="宋体" w:hAnsi="宋体"/>
                <w:color w:val="auto"/>
                <w:kern w:val="0"/>
                <w:szCs w:val="21"/>
                <w:highlight w:val="none"/>
              </w:rPr>
            </w:pPr>
          </w:p>
        </w:tc>
        <w:tc>
          <w:tcPr>
            <w:tcW w:w="776" w:type="dxa"/>
            <w:vAlign w:val="top"/>
          </w:tcPr>
          <w:p w14:paraId="4F59F7A0">
            <w:pPr>
              <w:autoSpaceDE w:val="0"/>
              <w:autoSpaceDN w:val="0"/>
              <w:adjustRightInd w:val="0"/>
              <w:snapToGrid w:val="0"/>
              <w:jc w:val="left"/>
              <w:rPr>
                <w:rFonts w:ascii="宋体" w:hAnsi="宋体"/>
                <w:color w:val="auto"/>
                <w:kern w:val="0"/>
                <w:szCs w:val="21"/>
                <w:highlight w:val="none"/>
              </w:rPr>
            </w:pPr>
          </w:p>
        </w:tc>
        <w:tc>
          <w:tcPr>
            <w:tcW w:w="1167" w:type="dxa"/>
            <w:vAlign w:val="top"/>
          </w:tcPr>
          <w:p w14:paraId="5D45F460">
            <w:pPr>
              <w:autoSpaceDE w:val="0"/>
              <w:autoSpaceDN w:val="0"/>
              <w:adjustRightInd w:val="0"/>
              <w:snapToGrid w:val="0"/>
              <w:jc w:val="left"/>
              <w:rPr>
                <w:rFonts w:ascii="宋体" w:hAnsi="宋体"/>
                <w:color w:val="auto"/>
                <w:kern w:val="0"/>
                <w:szCs w:val="21"/>
                <w:highlight w:val="none"/>
              </w:rPr>
            </w:pPr>
          </w:p>
        </w:tc>
        <w:tc>
          <w:tcPr>
            <w:tcW w:w="776" w:type="dxa"/>
            <w:vAlign w:val="top"/>
          </w:tcPr>
          <w:p w14:paraId="63988CA7">
            <w:pPr>
              <w:autoSpaceDE w:val="0"/>
              <w:autoSpaceDN w:val="0"/>
              <w:adjustRightInd w:val="0"/>
              <w:snapToGrid w:val="0"/>
              <w:jc w:val="left"/>
              <w:rPr>
                <w:rFonts w:ascii="宋体" w:hAnsi="宋体"/>
                <w:color w:val="auto"/>
                <w:kern w:val="0"/>
                <w:szCs w:val="21"/>
                <w:highlight w:val="none"/>
              </w:rPr>
            </w:pPr>
          </w:p>
        </w:tc>
        <w:tc>
          <w:tcPr>
            <w:tcW w:w="778" w:type="dxa"/>
            <w:vAlign w:val="top"/>
          </w:tcPr>
          <w:p w14:paraId="7CD68BAE">
            <w:pPr>
              <w:autoSpaceDE w:val="0"/>
              <w:autoSpaceDN w:val="0"/>
              <w:adjustRightInd w:val="0"/>
              <w:snapToGrid w:val="0"/>
              <w:jc w:val="left"/>
              <w:rPr>
                <w:rFonts w:ascii="宋体" w:hAnsi="宋体"/>
                <w:color w:val="auto"/>
                <w:kern w:val="0"/>
                <w:szCs w:val="21"/>
                <w:highlight w:val="none"/>
              </w:rPr>
            </w:pPr>
          </w:p>
        </w:tc>
        <w:tc>
          <w:tcPr>
            <w:tcW w:w="776" w:type="dxa"/>
            <w:vAlign w:val="top"/>
          </w:tcPr>
          <w:p w14:paraId="299C8BE4">
            <w:pPr>
              <w:autoSpaceDE w:val="0"/>
              <w:autoSpaceDN w:val="0"/>
              <w:adjustRightInd w:val="0"/>
              <w:snapToGrid w:val="0"/>
              <w:jc w:val="left"/>
              <w:rPr>
                <w:rFonts w:ascii="宋体" w:hAnsi="宋体"/>
                <w:color w:val="auto"/>
                <w:kern w:val="0"/>
                <w:szCs w:val="21"/>
                <w:highlight w:val="none"/>
              </w:rPr>
            </w:pPr>
          </w:p>
        </w:tc>
        <w:tc>
          <w:tcPr>
            <w:tcW w:w="2723" w:type="dxa"/>
            <w:vAlign w:val="top"/>
          </w:tcPr>
          <w:p w14:paraId="6B1FC312">
            <w:pPr>
              <w:autoSpaceDE w:val="0"/>
              <w:autoSpaceDN w:val="0"/>
              <w:adjustRightInd w:val="0"/>
              <w:snapToGrid w:val="0"/>
              <w:jc w:val="left"/>
              <w:rPr>
                <w:rFonts w:ascii="宋体" w:hAnsi="宋体"/>
                <w:color w:val="auto"/>
                <w:kern w:val="0"/>
                <w:szCs w:val="21"/>
                <w:highlight w:val="none"/>
              </w:rPr>
            </w:pPr>
          </w:p>
        </w:tc>
        <w:tc>
          <w:tcPr>
            <w:tcW w:w="896" w:type="dxa"/>
            <w:vAlign w:val="top"/>
          </w:tcPr>
          <w:p w14:paraId="114C9D96">
            <w:pPr>
              <w:autoSpaceDE w:val="0"/>
              <w:autoSpaceDN w:val="0"/>
              <w:adjustRightInd w:val="0"/>
              <w:snapToGrid w:val="0"/>
              <w:jc w:val="left"/>
              <w:rPr>
                <w:rFonts w:ascii="宋体" w:hAnsi="宋体"/>
                <w:color w:val="auto"/>
                <w:kern w:val="0"/>
                <w:szCs w:val="21"/>
                <w:highlight w:val="none"/>
              </w:rPr>
            </w:pPr>
          </w:p>
        </w:tc>
      </w:tr>
      <w:tr w14:paraId="2E058B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1EA6E619">
            <w:pPr>
              <w:autoSpaceDE w:val="0"/>
              <w:autoSpaceDN w:val="0"/>
              <w:adjustRightInd w:val="0"/>
              <w:snapToGrid w:val="0"/>
              <w:jc w:val="left"/>
              <w:rPr>
                <w:rFonts w:ascii="宋体" w:hAnsi="宋体"/>
                <w:color w:val="auto"/>
                <w:kern w:val="0"/>
                <w:szCs w:val="21"/>
                <w:highlight w:val="none"/>
              </w:rPr>
            </w:pPr>
          </w:p>
        </w:tc>
        <w:tc>
          <w:tcPr>
            <w:tcW w:w="734" w:type="dxa"/>
            <w:vAlign w:val="top"/>
          </w:tcPr>
          <w:p w14:paraId="5AC20741">
            <w:pPr>
              <w:autoSpaceDE w:val="0"/>
              <w:autoSpaceDN w:val="0"/>
              <w:adjustRightInd w:val="0"/>
              <w:snapToGrid w:val="0"/>
              <w:jc w:val="left"/>
              <w:rPr>
                <w:rFonts w:ascii="宋体" w:hAnsi="宋体"/>
                <w:color w:val="auto"/>
                <w:kern w:val="0"/>
                <w:szCs w:val="21"/>
                <w:highlight w:val="none"/>
              </w:rPr>
            </w:pPr>
          </w:p>
        </w:tc>
        <w:tc>
          <w:tcPr>
            <w:tcW w:w="776" w:type="dxa"/>
            <w:vAlign w:val="top"/>
          </w:tcPr>
          <w:p w14:paraId="1E9AA55F">
            <w:pPr>
              <w:autoSpaceDE w:val="0"/>
              <w:autoSpaceDN w:val="0"/>
              <w:adjustRightInd w:val="0"/>
              <w:snapToGrid w:val="0"/>
              <w:jc w:val="left"/>
              <w:rPr>
                <w:rFonts w:ascii="宋体" w:hAnsi="宋体"/>
                <w:color w:val="auto"/>
                <w:kern w:val="0"/>
                <w:szCs w:val="21"/>
                <w:highlight w:val="none"/>
              </w:rPr>
            </w:pPr>
          </w:p>
        </w:tc>
        <w:tc>
          <w:tcPr>
            <w:tcW w:w="1167" w:type="dxa"/>
            <w:vAlign w:val="top"/>
          </w:tcPr>
          <w:p w14:paraId="20C345FB">
            <w:pPr>
              <w:autoSpaceDE w:val="0"/>
              <w:autoSpaceDN w:val="0"/>
              <w:adjustRightInd w:val="0"/>
              <w:snapToGrid w:val="0"/>
              <w:jc w:val="left"/>
              <w:rPr>
                <w:rFonts w:ascii="宋体" w:hAnsi="宋体"/>
                <w:color w:val="auto"/>
                <w:kern w:val="0"/>
                <w:szCs w:val="21"/>
                <w:highlight w:val="none"/>
              </w:rPr>
            </w:pPr>
          </w:p>
        </w:tc>
        <w:tc>
          <w:tcPr>
            <w:tcW w:w="776" w:type="dxa"/>
            <w:vAlign w:val="top"/>
          </w:tcPr>
          <w:p w14:paraId="4EE1EE4B">
            <w:pPr>
              <w:autoSpaceDE w:val="0"/>
              <w:autoSpaceDN w:val="0"/>
              <w:adjustRightInd w:val="0"/>
              <w:snapToGrid w:val="0"/>
              <w:jc w:val="left"/>
              <w:rPr>
                <w:rFonts w:ascii="宋体" w:hAnsi="宋体"/>
                <w:color w:val="auto"/>
                <w:kern w:val="0"/>
                <w:szCs w:val="21"/>
                <w:highlight w:val="none"/>
              </w:rPr>
            </w:pPr>
          </w:p>
        </w:tc>
        <w:tc>
          <w:tcPr>
            <w:tcW w:w="778" w:type="dxa"/>
            <w:vAlign w:val="top"/>
          </w:tcPr>
          <w:p w14:paraId="2208D4BE">
            <w:pPr>
              <w:autoSpaceDE w:val="0"/>
              <w:autoSpaceDN w:val="0"/>
              <w:adjustRightInd w:val="0"/>
              <w:snapToGrid w:val="0"/>
              <w:jc w:val="left"/>
              <w:rPr>
                <w:rFonts w:ascii="宋体" w:hAnsi="宋体"/>
                <w:color w:val="auto"/>
                <w:kern w:val="0"/>
                <w:szCs w:val="21"/>
                <w:highlight w:val="none"/>
              </w:rPr>
            </w:pPr>
          </w:p>
        </w:tc>
        <w:tc>
          <w:tcPr>
            <w:tcW w:w="776" w:type="dxa"/>
            <w:vAlign w:val="top"/>
          </w:tcPr>
          <w:p w14:paraId="4284E4F1">
            <w:pPr>
              <w:autoSpaceDE w:val="0"/>
              <w:autoSpaceDN w:val="0"/>
              <w:adjustRightInd w:val="0"/>
              <w:snapToGrid w:val="0"/>
              <w:jc w:val="left"/>
              <w:rPr>
                <w:rFonts w:ascii="宋体" w:hAnsi="宋体"/>
                <w:color w:val="auto"/>
                <w:kern w:val="0"/>
                <w:szCs w:val="21"/>
                <w:highlight w:val="none"/>
              </w:rPr>
            </w:pPr>
          </w:p>
        </w:tc>
        <w:tc>
          <w:tcPr>
            <w:tcW w:w="2723" w:type="dxa"/>
            <w:vAlign w:val="top"/>
          </w:tcPr>
          <w:p w14:paraId="47CE9141">
            <w:pPr>
              <w:autoSpaceDE w:val="0"/>
              <w:autoSpaceDN w:val="0"/>
              <w:adjustRightInd w:val="0"/>
              <w:snapToGrid w:val="0"/>
              <w:jc w:val="left"/>
              <w:rPr>
                <w:rFonts w:ascii="宋体" w:hAnsi="宋体"/>
                <w:color w:val="auto"/>
                <w:kern w:val="0"/>
                <w:szCs w:val="21"/>
                <w:highlight w:val="none"/>
              </w:rPr>
            </w:pPr>
          </w:p>
        </w:tc>
        <w:tc>
          <w:tcPr>
            <w:tcW w:w="896" w:type="dxa"/>
            <w:vAlign w:val="top"/>
          </w:tcPr>
          <w:p w14:paraId="6F41F87C">
            <w:pPr>
              <w:autoSpaceDE w:val="0"/>
              <w:autoSpaceDN w:val="0"/>
              <w:adjustRightInd w:val="0"/>
              <w:snapToGrid w:val="0"/>
              <w:jc w:val="left"/>
              <w:rPr>
                <w:rFonts w:ascii="宋体" w:hAnsi="宋体"/>
                <w:color w:val="auto"/>
                <w:kern w:val="0"/>
                <w:szCs w:val="21"/>
                <w:highlight w:val="none"/>
              </w:rPr>
            </w:pPr>
          </w:p>
        </w:tc>
      </w:tr>
      <w:tr w14:paraId="5F477A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4C679772">
            <w:pPr>
              <w:autoSpaceDE w:val="0"/>
              <w:autoSpaceDN w:val="0"/>
              <w:adjustRightInd w:val="0"/>
              <w:snapToGrid w:val="0"/>
              <w:jc w:val="left"/>
              <w:rPr>
                <w:rFonts w:ascii="宋体" w:hAnsi="宋体"/>
                <w:color w:val="auto"/>
                <w:kern w:val="0"/>
                <w:szCs w:val="21"/>
                <w:highlight w:val="none"/>
              </w:rPr>
            </w:pPr>
          </w:p>
        </w:tc>
        <w:tc>
          <w:tcPr>
            <w:tcW w:w="734" w:type="dxa"/>
            <w:vAlign w:val="top"/>
          </w:tcPr>
          <w:p w14:paraId="1767196A">
            <w:pPr>
              <w:autoSpaceDE w:val="0"/>
              <w:autoSpaceDN w:val="0"/>
              <w:adjustRightInd w:val="0"/>
              <w:snapToGrid w:val="0"/>
              <w:jc w:val="left"/>
              <w:rPr>
                <w:rFonts w:ascii="宋体" w:hAnsi="宋体"/>
                <w:color w:val="auto"/>
                <w:kern w:val="0"/>
                <w:szCs w:val="21"/>
                <w:highlight w:val="none"/>
              </w:rPr>
            </w:pPr>
          </w:p>
        </w:tc>
        <w:tc>
          <w:tcPr>
            <w:tcW w:w="776" w:type="dxa"/>
            <w:vAlign w:val="top"/>
          </w:tcPr>
          <w:p w14:paraId="3F1C99AC">
            <w:pPr>
              <w:autoSpaceDE w:val="0"/>
              <w:autoSpaceDN w:val="0"/>
              <w:adjustRightInd w:val="0"/>
              <w:snapToGrid w:val="0"/>
              <w:jc w:val="left"/>
              <w:rPr>
                <w:rFonts w:ascii="宋体" w:hAnsi="宋体"/>
                <w:color w:val="auto"/>
                <w:kern w:val="0"/>
                <w:szCs w:val="21"/>
                <w:highlight w:val="none"/>
              </w:rPr>
            </w:pPr>
          </w:p>
        </w:tc>
        <w:tc>
          <w:tcPr>
            <w:tcW w:w="1167" w:type="dxa"/>
            <w:vAlign w:val="top"/>
          </w:tcPr>
          <w:p w14:paraId="4B77E924">
            <w:pPr>
              <w:autoSpaceDE w:val="0"/>
              <w:autoSpaceDN w:val="0"/>
              <w:adjustRightInd w:val="0"/>
              <w:snapToGrid w:val="0"/>
              <w:jc w:val="left"/>
              <w:rPr>
                <w:rFonts w:ascii="宋体" w:hAnsi="宋体"/>
                <w:color w:val="auto"/>
                <w:kern w:val="0"/>
                <w:szCs w:val="21"/>
                <w:highlight w:val="none"/>
              </w:rPr>
            </w:pPr>
          </w:p>
        </w:tc>
        <w:tc>
          <w:tcPr>
            <w:tcW w:w="776" w:type="dxa"/>
            <w:vAlign w:val="top"/>
          </w:tcPr>
          <w:p w14:paraId="056D0938">
            <w:pPr>
              <w:autoSpaceDE w:val="0"/>
              <w:autoSpaceDN w:val="0"/>
              <w:adjustRightInd w:val="0"/>
              <w:snapToGrid w:val="0"/>
              <w:jc w:val="left"/>
              <w:rPr>
                <w:rFonts w:ascii="宋体" w:hAnsi="宋体"/>
                <w:color w:val="auto"/>
                <w:kern w:val="0"/>
                <w:szCs w:val="21"/>
                <w:highlight w:val="none"/>
              </w:rPr>
            </w:pPr>
          </w:p>
        </w:tc>
        <w:tc>
          <w:tcPr>
            <w:tcW w:w="778" w:type="dxa"/>
            <w:vAlign w:val="top"/>
          </w:tcPr>
          <w:p w14:paraId="3B6D8D8D">
            <w:pPr>
              <w:autoSpaceDE w:val="0"/>
              <w:autoSpaceDN w:val="0"/>
              <w:adjustRightInd w:val="0"/>
              <w:snapToGrid w:val="0"/>
              <w:jc w:val="left"/>
              <w:rPr>
                <w:rFonts w:ascii="宋体" w:hAnsi="宋体"/>
                <w:color w:val="auto"/>
                <w:kern w:val="0"/>
                <w:szCs w:val="21"/>
                <w:highlight w:val="none"/>
              </w:rPr>
            </w:pPr>
          </w:p>
        </w:tc>
        <w:tc>
          <w:tcPr>
            <w:tcW w:w="776" w:type="dxa"/>
            <w:vAlign w:val="top"/>
          </w:tcPr>
          <w:p w14:paraId="6AE9E557">
            <w:pPr>
              <w:autoSpaceDE w:val="0"/>
              <w:autoSpaceDN w:val="0"/>
              <w:adjustRightInd w:val="0"/>
              <w:snapToGrid w:val="0"/>
              <w:jc w:val="left"/>
              <w:rPr>
                <w:rFonts w:ascii="宋体" w:hAnsi="宋体"/>
                <w:color w:val="auto"/>
                <w:kern w:val="0"/>
                <w:szCs w:val="21"/>
                <w:highlight w:val="none"/>
              </w:rPr>
            </w:pPr>
          </w:p>
        </w:tc>
        <w:tc>
          <w:tcPr>
            <w:tcW w:w="2723" w:type="dxa"/>
            <w:vAlign w:val="top"/>
          </w:tcPr>
          <w:p w14:paraId="5DD41241">
            <w:pPr>
              <w:autoSpaceDE w:val="0"/>
              <w:autoSpaceDN w:val="0"/>
              <w:adjustRightInd w:val="0"/>
              <w:snapToGrid w:val="0"/>
              <w:jc w:val="left"/>
              <w:rPr>
                <w:rFonts w:ascii="宋体" w:hAnsi="宋体"/>
                <w:color w:val="auto"/>
                <w:kern w:val="0"/>
                <w:szCs w:val="21"/>
                <w:highlight w:val="none"/>
              </w:rPr>
            </w:pPr>
          </w:p>
        </w:tc>
        <w:tc>
          <w:tcPr>
            <w:tcW w:w="896" w:type="dxa"/>
            <w:vAlign w:val="top"/>
          </w:tcPr>
          <w:p w14:paraId="1CE78108">
            <w:pPr>
              <w:autoSpaceDE w:val="0"/>
              <w:autoSpaceDN w:val="0"/>
              <w:adjustRightInd w:val="0"/>
              <w:snapToGrid w:val="0"/>
              <w:jc w:val="left"/>
              <w:rPr>
                <w:rFonts w:ascii="宋体" w:hAnsi="宋体"/>
                <w:color w:val="auto"/>
                <w:kern w:val="0"/>
                <w:szCs w:val="21"/>
                <w:highlight w:val="none"/>
              </w:rPr>
            </w:pPr>
          </w:p>
        </w:tc>
      </w:tr>
      <w:tr w14:paraId="1CF8B5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2D4A0769">
            <w:pPr>
              <w:autoSpaceDE w:val="0"/>
              <w:autoSpaceDN w:val="0"/>
              <w:adjustRightInd w:val="0"/>
              <w:snapToGrid w:val="0"/>
              <w:jc w:val="left"/>
              <w:rPr>
                <w:rFonts w:ascii="宋体" w:hAnsi="宋体"/>
                <w:color w:val="auto"/>
                <w:kern w:val="0"/>
                <w:szCs w:val="21"/>
                <w:highlight w:val="none"/>
              </w:rPr>
            </w:pPr>
          </w:p>
        </w:tc>
        <w:tc>
          <w:tcPr>
            <w:tcW w:w="734" w:type="dxa"/>
            <w:vAlign w:val="top"/>
          </w:tcPr>
          <w:p w14:paraId="738E88D2">
            <w:pPr>
              <w:autoSpaceDE w:val="0"/>
              <w:autoSpaceDN w:val="0"/>
              <w:adjustRightInd w:val="0"/>
              <w:snapToGrid w:val="0"/>
              <w:jc w:val="left"/>
              <w:rPr>
                <w:rFonts w:ascii="宋体" w:hAnsi="宋体"/>
                <w:color w:val="auto"/>
                <w:kern w:val="0"/>
                <w:szCs w:val="21"/>
                <w:highlight w:val="none"/>
              </w:rPr>
            </w:pPr>
          </w:p>
        </w:tc>
        <w:tc>
          <w:tcPr>
            <w:tcW w:w="776" w:type="dxa"/>
            <w:vAlign w:val="top"/>
          </w:tcPr>
          <w:p w14:paraId="67F81A82">
            <w:pPr>
              <w:autoSpaceDE w:val="0"/>
              <w:autoSpaceDN w:val="0"/>
              <w:adjustRightInd w:val="0"/>
              <w:snapToGrid w:val="0"/>
              <w:jc w:val="left"/>
              <w:rPr>
                <w:rFonts w:ascii="宋体" w:hAnsi="宋体"/>
                <w:color w:val="auto"/>
                <w:kern w:val="0"/>
                <w:szCs w:val="21"/>
                <w:highlight w:val="none"/>
              </w:rPr>
            </w:pPr>
          </w:p>
        </w:tc>
        <w:tc>
          <w:tcPr>
            <w:tcW w:w="1167" w:type="dxa"/>
            <w:vAlign w:val="top"/>
          </w:tcPr>
          <w:p w14:paraId="73739D62">
            <w:pPr>
              <w:autoSpaceDE w:val="0"/>
              <w:autoSpaceDN w:val="0"/>
              <w:adjustRightInd w:val="0"/>
              <w:snapToGrid w:val="0"/>
              <w:jc w:val="left"/>
              <w:rPr>
                <w:rFonts w:ascii="宋体" w:hAnsi="宋体"/>
                <w:color w:val="auto"/>
                <w:kern w:val="0"/>
                <w:szCs w:val="21"/>
                <w:highlight w:val="none"/>
              </w:rPr>
            </w:pPr>
          </w:p>
        </w:tc>
        <w:tc>
          <w:tcPr>
            <w:tcW w:w="776" w:type="dxa"/>
            <w:vAlign w:val="top"/>
          </w:tcPr>
          <w:p w14:paraId="1265EBAD">
            <w:pPr>
              <w:autoSpaceDE w:val="0"/>
              <w:autoSpaceDN w:val="0"/>
              <w:adjustRightInd w:val="0"/>
              <w:snapToGrid w:val="0"/>
              <w:jc w:val="left"/>
              <w:rPr>
                <w:rFonts w:ascii="宋体" w:hAnsi="宋体"/>
                <w:color w:val="auto"/>
                <w:kern w:val="0"/>
                <w:szCs w:val="21"/>
                <w:highlight w:val="none"/>
              </w:rPr>
            </w:pPr>
          </w:p>
        </w:tc>
        <w:tc>
          <w:tcPr>
            <w:tcW w:w="778" w:type="dxa"/>
            <w:vAlign w:val="top"/>
          </w:tcPr>
          <w:p w14:paraId="14EC7B83">
            <w:pPr>
              <w:autoSpaceDE w:val="0"/>
              <w:autoSpaceDN w:val="0"/>
              <w:adjustRightInd w:val="0"/>
              <w:snapToGrid w:val="0"/>
              <w:jc w:val="left"/>
              <w:rPr>
                <w:rFonts w:ascii="宋体" w:hAnsi="宋体"/>
                <w:color w:val="auto"/>
                <w:kern w:val="0"/>
                <w:szCs w:val="21"/>
                <w:highlight w:val="none"/>
              </w:rPr>
            </w:pPr>
          </w:p>
        </w:tc>
        <w:tc>
          <w:tcPr>
            <w:tcW w:w="776" w:type="dxa"/>
            <w:vAlign w:val="top"/>
          </w:tcPr>
          <w:p w14:paraId="7F830D5D">
            <w:pPr>
              <w:autoSpaceDE w:val="0"/>
              <w:autoSpaceDN w:val="0"/>
              <w:adjustRightInd w:val="0"/>
              <w:snapToGrid w:val="0"/>
              <w:jc w:val="left"/>
              <w:rPr>
                <w:rFonts w:ascii="宋体" w:hAnsi="宋体"/>
                <w:color w:val="auto"/>
                <w:kern w:val="0"/>
                <w:szCs w:val="21"/>
                <w:highlight w:val="none"/>
              </w:rPr>
            </w:pPr>
          </w:p>
        </w:tc>
        <w:tc>
          <w:tcPr>
            <w:tcW w:w="2723" w:type="dxa"/>
            <w:vAlign w:val="top"/>
          </w:tcPr>
          <w:p w14:paraId="7663F1ED">
            <w:pPr>
              <w:autoSpaceDE w:val="0"/>
              <w:autoSpaceDN w:val="0"/>
              <w:adjustRightInd w:val="0"/>
              <w:snapToGrid w:val="0"/>
              <w:jc w:val="left"/>
              <w:rPr>
                <w:rFonts w:ascii="宋体" w:hAnsi="宋体"/>
                <w:color w:val="auto"/>
                <w:kern w:val="0"/>
                <w:szCs w:val="21"/>
                <w:highlight w:val="none"/>
              </w:rPr>
            </w:pPr>
          </w:p>
        </w:tc>
        <w:tc>
          <w:tcPr>
            <w:tcW w:w="896" w:type="dxa"/>
            <w:vAlign w:val="top"/>
          </w:tcPr>
          <w:p w14:paraId="485E33DB">
            <w:pPr>
              <w:autoSpaceDE w:val="0"/>
              <w:autoSpaceDN w:val="0"/>
              <w:adjustRightInd w:val="0"/>
              <w:snapToGrid w:val="0"/>
              <w:jc w:val="left"/>
              <w:rPr>
                <w:rFonts w:ascii="宋体" w:hAnsi="宋体"/>
                <w:color w:val="auto"/>
                <w:kern w:val="0"/>
                <w:szCs w:val="21"/>
                <w:highlight w:val="none"/>
              </w:rPr>
            </w:pPr>
          </w:p>
        </w:tc>
      </w:tr>
      <w:tr w14:paraId="7C2AE8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685B644C">
            <w:pPr>
              <w:autoSpaceDE w:val="0"/>
              <w:autoSpaceDN w:val="0"/>
              <w:adjustRightInd w:val="0"/>
              <w:snapToGrid w:val="0"/>
              <w:jc w:val="left"/>
              <w:rPr>
                <w:rFonts w:ascii="宋体" w:hAnsi="宋体"/>
                <w:color w:val="auto"/>
                <w:kern w:val="0"/>
                <w:szCs w:val="21"/>
                <w:highlight w:val="none"/>
              </w:rPr>
            </w:pPr>
          </w:p>
        </w:tc>
        <w:tc>
          <w:tcPr>
            <w:tcW w:w="734" w:type="dxa"/>
            <w:vAlign w:val="top"/>
          </w:tcPr>
          <w:p w14:paraId="72B7497D">
            <w:pPr>
              <w:autoSpaceDE w:val="0"/>
              <w:autoSpaceDN w:val="0"/>
              <w:adjustRightInd w:val="0"/>
              <w:snapToGrid w:val="0"/>
              <w:jc w:val="left"/>
              <w:rPr>
                <w:rFonts w:ascii="宋体" w:hAnsi="宋体"/>
                <w:color w:val="auto"/>
                <w:kern w:val="0"/>
                <w:szCs w:val="21"/>
                <w:highlight w:val="none"/>
              </w:rPr>
            </w:pPr>
          </w:p>
        </w:tc>
        <w:tc>
          <w:tcPr>
            <w:tcW w:w="776" w:type="dxa"/>
            <w:vAlign w:val="top"/>
          </w:tcPr>
          <w:p w14:paraId="09C9EC61">
            <w:pPr>
              <w:autoSpaceDE w:val="0"/>
              <w:autoSpaceDN w:val="0"/>
              <w:adjustRightInd w:val="0"/>
              <w:snapToGrid w:val="0"/>
              <w:jc w:val="left"/>
              <w:rPr>
                <w:rFonts w:ascii="宋体" w:hAnsi="宋体"/>
                <w:color w:val="auto"/>
                <w:kern w:val="0"/>
                <w:szCs w:val="21"/>
                <w:highlight w:val="none"/>
              </w:rPr>
            </w:pPr>
          </w:p>
        </w:tc>
        <w:tc>
          <w:tcPr>
            <w:tcW w:w="1167" w:type="dxa"/>
            <w:vAlign w:val="top"/>
          </w:tcPr>
          <w:p w14:paraId="624B0A39">
            <w:pPr>
              <w:autoSpaceDE w:val="0"/>
              <w:autoSpaceDN w:val="0"/>
              <w:adjustRightInd w:val="0"/>
              <w:snapToGrid w:val="0"/>
              <w:jc w:val="left"/>
              <w:rPr>
                <w:rFonts w:ascii="宋体" w:hAnsi="宋体"/>
                <w:color w:val="auto"/>
                <w:kern w:val="0"/>
                <w:szCs w:val="21"/>
                <w:highlight w:val="none"/>
              </w:rPr>
            </w:pPr>
          </w:p>
        </w:tc>
        <w:tc>
          <w:tcPr>
            <w:tcW w:w="776" w:type="dxa"/>
            <w:vAlign w:val="top"/>
          </w:tcPr>
          <w:p w14:paraId="41BF98F8">
            <w:pPr>
              <w:autoSpaceDE w:val="0"/>
              <w:autoSpaceDN w:val="0"/>
              <w:adjustRightInd w:val="0"/>
              <w:snapToGrid w:val="0"/>
              <w:jc w:val="left"/>
              <w:rPr>
                <w:rFonts w:ascii="宋体" w:hAnsi="宋体"/>
                <w:color w:val="auto"/>
                <w:kern w:val="0"/>
                <w:szCs w:val="21"/>
                <w:highlight w:val="none"/>
              </w:rPr>
            </w:pPr>
          </w:p>
        </w:tc>
        <w:tc>
          <w:tcPr>
            <w:tcW w:w="778" w:type="dxa"/>
            <w:vAlign w:val="top"/>
          </w:tcPr>
          <w:p w14:paraId="4E5A16F6">
            <w:pPr>
              <w:autoSpaceDE w:val="0"/>
              <w:autoSpaceDN w:val="0"/>
              <w:adjustRightInd w:val="0"/>
              <w:snapToGrid w:val="0"/>
              <w:jc w:val="left"/>
              <w:rPr>
                <w:rFonts w:ascii="宋体" w:hAnsi="宋体"/>
                <w:color w:val="auto"/>
                <w:kern w:val="0"/>
                <w:szCs w:val="21"/>
                <w:highlight w:val="none"/>
              </w:rPr>
            </w:pPr>
          </w:p>
        </w:tc>
        <w:tc>
          <w:tcPr>
            <w:tcW w:w="776" w:type="dxa"/>
            <w:vAlign w:val="top"/>
          </w:tcPr>
          <w:p w14:paraId="571A4FCC">
            <w:pPr>
              <w:autoSpaceDE w:val="0"/>
              <w:autoSpaceDN w:val="0"/>
              <w:adjustRightInd w:val="0"/>
              <w:snapToGrid w:val="0"/>
              <w:jc w:val="left"/>
              <w:rPr>
                <w:rFonts w:ascii="宋体" w:hAnsi="宋体"/>
                <w:color w:val="auto"/>
                <w:kern w:val="0"/>
                <w:szCs w:val="21"/>
                <w:highlight w:val="none"/>
              </w:rPr>
            </w:pPr>
          </w:p>
        </w:tc>
        <w:tc>
          <w:tcPr>
            <w:tcW w:w="2723" w:type="dxa"/>
            <w:vAlign w:val="top"/>
          </w:tcPr>
          <w:p w14:paraId="3D0590C9">
            <w:pPr>
              <w:autoSpaceDE w:val="0"/>
              <w:autoSpaceDN w:val="0"/>
              <w:adjustRightInd w:val="0"/>
              <w:snapToGrid w:val="0"/>
              <w:jc w:val="left"/>
              <w:rPr>
                <w:rFonts w:ascii="宋体" w:hAnsi="宋体"/>
                <w:color w:val="auto"/>
                <w:kern w:val="0"/>
                <w:szCs w:val="21"/>
                <w:highlight w:val="none"/>
              </w:rPr>
            </w:pPr>
          </w:p>
        </w:tc>
        <w:tc>
          <w:tcPr>
            <w:tcW w:w="896" w:type="dxa"/>
            <w:vAlign w:val="top"/>
          </w:tcPr>
          <w:p w14:paraId="153C94CA">
            <w:pPr>
              <w:autoSpaceDE w:val="0"/>
              <w:autoSpaceDN w:val="0"/>
              <w:adjustRightInd w:val="0"/>
              <w:snapToGrid w:val="0"/>
              <w:jc w:val="left"/>
              <w:rPr>
                <w:rFonts w:ascii="宋体" w:hAnsi="宋体"/>
                <w:color w:val="auto"/>
                <w:kern w:val="0"/>
                <w:szCs w:val="21"/>
                <w:highlight w:val="none"/>
              </w:rPr>
            </w:pPr>
          </w:p>
        </w:tc>
      </w:tr>
      <w:tr w14:paraId="1C8E1A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710EA913">
            <w:pPr>
              <w:autoSpaceDE w:val="0"/>
              <w:autoSpaceDN w:val="0"/>
              <w:adjustRightInd w:val="0"/>
              <w:snapToGrid w:val="0"/>
              <w:jc w:val="left"/>
              <w:rPr>
                <w:rFonts w:ascii="宋体" w:hAnsi="宋体"/>
                <w:color w:val="auto"/>
                <w:kern w:val="0"/>
                <w:szCs w:val="21"/>
                <w:highlight w:val="none"/>
              </w:rPr>
            </w:pPr>
          </w:p>
        </w:tc>
        <w:tc>
          <w:tcPr>
            <w:tcW w:w="734" w:type="dxa"/>
            <w:vAlign w:val="top"/>
          </w:tcPr>
          <w:p w14:paraId="33D67619">
            <w:pPr>
              <w:autoSpaceDE w:val="0"/>
              <w:autoSpaceDN w:val="0"/>
              <w:adjustRightInd w:val="0"/>
              <w:snapToGrid w:val="0"/>
              <w:jc w:val="left"/>
              <w:rPr>
                <w:rFonts w:ascii="宋体" w:hAnsi="宋体"/>
                <w:color w:val="auto"/>
                <w:kern w:val="0"/>
                <w:szCs w:val="21"/>
                <w:highlight w:val="none"/>
              </w:rPr>
            </w:pPr>
          </w:p>
        </w:tc>
        <w:tc>
          <w:tcPr>
            <w:tcW w:w="776" w:type="dxa"/>
            <w:vAlign w:val="top"/>
          </w:tcPr>
          <w:p w14:paraId="78713FF3">
            <w:pPr>
              <w:autoSpaceDE w:val="0"/>
              <w:autoSpaceDN w:val="0"/>
              <w:adjustRightInd w:val="0"/>
              <w:snapToGrid w:val="0"/>
              <w:jc w:val="left"/>
              <w:rPr>
                <w:rFonts w:ascii="宋体" w:hAnsi="宋体"/>
                <w:color w:val="auto"/>
                <w:kern w:val="0"/>
                <w:szCs w:val="21"/>
                <w:highlight w:val="none"/>
              </w:rPr>
            </w:pPr>
          </w:p>
        </w:tc>
        <w:tc>
          <w:tcPr>
            <w:tcW w:w="1167" w:type="dxa"/>
            <w:vAlign w:val="top"/>
          </w:tcPr>
          <w:p w14:paraId="27CBD132">
            <w:pPr>
              <w:autoSpaceDE w:val="0"/>
              <w:autoSpaceDN w:val="0"/>
              <w:adjustRightInd w:val="0"/>
              <w:snapToGrid w:val="0"/>
              <w:jc w:val="left"/>
              <w:rPr>
                <w:rFonts w:ascii="宋体" w:hAnsi="宋体"/>
                <w:color w:val="auto"/>
                <w:kern w:val="0"/>
                <w:szCs w:val="21"/>
                <w:highlight w:val="none"/>
              </w:rPr>
            </w:pPr>
          </w:p>
        </w:tc>
        <w:tc>
          <w:tcPr>
            <w:tcW w:w="776" w:type="dxa"/>
            <w:vAlign w:val="top"/>
          </w:tcPr>
          <w:p w14:paraId="2DE37093">
            <w:pPr>
              <w:autoSpaceDE w:val="0"/>
              <w:autoSpaceDN w:val="0"/>
              <w:adjustRightInd w:val="0"/>
              <w:snapToGrid w:val="0"/>
              <w:jc w:val="left"/>
              <w:rPr>
                <w:rFonts w:ascii="宋体" w:hAnsi="宋体"/>
                <w:color w:val="auto"/>
                <w:kern w:val="0"/>
                <w:szCs w:val="21"/>
                <w:highlight w:val="none"/>
              </w:rPr>
            </w:pPr>
          </w:p>
        </w:tc>
        <w:tc>
          <w:tcPr>
            <w:tcW w:w="778" w:type="dxa"/>
            <w:vAlign w:val="top"/>
          </w:tcPr>
          <w:p w14:paraId="15C11244">
            <w:pPr>
              <w:autoSpaceDE w:val="0"/>
              <w:autoSpaceDN w:val="0"/>
              <w:adjustRightInd w:val="0"/>
              <w:snapToGrid w:val="0"/>
              <w:jc w:val="left"/>
              <w:rPr>
                <w:rFonts w:ascii="宋体" w:hAnsi="宋体"/>
                <w:color w:val="auto"/>
                <w:kern w:val="0"/>
                <w:szCs w:val="21"/>
                <w:highlight w:val="none"/>
              </w:rPr>
            </w:pPr>
          </w:p>
        </w:tc>
        <w:tc>
          <w:tcPr>
            <w:tcW w:w="776" w:type="dxa"/>
            <w:vAlign w:val="top"/>
          </w:tcPr>
          <w:p w14:paraId="0AC7C5B1">
            <w:pPr>
              <w:autoSpaceDE w:val="0"/>
              <w:autoSpaceDN w:val="0"/>
              <w:adjustRightInd w:val="0"/>
              <w:snapToGrid w:val="0"/>
              <w:jc w:val="left"/>
              <w:rPr>
                <w:rFonts w:ascii="宋体" w:hAnsi="宋体"/>
                <w:color w:val="auto"/>
                <w:kern w:val="0"/>
                <w:szCs w:val="21"/>
                <w:highlight w:val="none"/>
              </w:rPr>
            </w:pPr>
          </w:p>
        </w:tc>
        <w:tc>
          <w:tcPr>
            <w:tcW w:w="2723" w:type="dxa"/>
            <w:vAlign w:val="top"/>
          </w:tcPr>
          <w:p w14:paraId="437CF859">
            <w:pPr>
              <w:autoSpaceDE w:val="0"/>
              <w:autoSpaceDN w:val="0"/>
              <w:adjustRightInd w:val="0"/>
              <w:snapToGrid w:val="0"/>
              <w:jc w:val="left"/>
              <w:rPr>
                <w:rFonts w:ascii="宋体" w:hAnsi="宋体"/>
                <w:color w:val="auto"/>
                <w:kern w:val="0"/>
                <w:szCs w:val="21"/>
                <w:highlight w:val="none"/>
              </w:rPr>
            </w:pPr>
          </w:p>
        </w:tc>
        <w:tc>
          <w:tcPr>
            <w:tcW w:w="896" w:type="dxa"/>
            <w:vAlign w:val="top"/>
          </w:tcPr>
          <w:p w14:paraId="2DCDFAB3">
            <w:pPr>
              <w:autoSpaceDE w:val="0"/>
              <w:autoSpaceDN w:val="0"/>
              <w:adjustRightInd w:val="0"/>
              <w:snapToGrid w:val="0"/>
              <w:jc w:val="left"/>
              <w:rPr>
                <w:rFonts w:ascii="宋体" w:hAnsi="宋体"/>
                <w:color w:val="auto"/>
                <w:kern w:val="0"/>
                <w:szCs w:val="21"/>
                <w:highlight w:val="none"/>
              </w:rPr>
            </w:pPr>
          </w:p>
        </w:tc>
      </w:tr>
      <w:tr w14:paraId="705571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4A1AF53E">
            <w:pPr>
              <w:autoSpaceDE w:val="0"/>
              <w:autoSpaceDN w:val="0"/>
              <w:adjustRightInd w:val="0"/>
              <w:snapToGrid w:val="0"/>
              <w:jc w:val="left"/>
              <w:rPr>
                <w:rFonts w:ascii="宋体" w:hAnsi="宋体"/>
                <w:color w:val="auto"/>
                <w:kern w:val="0"/>
                <w:szCs w:val="21"/>
                <w:highlight w:val="none"/>
              </w:rPr>
            </w:pPr>
          </w:p>
        </w:tc>
        <w:tc>
          <w:tcPr>
            <w:tcW w:w="734" w:type="dxa"/>
            <w:vAlign w:val="top"/>
          </w:tcPr>
          <w:p w14:paraId="08AD5ABE">
            <w:pPr>
              <w:autoSpaceDE w:val="0"/>
              <w:autoSpaceDN w:val="0"/>
              <w:adjustRightInd w:val="0"/>
              <w:snapToGrid w:val="0"/>
              <w:jc w:val="left"/>
              <w:rPr>
                <w:rFonts w:ascii="宋体" w:hAnsi="宋体"/>
                <w:color w:val="auto"/>
                <w:kern w:val="0"/>
                <w:szCs w:val="21"/>
                <w:highlight w:val="none"/>
              </w:rPr>
            </w:pPr>
          </w:p>
        </w:tc>
        <w:tc>
          <w:tcPr>
            <w:tcW w:w="776" w:type="dxa"/>
            <w:vAlign w:val="top"/>
          </w:tcPr>
          <w:p w14:paraId="5D90B023">
            <w:pPr>
              <w:autoSpaceDE w:val="0"/>
              <w:autoSpaceDN w:val="0"/>
              <w:adjustRightInd w:val="0"/>
              <w:snapToGrid w:val="0"/>
              <w:jc w:val="left"/>
              <w:rPr>
                <w:rFonts w:ascii="宋体" w:hAnsi="宋体"/>
                <w:color w:val="auto"/>
                <w:kern w:val="0"/>
                <w:szCs w:val="21"/>
                <w:highlight w:val="none"/>
              </w:rPr>
            </w:pPr>
          </w:p>
        </w:tc>
        <w:tc>
          <w:tcPr>
            <w:tcW w:w="1167" w:type="dxa"/>
            <w:vAlign w:val="top"/>
          </w:tcPr>
          <w:p w14:paraId="22001909">
            <w:pPr>
              <w:autoSpaceDE w:val="0"/>
              <w:autoSpaceDN w:val="0"/>
              <w:adjustRightInd w:val="0"/>
              <w:snapToGrid w:val="0"/>
              <w:jc w:val="left"/>
              <w:rPr>
                <w:rFonts w:ascii="宋体" w:hAnsi="宋体"/>
                <w:color w:val="auto"/>
                <w:kern w:val="0"/>
                <w:szCs w:val="21"/>
                <w:highlight w:val="none"/>
              </w:rPr>
            </w:pPr>
          </w:p>
        </w:tc>
        <w:tc>
          <w:tcPr>
            <w:tcW w:w="776" w:type="dxa"/>
            <w:vAlign w:val="top"/>
          </w:tcPr>
          <w:p w14:paraId="6E0955DE">
            <w:pPr>
              <w:autoSpaceDE w:val="0"/>
              <w:autoSpaceDN w:val="0"/>
              <w:adjustRightInd w:val="0"/>
              <w:snapToGrid w:val="0"/>
              <w:jc w:val="left"/>
              <w:rPr>
                <w:rFonts w:ascii="宋体" w:hAnsi="宋体"/>
                <w:color w:val="auto"/>
                <w:kern w:val="0"/>
                <w:szCs w:val="21"/>
                <w:highlight w:val="none"/>
              </w:rPr>
            </w:pPr>
          </w:p>
        </w:tc>
        <w:tc>
          <w:tcPr>
            <w:tcW w:w="778" w:type="dxa"/>
            <w:vAlign w:val="top"/>
          </w:tcPr>
          <w:p w14:paraId="460FA3BE">
            <w:pPr>
              <w:autoSpaceDE w:val="0"/>
              <w:autoSpaceDN w:val="0"/>
              <w:adjustRightInd w:val="0"/>
              <w:snapToGrid w:val="0"/>
              <w:jc w:val="left"/>
              <w:rPr>
                <w:rFonts w:ascii="宋体" w:hAnsi="宋体"/>
                <w:color w:val="auto"/>
                <w:kern w:val="0"/>
                <w:szCs w:val="21"/>
                <w:highlight w:val="none"/>
              </w:rPr>
            </w:pPr>
          </w:p>
        </w:tc>
        <w:tc>
          <w:tcPr>
            <w:tcW w:w="776" w:type="dxa"/>
            <w:vAlign w:val="top"/>
          </w:tcPr>
          <w:p w14:paraId="642D20FC">
            <w:pPr>
              <w:autoSpaceDE w:val="0"/>
              <w:autoSpaceDN w:val="0"/>
              <w:adjustRightInd w:val="0"/>
              <w:snapToGrid w:val="0"/>
              <w:jc w:val="left"/>
              <w:rPr>
                <w:rFonts w:ascii="宋体" w:hAnsi="宋体"/>
                <w:color w:val="auto"/>
                <w:kern w:val="0"/>
                <w:szCs w:val="21"/>
                <w:highlight w:val="none"/>
              </w:rPr>
            </w:pPr>
          </w:p>
        </w:tc>
        <w:tc>
          <w:tcPr>
            <w:tcW w:w="2723" w:type="dxa"/>
            <w:vAlign w:val="top"/>
          </w:tcPr>
          <w:p w14:paraId="2C827B1E">
            <w:pPr>
              <w:autoSpaceDE w:val="0"/>
              <w:autoSpaceDN w:val="0"/>
              <w:adjustRightInd w:val="0"/>
              <w:snapToGrid w:val="0"/>
              <w:jc w:val="left"/>
              <w:rPr>
                <w:rFonts w:ascii="宋体" w:hAnsi="宋体"/>
                <w:color w:val="auto"/>
                <w:kern w:val="0"/>
                <w:szCs w:val="21"/>
                <w:highlight w:val="none"/>
              </w:rPr>
            </w:pPr>
          </w:p>
        </w:tc>
        <w:tc>
          <w:tcPr>
            <w:tcW w:w="896" w:type="dxa"/>
            <w:vAlign w:val="top"/>
          </w:tcPr>
          <w:p w14:paraId="0506518E">
            <w:pPr>
              <w:autoSpaceDE w:val="0"/>
              <w:autoSpaceDN w:val="0"/>
              <w:adjustRightInd w:val="0"/>
              <w:snapToGrid w:val="0"/>
              <w:jc w:val="left"/>
              <w:rPr>
                <w:rFonts w:ascii="宋体" w:hAnsi="宋体"/>
                <w:color w:val="auto"/>
                <w:kern w:val="0"/>
                <w:szCs w:val="21"/>
                <w:highlight w:val="none"/>
              </w:rPr>
            </w:pPr>
          </w:p>
        </w:tc>
      </w:tr>
      <w:tr w14:paraId="6EBC38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5E14565B">
            <w:pPr>
              <w:autoSpaceDE w:val="0"/>
              <w:autoSpaceDN w:val="0"/>
              <w:adjustRightInd w:val="0"/>
              <w:snapToGrid w:val="0"/>
              <w:jc w:val="left"/>
              <w:rPr>
                <w:rFonts w:ascii="宋体" w:hAnsi="宋体"/>
                <w:color w:val="auto"/>
                <w:kern w:val="0"/>
                <w:szCs w:val="21"/>
                <w:highlight w:val="none"/>
              </w:rPr>
            </w:pPr>
          </w:p>
        </w:tc>
        <w:tc>
          <w:tcPr>
            <w:tcW w:w="734" w:type="dxa"/>
            <w:vAlign w:val="top"/>
          </w:tcPr>
          <w:p w14:paraId="23AB2224">
            <w:pPr>
              <w:autoSpaceDE w:val="0"/>
              <w:autoSpaceDN w:val="0"/>
              <w:adjustRightInd w:val="0"/>
              <w:snapToGrid w:val="0"/>
              <w:jc w:val="left"/>
              <w:rPr>
                <w:rFonts w:ascii="宋体" w:hAnsi="宋体"/>
                <w:color w:val="auto"/>
                <w:kern w:val="0"/>
                <w:szCs w:val="21"/>
                <w:highlight w:val="none"/>
              </w:rPr>
            </w:pPr>
          </w:p>
        </w:tc>
        <w:tc>
          <w:tcPr>
            <w:tcW w:w="776" w:type="dxa"/>
            <w:vAlign w:val="top"/>
          </w:tcPr>
          <w:p w14:paraId="5096E30B">
            <w:pPr>
              <w:autoSpaceDE w:val="0"/>
              <w:autoSpaceDN w:val="0"/>
              <w:adjustRightInd w:val="0"/>
              <w:snapToGrid w:val="0"/>
              <w:jc w:val="left"/>
              <w:rPr>
                <w:rFonts w:ascii="宋体" w:hAnsi="宋体"/>
                <w:color w:val="auto"/>
                <w:kern w:val="0"/>
                <w:szCs w:val="21"/>
                <w:highlight w:val="none"/>
              </w:rPr>
            </w:pPr>
          </w:p>
        </w:tc>
        <w:tc>
          <w:tcPr>
            <w:tcW w:w="1167" w:type="dxa"/>
            <w:vAlign w:val="top"/>
          </w:tcPr>
          <w:p w14:paraId="3FFE38CC">
            <w:pPr>
              <w:autoSpaceDE w:val="0"/>
              <w:autoSpaceDN w:val="0"/>
              <w:adjustRightInd w:val="0"/>
              <w:snapToGrid w:val="0"/>
              <w:jc w:val="left"/>
              <w:rPr>
                <w:rFonts w:ascii="宋体" w:hAnsi="宋体"/>
                <w:color w:val="auto"/>
                <w:kern w:val="0"/>
                <w:szCs w:val="21"/>
                <w:highlight w:val="none"/>
              </w:rPr>
            </w:pPr>
          </w:p>
        </w:tc>
        <w:tc>
          <w:tcPr>
            <w:tcW w:w="776" w:type="dxa"/>
            <w:vAlign w:val="top"/>
          </w:tcPr>
          <w:p w14:paraId="71923756">
            <w:pPr>
              <w:autoSpaceDE w:val="0"/>
              <w:autoSpaceDN w:val="0"/>
              <w:adjustRightInd w:val="0"/>
              <w:snapToGrid w:val="0"/>
              <w:jc w:val="left"/>
              <w:rPr>
                <w:rFonts w:ascii="宋体" w:hAnsi="宋体"/>
                <w:color w:val="auto"/>
                <w:kern w:val="0"/>
                <w:szCs w:val="21"/>
                <w:highlight w:val="none"/>
              </w:rPr>
            </w:pPr>
          </w:p>
        </w:tc>
        <w:tc>
          <w:tcPr>
            <w:tcW w:w="778" w:type="dxa"/>
            <w:vAlign w:val="top"/>
          </w:tcPr>
          <w:p w14:paraId="1474BC8C">
            <w:pPr>
              <w:autoSpaceDE w:val="0"/>
              <w:autoSpaceDN w:val="0"/>
              <w:adjustRightInd w:val="0"/>
              <w:snapToGrid w:val="0"/>
              <w:jc w:val="left"/>
              <w:rPr>
                <w:rFonts w:ascii="宋体" w:hAnsi="宋体"/>
                <w:color w:val="auto"/>
                <w:kern w:val="0"/>
                <w:szCs w:val="21"/>
                <w:highlight w:val="none"/>
              </w:rPr>
            </w:pPr>
          </w:p>
        </w:tc>
        <w:tc>
          <w:tcPr>
            <w:tcW w:w="776" w:type="dxa"/>
            <w:vAlign w:val="top"/>
          </w:tcPr>
          <w:p w14:paraId="3A57202D">
            <w:pPr>
              <w:autoSpaceDE w:val="0"/>
              <w:autoSpaceDN w:val="0"/>
              <w:adjustRightInd w:val="0"/>
              <w:snapToGrid w:val="0"/>
              <w:jc w:val="left"/>
              <w:rPr>
                <w:rFonts w:ascii="宋体" w:hAnsi="宋体"/>
                <w:color w:val="auto"/>
                <w:kern w:val="0"/>
                <w:szCs w:val="21"/>
                <w:highlight w:val="none"/>
              </w:rPr>
            </w:pPr>
          </w:p>
        </w:tc>
        <w:tc>
          <w:tcPr>
            <w:tcW w:w="2723" w:type="dxa"/>
            <w:vAlign w:val="top"/>
          </w:tcPr>
          <w:p w14:paraId="1F0AD3A7">
            <w:pPr>
              <w:autoSpaceDE w:val="0"/>
              <w:autoSpaceDN w:val="0"/>
              <w:adjustRightInd w:val="0"/>
              <w:snapToGrid w:val="0"/>
              <w:jc w:val="left"/>
              <w:rPr>
                <w:rFonts w:ascii="宋体" w:hAnsi="宋体"/>
                <w:color w:val="auto"/>
                <w:kern w:val="0"/>
                <w:szCs w:val="21"/>
                <w:highlight w:val="none"/>
              </w:rPr>
            </w:pPr>
          </w:p>
        </w:tc>
        <w:tc>
          <w:tcPr>
            <w:tcW w:w="896" w:type="dxa"/>
            <w:vAlign w:val="top"/>
          </w:tcPr>
          <w:p w14:paraId="1921ECA2">
            <w:pPr>
              <w:autoSpaceDE w:val="0"/>
              <w:autoSpaceDN w:val="0"/>
              <w:adjustRightInd w:val="0"/>
              <w:snapToGrid w:val="0"/>
              <w:jc w:val="left"/>
              <w:rPr>
                <w:rFonts w:ascii="宋体" w:hAnsi="宋体"/>
                <w:color w:val="auto"/>
                <w:kern w:val="0"/>
                <w:szCs w:val="21"/>
                <w:highlight w:val="none"/>
              </w:rPr>
            </w:pPr>
          </w:p>
        </w:tc>
      </w:tr>
      <w:tr w14:paraId="0EC990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6C82A127">
            <w:pPr>
              <w:autoSpaceDE w:val="0"/>
              <w:autoSpaceDN w:val="0"/>
              <w:adjustRightInd w:val="0"/>
              <w:snapToGrid w:val="0"/>
              <w:jc w:val="left"/>
              <w:rPr>
                <w:rFonts w:ascii="宋体" w:hAnsi="宋体"/>
                <w:color w:val="auto"/>
                <w:kern w:val="0"/>
                <w:szCs w:val="21"/>
                <w:highlight w:val="none"/>
              </w:rPr>
            </w:pPr>
          </w:p>
        </w:tc>
        <w:tc>
          <w:tcPr>
            <w:tcW w:w="734" w:type="dxa"/>
            <w:vAlign w:val="top"/>
          </w:tcPr>
          <w:p w14:paraId="1F2F7605">
            <w:pPr>
              <w:autoSpaceDE w:val="0"/>
              <w:autoSpaceDN w:val="0"/>
              <w:adjustRightInd w:val="0"/>
              <w:snapToGrid w:val="0"/>
              <w:jc w:val="left"/>
              <w:rPr>
                <w:rFonts w:ascii="宋体" w:hAnsi="宋体"/>
                <w:color w:val="auto"/>
                <w:kern w:val="0"/>
                <w:szCs w:val="21"/>
                <w:highlight w:val="none"/>
              </w:rPr>
            </w:pPr>
          </w:p>
        </w:tc>
        <w:tc>
          <w:tcPr>
            <w:tcW w:w="776" w:type="dxa"/>
            <w:vAlign w:val="top"/>
          </w:tcPr>
          <w:p w14:paraId="6A158A60">
            <w:pPr>
              <w:autoSpaceDE w:val="0"/>
              <w:autoSpaceDN w:val="0"/>
              <w:adjustRightInd w:val="0"/>
              <w:snapToGrid w:val="0"/>
              <w:jc w:val="left"/>
              <w:rPr>
                <w:rFonts w:ascii="宋体" w:hAnsi="宋体"/>
                <w:color w:val="auto"/>
                <w:kern w:val="0"/>
                <w:szCs w:val="21"/>
                <w:highlight w:val="none"/>
              </w:rPr>
            </w:pPr>
          </w:p>
        </w:tc>
        <w:tc>
          <w:tcPr>
            <w:tcW w:w="1167" w:type="dxa"/>
            <w:vAlign w:val="top"/>
          </w:tcPr>
          <w:p w14:paraId="26DBEAF6">
            <w:pPr>
              <w:autoSpaceDE w:val="0"/>
              <w:autoSpaceDN w:val="0"/>
              <w:adjustRightInd w:val="0"/>
              <w:snapToGrid w:val="0"/>
              <w:jc w:val="left"/>
              <w:rPr>
                <w:rFonts w:ascii="宋体" w:hAnsi="宋体"/>
                <w:color w:val="auto"/>
                <w:kern w:val="0"/>
                <w:szCs w:val="21"/>
                <w:highlight w:val="none"/>
              </w:rPr>
            </w:pPr>
          </w:p>
        </w:tc>
        <w:tc>
          <w:tcPr>
            <w:tcW w:w="776" w:type="dxa"/>
            <w:vAlign w:val="top"/>
          </w:tcPr>
          <w:p w14:paraId="2651A664">
            <w:pPr>
              <w:autoSpaceDE w:val="0"/>
              <w:autoSpaceDN w:val="0"/>
              <w:adjustRightInd w:val="0"/>
              <w:snapToGrid w:val="0"/>
              <w:jc w:val="left"/>
              <w:rPr>
                <w:rFonts w:ascii="宋体" w:hAnsi="宋体"/>
                <w:color w:val="auto"/>
                <w:kern w:val="0"/>
                <w:szCs w:val="21"/>
                <w:highlight w:val="none"/>
              </w:rPr>
            </w:pPr>
          </w:p>
        </w:tc>
        <w:tc>
          <w:tcPr>
            <w:tcW w:w="778" w:type="dxa"/>
            <w:vAlign w:val="top"/>
          </w:tcPr>
          <w:p w14:paraId="59C4EB72">
            <w:pPr>
              <w:autoSpaceDE w:val="0"/>
              <w:autoSpaceDN w:val="0"/>
              <w:adjustRightInd w:val="0"/>
              <w:snapToGrid w:val="0"/>
              <w:jc w:val="left"/>
              <w:rPr>
                <w:rFonts w:ascii="宋体" w:hAnsi="宋体"/>
                <w:color w:val="auto"/>
                <w:kern w:val="0"/>
                <w:szCs w:val="21"/>
                <w:highlight w:val="none"/>
              </w:rPr>
            </w:pPr>
          </w:p>
        </w:tc>
        <w:tc>
          <w:tcPr>
            <w:tcW w:w="776" w:type="dxa"/>
            <w:vAlign w:val="top"/>
          </w:tcPr>
          <w:p w14:paraId="06C45BC1">
            <w:pPr>
              <w:autoSpaceDE w:val="0"/>
              <w:autoSpaceDN w:val="0"/>
              <w:adjustRightInd w:val="0"/>
              <w:snapToGrid w:val="0"/>
              <w:jc w:val="left"/>
              <w:rPr>
                <w:rFonts w:ascii="宋体" w:hAnsi="宋体"/>
                <w:color w:val="auto"/>
                <w:kern w:val="0"/>
                <w:szCs w:val="21"/>
                <w:highlight w:val="none"/>
              </w:rPr>
            </w:pPr>
          </w:p>
        </w:tc>
        <w:tc>
          <w:tcPr>
            <w:tcW w:w="2723" w:type="dxa"/>
            <w:vAlign w:val="top"/>
          </w:tcPr>
          <w:p w14:paraId="71B1617B">
            <w:pPr>
              <w:autoSpaceDE w:val="0"/>
              <w:autoSpaceDN w:val="0"/>
              <w:adjustRightInd w:val="0"/>
              <w:snapToGrid w:val="0"/>
              <w:jc w:val="left"/>
              <w:rPr>
                <w:rFonts w:ascii="宋体" w:hAnsi="宋体"/>
                <w:color w:val="auto"/>
                <w:kern w:val="0"/>
                <w:szCs w:val="21"/>
                <w:highlight w:val="none"/>
              </w:rPr>
            </w:pPr>
          </w:p>
        </w:tc>
        <w:tc>
          <w:tcPr>
            <w:tcW w:w="896" w:type="dxa"/>
            <w:vAlign w:val="top"/>
          </w:tcPr>
          <w:p w14:paraId="5EA6AF83">
            <w:pPr>
              <w:autoSpaceDE w:val="0"/>
              <w:autoSpaceDN w:val="0"/>
              <w:adjustRightInd w:val="0"/>
              <w:snapToGrid w:val="0"/>
              <w:jc w:val="left"/>
              <w:rPr>
                <w:rFonts w:ascii="宋体" w:hAnsi="宋体"/>
                <w:color w:val="auto"/>
                <w:kern w:val="0"/>
                <w:szCs w:val="21"/>
                <w:highlight w:val="none"/>
              </w:rPr>
            </w:pPr>
          </w:p>
        </w:tc>
      </w:tr>
      <w:tr w14:paraId="4E3B8F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547CB1E7">
            <w:pPr>
              <w:autoSpaceDE w:val="0"/>
              <w:autoSpaceDN w:val="0"/>
              <w:adjustRightInd w:val="0"/>
              <w:snapToGrid w:val="0"/>
              <w:jc w:val="left"/>
              <w:rPr>
                <w:rFonts w:ascii="宋体" w:hAnsi="宋体"/>
                <w:color w:val="auto"/>
                <w:kern w:val="0"/>
                <w:szCs w:val="21"/>
                <w:highlight w:val="none"/>
              </w:rPr>
            </w:pPr>
          </w:p>
        </w:tc>
        <w:tc>
          <w:tcPr>
            <w:tcW w:w="734" w:type="dxa"/>
            <w:vAlign w:val="top"/>
          </w:tcPr>
          <w:p w14:paraId="7030DDF7">
            <w:pPr>
              <w:autoSpaceDE w:val="0"/>
              <w:autoSpaceDN w:val="0"/>
              <w:adjustRightInd w:val="0"/>
              <w:snapToGrid w:val="0"/>
              <w:jc w:val="left"/>
              <w:rPr>
                <w:rFonts w:ascii="宋体" w:hAnsi="宋体"/>
                <w:color w:val="auto"/>
                <w:kern w:val="0"/>
                <w:szCs w:val="21"/>
                <w:highlight w:val="none"/>
              </w:rPr>
            </w:pPr>
          </w:p>
        </w:tc>
        <w:tc>
          <w:tcPr>
            <w:tcW w:w="776" w:type="dxa"/>
            <w:vAlign w:val="top"/>
          </w:tcPr>
          <w:p w14:paraId="1662FC13">
            <w:pPr>
              <w:autoSpaceDE w:val="0"/>
              <w:autoSpaceDN w:val="0"/>
              <w:adjustRightInd w:val="0"/>
              <w:snapToGrid w:val="0"/>
              <w:jc w:val="left"/>
              <w:rPr>
                <w:rFonts w:ascii="宋体" w:hAnsi="宋体"/>
                <w:color w:val="auto"/>
                <w:kern w:val="0"/>
                <w:szCs w:val="21"/>
                <w:highlight w:val="none"/>
              </w:rPr>
            </w:pPr>
          </w:p>
        </w:tc>
        <w:tc>
          <w:tcPr>
            <w:tcW w:w="1167" w:type="dxa"/>
            <w:vAlign w:val="top"/>
          </w:tcPr>
          <w:p w14:paraId="2F2613CC">
            <w:pPr>
              <w:autoSpaceDE w:val="0"/>
              <w:autoSpaceDN w:val="0"/>
              <w:adjustRightInd w:val="0"/>
              <w:snapToGrid w:val="0"/>
              <w:jc w:val="left"/>
              <w:rPr>
                <w:rFonts w:ascii="宋体" w:hAnsi="宋体"/>
                <w:color w:val="auto"/>
                <w:kern w:val="0"/>
                <w:szCs w:val="21"/>
                <w:highlight w:val="none"/>
              </w:rPr>
            </w:pPr>
          </w:p>
        </w:tc>
        <w:tc>
          <w:tcPr>
            <w:tcW w:w="776" w:type="dxa"/>
            <w:vAlign w:val="top"/>
          </w:tcPr>
          <w:p w14:paraId="522E47D8">
            <w:pPr>
              <w:autoSpaceDE w:val="0"/>
              <w:autoSpaceDN w:val="0"/>
              <w:adjustRightInd w:val="0"/>
              <w:snapToGrid w:val="0"/>
              <w:jc w:val="left"/>
              <w:rPr>
                <w:rFonts w:ascii="宋体" w:hAnsi="宋体"/>
                <w:color w:val="auto"/>
                <w:kern w:val="0"/>
                <w:szCs w:val="21"/>
                <w:highlight w:val="none"/>
              </w:rPr>
            </w:pPr>
          </w:p>
        </w:tc>
        <w:tc>
          <w:tcPr>
            <w:tcW w:w="778" w:type="dxa"/>
            <w:vAlign w:val="top"/>
          </w:tcPr>
          <w:p w14:paraId="6BB9C895">
            <w:pPr>
              <w:autoSpaceDE w:val="0"/>
              <w:autoSpaceDN w:val="0"/>
              <w:adjustRightInd w:val="0"/>
              <w:snapToGrid w:val="0"/>
              <w:jc w:val="left"/>
              <w:rPr>
                <w:rFonts w:ascii="宋体" w:hAnsi="宋体"/>
                <w:color w:val="auto"/>
                <w:kern w:val="0"/>
                <w:szCs w:val="21"/>
                <w:highlight w:val="none"/>
              </w:rPr>
            </w:pPr>
          </w:p>
        </w:tc>
        <w:tc>
          <w:tcPr>
            <w:tcW w:w="776" w:type="dxa"/>
            <w:vAlign w:val="top"/>
          </w:tcPr>
          <w:p w14:paraId="2C5CB3B5">
            <w:pPr>
              <w:autoSpaceDE w:val="0"/>
              <w:autoSpaceDN w:val="0"/>
              <w:adjustRightInd w:val="0"/>
              <w:snapToGrid w:val="0"/>
              <w:jc w:val="left"/>
              <w:rPr>
                <w:rFonts w:ascii="宋体" w:hAnsi="宋体"/>
                <w:color w:val="auto"/>
                <w:kern w:val="0"/>
                <w:szCs w:val="21"/>
                <w:highlight w:val="none"/>
              </w:rPr>
            </w:pPr>
          </w:p>
        </w:tc>
        <w:tc>
          <w:tcPr>
            <w:tcW w:w="2723" w:type="dxa"/>
            <w:vAlign w:val="top"/>
          </w:tcPr>
          <w:p w14:paraId="13D9C155">
            <w:pPr>
              <w:autoSpaceDE w:val="0"/>
              <w:autoSpaceDN w:val="0"/>
              <w:adjustRightInd w:val="0"/>
              <w:snapToGrid w:val="0"/>
              <w:jc w:val="left"/>
              <w:rPr>
                <w:rFonts w:ascii="宋体" w:hAnsi="宋体"/>
                <w:color w:val="auto"/>
                <w:kern w:val="0"/>
                <w:szCs w:val="21"/>
                <w:highlight w:val="none"/>
              </w:rPr>
            </w:pPr>
          </w:p>
        </w:tc>
        <w:tc>
          <w:tcPr>
            <w:tcW w:w="896" w:type="dxa"/>
            <w:vAlign w:val="top"/>
          </w:tcPr>
          <w:p w14:paraId="6DD23EC5">
            <w:pPr>
              <w:autoSpaceDE w:val="0"/>
              <w:autoSpaceDN w:val="0"/>
              <w:adjustRightInd w:val="0"/>
              <w:snapToGrid w:val="0"/>
              <w:jc w:val="left"/>
              <w:rPr>
                <w:rFonts w:ascii="宋体" w:hAnsi="宋体"/>
                <w:color w:val="auto"/>
                <w:kern w:val="0"/>
                <w:szCs w:val="21"/>
                <w:highlight w:val="none"/>
              </w:rPr>
            </w:pPr>
          </w:p>
        </w:tc>
      </w:tr>
    </w:tbl>
    <w:p w14:paraId="0E888A85">
      <w:pPr>
        <w:spacing w:line="20" w:lineRule="exact"/>
        <w:jc w:val="center"/>
        <w:rPr>
          <w:rFonts w:ascii="宋体" w:hAnsi="宋体"/>
          <w:color w:val="auto"/>
          <w:szCs w:val="21"/>
          <w:highlight w:val="none"/>
        </w:rPr>
      </w:pPr>
    </w:p>
    <w:p w14:paraId="10795218">
      <w:pPr>
        <w:spacing w:line="360" w:lineRule="auto"/>
        <w:ind w:firstLine="560" w:firstLineChars="200"/>
        <w:jc w:val="center"/>
        <w:rPr>
          <w:rFonts w:hint="eastAsia" w:ascii="宋体" w:hAnsi="宋体" w:cs="MingLiU"/>
          <w:color w:val="auto"/>
          <w:kern w:val="0"/>
          <w:sz w:val="28"/>
          <w:szCs w:val="28"/>
          <w:highlight w:val="none"/>
        </w:rPr>
      </w:pPr>
    </w:p>
    <w:p w14:paraId="755D7356">
      <w:pPr>
        <w:spacing w:line="360" w:lineRule="auto"/>
        <w:ind w:firstLine="560" w:firstLineChars="200"/>
        <w:jc w:val="center"/>
        <w:rPr>
          <w:rFonts w:hint="eastAsia" w:ascii="宋体" w:hAnsi="宋体" w:cs="MingLiU"/>
          <w:color w:val="auto"/>
          <w:kern w:val="0"/>
          <w:sz w:val="28"/>
          <w:szCs w:val="28"/>
          <w:highlight w:val="none"/>
        </w:rPr>
      </w:pPr>
    </w:p>
    <w:p w14:paraId="7F424CD3">
      <w:pPr>
        <w:spacing w:line="360" w:lineRule="auto"/>
        <w:ind w:firstLine="560" w:firstLineChars="200"/>
        <w:jc w:val="center"/>
        <w:rPr>
          <w:rFonts w:hint="eastAsia" w:ascii="宋体" w:hAnsi="宋体" w:cs="MingLiU"/>
          <w:color w:val="auto"/>
          <w:kern w:val="0"/>
          <w:sz w:val="28"/>
          <w:szCs w:val="28"/>
          <w:highlight w:val="none"/>
        </w:rPr>
      </w:pPr>
    </w:p>
    <w:p w14:paraId="0A11A441">
      <w:pPr>
        <w:spacing w:line="360" w:lineRule="auto"/>
        <w:ind w:firstLine="560" w:firstLineChars="200"/>
        <w:jc w:val="center"/>
        <w:rPr>
          <w:rFonts w:ascii="宋体" w:hAnsi="宋体"/>
          <w:color w:val="auto"/>
          <w:sz w:val="32"/>
          <w:szCs w:val="32"/>
          <w:highlight w:val="none"/>
        </w:rPr>
      </w:pPr>
      <w:r>
        <w:rPr>
          <w:rFonts w:hint="eastAsia" w:ascii="宋体" w:hAnsi="宋体" w:cs="MingLiU"/>
          <w:color w:val="auto"/>
          <w:kern w:val="0"/>
          <w:sz w:val="28"/>
          <w:szCs w:val="28"/>
          <w:highlight w:val="none"/>
          <w:lang w:val="en-US" w:eastAsia="zh-CN"/>
        </w:rPr>
        <w:t>主要人员</w:t>
      </w:r>
      <w:r>
        <w:rPr>
          <w:rFonts w:hint="eastAsia" w:ascii="宋体" w:hAnsi="宋体" w:cs="MingLiU"/>
          <w:color w:val="auto"/>
          <w:kern w:val="0"/>
          <w:sz w:val="28"/>
          <w:szCs w:val="28"/>
          <w:highlight w:val="none"/>
        </w:rPr>
        <w:t>简历表</w:t>
      </w:r>
    </w:p>
    <w:tbl>
      <w:tblPr>
        <w:tblStyle w:val="46"/>
        <w:tblW w:w="89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1957"/>
      </w:tblGrid>
      <w:tr w14:paraId="467758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3CE6A887">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14:paraId="514D73C1">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57EEE9A1">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14:paraId="0915531D">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524EB9C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1957" w:type="dxa"/>
            <w:vAlign w:val="center"/>
          </w:tcPr>
          <w:p w14:paraId="2BA2031B">
            <w:pPr>
              <w:autoSpaceDE w:val="0"/>
              <w:autoSpaceDN w:val="0"/>
              <w:adjustRightInd w:val="0"/>
              <w:snapToGrid w:val="0"/>
              <w:jc w:val="center"/>
              <w:rPr>
                <w:rFonts w:ascii="宋体" w:hAnsi="宋体"/>
                <w:color w:val="auto"/>
                <w:kern w:val="0"/>
                <w:szCs w:val="21"/>
                <w:highlight w:val="none"/>
              </w:rPr>
            </w:pPr>
          </w:p>
        </w:tc>
      </w:tr>
      <w:tr w14:paraId="5561A3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0058FA1B">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14:paraId="1004BCEB">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664BDD75">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175" w:type="dxa"/>
            <w:vAlign w:val="center"/>
          </w:tcPr>
          <w:p w14:paraId="2CC21238">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03C44E7B">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1957" w:type="dxa"/>
            <w:vAlign w:val="center"/>
          </w:tcPr>
          <w:p w14:paraId="488171BD">
            <w:pPr>
              <w:autoSpaceDE w:val="0"/>
              <w:autoSpaceDN w:val="0"/>
              <w:adjustRightInd w:val="0"/>
              <w:snapToGrid w:val="0"/>
              <w:jc w:val="center"/>
              <w:rPr>
                <w:rFonts w:ascii="宋体" w:hAnsi="宋体"/>
                <w:color w:val="auto"/>
                <w:kern w:val="0"/>
                <w:szCs w:val="21"/>
                <w:highlight w:val="none"/>
              </w:rPr>
            </w:pPr>
          </w:p>
        </w:tc>
      </w:tr>
      <w:tr w14:paraId="70B7B9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134D7A8A">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7688" w:type="dxa"/>
            <w:gridSpan w:val="8"/>
            <w:vAlign w:val="center"/>
          </w:tcPr>
          <w:p w14:paraId="7AB60D50">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44AB7E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994" w:type="dxa"/>
            <w:gridSpan w:val="9"/>
            <w:vAlign w:val="center"/>
          </w:tcPr>
          <w:p w14:paraId="2DCB5512">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70E54C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615DBC7">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14:paraId="263AFB32">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14:paraId="538F875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135" w:type="dxa"/>
            <w:gridSpan w:val="2"/>
            <w:vAlign w:val="center"/>
          </w:tcPr>
          <w:p w14:paraId="12F1EE9C">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14:paraId="73AF45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240E898">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6997751F">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13F9E72">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11CB6B9D">
            <w:pPr>
              <w:autoSpaceDE w:val="0"/>
              <w:autoSpaceDN w:val="0"/>
              <w:adjustRightInd w:val="0"/>
              <w:snapToGrid w:val="0"/>
              <w:jc w:val="center"/>
              <w:rPr>
                <w:rFonts w:ascii="宋体" w:hAnsi="宋体"/>
                <w:color w:val="auto"/>
                <w:kern w:val="0"/>
                <w:szCs w:val="21"/>
                <w:highlight w:val="none"/>
              </w:rPr>
            </w:pPr>
          </w:p>
        </w:tc>
      </w:tr>
      <w:tr w14:paraId="4D5A1E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02201F0">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6FF7385">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4B3E840">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5A9F35CC">
            <w:pPr>
              <w:autoSpaceDE w:val="0"/>
              <w:autoSpaceDN w:val="0"/>
              <w:adjustRightInd w:val="0"/>
              <w:snapToGrid w:val="0"/>
              <w:jc w:val="center"/>
              <w:rPr>
                <w:rFonts w:ascii="宋体" w:hAnsi="宋体"/>
                <w:color w:val="auto"/>
                <w:kern w:val="0"/>
                <w:szCs w:val="21"/>
                <w:highlight w:val="none"/>
              </w:rPr>
            </w:pPr>
          </w:p>
        </w:tc>
      </w:tr>
      <w:tr w14:paraId="29D2F5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DE6B332">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0DC7D3E">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0702CD0">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730C6F11">
            <w:pPr>
              <w:autoSpaceDE w:val="0"/>
              <w:autoSpaceDN w:val="0"/>
              <w:adjustRightInd w:val="0"/>
              <w:snapToGrid w:val="0"/>
              <w:jc w:val="center"/>
              <w:rPr>
                <w:rFonts w:ascii="宋体" w:hAnsi="宋体"/>
                <w:color w:val="auto"/>
                <w:kern w:val="0"/>
                <w:szCs w:val="21"/>
                <w:highlight w:val="none"/>
              </w:rPr>
            </w:pPr>
          </w:p>
        </w:tc>
      </w:tr>
      <w:tr w14:paraId="7D4039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0EF043B">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E731AEB">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0E34BED">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34F559DB">
            <w:pPr>
              <w:autoSpaceDE w:val="0"/>
              <w:autoSpaceDN w:val="0"/>
              <w:adjustRightInd w:val="0"/>
              <w:snapToGrid w:val="0"/>
              <w:jc w:val="center"/>
              <w:rPr>
                <w:rFonts w:ascii="宋体" w:hAnsi="宋体"/>
                <w:color w:val="auto"/>
                <w:kern w:val="0"/>
                <w:szCs w:val="21"/>
                <w:highlight w:val="none"/>
              </w:rPr>
            </w:pPr>
          </w:p>
        </w:tc>
      </w:tr>
      <w:tr w14:paraId="28D065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6860E38">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3A53D53">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574925E">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4A63CB30">
            <w:pPr>
              <w:autoSpaceDE w:val="0"/>
              <w:autoSpaceDN w:val="0"/>
              <w:adjustRightInd w:val="0"/>
              <w:snapToGrid w:val="0"/>
              <w:jc w:val="center"/>
              <w:rPr>
                <w:rFonts w:ascii="宋体" w:hAnsi="宋体"/>
                <w:color w:val="auto"/>
                <w:kern w:val="0"/>
                <w:szCs w:val="21"/>
                <w:highlight w:val="none"/>
              </w:rPr>
            </w:pPr>
          </w:p>
        </w:tc>
      </w:tr>
      <w:tr w14:paraId="66A42C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F8F1503">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C10E68E">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C30D614">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51B98976">
            <w:pPr>
              <w:autoSpaceDE w:val="0"/>
              <w:autoSpaceDN w:val="0"/>
              <w:adjustRightInd w:val="0"/>
              <w:snapToGrid w:val="0"/>
              <w:jc w:val="center"/>
              <w:rPr>
                <w:rFonts w:ascii="宋体" w:hAnsi="宋体"/>
                <w:color w:val="auto"/>
                <w:kern w:val="0"/>
                <w:szCs w:val="21"/>
                <w:highlight w:val="none"/>
              </w:rPr>
            </w:pPr>
          </w:p>
        </w:tc>
      </w:tr>
      <w:tr w14:paraId="66A36E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5836456">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BB55669">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8FFC8AC">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4E6A77FC">
            <w:pPr>
              <w:autoSpaceDE w:val="0"/>
              <w:autoSpaceDN w:val="0"/>
              <w:adjustRightInd w:val="0"/>
              <w:snapToGrid w:val="0"/>
              <w:jc w:val="center"/>
              <w:rPr>
                <w:rFonts w:ascii="宋体" w:hAnsi="宋体"/>
                <w:color w:val="auto"/>
                <w:kern w:val="0"/>
                <w:szCs w:val="21"/>
                <w:highlight w:val="none"/>
              </w:rPr>
            </w:pPr>
          </w:p>
        </w:tc>
      </w:tr>
      <w:tr w14:paraId="54091F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B68D8A5">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9EA7B5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538FA82A">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7453A7AE">
            <w:pPr>
              <w:autoSpaceDE w:val="0"/>
              <w:autoSpaceDN w:val="0"/>
              <w:adjustRightInd w:val="0"/>
              <w:snapToGrid w:val="0"/>
              <w:jc w:val="center"/>
              <w:rPr>
                <w:rFonts w:ascii="宋体" w:hAnsi="宋体"/>
                <w:color w:val="auto"/>
                <w:kern w:val="0"/>
                <w:szCs w:val="21"/>
                <w:highlight w:val="none"/>
              </w:rPr>
            </w:pPr>
          </w:p>
        </w:tc>
      </w:tr>
      <w:tr w14:paraId="2230C3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EB25897">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F3ECD74">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4C3CE07">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6A37779A">
            <w:pPr>
              <w:autoSpaceDE w:val="0"/>
              <w:autoSpaceDN w:val="0"/>
              <w:adjustRightInd w:val="0"/>
              <w:snapToGrid w:val="0"/>
              <w:jc w:val="center"/>
              <w:rPr>
                <w:rFonts w:ascii="宋体" w:hAnsi="宋体"/>
                <w:color w:val="auto"/>
                <w:kern w:val="0"/>
                <w:szCs w:val="21"/>
                <w:highlight w:val="none"/>
              </w:rPr>
            </w:pPr>
          </w:p>
        </w:tc>
      </w:tr>
      <w:tr w14:paraId="150E17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D2F23A7">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6CB25B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CD9BE74">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2D89DEE1">
            <w:pPr>
              <w:autoSpaceDE w:val="0"/>
              <w:autoSpaceDN w:val="0"/>
              <w:adjustRightInd w:val="0"/>
              <w:snapToGrid w:val="0"/>
              <w:jc w:val="center"/>
              <w:rPr>
                <w:rFonts w:ascii="宋体" w:hAnsi="宋体"/>
                <w:color w:val="auto"/>
                <w:kern w:val="0"/>
                <w:szCs w:val="21"/>
                <w:highlight w:val="none"/>
              </w:rPr>
            </w:pPr>
          </w:p>
        </w:tc>
      </w:tr>
      <w:tr w14:paraId="4588F0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E55813E">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67EE3C4">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5A7B434F">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4C3FF69D">
            <w:pPr>
              <w:autoSpaceDE w:val="0"/>
              <w:autoSpaceDN w:val="0"/>
              <w:adjustRightInd w:val="0"/>
              <w:snapToGrid w:val="0"/>
              <w:jc w:val="center"/>
              <w:rPr>
                <w:rFonts w:ascii="宋体" w:hAnsi="宋体"/>
                <w:color w:val="auto"/>
                <w:kern w:val="0"/>
                <w:szCs w:val="21"/>
                <w:highlight w:val="none"/>
              </w:rPr>
            </w:pPr>
          </w:p>
        </w:tc>
      </w:tr>
      <w:tr w14:paraId="152F81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A6D38A4">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89CDEB2">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93F6D48">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619B02F4">
            <w:pPr>
              <w:autoSpaceDE w:val="0"/>
              <w:autoSpaceDN w:val="0"/>
              <w:adjustRightInd w:val="0"/>
              <w:snapToGrid w:val="0"/>
              <w:jc w:val="center"/>
              <w:rPr>
                <w:rFonts w:ascii="宋体" w:hAnsi="宋体"/>
                <w:color w:val="auto"/>
                <w:kern w:val="0"/>
                <w:szCs w:val="21"/>
                <w:highlight w:val="none"/>
              </w:rPr>
            </w:pPr>
          </w:p>
        </w:tc>
      </w:tr>
      <w:tr w14:paraId="44798C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E592C2B">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5FFCFF0">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5EA6447">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14:paraId="707E7897">
            <w:pPr>
              <w:autoSpaceDE w:val="0"/>
              <w:autoSpaceDN w:val="0"/>
              <w:adjustRightInd w:val="0"/>
              <w:snapToGrid w:val="0"/>
              <w:jc w:val="center"/>
              <w:rPr>
                <w:rFonts w:ascii="宋体" w:hAnsi="宋体"/>
                <w:color w:val="auto"/>
                <w:kern w:val="0"/>
                <w:szCs w:val="21"/>
                <w:highlight w:val="none"/>
              </w:rPr>
            </w:pPr>
          </w:p>
        </w:tc>
      </w:tr>
    </w:tbl>
    <w:p w14:paraId="5C4D61C8">
      <w:pPr>
        <w:spacing w:line="360" w:lineRule="auto"/>
        <w:rPr>
          <w:rFonts w:ascii="宋体" w:hAnsi="宋体"/>
          <w:color w:val="auto"/>
          <w:highlight w:val="none"/>
        </w:rPr>
      </w:pPr>
      <w:bookmarkStart w:id="2216" w:name="_Toc224103515"/>
    </w:p>
    <w:bookmarkEnd w:id="2216"/>
    <w:p w14:paraId="54081B54">
      <w:pPr>
        <w:pStyle w:val="5"/>
        <w:spacing w:before="0" w:line="360" w:lineRule="auto"/>
        <w:jc w:val="center"/>
        <w:rPr>
          <w:rFonts w:hint="eastAsia" w:ascii="宋体" w:hAnsi="宋体"/>
          <w:b w:val="0"/>
          <w:color w:val="auto"/>
          <w:highlight w:val="none"/>
        </w:rPr>
      </w:pPr>
      <w:bookmarkStart w:id="2217" w:name="_Toc287607893"/>
      <w:bookmarkStart w:id="2218" w:name="_Toc287620839"/>
      <w:bookmarkStart w:id="2219" w:name="_Toc430530552"/>
      <w:bookmarkStart w:id="2220" w:name="_Toc277082663"/>
      <w:bookmarkStart w:id="2221" w:name="_Toc534185843"/>
      <w:bookmarkStart w:id="2222" w:name="_Toc27983331"/>
      <w:bookmarkStart w:id="2223" w:name="_Toc509218866"/>
      <w:bookmarkStart w:id="2224" w:name="_Toc224103520"/>
      <w:bookmarkStart w:id="2225" w:name="_Toc19228"/>
      <w:bookmarkStart w:id="2226" w:name="_Toc24712"/>
      <w:r>
        <w:rPr>
          <w:rFonts w:ascii="宋体" w:hAnsi="宋体"/>
          <w:b w:val="0"/>
          <w:color w:val="auto"/>
          <w:highlight w:val="none"/>
        </w:rPr>
        <w:t>（</w:t>
      </w:r>
      <w:r>
        <w:rPr>
          <w:rFonts w:hint="eastAsia" w:ascii="宋体" w:hAnsi="宋体"/>
          <w:b w:val="0"/>
          <w:color w:val="auto"/>
          <w:highlight w:val="none"/>
          <w:lang w:val="en-US" w:eastAsia="zh-CN"/>
        </w:rPr>
        <w:t>四</w:t>
      </w:r>
      <w:r>
        <w:rPr>
          <w:rFonts w:ascii="宋体" w:hAnsi="宋体"/>
          <w:b w:val="0"/>
          <w:color w:val="auto"/>
          <w:highlight w:val="none"/>
        </w:rPr>
        <w:t>）</w:t>
      </w:r>
      <w:bookmarkEnd w:id="2217"/>
      <w:bookmarkEnd w:id="2218"/>
      <w:bookmarkEnd w:id="2219"/>
      <w:bookmarkEnd w:id="2220"/>
      <w:bookmarkEnd w:id="2221"/>
      <w:bookmarkEnd w:id="2222"/>
      <w:bookmarkEnd w:id="2223"/>
      <w:bookmarkEnd w:id="2224"/>
      <w:r>
        <w:rPr>
          <w:rFonts w:hint="eastAsia" w:ascii="宋体" w:hAnsi="宋体"/>
          <w:b w:val="0"/>
          <w:color w:val="auto"/>
          <w:highlight w:val="none"/>
        </w:rPr>
        <w:t>承诺</w:t>
      </w:r>
      <w:bookmarkEnd w:id="2225"/>
      <w:bookmarkEnd w:id="2226"/>
    </w:p>
    <w:p w14:paraId="57A2E1CD">
      <w:pPr>
        <w:keepNext w:val="0"/>
        <w:keepLines w:val="0"/>
        <w:pageBreakBefore w:val="0"/>
        <w:widowControl w:val="0"/>
        <w:kinsoku/>
        <w:wordWrap/>
        <w:overflowPunct/>
        <w:topLinePunct w:val="0"/>
        <w:bidi w:val="0"/>
        <w:snapToGrid w:val="0"/>
        <w:spacing w:line="380" w:lineRule="exact"/>
        <w:textAlignment w:val="auto"/>
        <w:rPr>
          <w:rFonts w:hint="eastAsia"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比选人</w:t>
      </w:r>
      <w:r>
        <w:rPr>
          <w:rFonts w:hint="eastAsia" w:ascii="宋体" w:hAnsi="宋体"/>
          <w:color w:val="auto"/>
          <w:szCs w:val="21"/>
          <w:highlight w:val="none"/>
          <w:u w:val="single"/>
        </w:rPr>
        <w:t>名称）</w:t>
      </w:r>
      <w:r>
        <w:rPr>
          <w:rFonts w:hint="eastAsia" w:ascii="宋体" w:hAnsi="宋体"/>
          <w:color w:val="auto"/>
          <w:szCs w:val="21"/>
          <w:highlight w:val="none"/>
        </w:rPr>
        <w:t>：</w:t>
      </w:r>
    </w:p>
    <w:p w14:paraId="6A6C9186">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（投标人名称）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14:paraId="6C7F9B36">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14:paraId="4EEC2DCB">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3D9A4F53">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4C9EA97C">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14:paraId="6A85ED1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2CB66BD1">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主管部门暂停在渝承揽新业务且在暂停期内。</w:t>
      </w:r>
    </w:p>
    <w:p w14:paraId="4730F6DC">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2、我公司拟派的项目经理按注册建造师的相关规定到岗履职和未被禁止参与投标。</w:t>
      </w:r>
    </w:p>
    <w:p w14:paraId="68E8810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14:paraId="4A52F41E">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2.2拟派的项目经理未被重庆市</w:t>
      </w:r>
      <w:r>
        <w:rPr>
          <w:rFonts w:hint="eastAsia" w:ascii="宋体" w:hAnsi="宋体"/>
          <w:color w:val="auto"/>
          <w:szCs w:val="21"/>
          <w:highlight w:val="none"/>
          <w:lang w:val="en-US" w:eastAsia="zh-CN"/>
        </w:rPr>
        <w:t>市级有关行业</w:t>
      </w:r>
      <w:r>
        <w:rPr>
          <w:rFonts w:hint="eastAsia" w:ascii="宋体" w:hAnsi="宋体"/>
          <w:color w:val="auto"/>
          <w:szCs w:val="21"/>
          <w:highlight w:val="none"/>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14:paraId="4C0CE95D">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2.3为保证我公司拟派的项目经理到本项目到岗履职，我公司还承诺：</w:t>
      </w:r>
    </w:p>
    <w:p w14:paraId="666298A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若我公司拟派本项目的项目经理有在其他项目任职的情形的（或有在其他项目中标或拟中标的情形的），应在收到中标通知书后</w:t>
      </w:r>
      <w:r>
        <w:rPr>
          <w:rFonts w:hint="eastAsia" w:ascii="宋体" w:hAnsi="宋体"/>
          <w:color w:val="auto"/>
          <w:szCs w:val="21"/>
          <w:highlight w:val="none"/>
          <w:u w:val="single"/>
        </w:rPr>
        <w:t xml:space="preserve"> 14 </w:t>
      </w:r>
      <w:r>
        <w:rPr>
          <w:rFonts w:hint="eastAsia" w:ascii="宋体" w:hAnsi="宋体"/>
          <w:color w:val="auto"/>
          <w:szCs w:val="21"/>
          <w:highlight w:val="none"/>
        </w:rPr>
        <w:t>日</w:t>
      </w:r>
      <w:r>
        <w:rPr>
          <w:rFonts w:hint="eastAsia" w:ascii="宋体" w:hAnsi="宋体"/>
          <w:i/>
          <w:iCs/>
          <w:color w:val="auto"/>
          <w:szCs w:val="21"/>
          <w:highlight w:val="none"/>
          <w:lang w:val="en-US" w:eastAsia="zh-CN"/>
        </w:rPr>
        <w:t>[提示：</w:t>
      </w:r>
      <w:r>
        <w:rPr>
          <w:rFonts w:hint="eastAsia" w:ascii="宋体" w:hAnsi="宋体"/>
          <w:i/>
          <w:iCs/>
          <w:color w:val="auto"/>
          <w:szCs w:val="21"/>
          <w:highlight w:val="none"/>
        </w:rPr>
        <w:t>7～30日</w:t>
      </w:r>
      <w:r>
        <w:rPr>
          <w:rFonts w:hint="eastAsia" w:ascii="宋体" w:hAnsi="宋体"/>
          <w:i/>
          <w:iCs/>
          <w:color w:val="auto"/>
          <w:szCs w:val="21"/>
          <w:highlight w:val="none"/>
          <w:lang w:val="en-US" w:eastAsia="zh-CN"/>
        </w:rPr>
        <w:t>]</w:t>
      </w:r>
      <w:r>
        <w:rPr>
          <w:rFonts w:hint="eastAsia" w:ascii="宋体" w:hAnsi="宋体"/>
          <w:color w:val="auto"/>
          <w:szCs w:val="21"/>
          <w:highlight w:val="none"/>
        </w:rPr>
        <w:t>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14:paraId="0D70D2CD">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若我公司拟派项目经理放弃在其他项目任职的将提供：①经业主或建设单位同意任职变更的文件；②负责项目监管的行业行政主管部门出具同意任职变更的证明材料。</w:t>
      </w:r>
    </w:p>
    <w:p w14:paraId="088356BD">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若我公司拟派项目经理放弃在其他项目中标或拟中标的将提供：①经中标或拟中标的其他项目建设单位同意的放弃中标函。</w:t>
      </w:r>
    </w:p>
    <w:p w14:paraId="3FCA46C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color w:val="auto"/>
          <w:szCs w:val="21"/>
          <w:highlight w:val="none"/>
          <w:lang w:eastAsia="zh-CN"/>
        </w:rPr>
        <w:t>贵单位</w:t>
      </w:r>
      <w:r>
        <w:rPr>
          <w:rFonts w:hint="eastAsia" w:ascii="宋体" w:hAnsi="宋体"/>
          <w:color w:val="auto"/>
          <w:szCs w:val="21"/>
          <w:highlight w:val="none"/>
        </w:rPr>
        <w:t>。相关岗位管理人员应持有建设行政主管部门要求的岗位证书，并提供我公司为其缴纳的养老保险证明材料。中标后不能满足该要求的，取消我公司中标资格，给</w:t>
      </w:r>
      <w:r>
        <w:rPr>
          <w:rFonts w:hint="eastAsia" w:ascii="宋体" w:hAnsi="宋体"/>
          <w:color w:val="auto"/>
          <w:szCs w:val="21"/>
          <w:highlight w:val="none"/>
          <w:lang w:eastAsia="zh-CN"/>
        </w:rPr>
        <w:t>贵单位</w:t>
      </w:r>
      <w:r>
        <w:rPr>
          <w:rFonts w:hint="eastAsia" w:ascii="宋体" w:hAnsi="宋体"/>
          <w:color w:val="auto"/>
          <w:szCs w:val="21"/>
          <w:highlight w:val="none"/>
        </w:rPr>
        <w:t>造成损失的，我公司依法承担违约赔偿责任。</w:t>
      </w:r>
    </w:p>
    <w:p w14:paraId="013D9283">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4、我公司在资格审查部分中提供的相关证明材料真实有效，不存在弄虚作假情形。</w:t>
      </w:r>
      <w:r>
        <w:rPr>
          <w:rFonts w:hint="eastAsia" w:ascii="宋体" w:hAnsi="宋体"/>
          <w:color w:val="auto"/>
          <w:szCs w:val="21"/>
          <w:highlight w:val="none"/>
          <w:u w:val="single"/>
          <w:lang w:eastAsia="zh-CN"/>
        </w:rPr>
        <w:t>贵单位</w:t>
      </w:r>
      <w:r>
        <w:rPr>
          <w:rFonts w:hint="eastAsia" w:ascii="宋体" w:hAnsi="宋体"/>
          <w:color w:val="auto"/>
          <w:szCs w:val="21"/>
          <w:highlight w:val="none"/>
          <w:u w:val="single"/>
        </w:rPr>
        <w:t>在合同签订前均有权对我</w:t>
      </w:r>
      <w:r>
        <w:rPr>
          <w:rFonts w:hint="eastAsia" w:ascii="宋体" w:hAnsi="宋体"/>
          <w:color w:val="auto"/>
          <w:szCs w:val="21"/>
          <w:highlight w:val="none"/>
          <w:u w:val="single"/>
          <w:lang w:eastAsia="zh-CN"/>
        </w:rPr>
        <w:t>公</w:t>
      </w:r>
      <w:r>
        <w:rPr>
          <w:rFonts w:hint="eastAsia" w:ascii="宋体" w:hAnsi="宋体"/>
          <w:color w:val="auto"/>
          <w:szCs w:val="21"/>
          <w:highlight w:val="none"/>
          <w:u w:val="single"/>
        </w:rPr>
        <w:t>司提供的资料进行核实，若发现弄虚作假，</w:t>
      </w:r>
      <w:r>
        <w:rPr>
          <w:rFonts w:hint="eastAsia" w:ascii="宋体" w:hAnsi="宋体"/>
          <w:color w:val="auto"/>
          <w:szCs w:val="21"/>
          <w:highlight w:val="none"/>
          <w:u w:val="single"/>
          <w:lang w:eastAsia="zh-CN"/>
        </w:rPr>
        <w:t>按相关规定</w:t>
      </w:r>
      <w:r>
        <w:rPr>
          <w:rFonts w:hint="eastAsia" w:ascii="宋体" w:hAnsi="宋体"/>
          <w:color w:val="auto"/>
          <w:szCs w:val="21"/>
          <w:highlight w:val="none"/>
          <w:u w:val="single"/>
        </w:rPr>
        <w:t>取消</w:t>
      </w:r>
      <w:r>
        <w:rPr>
          <w:rFonts w:hint="eastAsia" w:ascii="宋体" w:hAnsi="宋体"/>
          <w:color w:val="auto"/>
          <w:szCs w:val="21"/>
          <w:highlight w:val="none"/>
          <w:u w:val="single"/>
          <w:lang w:eastAsia="zh-CN"/>
        </w:rPr>
        <w:t>我公司</w:t>
      </w:r>
      <w:r>
        <w:rPr>
          <w:rFonts w:hint="eastAsia" w:ascii="宋体" w:hAnsi="宋体"/>
          <w:color w:val="auto"/>
          <w:szCs w:val="21"/>
          <w:highlight w:val="none"/>
          <w:u w:val="single"/>
        </w:rPr>
        <w:t>中标资格，并按相关法律法规报招标投标监督部门，投标保证金不予退还，我</w:t>
      </w:r>
      <w:r>
        <w:rPr>
          <w:rFonts w:hint="eastAsia" w:ascii="宋体" w:hAnsi="宋体"/>
          <w:color w:val="auto"/>
          <w:szCs w:val="21"/>
          <w:highlight w:val="none"/>
          <w:u w:val="single"/>
          <w:lang w:eastAsia="zh-CN"/>
        </w:rPr>
        <w:t>公</w:t>
      </w:r>
      <w:r>
        <w:rPr>
          <w:rFonts w:hint="eastAsia" w:ascii="宋体" w:hAnsi="宋体"/>
          <w:color w:val="auto"/>
          <w:szCs w:val="21"/>
          <w:highlight w:val="none"/>
          <w:u w:val="single"/>
        </w:rPr>
        <w:t>司自愿承担因此造成的相关责任并赔偿相应损失</w:t>
      </w:r>
      <w:r>
        <w:rPr>
          <w:rFonts w:hint="eastAsia" w:ascii="宋体" w:hAnsi="宋体"/>
          <w:color w:val="auto"/>
          <w:szCs w:val="21"/>
          <w:highlight w:val="none"/>
        </w:rPr>
        <w:t>。</w:t>
      </w:r>
    </w:p>
    <w:p w14:paraId="18C4ADF0">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5、我公司不存在第二章 投标人须知第 1.4.3 项规定的任何一种情形。</w:t>
      </w:r>
    </w:p>
    <w:p w14:paraId="74269F57">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6、我公司的投标文件符合第二章 投标人须知第 1.3.1 项的规定。</w:t>
      </w:r>
    </w:p>
    <w:p w14:paraId="4F201F9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7、我公司的投标文件符合第四章 合同条款及格式规定，投标文件中没有</w:t>
      </w:r>
      <w:r>
        <w:rPr>
          <w:rFonts w:hint="eastAsia" w:ascii="宋体" w:hAnsi="宋体"/>
          <w:color w:val="auto"/>
          <w:szCs w:val="21"/>
          <w:highlight w:val="none"/>
          <w:lang w:eastAsia="zh-CN"/>
        </w:rPr>
        <w:t>贵单位</w:t>
      </w:r>
      <w:r>
        <w:rPr>
          <w:rFonts w:hint="eastAsia" w:ascii="宋体" w:hAnsi="宋体"/>
          <w:color w:val="auto"/>
          <w:szCs w:val="21"/>
          <w:highlight w:val="none"/>
        </w:rPr>
        <w:t>不能接受的条件。</w:t>
      </w:r>
    </w:p>
    <w:p w14:paraId="6F4B4483">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8、我公司的投标文件符合第七章 技术标准和要求（如有）。</w:t>
      </w:r>
    </w:p>
    <w:p w14:paraId="1F2AD65F">
      <w:pPr>
        <w:snapToGrid w:val="0"/>
        <w:spacing w:line="3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9、我公司接受招标文件中关于“不平衡报价”的相关约定（如有）。</w:t>
      </w:r>
    </w:p>
    <w:p w14:paraId="4CEA5EAF">
      <w:pPr>
        <w:snapToGrid w:val="0"/>
        <w:spacing w:line="38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10、我公司接受招标文件中关于“不允许负数报价”的相关要求（如有）。</w:t>
      </w:r>
    </w:p>
    <w:p w14:paraId="3A618807">
      <w:pPr>
        <w:keepNext w:val="0"/>
        <w:keepLines w:val="0"/>
        <w:pageBreakBefore w:val="0"/>
        <w:widowControl w:val="0"/>
        <w:kinsoku/>
        <w:wordWrap/>
        <w:overflowPunct/>
        <w:topLinePunct w:val="0"/>
        <w:bidi w:val="0"/>
        <w:snapToGrid w:val="0"/>
        <w:spacing w:line="380" w:lineRule="exact"/>
        <w:ind w:firstLine="420" w:firstLineChars="200"/>
        <w:textAlignment w:val="auto"/>
        <w:rPr>
          <w:rFonts w:hint="default" w:ascii="宋体" w:hAnsi="宋体"/>
          <w:color w:val="auto"/>
          <w:szCs w:val="21"/>
          <w:highlight w:val="none"/>
          <w:lang w:val="en-US"/>
        </w:rPr>
      </w:pPr>
    </w:p>
    <w:p w14:paraId="410B3E77">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p>
    <w:p w14:paraId="2EA0C9F1">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380" w:lineRule="exact"/>
        <w:ind w:firstLine="420" w:firstLineChars="200"/>
        <w:jc w:val="left"/>
        <w:textAlignment w:val="auto"/>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40B6259D">
      <w:pPr>
        <w:keepNext w:val="0"/>
        <w:keepLines w:val="0"/>
        <w:pageBreakBefore w:val="0"/>
        <w:widowControl w:val="0"/>
        <w:tabs>
          <w:tab w:val="left" w:pos="6300"/>
        </w:tabs>
        <w:kinsoku/>
        <w:wordWrap/>
        <w:overflowPunct/>
        <w:topLinePunct w:val="0"/>
        <w:autoSpaceDE w:val="0"/>
        <w:autoSpaceDN w:val="0"/>
        <w:bidi w:val="0"/>
        <w:adjustRightInd w:val="0"/>
        <w:snapToGrid w:val="0"/>
        <w:spacing w:line="380" w:lineRule="exact"/>
        <w:ind w:firstLine="420" w:firstLineChars="200"/>
        <w:jc w:val="left"/>
        <w:textAlignment w:val="auto"/>
        <w:rPr>
          <w:rFonts w:hint="eastAsia"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或盖章）</w:t>
      </w:r>
    </w:p>
    <w:p w14:paraId="7924D742">
      <w:pPr>
        <w:keepNext w:val="0"/>
        <w:keepLines w:val="0"/>
        <w:pageBreakBefore w:val="0"/>
        <w:widowControl w:val="0"/>
        <w:kinsoku/>
        <w:wordWrap/>
        <w:overflowPunct/>
        <w:topLinePunct w:val="0"/>
        <w:bidi w:val="0"/>
        <w:snapToGrid w:val="0"/>
        <w:spacing w:line="380" w:lineRule="exact"/>
        <w:ind w:firstLine="420" w:firstLineChars="200"/>
        <w:jc w:val="right"/>
        <w:textAlignment w:val="auto"/>
        <w:rPr>
          <w:rFonts w:hint="eastAsia" w:ascii="宋体" w:hAnsi="宋体"/>
          <w:color w:val="auto"/>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0BCF6CEE">
      <w:pPr>
        <w:rPr>
          <w:rFonts w:hint="eastAsia"/>
          <w:color w:val="auto"/>
          <w:highlight w:val="none"/>
        </w:rPr>
      </w:pPr>
    </w:p>
    <w:p w14:paraId="2B7FA117">
      <w:pPr>
        <w:rPr>
          <w:rFonts w:hint="eastAsia"/>
          <w:color w:val="auto"/>
          <w:highlight w:val="none"/>
        </w:rPr>
      </w:pPr>
    </w:p>
    <w:p w14:paraId="2AD942B9">
      <w:pPr>
        <w:pStyle w:val="5"/>
        <w:spacing w:before="0" w:line="360" w:lineRule="auto"/>
        <w:jc w:val="center"/>
        <w:rPr>
          <w:rFonts w:hint="eastAsia" w:ascii="宋体" w:hAnsi="宋体"/>
          <w:b w:val="0"/>
          <w:color w:val="auto"/>
          <w:highlight w:val="none"/>
        </w:rPr>
      </w:pPr>
      <w:bookmarkStart w:id="2227" w:name="_Toc27983333"/>
      <w:r>
        <w:rPr>
          <w:rFonts w:ascii="宋体" w:hAnsi="宋体"/>
          <w:b w:val="0"/>
          <w:bCs w:val="0"/>
          <w:color w:val="auto"/>
          <w:sz w:val="21"/>
          <w:szCs w:val="24"/>
          <w:highlight w:val="none"/>
        </w:rPr>
        <w:br w:type="page"/>
      </w:r>
      <w:bookmarkStart w:id="2228" w:name="_Toc16171"/>
      <w:bookmarkStart w:id="2229" w:name="_Toc6666"/>
      <w:r>
        <w:rPr>
          <w:rFonts w:hint="eastAsia" w:ascii="宋体" w:hAnsi="宋体"/>
          <w:b w:val="0"/>
          <w:color w:val="auto"/>
          <w:highlight w:val="none"/>
        </w:rPr>
        <w:t>（</w:t>
      </w:r>
      <w:r>
        <w:rPr>
          <w:rFonts w:hint="eastAsia" w:ascii="宋体" w:hAnsi="宋体"/>
          <w:b w:val="0"/>
          <w:color w:val="auto"/>
          <w:highlight w:val="none"/>
          <w:lang w:val="en-US" w:eastAsia="zh-CN"/>
        </w:rPr>
        <w:t>五</w:t>
      </w:r>
      <w:r>
        <w:rPr>
          <w:rFonts w:hint="eastAsia" w:ascii="宋体" w:hAnsi="宋体"/>
          <w:b w:val="0"/>
          <w:color w:val="auto"/>
          <w:highlight w:val="none"/>
        </w:rPr>
        <w:t>）其他资料</w:t>
      </w:r>
      <w:bookmarkEnd w:id="2227"/>
      <w:bookmarkEnd w:id="2228"/>
      <w:bookmarkEnd w:id="2229"/>
    </w:p>
    <w:p w14:paraId="7378B3A7">
      <w:pPr>
        <w:pStyle w:val="2"/>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 投标保证金</w:t>
      </w:r>
    </w:p>
    <w:p w14:paraId="08EB83E6">
      <w:pPr>
        <w:pStyle w:val="2"/>
        <w:ind w:firstLine="420" w:firstLineChars="200"/>
        <w:rPr>
          <w:rFonts w:hint="eastAsia" w:ascii="宋体" w:hAnsi="宋体"/>
          <w:i/>
          <w:color w:val="auto"/>
          <w:szCs w:val="21"/>
          <w:highlight w:val="none"/>
        </w:rPr>
      </w:pPr>
      <w:r>
        <w:rPr>
          <w:rFonts w:hint="eastAsia" w:ascii="宋体" w:hAnsi="宋体"/>
          <w:i/>
          <w:color w:val="auto"/>
          <w:szCs w:val="21"/>
          <w:highlight w:val="none"/>
        </w:rPr>
        <w:t>[提示：以转账支票或电汇形式交纳投标保证金的提供以下资料]</w:t>
      </w:r>
    </w:p>
    <w:p w14:paraId="32396522">
      <w:pPr>
        <w:pStyle w:val="2"/>
        <w:ind w:firstLine="420" w:firstLineChars="200"/>
        <w:rPr>
          <w:rFonts w:hint="eastAsia" w:ascii="宋体" w:hAnsi="宋体"/>
          <w:color w:val="auto"/>
          <w:szCs w:val="21"/>
          <w:highlight w:val="none"/>
        </w:rPr>
      </w:pPr>
      <w:r>
        <w:rPr>
          <w:rFonts w:hint="eastAsia" w:ascii="宋体" w:hAnsi="宋体"/>
          <w:color w:val="auto"/>
          <w:szCs w:val="21"/>
          <w:highlight w:val="none"/>
        </w:rPr>
        <w:t>（1）企业基本账户开户证明文件。</w:t>
      </w:r>
    </w:p>
    <w:p w14:paraId="6C9E517C">
      <w:pPr>
        <w:spacing w:line="240" w:lineRule="auto"/>
        <w:ind w:firstLine="0" w:firstLineChars="0"/>
        <w:rPr>
          <w:rFonts w:hint="eastAsia" w:ascii="宋体" w:hAnsi="宋体"/>
          <w:color w:val="auto"/>
          <w:szCs w:val="21"/>
          <w:highlight w:val="none"/>
        </w:rPr>
      </w:pPr>
      <w:r>
        <w:rPr>
          <w:rFonts w:hint="eastAsia" w:ascii="宋体" w:hAnsi="宋体"/>
          <w:color w:val="auto"/>
          <w:szCs w:val="21"/>
          <w:highlight w:val="none"/>
        </w:rPr>
        <w:br w:type="page"/>
      </w:r>
    </w:p>
    <w:p w14:paraId="50744486">
      <w:pPr>
        <w:spacing w:line="240" w:lineRule="auto"/>
        <w:ind w:firstLine="0" w:firstLineChars="0"/>
        <w:jc w:val="right"/>
        <w:rPr>
          <w:rFonts w:hint="eastAsia" w:ascii="宋体" w:hAnsi="宋体"/>
          <w:color w:val="auto"/>
          <w:szCs w:val="21"/>
          <w:highlight w:val="none"/>
          <w:lang w:val="en-US" w:eastAsia="zh-CN"/>
        </w:rPr>
      </w:pPr>
    </w:p>
    <w:p w14:paraId="4F287EB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 纸质</w:t>
      </w:r>
      <w:r>
        <w:rPr>
          <w:rFonts w:hint="eastAsia" w:ascii="宋体" w:hAnsi="宋体"/>
          <w:color w:val="auto"/>
          <w:szCs w:val="21"/>
          <w:highlight w:val="none"/>
          <w:lang w:val="en-US" w:eastAsia="zh-CN"/>
        </w:rPr>
        <w:t>投标</w:t>
      </w:r>
      <w:r>
        <w:rPr>
          <w:rFonts w:hint="eastAsia" w:ascii="宋体" w:hAnsi="宋体"/>
          <w:color w:val="auto"/>
          <w:szCs w:val="21"/>
          <w:highlight w:val="none"/>
        </w:rPr>
        <w:t>保函</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p>
    <w:p w14:paraId="7C8A521D">
      <w:pPr>
        <w:keepNext w:val="0"/>
        <w:keepLines w:val="0"/>
        <w:pageBreakBefore w:val="0"/>
        <w:widowControl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投标保函示范文本</w:t>
      </w:r>
    </w:p>
    <w:p w14:paraId="5857F66F">
      <w:pPr>
        <w:keepNext w:val="0"/>
        <w:keepLines w:val="0"/>
        <w:pageBreakBefore w:val="0"/>
        <w:widowControl w:val="0"/>
        <w:kinsoku/>
        <w:wordWrap w:val="0"/>
        <w:overflowPunct/>
        <w:topLinePunct w:val="0"/>
        <w:autoSpaceDE/>
        <w:autoSpaceDN/>
        <w:bidi w:val="0"/>
        <w:adjustRightInd/>
        <w:snapToGrid/>
        <w:spacing w:line="360" w:lineRule="auto"/>
        <w:ind w:right="0" w:rightChars="0"/>
        <w:jc w:val="righ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9E0EE82">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14:paraId="313F236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6BEEA70C">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14:paraId="2780EE99">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266F49C8">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14:paraId="4F81ECD3">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4BC481B9">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u w:val="single"/>
        </w:rPr>
      </w:pPr>
    </w:p>
    <w:p w14:paraId="75CED40A">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r>
        <w:rPr>
          <w:rFonts w:hint="eastAsia" w:ascii="宋体" w:hAnsi="宋体" w:eastAsia="宋体" w:cs="宋体"/>
          <w:color w:val="auto"/>
          <w:kern w:val="2"/>
          <w:sz w:val="21"/>
          <w:szCs w:val="21"/>
          <w:highlight w:val="none"/>
          <w:lang w:eastAsia="zh-CN"/>
        </w:rPr>
        <w:t>：</w:t>
      </w:r>
    </w:p>
    <w:p w14:paraId="777DC4BE">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396" w:firstLineChars="200"/>
        <w:jc w:val="both"/>
        <w:textAlignment w:val="auto"/>
        <w:outlineLvl w:val="9"/>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我方（即“开立人”）已获得通知，本保函申请人（即“投标人”）已响应贵方于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spacing w:val="-6"/>
          <w:kern w:val="0"/>
          <w:sz w:val="21"/>
          <w:szCs w:val="21"/>
          <w:highlight w:val="none"/>
          <w:lang w:val="en-US" w:eastAsia="zh-CN" w:bidi="ar-SA"/>
        </w:rPr>
        <w:t>就</w:t>
      </w:r>
      <w:r>
        <w:rPr>
          <w:rFonts w:hint="eastAsia" w:ascii="宋体" w:hAnsi="宋体" w:eastAsia="宋体" w:cs="宋体"/>
          <w:color w:val="auto"/>
          <w:spacing w:val="-6"/>
          <w:kern w:val="0"/>
          <w:sz w:val="21"/>
          <w:szCs w:val="21"/>
          <w:highlight w:val="none"/>
          <w:u w:val="single"/>
          <w:lang w:val="en-US" w:eastAsia="zh-CN" w:bidi="ar-SA"/>
        </w:rPr>
        <w:t xml:space="preserve">                   </w:t>
      </w:r>
      <w:r>
        <w:rPr>
          <w:rFonts w:hint="eastAsia" w:ascii="宋体" w:hAnsi="宋体" w:eastAsia="宋体" w:cs="宋体"/>
          <w:color w:val="auto"/>
          <w:spacing w:val="-6"/>
          <w:kern w:val="0"/>
          <w:sz w:val="21"/>
          <w:szCs w:val="21"/>
          <w:highlight w:val="none"/>
          <w:lang w:val="en-US" w:eastAsia="zh-CN" w:bidi="ar-SA"/>
        </w:rPr>
        <w:t>（以下简称“本工程”）发出的招标文件以及后续发布的答疑补遗文件，并拟向招标人（即“受益人”）提交投标文件（即“基础交易”）。</w:t>
      </w:r>
    </w:p>
    <w:p w14:paraId="0BADAF5F">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元（¥</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14:paraId="643FC64D">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二、我方在投标人发生以下情形时承担保证担保责任：</w:t>
      </w:r>
    </w:p>
    <w:p w14:paraId="62B3D2BE">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Lines="0"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（1）投标人在开标后至投标有效期满之前撤销投标的； </w:t>
      </w:r>
    </w:p>
    <w:p w14:paraId="1A322FA4">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（2）投标人在收到中标通知后，不能或拒绝在中标通知书规定的时间内与贵方签订合同； </w:t>
      </w:r>
    </w:p>
    <w:p w14:paraId="65AB106F">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（3）投标人在与贵方签订合同前，未在规定的时间内提交符合招标文件要求的履约担保；</w:t>
      </w:r>
    </w:p>
    <w:p w14:paraId="300FB118">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（4）投标人违反招标文件规定的其他情形。</w:t>
      </w:r>
    </w:p>
    <w:p w14:paraId="35266F93">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三、本保函为不可撤销、不可转让的见索即付保函。本保函有效期自开立之日起至投标有效期届满之日后的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止（提示：建议</w:t>
      </w:r>
      <w:r>
        <w:rPr>
          <w:rFonts w:hint="eastAsia" w:ascii="宋体" w:hAnsi="宋体" w:eastAsia="宋体" w:cs="宋体"/>
          <w:color w:val="auto"/>
          <w:kern w:val="2"/>
          <w:sz w:val="21"/>
          <w:szCs w:val="21"/>
          <w:highlight w:val="none"/>
          <w:lang w:val="en-US" w:eastAsia="zh-CN"/>
        </w:rPr>
        <w:t>30日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。投标有效期延长的，本保函有效期相应顺延，最迟不超过</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（提示：建议按保函有效期不超过</w:t>
      </w:r>
      <w:r>
        <w:rPr>
          <w:rFonts w:hint="eastAsia" w:ascii="宋体" w:hAnsi="宋体" w:eastAsia="宋体" w:cs="宋体"/>
          <w:color w:val="auto"/>
          <w:kern w:val="2"/>
          <w:sz w:val="21"/>
          <w:szCs w:val="21"/>
          <w:highlight w:val="none"/>
          <w:lang w:val="en-US" w:eastAsia="zh-CN"/>
        </w:rPr>
        <w:t>270日考虑</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p>
    <w:p w14:paraId="4A088379">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四、</w:t>
      </w:r>
      <w:r>
        <w:rPr>
          <w:rFonts w:hint="eastAsia" w:ascii="宋体" w:hAnsi="宋体" w:eastAsia="宋体" w:cs="宋体"/>
          <w:color w:val="auto"/>
          <w:kern w:val="2"/>
          <w:sz w:val="21"/>
          <w:szCs w:val="21"/>
          <w:highlight w:val="none"/>
        </w:rPr>
        <w:t>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个工作</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w:t>
      </w:r>
      <w:r>
        <w:rPr>
          <w:rFonts w:hint="eastAsia" w:ascii="宋体" w:hAnsi="宋体" w:eastAsia="宋体" w:cs="宋体"/>
          <w:color w:val="auto"/>
          <w:kern w:val="2"/>
          <w:sz w:val="21"/>
          <w:szCs w:val="21"/>
          <w:highlight w:val="none"/>
          <w:lang w:val="en-US" w:eastAsia="zh-CN"/>
        </w:rPr>
        <w:t>10—15个工作日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内无条件支付，前述书面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14:paraId="77BB1459">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14:paraId="702C32D8">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14:paraId="1C78B090">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（3）载明申请人违反招投标文件规定的义务内容和具体条款；</w:t>
      </w:r>
    </w:p>
    <w:p w14:paraId="3B6F6762">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（4）声明不存在招标文件规定免除申请人或我方支付责任的情形；</w:t>
      </w:r>
    </w:p>
    <w:p w14:paraId="6E532090">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lang w:val="en-US" w:eastAsia="zh-CN"/>
        </w:rPr>
        <w:t>5</w:t>
      </w:r>
      <w:r>
        <w:rPr>
          <w:rFonts w:hint="eastAsia" w:ascii="宋体" w:hAnsi="宋体" w:eastAsia="宋体" w:cs="宋体"/>
          <w:color w:val="auto"/>
          <w:spacing w:val="0"/>
          <w:kern w:val="2"/>
          <w:sz w:val="21"/>
          <w:szCs w:val="21"/>
          <w:highlight w:val="none"/>
          <w:lang w:eastAsia="zh-CN"/>
        </w:rPr>
        <w:t>）索赔</w:t>
      </w:r>
      <w:r>
        <w:rPr>
          <w:rFonts w:hint="eastAsia" w:ascii="宋体" w:hAnsi="宋体" w:eastAsia="宋体" w:cs="宋体"/>
          <w:color w:val="auto"/>
          <w:spacing w:val="0"/>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w:t>
      </w:r>
    </w:p>
    <w:p w14:paraId="76BB3B5D">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受益人发出的书面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通知应由其为鉴明受益人法定代表人或授权代理人签</w:t>
      </w:r>
      <w:r>
        <w:rPr>
          <w:rFonts w:hint="eastAsia" w:ascii="宋体" w:hAnsi="宋体" w:eastAsia="宋体" w:cs="宋体"/>
          <w:color w:val="auto"/>
          <w:kern w:val="2"/>
          <w:sz w:val="21"/>
          <w:szCs w:val="21"/>
          <w:highlight w:val="none"/>
          <w:lang w:eastAsia="zh-CN"/>
        </w:rPr>
        <w:t>名</w:t>
      </w:r>
      <w:r>
        <w:rPr>
          <w:rFonts w:hint="eastAsia" w:ascii="宋体" w:hAnsi="宋体" w:eastAsia="宋体" w:cs="宋体"/>
          <w:color w:val="auto"/>
          <w:kern w:val="2"/>
          <w:sz w:val="21"/>
          <w:szCs w:val="21"/>
          <w:highlight w:val="none"/>
        </w:rPr>
        <w:t>并加盖公章。</w:t>
      </w:r>
    </w:p>
    <w:p w14:paraId="711469D0">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w:t>
      </w:r>
      <w:r>
        <w:rPr>
          <w:rFonts w:hint="eastAsia" w:ascii="宋体" w:hAnsi="宋体" w:eastAsia="宋体" w:cs="宋体"/>
          <w:color w:val="auto"/>
          <w:kern w:val="2"/>
          <w:sz w:val="21"/>
          <w:szCs w:val="21"/>
          <w:highlight w:val="none"/>
          <w:lang w:eastAsia="zh-CN"/>
        </w:rPr>
        <w:t>贵方</w:t>
      </w:r>
      <w:r>
        <w:rPr>
          <w:rFonts w:hint="eastAsia" w:ascii="宋体" w:hAnsi="宋体" w:eastAsia="宋体" w:cs="宋体"/>
          <w:color w:val="auto"/>
          <w:kern w:val="2"/>
          <w:sz w:val="21"/>
          <w:szCs w:val="21"/>
          <w:highlight w:val="none"/>
        </w:rPr>
        <w:t>未经我方书面同意转让本保函或其项下任何权利，对我方不发生法律效力。</w:t>
      </w:r>
    </w:p>
    <w:p w14:paraId="1CFE0DD1">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六、本保函项下的基础交易不成立、不生效、无效、被撤销、被解除，不影响本保函的独立有效。 </w:t>
      </w:r>
    </w:p>
    <w:p w14:paraId="0A6AC868">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七、受益人应在本保函到期后的</w:t>
      </w:r>
      <w:r>
        <w:rPr>
          <w:rFonts w:hint="eastAsia" w:ascii="宋体" w:hAnsi="宋体" w:eastAsia="宋体" w:cs="宋体"/>
          <w:color w:val="auto"/>
          <w:kern w:val="2"/>
          <w:sz w:val="21"/>
          <w:szCs w:val="21"/>
          <w:highlight w:val="none"/>
          <w:lang w:val="en-US" w:eastAsia="zh-CN"/>
        </w:rPr>
        <w:t>七</w:t>
      </w:r>
      <w:r>
        <w:rPr>
          <w:rFonts w:hint="eastAsia" w:ascii="宋体" w:hAnsi="宋体" w:eastAsia="宋体" w:cs="宋体"/>
          <w:color w:val="auto"/>
          <w:kern w:val="2"/>
          <w:sz w:val="21"/>
          <w:szCs w:val="21"/>
          <w:highlight w:val="none"/>
          <w:lang w:eastAsia="zh-CN"/>
        </w:rPr>
        <w:t>个工作</w:t>
      </w:r>
      <w:r>
        <w:rPr>
          <w:rFonts w:hint="eastAsia" w:ascii="宋体" w:hAnsi="宋体" w:eastAsia="宋体" w:cs="宋体"/>
          <w:color w:val="auto"/>
          <w:kern w:val="2"/>
          <w:sz w:val="21"/>
          <w:szCs w:val="21"/>
          <w:highlight w:val="none"/>
        </w:rPr>
        <w:t>日内将本保函正本退回我方注销，但是不论受益人是否按此要求将本保函正本退回我方，我方在本保函项下的义务和责任均在保函有效期到期后自动消灭。</w:t>
      </w:r>
    </w:p>
    <w:p w14:paraId="390E930D">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八、</w:t>
      </w:r>
      <w:r>
        <w:rPr>
          <w:rFonts w:hint="eastAsia" w:ascii="宋体" w:hAnsi="宋体" w:eastAsia="宋体" w:cs="宋体"/>
          <w:color w:val="auto"/>
          <w:kern w:val="2"/>
          <w:sz w:val="21"/>
          <w:szCs w:val="21"/>
          <w:highlight w:val="none"/>
          <w:lang w:eastAsia="zh-CN"/>
        </w:rPr>
        <w:t>本保函的开具是我方真实意思表示，符合法律法规规定，我方同意遵守本保函约定并无条件承担担保责任。本保函与其他规定或条款不一致时，以本保函约定为准。</w:t>
      </w:r>
    </w:p>
    <w:p w14:paraId="47B980F5">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九、</w:t>
      </w:r>
      <w:r>
        <w:rPr>
          <w:rFonts w:hint="eastAsia" w:ascii="宋体" w:hAnsi="宋体" w:eastAsia="宋体" w:cs="宋体"/>
          <w:color w:val="auto"/>
          <w:kern w:val="2"/>
          <w:sz w:val="21"/>
          <w:szCs w:val="21"/>
          <w:highlight w:val="none"/>
        </w:rPr>
        <w:t>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25FF733B">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十</w:t>
      </w:r>
      <w:r>
        <w:rPr>
          <w:rFonts w:hint="eastAsia" w:ascii="宋体" w:hAnsi="宋体" w:eastAsia="宋体" w:cs="宋体"/>
          <w:color w:val="auto"/>
          <w:kern w:val="2"/>
          <w:sz w:val="21"/>
          <w:szCs w:val="21"/>
          <w:highlight w:val="none"/>
        </w:rPr>
        <w:t>、本保函自我方法定代表人或授权代表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并加盖公章之日起生效。</w:t>
      </w:r>
    </w:p>
    <w:p w14:paraId="4E8F0A7E">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eastAsia="zh-CN"/>
        </w:rPr>
        <w:t>十一、本保函在重庆市辖区范围内的核验地点：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14:paraId="265821E6">
      <w:pPr>
        <w:keepNext w:val="0"/>
        <w:keepLines w:val="0"/>
        <w:pageBreakBefore w:val="0"/>
        <w:widowControl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p>
    <w:p w14:paraId="207EE7EC">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（公章）</w:t>
      </w:r>
    </w:p>
    <w:p w14:paraId="3532286D">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w:t>
      </w:r>
      <w:r>
        <w:rPr>
          <w:rFonts w:hint="eastAsia" w:ascii="宋体" w:hAnsi="宋体" w:eastAsia="宋体" w:cs="宋体"/>
          <w:color w:val="auto"/>
          <w:kern w:val="2"/>
          <w:sz w:val="21"/>
          <w:szCs w:val="21"/>
          <w:highlight w:val="none"/>
          <w:lang w:eastAsia="zh-CN"/>
        </w:rPr>
        <w:t>代表</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w:t>
      </w:r>
    </w:p>
    <w:p w14:paraId="42450225">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7761C442">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73DB9ED3">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7B86D646">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0C519DC0">
      <w:pPr>
        <w:spacing w:line="360" w:lineRule="auto"/>
        <w:ind w:firstLine="420" w:firstLineChars="200"/>
        <w:rPr>
          <w:rFonts w:ascii="宋体" w:hAnsi="宋体"/>
          <w:color w:val="auto"/>
          <w:szCs w:val="21"/>
          <w:highlight w:val="none"/>
        </w:rPr>
      </w:pPr>
      <w:r>
        <w:rPr>
          <w:rFonts w:hint="eastAsia" w:ascii="宋体" w:hAnsi="宋体" w:eastAsia="宋体" w:cs="宋体"/>
          <w:color w:val="auto"/>
          <w:kern w:val="2"/>
          <w:sz w:val="21"/>
          <w:szCs w:val="21"/>
          <w:highlight w:val="none"/>
        </w:rPr>
        <w:t xml:space="preserve">开立时间：    年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月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日</w:t>
      </w:r>
      <w:r>
        <w:rPr>
          <w:rFonts w:hint="eastAsia" w:ascii="宋体" w:hAnsi="宋体"/>
          <w:color w:val="auto"/>
          <w:szCs w:val="21"/>
          <w:highlight w:val="none"/>
        </w:rPr>
        <w:br w:type="page"/>
      </w:r>
    </w:p>
    <w:p w14:paraId="0648922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w:t>
      </w:r>
    </w:p>
    <w:p w14:paraId="7014DD8B">
      <w:pPr>
        <w:spacing w:line="360" w:lineRule="auto"/>
        <w:ind w:firstLine="420" w:firstLineChars="200"/>
        <w:rPr>
          <w:rFonts w:ascii="宋体" w:hAnsi="宋体"/>
          <w:color w:val="auto"/>
          <w:szCs w:val="21"/>
          <w:highlight w:val="none"/>
        </w:rPr>
      </w:pPr>
    </w:p>
    <w:sectPr>
      <w:pgSz w:w="11906" w:h="16838"/>
      <w:pgMar w:top="1304" w:right="1134" w:bottom="1304" w:left="1304"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63E0E56-5290-4C95-AACA-055E98F2ED3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script"/>
    <w:pitch w:val="default"/>
    <w:sig w:usb0="00000000" w:usb1="00000000" w:usb2="00000012"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embedRegular r:id="rId2" w:fontKey="{B299A452-DA62-4172-99E7-7F4AF2029C93}"/>
  </w:font>
  <w:font w:name="Wingdings 2">
    <w:panose1 w:val="05020102010507070707"/>
    <w:charset w:val="02"/>
    <w:family w:val="roman"/>
    <w:pitch w:val="default"/>
    <w:sig w:usb0="00000000" w:usb1="00000000" w:usb2="00000000" w:usb3="00000000" w:csb0="80000000" w:csb1="00000000"/>
    <w:embedRegular r:id="rId3" w:fontKey="{EF3F06A2-3F65-4D15-8D5C-A5EEE2E5D32B}"/>
  </w:font>
  <w:font w:name="Microsoft Sans Serif">
    <w:panose1 w:val="020B0604020202020204"/>
    <w:charset w:val="00"/>
    <w:family w:val="swiss"/>
    <w:pitch w:val="default"/>
    <w:sig w:usb0="E5002EFF" w:usb1="C000605B" w:usb2="00000029" w:usb3="00000000" w:csb0="200101FF" w:csb1="20280000"/>
    <w:embedRegular r:id="rId4" w:fontKey="{3A006D3A-2C82-45BF-B372-D28019E66DE9}"/>
  </w:font>
  <w:font w:name="方正仿宋_GBK">
    <w:panose1 w:val="02000000000000000000"/>
    <w:charset w:val="86"/>
    <w:family w:val="auto"/>
    <w:pitch w:val="default"/>
    <w:sig w:usb0="A00002BF" w:usb1="38CF7CFA" w:usb2="00082016" w:usb3="00000000" w:csb0="00040001" w:csb1="00000000"/>
    <w:embedRegular r:id="rId5" w:fontKey="{047BA9B1-14C9-4299-93E3-1E3C2DE8AC53}"/>
  </w:font>
  <w:font w:name="方正小标宋_GBK">
    <w:panose1 w:val="03000509000000000000"/>
    <w:charset w:val="86"/>
    <w:family w:val="auto"/>
    <w:pitch w:val="default"/>
    <w:sig w:usb0="00000001" w:usb1="080E0000" w:usb2="00000000" w:usb3="00000000" w:csb0="00040000" w:csb1="00000000"/>
    <w:embedRegular r:id="rId6" w:fontKey="{8D821F6D-35F8-4325-9845-B40C2867983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FC326">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- 2 -</w:t>
    </w:r>
    <w:r>
      <w:fldChar w:fldCharType="end"/>
    </w:r>
  </w:p>
  <w:p w14:paraId="45A4F6A2">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B79DE">
    <w:pPr>
      <w:pStyle w:val="29"/>
      <w:jc w:val="center"/>
    </w:pPr>
    <w:r>
      <w:t xml:space="preserve">- </w:t>
    </w:r>
    <w:r>
      <w:fldChar w:fldCharType="begin"/>
    </w:r>
    <w:r>
      <w:instrText xml:space="preserve"> PAGE </w:instrText>
    </w:r>
    <w:r>
      <w:fldChar w:fldCharType="separate"/>
    </w:r>
    <w:r>
      <w:t>20</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2E452">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14:paraId="4E41FED5">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3E9A0">
    <w:pPr>
      <w:tabs>
        <w:tab w:val="center" w:pos="4684"/>
      </w:tabs>
      <w:spacing w:line="183" w:lineRule="auto"/>
      <w:rPr>
        <w:rFonts w:ascii="宋体" w:hAnsi="宋体" w:eastAsia="宋体" w:cs="宋体"/>
        <w:sz w:val="14"/>
        <w:szCs w:val="14"/>
      </w:rPr>
    </w:pPr>
    <w:r>
      <w:rPr>
        <w:sz w:val="1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D04C843">
                          <w:pPr>
                            <w:pStyle w:val="2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My/XLYAQAAsQ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YzL9ctgBAACxAwAADgAAAAAAAAAB&#10;ACAAAAAiAQAAZHJzL2Uyb0RvYy54bWxQSwUGAAAAAAYABgBZAQAAbAUAAAAA&#10;">
              <v:fill on="f" focussize="0,0"/>
              <v:stroke on="f" weight="1.25pt"/>
              <v:imagedata o:title=""/>
              <o:lock v:ext="edit" aspectratio="f"/>
              <v:textbox inset="0mm,0mm,0mm,0mm" style="mso-fit-shape-to-text:t;">
                <w:txbxContent>
                  <w:p w14:paraId="2D04C843">
                    <w:pPr>
                      <w:pStyle w:val="2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0A5E8">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98A60B2">
                          <w:pPr>
                            <w:pStyle w:val="29"/>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DS/3YAQAAsQ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MMNL/dgBAACxAwAADgAAAAAAAAAB&#10;ACAAAAAiAQAAZHJzL2Uyb0RvYy54bWxQSwUGAAAAAAYABgBZAQAAbAUAAAAA&#10;">
              <v:fill on="f" focussize="0,0"/>
              <v:stroke on="f" weight="1.25pt"/>
              <v:imagedata o:title=""/>
              <o:lock v:ext="edit" aspectratio="f"/>
              <v:textbox inset="0mm,0mm,0mm,0mm" style="mso-fit-shape-to-text:t;">
                <w:txbxContent>
                  <w:p w14:paraId="698A60B2">
                    <w:pPr>
                      <w:pStyle w:val="29"/>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729AB">
    <w:pPr>
      <w:spacing w:line="183" w:lineRule="auto"/>
      <w:ind w:left="4671"/>
      <w:rPr>
        <w:rFonts w:ascii="宋体" w:hAnsi="宋体" w:eastAsia="宋体" w:cs="宋体"/>
        <w:sz w:val="16"/>
        <w:szCs w:val="16"/>
      </w:rPr>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3FD1394">
                          <w:pPr>
                            <w:pStyle w:val="29"/>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fill on="f" focussize="0,0"/>
              <v:stroke on="f" weight="1.25pt"/>
              <v:imagedata o:title=""/>
              <o:lock v:ext="edit" aspectratio="f"/>
              <v:textbox inset="0mm,0mm,0mm,0mm" style="mso-fit-shape-to-text:t;">
                <w:txbxContent>
                  <w:p w14:paraId="43FD1394">
                    <w:pPr>
                      <w:pStyle w:val="29"/>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80E90">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04BBFC">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3C04BBFC">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FABE2F7">
      <w:pPr>
        <w:pStyle w:val="34"/>
        <w:ind w:firstLine="360" w:firstLineChars="200"/>
        <w:rPr>
          <w:rFonts w:ascii="Times New Roman" w:hAnsi="Times New Roman" w:cs="Times New Roman"/>
          <w:lang w:eastAsia="zh-C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324B9">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6A97A"/>
    <w:multiLevelType w:val="singleLevel"/>
    <w:tmpl w:val="A956A97A"/>
    <w:lvl w:ilvl="0" w:tentative="0">
      <w:start w:val="5"/>
      <w:numFmt w:val="chineseCounting"/>
      <w:suff w:val="space"/>
      <w:lvlText w:val="第%1章"/>
      <w:lvlJc w:val="left"/>
      <w:rPr>
        <w:rFonts w:hint="eastAsia"/>
      </w:rPr>
    </w:lvl>
  </w:abstractNum>
  <w:abstractNum w:abstractNumId="1">
    <w:nsid w:val="B9F8C5E1"/>
    <w:multiLevelType w:val="singleLevel"/>
    <w:tmpl w:val="B9F8C5E1"/>
    <w:lvl w:ilvl="0" w:tentative="0">
      <w:start w:val="1"/>
      <w:numFmt w:val="decimal"/>
      <w:suff w:val="nothing"/>
      <w:lvlText w:val="%1、"/>
      <w:lvlJc w:val="left"/>
    </w:lvl>
  </w:abstractNum>
  <w:abstractNum w:abstractNumId="2">
    <w:nsid w:val="00000006"/>
    <w:multiLevelType w:val="singleLevel"/>
    <w:tmpl w:val="00000006"/>
    <w:lvl w:ilvl="0" w:tentative="0">
      <w:start w:val="1"/>
      <w:numFmt w:val="decimal"/>
      <w:suff w:val="nothing"/>
      <w:lvlText w:val="（%1）"/>
      <w:lvlJc w:val="left"/>
    </w:lvl>
  </w:abstractNum>
  <w:abstractNum w:abstractNumId="3">
    <w:nsid w:val="61027DAC"/>
    <w:multiLevelType w:val="singleLevel"/>
    <w:tmpl w:val="61027DAC"/>
    <w:lvl w:ilvl="0" w:tentative="0">
      <w:start w:val="1"/>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mirrorMargins w:val="1"/>
  <w:bordersDoNotSurroundHeader w:val="0"/>
  <w:bordersDoNotSurroundFooter w:val="0"/>
  <w:hideSpellingErrors/>
  <w:documentProtection w:enforcement="0"/>
  <w:defaultTabStop w:val="420"/>
  <w:drawingGridHorizontalSpacing w:val="105"/>
  <w:drawingGridVerticalSpacing w:val="158"/>
  <w:displayHorizontalDrawingGridEvery w:val="1"/>
  <w:displayVerticalDrawingGridEvery w:val="2"/>
  <w:noPunctuationKerning w:val="1"/>
  <w:characterSpacingControl w:val="compressPunctuation"/>
  <w:doNotValidateAgainstSchema/>
  <w:doNotDemarcateInvalidXml/>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3YmU3NmM2YzZmZjU3NTNjZWJmMGMwZTM0NzliOWQifQ=="/>
  </w:docVars>
  <w:rsids>
    <w:rsidRoot w:val="00172A27"/>
    <w:rsid w:val="00001345"/>
    <w:rsid w:val="00001A09"/>
    <w:rsid w:val="00001B1E"/>
    <w:rsid w:val="000027C8"/>
    <w:rsid w:val="0000285A"/>
    <w:rsid w:val="00002D86"/>
    <w:rsid w:val="00003A3F"/>
    <w:rsid w:val="00005443"/>
    <w:rsid w:val="00005E79"/>
    <w:rsid w:val="000067A3"/>
    <w:rsid w:val="00014531"/>
    <w:rsid w:val="00014DF1"/>
    <w:rsid w:val="00015333"/>
    <w:rsid w:val="00015C9C"/>
    <w:rsid w:val="0001647D"/>
    <w:rsid w:val="0001650A"/>
    <w:rsid w:val="000165A8"/>
    <w:rsid w:val="0001665A"/>
    <w:rsid w:val="00017F2D"/>
    <w:rsid w:val="00020EB1"/>
    <w:rsid w:val="00021228"/>
    <w:rsid w:val="000215EB"/>
    <w:rsid w:val="00022747"/>
    <w:rsid w:val="00022F4C"/>
    <w:rsid w:val="00023AD6"/>
    <w:rsid w:val="00023B7F"/>
    <w:rsid w:val="00024492"/>
    <w:rsid w:val="00025644"/>
    <w:rsid w:val="00025750"/>
    <w:rsid w:val="0002592F"/>
    <w:rsid w:val="00025DD0"/>
    <w:rsid w:val="0002735F"/>
    <w:rsid w:val="000301A4"/>
    <w:rsid w:val="000316FE"/>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DB4"/>
    <w:rsid w:val="00072AEF"/>
    <w:rsid w:val="00072C40"/>
    <w:rsid w:val="0007377C"/>
    <w:rsid w:val="00073E89"/>
    <w:rsid w:val="00074445"/>
    <w:rsid w:val="00074926"/>
    <w:rsid w:val="000753AE"/>
    <w:rsid w:val="0007662F"/>
    <w:rsid w:val="00077788"/>
    <w:rsid w:val="000777DB"/>
    <w:rsid w:val="00080479"/>
    <w:rsid w:val="00080C91"/>
    <w:rsid w:val="00081E58"/>
    <w:rsid w:val="00084056"/>
    <w:rsid w:val="00084085"/>
    <w:rsid w:val="000843AE"/>
    <w:rsid w:val="00084AD3"/>
    <w:rsid w:val="00085720"/>
    <w:rsid w:val="00085DDD"/>
    <w:rsid w:val="00086F23"/>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F05AB"/>
    <w:rsid w:val="000F091D"/>
    <w:rsid w:val="000F1B68"/>
    <w:rsid w:val="000F2179"/>
    <w:rsid w:val="000F278B"/>
    <w:rsid w:val="000F2955"/>
    <w:rsid w:val="000F2C67"/>
    <w:rsid w:val="000F40C0"/>
    <w:rsid w:val="000F45C8"/>
    <w:rsid w:val="000F4BBE"/>
    <w:rsid w:val="000F50C6"/>
    <w:rsid w:val="000F51EA"/>
    <w:rsid w:val="000F5AD4"/>
    <w:rsid w:val="000F7BB7"/>
    <w:rsid w:val="000F7CF5"/>
    <w:rsid w:val="00100471"/>
    <w:rsid w:val="001019D6"/>
    <w:rsid w:val="00101E5F"/>
    <w:rsid w:val="001025D9"/>
    <w:rsid w:val="00102EBB"/>
    <w:rsid w:val="00104353"/>
    <w:rsid w:val="00105F22"/>
    <w:rsid w:val="001062D4"/>
    <w:rsid w:val="00106436"/>
    <w:rsid w:val="001066B1"/>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362"/>
    <w:rsid w:val="0012259E"/>
    <w:rsid w:val="001228C8"/>
    <w:rsid w:val="00122C0D"/>
    <w:rsid w:val="00122D4D"/>
    <w:rsid w:val="0012481C"/>
    <w:rsid w:val="001269FF"/>
    <w:rsid w:val="001303A1"/>
    <w:rsid w:val="001303B7"/>
    <w:rsid w:val="00131D1B"/>
    <w:rsid w:val="00132B99"/>
    <w:rsid w:val="00132BF1"/>
    <w:rsid w:val="001330BB"/>
    <w:rsid w:val="001339C6"/>
    <w:rsid w:val="00134327"/>
    <w:rsid w:val="001347A9"/>
    <w:rsid w:val="00135872"/>
    <w:rsid w:val="00136173"/>
    <w:rsid w:val="00136D1E"/>
    <w:rsid w:val="001377F8"/>
    <w:rsid w:val="00137F99"/>
    <w:rsid w:val="0014084B"/>
    <w:rsid w:val="001440F2"/>
    <w:rsid w:val="00145318"/>
    <w:rsid w:val="001455A1"/>
    <w:rsid w:val="00145AE6"/>
    <w:rsid w:val="00145F46"/>
    <w:rsid w:val="001460D9"/>
    <w:rsid w:val="001466BF"/>
    <w:rsid w:val="00146976"/>
    <w:rsid w:val="00146C44"/>
    <w:rsid w:val="001477E7"/>
    <w:rsid w:val="00147FD9"/>
    <w:rsid w:val="00150025"/>
    <w:rsid w:val="00150964"/>
    <w:rsid w:val="00150A27"/>
    <w:rsid w:val="00150F2A"/>
    <w:rsid w:val="00152078"/>
    <w:rsid w:val="00154963"/>
    <w:rsid w:val="0015596B"/>
    <w:rsid w:val="00155D1F"/>
    <w:rsid w:val="001561B1"/>
    <w:rsid w:val="00157A5C"/>
    <w:rsid w:val="001600A3"/>
    <w:rsid w:val="0016132F"/>
    <w:rsid w:val="0016174D"/>
    <w:rsid w:val="00162B36"/>
    <w:rsid w:val="0016317C"/>
    <w:rsid w:val="00164DCB"/>
    <w:rsid w:val="00165642"/>
    <w:rsid w:val="00165B64"/>
    <w:rsid w:val="00165D82"/>
    <w:rsid w:val="00166C40"/>
    <w:rsid w:val="00166F24"/>
    <w:rsid w:val="00167BBE"/>
    <w:rsid w:val="00171489"/>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6AD"/>
    <w:rsid w:val="00181796"/>
    <w:rsid w:val="001818BD"/>
    <w:rsid w:val="0018204B"/>
    <w:rsid w:val="00182F9F"/>
    <w:rsid w:val="00184528"/>
    <w:rsid w:val="00184AF6"/>
    <w:rsid w:val="001862DC"/>
    <w:rsid w:val="00186401"/>
    <w:rsid w:val="00186442"/>
    <w:rsid w:val="001866A1"/>
    <w:rsid w:val="001923EA"/>
    <w:rsid w:val="00192735"/>
    <w:rsid w:val="00192FBA"/>
    <w:rsid w:val="00193696"/>
    <w:rsid w:val="00193EC6"/>
    <w:rsid w:val="0019411E"/>
    <w:rsid w:val="001947FB"/>
    <w:rsid w:val="00195720"/>
    <w:rsid w:val="001958B9"/>
    <w:rsid w:val="00196CDD"/>
    <w:rsid w:val="001975C9"/>
    <w:rsid w:val="001A065E"/>
    <w:rsid w:val="001A189F"/>
    <w:rsid w:val="001A293D"/>
    <w:rsid w:val="001A2A77"/>
    <w:rsid w:val="001A3908"/>
    <w:rsid w:val="001A3A5A"/>
    <w:rsid w:val="001A4457"/>
    <w:rsid w:val="001A5133"/>
    <w:rsid w:val="001A5EA1"/>
    <w:rsid w:val="001A6DCB"/>
    <w:rsid w:val="001A773A"/>
    <w:rsid w:val="001A77C4"/>
    <w:rsid w:val="001A7BE0"/>
    <w:rsid w:val="001B15C6"/>
    <w:rsid w:val="001B17D1"/>
    <w:rsid w:val="001B229E"/>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4651"/>
    <w:rsid w:val="00204D75"/>
    <w:rsid w:val="002050D7"/>
    <w:rsid w:val="002051B0"/>
    <w:rsid w:val="00205225"/>
    <w:rsid w:val="00205413"/>
    <w:rsid w:val="00205AEF"/>
    <w:rsid w:val="00205D72"/>
    <w:rsid w:val="0020686F"/>
    <w:rsid w:val="002076AA"/>
    <w:rsid w:val="0021027A"/>
    <w:rsid w:val="00212A14"/>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5B9"/>
    <w:rsid w:val="00224A21"/>
    <w:rsid w:val="00225099"/>
    <w:rsid w:val="002250CA"/>
    <w:rsid w:val="0022607A"/>
    <w:rsid w:val="00226152"/>
    <w:rsid w:val="00226456"/>
    <w:rsid w:val="002264D0"/>
    <w:rsid w:val="002270BE"/>
    <w:rsid w:val="00232211"/>
    <w:rsid w:val="002329B7"/>
    <w:rsid w:val="00232AD2"/>
    <w:rsid w:val="002330FC"/>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76F0"/>
    <w:rsid w:val="00247DA6"/>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C56"/>
    <w:rsid w:val="00267A99"/>
    <w:rsid w:val="002702C1"/>
    <w:rsid w:val="0027264B"/>
    <w:rsid w:val="002736CE"/>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1148"/>
    <w:rsid w:val="00292278"/>
    <w:rsid w:val="00295263"/>
    <w:rsid w:val="0029555F"/>
    <w:rsid w:val="00295590"/>
    <w:rsid w:val="0029631A"/>
    <w:rsid w:val="00297BEE"/>
    <w:rsid w:val="002A05DC"/>
    <w:rsid w:val="002A0F20"/>
    <w:rsid w:val="002A104F"/>
    <w:rsid w:val="002A13A2"/>
    <w:rsid w:val="002A3274"/>
    <w:rsid w:val="002A32D9"/>
    <w:rsid w:val="002A3CF1"/>
    <w:rsid w:val="002A59B9"/>
    <w:rsid w:val="002A5E8D"/>
    <w:rsid w:val="002A68CD"/>
    <w:rsid w:val="002B13CB"/>
    <w:rsid w:val="002B14EA"/>
    <w:rsid w:val="002B1854"/>
    <w:rsid w:val="002B1A51"/>
    <w:rsid w:val="002B2AE1"/>
    <w:rsid w:val="002B3159"/>
    <w:rsid w:val="002B3A8F"/>
    <w:rsid w:val="002B3E1F"/>
    <w:rsid w:val="002B4646"/>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2807"/>
    <w:rsid w:val="002D2D97"/>
    <w:rsid w:val="002D3BDF"/>
    <w:rsid w:val="002D426C"/>
    <w:rsid w:val="002D4721"/>
    <w:rsid w:val="002D472F"/>
    <w:rsid w:val="002D4803"/>
    <w:rsid w:val="002D6CDA"/>
    <w:rsid w:val="002D6EFD"/>
    <w:rsid w:val="002E0D86"/>
    <w:rsid w:val="002E16AE"/>
    <w:rsid w:val="002E1795"/>
    <w:rsid w:val="002E1871"/>
    <w:rsid w:val="002E1A25"/>
    <w:rsid w:val="002E1C38"/>
    <w:rsid w:val="002E3521"/>
    <w:rsid w:val="002E37F4"/>
    <w:rsid w:val="002E43A5"/>
    <w:rsid w:val="002E5665"/>
    <w:rsid w:val="002E7318"/>
    <w:rsid w:val="002E7617"/>
    <w:rsid w:val="002E7C56"/>
    <w:rsid w:val="002E7D8E"/>
    <w:rsid w:val="002F0408"/>
    <w:rsid w:val="002F06FF"/>
    <w:rsid w:val="002F210E"/>
    <w:rsid w:val="002F27B6"/>
    <w:rsid w:val="002F2B50"/>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445A"/>
    <w:rsid w:val="003149F6"/>
    <w:rsid w:val="00315977"/>
    <w:rsid w:val="00316368"/>
    <w:rsid w:val="003174B4"/>
    <w:rsid w:val="0032047A"/>
    <w:rsid w:val="00320939"/>
    <w:rsid w:val="00320F9D"/>
    <w:rsid w:val="00321B76"/>
    <w:rsid w:val="00321BBE"/>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735"/>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8C0"/>
    <w:rsid w:val="00356E07"/>
    <w:rsid w:val="0036056A"/>
    <w:rsid w:val="003639E8"/>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2C3E"/>
    <w:rsid w:val="003A2D49"/>
    <w:rsid w:val="003A3487"/>
    <w:rsid w:val="003A5228"/>
    <w:rsid w:val="003A583A"/>
    <w:rsid w:val="003A591A"/>
    <w:rsid w:val="003A5F2B"/>
    <w:rsid w:val="003A722D"/>
    <w:rsid w:val="003B01FB"/>
    <w:rsid w:val="003B0557"/>
    <w:rsid w:val="003B0E02"/>
    <w:rsid w:val="003B0FDA"/>
    <w:rsid w:val="003B1656"/>
    <w:rsid w:val="003B231B"/>
    <w:rsid w:val="003B3157"/>
    <w:rsid w:val="003B3FC0"/>
    <w:rsid w:val="003B4786"/>
    <w:rsid w:val="003B56E2"/>
    <w:rsid w:val="003B5926"/>
    <w:rsid w:val="003B602A"/>
    <w:rsid w:val="003B71D0"/>
    <w:rsid w:val="003B7450"/>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F86"/>
    <w:rsid w:val="003F111F"/>
    <w:rsid w:val="003F1441"/>
    <w:rsid w:val="003F1A7F"/>
    <w:rsid w:val="003F330F"/>
    <w:rsid w:val="003F36C9"/>
    <w:rsid w:val="003F43BB"/>
    <w:rsid w:val="003F441E"/>
    <w:rsid w:val="003F4A7C"/>
    <w:rsid w:val="003F5144"/>
    <w:rsid w:val="003F584D"/>
    <w:rsid w:val="003F5DC0"/>
    <w:rsid w:val="003F73B2"/>
    <w:rsid w:val="00400538"/>
    <w:rsid w:val="0040067C"/>
    <w:rsid w:val="004012CF"/>
    <w:rsid w:val="0040177F"/>
    <w:rsid w:val="00401801"/>
    <w:rsid w:val="00402034"/>
    <w:rsid w:val="00402AC1"/>
    <w:rsid w:val="00402FB4"/>
    <w:rsid w:val="004032FE"/>
    <w:rsid w:val="00403576"/>
    <w:rsid w:val="00403A5F"/>
    <w:rsid w:val="00404A4F"/>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3728"/>
    <w:rsid w:val="004338FB"/>
    <w:rsid w:val="00433CB6"/>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7A8"/>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14A9"/>
    <w:rsid w:val="004A195A"/>
    <w:rsid w:val="004A2078"/>
    <w:rsid w:val="004A2959"/>
    <w:rsid w:val="004A3BE1"/>
    <w:rsid w:val="004A45C0"/>
    <w:rsid w:val="004A46D2"/>
    <w:rsid w:val="004A4B79"/>
    <w:rsid w:val="004A5051"/>
    <w:rsid w:val="004A7153"/>
    <w:rsid w:val="004A7948"/>
    <w:rsid w:val="004A7ADA"/>
    <w:rsid w:val="004B04F6"/>
    <w:rsid w:val="004B0657"/>
    <w:rsid w:val="004B134A"/>
    <w:rsid w:val="004B147C"/>
    <w:rsid w:val="004B256E"/>
    <w:rsid w:val="004B2D58"/>
    <w:rsid w:val="004B53F7"/>
    <w:rsid w:val="004B709E"/>
    <w:rsid w:val="004C0B6B"/>
    <w:rsid w:val="004C0FA9"/>
    <w:rsid w:val="004C1884"/>
    <w:rsid w:val="004C1AFC"/>
    <w:rsid w:val="004C3A86"/>
    <w:rsid w:val="004C52F8"/>
    <w:rsid w:val="004C552D"/>
    <w:rsid w:val="004C5E6B"/>
    <w:rsid w:val="004C6663"/>
    <w:rsid w:val="004C70BF"/>
    <w:rsid w:val="004D011B"/>
    <w:rsid w:val="004D0B12"/>
    <w:rsid w:val="004D0F84"/>
    <w:rsid w:val="004D1CA0"/>
    <w:rsid w:val="004D23CC"/>
    <w:rsid w:val="004D2C26"/>
    <w:rsid w:val="004D3D5B"/>
    <w:rsid w:val="004D51D6"/>
    <w:rsid w:val="004D62A4"/>
    <w:rsid w:val="004D646A"/>
    <w:rsid w:val="004D6CB7"/>
    <w:rsid w:val="004D7170"/>
    <w:rsid w:val="004D786D"/>
    <w:rsid w:val="004D79D7"/>
    <w:rsid w:val="004E104C"/>
    <w:rsid w:val="004E20A4"/>
    <w:rsid w:val="004E25EB"/>
    <w:rsid w:val="004E2FF4"/>
    <w:rsid w:val="004E37B5"/>
    <w:rsid w:val="004E3C1F"/>
    <w:rsid w:val="004E42F1"/>
    <w:rsid w:val="004E4817"/>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DDF"/>
    <w:rsid w:val="0050543E"/>
    <w:rsid w:val="00505AFF"/>
    <w:rsid w:val="00505C40"/>
    <w:rsid w:val="00506BCC"/>
    <w:rsid w:val="00506D93"/>
    <w:rsid w:val="0050725D"/>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BFC"/>
    <w:rsid w:val="00554298"/>
    <w:rsid w:val="00555BE1"/>
    <w:rsid w:val="0055676A"/>
    <w:rsid w:val="005567C4"/>
    <w:rsid w:val="00557913"/>
    <w:rsid w:val="00560AC2"/>
    <w:rsid w:val="00560BB3"/>
    <w:rsid w:val="00561FA5"/>
    <w:rsid w:val="00562C60"/>
    <w:rsid w:val="00563644"/>
    <w:rsid w:val="00563773"/>
    <w:rsid w:val="00563AEA"/>
    <w:rsid w:val="00564141"/>
    <w:rsid w:val="005644A8"/>
    <w:rsid w:val="00564947"/>
    <w:rsid w:val="00564E1B"/>
    <w:rsid w:val="00564F4F"/>
    <w:rsid w:val="005652C8"/>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B55"/>
    <w:rsid w:val="00586CF4"/>
    <w:rsid w:val="005877E5"/>
    <w:rsid w:val="0058790A"/>
    <w:rsid w:val="00590842"/>
    <w:rsid w:val="00590CDB"/>
    <w:rsid w:val="00591928"/>
    <w:rsid w:val="00591A75"/>
    <w:rsid w:val="00591D65"/>
    <w:rsid w:val="00592A43"/>
    <w:rsid w:val="00592E82"/>
    <w:rsid w:val="00593DC3"/>
    <w:rsid w:val="00593E6C"/>
    <w:rsid w:val="0059433A"/>
    <w:rsid w:val="00594ADE"/>
    <w:rsid w:val="00594ECA"/>
    <w:rsid w:val="00595505"/>
    <w:rsid w:val="005964EC"/>
    <w:rsid w:val="00596AB7"/>
    <w:rsid w:val="00596D1F"/>
    <w:rsid w:val="00597CA5"/>
    <w:rsid w:val="005A1261"/>
    <w:rsid w:val="005A1DB5"/>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41C5"/>
    <w:rsid w:val="005C5B5C"/>
    <w:rsid w:val="005D1036"/>
    <w:rsid w:val="005D1A4D"/>
    <w:rsid w:val="005D213D"/>
    <w:rsid w:val="005D22BA"/>
    <w:rsid w:val="005D2E9B"/>
    <w:rsid w:val="005D35F9"/>
    <w:rsid w:val="005D4D8B"/>
    <w:rsid w:val="005D5BBA"/>
    <w:rsid w:val="005D629A"/>
    <w:rsid w:val="005D7183"/>
    <w:rsid w:val="005E0730"/>
    <w:rsid w:val="005E0759"/>
    <w:rsid w:val="005E0A8E"/>
    <w:rsid w:val="005E124F"/>
    <w:rsid w:val="005E16C5"/>
    <w:rsid w:val="005E1D48"/>
    <w:rsid w:val="005E1FF0"/>
    <w:rsid w:val="005E26FB"/>
    <w:rsid w:val="005E2B27"/>
    <w:rsid w:val="005E2F31"/>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4B8E"/>
    <w:rsid w:val="005F5DE4"/>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1192"/>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47CB"/>
    <w:rsid w:val="006A4B16"/>
    <w:rsid w:val="006A6079"/>
    <w:rsid w:val="006A635E"/>
    <w:rsid w:val="006A731A"/>
    <w:rsid w:val="006A7A44"/>
    <w:rsid w:val="006B01AE"/>
    <w:rsid w:val="006B03ED"/>
    <w:rsid w:val="006B0C7E"/>
    <w:rsid w:val="006B107F"/>
    <w:rsid w:val="006B1EE4"/>
    <w:rsid w:val="006B21C1"/>
    <w:rsid w:val="006B228B"/>
    <w:rsid w:val="006B33D4"/>
    <w:rsid w:val="006B348A"/>
    <w:rsid w:val="006B3D38"/>
    <w:rsid w:val="006B4003"/>
    <w:rsid w:val="006B4F96"/>
    <w:rsid w:val="006B5455"/>
    <w:rsid w:val="006B5BD6"/>
    <w:rsid w:val="006B5EB2"/>
    <w:rsid w:val="006B6FB8"/>
    <w:rsid w:val="006C19F2"/>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F1775"/>
    <w:rsid w:val="006F21DF"/>
    <w:rsid w:val="006F22B4"/>
    <w:rsid w:val="006F37F6"/>
    <w:rsid w:val="006F453E"/>
    <w:rsid w:val="006F5759"/>
    <w:rsid w:val="006F5A07"/>
    <w:rsid w:val="006F5B3E"/>
    <w:rsid w:val="006F6BA4"/>
    <w:rsid w:val="006F7FC3"/>
    <w:rsid w:val="0070125B"/>
    <w:rsid w:val="0070154F"/>
    <w:rsid w:val="007017D0"/>
    <w:rsid w:val="00701BA5"/>
    <w:rsid w:val="00704820"/>
    <w:rsid w:val="00705B58"/>
    <w:rsid w:val="00705FD1"/>
    <w:rsid w:val="0071018D"/>
    <w:rsid w:val="00710221"/>
    <w:rsid w:val="007115CF"/>
    <w:rsid w:val="00711643"/>
    <w:rsid w:val="00713B15"/>
    <w:rsid w:val="00713B1F"/>
    <w:rsid w:val="007141D0"/>
    <w:rsid w:val="0071475A"/>
    <w:rsid w:val="007148D1"/>
    <w:rsid w:val="00714A05"/>
    <w:rsid w:val="00715E70"/>
    <w:rsid w:val="0071655A"/>
    <w:rsid w:val="0071695D"/>
    <w:rsid w:val="00716CC1"/>
    <w:rsid w:val="00720F38"/>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5ED"/>
    <w:rsid w:val="007365F0"/>
    <w:rsid w:val="00736977"/>
    <w:rsid w:val="00737307"/>
    <w:rsid w:val="00737C7A"/>
    <w:rsid w:val="00740015"/>
    <w:rsid w:val="0074049E"/>
    <w:rsid w:val="00740B05"/>
    <w:rsid w:val="00741AF0"/>
    <w:rsid w:val="00742860"/>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2A3C"/>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3440"/>
    <w:rsid w:val="0076352C"/>
    <w:rsid w:val="00763A24"/>
    <w:rsid w:val="00763A72"/>
    <w:rsid w:val="00764005"/>
    <w:rsid w:val="00764085"/>
    <w:rsid w:val="0076426C"/>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524C"/>
    <w:rsid w:val="00776715"/>
    <w:rsid w:val="007769F4"/>
    <w:rsid w:val="0077768C"/>
    <w:rsid w:val="0078006D"/>
    <w:rsid w:val="0078014D"/>
    <w:rsid w:val="00780869"/>
    <w:rsid w:val="00780CCE"/>
    <w:rsid w:val="00781B0F"/>
    <w:rsid w:val="00781EF3"/>
    <w:rsid w:val="00781F85"/>
    <w:rsid w:val="007838FC"/>
    <w:rsid w:val="00784124"/>
    <w:rsid w:val="00784656"/>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5D5"/>
    <w:rsid w:val="007B773F"/>
    <w:rsid w:val="007B7D6F"/>
    <w:rsid w:val="007C0323"/>
    <w:rsid w:val="007C0459"/>
    <w:rsid w:val="007C04BC"/>
    <w:rsid w:val="007C285A"/>
    <w:rsid w:val="007C3562"/>
    <w:rsid w:val="007C359F"/>
    <w:rsid w:val="007C3F2A"/>
    <w:rsid w:val="007C3F4B"/>
    <w:rsid w:val="007C4164"/>
    <w:rsid w:val="007C4426"/>
    <w:rsid w:val="007C4F86"/>
    <w:rsid w:val="007C52EA"/>
    <w:rsid w:val="007C5BDF"/>
    <w:rsid w:val="007C6F61"/>
    <w:rsid w:val="007C798B"/>
    <w:rsid w:val="007C7B15"/>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67D"/>
    <w:rsid w:val="007E1889"/>
    <w:rsid w:val="007E1E2C"/>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6A71"/>
    <w:rsid w:val="007F7A1B"/>
    <w:rsid w:val="007F7F4F"/>
    <w:rsid w:val="008002AC"/>
    <w:rsid w:val="00801475"/>
    <w:rsid w:val="00802911"/>
    <w:rsid w:val="00802A8E"/>
    <w:rsid w:val="00803290"/>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67B9"/>
    <w:rsid w:val="00836AC6"/>
    <w:rsid w:val="00836E15"/>
    <w:rsid w:val="00842F85"/>
    <w:rsid w:val="008431C6"/>
    <w:rsid w:val="008433BB"/>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F7A"/>
    <w:rsid w:val="0089332E"/>
    <w:rsid w:val="00893463"/>
    <w:rsid w:val="00893902"/>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76"/>
    <w:rsid w:val="008A6CBE"/>
    <w:rsid w:val="008A7EE8"/>
    <w:rsid w:val="008B0DE7"/>
    <w:rsid w:val="008B1D38"/>
    <w:rsid w:val="008B280C"/>
    <w:rsid w:val="008B304A"/>
    <w:rsid w:val="008B32A3"/>
    <w:rsid w:val="008B3F1E"/>
    <w:rsid w:val="008B3FF9"/>
    <w:rsid w:val="008B4641"/>
    <w:rsid w:val="008B5D25"/>
    <w:rsid w:val="008B6294"/>
    <w:rsid w:val="008B66EC"/>
    <w:rsid w:val="008B6D7A"/>
    <w:rsid w:val="008C0197"/>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5278"/>
    <w:rsid w:val="008D556A"/>
    <w:rsid w:val="008D5696"/>
    <w:rsid w:val="008D619E"/>
    <w:rsid w:val="008D6BAE"/>
    <w:rsid w:val="008E0D8F"/>
    <w:rsid w:val="008E128C"/>
    <w:rsid w:val="008E1C9B"/>
    <w:rsid w:val="008E3B40"/>
    <w:rsid w:val="008E55CE"/>
    <w:rsid w:val="008E582E"/>
    <w:rsid w:val="008E5B5E"/>
    <w:rsid w:val="008E5CC0"/>
    <w:rsid w:val="008E601C"/>
    <w:rsid w:val="008E626D"/>
    <w:rsid w:val="008E7CA7"/>
    <w:rsid w:val="008F156B"/>
    <w:rsid w:val="008F191F"/>
    <w:rsid w:val="008F2F0A"/>
    <w:rsid w:val="008F3A89"/>
    <w:rsid w:val="008F55C0"/>
    <w:rsid w:val="008F5751"/>
    <w:rsid w:val="008F5B0A"/>
    <w:rsid w:val="008F5EA9"/>
    <w:rsid w:val="008F7C2F"/>
    <w:rsid w:val="00900130"/>
    <w:rsid w:val="00901034"/>
    <w:rsid w:val="00901911"/>
    <w:rsid w:val="009024D7"/>
    <w:rsid w:val="00902520"/>
    <w:rsid w:val="0090254C"/>
    <w:rsid w:val="00902D20"/>
    <w:rsid w:val="0090353E"/>
    <w:rsid w:val="0090392D"/>
    <w:rsid w:val="00904D25"/>
    <w:rsid w:val="00904E04"/>
    <w:rsid w:val="00906450"/>
    <w:rsid w:val="009067E6"/>
    <w:rsid w:val="0090683B"/>
    <w:rsid w:val="009076C9"/>
    <w:rsid w:val="00907B80"/>
    <w:rsid w:val="00910CA5"/>
    <w:rsid w:val="00911600"/>
    <w:rsid w:val="00912854"/>
    <w:rsid w:val="0091461A"/>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615C0"/>
    <w:rsid w:val="009619FB"/>
    <w:rsid w:val="00961F6F"/>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B22"/>
    <w:rsid w:val="00974B5C"/>
    <w:rsid w:val="009763A2"/>
    <w:rsid w:val="009768B0"/>
    <w:rsid w:val="0097710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F4F"/>
    <w:rsid w:val="009A41E9"/>
    <w:rsid w:val="009A4CB1"/>
    <w:rsid w:val="009A5014"/>
    <w:rsid w:val="009A58D9"/>
    <w:rsid w:val="009A66B4"/>
    <w:rsid w:val="009A6F18"/>
    <w:rsid w:val="009B0EBD"/>
    <w:rsid w:val="009B1893"/>
    <w:rsid w:val="009B24A4"/>
    <w:rsid w:val="009B2621"/>
    <w:rsid w:val="009B34E3"/>
    <w:rsid w:val="009B38A3"/>
    <w:rsid w:val="009B44FE"/>
    <w:rsid w:val="009B50F1"/>
    <w:rsid w:val="009B5107"/>
    <w:rsid w:val="009B6D2B"/>
    <w:rsid w:val="009C0007"/>
    <w:rsid w:val="009C0924"/>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C33"/>
    <w:rsid w:val="009D7108"/>
    <w:rsid w:val="009D7273"/>
    <w:rsid w:val="009D773E"/>
    <w:rsid w:val="009D7C39"/>
    <w:rsid w:val="009E0981"/>
    <w:rsid w:val="009E0D44"/>
    <w:rsid w:val="009E114C"/>
    <w:rsid w:val="009E230A"/>
    <w:rsid w:val="009E30CC"/>
    <w:rsid w:val="009E3C16"/>
    <w:rsid w:val="009E4D7C"/>
    <w:rsid w:val="009E4DD0"/>
    <w:rsid w:val="009E5F04"/>
    <w:rsid w:val="009E7B97"/>
    <w:rsid w:val="009F00F6"/>
    <w:rsid w:val="009F09F3"/>
    <w:rsid w:val="009F0E84"/>
    <w:rsid w:val="009F130C"/>
    <w:rsid w:val="009F2D54"/>
    <w:rsid w:val="009F2F92"/>
    <w:rsid w:val="009F3395"/>
    <w:rsid w:val="009F4163"/>
    <w:rsid w:val="009F50DD"/>
    <w:rsid w:val="009F6DDF"/>
    <w:rsid w:val="009F70B8"/>
    <w:rsid w:val="00A009B3"/>
    <w:rsid w:val="00A00C92"/>
    <w:rsid w:val="00A02691"/>
    <w:rsid w:val="00A03272"/>
    <w:rsid w:val="00A06AAB"/>
    <w:rsid w:val="00A0758E"/>
    <w:rsid w:val="00A0783C"/>
    <w:rsid w:val="00A078F5"/>
    <w:rsid w:val="00A07E1C"/>
    <w:rsid w:val="00A11238"/>
    <w:rsid w:val="00A11F67"/>
    <w:rsid w:val="00A11FCC"/>
    <w:rsid w:val="00A12825"/>
    <w:rsid w:val="00A12B21"/>
    <w:rsid w:val="00A12E36"/>
    <w:rsid w:val="00A13146"/>
    <w:rsid w:val="00A132BF"/>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33A6"/>
    <w:rsid w:val="00A33719"/>
    <w:rsid w:val="00A345A7"/>
    <w:rsid w:val="00A34D0F"/>
    <w:rsid w:val="00A35B59"/>
    <w:rsid w:val="00A368B3"/>
    <w:rsid w:val="00A371EB"/>
    <w:rsid w:val="00A37219"/>
    <w:rsid w:val="00A37D42"/>
    <w:rsid w:val="00A40544"/>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DB5"/>
    <w:rsid w:val="00A729A6"/>
    <w:rsid w:val="00A7346F"/>
    <w:rsid w:val="00A74A86"/>
    <w:rsid w:val="00A74C39"/>
    <w:rsid w:val="00A75C0F"/>
    <w:rsid w:val="00A760F3"/>
    <w:rsid w:val="00A7624A"/>
    <w:rsid w:val="00A7648B"/>
    <w:rsid w:val="00A776C2"/>
    <w:rsid w:val="00A776D1"/>
    <w:rsid w:val="00A77E09"/>
    <w:rsid w:val="00A816AF"/>
    <w:rsid w:val="00A81720"/>
    <w:rsid w:val="00A818E4"/>
    <w:rsid w:val="00A82B19"/>
    <w:rsid w:val="00A83C04"/>
    <w:rsid w:val="00A83ED1"/>
    <w:rsid w:val="00A84DE6"/>
    <w:rsid w:val="00A85C63"/>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A0635"/>
    <w:rsid w:val="00AA068C"/>
    <w:rsid w:val="00AA1412"/>
    <w:rsid w:val="00AA162D"/>
    <w:rsid w:val="00AA21C4"/>
    <w:rsid w:val="00AA2A40"/>
    <w:rsid w:val="00AA36ED"/>
    <w:rsid w:val="00AA37B5"/>
    <w:rsid w:val="00AA4737"/>
    <w:rsid w:val="00AA4899"/>
    <w:rsid w:val="00AA48B5"/>
    <w:rsid w:val="00AA5262"/>
    <w:rsid w:val="00AA5AB7"/>
    <w:rsid w:val="00AA5BE3"/>
    <w:rsid w:val="00AA77EF"/>
    <w:rsid w:val="00AB019A"/>
    <w:rsid w:val="00AB22B2"/>
    <w:rsid w:val="00AB2877"/>
    <w:rsid w:val="00AB2F06"/>
    <w:rsid w:val="00AB315D"/>
    <w:rsid w:val="00AB3E95"/>
    <w:rsid w:val="00AB54CB"/>
    <w:rsid w:val="00AB661C"/>
    <w:rsid w:val="00AB689D"/>
    <w:rsid w:val="00AB7491"/>
    <w:rsid w:val="00AB7519"/>
    <w:rsid w:val="00AB79CA"/>
    <w:rsid w:val="00AB7A7D"/>
    <w:rsid w:val="00AC0487"/>
    <w:rsid w:val="00AC1797"/>
    <w:rsid w:val="00AC1E7A"/>
    <w:rsid w:val="00AC2E6C"/>
    <w:rsid w:val="00AC4151"/>
    <w:rsid w:val="00AC5372"/>
    <w:rsid w:val="00AC656E"/>
    <w:rsid w:val="00AC6B32"/>
    <w:rsid w:val="00AC6CEC"/>
    <w:rsid w:val="00AC6EAD"/>
    <w:rsid w:val="00AC7C73"/>
    <w:rsid w:val="00AD0375"/>
    <w:rsid w:val="00AD26BD"/>
    <w:rsid w:val="00AD3A05"/>
    <w:rsid w:val="00AD3AEF"/>
    <w:rsid w:val="00AD3E0E"/>
    <w:rsid w:val="00AD50F5"/>
    <w:rsid w:val="00AD554D"/>
    <w:rsid w:val="00AD59DD"/>
    <w:rsid w:val="00AD6676"/>
    <w:rsid w:val="00AD67B3"/>
    <w:rsid w:val="00AD68C8"/>
    <w:rsid w:val="00AD6C4D"/>
    <w:rsid w:val="00AE0021"/>
    <w:rsid w:val="00AE0E2E"/>
    <w:rsid w:val="00AE1841"/>
    <w:rsid w:val="00AE2231"/>
    <w:rsid w:val="00AE2348"/>
    <w:rsid w:val="00AE24DA"/>
    <w:rsid w:val="00AE25A2"/>
    <w:rsid w:val="00AE283B"/>
    <w:rsid w:val="00AE3E0B"/>
    <w:rsid w:val="00AE4C8C"/>
    <w:rsid w:val="00AE5231"/>
    <w:rsid w:val="00AE588D"/>
    <w:rsid w:val="00AE5D50"/>
    <w:rsid w:val="00AE624F"/>
    <w:rsid w:val="00AE63E4"/>
    <w:rsid w:val="00AE7A44"/>
    <w:rsid w:val="00AE7B48"/>
    <w:rsid w:val="00AF007F"/>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ECB"/>
    <w:rsid w:val="00B067AF"/>
    <w:rsid w:val="00B10129"/>
    <w:rsid w:val="00B1026B"/>
    <w:rsid w:val="00B10F2A"/>
    <w:rsid w:val="00B11B90"/>
    <w:rsid w:val="00B11D89"/>
    <w:rsid w:val="00B121C0"/>
    <w:rsid w:val="00B1252E"/>
    <w:rsid w:val="00B12FBB"/>
    <w:rsid w:val="00B13044"/>
    <w:rsid w:val="00B14455"/>
    <w:rsid w:val="00B14699"/>
    <w:rsid w:val="00B14D9F"/>
    <w:rsid w:val="00B14DB1"/>
    <w:rsid w:val="00B156B7"/>
    <w:rsid w:val="00B1585A"/>
    <w:rsid w:val="00B15F1B"/>
    <w:rsid w:val="00B16181"/>
    <w:rsid w:val="00B16D73"/>
    <w:rsid w:val="00B17BE7"/>
    <w:rsid w:val="00B204F6"/>
    <w:rsid w:val="00B21A74"/>
    <w:rsid w:val="00B21F71"/>
    <w:rsid w:val="00B22797"/>
    <w:rsid w:val="00B22D45"/>
    <w:rsid w:val="00B232E1"/>
    <w:rsid w:val="00B238C9"/>
    <w:rsid w:val="00B248C2"/>
    <w:rsid w:val="00B27178"/>
    <w:rsid w:val="00B2717C"/>
    <w:rsid w:val="00B27414"/>
    <w:rsid w:val="00B3092D"/>
    <w:rsid w:val="00B30A4B"/>
    <w:rsid w:val="00B30B15"/>
    <w:rsid w:val="00B31853"/>
    <w:rsid w:val="00B3191E"/>
    <w:rsid w:val="00B31E1E"/>
    <w:rsid w:val="00B32204"/>
    <w:rsid w:val="00B330B8"/>
    <w:rsid w:val="00B333E1"/>
    <w:rsid w:val="00B33DB2"/>
    <w:rsid w:val="00B33F8E"/>
    <w:rsid w:val="00B3407F"/>
    <w:rsid w:val="00B345D2"/>
    <w:rsid w:val="00B35148"/>
    <w:rsid w:val="00B3569F"/>
    <w:rsid w:val="00B364AD"/>
    <w:rsid w:val="00B36740"/>
    <w:rsid w:val="00B3716B"/>
    <w:rsid w:val="00B37DE4"/>
    <w:rsid w:val="00B40765"/>
    <w:rsid w:val="00B40FE7"/>
    <w:rsid w:val="00B41E4B"/>
    <w:rsid w:val="00B4365F"/>
    <w:rsid w:val="00B44A73"/>
    <w:rsid w:val="00B46EFE"/>
    <w:rsid w:val="00B473B8"/>
    <w:rsid w:val="00B5187F"/>
    <w:rsid w:val="00B52206"/>
    <w:rsid w:val="00B53D03"/>
    <w:rsid w:val="00B55359"/>
    <w:rsid w:val="00B557E1"/>
    <w:rsid w:val="00B558D1"/>
    <w:rsid w:val="00B56207"/>
    <w:rsid w:val="00B56D7A"/>
    <w:rsid w:val="00B61369"/>
    <w:rsid w:val="00B64716"/>
    <w:rsid w:val="00B649ED"/>
    <w:rsid w:val="00B64E56"/>
    <w:rsid w:val="00B64FA6"/>
    <w:rsid w:val="00B66C2B"/>
    <w:rsid w:val="00B70A6C"/>
    <w:rsid w:val="00B712BB"/>
    <w:rsid w:val="00B7175B"/>
    <w:rsid w:val="00B718C5"/>
    <w:rsid w:val="00B71ECC"/>
    <w:rsid w:val="00B72CBC"/>
    <w:rsid w:val="00B730D5"/>
    <w:rsid w:val="00B73D09"/>
    <w:rsid w:val="00B7416C"/>
    <w:rsid w:val="00B74604"/>
    <w:rsid w:val="00B757BB"/>
    <w:rsid w:val="00B75904"/>
    <w:rsid w:val="00B760E3"/>
    <w:rsid w:val="00B76FFC"/>
    <w:rsid w:val="00B7782C"/>
    <w:rsid w:val="00B80280"/>
    <w:rsid w:val="00B80B44"/>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24A"/>
    <w:rsid w:val="00B9228D"/>
    <w:rsid w:val="00B9249D"/>
    <w:rsid w:val="00B928A6"/>
    <w:rsid w:val="00B92B28"/>
    <w:rsid w:val="00B9378D"/>
    <w:rsid w:val="00B937CE"/>
    <w:rsid w:val="00B94C5B"/>
    <w:rsid w:val="00B94C69"/>
    <w:rsid w:val="00B966D0"/>
    <w:rsid w:val="00B97E0C"/>
    <w:rsid w:val="00BA03D4"/>
    <w:rsid w:val="00BA0EF1"/>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3443"/>
    <w:rsid w:val="00BB43C3"/>
    <w:rsid w:val="00BB45B4"/>
    <w:rsid w:val="00BB53C1"/>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4BDF"/>
    <w:rsid w:val="00BF7B0F"/>
    <w:rsid w:val="00C00816"/>
    <w:rsid w:val="00C014BE"/>
    <w:rsid w:val="00C014D1"/>
    <w:rsid w:val="00C01702"/>
    <w:rsid w:val="00C0174D"/>
    <w:rsid w:val="00C0190A"/>
    <w:rsid w:val="00C01ABD"/>
    <w:rsid w:val="00C021A4"/>
    <w:rsid w:val="00C0335F"/>
    <w:rsid w:val="00C03999"/>
    <w:rsid w:val="00C04E1F"/>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20E6"/>
    <w:rsid w:val="00C521ED"/>
    <w:rsid w:val="00C522F3"/>
    <w:rsid w:val="00C536ED"/>
    <w:rsid w:val="00C539DD"/>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2108"/>
    <w:rsid w:val="00C8314F"/>
    <w:rsid w:val="00C8376F"/>
    <w:rsid w:val="00C83C87"/>
    <w:rsid w:val="00C8449B"/>
    <w:rsid w:val="00C8642F"/>
    <w:rsid w:val="00C86596"/>
    <w:rsid w:val="00C876E4"/>
    <w:rsid w:val="00C87CDF"/>
    <w:rsid w:val="00C90B07"/>
    <w:rsid w:val="00C9124D"/>
    <w:rsid w:val="00C9228D"/>
    <w:rsid w:val="00C92A40"/>
    <w:rsid w:val="00C92A53"/>
    <w:rsid w:val="00C92B48"/>
    <w:rsid w:val="00C960EB"/>
    <w:rsid w:val="00C964D5"/>
    <w:rsid w:val="00CA213B"/>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4280"/>
    <w:rsid w:val="00CC552B"/>
    <w:rsid w:val="00CC642C"/>
    <w:rsid w:val="00CC65DB"/>
    <w:rsid w:val="00CC6931"/>
    <w:rsid w:val="00CC6AD5"/>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1295"/>
    <w:rsid w:val="00CE1838"/>
    <w:rsid w:val="00CE1A55"/>
    <w:rsid w:val="00CE33C6"/>
    <w:rsid w:val="00CE3862"/>
    <w:rsid w:val="00CE393F"/>
    <w:rsid w:val="00CE41E1"/>
    <w:rsid w:val="00CE47CA"/>
    <w:rsid w:val="00CE5294"/>
    <w:rsid w:val="00CE5E7A"/>
    <w:rsid w:val="00CE6071"/>
    <w:rsid w:val="00CE7253"/>
    <w:rsid w:val="00CE7D13"/>
    <w:rsid w:val="00CF0B5D"/>
    <w:rsid w:val="00CF2621"/>
    <w:rsid w:val="00CF2EA3"/>
    <w:rsid w:val="00CF2ED6"/>
    <w:rsid w:val="00CF31D7"/>
    <w:rsid w:val="00CF3926"/>
    <w:rsid w:val="00CF3DF7"/>
    <w:rsid w:val="00CF5476"/>
    <w:rsid w:val="00CF5A08"/>
    <w:rsid w:val="00CF5FCD"/>
    <w:rsid w:val="00CF6C04"/>
    <w:rsid w:val="00CF7883"/>
    <w:rsid w:val="00CF7F9F"/>
    <w:rsid w:val="00D0085C"/>
    <w:rsid w:val="00D00BA8"/>
    <w:rsid w:val="00D00DCF"/>
    <w:rsid w:val="00D0139A"/>
    <w:rsid w:val="00D01AB1"/>
    <w:rsid w:val="00D02201"/>
    <w:rsid w:val="00D02643"/>
    <w:rsid w:val="00D03E5E"/>
    <w:rsid w:val="00D04DA6"/>
    <w:rsid w:val="00D05B8C"/>
    <w:rsid w:val="00D06725"/>
    <w:rsid w:val="00D071F2"/>
    <w:rsid w:val="00D073F9"/>
    <w:rsid w:val="00D10337"/>
    <w:rsid w:val="00D10859"/>
    <w:rsid w:val="00D10CAB"/>
    <w:rsid w:val="00D10EC5"/>
    <w:rsid w:val="00D11784"/>
    <w:rsid w:val="00D1221F"/>
    <w:rsid w:val="00D126B1"/>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4942"/>
    <w:rsid w:val="00D54F7E"/>
    <w:rsid w:val="00D55E24"/>
    <w:rsid w:val="00D56336"/>
    <w:rsid w:val="00D56FAE"/>
    <w:rsid w:val="00D5718E"/>
    <w:rsid w:val="00D5771F"/>
    <w:rsid w:val="00D577B2"/>
    <w:rsid w:val="00D604ED"/>
    <w:rsid w:val="00D60F10"/>
    <w:rsid w:val="00D62BF4"/>
    <w:rsid w:val="00D634FD"/>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F9E"/>
    <w:rsid w:val="00D870A5"/>
    <w:rsid w:val="00D87136"/>
    <w:rsid w:val="00D907F5"/>
    <w:rsid w:val="00D917FD"/>
    <w:rsid w:val="00D9264F"/>
    <w:rsid w:val="00D92F8A"/>
    <w:rsid w:val="00D93379"/>
    <w:rsid w:val="00D969D1"/>
    <w:rsid w:val="00DA0302"/>
    <w:rsid w:val="00DA0369"/>
    <w:rsid w:val="00DA0496"/>
    <w:rsid w:val="00DA07DE"/>
    <w:rsid w:val="00DA0BED"/>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B65"/>
    <w:rsid w:val="00DB1CDB"/>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2CAD"/>
    <w:rsid w:val="00DD2CE7"/>
    <w:rsid w:val="00DD3370"/>
    <w:rsid w:val="00DD376D"/>
    <w:rsid w:val="00DD4286"/>
    <w:rsid w:val="00DD4383"/>
    <w:rsid w:val="00DD43B9"/>
    <w:rsid w:val="00DD4F6F"/>
    <w:rsid w:val="00DD7853"/>
    <w:rsid w:val="00DE1399"/>
    <w:rsid w:val="00DE1CDF"/>
    <w:rsid w:val="00DE1EBB"/>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D68"/>
    <w:rsid w:val="00DF4C1E"/>
    <w:rsid w:val="00DF5151"/>
    <w:rsid w:val="00DF5373"/>
    <w:rsid w:val="00DF5BE1"/>
    <w:rsid w:val="00DF64FF"/>
    <w:rsid w:val="00E00F29"/>
    <w:rsid w:val="00E01129"/>
    <w:rsid w:val="00E01201"/>
    <w:rsid w:val="00E01C52"/>
    <w:rsid w:val="00E024A7"/>
    <w:rsid w:val="00E02E63"/>
    <w:rsid w:val="00E05F28"/>
    <w:rsid w:val="00E06D35"/>
    <w:rsid w:val="00E07F5E"/>
    <w:rsid w:val="00E1018C"/>
    <w:rsid w:val="00E118CC"/>
    <w:rsid w:val="00E12149"/>
    <w:rsid w:val="00E132AD"/>
    <w:rsid w:val="00E13809"/>
    <w:rsid w:val="00E1431C"/>
    <w:rsid w:val="00E14521"/>
    <w:rsid w:val="00E14850"/>
    <w:rsid w:val="00E171E9"/>
    <w:rsid w:val="00E171F6"/>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7141"/>
    <w:rsid w:val="00E27F67"/>
    <w:rsid w:val="00E316DD"/>
    <w:rsid w:val="00E318EE"/>
    <w:rsid w:val="00E3316D"/>
    <w:rsid w:val="00E332BF"/>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C5D"/>
    <w:rsid w:val="00E50EBA"/>
    <w:rsid w:val="00E51114"/>
    <w:rsid w:val="00E512ED"/>
    <w:rsid w:val="00E51558"/>
    <w:rsid w:val="00E51595"/>
    <w:rsid w:val="00E534C8"/>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3271"/>
    <w:rsid w:val="00E83AEE"/>
    <w:rsid w:val="00E84406"/>
    <w:rsid w:val="00E8473D"/>
    <w:rsid w:val="00E8484E"/>
    <w:rsid w:val="00E849E3"/>
    <w:rsid w:val="00E84A78"/>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698C"/>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B083C"/>
    <w:rsid w:val="00EB20D2"/>
    <w:rsid w:val="00EB2305"/>
    <w:rsid w:val="00EB3DE4"/>
    <w:rsid w:val="00EB4580"/>
    <w:rsid w:val="00EB4DDB"/>
    <w:rsid w:val="00EB6C2E"/>
    <w:rsid w:val="00EB79C7"/>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5BEF"/>
    <w:rsid w:val="00EE646B"/>
    <w:rsid w:val="00EE6962"/>
    <w:rsid w:val="00EE6D18"/>
    <w:rsid w:val="00EE7234"/>
    <w:rsid w:val="00EE78F6"/>
    <w:rsid w:val="00EE7A29"/>
    <w:rsid w:val="00EF0D9F"/>
    <w:rsid w:val="00EF1ECC"/>
    <w:rsid w:val="00EF2B3F"/>
    <w:rsid w:val="00EF30BD"/>
    <w:rsid w:val="00EF3E73"/>
    <w:rsid w:val="00EF4F08"/>
    <w:rsid w:val="00EF5801"/>
    <w:rsid w:val="00EF63A9"/>
    <w:rsid w:val="00EF657C"/>
    <w:rsid w:val="00EF6DB2"/>
    <w:rsid w:val="00EF6F37"/>
    <w:rsid w:val="00F003BF"/>
    <w:rsid w:val="00F02DBA"/>
    <w:rsid w:val="00F0315C"/>
    <w:rsid w:val="00F0389C"/>
    <w:rsid w:val="00F04313"/>
    <w:rsid w:val="00F06086"/>
    <w:rsid w:val="00F0726F"/>
    <w:rsid w:val="00F07B12"/>
    <w:rsid w:val="00F07D69"/>
    <w:rsid w:val="00F1034D"/>
    <w:rsid w:val="00F1079F"/>
    <w:rsid w:val="00F117ED"/>
    <w:rsid w:val="00F11876"/>
    <w:rsid w:val="00F1193D"/>
    <w:rsid w:val="00F12A31"/>
    <w:rsid w:val="00F132B1"/>
    <w:rsid w:val="00F148C3"/>
    <w:rsid w:val="00F15A83"/>
    <w:rsid w:val="00F15D66"/>
    <w:rsid w:val="00F15DEB"/>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861"/>
    <w:rsid w:val="00F37BD3"/>
    <w:rsid w:val="00F4040B"/>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0F8"/>
    <w:rsid w:val="00F61966"/>
    <w:rsid w:val="00F621E0"/>
    <w:rsid w:val="00F623EA"/>
    <w:rsid w:val="00F628A5"/>
    <w:rsid w:val="00F62992"/>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8ED"/>
    <w:rsid w:val="00F710D6"/>
    <w:rsid w:val="00F717E1"/>
    <w:rsid w:val="00F71D7D"/>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71F5"/>
    <w:rsid w:val="00F875DE"/>
    <w:rsid w:val="00F879B1"/>
    <w:rsid w:val="00F90D95"/>
    <w:rsid w:val="00F90F9D"/>
    <w:rsid w:val="00F91054"/>
    <w:rsid w:val="00F92653"/>
    <w:rsid w:val="00F92C69"/>
    <w:rsid w:val="00F9332E"/>
    <w:rsid w:val="00F94962"/>
    <w:rsid w:val="00F9521E"/>
    <w:rsid w:val="00F95E15"/>
    <w:rsid w:val="00F961DD"/>
    <w:rsid w:val="00F96695"/>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DD2"/>
    <w:rsid w:val="00FA63FC"/>
    <w:rsid w:val="00FA70D4"/>
    <w:rsid w:val="00FB092A"/>
    <w:rsid w:val="00FB0BC2"/>
    <w:rsid w:val="00FB2F90"/>
    <w:rsid w:val="00FB308E"/>
    <w:rsid w:val="00FB32D4"/>
    <w:rsid w:val="00FB3461"/>
    <w:rsid w:val="00FB48FD"/>
    <w:rsid w:val="00FB5CA3"/>
    <w:rsid w:val="00FC006A"/>
    <w:rsid w:val="00FC12B5"/>
    <w:rsid w:val="00FC1882"/>
    <w:rsid w:val="00FC1AD6"/>
    <w:rsid w:val="00FC1C2D"/>
    <w:rsid w:val="00FC27E6"/>
    <w:rsid w:val="00FC2803"/>
    <w:rsid w:val="00FC2B2D"/>
    <w:rsid w:val="00FC2CDB"/>
    <w:rsid w:val="00FC3263"/>
    <w:rsid w:val="00FC3633"/>
    <w:rsid w:val="00FC3A48"/>
    <w:rsid w:val="00FC49C1"/>
    <w:rsid w:val="00FC5058"/>
    <w:rsid w:val="00FC54B8"/>
    <w:rsid w:val="00FC735E"/>
    <w:rsid w:val="00FC7F42"/>
    <w:rsid w:val="00FD0883"/>
    <w:rsid w:val="00FD0CEF"/>
    <w:rsid w:val="00FD1263"/>
    <w:rsid w:val="00FD1EA4"/>
    <w:rsid w:val="00FD273B"/>
    <w:rsid w:val="00FD2B18"/>
    <w:rsid w:val="00FD2B4D"/>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F047B"/>
    <w:rsid w:val="00FF0F14"/>
    <w:rsid w:val="00FF177B"/>
    <w:rsid w:val="00FF249C"/>
    <w:rsid w:val="00FF2551"/>
    <w:rsid w:val="00FF2EA1"/>
    <w:rsid w:val="00FF35F6"/>
    <w:rsid w:val="00FF5C39"/>
    <w:rsid w:val="00FF5D67"/>
    <w:rsid w:val="00FF6321"/>
    <w:rsid w:val="00FF7622"/>
    <w:rsid w:val="0118668B"/>
    <w:rsid w:val="0135774A"/>
    <w:rsid w:val="013E2FDB"/>
    <w:rsid w:val="0164104B"/>
    <w:rsid w:val="01DC4212"/>
    <w:rsid w:val="01E22EEF"/>
    <w:rsid w:val="02094019"/>
    <w:rsid w:val="02180C4F"/>
    <w:rsid w:val="024876E8"/>
    <w:rsid w:val="025A3D10"/>
    <w:rsid w:val="02E0504F"/>
    <w:rsid w:val="02E97045"/>
    <w:rsid w:val="02FB6E41"/>
    <w:rsid w:val="032C1F09"/>
    <w:rsid w:val="035A3286"/>
    <w:rsid w:val="03B64756"/>
    <w:rsid w:val="03FB06D5"/>
    <w:rsid w:val="0469325E"/>
    <w:rsid w:val="047A1299"/>
    <w:rsid w:val="047B14FB"/>
    <w:rsid w:val="048B07CE"/>
    <w:rsid w:val="04B33CE6"/>
    <w:rsid w:val="04BC223F"/>
    <w:rsid w:val="04D12E16"/>
    <w:rsid w:val="04E15217"/>
    <w:rsid w:val="04E83035"/>
    <w:rsid w:val="04FD01C0"/>
    <w:rsid w:val="055E0BF4"/>
    <w:rsid w:val="05A6640A"/>
    <w:rsid w:val="05D47115"/>
    <w:rsid w:val="06AB62C8"/>
    <w:rsid w:val="06C73992"/>
    <w:rsid w:val="073A04FC"/>
    <w:rsid w:val="0772543B"/>
    <w:rsid w:val="077305E3"/>
    <w:rsid w:val="079F4F94"/>
    <w:rsid w:val="07C55136"/>
    <w:rsid w:val="07CD0531"/>
    <w:rsid w:val="07D23B28"/>
    <w:rsid w:val="07FD0065"/>
    <w:rsid w:val="08D11764"/>
    <w:rsid w:val="08FA0F77"/>
    <w:rsid w:val="096E10A3"/>
    <w:rsid w:val="0A530C57"/>
    <w:rsid w:val="0A571439"/>
    <w:rsid w:val="0AA81371"/>
    <w:rsid w:val="0B1F0E32"/>
    <w:rsid w:val="0B242CDB"/>
    <w:rsid w:val="0B2D534F"/>
    <w:rsid w:val="0B9E444D"/>
    <w:rsid w:val="0BBF6BB4"/>
    <w:rsid w:val="0BF12592"/>
    <w:rsid w:val="0C345EBE"/>
    <w:rsid w:val="0C556F6C"/>
    <w:rsid w:val="0C7809C1"/>
    <w:rsid w:val="0CA2715E"/>
    <w:rsid w:val="0D7D2F98"/>
    <w:rsid w:val="0DF0688C"/>
    <w:rsid w:val="0E0B3EC4"/>
    <w:rsid w:val="0E1E3E17"/>
    <w:rsid w:val="0E2F6415"/>
    <w:rsid w:val="0E3015A8"/>
    <w:rsid w:val="0E383DBB"/>
    <w:rsid w:val="0ED111EF"/>
    <w:rsid w:val="0EF97C8B"/>
    <w:rsid w:val="0F3321D7"/>
    <w:rsid w:val="0F340AF5"/>
    <w:rsid w:val="0FFF3EA0"/>
    <w:rsid w:val="104A521B"/>
    <w:rsid w:val="10D4508F"/>
    <w:rsid w:val="10DA16C3"/>
    <w:rsid w:val="113A1037"/>
    <w:rsid w:val="11402131"/>
    <w:rsid w:val="116C6D9B"/>
    <w:rsid w:val="12144A4C"/>
    <w:rsid w:val="12274323"/>
    <w:rsid w:val="12792853"/>
    <w:rsid w:val="128E38FC"/>
    <w:rsid w:val="12977C5B"/>
    <w:rsid w:val="12CA19A9"/>
    <w:rsid w:val="131979D7"/>
    <w:rsid w:val="13753309"/>
    <w:rsid w:val="137E1546"/>
    <w:rsid w:val="13A740BB"/>
    <w:rsid w:val="13C3253D"/>
    <w:rsid w:val="13EC5FC0"/>
    <w:rsid w:val="14C77127"/>
    <w:rsid w:val="1517452C"/>
    <w:rsid w:val="153D308F"/>
    <w:rsid w:val="156C4FA6"/>
    <w:rsid w:val="158647F4"/>
    <w:rsid w:val="15D96070"/>
    <w:rsid w:val="15F202E1"/>
    <w:rsid w:val="160216D0"/>
    <w:rsid w:val="1641787C"/>
    <w:rsid w:val="1649653A"/>
    <w:rsid w:val="16860739"/>
    <w:rsid w:val="16AB203A"/>
    <w:rsid w:val="1705389A"/>
    <w:rsid w:val="170B5DA8"/>
    <w:rsid w:val="173931F9"/>
    <w:rsid w:val="174940E7"/>
    <w:rsid w:val="17656506"/>
    <w:rsid w:val="178D354C"/>
    <w:rsid w:val="17A66650"/>
    <w:rsid w:val="17EA48C1"/>
    <w:rsid w:val="17F45F59"/>
    <w:rsid w:val="180C6BE2"/>
    <w:rsid w:val="18146742"/>
    <w:rsid w:val="183E69BC"/>
    <w:rsid w:val="18701E4F"/>
    <w:rsid w:val="1881346C"/>
    <w:rsid w:val="188F2709"/>
    <w:rsid w:val="18A0023E"/>
    <w:rsid w:val="18A349BF"/>
    <w:rsid w:val="18AD3F21"/>
    <w:rsid w:val="18DE5562"/>
    <w:rsid w:val="192A5572"/>
    <w:rsid w:val="19935E0F"/>
    <w:rsid w:val="199B021E"/>
    <w:rsid w:val="19D67B1E"/>
    <w:rsid w:val="1A886516"/>
    <w:rsid w:val="1A8C3B1A"/>
    <w:rsid w:val="1AC55489"/>
    <w:rsid w:val="1B016E5B"/>
    <w:rsid w:val="1B5E62E3"/>
    <w:rsid w:val="1B8A18C6"/>
    <w:rsid w:val="1B983563"/>
    <w:rsid w:val="1BDC53F2"/>
    <w:rsid w:val="1C620459"/>
    <w:rsid w:val="1C7366B7"/>
    <w:rsid w:val="1C9B1BC8"/>
    <w:rsid w:val="1CBD66FD"/>
    <w:rsid w:val="1D130F0E"/>
    <w:rsid w:val="1D5D279C"/>
    <w:rsid w:val="1D721295"/>
    <w:rsid w:val="1D7E4261"/>
    <w:rsid w:val="1DBA42CB"/>
    <w:rsid w:val="1DC00253"/>
    <w:rsid w:val="1E1A7FBA"/>
    <w:rsid w:val="1E217E41"/>
    <w:rsid w:val="1E8E78CB"/>
    <w:rsid w:val="1F1C0E6C"/>
    <w:rsid w:val="1F3F7F6E"/>
    <w:rsid w:val="1F4D283F"/>
    <w:rsid w:val="1F68071B"/>
    <w:rsid w:val="20281966"/>
    <w:rsid w:val="209E5422"/>
    <w:rsid w:val="21122444"/>
    <w:rsid w:val="218C6806"/>
    <w:rsid w:val="21D05464"/>
    <w:rsid w:val="22385B62"/>
    <w:rsid w:val="2260408F"/>
    <w:rsid w:val="22FA20B6"/>
    <w:rsid w:val="232B3A85"/>
    <w:rsid w:val="23BB3852"/>
    <w:rsid w:val="23E62F23"/>
    <w:rsid w:val="23E67023"/>
    <w:rsid w:val="23FF584D"/>
    <w:rsid w:val="245C6B98"/>
    <w:rsid w:val="24C27484"/>
    <w:rsid w:val="24CB252C"/>
    <w:rsid w:val="250C2861"/>
    <w:rsid w:val="25D9208B"/>
    <w:rsid w:val="25F00525"/>
    <w:rsid w:val="260236E8"/>
    <w:rsid w:val="261F0915"/>
    <w:rsid w:val="26B113D9"/>
    <w:rsid w:val="26D24959"/>
    <w:rsid w:val="27084092"/>
    <w:rsid w:val="2713017F"/>
    <w:rsid w:val="271734C0"/>
    <w:rsid w:val="272B2C33"/>
    <w:rsid w:val="27505101"/>
    <w:rsid w:val="27820BC2"/>
    <w:rsid w:val="278E1A78"/>
    <w:rsid w:val="27CC5E4B"/>
    <w:rsid w:val="28043432"/>
    <w:rsid w:val="28CE1560"/>
    <w:rsid w:val="28F33199"/>
    <w:rsid w:val="291A6927"/>
    <w:rsid w:val="29AC3D11"/>
    <w:rsid w:val="29BC3A9C"/>
    <w:rsid w:val="2A092AB2"/>
    <w:rsid w:val="2A4B5B7C"/>
    <w:rsid w:val="2A64465C"/>
    <w:rsid w:val="2A674247"/>
    <w:rsid w:val="2A68533D"/>
    <w:rsid w:val="2A7E2845"/>
    <w:rsid w:val="2A991300"/>
    <w:rsid w:val="2AE64A3A"/>
    <w:rsid w:val="2B785C17"/>
    <w:rsid w:val="2BCD6D60"/>
    <w:rsid w:val="2C1C5785"/>
    <w:rsid w:val="2C37731C"/>
    <w:rsid w:val="2C4402A1"/>
    <w:rsid w:val="2C982A9C"/>
    <w:rsid w:val="2CEC10E5"/>
    <w:rsid w:val="2CF162E8"/>
    <w:rsid w:val="2D87411D"/>
    <w:rsid w:val="2D9D1A03"/>
    <w:rsid w:val="2DF94778"/>
    <w:rsid w:val="2E0B420B"/>
    <w:rsid w:val="2E2547BF"/>
    <w:rsid w:val="2E5F3C75"/>
    <w:rsid w:val="2F37683A"/>
    <w:rsid w:val="30854651"/>
    <w:rsid w:val="30C35E7B"/>
    <w:rsid w:val="31EE26C8"/>
    <w:rsid w:val="31FB698F"/>
    <w:rsid w:val="323A3E3E"/>
    <w:rsid w:val="32C7765E"/>
    <w:rsid w:val="32CA2532"/>
    <w:rsid w:val="32D9029E"/>
    <w:rsid w:val="33AC1C25"/>
    <w:rsid w:val="33B0446E"/>
    <w:rsid w:val="33EB3CEE"/>
    <w:rsid w:val="34142C4F"/>
    <w:rsid w:val="34AB4DE7"/>
    <w:rsid w:val="34B0337D"/>
    <w:rsid w:val="34C9605D"/>
    <w:rsid w:val="34E76882"/>
    <w:rsid w:val="350F5F0C"/>
    <w:rsid w:val="35FD4B22"/>
    <w:rsid w:val="3607373D"/>
    <w:rsid w:val="3627678C"/>
    <w:rsid w:val="36746E1E"/>
    <w:rsid w:val="36F529A6"/>
    <w:rsid w:val="371B42F4"/>
    <w:rsid w:val="376161AC"/>
    <w:rsid w:val="378C2150"/>
    <w:rsid w:val="37AE2B10"/>
    <w:rsid w:val="37F073E0"/>
    <w:rsid w:val="38431C78"/>
    <w:rsid w:val="387E353F"/>
    <w:rsid w:val="38B642D4"/>
    <w:rsid w:val="39517ED7"/>
    <w:rsid w:val="39534FCF"/>
    <w:rsid w:val="39B94D8B"/>
    <w:rsid w:val="39D76AC2"/>
    <w:rsid w:val="3AB73588"/>
    <w:rsid w:val="3ABF338F"/>
    <w:rsid w:val="3ACD09A4"/>
    <w:rsid w:val="3AE414BC"/>
    <w:rsid w:val="3AF42E20"/>
    <w:rsid w:val="3B11419E"/>
    <w:rsid w:val="3B222B91"/>
    <w:rsid w:val="3BD40429"/>
    <w:rsid w:val="3CCF267F"/>
    <w:rsid w:val="3CDF2357"/>
    <w:rsid w:val="3D5D2570"/>
    <w:rsid w:val="3DD94DF9"/>
    <w:rsid w:val="3E6443C0"/>
    <w:rsid w:val="3EEB31F8"/>
    <w:rsid w:val="3EFC0D98"/>
    <w:rsid w:val="3F004D6D"/>
    <w:rsid w:val="3F644550"/>
    <w:rsid w:val="401B42B1"/>
    <w:rsid w:val="401D42A1"/>
    <w:rsid w:val="403861BE"/>
    <w:rsid w:val="40565757"/>
    <w:rsid w:val="40DD7C7A"/>
    <w:rsid w:val="414601C0"/>
    <w:rsid w:val="415621B6"/>
    <w:rsid w:val="41650F9C"/>
    <w:rsid w:val="42004864"/>
    <w:rsid w:val="424A5077"/>
    <w:rsid w:val="426C0506"/>
    <w:rsid w:val="42AE426E"/>
    <w:rsid w:val="42B71D1D"/>
    <w:rsid w:val="43232629"/>
    <w:rsid w:val="43863141"/>
    <w:rsid w:val="43B73360"/>
    <w:rsid w:val="43D369D4"/>
    <w:rsid w:val="445115D2"/>
    <w:rsid w:val="447173A4"/>
    <w:rsid w:val="44B624A9"/>
    <w:rsid w:val="44FF0C3E"/>
    <w:rsid w:val="45156D9D"/>
    <w:rsid w:val="456E2077"/>
    <w:rsid w:val="45A55DFD"/>
    <w:rsid w:val="45B705F7"/>
    <w:rsid w:val="45D17A1D"/>
    <w:rsid w:val="46064ACA"/>
    <w:rsid w:val="46171BE8"/>
    <w:rsid w:val="46372397"/>
    <w:rsid w:val="46536F4D"/>
    <w:rsid w:val="473B0685"/>
    <w:rsid w:val="47411156"/>
    <w:rsid w:val="475C24EB"/>
    <w:rsid w:val="47733101"/>
    <w:rsid w:val="477D30ED"/>
    <w:rsid w:val="478F1D61"/>
    <w:rsid w:val="47AF75A2"/>
    <w:rsid w:val="47B343B5"/>
    <w:rsid w:val="480C5B3E"/>
    <w:rsid w:val="48270D4B"/>
    <w:rsid w:val="48376AB4"/>
    <w:rsid w:val="484C656D"/>
    <w:rsid w:val="488E6141"/>
    <w:rsid w:val="48D60657"/>
    <w:rsid w:val="48E72288"/>
    <w:rsid w:val="492E6109"/>
    <w:rsid w:val="492F1990"/>
    <w:rsid w:val="49376FD1"/>
    <w:rsid w:val="497273C6"/>
    <w:rsid w:val="4A621E0C"/>
    <w:rsid w:val="4A8E0342"/>
    <w:rsid w:val="4B2F2B3C"/>
    <w:rsid w:val="4C051C9C"/>
    <w:rsid w:val="4C0650FC"/>
    <w:rsid w:val="4C2F48E8"/>
    <w:rsid w:val="4D0922FF"/>
    <w:rsid w:val="4D0B6B9A"/>
    <w:rsid w:val="4D3F37D3"/>
    <w:rsid w:val="4D465B41"/>
    <w:rsid w:val="4DB92B07"/>
    <w:rsid w:val="4E3465C6"/>
    <w:rsid w:val="4E4D7031"/>
    <w:rsid w:val="4EA973E8"/>
    <w:rsid w:val="4EAC070E"/>
    <w:rsid w:val="4EFF0E96"/>
    <w:rsid w:val="4F0973FC"/>
    <w:rsid w:val="4F837F80"/>
    <w:rsid w:val="4FE56D34"/>
    <w:rsid w:val="50092009"/>
    <w:rsid w:val="501B3F38"/>
    <w:rsid w:val="503A3C26"/>
    <w:rsid w:val="509C4042"/>
    <w:rsid w:val="50AE5B33"/>
    <w:rsid w:val="50C529B2"/>
    <w:rsid w:val="50CB44F3"/>
    <w:rsid w:val="50F33EC0"/>
    <w:rsid w:val="51185ECD"/>
    <w:rsid w:val="511E40BF"/>
    <w:rsid w:val="514D16F8"/>
    <w:rsid w:val="51AE5717"/>
    <w:rsid w:val="51BC2454"/>
    <w:rsid w:val="52124463"/>
    <w:rsid w:val="5224261C"/>
    <w:rsid w:val="52627DAB"/>
    <w:rsid w:val="52E8059B"/>
    <w:rsid w:val="53204D14"/>
    <w:rsid w:val="53287732"/>
    <w:rsid w:val="5338000B"/>
    <w:rsid w:val="536F6135"/>
    <w:rsid w:val="537A6DDA"/>
    <w:rsid w:val="53BB67EB"/>
    <w:rsid w:val="540E33C8"/>
    <w:rsid w:val="547406A5"/>
    <w:rsid w:val="54902AE5"/>
    <w:rsid w:val="549239F0"/>
    <w:rsid w:val="54CA0AEC"/>
    <w:rsid w:val="54FE4CB3"/>
    <w:rsid w:val="551A2618"/>
    <w:rsid w:val="55512FE3"/>
    <w:rsid w:val="55C059BE"/>
    <w:rsid w:val="56B2378D"/>
    <w:rsid w:val="570E1B7D"/>
    <w:rsid w:val="573C6112"/>
    <w:rsid w:val="574949AA"/>
    <w:rsid w:val="576D2C49"/>
    <w:rsid w:val="580501AF"/>
    <w:rsid w:val="587D13BE"/>
    <w:rsid w:val="589658F5"/>
    <w:rsid w:val="591612EA"/>
    <w:rsid w:val="594F2A8B"/>
    <w:rsid w:val="59741916"/>
    <w:rsid w:val="59DD2FE2"/>
    <w:rsid w:val="59FD6874"/>
    <w:rsid w:val="5A0F6842"/>
    <w:rsid w:val="5A7D1893"/>
    <w:rsid w:val="5AA058D9"/>
    <w:rsid w:val="5AC16DDD"/>
    <w:rsid w:val="5AD9194A"/>
    <w:rsid w:val="5AF65560"/>
    <w:rsid w:val="5B4E5095"/>
    <w:rsid w:val="5B962018"/>
    <w:rsid w:val="5BAE468B"/>
    <w:rsid w:val="5BB66258"/>
    <w:rsid w:val="5BBB7978"/>
    <w:rsid w:val="5BC273C6"/>
    <w:rsid w:val="5C1178F0"/>
    <w:rsid w:val="5C436D2D"/>
    <w:rsid w:val="5C8C07FD"/>
    <w:rsid w:val="5C9B11DA"/>
    <w:rsid w:val="5CD478FD"/>
    <w:rsid w:val="5CE60D7D"/>
    <w:rsid w:val="5D431218"/>
    <w:rsid w:val="5D4361AE"/>
    <w:rsid w:val="5DB8520C"/>
    <w:rsid w:val="5E1D0CD6"/>
    <w:rsid w:val="5E520791"/>
    <w:rsid w:val="5E535EE5"/>
    <w:rsid w:val="5E7B2122"/>
    <w:rsid w:val="5E9D5287"/>
    <w:rsid w:val="5EC6593C"/>
    <w:rsid w:val="5EE4309A"/>
    <w:rsid w:val="5F1B0131"/>
    <w:rsid w:val="5F6829C1"/>
    <w:rsid w:val="5FAA1071"/>
    <w:rsid w:val="5FF655F4"/>
    <w:rsid w:val="603551EA"/>
    <w:rsid w:val="60626EEF"/>
    <w:rsid w:val="6105188D"/>
    <w:rsid w:val="61190549"/>
    <w:rsid w:val="61533A4A"/>
    <w:rsid w:val="619009B0"/>
    <w:rsid w:val="61C70043"/>
    <w:rsid w:val="61DF2C4E"/>
    <w:rsid w:val="621F4EBE"/>
    <w:rsid w:val="62251304"/>
    <w:rsid w:val="62634407"/>
    <w:rsid w:val="62CB6998"/>
    <w:rsid w:val="62D529B7"/>
    <w:rsid w:val="630B67BC"/>
    <w:rsid w:val="63767625"/>
    <w:rsid w:val="63D50725"/>
    <w:rsid w:val="63E45C9B"/>
    <w:rsid w:val="63FD5C20"/>
    <w:rsid w:val="64AA535B"/>
    <w:rsid w:val="64BA6126"/>
    <w:rsid w:val="652E734E"/>
    <w:rsid w:val="654939E3"/>
    <w:rsid w:val="65632BDF"/>
    <w:rsid w:val="656C2A0B"/>
    <w:rsid w:val="6572002E"/>
    <w:rsid w:val="658871DE"/>
    <w:rsid w:val="65A82464"/>
    <w:rsid w:val="65CC201A"/>
    <w:rsid w:val="65D01B96"/>
    <w:rsid w:val="66C043ED"/>
    <w:rsid w:val="66EF02BB"/>
    <w:rsid w:val="670648FC"/>
    <w:rsid w:val="6792042E"/>
    <w:rsid w:val="679C2F96"/>
    <w:rsid w:val="67EB6046"/>
    <w:rsid w:val="685444F2"/>
    <w:rsid w:val="68814B19"/>
    <w:rsid w:val="68A77392"/>
    <w:rsid w:val="68F54D97"/>
    <w:rsid w:val="69490586"/>
    <w:rsid w:val="69FA19C4"/>
    <w:rsid w:val="6A6A6FEF"/>
    <w:rsid w:val="6AAD2347"/>
    <w:rsid w:val="6B5F47B0"/>
    <w:rsid w:val="6BB20337"/>
    <w:rsid w:val="6C4756A6"/>
    <w:rsid w:val="6CCE1AA4"/>
    <w:rsid w:val="6CF50CA9"/>
    <w:rsid w:val="6D0E349F"/>
    <w:rsid w:val="6D3214C6"/>
    <w:rsid w:val="6D532409"/>
    <w:rsid w:val="6DA06F00"/>
    <w:rsid w:val="6DCC3677"/>
    <w:rsid w:val="6DFC00C1"/>
    <w:rsid w:val="6E2E04FD"/>
    <w:rsid w:val="6E6F07C3"/>
    <w:rsid w:val="6E825190"/>
    <w:rsid w:val="6E906D9A"/>
    <w:rsid w:val="6E9C0A6D"/>
    <w:rsid w:val="6EA02F2B"/>
    <w:rsid w:val="6EB428FB"/>
    <w:rsid w:val="6EFC09F4"/>
    <w:rsid w:val="6F074403"/>
    <w:rsid w:val="6F2B4E84"/>
    <w:rsid w:val="6FA678F9"/>
    <w:rsid w:val="6FB4571F"/>
    <w:rsid w:val="6FF758AD"/>
    <w:rsid w:val="7047792D"/>
    <w:rsid w:val="715F4A78"/>
    <w:rsid w:val="71671E50"/>
    <w:rsid w:val="719C1094"/>
    <w:rsid w:val="723D4B43"/>
    <w:rsid w:val="72950CCE"/>
    <w:rsid w:val="72B77BD7"/>
    <w:rsid w:val="72DB02EA"/>
    <w:rsid w:val="72DF0017"/>
    <w:rsid w:val="731A30D6"/>
    <w:rsid w:val="73E2490F"/>
    <w:rsid w:val="743B3304"/>
    <w:rsid w:val="74EB4D2A"/>
    <w:rsid w:val="74FE30DA"/>
    <w:rsid w:val="757035C8"/>
    <w:rsid w:val="759620BF"/>
    <w:rsid w:val="759D68D9"/>
    <w:rsid w:val="75A11315"/>
    <w:rsid w:val="75CB444F"/>
    <w:rsid w:val="76684159"/>
    <w:rsid w:val="77862AE9"/>
    <w:rsid w:val="77863BCF"/>
    <w:rsid w:val="77A071CF"/>
    <w:rsid w:val="781466F3"/>
    <w:rsid w:val="782177E9"/>
    <w:rsid w:val="785C52A4"/>
    <w:rsid w:val="78D422C7"/>
    <w:rsid w:val="79072C58"/>
    <w:rsid w:val="79867B5E"/>
    <w:rsid w:val="79CD0EA3"/>
    <w:rsid w:val="7A9D0F2F"/>
    <w:rsid w:val="7AB46E49"/>
    <w:rsid w:val="7AE4454E"/>
    <w:rsid w:val="7B3F716E"/>
    <w:rsid w:val="7BDE7397"/>
    <w:rsid w:val="7C1B07EF"/>
    <w:rsid w:val="7C211FB3"/>
    <w:rsid w:val="7C5C3B46"/>
    <w:rsid w:val="7C6D071B"/>
    <w:rsid w:val="7C7C270C"/>
    <w:rsid w:val="7D2C717C"/>
    <w:rsid w:val="7D351A13"/>
    <w:rsid w:val="7DED533C"/>
    <w:rsid w:val="7E116F41"/>
    <w:rsid w:val="7E1A042F"/>
    <w:rsid w:val="7E602535"/>
    <w:rsid w:val="7EB048EF"/>
    <w:rsid w:val="7EDB3D59"/>
    <w:rsid w:val="7F8C4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6"/>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310"/>
    <w:qFormat/>
    <w:uiPriority w:val="0"/>
    <w:pPr>
      <w:keepNext/>
      <w:keepLines/>
      <w:spacing w:before="260" w:after="260" w:line="416" w:lineRule="auto"/>
      <w:outlineLvl w:val="2"/>
    </w:pPr>
    <w:rPr>
      <w:b/>
      <w:bCs/>
      <w:sz w:val="32"/>
      <w:szCs w:val="32"/>
    </w:rPr>
  </w:style>
  <w:style w:type="paragraph" w:styleId="6">
    <w:name w:val="heading 4"/>
    <w:basedOn w:val="1"/>
    <w:next w:val="1"/>
    <w:link w:val="169"/>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83"/>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239"/>
    <w:qFormat/>
    <w:uiPriority w:val="0"/>
    <w:pPr>
      <w:keepNext/>
      <w:keepLines/>
      <w:ind w:firstLine="200" w:firstLineChars="200"/>
      <w:outlineLvl w:val="5"/>
    </w:pPr>
    <w:rPr>
      <w:rFonts w:hAnsi="Arial"/>
    </w:rPr>
  </w:style>
  <w:style w:type="paragraph" w:styleId="10">
    <w:name w:val="heading 7"/>
    <w:basedOn w:val="1"/>
    <w:next w:val="1"/>
    <w:link w:val="294"/>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53"/>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252"/>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36"/>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73"/>
    <w:qFormat/>
    <w:uiPriority w:val="0"/>
    <w:pPr>
      <w:shd w:val="clear" w:color="auto" w:fill="000080"/>
    </w:pPr>
  </w:style>
  <w:style w:type="paragraph" w:styleId="16">
    <w:name w:val="annotation text"/>
    <w:basedOn w:val="1"/>
    <w:link w:val="316"/>
    <w:qFormat/>
    <w:uiPriority w:val="99"/>
    <w:pPr>
      <w:jc w:val="left"/>
    </w:pPr>
  </w:style>
  <w:style w:type="paragraph" w:styleId="17">
    <w:name w:val="Body Text 3"/>
    <w:basedOn w:val="1"/>
    <w:link w:val="268"/>
    <w:qFormat/>
    <w:uiPriority w:val="0"/>
    <w:pPr>
      <w:spacing w:after="120"/>
    </w:pPr>
    <w:rPr>
      <w:sz w:val="16"/>
      <w:szCs w:val="16"/>
    </w:rPr>
  </w:style>
  <w:style w:type="paragraph" w:styleId="18">
    <w:name w:val="Body Text Indent"/>
    <w:basedOn w:val="1"/>
    <w:link w:val="251"/>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213"/>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77"/>
    <w:qFormat/>
    <w:uiPriority w:val="0"/>
    <w:pPr>
      <w:ind w:left="100" w:leftChars="2500"/>
    </w:pPr>
  </w:style>
  <w:style w:type="paragraph" w:styleId="26">
    <w:name w:val="Body Text Indent 2"/>
    <w:basedOn w:val="1"/>
    <w:link w:val="248"/>
    <w:qFormat/>
    <w:uiPriority w:val="0"/>
    <w:pPr>
      <w:widowControl/>
      <w:spacing w:line="480" w:lineRule="auto"/>
      <w:ind w:firstLine="560"/>
      <w:jc w:val="left"/>
    </w:pPr>
    <w:rPr>
      <w:kern w:val="0"/>
      <w:sz w:val="28"/>
    </w:rPr>
  </w:style>
  <w:style w:type="paragraph" w:styleId="27">
    <w:name w:val="endnote text"/>
    <w:basedOn w:val="1"/>
    <w:link w:val="221"/>
    <w:qFormat/>
    <w:uiPriority w:val="0"/>
    <w:pPr>
      <w:widowControl/>
      <w:snapToGrid w:val="0"/>
      <w:jc w:val="left"/>
    </w:pPr>
    <w:rPr>
      <w:rFonts w:ascii="Arial" w:hAnsi="Arial" w:cs="Arial"/>
      <w:kern w:val="0"/>
      <w:sz w:val="20"/>
      <w:lang w:eastAsia="en-US"/>
    </w:rPr>
  </w:style>
  <w:style w:type="paragraph" w:styleId="28">
    <w:name w:val="Balloon Text"/>
    <w:basedOn w:val="1"/>
    <w:link w:val="216"/>
    <w:qFormat/>
    <w:uiPriority w:val="0"/>
    <w:rPr>
      <w:sz w:val="18"/>
      <w:szCs w:val="18"/>
    </w:rPr>
  </w:style>
  <w:style w:type="paragraph" w:styleId="29">
    <w:name w:val="footer"/>
    <w:basedOn w:val="1"/>
    <w:link w:val="208"/>
    <w:qFormat/>
    <w:uiPriority w:val="0"/>
    <w:pPr>
      <w:tabs>
        <w:tab w:val="center" w:pos="4153"/>
        <w:tab w:val="right" w:pos="8306"/>
      </w:tabs>
      <w:snapToGrid w:val="0"/>
      <w:jc w:val="left"/>
    </w:pPr>
    <w:rPr>
      <w:sz w:val="18"/>
      <w:szCs w:val="18"/>
    </w:rPr>
  </w:style>
  <w:style w:type="paragraph" w:styleId="30">
    <w:name w:val="header"/>
    <w:basedOn w:val="1"/>
    <w:link w:val="302"/>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18"/>
    <w:qFormat/>
    <w:uiPriority w:val="0"/>
    <w:pPr>
      <w:widowControl/>
      <w:jc w:val="center"/>
    </w:pPr>
    <w:rPr>
      <w:kern w:val="0"/>
      <w:sz w:val="20"/>
      <w:u w:val="single"/>
      <w:lang w:eastAsia="en-US"/>
    </w:rPr>
  </w:style>
  <w:style w:type="paragraph" w:styleId="34">
    <w:name w:val="footnote text"/>
    <w:basedOn w:val="1"/>
    <w:next w:val="35"/>
    <w:link w:val="296"/>
    <w:qFormat/>
    <w:uiPriority w:val="0"/>
    <w:pPr>
      <w:widowControl/>
      <w:snapToGrid w:val="0"/>
      <w:jc w:val="left"/>
    </w:pPr>
    <w:rPr>
      <w:rFonts w:ascii="Arial" w:hAnsi="Arial" w:cs="Arial"/>
      <w:kern w:val="0"/>
      <w:sz w:val="18"/>
      <w:szCs w:val="18"/>
      <w:lang w:eastAsia="en-US"/>
    </w:rPr>
  </w:style>
  <w:style w:type="paragraph" w:styleId="35">
    <w:name w:val="Body Text First Indent 2"/>
    <w:basedOn w:val="18"/>
    <w:next w:val="1"/>
    <w:qFormat/>
    <w:uiPriority w:val="0"/>
    <w:pPr>
      <w:ind w:firstLine="420" w:firstLineChars="200"/>
    </w:pPr>
    <w:rPr>
      <w:sz w:val="30"/>
    </w:rPr>
  </w:style>
  <w:style w:type="paragraph" w:styleId="36">
    <w:name w:val="toc 6"/>
    <w:basedOn w:val="1"/>
    <w:next w:val="1"/>
    <w:qFormat/>
    <w:uiPriority w:val="39"/>
    <w:pPr>
      <w:ind w:left="1050"/>
      <w:jc w:val="left"/>
    </w:pPr>
    <w:rPr>
      <w:sz w:val="18"/>
      <w:szCs w:val="18"/>
    </w:rPr>
  </w:style>
  <w:style w:type="paragraph" w:styleId="37">
    <w:name w:val="Body Text Indent 3"/>
    <w:basedOn w:val="1"/>
    <w:link w:val="255"/>
    <w:qFormat/>
    <w:uiPriority w:val="0"/>
    <w:pPr>
      <w:spacing w:line="360" w:lineRule="auto"/>
      <w:ind w:firstLine="280" w:firstLineChars="100"/>
    </w:pPr>
    <w:rPr>
      <w:rFonts w:ascii="宋体" w:hAnsi="宋体"/>
      <w:sz w:val="28"/>
      <w:szCs w:val="28"/>
    </w:rPr>
  </w:style>
  <w:style w:type="paragraph" w:styleId="38">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qFormat/>
    <w:uiPriority w:val="39"/>
    <w:pPr>
      <w:ind w:left="1680"/>
      <w:jc w:val="left"/>
    </w:pPr>
    <w:rPr>
      <w:sz w:val="18"/>
      <w:szCs w:val="18"/>
    </w:rPr>
  </w:style>
  <w:style w:type="paragraph" w:styleId="40">
    <w:name w:val="Body Text 2"/>
    <w:basedOn w:val="1"/>
    <w:link w:val="242"/>
    <w:qFormat/>
    <w:uiPriority w:val="0"/>
    <w:rPr>
      <w:i/>
      <w:iCs/>
      <w:sz w:val="26"/>
    </w:rPr>
  </w:style>
  <w:style w:type="paragraph" w:styleId="41">
    <w:name w:val="HTML Preformatted"/>
    <w:basedOn w:val="1"/>
    <w:link w:val="17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247"/>
    <w:qFormat/>
    <w:uiPriority w:val="0"/>
    <w:pPr>
      <w:widowControl/>
      <w:jc w:val="center"/>
    </w:pPr>
    <w:rPr>
      <w:kern w:val="0"/>
      <w:sz w:val="20"/>
      <w:u w:val="single"/>
      <w:lang w:eastAsia="en-US"/>
    </w:rPr>
  </w:style>
  <w:style w:type="paragraph" w:styleId="45">
    <w:name w:val="annotation subject"/>
    <w:basedOn w:val="16"/>
    <w:next w:val="16"/>
    <w:link w:val="291"/>
    <w:qFormat/>
    <w:uiPriority w:val="0"/>
    <w:rPr>
      <w:b/>
      <w:bCs/>
    </w:rPr>
  </w:style>
  <w:style w:type="table" w:styleId="47">
    <w:name w:val="Table Grid"/>
    <w:basedOn w:val="4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TML Definition"/>
    <w:basedOn w:val="48"/>
    <w:qFormat/>
    <w:uiPriority w:val="0"/>
  </w:style>
  <w:style w:type="character" w:styleId="55">
    <w:name w:val="HTML Typewriter"/>
    <w:basedOn w:val="48"/>
    <w:qFormat/>
    <w:uiPriority w:val="0"/>
    <w:rPr>
      <w:rFonts w:hint="default" w:ascii="monospace" w:hAnsi="monospace" w:eastAsia="monospace" w:cs="monospace"/>
      <w:sz w:val="20"/>
    </w:rPr>
  </w:style>
  <w:style w:type="character" w:styleId="56">
    <w:name w:val="HTML Acronym"/>
    <w:basedOn w:val="48"/>
    <w:qFormat/>
    <w:uiPriority w:val="0"/>
  </w:style>
  <w:style w:type="character" w:styleId="57">
    <w:name w:val="HTML Variable"/>
    <w:basedOn w:val="48"/>
    <w:qFormat/>
    <w:uiPriority w:val="0"/>
  </w:style>
  <w:style w:type="character" w:styleId="58">
    <w:name w:val="Hyperlink"/>
    <w:qFormat/>
    <w:uiPriority w:val="99"/>
    <w:rPr>
      <w:color w:val="0000FF"/>
      <w:u w:val="single"/>
    </w:rPr>
  </w:style>
  <w:style w:type="character" w:styleId="59">
    <w:name w:val="HTML Code"/>
    <w:basedOn w:val="48"/>
    <w:qFormat/>
    <w:uiPriority w:val="0"/>
    <w:rPr>
      <w:rFonts w:ascii="monospace" w:hAnsi="monospace" w:eastAsia="monospace" w:cs="monospace"/>
      <w:sz w:val="20"/>
    </w:rPr>
  </w:style>
  <w:style w:type="character" w:styleId="60">
    <w:name w:val="annotation reference"/>
    <w:qFormat/>
    <w:uiPriority w:val="0"/>
    <w:rPr>
      <w:sz w:val="21"/>
      <w:szCs w:val="21"/>
    </w:rPr>
  </w:style>
  <w:style w:type="character" w:styleId="61">
    <w:name w:val="HTML Cite"/>
    <w:basedOn w:val="48"/>
    <w:qFormat/>
    <w:uiPriority w:val="0"/>
  </w:style>
  <w:style w:type="character" w:styleId="62">
    <w:name w:val="footnote reference"/>
    <w:qFormat/>
    <w:uiPriority w:val="0"/>
    <w:rPr>
      <w:vertAlign w:val="superscript"/>
    </w:rPr>
  </w:style>
  <w:style w:type="character" w:styleId="63">
    <w:name w:val="HTML Keyboard"/>
    <w:basedOn w:val="48"/>
    <w:qFormat/>
    <w:uiPriority w:val="0"/>
    <w:rPr>
      <w:rFonts w:hint="default" w:ascii="monospace" w:hAnsi="monospace" w:eastAsia="monospace" w:cs="monospace"/>
      <w:sz w:val="20"/>
    </w:rPr>
  </w:style>
  <w:style w:type="character" w:styleId="64">
    <w:name w:val="HTML Sample"/>
    <w:basedOn w:val="48"/>
    <w:qFormat/>
    <w:uiPriority w:val="0"/>
    <w:rPr>
      <w:rFonts w:hint="default" w:ascii="monospace" w:hAnsi="monospace" w:eastAsia="monospace" w:cs="monospace"/>
    </w:rPr>
  </w:style>
  <w:style w:type="paragraph" w:customStyle="1" w:styleId="65">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66">
    <w:name w:val="Heading3"/>
    <w:basedOn w:val="1"/>
    <w:next w:val="1"/>
    <w:qFormat/>
    <w:uiPriority w:val="99"/>
    <w:pPr>
      <w:spacing w:before="16"/>
      <w:jc w:val="left"/>
    </w:pPr>
    <w:rPr>
      <w:rFonts w:ascii="仿宋_GB2312" w:hAnsi="宋体" w:eastAsia="仿宋_GB2312" w:cs="仿宋_GB2312"/>
      <w:b/>
      <w:bCs/>
      <w:sz w:val="24"/>
      <w:szCs w:val="24"/>
    </w:rPr>
  </w:style>
  <w:style w:type="paragraph" w:customStyle="1" w:styleId="67">
    <w:name w:val="列出段落1"/>
    <w:basedOn w:val="1"/>
    <w:qFormat/>
    <w:uiPriority w:val="99"/>
    <w:pPr>
      <w:ind w:firstLine="420" w:firstLineChars="200"/>
    </w:pPr>
    <w:rPr>
      <w:sz w:val="28"/>
      <w:szCs w:val="28"/>
    </w:rPr>
  </w:style>
  <w:style w:type="paragraph" w:customStyle="1" w:styleId="68">
    <w:name w:val="_Style 56"/>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9">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70">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71">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7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73">
    <w:name w:val="1 Char"/>
    <w:basedOn w:val="1"/>
    <w:qFormat/>
    <w:uiPriority w:val="0"/>
    <w:pPr>
      <w:widowControl/>
      <w:spacing w:after="160" w:line="240" w:lineRule="exact"/>
      <w:jc w:val="left"/>
    </w:pPr>
    <w:rPr>
      <w:rFonts w:ascii="Calibri" w:hAnsi="Calibri"/>
      <w:szCs w:val="20"/>
    </w:rPr>
  </w:style>
  <w:style w:type="paragraph" w:customStyle="1" w:styleId="74">
    <w:name w:val="列表段落1"/>
    <w:basedOn w:val="1"/>
    <w:qFormat/>
    <w:uiPriority w:val="34"/>
    <w:pPr>
      <w:ind w:firstLine="420" w:firstLineChars="200"/>
    </w:pPr>
    <w:rPr>
      <w:rFonts w:ascii="Calibri" w:hAnsi="Calibri"/>
    </w:rPr>
  </w:style>
  <w:style w:type="paragraph" w:customStyle="1" w:styleId="75">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76">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7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78">
    <w:name w:val="TOC 标题2"/>
    <w:basedOn w:val="3"/>
    <w:next w:val="1"/>
    <w:unhideWhenUsed/>
    <w:qFormat/>
    <w:uiPriority w:val="0"/>
    <w:pPr>
      <w:outlineLvl w:val="9"/>
    </w:pPr>
    <w:rPr>
      <w:rFonts w:ascii="Calibri" w:hAnsi="Calibri"/>
    </w:rPr>
  </w:style>
  <w:style w:type="paragraph" w:customStyle="1" w:styleId="79">
    <w:name w:val="样式1"/>
    <w:basedOn w:val="1"/>
    <w:next w:val="6"/>
    <w:qFormat/>
    <w:uiPriority w:val="0"/>
    <w:pPr>
      <w:spacing w:line="360" w:lineRule="auto"/>
      <w:ind w:firstLine="420" w:firstLineChars="200"/>
    </w:pPr>
    <w:rPr>
      <w:rFonts w:ascii="宋体" w:hAnsi="宋体"/>
      <w:szCs w:val="21"/>
    </w:rPr>
  </w:style>
  <w:style w:type="paragraph" w:customStyle="1" w:styleId="80">
    <w:name w:val="列出段落111"/>
    <w:basedOn w:val="1"/>
    <w:qFormat/>
    <w:uiPriority w:val="0"/>
    <w:pPr>
      <w:ind w:firstLine="420" w:firstLineChars="200"/>
    </w:pPr>
    <w:rPr>
      <w:sz w:val="28"/>
      <w:szCs w:val="28"/>
    </w:rPr>
  </w:style>
  <w:style w:type="paragraph" w:customStyle="1" w:styleId="81">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82">
    <w:name w:val="pa-27"/>
    <w:basedOn w:val="1"/>
    <w:qFormat/>
    <w:uiPriority w:val="0"/>
    <w:pPr>
      <w:widowControl/>
      <w:spacing w:line="360" w:lineRule="atLeast"/>
      <w:ind w:firstLine="420"/>
    </w:pPr>
    <w:rPr>
      <w:rFonts w:ascii="宋体" w:hAnsi="宋体" w:cs="宋体"/>
      <w:kern w:val="0"/>
      <w:sz w:val="24"/>
    </w:rPr>
  </w:style>
  <w:style w:type="paragraph" w:customStyle="1" w:styleId="83">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84">
    <w:name w:val="_Style 72"/>
    <w:qFormat/>
    <w:uiPriority w:val="0"/>
    <w:rPr>
      <w:rFonts w:ascii="Times New Roman" w:hAnsi="Times New Roman" w:eastAsia="宋体" w:cs="Times New Roman"/>
      <w:kern w:val="2"/>
      <w:sz w:val="21"/>
      <w:szCs w:val="24"/>
      <w:lang w:val="en-US" w:eastAsia="zh-CN" w:bidi="ar-SA"/>
    </w:rPr>
  </w:style>
  <w:style w:type="paragraph" w:customStyle="1" w:styleId="85">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86">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7">
    <w:name w:val="Char Char Char Char"/>
    <w:basedOn w:val="15"/>
    <w:qFormat/>
    <w:uiPriority w:val="0"/>
    <w:pPr>
      <w:spacing w:line="360" w:lineRule="auto"/>
      <w:ind w:firstLine="200" w:firstLineChars="200"/>
    </w:pPr>
    <w:rPr>
      <w:rFonts w:ascii="Tahoma" w:hAnsi="Tahoma"/>
      <w:sz w:val="24"/>
    </w:rPr>
  </w:style>
  <w:style w:type="paragraph" w:customStyle="1" w:styleId="88">
    <w:name w:val="表格内容"/>
    <w:basedOn w:val="1"/>
    <w:qFormat/>
    <w:uiPriority w:val="0"/>
    <w:pPr>
      <w:suppressLineNumbers/>
      <w:suppressAutoHyphens/>
    </w:pPr>
  </w:style>
  <w:style w:type="paragraph" w:customStyle="1" w:styleId="8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9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91">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2">
    <w:name w:val="明显引用1"/>
    <w:basedOn w:val="1"/>
    <w:next w:val="1"/>
    <w:link w:val="286"/>
    <w:qFormat/>
    <w:uiPriority w:val="0"/>
    <w:pPr>
      <w:pBdr>
        <w:bottom w:val="single" w:color="4F81BD" w:sz="4" w:space="4"/>
      </w:pBdr>
      <w:spacing w:before="200" w:after="280"/>
      <w:ind w:left="936" w:right="936"/>
    </w:pPr>
    <w:rPr>
      <w:b/>
      <w:bCs/>
      <w:i/>
      <w:iCs/>
      <w:color w:val="4F81BD"/>
      <w:szCs w:val="22"/>
    </w:rPr>
  </w:style>
  <w:style w:type="paragraph" w:customStyle="1" w:styleId="93">
    <w:name w:val="表体"/>
    <w:basedOn w:val="1"/>
    <w:next w:val="1"/>
    <w:qFormat/>
    <w:uiPriority w:val="0"/>
    <w:pPr>
      <w:spacing w:line="0" w:lineRule="atLeast"/>
    </w:pPr>
    <w:rPr>
      <w:rFonts w:ascii="Calibri" w:hAnsi="Calibri"/>
      <w:b/>
      <w:snapToGrid w:val="0"/>
      <w:szCs w:val="20"/>
    </w:rPr>
  </w:style>
  <w:style w:type="paragraph" w:customStyle="1" w:styleId="9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95">
    <w:name w:val="pa-34"/>
    <w:basedOn w:val="1"/>
    <w:qFormat/>
    <w:uiPriority w:val="0"/>
    <w:pPr>
      <w:widowControl/>
      <w:spacing w:line="360" w:lineRule="atLeast"/>
      <w:ind w:firstLine="420"/>
      <w:jc w:val="left"/>
    </w:pPr>
    <w:rPr>
      <w:rFonts w:ascii="宋体" w:hAnsi="宋体" w:cs="宋体"/>
      <w:kern w:val="0"/>
      <w:sz w:val="24"/>
    </w:rPr>
  </w:style>
  <w:style w:type="paragraph" w:customStyle="1" w:styleId="96">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98">
    <w:name w:val="p16"/>
    <w:basedOn w:val="1"/>
    <w:qFormat/>
    <w:uiPriority w:val="0"/>
    <w:pPr>
      <w:widowControl/>
    </w:pPr>
    <w:rPr>
      <w:rFonts w:ascii="Calibri" w:hAnsi="Calibri" w:cs="宋体"/>
      <w:kern w:val="0"/>
      <w:szCs w:val="21"/>
    </w:rPr>
  </w:style>
  <w:style w:type="paragraph" w:customStyle="1" w:styleId="9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00">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0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2">
    <w:name w:val="标题4"/>
    <w:basedOn w:val="4"/>
    <w:next w:val="20"/>
    <w:link w:val="297"/>
    <w:qFormat/>
    <w:uiPriority w:val="0"/>
    <w:pPr>
      <w:spacing w:line="413" w:lineRule="auto"/>
    </w:pPr>
    <w:rPr>
      <w:rFonts w:ascii="Arial" w:hAnsi="Arial"/>
      <w:kern w:val="0"/>
      <w:sz w:val="24"/>
    </w:rPr>
  </w:style>
  <w:style w:type="paragraph" w:customStyle="1" w:styleId="103">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6">
    <w:name w:val="WW-表格内容"/>
    <w:basedOn w:val="1"/>
    <w:qFormat/>
    <w:uiPriority w:val="0"/>
    <w:pPr>
      <w:suppressLineNumbers/>
      <w:suppressAutoHyphens/>
    </w:pPr>
  </w:style>
  <w:style w:type="paragraph" w:customStyle="1" w:styleId="107">
    <w:name w:val="Char"/>
    <w:basedOn w:val="1"/>
    <w:qFormat/>
    <w:uiPriority w:val="0"/>
  </w:style>
  <w:style w:type="paragraph" w:customStyle="1" w:styleId="108">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09">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10">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1">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12">
    <w:name w:val="Char9 Char Char Char Char Char Char"/>
    <w:basedOn w:val="15"/>
    <w:qFormat/>
    <w:uiPriority w:val="0"/>
    <w:pPr>
      <w:spacing w:line="360" w:lineRule="auto"/>
      <w:ind w:firstLine="200" w:firstLineChars="200"/>
    </w:pPr>
    <w:rPr>
      <w:rFonts w:ascii="Tahoma" w:hAnsi="Tahoma"/>
      <w:sz w:val="24"/>
    </w:rPr>
  </w:style>
  <w:style w:type="paragraph" w:customStyle="1" w:styleId="11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14">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15">
    <w:name w:val="p15"/>
    <w:basedOn w:val="1"/>
    <w:qFormat/>
    <w:uiPriority w:val="0"/>
    <w:pPr>
      <w:widowControl/>
      <w:spacing w:after="120"/>
    </w:pPr>
    <w:rPr>
      <w:kern w:val="0"/>
      <w:szCs w:val="21"/>
    </w:rPr>
  </w:style>
  <w:style w:type="paragraph" w:customStyle="1" w:styleId="11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17">
    <w:name w:val="正  文"/>
    <w:basedOn w:val="1"/>
    <w:qFormat/>
    <w:uiPriority w:val="0"/>
    <w:pPr>
      <w:spacing w:line="360" w:lineRule="auto"/>
      <w:ind w:firstLine="200" w:firstLineChars="200"/>
    </w:pPr>
    <w:rPr>
      <w:rFonts w:ascii="宋体" w:hAnsi="Calibri"/>
      <w:sz w:val="24"/>
    </w:rPr>
  </w:style>
  <w:style w:type="paragraph" w:customStyle="1" w:styleId="118">
    <w:name w:val="列出段落11"/>
    <w:basedOn w:val="1"/>
    <w:qFormat/>
    <w:uiPriority w:val="0"/>
    <w:pPr>
      <w:ind w:firstLine="420" w:firstLineChars="200"/>
    </w:pPr>
    <w:rPr>
      <w:sz w:val="28"/>
      <w:szCs w:val="28"/>
    </w:rPr>
  </w:style>
  <w:style w:type="paragraph" w:customStyle="1" w:styleId="11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1">
    <w:name w:val="_Style 96"/>
    <w:semiHidden/>
    <w:qFormat/>
    <w:uiPriority w:val="99"/>
    <w:rPr>
      <w:rFonts w:ascii="Calibri" w:hAnsi="Calibri" w:eastAsia="宋体" w:cs="Times New Roman"/>
      <w:kern w:val="2"/>
      <w:sz w:val="21"/>
      <w:szCs w:val="24"/>
      <w:lang w:val="en-US" w:eastAsia="zh-CN" w:bidi="ar-SA"/>
    </w:rPr>
  </w:style>
  <w:style w:type="paragraph" w:customStyle="1" w:styleId="122">
    <w:name w:val="表格文字"/>
    <w:basedOn w:val="1"/>
    <w:qFormat/>
    <w:uiPriority w:val="0"/>
    <w:pPr>
      <w:adjustRightInd w:val="0"/>
      <w:spacing w:line="420" w:lineRule="atLeast"/>
      <w:jc w:val="left"/>
      <w:textAlignment w:val="baseline"/>
    </w:pPr>
    <w:rPr>
      <w:kern w:val="0"/>
      <w:szCs w:val="20"/>
    </w:rPr>
  </w:style>
  <w:style w:type="paragraph" w:customStyle="1" w:styleId="123">
    <w:name w:val="表格"/>
    <w:basedOn w:val="1"/>
    <w:qFormat/>
    <w:uiPriority w:val="0"/>
    <w:pPr>
      <w:jc w:val="center"/>
      <w:textAlignment w:val="center"/>
    </w:pPr>
    <w:rPr>
      <w:rFonts w:ascii="华文细黑" w:hAnsi="华文细黑"/>
      <w:kern w:val="0"/>
      <w:szCs w:val="20"/>
    </w:rPr>
  </w:style>
  <w:style w:type="paragraph" w:customStyle="1" w:styleId="124">
    <w:name w:val="Char1"/>
    <w:basedOn w:val="1"/>
    <w:qFormat/>
    <w:uiPriority w:val="0"/>
  </w:style>
  <w:style w:type="paragraph" w:customStyle="1" w:styleId="125">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6">
    <w:name w:val="引用2"/>
    <w:basedOn w:val="1"/>
    <w:next w:val="1"/>
    <w:link w:val="249"/>
    <w:qFormat/>
    <w:uiPriority w:val="0"/>
    <w:rPr>
      <w:i/>
      <w:iCs/>
      <w:color w:val="000000"/>
    </w:rPr>
  </w:style>
  <w:style w:type="paragraph" w:customStyle="1" w:styleId="127">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28">
    <w:name w:val="引用1"/>
    <w:basedOn w:val="1"/>
    <w:next w:val="1"/>
    <w:link w:val="199"/>
    <w:qFormat/>
    <w:uiPriority w:val="0"/>
    <w:rPr>
      <w:i/>
      <w:iCs/>
      <w:color w:val="000000"/>
      <w:szCs w:val="22"/>
    </w:rPr>
  </w:style>
  <w:style w:type="paragraph" w:customStyle="1" w:styleId="129">
    <w:name w:val="修订1"/>
    <w:qFormat/>
    <w:uiPriority w:val="0"/>
    <w:rPr>
      <w:rFonts w:ascii="Times New Roman" w:hAnsi="Times New Roman" w:eastAsia="宋体" w:cs="Times New Roman"/>
      <w:kern w:val="2"/>
      <w:sz w:val="21"/>
      <w:szCs w:val="24"/>
      <w:lang w:val="en-US" w:eastAsia="zh-CN" w:bidi="ar-SA"/>
    </w:rPr>
  </w:style>
  <w:style w:type="paragraph" w:customStyle="1" w:styleId="13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31">
    <w:name w:val="Char2"/>
    <w:basedOn w:val="1"/>
    <w:qFormat/>
    <w:uiPriority w:val="0"/>
    <w:rPr>
      <w:rFonts w:ascii="Calibri" w:hAnsi="Calibri"/>
    </w:rPr>
  </w:style>
  <w:style w:type="paragraph" w:customStyle="1" w:styleId="132">
    <w:name w:val="标题5"/>
    <w:basedOn w:val="5"/>
    <w:link w:val="295"/>
    <w:qFormat/>
    <w:uiPriority w:val="0"/>
    <w:pPr>
      <w:spacing w:line="413" w:lineRule="auto"/>
    </w:pPr>
    <w:rPr>
      <w:rFonts w:ascii="Arial" w:hAnsi="Arial"/>
      <w:kern w:val="0"/>
      <w:sz w:val="24"/>
    </w:rPr>
  </w:style>
  <w:style w:type="paragraph" w:customStyle="1" w:styleId="13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5">
    <w:name w:val="表格标题"/>
    <w:basedOn w:val="88"/>
    <w:qFormat/>
    <w:uiPriority w:val="0"/>
  </w:style>
  <w:style w:type="paragraph" w:customStyle="1" w:styleId="13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37">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38">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9">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0">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41">
    <w:name w:val="WW-表格标题"/>
    <w:basedOn w:val="106"/>
    <w:qFormat/>
    <w:uiPriority w:val="0"/>
  </w:style>
  <w:style w:type="paragraph" w:customStyle="1" w:styleId="142">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43">
    <w:name w:val="明显引用12"/>
    <w:basedOn w:val="1"/>
    <w:next w:val="1"/>
    <w:link w:val="259"/>
    <w:qFormat/>
    <w:uiPriority w:val="30"/>
    <w:pPr>
      <w:pBdr>
        <w:bottom w:val="single" w:color="4F81BD" w:sz="4" w:space="4"/>
      </w:pBdr>
      <w:spacing w:before="200" w:after="280"/>
      <w:ind w:left="936" w:right="936"/>
    </w:pPr>
    <w:rPr>
      <w:b/>
      <w:bCs/>
      <w:i/>
      <w:iCs/>
      <w:color w:val="4F81BD"/>
      <w:szCs w:val="20"/>
    </w:rPr>
  </w:style>
  <w:style w:type="paragraph" w:customStyle="1" w:styleId="144">
    <w:name w:val="标准样式1"/>
    <w:basedOn w:val="1"/>
    <w:qFormat/>
    <w:uiPriority w:val="0"/>
    <w:pPr>
      <w:spacing w:line="600" w:lineRule="exact"/>
      <w:ind w:firstLine="567"/>
    </w:pPr>
    <w:rPr>
      <w:rFonts w:ascii="Calibri" w:hAnsi="Calibri"/>
      <w:sz w:val="28"/>
    </w:rPr>
  </w:style>
  <w:style w:type="paragraph" w:customStyle="1" w:styleId="145">
    <w:name w:val="Char3"/>
    <w:basedOn w:val="1"/>
    <w:qFormat/>
    <w:uiPriority w:val="0"/>
  </w:style>
  <w:style w:type="paragraph" w:customStyle="1" w:styleId="14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47">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48">
    <w:name w:val="引用11"/>
    <w:basedOn w:val="1"/>
    <w:next w:val="1"/>
    <w:link w:val="273"/>
    <w:qFormat/>
    <w:uiPriority w:val="29"/>
    <w:rPr>
      <w:i/>
      <w:iCs/>
      <w:color w:val="000000"/>
      <w:szCs w:val="20"/>
    </w:rPr>
  </w:style>
  <w:style w:type="paragraph" w:customStyle="1" w:styleId="149">
    <w:name w:val="_Style 87"/>
    <w:basedOn w:val="1"/>
    <w:qFormat/>
    <w:uiPriority w:val="99"/>
    <w:pPr>
      <w:ind w:firstLine="420" w:firstLineChars="200"/>
    </w:pPr>
    <w:rPr>
      <w:rFonts w:ascii="Calibri" w:hAnsi="Calibri"/>
      <w:sz w:val="28"/>
      <w:szCs w:val="28"/>
    </w:rPr>
  </w:style>
  <w:style w:type="paragraph" w:customStyle="1" w:styleId="150">
    <w:name w:val="自定样式1"/>
    <w:basedOn w:val="1"/>
    <w:qFormat/>
    <w:uiPriority w:val="0"/>
    <w:pPr>
      <w:suppressAutoHyphens/>
      <w:jc w:val="center"/>
    </w:pPr>
    <w:rPr>
      <w:rFonts w:ascii="宋体" w:hAnsi="宋体"/>
      <w:color w:val="000000"/>
      <w:sz w:val="18"/>
    </w:rPr>
  </w:style>
  <w:style w:type="paragraph" w:customStyle="1" w:styleId="15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52">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53">
    <w:name w:val="未处理的提及1"/>
    <w:unhideWhenUsed/>
    <w:qFormat/>
    <w:uiPriority w:val="99"/>
    <w:rPr>
      <w:color w:val="808080"/>
      <w:shd w:val="clear" w:color="auto" w:fill="E6E6E6"/>
    </w:rPr>
  </w:style>
  <w:style w:type="character" w:customStyle="1" w:styleId="154">
    <w:name w:val="正文文本 3 Char"/>
    <w:qFormat/>
    <w:uiPriority w:val="0"/>
    <w:rPr>
      <w:kern w:val="2"/>
      <w:sz w:val="16"/>
      <w:szCs w:val="16"/>
    </w:rPr>
  </w:style>
  <w:style w:type="character" w:customStyle="1" w:styleId="155">
    <w:name w:val="正文文本缩进 Char2"/>
    <w:semiHidden/>
    <w:qFormat/>
    <w:uiPriority w:val="99"/>
    <w:rPr>
      <w:rFonts w:ascii="Calibri" w:hAnsi="Calibri" w:eastAsia="宋体" w:cs="Times New Roman"/>
      <w:szCs w:val="24"/>
    </w:rPr>
  </w:style>
  <w:style w:type="character" w:customStyle="1" w:styleId="156">
    <w:name w:val="标题 3 Char"/>
    <w:qFormat/>
    <w:uiPriority w:val="0"/>
    <w:rPr>
      <w:rFonts w:ascii="仿宋_GB2312" w:hAnsi="Calibri" w:eastAsia="仿宋_GB2312" w:cs="Times New Roman"/>
      <w:b/>
      <w:kern w:val="0"/>
      <w:sz w:val="24"/>
      <w:szCs w:val="28"/>
    </w:rPr>
  </w:style>
  <w:style w:type="character" w:customStyle="1" w:styleId="157">
    <w:name w:val="批注框文本 Char2"/>
    <w:qFormat/>
    <w:uiPriority w:val="99"/>
    <w:rPr>
      <w:kern w:val="2"/>
      <w:sz w:val="18"/>
      <w:szCs w:val="18"/>
    </w:rPr>
  </w:style>
  <w:style w:type="character" w:customStyle="1" w:styleId="158">
    <w:name w:val="textcontents"/>
    <w:qFormat/>
    <w:uiPriority w:val="0"/>
    <w:rPr>
      <w:rFonts w:cs="Times New Roman"/>
    </w:rPr>
  </w:style>
  <w:style w:type="character" w:customStyle="1" w:styleId="159">
    <w:name w:val="ht1"/>
    <w:qFormat/>
    <w:uiPriority w:val="0"/>
    <w:rPr>
      <w:rFonts w:ascii="黑体" w:eastAsia="黑体"/>
      <w:b/>
      <w:bCs/>
    </w:rPr>
  </w:style>
  <w:style w:type="character" w:customStyle="1" w:styleId="160">
    <w:name w:val="标题 Char"/>
    <w:qFormat/>
    <w:uiPriority w:val="0"/>
    <w:rPr>
      <w:rFonts w:ascii="Cambria" w:hAnsi="Cambria" w:eastAsia="宋体" w:cs="Times New Roman"/>
      <w:b/>
      <w:bCs/>
      <w:kern w:val="2"/>
      <w:sz w:val="32"/>
      <w:szCs w:val="32"/>
    </w:rPr>
  </w:style>
  <w:style w:type="character" w:customStyle="1" w:styleId="161">
    <w:name w:val="14t1"/>
    <w:qFormat/>
    <w:uiPriority w:val="0"/>
    <w:rPr>
      <w:rFonts w:hint="eastAsia" w:ascii="宋体" w:hAnsi="宋体" w:eastAsia="宋体"/>
      <w:sz w:val="11"/>
      <w:szCs w:val="11"/>
    </w:rPr>
  </w:style>
  <w:style w:type="character" w:customStyle="1" w:styleId="162">
    <w:name w:val="Char Char36"/>
    <w:qFormat/>
    <w:uiPriority w:val="0"/>
    <w:rPr>
      <w:rFonts w:ascii="仿宋_GB2312" w:eastAsia="仿宋_GB2312" w:cs="MingLiU"/>
      <w:b/>
      <w:sz w:val="24"/>
      <w:szCs w:val="28"/>
    </w:rPr>
  </w:style>
  <w:style w:type="character" w:customStyle="1" w:styleId="163">
    <w:name w:val="文档结构图 Char"/>
    <w:qFormat/>
    <w:uiPriority w:val="0"/>
    <w:rPr>
      <w:rFonts w:ascii="宋体"/>
      <w:kern w:val="2"/>
      <w:sz w:val="18"/>
      <w:szCs w:val="18"/>
    </w:rPr>
  </w:style>
  <w:style w:type="character" w:customStyle="1" w:styleId="164">
    <w:name w:val="普通文字 Char Char2"/>
    <w:qFormat/>
    <w:uiPriority w:val="0"/>
    <w:rPr>
      <w:rFonts w:ascii="宋体" w:hAnsi="Courier New"/>
      <w:kern w:val="2"/>
      <w:sz w:val="28"/>
      <w:szCs w:val="28"/>
    </w:rPr>
  </w:style>
  <w:style w:type="character" w:customStyle="1" w:styleId="165">
    <w:name w:val="HTML 预设格式 Char"/>
    <w:qFormat/>
    <w:uiPriority w:val="0"/>
    <w:rPr>
      <w:rFonts w:ascii="宋体" w:hAnsi="宋体" w:eastAsia="宋体" w:cs="宋体"/>
      <w:color w:val="000000"/>
      <w:sz w:val="24"/>
      <w:szCs w:val="24"/>
    </w:rPr>
  </w:style>
  <w:style w:type="character" w:customStyle="1" w:styleId="166">
    <w:name w:val="纯文本 Char"/>
    <w:qFormat/>
    <w:uiPriority w:val="0"/>
    <w:rPr>
      <w:rFonts w:ascii="宋体" w:hAnsi="Courier New"/>
      <w:sz w:val="28"/>
      <w:szCs w:val="28"/>
    </w:rPr>
  </w:style>
  <w:style w:type="character" w:customStyle="1" w:styleId="167">
    <w:name w:val="批注框文本 Char"/>
    <w:qFormat/>
    <w:uiPriority w:val="0"/>
    <w:rPr>
      <w:sz w:val="18"/>
      <w:szCs w:val="18"/>
    </w:rPr>
  </w:style>
  <w:style w:type="character" w:customStyle="1" w:styleId="168">
    <w:name w:val="页脚 Char"/>
    <w:qFormat/>
    <w:uiPriority w:val="0"/>
    <w:rPr>
      <w:sz w:val="18"/>
      <w:szCs w:val="18"/>
    </w:rPr>
  </w:style>
  <w:style w:type="character" w:customStyle="1" w:styleId="169">
    <w:name w:val="标题 4 Char2"/>
    <w:link w:val="6"/>
    <w:qFormat/>
    <w:uiPriority w:val="0"/>
    <w:rPr>
      <w:rFonts w:ascii="宋体" w:hAnsi="宋体" w:eastAsia="宋体" w:cs="宋体"/>
      <w:b/>
      <w:bCs/>
      <w:sz w:val="24"/>
      <w:szCs w:val="24"/>
      <w:lang w:val="en-US" w:eastAsia="zh-CN" w:bidi="ar-SA"/>
    </w:rPr>
  </w:style>
  <w:style w:type="character" w:customStyle="1" w:styleId="170">
    <w:name w:val="正文文本缩进 3 Char"/>
    <w:qFormat/>
    <w:uiPriority w:val="0"/>
    <w:rPr>
      <w:kern w:val="2"/>
      <w:sz w:val="16"/>
      <w:szCs w:val="16"/>
    </w:rPr>
  </w:style>
  <w:style w:type="character" w:customStyle="1" w:styleId="171">
    <w:name w:val="标题 8 Char"/>
    <w:qFormat/>
    <w:uiPriority w:val="0"/>
    <w:rPr>
      <w:rFonts w:ascii="Arial" w:hAnsi="Arial" w:eastAsia="黑体" w:cs="Times New Roman"/>
      <w:sz w:val="24"/>
      <w:szCs w:val="24"/>
    </w:rPr>
  </w:style>
  <w:style w:type="character" w:customStyle="1" w:styleId="172">
    <w:name w:val="HTML 预设格式 Char3"/>
    <w:link w:val="41"/>
    <w:qFormat/>
    <w:uiPriority w:val="0"/>
    <w:rPr>
      <w:rFonts w:ascii="宋体" w:hAnsi="宋体" w:eastAsia="宋体" w:cs="宋体"/>
      <w:color w:val="000000"/>
      <w:sz w:val="24"/>
      <w:szCs w:val="24"/>
      <w:lang w:val="en-US" w:eastAsia="zh-CN" w:bidi="ar-SA"/>
    </w:rPr>
  </w:style>
  <w:style w:type="character" w:customStyle="1" w:styleId="173">
    <w:name w:val="文档结构图 Char4"/>
    <w:link w:val="15"/>
    <w:qFormat/>
    <w:uiPriority w:val="0"/>
    <w:rPr>
      <w:rFonts w:eastAsia="宋体"/>
      <w:kern w:val="2"/>
      <w:sz w:val="21"/>
      <w:szCs w:val="24"/>
      <w:lang w:val="en-US" w:eastAsia="zh-CN" w:bidi="ar-SA"/>
    </w:rPr>
  </w:style>
  <w:style w:type="character" w:customStyle="1" w:styleId="174">
    <w:name w:val="正文文本缩进 2 Char1"/>
    <w:qFormat/>
    <w:uiPriority w:val="0"/>
    <w:rPr>
      <w:sz w:val="28"/>
      <w:szCs w:val="24"/>
    </w:rPr>
  </w:style>
  <w:style w:type="character" w:customStyle="1" w:styleId="175">
    <w:name w:val="标题 5 Char1"/>
    <w:qFormat/>
    <w:uiPriority w:val="0"/>
    <w:rPr>
      <w:rFonts w:ascii="宋体" w:hAnsi="宋体" w:eastAsia="宋体" w:cs="宋体"/>
      <w:b/>
      <w:bCs/>
      <w:sz w:val="20"/>
      <w:szCs w:val="20"/>
    </w:rPr>
  </w:style>
  <w:style w:type="character" w:customStyle="1" w:styleId="176">
    <w:name w:val="批注文字 Char"/>
    <w:qFormat/>
    <w:uiPriority w:val="0"/>
    <w:rPr>
      <w:rFonts w:ascii="Times New Roman" w:hAnsi="Times New Roman" w:eastAsia="宋体" w:cs="Times New Roman"/>
      <w:kern w:val="2"/>
      <w:sz w:val="21"/>
      <w:szCs w:val="24"/>
    </w:rPr>
  </w:style>
  <w:style w:type="character" w:customStyle="1" w:styleId="177">
    <w:name w:val="日期 Char4"/>
    <w:link w:val="25"/>
    <w:qFormat/>
    <w:uiPriority w:val="0"/>
    <w:rPr>
      <w:rFonts w:eastAsia="宋体"/>
      <w:kern w:val="2"/>
      <w:sz w:val="21"/>
      <w:szCs w:val="24"/>
      <w:lang w:val="en-US" w:eastAsia="zh-CN" w:bidi="ar-SA"/>
    </w:rPr>
  </w:style>
  <w:style w:type="character" w:customStyle="1" w:styleId="178">
    <w:name w:val="style121"/>
    <w:qFormat/>
    <w:uiPriority w:val="0"/>
    <w:rPr>
      <w:rFonts w:hint="eastAsia" w:ascii="宋体" w:hAnsi="宋体" w:eastAsia="宋体"/>
      <w:sz w:val="18"/>
      <w:szCs w:val="18"/>
    </w:rPr>
  </w:style>
  <w:style w:type="character" w:customStyle="1" w:styleId="179">
    <w:name w:val="Section Char"/>
    <w:qFormat/>
    <w:uiPriority w:val="0"/>
    <w:rPr>
      <w:rFonts w:ascii="仿宋_GB2312" w:eastAsia="仿宋_GB2312" w:cs="MingLiU"/>
      <w:b/>
      <w:sz w:val="24"/>
      <w:szCs w:val="28"/>
      <w:lang w:val="en-US" w:eastAsia="zh-CN" w:bidi="ar-SA"/>
    </w:rPr>
  </w:style>
  <w:style w:type="character" w:customStyle="1" w:styleId="180">
    <w:name w:val="正文文本 3 Char1"/>
    <w:qFormat/>
    <w:uiPriority w:val="0"/>
    <w:rPr>
      <w:kern w:val="2"/>
      <w:sz w:val="16"/>
      <w:szCs w:val="16"/>
    </w:rPr>
  </w:style>
  <w:style w:type="character" w:customStyle="1" w:styleId="181">
    <w:name w:val="文档结构图 Char1"/>
    <w:qFormat/>
    <w:uiPriority w:val="0"/>
    <w:rPr>
      <w:rFonts w:ascii="宋体"/>
      <w:kern w:val="2"/>
      <w:sz w:val="18"/>
      <w:szCs w:val="18"/>
    </w:rPr>
  </w:style>
  <w:style w:type="character" w:customStyle="1" w:styleId="182">
    <w:name w:val="_Style 170"/>
    <w:qFormat/>
    <w:uiPriority w:val="0"/>
    <w:rPr>
      <w:i/>
      <w:iCs/>
      <w:color w:val="808080"/>
    </w:rPr>
  </w:style>
  <w:style w:type="character" w:customStyle="1" w:styleId="183">
    <w:name w:val="_Style 171"/>
    <w:qFormat/>
    <w:uiPriority w:val="0"/>
    <w:rPr>
      <w:b/>
      <w:bCs/>
      <w:smallCaps/>
      <w:color w:val="C0504D"/>
      <w:spacing w:val="5"/>
      <w:u w:val="single"/>
    </w:rPr>
  </w:style>
  <w:style w:type="character" w:customStyle="1" w:styleId="184">
    <w:name w:val="标题 9 Char"/>
    <w:qFormat/>
    <w:uiPriority w:val="0"/>
    <w:rPr>
      <w:rFonts w:ascii="Arial" w:hAnsi="Arial" w:eastAsia="黑体" w:cs="Times New Roman"/>
      <w:szCs w:val="21"/>
    </w:rPr>
  </w:style>
  <w:style w:type="character" w:customStyle="1" w:styleId="185">
    <w:name w:val="页眉 Char1"/>
    <w:semiHidden/>
    <w:qFormat/>
    <w:uiPriority w:val="99"/>
    <w:rPr>
      <w:kern w:val="2"/>
      <w:sz w:val="18"/>
      <w:szCs w:val="18"/>
    </w:rPr>
  </w:style>
  <w:style w:type="character" w:customStyle="1" w:styleId="186">
    <w:name w:val="_Style 174"/>
    <w:qFormat/>
    <w:uiPriority w:val="0"/>
    <w:rPr>
      <w:b/>
      <w:bCs/>
      <w:i/>
      <w:iCs/>
      <w:color w:val="4F81BD"/>
    </w:rPr>
  </w:style>
  <w:style w:type="character" w:customStyle="1" w:styleId="187">
    <w:name w:val="Char Char35"/>
    <w:qFormat/>
    <w:uiPriority w:val="0"/>
    <w:rPr>
      <w:rFonts w:ascii="仿宋_GB2312" w:eastAsia="仿宋_GB2312" w:cs="MingLiU"/>
      <w:b/>
      <w:sz w:val="24"/>
      <w:szCs w:val="28"/>
    </w:rPr>
  </w:style>
  <w:style w:type="character" w:customStyle="1" w:styleId="188">
    <w:name w:val="日期 Char2"/>
    <w:qFormat/>
    <w:uiPriority w:val="99"/>
    <w:rPr>
      <w:kern w:val="2"/>
      <w:sz w:val="21"/>
      <w:szCs w:val="24"/>
    </w:rPr>
  </w:style>
  <w:style w:type="character" w:customStyle="1" w:styleId="189">
    <w:name w:val="Char Char22"/>
    <w:qFormat/>
    <w:uiPriority w:val="0"/>
    <w:rPr>
      <w:b/>
      <w:bCs/>
      <w:kern w:val="2"/>
      <w:sz w:val="32"/>
      <w:szCs w:val="32"/>
    </w:rPr>
  </w:style>
  <w:style w:type="character" w:customStyle="1" w:styleId="190">
    <w:name w:val="正文文本缩进 2 Char2"/>
    <w:semiHidden/>
    <w:qFormat/>
    <w:uiPriority w:val="99"/>
    <w:rPr>
      <w:rFonts w:ascii="Calibri" w:hAnsi="Calibri" w:eastAsia="宋体" w:cs="Times New Roman"/>
      <w:szCs w:val="24"/>
    </w:rPr>
  </w:style>
  <w:style w:type="character" w:customStyle="1" w:styleId="191">
    <w:name w:val="明显强调1"/>
    <w:qFormat/>
    <w:uiPriority w:val="0"/>
    <w:rPr>
      <w:b/>
      <w:bCs/>
      <w:i/>
      <w:iCs/>
      <w:color w:val="4F81BD"/>
    </w:rPr>
  </w:style>
  <w:style w:type="character" w:customStyle="1" w:styleId="192">
    <w:name w:val="Char Char14"/>
    <w:qFormat/>
    <w:uiPriority w:val="0"/>
    <w:rPr>
      <w:kern w:val="2"/>
      <w:sz w:val="18"/>
      <w:szCs w:val="18"/>
    </w:rPr>
  </w:style>
  <w:style w:type="character" w:customStyle="1" w:styleId="193">
    <w:name w:val="s3"/>
    <w:qFormat/>
    <w:uiPriority w:val="0"/>
  </w:style>
  <w:style w:type="character" w:customStyle="1" w:styleId="194">
    <w:name w:val="标题 1 Char"/>
    <w:qFormat/>
    <w:uiPriority w:val="0"/>
    <w:rPr>
      <w:rFonts w:ascii="Times New Roman" w:hAnsi="Times New Roman" w:eastAsia="宋体" w:cs="Times New Roman"/>
      <w:b/>
      <w:bCs/>
      <w:kern w:val="44"/>
      <w:sz w:val="44"/>
      <w:szCs w:val="44"/>
    </w:rPr>
  </w:style>
  <w:style w:type="character" w:customStyle="1" w:styleId="195">
    <w:name w:val="日期 Char3"/>
    <w:semiHidden/>
    <w:qFormat/>
    <w:uiPriority w:val="99"/>
    <w:rPr>
      <w:rFonts w:ascii="Calibri" w:hAnsi="Calibri" w:eastAsia="宋体" w:cs="Times New Roman"/>
      <w:szCs w:val="24"/>
    </w:rPr>
  </w:style>
  <w:style w:type="character" w:customStyle="1" w:styleId="196">
    <w:name w:val="标题 1 Char2"/>
    <w:link w:val="3"/>
    <w:qFormat/>
    <w:uiPriority w:val="0"/>
    <w:rPr>
      <w:rFonts w:eastAsia="宋体"/>
      <w:b/>
      <w:bCs/>
      <w:kern w:val="44"/>
      <w:sz w:val="44"/>
      <w:szCs w:val="44"/>
      <w:lang w:val="en-US" w:eastAsia="zh-CN" w:bidi="ar-SA"/>
    </w:rPr>
  </w:style>
  <w:style w:type="character" w:customStyle="1" w:styleId="197">
    <w:name w:val="title11"/>
    <w:qFormat/>
    <w:uiPriority w:val="0"/>
    <w:rPr>
      <w:b/>
      <w:bCs/>
      <w:color w:val="FFFFFF"/>
      <w:sz w:val="11"/>
      <w:szCs w:val="11"/>
    </w:rPr>
  </w:style>
  <w:style w:type="character" w:customStyle="1" w:styleId="198">
    <w:name w:val="明显引用 Char2"/>
    <w:qFormat/>
    <w:uiPriority w:val="99"/>
    <w:rPr>
      <w:b/>
      <w:bCs/>
      <w:i/>
      <w:iCs/>
      <w:color w:val="4F81BD"/>
      <w:kern w:val="2"/>
      <w:sz w:val="21"/>
      <w:szCs w:val="24"/>
    </w:rPr>
  </w:style>
  <w:style w:type="character" w:customStyle="1" w:styleId="199">
    <w:name w:val="引用 字符"/>
    <w:link w:val="128"/>
    <w:qFormat/>
    <w:uiPriority w:val="0"/>
    <w:rPr>
      <w:i/>
      <w:iCs/>
      <w:color w:val="000000"/>
      <w:kern w:val="2"/>
      <w:sz w:val="21"/>
      <w:szCs w:val="22"/>
      <w:lang w:bidi="ar-SA"/>
    </w:rPr>
  </w:style>
  <w:style w:type="character" w:customStyle="1" w:styleId="200">
    <w:name w:val="批注框文本 Char3"/>
    <w:semiHidden/>
    <w:qFormat/>
    <w:uiPriority w:val="99"/>
    <w:rPr>
      <w:rFonts w:ascii="Calibri" w:hAnsi="Calibri" w:eastAsia="宋体" w:cs="Times New Roman"/>
      <w:sz w:val="18"/>
      <w:szCs w:val="18"/>
    </w:rPr>
  </w:style>
  <w:style w:type="character" w:customStyle="1" w:styleId="201">
    <w:name w:val="标题 2 Char2"/>
    <w:link w:val="4"/>
    <w:qFormat/>
    <w:uiPriority w:val="0"/>
    <w:rPr>
      <w:rFonts w:ascii="Cambria" w:hAnsi="Cambria" w:eastAsia="宋体"/>
      <w:b/>
      <w:bCs/>
      <w:kern w:val="2"/>
      <w:sz w:val="32"/>
      <w:szCs w:val="32"/>
      <w:lang w:val="en-US" w:eastAsia="zh-CN" w:bidi="ar-SA"/>
    </w:rPr>
  </w:style>
  <w:style w:type="character" w:customStyle="1" w:styleId="202">
    <w:name w:val="Char Char33"/>
    <w:qFormat/>
    <w:uiPriority w:val="0"/>
    <w:rPr>
      <w:rFonts w:ascii="仿宋_GB2312" w:eastAsia="仿宋_GB2312" w:cs="MingLiU"/>
      <w:b/>
      <w:sz w:val="24"/>
      <w:szCs w:val="28"/>
    </w:rPr>
  </w:style>
  <w:style w:type="character" w:customStyle="1" w:styleId="203">
    <w:name w:val="标题 2 Char"/>
    <w:qFormat/>
    <w:uiPriority w:val="0"/>
    <w:rPr>
      <w:rFonts w:ascii="仿宋_GB2312" w:hAnsi="Calibri" w:eastAsia="仿宋_GB2312" w:cs="Times New Roman"/>
      <w:b/>
      <w:spacing w:val="1"/>
      <w:w w:val="99"/>
      <w:kern w:val="0"/>
      <w:sz w:val="28"/>
      <w:szCs w:val="32"/>
    </w:rPr>
  </w:style>
  <w:style w:type="character" w:customStyle="1" w:styleId="204">
    <w:name w:val="l1"/>
    <w:basedOn w:val="48"/>
    <w:qFormat/>
    <w:uiPriority w:val="0"/>
  </w:style>
  <w:style w:type="character" w:customStyle="1" w:styleId="205">
    <w:name w:val="手改 Char Char"/>
    <w:qFormat/>
    <w:uiPriority w:val="0"/>
    <w:rPr>
      <w:kern w:val="2"/>
      <w:sz w:val="21"/>
      <w:szCs w:val="24"/>
    </w:rPr>
  </w:style>
  <w:style w:type="character" w:customStyle="1" w:styleId="206">
    <w:name w:val="style21"/>
    <w:qFormat/>
    <w:uiPriority w:val="0"/>
    <w:rPr>
      <w:b/>
      <w:bCs/>
      <w:sz w:val="28"/>
      <w:szCs w:val="28"/>
    </w:rPr>
  </w:style>
  <w:style w:type="character" w:customStyle="1" w:styleId="207">
    <w:name w:val="Char Char24"/>
    <w:qFormat/>
    <w:uiPriority w:val="0"/>
    <w:rPr>
      <w:b/>
      <w:bCs/>
      <w:kern w:val="44"/>
      <w:sz w:val="44"/>
      <w:szCs w:val="44"/>
    </w:rPr>
  </w:style>
  <w:style w:type="character" w:customStyle="1" w:styleId="208">
    <w:name w:val="页脚 Char2"/>
    <w:link w:val="29"/>
    <w:qFormat/>
    <w:uiPriority w:val="0"/>
    <w:rPr>
      <w:rFonts w:eastAsia="宋体"/>
      <w:kern w:val="2"/>
      <w:sz w:val="18"/>
      <w:szCs w:val="18"/>
      <w:lang w:val="en-US" w:eastAsia="zh-CN" w:bidi="ar-SA"/>
    </w:rPr>
  </w:style>
  <w:style w:type="character" w:customStyle="1" w:styleId="209">
    <w:name w:val="_Style 197"/>
    <w:qFormat/>
    <w:uiPriority w:val="0"/>
    <w:rPr>
      <w:b/>
      <w:bCs/>
      <w:smallCaps/>
      <w:spacing w:val="5"/>
    </w:rPr>
  </w:style>
  <w:style w:type="character" w:customStyle="1" w:styleId="210">
    <w:name w:val="纯文本 Char1"/>
    <w:qFormat/>
    <w:uiPriority w:val="0"/>
    <w:rPr>
      <w:rFonts w:ascii="宋体" w:hAnsi="Courier New" w:cs="Courier New"/>
      <w:kern w:val="2"/>
      <w:sz w:val="21"/>
      <w:szCs w:val="21"/>
    </w:rPr>
  </w:style>
  <w:style w:type="character" w:customStyle="1" w:styleId="211">
    <w:name w:val="尾注文本 Char"/>
    <w:qFormat/>
    <w:uiPriority w:val="0"/>
    <w:rPr>
      <w:kern w:val="2"/>
      <w:sz w:val="21"/>
      <w:szCs w:val="24"/>
    </w:rPr>
  </w:style>
  <w:style w:type="character" w:customStyle="1" w:styleId="212">
    <w:name w:val="日期 Char1"/>
    <w:qFormat/>
    <w:uiPriority w:val="0"/>
    <w:rPr>
      <w:kern w:val="2"/>
      <w:sz w:val="21"/>
      <w:szCs w:val="22"/>
    </w:rPr>
  </w:style>
  <w:style w:type="character" w:customStyle="1" w:styleId="213">
    <w:name w:val="纯文本 Char3"/>
    <w:link w:val="23"/>
    <w:qFormat/>
    <w:uiPriority w:val="0"/>
    <w:rPr>
      <w:rFonts w:ascii="宋体" w:hAnsi="Courier New" w:eastAsia="宋体" w:cs="Courier New"/>
      <w:kern w:val="2"/>
      <w:sz w:val="21"/>
      <w:szCs w:val="21"/>
      <w:lang w:val="en-US" w:eastAsia="zh-CN" w:bidi="ar-SA"/>
    </w:rPr>
  </w:style>
  <w:style w:type="character" w:customStyle="1" w:styleId="214">
    <w:name w:val="正文文本 Char1"/>
    <w:qFormat/>
    <w:uiPriority w:val="0"/>
    <w:rPr>
      <w:kern w:val="2"/>
      <w:sz w:val="21"/>
      <w:szCs w:val="22"/>
    </w:rPr>
  </w:style>
  <w:style w:type="character" w:customStyle="1" w:styleId="215">
    <w:name w:val="标题 9 Char1"/>
    <w:qFormat/>
    <w:uiPriority w:val="0"/>
    <w:rPr>
      <w:rFonts w:ascii="Times New Roman" w:hAnsi="Times New Roman" w:eastAsia="仿宋_GB2312" w:cs="Times New Roman"/>
      <w:sz w:val="30"/>
      <w:szCs w:val="20"/>
    </w:rPr>
  </w:style>
  <w:style w:type="character" w:customStyle="1" w:styleId="216">
    <w:name w:val="批注框文本 Char4"/>
    <w:link w:val="28"/>
    <w:qFormat/>
    <w:uiPriority w:val="0"/>
    <w:rPr>
      <w:rFonts w:eastAsia="宋体"/>
      <w:kern w:val="2"/>
      <w:sz w:val="18"/>
      <w:szCs w:val="18"/>
      <w:lang w:val="en-US" w:eastAsia="zh-CN" w:bidi="ar-SA"/>
    </w:rPr>
  </w:style>
  <w:style w:type="character" w:customStyle="1" w:styleId="217">
    <w:name w:val="脚注文本 Char1"/>
    <w:qFormat/>
    <w:uiPriority w:val="0"/>
    <w:rPr>
      <w:rFonts w:ascii="Arial" w:hAnsi="Arial" w:cs="Arial"/>
      <w:sz w:val="18"/>
      <w:szCs w:val="18"/>
      <w:lang w:eastAsia="en-US"/>
    </w:rPr>
  </w:style>
  <w:style w:type="character" w:customStyle="1" w:styleId="218">
    <w:name w:val="正文文本缩进 Char"/>
    <w:qFormat/>
    <w:uiPriority w:val="0"/>
    <w:rPr>
      <w:rFonts w:ascii="黑体" w:hAnsi="宋体" w:eastAsia="黑体"/>
      <w:color w:val="000000"/>
      <w:sz w:val="28"/>
      <w:szCs w:val="32"/>
    </w:rPr>
  </w:style>
  <w:style w:type="character" w:customStyle="1" w:styleId="219">
    <w:name w:val="HTML 预设格式 Char1"/>
    <w:qFormat/>
    <w:uiPriority w:val="0"/>
    <w:rPr>
      <w:rFonts w:ascii="宋体" w:hAnsi="宋体" w:cs="宋体"/>
      <w:color w:val="000000"/>
      <w:sz w:val="24"/>
      <w:szCs w:val="24"/>
    </w:rPr>
  </w:style>
  <w:style w:type="character" w:customStyle="1" w:styleId="220">
    <w:name w:val="引用 Char3"/>
    <w:qFormat/>
    <w:uiPriority w:val="29"/>
    <w:rPr>
      <w:rFonts w:ascii="Calibri" w:hAnsi="Calibri" w:eastAsia="宋体" w:cs="Times New Roman"/>
      <w:i/>
      <w:iCs/>
      <w:color w:val="000000"/>
      <w:szCs w:val="24"/>
    </w:rPr>
  </w:style>
  <w:style w:type="character" w:customStyle="1" w:styleId="221">
    <w:name w:val="尾注文本 Char3"/>
    <w:link w:val="27"/>
    <w:qFormat/>
    <w:uiPriority w:val="0"/>
    <w:rPr>
      <w:rFonts w:ascii="Arial" w:hAnsi="Arial" w:eastAsia="宋体" w:cs="Arial"/>
      <w:szCs w:val="24"/>
      <w:lang w:val="en-US" w:eastAsia="en-US" w:bidi="ar-SA"/>
    </w:rPr>
  </w:style>
  <w:style w:type="character" w:customStyle="1" w:styleId="222">
    <w:name w:val="标题 7 Char1"/>
    <w:qFormat/>
    <w:uiPriority w:val="0"/>
    <w:rPr>
      <w:rFonts w:ascii="Times New Roman" w:hAnsi="Times New Roman" w:eastAsia="仿宋_GB2312" w:cs="Times New Roman"/>
      <w:sz w:val="30"/>
      <w:szCs w:val="20"/>
    </w:rPr>
  </w:style>
  <w:style w:type="character" w:customStyle="1" w:styleId="223">
    <w:name w:val="普通文字 Char Char1"/>
    <w:qFormat/>
    <w:uiPriority w:val="0"/>
    <w:rPr>
      <w:rFonts w:ascii="宋体" w:hAnsi="Courier New"/>
      <w:kern w:val="2"/>
      <w:sz w:val="28"/>
      <w:szCs w:val="28"/>
    </w:rPr>
  </w:style>
  <w:style w:type="character" w:customStyle="1" w:styleId="224">
    <w:name w:val="明显参考1"/>
    <w:qFormat/>
    <w:uiPriority w:val="0"/>
    <w:rPr>
      <w:b/>
      <w:bCs/>
      <w:smallCaps/>
      <w:color w:val="C0504D"/>
      <w:spacing w:val="5"/>
      <w:u w:val="single"/>
    </w:rPr>
  </w:style>
  <w:style w:type="character" w:customStyle="1" w:styleId="225">
    <w:name w:val="正文文本缩进 Char1"/>
    <w:qFormat/>
    <w:uiPriority w:val="0"/>
    <w:rPr>
      <w:kern w:val="2"/>
      <w:sz w:val="21"/>
      <w:szCs w:val="24"/>
    </w:rPr>
  </w:style>
  <w:style w:type="character" w:customStyle="1" w:styleId="226">
    <w:name w:val="页眉 Char"/>
    <w:qFormat/>
    <w:uiPriority w:val="0"/>
    <w:rPr>
      <w:sz w:val="18"/>
      <w:szCs w:val="18"/>
    </w:rPr>
  </w:style>
  <w:style w:type="character" w:customStyle="1" w:styleId="227">
    <w:name w:val="style31"/>
    <w:qFormat/>
    <w:uiPriority w:val="0"/>
    <w:rPr>
      <w:sz w:val="10"/>
      <w:szCs w:val="10"/>
    </w:rPr>
  </w:style>
  <w:style w:type="character" w:customStyle="1" w:styleId="228">
    <w:name w:val="日期 Char"/>
    <w:qFormat/>
    <w:uiPriority w:val="0"/>
    <w:rPr>
      <w:rFonts w:eastAsia="宋体"/>
      <w:szCs w:val="24"/>
    </w:rPr>
  </w:style>
  <w:style w:type="character" w:customStyle="1" w:styleId="229">
    <w:name w:val="标题 1 Char1"/>
    <w:qFormat/>
    <w:uiPriority w:val="0"/>
    <w:rPr>
      <w:rFonts w:ascii="Times New Roman" w:hAnsi="Times New Roman" w:eastAsia="宋体" w:cs="Times New Roman"/>
      <w:b/>
      <w:bCs/>
      <w:kern w:val="44"/>
      <w:sz w:val="44"/>
      <w:szCs w:val="44"/>
    </w:rPr>
  </w:style>
  <w:style w:type="character" w:customStyle="1" w:styleId="230">
    <w:name w:val="main_tdbg_7601"/>
    <w:qFormat/>
    <w:uiPriority w:val="0"/>
    <w:rPr>
      <w:sz w:val="14"/>
      <w:szCs w:val="14"/>
    </w:rPr>
  </w:style>
  <w:style w:type="character" w:customStyle="1" w:styleId="231">
    <w:name w:val="尾注文本 Char1"/>
    <w:qFormat/>
    <w:uiPriority w:val="0"/>
    <w:rPr>
      <w:rFonts w:ascii="Arial" w:hAnsi="Arial" w:cs="Arial"/>
      <w:szCs w:val="24"/>
      <w:lang w:eastAsia="en-US"/>
    </w:rPr>
  </w:style>
  <w:style w:type="character" w:customStyle="1" w:styleId="232">
    <w:name w:val="副标题 Char2"/>
    <w:qFormat/>
    <w:uiPriority w:val="11"/>
    <w:rPr>
      <w:rFonts w:ascii="Cambria" w:hAnsi="Cambria" w:eastAsia="宋体" w:cs="Times New Roman"/>
      <w:b/>
      <w:bCs/>
      <w:kern w:val="28"/>
      <w:sz w:val="32"/>
      <w:szCs w:val="32"/>
    </w:rPr>
  </w:style>
  <w:style w:type="character" w:customStyle="1" w:styleId="233">
    <w:name w:val="正文文本缩进 3 Char2"/>
    <w:semiHidden/>
    <w:qFormat/>
    <w:uiPriority w:val="99"/>
    <w:rPr>
      <w:rFonts w:ascii="Calibri" w:hAnsi="Calibri" w:eastAsia="宋体" w:cs="Times New Roman"/>
      <w:sz w:val="16"/>
      <w:szCs w:val="16"/>
    </w:rPr>
  </w:style>
  <w:style w:type="character" w:customStyle="1" w:styleId="234">
    <w:name w:val="Char Char34"/>
    <w:qFormat/>
    <w:uiPriority w:val="0"/>
    <w:rPr>
      <w:rFonts w:ascii="仿宋_GB2312" w:eastAsia="仿宋_GB2312" w:cs="MingLiU"/>
      <w:b/>
      <w:spacing w:val="1"/>
      <w:w w:val="99"/>
      <w:sz w:val="28"/>
      <w:szCs w:val="32"/>
    </w:rPr>
  </w:style>
  <w:style w:type="character" w:customStyle="1" w:styleId="235">
    <w:name w:val="docpro"/>
    <w:basedOn w:val="48"/>
    <w:qFormat/>
    <w:uiPriority w:val="0"/>
  </w:style>
  <w:style w:type="character" w:customStyle="1" w:styleId="236">
    <w:name w:val="正文文本 Char4"/>
    <w:link w:val="2"/>
    <w:qFormat/>
    <w:uiPriority w:val="0"/>
    <w:rPr>
      <w:rFonts w:eastAsia="宋体"/>
      <w:kern w:val="2"/>
      <w:sz w:val="21"/>
      <w:szCs w:val="24"/>
      <w:lang w:val="en-US" w:eastAsia="zh-CN" w:bidi="ar-SA"/>
    </w:rPr>
  </w:style>
  <w:style w:type="character" w:customStyle="1" w:styleId="237">
    <w:name w:val="ITTHEADER1 Char"/>
    <w:qFormat/>
    <w:uiPriority w:val="0"/>
    <w:rPr>
      <w:rFonts w:eastAsia="黑体"/>
      <w:kern w:val="2"/>
      <w:sz w:val="44"/>
      <w:szCs w:val="44"/>
      <w:lang w:val="en-US" w:eastAsia="zh-CN" w:bidi="ar-SA"/>
    </w:rPr>
  </w:style>
  <w:style w:type="character" w:customStyle="1" w:styleId="238">
    <w:name w:val="副标题 Char"/>
    <w:qFormat/>
    <w:uiPriority w:val="0"/>
    <w:rPr>
      <w:rFonts w:ascii="Cambria" w:hAnsi="Cambria" w:eastAsia="宋体" w:cs="Times New Roman"/>
      <w:b/>
      <w:bCs/>
      <w:kern w:val="28"/>
      <w:sz w:val="32"/>
      <w:szCs w:val="32"/>
    </w:rPr>
  </w:style>
  <w:style w:type="character" w:customStyle="1" w:styleId="239">
    <w:name w:val="标题 6 Char2"/>
    <w:link w:val="8"/>
    <w:qFormat/>
    <w:uiPriority w:val="0"/>
    <w:rPr>
      <w:rFonts w:hAnsi="Arial" w:eastAsia="仿宋_GB2312"/>
      <w:sz w:val="30"/>
      <w:lang w:val="en-US" w:eastAsia="zh-CN" w:bidi="ar-SA"/>
    </w:rPr>
  </w:style>
  <w:style w:type="character" w:customStyle="1" w:styleId="240">
    <w:name w:val="标题 Char2"/>
    <w:qFormat/>
    <w:uiPriority w:val="10"/>
    <w:rPr>
      <w:rFonts w:ascii="Cambria" w:hAnsi="Cambria" w:eastAsia="宋体" w:cs="Times New Roman"/>
      <w:b/>
      <w:bCs/>
      <w:sz w:val="32"/>
      <w:szCs w:val="32"/>
    </w:rPr>
  </w:style>
  <w:style w:type="character" w:customStyle="1" w:styleId="241">
    <w:name w:val="正文文本 Char2"/>
    <w:qFormat/>
    <w:uiPriority w:val="99"/>
    <w:rPr>
      <w:kern w:val="2"/>
      <w:sz w:val="21"/>
      <w:szCs w:val="24"/>
    </w:rPr>
  </w:style>
  <w:style w:type="character" w:customStyle="1" w:styleId="242">
    <w:name w:val="正文文本 2 Char"/>
    <w:link w:val="40"/>
    <w:qFormat/>
    <w:uiPriority w:val="0"/>
    <w:rPr>
      <w:i/>
      <w:iCs/>
      <w:kern w:val="2"/>
      <w:sz w:val="26"/>
      <w:szCs w:val="24"/>
    </w:rPr>
  </w:style>
  <w:style w:type="character" w:customStyle="1" w:styleId="243">
    <w:name w:val="0d1471"/>
    <w:qFormat/>
    <w:uiPriority w:val="0"/>
    <w:rPr>
      <w:color w:val="000000"/>
      <w:sz w:val="11"/>
      <w:szCs w:val="11"/>
      <w:u w:val="none"/>
    </w:rPr>
  </w:style>
  <w:style w:type="character" w:customStyle="1" w:styleId="244">
    <w:name w:val="批注主题 Char"/>
    <w:qFormat/>
    <w:uiPriority w:val="0"/>
    <w:rPr>
      <w:rFonts w:ascii="宋体" w:hAnsi="宋体" w:eastAsia="宋体"/>
      <w:kern w:val="2"/>
      <w:sz w:val="24"/>
      <w:szCs w:val="28"/>
      <w:lang w:val="en-US" w:eastAsia="zh-CN" w:bidi="ar-SA"/>
    </w:rPr>
  </w:style>
  <w:style w:type="character" w:customStyle="1" w:styleId="245">
    <w:name w:val="正文文本 2 Char1"/>
    <w:semiHidden/>
    <w:qFormat/>
    <w:uiPriority w:val="99"/>
    <w:rPr>
      <w:rFonts w:ascii="Calibri" w:hAnsi="Calibri" w:eastAsia="宋体" w:cs="Times New Roman"/>
      <w:szCs w:val="24"/>
    </w:rPr>
  </w:style>
  <w:style w:type="character" w:customStyle="1" w:styleId="246">
    <w:name w:val="批注框文本 Char1"/>
    <w:qFormat/>
    <w:uiPriority w:val="0"/>
    <w:rPr>
      <w:kern w:val="2"/>
      <w:sz w:val="18"/>
      <w:szCs w:val="18"/>
    </w:rPr>
  </w:style>
  <w:style w:type="character" w:customStyle="1" w:styleId="247">
    <w:name w:val="标题 Char3"/>
    <w:link w:val="44"/>
    <w:qFormat/>
    <w:uiPriority w:val="0"/>
    <w:rPr>
      <w:rFonts w:eastAsia="宋体"/>
      <w:szCs w:val="24"/>
      <w:u w:val="single"/>
      <w:lang w:val="en-US" w:eastAsia="en-US" w:bidi="ar-SA"/>
    </w:rPr>
  </w:style>
  <w:style w:type="character" w:customStyle="1" w:styleId="248">
    <w:name w:val="正文文本缩进 2 Char3"/>
    <w:link w:val="26"/>
    <w:qFormat/>
    <w:uiPriority w:val="0"/>
    <w:rPr>
      <w:rFonts w:eastAsia="宋体"/>
      <w:sz w:val="28"/>
      <w:szCs w:val="24"/>
      <w:lang w:val="en-US" w:eastAsia="zh-CN" w:bidi="ar-SA"/>
    </w:rPr>
  </w:style>
  <w:style w:type="character" w:customStyle="1" w:styleId="249">
    <w:name w:val="引用 Char"/>
    <w:link w:val="126"/>
    <w:qFormat/>
    <w:uiPriority w:val="0"/>
    <w:rPr>
      <w:rFonts w:ascii="Times New Roman" w:hAnsi="Times New Roman" w:eastAsia="宋体" w:cs="Times New Roman"/>
      <w:i/>
      <w:iCs/>
      <w:color w:val="000000"/>
      <w:kern w:val="2"/>
      <w:sz w:val="21"/>
      <w:szCs w:val="24"/>
    </w:rPr>
  </w:style>
  <w:style w:type="character" w:customStyle="1" w:styleId="250">
    <w:name w:val="font161"/>
    <w:qFormat/>
    <w:uiPriority w:val="0"/>
    <w:rPr>
      <w:b/>
      <w:bCs/>
      <w:sz w:val="32"/>
      <w:szCs w:val="32"/>
    </w:rPr>
  </w:style>
  <w:style w:type="character" w:customStyle="1" w:styleId="251">
    <w:name w:val="正文文本缩进 Char3"/>
    <w:link w:val="18"/>
    <w:qFormat/>
    <w:uiPriority w:val="0"/>
    <w:rPr>
      <w:rFonts w:eastAsia="宋体"/>
      <w:kern w:val="2"/>
      <w:sz w:val="21"/>
      <w:szCs w:val="24"/>
      <w:lang w:val="en-US" w:eastAsia="zh-CN" w:bidi="ar-SA"/>
    </w:rPr>
  </w:style>
  <w:style w:type="character" w:customStyle="1" w:styleId="252">
    <w:name w:val="标题 9 Char2"/>
    <w:link w:val="12"/>
    <w:qFormat/>
    <w:uiPriority w:val="0"/>
    <w:rPr>
      <w:rFonts w:eastAsia="仿宋_GB2312"/>
      <w:sz w:val="30"/>
      <w:lang w:val="en-US" w:eastAsia="zh-CN" w:bidi="ar-SA"/>
    </w:rPr>
  </w:style>
  <w:style w:type="character" w:customStyle="1" w:styleId="253">
    <w:name w:val="标题 8 Char2"/>
    <w:link w:val="11"/>
    <w:qFormat/>
    <w:uiPriority w:val="0"/>
    <w:rPr>
      <w:rFonts w:hAnsi="Arial" w:eastAsia="仿宋_GB2312"/>
      <w:sz w:val="30"/>
      <w:lang w:val="en-US" w:eastAsia="zh-CN" w:bidi="ar-SA"/>
    </w:rPr>
  </w:style>
  <w:style w:type="character" w:customStyle="1" w:styleId="254">
    <w:name w:val="Char Char32"/>
    <w:qFormat/>
    <w:uiPriority w:val="0"/>
    <w:rPr>
      <w:rFonts w:ascii="仿宋_GB2312" w:eastAsia="仿宋_GB2312" w:cs="MingLiU"/>
      <w:b/>
      <w:spacing w:val="1"/>
      <w:w w:val="99"/>
      <w:sz w:val="28"/>
      <w:szCs w:val="32"/>
    </w:rPr>
  </w:style>
  <w:style w:type="character" w:customStyle="1" w:styleId="255">
    <w:name w:val="正文文本缩进 3 Char3"/>
    <w:link w:val="37"/>
    <w:qFormat/>
    <w:uiPriority w:val="0"/>
    <w:rPr>
      <w:rFonts w:ascii="宋体" w:hAnsi="宋体" w:eastAsia="宋体"/>
      <w:kern w:val="2"/>
      <w:sz w:val="28"/>
      <w:szCs w:val="28"/>
      <w:lang w:val="en-US" w:eastAsia="zh-CN" w:bidi="ar-SA"/>
    </w:rPr>
  </w:style>
  <w:style w:type="character" w:customStyle="1" w:styleId="256">
    <w:name w:val="标题 2 Char1"/>
    <w:link w:val="4"/>
    <w:qFormat/>
    <w:uiPriority w:val="0"/>
    <w:rPr>
      <w:rFonts w:ascii="Cambria" w:hAnsi="Cambria" w:eastAsia="宋体" w:cs="Times New Roman"/>
      <w:b/>
      <w:bCs/>
      <w:kern w:val="2"/>
      <w:sz w:val="32"/>
      <w:szCs w:val="32"/>
    </w:rPr>
  </w:style>
  <w:style w:type="character" w:customStyle="1" w:styleId="257">
    <w:name w:val="ss16"/>
    <w:qFormat/>
    <w:uiPriority w:val="0"/>
    <w:rPr>
      <w:rFonts w:hint="eastAsia" w:ascii="宋体" w:hAnsi="宋体" w:eastAsia="宋体"/>
      <w:color w:val="000000"/>
      <w:sz w:val="9"/>
      <w:szCs w:val="9"/>
    </w:rPr>
  </w:style>
  <w:style w:type="character" w:customStyle="1" w:styleId="258">
    <w:name w:val="批注主题 Char3"/>
    <w:semiHidden/>
    <w:qFormat/>
    <w:uiPriority w:val="99"/>
    <w:rPr>
      <w:rFonts w:ascii="Calibri" w:hAnsi="Calibri" w:eastAsia="宋体" w:cs="Times New Roman"/>
      <w:b/>
      <w:bCs/>
      <w:szCs w:val="24"/>
    </w:rPr>
  </w:style>
  <w:style w:type="character" w:customStyle="1" w:styleId="259">
    <w:name w:val="明显引用 Char1"/>
    <w:link w:val="143"/>
    <w:qFormat/>
    <w:uiPriority w:val="30"/>
    <w:rPr>
      <w:b/>
      <w:bCs/>
      <w:i/>
      <w:iCs/>
      <w:color w:val="4F81BD"/>
      <w:kern w:val="2"/>
      <w:sz w:val="21"/>
    </w:rPr>
  </w:style>
  <w:style w:type="character" w:customStyle="1" w:styleId="260">
    <w:name w:val="HTML 预设格式 Char2"/>
    <w:semiHidden/>
    <w:qFormat/>
    <w:uiPriority w:val="99"/>
    <w:rPr>
      <w:rFonts w:ascii="Courier New" w:hAnsi="Courier New" w:eastAsia="宋体" w:cs="Courier New"/>
      <w:sz w:val="20"/>
      <w:szCs w:val="20"/>
    </w:rPr>
  </w:style>
  <w:style w:type="character" w:customStyle="1" w:styleId="261">
    <w:name w:val="Char Char17"/>
    <w:qFormat/>
    <w:uiPriority w:val="0"/>
    <w:rPr>
      <w:kern w:val="2"/>
      <w:sz w:val="26"/>
      <w:szCs w:val="24"/>
    </w:rPr>
  </w:style>
  <w:style w:type="character" w:customStyle="1" w:styleId="262">
    <w:name w:val="标题 3 Char1"/>
    <w:qFormat/>
    <w:uiPriority w:val="0"/>
    <w:rPr>
      <w:rFonts w:ascii="Times New Roman" w:hAnsi="Times New Roman" w:eastAsia="宋体" w:cs="Times New Roman"/>
      <w:b/>
      <w:bCs/>
      <w:kern w:val="2"/>
      <w:sz w:val="32"/>
      <w:szCs w:val="32"/>
    </w:rPr>
  </w:style>
  <w:style w:type="character" w:customStyle="1" w:styleId="263">
    <w:name w:val="标题 5 Char"/>
    <w:qFormat/>
    <w:uiPriority w:val="0"/>
    <w:rPr>
      <w:rFonts w:ascii="Calibri" w:hAnsi="Calibri" w:eastAsia="宋体" w:cs="Times New Roman"/>
      <w:b/>
      <w:bCs/>
      <w:sz w:val="28"/>
      <w:szCs w:val="28"/>
    </w:rPr>
  </w:style>
  <w:style w:type="character" w:customStyle="1" w:styleId="264">
    <w:name w:val="页脚 Char1"/>
    <w:semiHidden/>
    <w:qFormat/>
    <w:uiPriority w:val="99"/>
    <w:rPr>
      <w:kern w:val="2"/>
      <w:sz w:val="18"/>
      <w:szCs w:val="18"/>
    </w:rPr>
  </w:style>
  <w:style w:type="character" w:customStyle="1" w:styleId="265">
    <w:name w:val="unnamed1"/>
    <w:basedOn w:val="48"/>
    <w:qFormat/>
    <w:uiPriority w:val="0"/>
  </w:style>
  <w:style w:type="character" w:customStyle="1" w:styleId="266">
    <w:name w:val="Char Char9"/>
    <w:qFormat/>
    <w:locked/>
    <w:uiPriority w:val="0"/>
    <w:rPr>
      <w:rFonts w:ascii="仿宋_GB2312" w:eastAsia="仿宋_GB2312" w:cs="MingLiU"/>
      <w:b/>
      <w:sz w:val="24"/>
      <w:szCs w:val="28"/>
      <w:lang w:val="en-US" w:eastAsia="zh-CN" w:bidi="ar-SA"/>
    </w:rPr>
  </w:style>
  <w:style w:type="character" w:customStyle="1" w:styleId="267">
    <w:name w:val="批注主题 Char1"/>
    <w:qFormat/>
    <w:uiPriority w:val="0"/>
    <w:rPr>
      <w:b/>
      <w:bCs/>
      <w:kern w:val="2"/>
      <w:sz w:val="21"/>
      <w:szCs w:val="22"/>
    </w:rPr>
  </w:style>
  <w:style w:type="character" w:customStyle="1" w:styleId="268">
    <w:name w:val="正文文本 3 Char3"/>
    <w:link w:val="17"/>
    <w:qFormat/>
    <w:uiPriority w:val="0"/>
    <w:rPr>
      <w:rFonts w:eastAsia="宋体"/>
      <w:kern w:val="2"/>
      <w:sz w:val="16"/>
      <w:szCs w:val="16"/>
      <w:lang w:val="en-US" w:eastAsia="zh-CN" w:bidi="ar-SA"/>
    </w:rPr>
  </w:style>
  <w:style w:type="character" w:customStyle="1" w:styleId="269">
    <w:name w:val="纯文本 Char2"/>
    <w:semiHidden/>
    <w:qFormat/>
    <w:uiPriority w:val="99"/>
    <w:rPr>
      <w:rFonts w:ascii="宋体" w:hAnsi="Courier New" w:eastAsia="宋体" w:cs="Courier New"/>
      <w:szCs w:val="21"/>
    </w:rPr>
  </w:style>
  <w:style w:type="character" w:customStyle="1" w:styleId="270">
    <w:name w:val="intel3"/>
    <w:basedOn w:val="48"/>
    <w:qFormat/>
    <w:uiPriority w:val="0"/>
  </w:style>
  <w:style w:type="character" w:customStyle="1" w:styleId="271">
    <w:name w:val="subhead1"/>
    <w:qFormat/>
    <w:uiPriority w:val="0"/>
    <w:rPr>
      <w:rFonts w:hint="default" w:ascii="Tahoma" w:hAnsi="Tahoma" w:cs="Tahoma"/>
      <w:color w:val="000000"/>
      <w:sz w:val="18"/>
      <w:szCs w:val="18"/>
      <w:u w:val="none"/>
      <w:shd w:val="clear" w:color="auto" w:fill="FFFFFF"/>
    </w:rPr>
  </w:style>
  <w:style w:type="character" w:customStyle="1" w:styleId="272">
    <w:name w:val="脚注文本 Char"/>
    <w:qFormat/>
    <w:uiPriority w:val="0"/>
    <w:rPr>
      <w:rFonts w:ascii="Arial" w:hAnsi="Arial" w:eastAsia="宋体" w:cs="Arial"/>
      <w:sz w:val="18"/>
      <w:szCs w:val="18"/>
      <w:lang w:eastAsia="en-US"/>
    </w:rPr>
  </w:style>
  <w:style w:type="character" w:customStyle="1" w:styleId="273">
    <w:name w:val="引用 Char1"/>
    <w:link w:val="148"/>
    <w:qFormat/>
    <w:uiPriority w:val="29"/>
    <w:rPr>
      <w:i/>
      <w:iCs/>
      <w:color w:val="000000"/>
      <w:kern w:val="2"/>
      <w:sz w:val="21"/>
    </w:rPr>
  </w:style>
  <w:style w:type="character" w:customStyle="1" w:styleId="274">
    <w:name w:val="正文文本缩进 2 Char"/>
    <w:qFormat/>
    <w:uiPriority w:val="0"/>
    <w:rPr>
      <w:kern w:val="2"/>
      <w:sz w:val="21"/>
      <w:szCs w:val="24"/>
    </w:rPr>
  </w:style>
  <w:style w:type="character" w:customStyle="1" w:styleId="275">
    <w:name w:val="脚注文本 Char2"/>
    <w:semiHidden/>
    <w:qFormat/>
    <w:uiPriority w:val="99"/>
    <w:rPr>
      <w:rFonts w:ascii="Calibri" w:hAnsi="Calibri" w:eastAsia="宋体" w:cs="Times New Roman"/>
      <w:sz w:val="18"/>
      <w:szCs w:val="18"/>
    </w:rPr>
  </w:style>
  <w:style w:type="character" w:customStyle="1" w:styleId="276">
    <w:name w:val="ca-141"/>
    <w:qFormat/>
    <w:uiPriority w:val="0"/>
    <w:rPr>
      <w:rFonts w:hint="eastAsia" w:ascii="仿宋_GB2312" w:eastAsia="仿宋_GB2312"/>
      <w:sz w:val="21"/>
      <w:szCs w:val="21"/>
    </w:rPr>
  </w:style>
  <w:style w:type="character" w:customStyle="1" w:styleId="277">
    <w:name w:val="标题 Char1"/>
    <w:qFormat/>
    <w:uiPriority w:val="10"/>
    <w:rPr>
      <w:szCs w:val="24"/>
      <w:u w:val="single"/>
      <w:lang w:eastAsia="en-US"/>
    </w:rPr>
  </w:style>
  <w:style w:type="character" w:customStyle="1" w:styleId="278">
    <w:name w:val="style161"/>
    <w:qFormat/>
    <w:uiPriority w:val="0"/>
    <w:rPr>
      <w:b/>
      <w:bCs/>
      <w:color w:val="333333"/>
    </w:rPr>
  </w:style>
  <w:style w:type="character" w:customStyle="1" w:styleId="279">
    <w:name w:val="Char Char11"/>
    <w:qFormat/>
    <w:locked/>
    <w:uiPriority w:val="0"/>
    <w:rPr>
      <w:rFonts w:eastAsia="黑体"/>
      <w:kern w:val="2"/>
      <w:sz w:val="44"/>
      <w:szCs w:val="44"/>
      <w:lang w:val="en-US" w:eastAsia="zh-CN" w:bidi="ar-SA"/>
    </w:rPr>
  </w:style>
  <w:style w:type="character" w:customStyle="1" w:styleId="280">
    <w:name w:val="标题 7 Char"/>
    <w:qFormat/>
    <w:uiPriority w:val="0"/>
    <w:rPr>
      <w:rFonts w:ascii="Calibri" w:hAnsi="Calibri" w:eastAsia="宋体" w:cs="Times New Roman"/>
      <w:b/>
      <w:bCs/>
      <w:sz w:val="24"/>
      <w:szCs w:val="24"/>
    </w:rPr>
  </w:style>
  <w:style w:type="character" w:customStyle="1" w:styleId="281">
    <w:name w:val="批注文字 Char1"/>
    <w:qFormat/>
    <w:uiPriority w:val="99"/>
    <w:rPr>
      <w:rFonts w:ascii="Times New Roman" w:hAnsi="Times New Roman" w:eastAsia="宋体" w:cs="Times New Roman"/>
      <w:szCs w:val="24"/>
    </w:rPr>
  </w:style>
  <w:style w:type="character" w:customStyle="1" w:styleId="282">
    <w:name w:val="明显引用 Char"/>
    <w:qFormat/>
    <w:uiPriority w:val="0"/>
    <w:rPr>
      <w:rFonts w:ascii="Times New Roman" w:hAnsi="Times New Roman" w:eastAsia="宋体" w:cs="Times New Roman"/>
      <w:b/>
      <w:bCs/>
      <w:i/>
      <w:iCs/>
      <w:color w:val="4F81BD"/>
      <w:kern w:val="2"/>
      <w:sz w:val="21"/>
      <w:szCs w:val="24"/>
    </w:rPr>
  </w:style>
  <w:style w:type="character" w:customStyle="1" w:styleId="283">
    <w:name w:val="标题 5 Char2"/>
    <w:link w:val="7"/>
    <w:qFormat/>
    <w:uiPriority w:val="0"/>
    <w:rPr>
      <w:rFonts w:ascii="宋体" w:hAnsi="宋体" w:eastAsia="宋体" w:cs="宋体"/>
      <w:b/>
      <w:bCs/>
      <w:lang w:val="en-US" w:eastAsia="zh-CN" w:bidi="ar-SA"/>
    </w:rPr>
  </w:style>
  <w:style w:type="character" w:customStyle="1" w:styleId="284">
    <w:name w:val="正文文本缩进 3 Char1"/>
    <w:qFormat/>
    <w:uiPriority w:val="0"/>
    <w:rPr>
      <w:rFonts w:ascii="宋体" w:hAnsi="宋体"/>
      <w:kern w:val="2"/>
      <w:sz w:val="28"/>
      <w:szCs w:val="28"/>
    </w:rPr>
  </w:style>
  <w:style w:type="character" w:customStyle="1" w:styleId="285">
    <w:name w:val="正文文本 Char"/>
    <w:qFormat/>
    <w:uiPriority w:val="0"/>
    <w:rPr>
      <w:sz w:val="26"/>
      <w:szCs w:val="24"/>
    </w:rPr>
  </w:style>
  <w:style w:type="character" w:customStyle="1" w:styleId="286">
    <w:name w:val="明显引用 字符"/>
    <w:link w:val="92"/>
    <w:qFormat/>
    <w:uiPriority w:val="0"/>
    <w:rPr>
      <w:b/>
      <w:bCs/>
      <w:i/>
      <w:iCs/>
      <w:color w:val="4F81BD"/>
      <w:kern w:val="2"/>
      <w:sz w:val="21"/>
      <w:szCs w:val="22"/>
      <w:lang w:bidi="ar-SA"/>
    </w:rPr>
  </w:style>
  <w:style w:type="character" w:customStyle="1" w:styleId="287">
    <w:name w:val="Char Char12"/>
    <w:qFormat/>
    <w:uiPriority w:val="0"/>
    <w:rPr>
      <w:rFonts w:eastAsia="黑体"/>
      <w:kern w:val="2"/>
      <w:sz w:val="44"/>
      <w:szCs w:val="44"/>
      <w:lang w:val="en-US" w:eastAsia="zh-CN" w:bidi="ar-SA"/>
    </w:rPr>
  </w:style>
  <w:style w:type="character" w:customStyle="1" w:styleId="288">
    <w:name w:val="标题 4 Char"/>
    <w:qFormat/>
    <w:uiPriority w:val="0"/>
    <w:rPr>
      <w:rFonts w:ascii="仿宋_GB2312" w:hAnsi="Calibri" w:eastAsia="仿宋_GB2312" w:cs="Times New Roman"/>
      <w:b/>
      <w:kern w:val="0"/>
      <w:sz w:val="24"/>
      <w:szCs w:val="28"/>
    </w:rPr>
  </w:style>
  <w:style w:type="character" w:customStyle="1" w:styleId="289">
    <w:name w:val="明显引用 Char3"/>
    <w:qFormat/>
    <w:uiPriority w:val="30"/>
    <w:rPr>
      <w:rFonts w:ascii="Calibri" w:hAnsi="Calibri" w:eastAsia="宋体" w:cs="Times New Roman"/>
      <w:b/>
      <w:bCs/>
      <w:i/>
      <w:iCs/>
      <w:color w:val="4F81BD"/>
      <w:szCs w:val="24"/>
    </w:rPr>
  </w:style>
  <w:style w:type="character" w:customStyle="1" w:styleId="290">
    <w:name w:val="引用 Char2"/>
    <w:qFormat/>
    <w:uiPriority w:val="99"/>
    <w:rPr>
      <w:i/>
      <w:iCs/>
      <w:color w:val="000000"/>
      <w:kern w:val="2"/>
      <w:sz w:val="21"/>
      <w:szCs w:val="24"/>
    </w:rPr>
  </w:style>
  <w:style w:type="character" w:customStyle="1" w:styleId="291">
    <w:name w:val="批注主题 Char4"/>
    <w:link w:val="45"/>
    <w:qFormat/>
    <w:uiPriority w:val="0"/>
    <w:rPr>
      <w:rFonts w:eastAsia="宋体"/>
      <w:b/>
      <w:bCs/>
      <w:kern w:val="2"/>
      <w:sz w:val="21"/>
      <w:szCs w:val="24"/>
      <w:lang w:val="en-US" w:eastAsia="zh-CN" w:bidi="ar-SA"/>
    </w:rPr>
  </w:style>
  <w:style w:type="character" w:customStyle="1" w:styleId="292">
    <w:name w:val="不明显强调1"/>
    <w:qFormat/>
    <w:uiPriority w:val="0"/>
    <w:rPr>
      <w:i/>
      <w:iCs/>
      <w:color w:val="808080"/>
    </w:rPr>
  </w:style>
  <w:style w:type="character" w:customStyle="1" w:styleId="293">
    <w:name w:val="color_red1"/>
    <w:qFormat/>
    <w:uiPriority w:val="0"/>
    <w:rPr>
      <w:color w:val="FA0004"/>
    </w:rPr>
  </w:style>
  <w:style w:type="character" w:customStyle="1" w:styleId="294">
    <w:name w:val="标题 7 Char2"/>
    <w:link w:val="10"/>
    <w:qFormat/>
    <w:uiPriority w:val="0"/>
    <w:rPr>
      <w:rFonts w:eastAsia="仿宋_GB2312"/>
      <w:sz w:val="30"/>
      <w:lang w:val="en-US" w:eastAsia="zh-CN" w:bidi="ar-SA"/>
    </w:rPr>
  </w:style>
  <w:style w:type="character" w:customStyle="1" w:styleId="295">
    <w:name w:val="标题5 Char Char"/>
    <w:link w:val="132"/>
    <w:qFormat/>
    <w:uiPriority w:val="0"/>
    <w:rPr>
      <w:rFonts w:ascii="Arial" w:hAnsi="Arial"/>
      <w:b/>
      <w:bCs/>
      <w:sz w:val="24"/>
      <w:szCs w:val="32"/>
      <w:lang w:bidi="ar-SA"/>
    </w:rPr>
  </w:style>
  <w:style w:type="character" w:customStyle="1" w:styleId="296">
    <w:name w:val="脚注文本 Char3"/>
    <w:link w:val="34"/>
    <w:qFormat/>
    <w:uiPriority w:val="0"/>
    <w:rPr>
      <w:rFonts w:ascii="Arial" w:hAnsi="Arial" w:eastAsia="宋体" w:cs="Arial"/>
      <w:sz w:val="18"/>
      <w:szCs w:val="18"/>
      <w:lang w:val="en-US" w:eastAsia="en-US" w:bidi="ar-SA"/>
    </w:rPr>
  </w:style>
  <w:style w:type="character" w:customStyle="1" w:styleId="297">
    <w:name w:val="标题4 Char Char"/>
    <w:link w:val="102"/>
    <w:qFormat/>
    <w:uiPriority w:val="0"/>
    <w:rPr>
      <w:rFonts w:ascii="Arial" w:hAnsi="Arial"/>
      <w:b/>
      <w:bCs/>
      <w:sz w:val="24"/>
      <w:szCs w:val="32"/>
      <w:lang w:bidi="ar-SA"/>
    </w:rPr>
  </w:style>
  <w:style w:type="character" w:customStyle="1" w:styleId="298">
    <w:name w:val="Char Char13"/>
    <w:qFormat/>
    <w:uiPriority w:val="0"/>
    <w:rPr>
      <w:kern w:val="2"/>
      <w:sz w:val="18"/>
      <w:szCs w:val="18"/>
    </w:rPr>
  </w:style>
  <w:style w:type="character" w:customStyle="1" w:styleId="299">
    <w:name w:val="文档结构图 Char2"/>
    <w:qFormat/>
    <w:uiPriority w:val="99"/>
    <w:rPr>
      <w:kern w:val="2"/>
      <w:sz w:val="21"/>
      <w:szCs w:val="24"/>
      <w:shd w:val="clear" w:color="auto" w:fill="000080"/>
    </w:rPr>
  </w:style>
  <w:style w:type="character" w:customStyle="1" w:styleId="300">
    <w:name w:val="批注文字 Char2"/>
    <w:qFormat/>
    <w:uiPriority w:val="0"/>
    <w:rPr>
      <w:rFonts w:ascii="Calibri" w:hAnsi="Calibri" w:eastAsia="宋体" w:cs="Times New Roman"/>
      <w:szCs w:val="24"/>
    </w:rPr>
  </w:style>
  <w:style w:type="character" w:customStyle="1" w:styleId="301">
    <w:name w:val="标题 8 Char1"/>
    <w:qFormat/>
    <w:uiPriority w:val="0"/>
    <w:rPr>
      <w:rFonts w:ascii="Times New Roman" w:hAnsi="Arial" w:eastAsia="仿宋_GB2312" w:cs="Times New Roman"/>
      <w:sz w:val="30"/>
      <w:szCs w:val="20"/>
    </w:rPr>
  </w:style>
  <w:style w:type="character" w:customStyle="1" w:styleId="302">
    <w:name w:val="页眉 Char2"/>
    <w:link w:val="30"/>
    <w:qFormat/>
    <w:uiPriority w:val="0"/>
    <w:rPr>
      <w:rFonts w:eastAsia="宋体"/>
      <w:kern w:val="2"/>
      <w:sz w:val="18"/>
      <w:szCs w:val="18"/>
      <w:lang w:val="en-US" w:eastAsia="zh-CN" w:bidi="ar-SA"/>
    </w:rPr>
  </w:style>
  <w:style w:type="character" w:customStyle="1" w:styleId="303">
    <w:name w:val="Char Char21"/>
    <w:qFormat/>
    <w:uiPriority w:val="0"/>
    <w:rPr>
      <w:rFonts w:ascii="宋体" w:hAnsi="宋体" w:cs="宋体"/>
      <w:b/>
      <w:bCs/>
      <w:sz w:val="24"/>
      <w:szCs w:val="24"/>
    </w:rPr>
  </w:style>
  <w:style w:type="character" w:customStyle="1" w:styleId="304">
    <w:name w:val="标题 6 Char1"/>
    <w:qFormat/>
    <w:uiPriority w:val="0"/>
    <w:rPr>
      <w:rFonts w:ascii="Times New Roman" w:hAnsi="Arial" w:eastAsia="仿宋_GB2312" w:cs="Times New Roman"/>
      <w:sz w:val="30"/>
      <w:szCs w:val="20"/>
    </w:rPr>
  </w:style>
  <w:style w:type="character" w:customStyle="1" w:styleId="305">
    <w:name w:val="_Style 293"/>
    <w:qFormat/>
    <w:uiPriority w:val="0"/>
    <w:rPr>
      <w:smallCaps/>
      <w:color w:val="C0504D"/>
      <w:u w:val="single"/>
    </w:rPr>
  </w:style>
  <w:style w:type="character" w:customStyle="1" w:styleId="306">
    <w:name w:val="副标题 Char1"/>
    <w:qFormat/>
    <w:uiPriority w:val="0"/>
    <w:rPr>
      <w:szCs w:val="24"/>
      <w:u w:val="single"/>
      <w:lang w:eastAsia="en-US"/>
    </w:rPr>
  </w:style>
  <w:style w:type="character" w:customStyle="1" w:styleId="307">
    <w:name w:val="正文文本 Char3"/>
    <w:semiHidden/>
    <w:qFormat/>
    <w:uiPriority w:val="99"/>
    <w:rPr>
      <w:rFonts w:ascii="Calibri" w:hAnsi="Calibri" w:eastAsia="宋体" w:cs="Times New Roman"/>
      <w:szCs w:val="24"/>
    </w:rPr>
  </w:style>
  <w:style w:type="character" w:customStyle="1" w:styleId="308">
    <w:name w:val="标题 4 Char1"/>
    <w:qFormat/>
    <w:uiPriority w:val="0"/>
    <w:rPr>
      <w:rFonts w:ascii="宋体" w:hAnsi="宋体" w:eastAsia="宋体" w:cs="宋体"/>
      <w:b/>
      <w:bCs/>
      <w:sz w:val="24"/>
      <w:szCs w:val="24"/>
    </w:rPr>
  </w:style>
  <w:style w:type="character" w:customStyle="1" w:styleId="309">
    <w:name w:val="文档结构图 Char3"/>
    <w:semiHidden/>
    <w:qFormat/>
    <w:uiPriority w:val="99"/>
    <w:rPr>
      <w:rFonts w:ascii="宋体" w:hAnsi="Calibri" w:eastAsia="宋体" w:cs="Times New Roman"/>
      <w:sz w:val="18"/>
      <w:szCs w:val="18"/>
    </w:rPr>
  </w:style>
  <w:style w:type="character" w:customStyle="1" w:styleId="310">
    <w:name w:val="标题 3 Char2"/>
    <w:link w:val="5"/>
    <w:qFormat/>
    <w:uiPriority w:val="0"/>
    <w:rPr>
      <w:rFonts w:eastAsia="宋体"/>
      <w:b/>
      <w:bCs/>
      <w:kern w:val="2"/>
      <w:sz w:val="32"/>
      <w:szCs w:val="32"/>
      <w:lang w:val="en-US" w:eastAsia="zh-CN" w:bidi="ar-SA"/>
    </w:rPr>
  </w:style>
  <w:style w:type="character" w:customStyle="1" w:styleId="311">
    <w:name w:val="正文文本 3 Char2"/>
    <w:semiHidden/>
    <w:qFormat/>
    <w:uiPriority w:val="99"/>
    <w:rPr>
      <w:rFonts w:ascii="Calibri" w:hAnsi="Calibri" w:eastAsia="宋体" w:cs="Times New Roman"/>
      <w:sz w:val="16"/>
      <w:szCs w:val="16"/>
    </w:rPr>
  </w:style>
  <w:style w:type="character" w:customStyle="1" w:styleId="312">
    <w:name w:val="Char Char23"/>
    <w:qFormat/>
    <w:uiPriority w:val="0"/>
    <w:rPr>
      <w:rFonts w:ascii="Cambria" w:hAnsi="Cambria" w:eastAsia="宋体" w:cs="Times New Roman"/>
      <w:b/>
      <w:bCs/>
      <w:kern w:val="2"/>
      <w:sz w:val="32"/>
      <w:szCs w:val="32"/>
    </w:rPr>
  </w:style>
  <w:style w:type="character" w:customStyle="1" w:styleId="313">
    <w:name w:val="尾注文本 Char2"/>
    <w:semiHidden/>
    <w:qFormat/>
    <w:uiPriority w:val="99"/>
    <w:rPr>
      <w:rFonts w:ascii="Calibri" w:hAnsi="Calibri" w:eastAsia="宋体" w:cs="Times New Roman"/>
      <w:szCs w:val="24"/>
    </w:rPr>
  </w:style>
  <w:style w:type="character" w:customStyle="1" w:styleId="314">
    <w:name w:val="书籍标题1"/>
    <w:qFormat/>
    <w:uiPriority w:val="0"/>
    <w:rPr>
      <w:b/>
      <w:bCs/>
      <w:smallCaps/>
      <w:spacing w:val="5"/>
    </w:rPr>
  </w:style>
  <w:style w:type="character" w:customStyle="1" w:styleId="315">
    <w:name w:val="ITTHEADER2 Char"/>
    <w:qFormat/>
    <w:uiPriority w:val="0"/>
    <w:rPr>
      <w:rFonts w:ascii="仿宋_GB2312" w:eastAsia="仿宋_GB2312" w:cs="MingLiU"/>
      <w:b/>
      <w:spacing w:val="1"/>
      <w:w w:val="99"/>
      <w:sz w:val="28"/>
      <w:szCs w:val="32"/>
      <w:lang w:val="en-US" w:eastAsia="zh-CN" w:bidi="ar-SA"/>
    </w:rPr>
  </w:style>
  <w:style w:type="character" w:customStyle="1" w:styleId="316">
    <w:name w:val="批注文字 Char3"/>
    <w:link w:val="16"/>
    <w:qFormat/>
    <w:uiPriority w:val="99"/>
    <w:rPr>
      <w:rFonts w:eastAsia="宋体"/>
      <w:kern w:val="2"/>
      <w:sz w:val="21"/>
      <w:szCs w:val="24"/>
      <w:lang w:val="en-US" w:eastAsia="zh-CN" w:bidi="ar-SA"/>
    </w:rPr>
  </w:style>
  <w:style w:type="character" w:customStyle="1" w:styleId="317">
    <w:name w:val="批注文字 Char Char"/>
    <w:qFormat/>
    <w:uiPriority w:val="0"/>
    <w:rPr>
      <w:rFonts w:ascii="宋体" w:hAnsi="Times New Roman" w:eastAsia="宋体" w:cs="Times New Roman"/>
      <w:sz w:val="28"/>
      <w:szCs w:val="20"/>
    </w:rPr>
  </w:style>
  <w:style w:type="character" w:customStyle="1" w:styleId="318">
    <w:name w:val="副标题 Char3"/>
    <w:link w:val="33"/>
    <w:qFormat/>
    <w:uiPriority w:val="0"/>
    <w:rPr>
      <w:rFonts w:eastAsia="宋体"/>
      <w:szCs w:val="24"/>
      <w:u w:val="single"/>
      <w:lang w:val="en-US" w:eastAsia="en-US" w:bidi="ar-SA"/>
    </w:rPr>
  </w:style>
  <w:style w:type="character" w:customStyle="1" w:styleId="319">
    <w:name w:val="批注主题 Char2"/>
    <w:qFormat/>
    <w:uiPriority w:val="99"/>
    <w:rPr>
      <w:b/>
      <w:bCs/>
      <w:kern w:val="2"/>
      <w:sz w:val="21"/>
      <w:szCs w:val="24"/>
    </w:rPr>
  </w:style>
  <w:style w:type="character" w:customStyle="1" w:styleId="320">
    <w:name w:val="normaltext1"/>
    <w:qFormat/>
    <w:uiPriority w:val="0"/>
    <w:rPr>
      <w:rFonts w:hint="default" w:ascii="ˎ̥" w:hAnsi="ˎ̥"/>
      <w:sz w:val="9"/>
      <w:szCs w:val="9"/>
    </w:rPr>
  </w:style>
  <w:style w:type="character" w:customStyle="1" w:styleId="321">
    <w:name w:val="不明显参考1"/>
    <w:qFormat/>
    <w:uiPriority w:val="0"/>
    <w:rPr>
      <w:smallCaps/>
      <w:color w:val="C0504D"/>
      <w:u w:val="single"/>
    </w:rPr>
  </w:style>
  <w:style w:type="character" w:customStyle="1" w:styleId="322">
    <w:name w:val="标题 6 Char"/>
    <w:qFormat/>
    <w:uiPriority w:val="0"/>
    <w:rPr>
      <w:rFonts w:ascii="Arial" w:hAnsi="Arial" w:eastAsia="黑体" w:cs="Times New Roman"/>
      <w:b/>
      <w:bCs/>
      <w:sz w:val="24"/>
      <w:szCs w:val="24"/>
    </w:rPr>
  </w:style>
  <w:style w:type="paragraph" w:customStyle="1" w:styleId="32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24">
    <w:name w:val="_Style 1"/>
    <w:basedOn w:val="1"/>
    <w:qFormat/>
    <w:uiPriority w:val="34"/>
    <w:pPr>
      <w:ind w:firstLine="420" w:firstLineChars="200"/>
    </w:pPr>
  </w:style>
  <w:style w:type="paragraph" w:customStyle="1" w:styleId="325">
    <w:name w:val="正文2"/>
    <w:basedOn w:val="1"/>
    <w:next w:val="1"/>
    <w:qFormat/>
    <w:uiPriority w:val="0"/>
    <w:pPr>
      <w:spacing w:before="156" w:line="360" w:lineRule="auto"/>
      <w:ind w:firstLine="510" w:firstLineChars="200"/>
    </w:pPr>
    <w:rPr>
      <w:sz w:val="28"/>
      <w:szCs w:val="20"/>
    </w:rPr>
  </w:style>
  <w:style w:type="table" w:customStyle="1" w:styleId="32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5.wmf"/><Relationship Id="rId21" Type="http://schemas.openxmlformats.org/officeDocument/2006/relationships/oleObject" Target="embeddings/oleObject5.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wmf"/><Relationship Id="rId17" Type="http://schemas.openxmlformats.org/officeDocument/2006/relationships/oleObject" Target="embeddings/oleObject3.bin"/><Relationship Id="rId16" Type="http://schemas.openxmlformats.org/officeDocument/2006/relationships/image" Target="media/image2.wmf"/><Relationship Id="rId15" Type="http://schemas.openxmlformats.org/officeDocument/2006/relationships/oleObject" Target="embeddings/oleObject2.bin"/><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505922-67C7-4134-B828-BC3318B14306}">
  <ds:schemaRefs/>
</ds:datastoreItem>
</file>

<file path=docProps/app.xml><?xml version="1.0" encoding="utf-8"?>
<Properties xmlns="http://schemas.openxmlformats.org/officeDocument/2006/extended-properties" xmlns:vt="http://schemas.openxmlformats.org/officeDocument/2006/docPropsVTypes">
  <Template>Normal</Template>
  <Pages>197</Pages>
  <Words>20077</Words>
  <Characters>21236</Characters>
  <Lines>1160</Lines>
  <Paragraphs>326</Paragraphs>
  <TotalTime>16</TotalTime>
  <ScaleCrop>false</ScaleCrop>
  <LinksUpToDate>false</LinksUpToDate>
  <CharactersWithSpaces>22535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2021-12-17T10:44:00Z</dcterms:created>
  <dc:creator>USER</dc:creator>
  <cp:lastModifiedBy>李生强</cp:lastModifiedBy>
  <cp:lastPrinted>2024-07-16T00:58:00Z</cp:lastPrinted>
  <dcterms:modified xsi:type="dcterms:W3CDTF">2025-08-04T10:16:14Z</dcterms:modified>
  <dc:title>第一卷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42178D0225AB4366B3677EFA1BAA518D_13</vt:lpwstr>
  </property>
  <property fmtid="{D5CDD505-2E9C-101B-9397-08002B2CF9AE}" pid="4" name="KSOTemplateDocerSaveRecord">
    <vt:lpwstr>eyJoZGlkIjoiNDQ3ODllMzRlZTZjNzhmYTBjMTQ1MzY2ZTVhYmEyZDAiLCJ1c2VySWQiOiI4NDY5MTQzODkifQ==</vt:lpwstr>
  </property>
</Properties>
</file>