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45"/>
        </w:tabs>
        <w:spacing w:line="1600" w:lineRule="exact"/>
        <w:jc w:val="center"/>
        <w:outlineLvl w:val="0"/>
        <w:rPr>
          <w:rFonts w:hint="eastAsia" w:ascii="方正仿宋_GBK" w:hAnsi="方正仿宋_GBK" w:eastAsia="方正仿宋_GBK" w:cs="方正仿宋_GBK"/>
          <w:b/>
          <w:bCs/>
          <w:sz w:val="44"/>
          <w:szCs w:val="44"/>
        </w:rPr>
      </w:pPr>
      <w:bookmarkStart w:id="0" w:name="_Toc1895"/>
      <w:r>
        <w:rPr>
          <w:rFonts w:hint="eastAsia" w:ascii="方正仿宋_GBK" w:hAnsi="方正仿宋_GBK" w:eastAsia="方正仿宋_GBK" w:cs="方正仿宋_GBK"/>
          <w:b w:val="0"/>
          <w:bCs w:val="0"/>
          <w:sz w:val="36"/>
          <w:szCs w:val="36"/>
          <w:u w:val="single"/>
          <w:lang w:eastAsia="zh-CN"/>
        </w:rPr>
        <w:t>垫江县砚台镇太安村基层治理治安巡逻车采购项目</w:t>
      </w:r>
    </w:p>
    <w:p>
      <w:pPr>
        <w:spacing w:line="1600" w:lineRule="exact"/>
        <w:jc w:val="center"/>
        <w:outlineLvl w:val="0"/>
        <w:rPr>
          <w:rFonts w:hint="eastAsia" w:ascii="方正仿宋_GBK" w:hAnsi="方正仿宋_GBK" w:eastAsia="方正仿宋_GBK" w:cs="方正仿宋_GBK"/>
          <w:b w:val="0"/>
          <w:bCs w:val="0"/>
          <w:sz w:val="72"/>
          <w:szCs w:val="72"/>
        </w:rPr>
      </w:pPr>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8"/>
        <w:spacing w:line="500" w:lineRule="exact"/>
        <w:ind w:left="0"/>
        <w:jc w:val="center"/>
        <w:rPr>
          <w:rFonts w:hint="eastAsia" w:ascii="方正仿宋_GBK" w:hAnsi="方正仿宋_GBK" w:eastAsia="方正仿宋_GBK" w:cs="方正仿宋_GBK"/>
          <w:b w:val="0"/>
          <w:bCs w:val="0"/>
          <w:sz w:val="72"/>
          <w:szCs w:val="72"/>
        </w:rPr>
      </w:pPr>
    </w:p>
    <w:p>
      <w:pPr>
        <w:pStyle w:val="8"/>
        <w:spacing w:line="500" w:lineRule="exact"/>
        <w:ind w:left="0"/>
        <w:jc w:val="center"/>
        <w:rPr>
          <w:rFonts w:hint="eastAsia" w:ascii="方正仿宋_GBK" w:hAnsi="方正仿宋_GBK" w:eastAsia="方正仿宋_GBK" w:cs="方正仿宋_GBK"/>
          <w:sz w:val="32"/>
        </w:rPr>
      </w:pPr>
      <w:bookmarkStart w:id="180" w:name="_GoBack"/>
      <w:bookmarkEnd w:id="180"/>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outlineLvl w:val="0"/>
        <w:rPr>
          <w:rFonts w:hint="eastAsia" w:ascii="方正仿宋_GBK" w:hAnsi="方正仿宋_GBK" w:eastAsia="方正仿宋_GBK" w:cs="方正仿宋_GBK"/>
          <w:sz w:val="36"/>
        </w:rPr>
      </w:pPr>
      <w:bookmarkStart w:id="1" w:name="_Toc19037"/>
    </w:p>
    <w:p>
      <w:pPr>
        <w:spacing w:line="500" w:lineRule="exact"/>
        <w:jc w:val="center"/>
        <w:outlineLvl w:val="0"/>
        <w:rPr>
          <w:rFonts w:hint="eastAsia" w:ascii="方正仿宋_GBK" w:hAnsi="方正仿宋_GBK" w:eastAsia="方正仿宋_GBK" w:cs="方正仿宋_GBK"/>
          <w:sz w:val="36"/>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jc w:val="center"/>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垫江县砚台镇太安村股份经济合作联合社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99"/>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第一章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sz w:val="21"/>
          <w:szCs w:val="21"/>
          <w:highlight w:val="none"/>
        </w:rPr>
        <w:t>第二章</w:t>
      </w:r>
      <w:r>
        <w:rPr>
          <w:rStyle w:val="22"/>
          <w:rFonts w:hint="eastAsia" w:ascii="方正仿宋_GBK" w:hAnsi="方正仿宋_GBK" w:eastAsia="方正仿宋_GBK" w:cs="方正仿宋_GBK"/>
          <w:snapToGrid w:val="0"/>
          <w:color w:val="auto"/>
          <w:sz w:val="21"/>
          <w:szCs w:val="21"/>
          <w:highlight w:val="none"/>
        </w:rPr>
        <w:t xml:space="preserve">  </w:t>
      </w:r>
      <w:r>
        <w:rPr>
          <w:rStyle w:val="22"/>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第三章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kern w:val="0"/>
          <w:sz w:val="21"/>
          <w:szCs w:val="21"/>
          <w:highlight w:val="none"/>
        </w:rPr>
        <w:t>第四章</w:t>
      </w:r>
      <w:r>
        <w:rPr>
          <w:rStyle w:val="22"/>
          <w:rFonts w:hint="eastAsia" w:ascii="方正仿宋_GBK" w:hAnsi="方正仿宋_GBK" w:eastAsia="方正仿宋_GBK" w:cs="方正仿宋_GBK"/>
          <w:color w:val="auto"/>
          <w:kern w:val="0"/>
          <w:sz w:val="21"/>
          <w:szCs w:val="21"/>
          <w:highlight w:val="none"/>
        </w:rPr>
        <w:t xml:space="preserve">  </w:t>
      </w:r>
      <w:r>
        <w:rPr>
          <w:rStyle w:val="22"/>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7</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第五章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第六章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1</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第七章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5"/>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465084018"/>
      <w:bookmarkStart w:id="3" w:name="_Toc1095"/>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color w:val="auto"/>
          <w:w w:val="99"/>
          <w:kern w:val="0"/>
          <w:sz w:val="28"/>
          <w:szCs w:val="28"/>
          <w:highlight w:val="none"/>
          <w:lang w:eastAsia="zh-CN"/>
        </w:rPr>
        <w:t>垫江县砚台镇太安村基层治理治安巡逻车采购项目</w:t>
      </w:r>
      <w:r>
        <w:rPr>
          <w:rFonts w:hint="eastAsia" w:ascii="方正仿宋_GBK" w:hAnsi="方正仿宋_GBK" w:eastAsia="方正仿宋_GBK" w:cs="方正仿宋_GBK"/>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垫江县砚台镇太安村股份经济合作联合社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砚台镇太安村基层治理治安巡逻车</w:t>
      </w:r>
      <w:r>
        <w:rPr>
          <w:rFonts w:hint="eastAsia" w:ascii="方正仿宋_GBK" w:hAnsi="方正仿宋_GBK" w:eastAsia="方正仿宋_GBK" w:cs="方正仿宋_GBK"/>
          <w:sz w:val="21"/>
          <w:szCs w:val="21"/>
          <w:u w:val="single"/>
        </w:rPr>
        <w:t>辆进行采购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7"/>
        <w:tblW w:w="7838" w:type="dxa"/>
        <w:tblInd w:w="542" w:type="dxa"/>
        <w:tblLayout w:type="fixed"/>
        <w:tblCellMar>
          <w:top w:w="0" w:type="dxa"/>
          <w:left w:w="108" w:type="dxa"/>
          <w:bottom w:w="0" w:type="dxa"/>
          <w:right w:w="108" w:type="dxa"/>
        </w:tblCellMar>
      </w:tblPr>
      <w:tblGrid>
        <w:gridCol w:w="2320"/>
        <w:gridCol w:w="1002"/>
        <w:gridCol w:w="1615"/>
        <w:gridCol w:w="1374"/>
        <w:gridCol w:w="1527"/>
      </w:tblGrid>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车型</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数量</w:t>
            </w:r>
          </w:p>
        </w:tc>
        <w:tc>
          <w:tcPr>
            <w:tcW w:w="1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（元</w:t>
            </w:r>
            <w:r>
              <w:rPr>
                <w:rFonts w:hint="eastAsia" w:ascii="方正仿宋_GBK" w:hAnsi="方正仿宋_GBK" w:eastAsia="方正仿宋_GBK" w:cs="方正仿宋_GBK"/>
                <w:b/>
                <w:bCs/>
                <w:color w:val="000000"/>
                <w:kern w:val="0"/>
                <w:sz w:val="21"/>
                <w:szCs w:val="21"/>
                <w:lang w:val="en-US" w:eastAsia="zh-CN"/>
              </w:rPr>
              <w:t>/台</w:t>
            </w:r>
            <w:r>
              <w:rPr>
                <w:rFonts w:hint="eastAsia" w:ascii="方正仿宋_GBK" w:hAnsi="方正仿宋_GBK" w:eastAsia="方正仿宋_GBK" w:cs="方正仿宋_GBK"/>
                <w:b/>
                <w:bCs/>
                <w:color w:val="000000"/>
                <w:kern w:val="0"/>
                <w:sz w:val="21"/>
                <w:szCs w:val="21"/>
              </w:rPr>
              <w:t>）</w:t>
            </w:r>
          </w:p>
        </w:tc>
        <w:tc>
          <w:tcPr>
            <w:tcW w:w="13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投标保证金（元）</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中标人数量（名）</w:t>
            </w:r>
          </w:p>
        </w:tc>
      </w:tr>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1台</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64000</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CellMar>
            <w:top w:w="0" w:type="dxa"/>
            <w:left w:w="108" w:type="dxa"/>
            <w:bottom w:w="0" w:type="dxa"/>
            <w:right w:w="108" w:type="dxa"/>
          </w:tblCellMar>
        </w:tblPrEx>
        <w:trPr>
          <w:trHeight w:val="645" w:hRule="atLeast"/>
        </w:trPr>
        <w:tc>
          <w:tcPr>
            <w:tcW w:w="7838"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说明：</w:t>
            </w:r>
            <w:r>
              <w:rPr>
                <w:rFonts w:hint="eastAsia" w:ascii="方正仿宋_GBK" w:hAnsi="方正仿宋_GBK" w:eastAsia="方正仿宋_GBK" w:cs="方正仿宋_GBK"/>
                <w:color w:val="000000"/>
                <w:kern w:val="0"/>
                <w:sz w:val="21"/>
                <w:szCs w:val="21"/>
                <w:lang w:val="en-US" w:eastAsia="zh-CN"/>
              </w:rPr>
              <w:t xml:space="preserve"> 此</w:t>
            </w:r>
            <w:r>
              <w:rPr>
                <w:rFonts w:hint="eastAsia" w:ascii="方正仿宋_GBK" w:hAnsi="方正仿宋_GBK" w:eastAsia="方正仿宋_GBK" w:cs="方正仿宋_GBK"/>
                <w:color w:val="000000"/>
                <w:kern w:val="0"/>
                <w:sz w:val="21"/>
                <w:szCs w:val="21"/>
                <w:lang w:eastAsia="zh-CN"/>
              </w:rPr>
              <w:t>最高限价</w:t>
            </w:r>
            <w:r>
              <w:rPr>
                <w:rFonts w:hint="eastAsia" w:ascii="方正仿宋_GBK" w:hAnsi="方正仿宋_GBK" w:eastAsia="方正仿宋_GBK" w:cs="方正仿宋_GBK"/>
                <w:color w:val="000000"/>
                <w:kern w:val="0"/>
                <w:sz w:val="21"/>
                <w:szCs w:val="21"/>
              </w:rPr>
              <w:t>含裸车价、车辆购置税、上户费、保险费</w:t>
            </w:r>
            <w:r>
              <w:rPr>
                <w:rFonts w:hint="eastAsia" w:ascii="方正仿宋_GBK" w:hAnsi="方正仿宋_GBK" w:eastAsia="方正仿宋_GBK" w:cs="方正仿宋_GBK"/>
                <w:color w:val="auto"/>
                <w:kern w:val="0"/>
                <w:sz w:val="21"/>
                <w:szCs w:val="21"/>
                <w:lang w:eastAsia="zh-CN"/>
              </w:rPr>
              <w:t>（包含机动车交强险、车损险、第三者责任险保额</w:t>
            </w:r>
            <w:r>
              <w:rPr>
                <w:rFonts w:hint="eastAsia" w:ascii="方正仿宋_GBK" w:hAnsi="方正仿宋_GBK" w:eastAsia="方正仿宋_GBK" w:cs="方正仿宋_GBK"/>
                <w:color w:val="auto"/>
                <w:kern w:val="0"/>
                <w:sz w:val="21"/>
                <w:szCs w:val="21"/>
                <w:lang w:val="en-US" w:eastAsia="zh-CN"/>
              </w:rPr>
              <w:t>300万元、附加医保外医疗费用责任险、驾乘险等</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kern w:val="0"/>
                <w:sz w:val="21"/>
                <w:szCs w:val="21"/>
              </w:rPr>
              <w:t>和特种设备</w:t>
            </w:r>
            <w:r>
              <w:rPr>
                <w:rFonts w:hint="eastAsia" w:ascii="方正仿宋_GBK" w:hAnsi="方正仿宋_GBK" w:eastAsia="方正仿宋_GBK" w:cs="方正仿宋_GBK"/>
                <w:color w:val="000000"/>
                <w:kern w:val="0"/>
                <w:sz w:val="21"/>
                <w:szCs w:val="21"/>
                <w:lang w:eastAsia="zh-CN"/>
              </w:rPr>
              <w:t>购置、</w:t>
            </w:r>
            <w:r>
              <w:rPr>
                <w:rFonts w:hint="eastAsia" w:ascii="方正仿宋_GBK" w:hAnsi="方正仿宋_GBK" w:eastAsia="方正仿宋_GBK" w:cs="方正仿宋_GBK"/>
                <w:color w:val="000000"/>
                <w:kern w:val="0"/>
                <w:sz w:val="21"/>
                <w:szCs w:val="21"/>
              </w:rPr>
              <w:t>安装</w:t>
            </w:r>
            <w:r>
              <w:rPr>
                <w:rFonts w:hint="eastAsia" w:ascii="方正仿宋_GBK" w:hAnsi="方正仿宋_GBK" w:eastAsia="方正仿宋_GBK" w:cs="方正仿宋_GBK"/>
                <w:color w:val="000000"/>
                <w:kern w:val="0"/>
                <w:sz w:val="21"/>
                <w:szCs w:val="21"/>
                <w:lang w:eastAsia="zh-CN"/>
              </w:rPr>
              <w:t>和</w:t>
            </w:r>
            <w:r>
              <w:rPr>
                <w:rFonts w:hint="eastAsia" w:ascii="方正仿宋_GBK" w:hAnsi="方正仿宋_GBK" w:eastAsia="方正仿宋_GBK" w:cs="方正仿宋_GBK"/>
                <w:color w:val="000000"/>
                <w:kern w:val="0"/>
                <w:sz w:val="21"/>
                <w:szCs w:val="21"/>
              </w:rPr>
              <w:t>调试（</w:t>
            </w:r>
            <w:r>
              <w:rPr>
                <w:rFonts w:hint="eastAsia" w:ascii="方正仿宋_GBK" w:hAnsi="方正仿宋_GBK" w:eastAsia="方正仿宋_GBK" w:cs="方正仿宋_GBK"/>
                <w:color w:val="000000"/>
                <w:kern w:val="0"/>
                <w:sz w:val="21"/>
                <w:szCs w:val="21"/>
                <w:lang w:eastAsia="zh-CN"/>
              </w:rPr>
              <w:t>包含</w:t>
            </w:r>
            <w:r>
              <w:rPr>
                <w:rFonts w:hint="eastAsia" w:ascii="方正仿宋_GBK" w:hAnsi="方正仿宋_GBK" w:eastAsia="方正仿宋_GBK" w:cs="方正仿宋_GBK"/>
                <w:color w:val="000000"/>
                <w:kern w:val="0"/>
                <w:sz w:val="21"/>
                <w:szCs w:val="21"/>
              </w:rPr>
              <w:t>警灯警报扩音器、车身贴字及全包围脚垫）。</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村集体经济组织自筹。</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pageBreakBefore w:val="0"/>
        <w:widowControl w:val="0"/>
        <w:kinsoku/>
        <w:wordWrap/>
        <w:overflowPunct/>
        <w:topLinePunct w:val="0"/>
        <w:autoSpaceDE/>
        <w:autoSpaceDN/>
        <w:bidi w:val="0"/>
        <w:snapToGrid w:val="0"/>
        <w:spacing w:line="360" w:lineRule="auto"/>
        <w:ind w:firstLine="421" w:firstLineChars="200"/>
        <w:textAlignment w:val="auto"/>
        <w:rPr>
          <w:rStyle w:val="94"/>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8</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19</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28"/>
          <w:szCs w:val="28"/>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14:textFill>
            <w14:solidFill>
              <w14:schemeClr w14:val="tx1"/>
            </w14:solidFill>
          </w14:textFill>
        </w:rPr>
        <w:t>9</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1"/>
          <w:szCs w:val="21"/>
          <w14:textFill>
            <w14:solidFill>
              <w14:schemeClr w14:val="tx1"/>
            </w14:solidFill>
          </w14:textFill>
        </w:rPr>
        <w:t>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2025年8月26日9:20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4"/>
      <w:bookmarkStart w:id="10" w:name="_Toc465084023"/>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pageBreakBefore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垫江县砚台镇太安村股份经济合作联合社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地  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垫江县砚台镇太安村党群服务中心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周朝盛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31025"/>
      <w:bookmarkStart w:id="14" w:name="_Toc465084026"/>
    </w:p>
    <w:p>
      <w:pPr>
        <w:rPr>
          <w:rFonts w:hint="eastAsia" w:ascii="方正仿宋_GBK" w:hAnsi="方正仿宋_GBK" w:eastAsia="方正仿宋_GBK" w:cs="方正仿宋_GBK"/>
        </w:rPr>
      </w:pPr>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1"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w:t>
      </w:r>
      <w:r>
        <w:rPr>
          <w:rFonts w:hint="eastAsia" w:ascii="方正仿宋_GBK" w:hAnsi="方正仿宋_GBK" w:eastAsia="方正仿宋_GBK" w:cs="方正仿宋_GBK"/>
          <w:b/>
          <w:bCs/>
          <w:szCs w:val="21"/>
        </w:rPr>
        <w:t>★</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 w:val="24"/>
        </w:rPr>
        <w:t>标注的技术需求为符合性审查中的实质性要求，响应文件若不满足按无效响应处理。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w:t>
      </w:r>
      <w:r>
        <w:rPr>
          <w:rFonts w:hint="eastAsia" w:ascii="方正仿宋_GBK" w:hAnsi="方正仿宋_GBK" w:eastAsia="方正仿宋_GBK" w:cs="方正仿宋_GBK"/>
          <w:b/>
          <w:bCs/>
          <w:sz w:val="28"/>
          <w:szCs w:val="28"/>
          <w:lang w:eastAsia="zh-CN"/>
        </w:rPr>
        <w:t>购</w:t>
      </w:r>
      <w:r>
        <w:rPr>
          <w:rFonts w:hint="eastAsia" w:ascii="方正仿宋_GBK" w:hAnsi="方正仿宋_GBK" w:eastAsia="方正仿宋_GBK" w:cs="方正仿宋_GBK"/>
          <w:b/>
          <w:bCs/>
          <w:sz w:val="28"/>
          <w:szCs w:val="28"/>
        </w:rPr>
        <w:t>项目一览表</w:t>
      </w:r>
    </w:p>
    <w:tbl>
      <w:tblPr>
        <w:tblStyle w:val="17"/>
        <w:tblW w:w="7759" w:type="dxa"/>
        <w:jc w:val="center"/>
        <w:tblLayout w:type="fixed"/>
        <w:tblCellMar>
          <w:top w:w="0" w:type="dxa"/>
          <w:left w:w="108" w:type="dxa"/>
          <w:bottom w:w="0" w:type="dxa"/>
          <w:right w:w="108" w:type="dxa"/>
        </w:tblCellMar>
      </w:tblPr>
      <w:tblGrid>
        <w:gridCol w:w="2780"/>
        <w:gridCol w:w="1120"/>
        <w:gridCol w:w="3859"/>
      </w:tblGrid>
      <w:tr>
        <w:trPr>
          <w:trHeight w:val="765"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车型</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数量/单位</w:t>
            </w:r>
          </w:p>
        </w:tc>
        <w:tc>
          <w:tcPr>
            <w:tcW w:w="3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备 注</w:t>
            </w:r>
          </w:p>
        </w:tc>
      </w:tr>
      <w:tr>
        <w:trPr>
          <w:trHeight w:val="885" w:hRule="atLeast"/>
          <w:jc w:val="center"/>
        </w:trPr>
        <w:tc>
          <w:tcPr>
            <w:tcW w:w="2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  2025款 310km   青春版</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1台</w:t>
            </w:r>
          </w:p>
        </w:tc>
        <w:tc>
          <w:tcPr>
            <w:tcW w:w="3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投标产品必须为中国境内生产，若为进口产品将按无效投标处理。</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313" w:beforeLines="100" w:after="157" w:afterLines="50" w:line="400" w:lineRule="exact"/>
        <w:ind w:leftChars="0"/>
        <w:textAlignment w:val="auto"/>
        <w:outlineLvl w:val="1"/>
        <w:rPr>
          <w:rFonts w:hint="eastAsia" w:ascii="方正仿宋_GBK" w:hAnsi="方正仿宋_GBK" w:eastAsia="方正仿宋_GBK" w:cs="方正仿宋_GBK"/>
          <w:sz w:val="28"/>
          <w:szCs w:val="28"/>
        </w:rPr>
      </w:pPr>
      <w:bookmarkStart w:id="15" w:name="_Toc10143"/>
      <w:bookmarkStart w:id="16" w:name="_Toc7792"/>
      <w:bookmarkStart w:id="17" w:name="_Toc106030382"/>
      <w:bookmarkStart w:id="18" w:name="_Toc18800"/>
      <w:bookmarkStart w:id="19" w:name="_Toc28205"/>
      <w:bookmarkStart w:id="20" w:name="_Toc75793506"/>
      <w:bookmarkStart w:id="21" w:name="_Toc12568"/>
      <w:bookmarkStart w:id="22" w:name="_Toc1379"/>
      <w:bookmarkStart w:id="23" w:name="_Toc21817"/>
      <w:bookmarkStart w:id="24" w:name="_Toc15696"/>
      <w:bookmarkStart w:id="25" w:name="_Toc18903"/>
      <w:bookmarkStart w:id="26" w:name="_Toc18760"/>
      <w:bookmarkStart w:id="27" w:name="_Toc5751"/>
      <w:bookmarkStart w:id="28" w:name="_Toc23975"/>
      <w:bookmarkStart w:id="29" w:name="_Toc26453"/>
      <w:bookmarkStart w:id="30" w:name="_Toc27067"/>
      <w:bookmarkStart w:id="31" w:name="_Toc32262"/>
      <w:bookmarkStart w:id="32" w:name="_Toc695"/>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招标项目技术需求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7"/>
        <w:tblW w:w="7783" w:type="dxa"/>
        <w:jc w:val="center"/>
        <w:tblLayout w:type="fixed"/>
        <w:tblCellMar>
          <w:top w:w="0" w:type="dxa"/>
          <w:left w:w="0" w:type="dxa"/>
          <w:bottom w:w="0" w:type="dxa"/>
          <w:right w:w="0" w:type="dxa"/>
        </w:tblCellMar>
      </w:tblPr>
      <w:tblGrid>
        <w:gridCol w:w="1886"/>
        <w:gridCol w:w="4347"/>
        <w:gridCol w:w="1550"/>
      </w:tblGrid>
      <w:tr>
        <w:trPr>
          <w:trHeight w:val="589"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车型</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参数需求</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备 注</w:t>
            </w:r>
          </w:p>
        </w:tc>
      </w:tr>
      <w:tr>
        <w:trPr>
          <w:trHeight w:val="7405"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★能源类型：纯电动</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★座位数：5座</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★纯电续航（km）：≧</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10</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★车身结构：</w:t>
            </w:r>
            <w:r>
              <w:rPr>
                <w:rFonts w:hint="eastAsia" w:ascii="方正仿宋_GBK" w:hAnsi="方正仿宋_GBK" w:eastAsia="方正仿宋_GBK" w:cs="方正仿宋_GBK"/>
                <w:lang w:val="en-US" w:eastAsia="zh-CN"/>
              </w:rPr>
              <w:t>5门5座两厢车</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★电机布局：后驱</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★电池类型：磷酸铁锂电池</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★电</w:t>
            </w:r>
            <w:r>
              <w:rPr>
                <w:rFonts w:hint="eastAsia" w:ascii="方正仿宋_GBK" w:hAnsi="方正仿宋_GBK" w:eastAsia="方正仿宋_GBK" w:cs="方正仿宋_GBK"/>
                <w:lang w:eastAsia="zh-CN"/>
              </w:rPr>
              <w:t>芯品牌</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宁德时代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★轴距（mm）：≧</w:t>
            </w:r>
            <w:r>
              <w:rPr>
                <w:rFonts w:hint="eastAsia" w:ascii="方正仿宋_GBK" w:hAnsi="方正仿宋_GBK" w:eastAsia="方正仿宋_GBK" w:cs="方正仿宋_GBK"/>
                <w:lang w:val="en-US" w:eastAsia="zh-CN"/>
              </w:rPr>
              <w:t>2650</w:t>
            </w:r>
            <w:r>
              <w:rPr>
                <w:rFonts w:hint="eastAsia" w:ascii="方正仿宋_GBK" w:hAnsi="方正仿宋_GBK" w:eastAsia="方正仿宋_GBK" w:cs="方正仿宋_GBK"/>
              </w:rPr>
              <w:t xml:space="preserve"> mm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★最大功率（kW)：≧</w:t>
            </w:r>
            <w:r>
              <w:rPr>
                <w:rFonts w:hint="eastAsia" w:ascii="方正仿宋_GBK" w:hAnsi="方正仿宋_GBK" w:eastAsia="方正仿宋_GBK" w:cs="方正仿宋_GBK"/>
                <w:lang w:val="en-US" w:eastAsia="zh-CN"/>
              </w:rPr>
              <w:t>58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★最大扭矩（N.m）：≧</w:t>
            </w:r>
            <w:r>
              <w:rPr>
                <w:rFonts w:hint="eastAsia" w:ascii="方正仿宋_GBK" w:hAnsi="方正仿宋_GBK" w:eastAsia="方正仿宋_GBK" w:cs="方正仿宋_GBK"/>
                <w:lang w:val="en-US" w:eastAsia="zh-CN"/>
              </w:rPr>
              <w:t>130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★轮胎规格：≧2</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rPr>
              <w:t>5/65</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R1</w:t>
            </w:r>
            <w:r>
              <w:rPr>
                <w:rFonts w:hint="eastAsia" w:ascii="方正仿宋_GBK" w:hAnsi="方正仿宋_GBK" w:eastAsia="方正仿宋_GBK" w:cs="方正仿宋_GBK"/>
                <w:lang w:val="en-US" w:eastAsia="zh-CN"/>
              </w:rPr>
              <w:t>5</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★整备质量（kg）：≧</w:t>
            </w:r>
            <w:r>
              <w:rPr>
                <w:rFonts w:hint="eastAsia" w:ascii="方正仿宋_GBK" w:hAnsi="方正仿宋_GBK" w:eastAsia="方正仿宋_GBK" w:cs="方正仿宋_GBK"/>
                <w:lang w:val="en-US" w:eastAsia="zh-CN"/>
              </w:rPr>
              <w:t>1215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★整车尺寸（mm）：≧</w:t>
            </w:r>
            <w:r>
              <w:rPr>
                <w:rFonts w:hint="eastAsia" w:ascii="方正仿宋_GBK" w:hAnsi="方正仿宋_GBK" w:eastAsia="方正仿宋_GBK" w:cs="方正仿宋_GBK"/>
                <w:lang w:val="en-US" w:eastAsia="zh-CN"/>
              </w:rPr>
              <w:t>4135*1805*1540</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★驱动方式：后置后驱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前悬架类型：麦弗逊式独立悬架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后悬架类型：多连杆式独立悬架</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tc>
      </w:tr>
    </w:tbl>
    <w:p>
      <w:pPr>
        <w:rPr>
          <w:rFonts w:hint="eastAsia" w:ascii="方正仿宋_GBK" w:hAnsi="方正仿宋_GBK" w:eastAsia="方正仿宋_GBK" w:cs="方正仿宋_GBK"/>
        </w:rPr>
      </w:pPr>
      <w:bookmarkStart w:id="33" w:name="_Toc465084029"/>
      <w:bookmarkStart w:id="34" w:name="_Toc10069"/>
    </w:p>
    <w:p>
      <w:pPr>
        <w:pStyle w:val="3"/>
        <w:numPr>
          <w:ilvl w:val="0"/>
          <w:numId w:val="0"/>
        </w:numPr>
        <w:tabs>
          <w:tab w:val="left" w:pos="1530"/>
        </w:tabs>
        <w:spacing w:beforeLines="0" w:afterLines="0" w:line="360" w:lineRule="auto"/>
        <w:ind w:leftChars="0" w:firstLine="883" w:firstLineChars="20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33"/>
      <w:bookmarkEnd w:id="34"/>
    </w:p>
    <w:p>
      <w:pPr>
        <w:pStyle w:val="11"/>
        <w:pageBreakBefore w:val="0"/>
        <w:widowControl w:val="0"/>
        <w:kinsoku/>
        <w:wordWrap/>
        <w:overflowPunct/>
        <w:topLinePunct w:val="0"/>
        <w:autoSpaceDE/>
        <w:autoSpaceDN/>
        <w:bidi w:val="0"/>
        <w:spacing w:after="0" w:line="390" w:lineRule="exact"/>
        <w:ind w:left="0" w:leftChars="0" w:firstLine="481" w:firstLineChars="200"/>
        <w:textAlignment w:val="auto"/>
        <w:rPr>
          <w:rFonts w:hint="eastAsia" w:ascii="方正仿宋_GBK" w:hAnsi="方正仿宋_GBK" w:eastAsia="方正仿宋_GBK" w:cs="方正仿宋_GBK"/>
          <w:b/>
          <w:color w:val="000000"/>
          <w:kern w:val="0"/>
          <w:sz w:val="24"/>
        </w:rPr>
      </w:pPr>
      <w:r>
        <w:rPr>
          <w:rFonts w:hint="eastAsia" w:ascii="方正仿宋_GBK" w:hAnsi="方正仿宋_GBK" w:eastAsia="方正仿宋_GBK" w:cs="方正仿宋_GBK"/>
          <w:b/>
          <w:bCs w:val="0"/>
          <w:color w:val="000000" w:themeColor="text1"/>
          <w:kern w:val="0"/>
          <w:sz w:val="24"/>
          <w:lang w:eastAsia="zh-CN"/>
          <w14:textFill>
            <w14:solidFill>
              <w14:schemeClr w14:val="tx1"/>
            </w14:solidFill>
          </w14:textFill>
        </w:rPr>
        <w:t>本章</w:t>
      </w:r>
      <w:r>
        <w:rPr>
          <w:rFonts w:hint="eastAsia" w:ascii="方正仿宋_GBK" w:hAnsi="方正仿宋_GBK" w:eastAsia="方正仿宋_GBK" w:cs="方正仿宋_GBK"/>
          <w:b/>
          <w:color w:val="000000"/>
          <w:kern w:val="0"/>
          <w:sz w:val="24"/>
        </w:rPr>
        <w:t>的商务</w:t>
      </w:r>
      <w:r>
        <w:rPr>
          <w:rFonts w:hint="eastAsia" w:ascii="方正仿宋_GBK" w:hAnsi="方正仿宋_GBK" w:eastAsia="方正仿宋_GBK" w:cs="方正仿宋_GBK"/>
          <w:b/>
          <w:color w:val="000000" w:themeColor="text1"/>
          <w:kern w:val="0"/>
          <w:sz w:val="24"/>
          <w14:textFill>
            <w14:solidFill>
              <w14:schemeClr w14:val="tx1"/>
            </w14:solidFill>
          </w14:textFill>
        </w:rPr>
        <w:t>要求</w:t>
      </w:r>
      <w:r>
        <w:rPr>
          <w:rFonts w:hint="eastAsia" w:ascii="方正仿宋_GBK" w:hAnsi="方正仿宋_GBK" w:eastAsia="方正仿宋_GBK" w:cs="方正仿宋_GBK"/>
          <w:b/>
          <w:color w:val="000000" w:themeColor="text1"/>
          <w:kern w:val="0"/>
          <w:sz w:val="24"/>
          <w:lang w:eastAsia="zh-CN"/>
          <w14:textFill>
            <w14:solidFill>
              <w14:schemeClr w14:val="tx1"/>
            </w14:solidFill>
          </w14:textFill>
        </w:rPr>
        <w:t>均</w:t>
      </w:r>
      <w:r>
        <w:rPr>
          <w:rFonts w:hint="eastAsia" w:ascii="方正仿宋_GBK" w:hAnsi="方正仿宋_GBK" w:eastAsia="方正仿宋_GBK" w:cs="方正仿宋_GBK"/>
          <w:b/>
          <w:color w:val="000000"/>
          <w:kern w:val="0"/>
          <w:sz w:val="24"/>
        </w:rPr>
        <w:t>为符合性审查中的实质性要求，响应文件若不满足按无效响应处理。</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5" w:name="_Toc10039"/>
      <w:bookmarkStart w:id="36" w:name="_Toc13389"/>
      <w:bookmarkStart w:id="37" w:name="_Toc108617787"/>
      <w:bookmarkStart w:id="38" w:name="_Toc30118"/>
      <w:bookmarkStart w:id="39" w:name="_Toc75793509"/>
      <w:bookmarkStart w:id="40" w:name="_Toc14029"/>
      <w:bookmarkStart w:id="41" w:name="_Toc13728"/>
      <w:bookmarkStart w:id="42" w:name="_Toc22944"/>
      <w:bookmarkStart w:id="43" w:name="_Toc12768"/>
      <w:bookmarkStart w:id="44" w:name="_Toc6595"/>
      <w:bookmarkStart w:id="45" w:name="_Toc8752"/>
      <w:bookmarkStart w:id="46" w:name="_Toc11380"/>
      <w:bookmarkStart w:id="47" w:name="_Toc21429"/>
      <w:bookmarkStart w:id="48" w:name="_Toc9676"/>
      <w:bookmarkStart w:id="49" w:name="_Toc23501"/>
      <w:bookmarkStart w:id="50" w:name="_Toc28521"/>
      <w:bookmarkStart w:id="51" w:name="_Toc267320049"/>
      <w:bookmarkStart w:id="52" w:name="_Toc4871"/>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交货期、交货地点及验收方式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重庆市</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范围内采购人指定地点。</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验收方式</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车辆必须是202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月1日至今出厂的新车。货物到达现场后，中标人与采购人相关人员应共同在场清点、检查外观，作出验收记录，双方签字确认。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中标人应提供完备的车辆技术资料、出厂清单和合格证等，并派遣专业技术人员进行现场验收，合格条件如下：</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（1）车辆技术参数与采购合同一致，性能指标达到规定的标准；</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（2）货物技术资料、出厂清单、合格证等资料齐全；</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（3）在车辆试运行期间所出现的问题得到解决，运行正常；</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（4）在规定时间内完成交货并验收，并经采购人确认。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1.3.3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产品在手续移交完毕符合要求后，才作为最终验收。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1.3.4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供应商提供的货物未达到招标文件规定要求，且对采购人造成损失的，由供应商承担一切责任，并赔偿所造成的损失。</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1.3.5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采购人需要制造商对中标人交付的产品（包括质量、技术参数等）进行确认的，制造商应予以配合，并出具书面意见。</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_Toc28679"/>
      <w:bookmarkStart w:id="54" w:name="_Toc18152"/>
      <w:bookmarkStart w:id="55" w:name="_Toc20367"/>
      <w:bookmarkStart w:id="56" w:name="_Toc7746"/>
      <w:bookmarkStart w:id="57" w:name="_Toc29436"/>
      <w:bookmarkStart w:id="58" w:name="_Toc30781"/>
      <w:bookmarkStart w:id="59" w:name="_Toc21022"/>
      <w:bookmarkStart w:id="60" w:name="_Toc4036"/>
      <w:bookmarkStart w:id="61" w:name="_Toc8592"/>
      <w:bookmarkStart w:id="62" w:name="_Toc22158"/>
      <w:bookmarkStart w:id="63" w:name="_Toc22142"/>
      <w:bookmarkStart w:id="64" w:name="_Toc108617788"/>
      <w:bookmarkStart w:id="65" w:name="_Toc29144"/>
      <w:bookmarkStart w:id="66" w:name="_Toc13418"/>
      <w:bookmarkStart w:id="67" w:name="_Toc1484"/>
      <w:bookmarkStart w:id="68" w:name="_Toc75793510"/>
      <w:bookmarkStart w:id="69" w:name="_Toc2673200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报价要求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本次报价含裸车价、车辆购置税、上户费、保险费</w:t>
      </w:r>
      <w:r>
        <w:rPr>
          <w:rFonts w:hint="eastAsia" w:ascii="方正仿宋_GBK" w:hAnsi="方正仿宋_GBK" w:eastAsia="方正仿宋_GBK" w:cs="方正仿宋_GBK"/>
          <w:color w:val="auto"/>
          <w:kern w:val="0"/>
          <w:sz w:val="21"/>
          <w:szCs w:val="21"/>
          <w:lang w:eastAsia="zh-CN"/>
        </w:rPr>
        <w:t>（其中含机动车第三者责任保险保额</w:t>
      </w:r>
      <w:r>
        <w:rPr>
          <w:rFonts w:hint="eastAsia" w:ascii="方正仿宋_GBK" w:hAnsi="方正仿宋_GBK" w:eastAsia="方正仿宋_GBK" w:cs="方正仿宋_GBK"/>
          <w:color w:val="auto"/>
          <w:kern w:val="0"/>
          <w:sz w:val="21"/>
          <w:szCs w:val="21"/>
          <w:lang w:val="en-US" w:eastAsia="zh-CN"/>
        </w:rPr>
        <w:t>300万元、购买附加医保外医疗费用责任险</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themeColor="text1"/>
          <w:sz w:val="21"/>
          <w:szCs w:val="21"/>
          <w14:textFill>
            <w14:solidFill>
              <w14:schemeClr w14:val="tx1"/>
            </w14:solidFill>
          </w14:textFill>
        </w:rPr>
        <w:t>、特种设备（警灯警报扩音器、车身贴字及全包围脚垫）配备安装调试费及将车辆送达</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采购人指定地点的所有费用</w:t>
      </w:r>
      <w:r>
        <w:rPr>
          <w:rFonts w:hint="eastAsia" w:ascii="方正仿宋_GBK" w:hAnsi="方正仿宋_GBK" w:eastAsia="方正仿宋_GBK" w:cs="方正仿宋_GBK"/>
          <w:color w:val="000000" w:themeColor="text1"/>
          <w:sz w:val="21"/>
          <w:szCs w:val="21"/>
          <w14:textFill>
            <w14:solidFill>
              <w14:schemeClr w14:val="tx1"/>
            </w14:solidFill>
          </w14:textFill>
        </w:rPr>
        <w:t>。因自身原因造成漏报、少报皆由其自行承担责任，采购人不再补偿。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p>
    <w:p>
      <w:pPr>
        <w:pageBreakBefore w:val="0"/>
        <w:widowControl w:val="0"/>
        <w:kinsoku/>
        <w:wordWrap/>
        <w:overflowPunct/>
        <w:topLinePunct w:val="0"/>
        <w:autoSpaceDE/>
        <w:autoSpaceDN/>
        <w:bidi w:val="0"/>
        <w:snapToGrid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70" w:name="_Toc2821"/>
      <w:bookmarkStart w:id="71" w:name="_Toc15677"/>
      <w:bookmarkStart w:id="72" w:name="_Toc75793511"/>
      <w:bookmarkStart w:id="73" w:name="_Toc16693"/>
      <w:bookmarkStart w:id="74" w:name="_Toc15096"/>
      <w:bookmarkStart w:id="75" w:name="_Toc4774"/>
      <w:bookmarkStart w:id="76" w:name="_Toc14177"/>
      <w:bookmarkStart w:id="77" w:name="_Toc3465"/>
      <w:bookmarkStart w:id="78" w:name="_Toc1450"/>
      <w:bookmarkStart w:id="79" w:name="_Toc2244"/>
      <w:bookmarkStart w:id="80" w:name="_Toc23903"/>
      <w:bookmarkStart w:id="81" w:name="_Toc20887"/>
      <w:bookmarkStart w:id="82" w:name="_Toc108617789"/>
      <w:bookmarkStart w:id="83" w:name="_Toc27382"/>
      <w:bookmarkStart w:id="84" w:name="_Toc4252"/>
      <w:bookmarkStart w:id="85" w:name="_Toc32313"/>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质量保证及售后服务</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ageBreakBefore w:val="0"/>
        <w:widowControl w:val="0"/>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产品质量保证期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3.1.1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投标产品属于国家规定“三包”范围的，其产品质量保证期不得低于“三包”规定。</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3.1.2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投标人的质量保证期承诺优于国家“三包”规定和强制标准的，按投标人实际承诺执行。</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3.1.3</w:t>
      </w: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投标产品提供免费首保一次</w:t>
      </w:r>
      <w:r>
        <w:rPr>
          <w:rFonts w:hint="eastAsia" w:ascii="方正仿宋_GBK" w:hAnsi="方正仿宋_GBK" w:eastAsia="方正仿宋_GBK" w:cs="方正仿宋_GBK"/>
          <w:bCs/>
          <w:color w:val="000000" w:themeColor="text1"/>
          <w:sz w:val="21"/>
          <w:szCs w:val="21"/>
          <w:lang w:eastAsia="zh-CN"/>
          <w14:textFill>
            <w14:solidFill>
              <w14:schemeClr w14:val="tx1"/>
            </w14:solidFill>
          </w14:textFill>
        </w:rPr>
        <w:t>，赠送保养</w:t>
      </w: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3次</w:t>
      </w:r>
      <w:r>
        <w:rPr>
          <w:rFonts w:hint="eastAsia" w:ascii="方正仿宋_GBK" w:hAnsi="方正仿宋_GBK" w:eastAsia="方正仿宋_GBK" w:cs="方正仿宋_GBK"/>
          <w:bCs/>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售后服务内容</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投标人在质量保证期内应当为采购人提供以下技术支持和服务：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电话咨询</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现场响应</w:t>
      </w:r>
    </w:p>
    <w:p>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用户遇到使用及技术问题，电话咨询不能解决的，成交供应商应在1小时内采取相应响应措施；无法在4小时内解决的，应在6小时内派出专业人员进行技术支持。</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技术升级</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在质保期内，如果投标人的产品技术升级，投标人应及时通知采购人，如采购人有相应要求，投标人应对采购人购买的产品进行</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免费</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升级服务。</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质保期外服务要求</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质量保证期过后，投标人应同样提供免费电话咨询服务，并应承诺提供产品上门维护服务。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质量保证期过后，采购人需要继续由原投标人提供售后服务的，该投标人应以优惠价格提供售后服务。</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备品备件及易损件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bookmarkStart w:id="86" w:name="_Toc25745"/>
      <w:bookmarkStart w:id="87" w:name="_Toc18007"/>
      <w:bookmarkStart w:id="88" w:name="_Toc29286"/>
      <w:bookmarkStart w:id="89" w:name="_Toc108617790"/>
      <w:bookmarkStart w:id="90" w:name="_Toc75793512"/>
      <w:bookmarkStart w:id="91" w:name="_Toc12285"/>
      <w:bookmarkStart w:id="92" w:name="_Toc25932"/>
      <w:bookmarkStart w:id="93" w:name="_Toc30442"/>
      <w:bookmarkStart w:id="94" w:name="_Toc32722"/>
      <w:bookmarkStart w:id="95" w:name="_Toc1008"/>
      <w:bookmarkStart w:id="96" w:name="_Toc267320051"/>
      <w:bookmarkStart w:id="97" w:name="_Toc21888"/>
      <w:bookmarkStart w:id="98" w:name="_Toc19350"/>
      <w:bookmarkStart w:id="99" w:name="_Toc25552"/>
      <w:bookmarkStart w:id="100" w:name="_Toc5174"/>
      <w:bookmarkStart w:id="101" w:name="_Toc22695"/>
      <w:bookmarkStart w:id="102" w:name="_Toc8955"/>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投标人售后服务中，维修使用的备品备件及易损件应为原厂配件，未经采购人同意，不得使用非原厂配件。</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签订合同，车辆（货物）到店后，中标人须开具有效的专用发票及相关资料交与采购人。车辆送达指定地点，经采购人验收合格后，采购人在收到发票后5个工作日内一次性支付合同金额到中标人的指定账户。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3" w:name="_Toc9213"/>
      <w:bookmarkStart w:id="104" w:name="_Toc108617791"/>
      <w:bookmarkStart w:id="105" w:name="_Toc11399"/>
      <w:bookmarkStart w:id="106" w:name="_Toc3311"/>
      <w:bookmarkStart w:id="107" w:name="_Toc3565"/>
      <w:bookmarkStart w:id="108" w:name="_Toc10105"/>
      <w:bookmarkStart w:id="109" w:name="_Toc4339"/>
      <w:bookmarkStart w:id="110" w:name="_Toc28056"/>
      <w:bookmarkStart w:id="111" w:name="_Toc22431"/>
      <w:bookmarkStart w:id="112" w:name="_Toc11060"/>
      <w:bookmarkStart w:id="113" w:name="_Toc25410"/>
      <w:bookmarkStart w:id="114" w:name="_Toc18959"/>
      <w:bookmarkStart w:id="115" w:name="_Toc27144"/>
      <w:bookmarkStart w:id="116" w:name="_Toc267320052"/>
      <w:bookmarkStart w:id="117" w:name="_Toc75793513"/>
      <w:bookmarkStart w:id="118" w:name="_Toc4897"/>
      <w:bookmarkStart w:id="119" w:name="_Toc2036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120" w:name="_Toc15159"/>
      <w:bookmarkStart w:id="121" w:name="_Toc29615"/>
      <w:bookmarkStart w:id="122" w:name="_Toc3404"/>
      <w:bookmarkStart w:id="123" w:name="_Toc1949"/>
      <w:bookmarkStart w:id="124" w:name="_Toc26926"/>
      <w:bookmarkStart w:id="125" w:name="_Toc267320053"/>
      <w:bookmarkStart w:id="126" w:name="_Toc14096"/>
      <w:bookmarkStart w:id="127" w:name="_Toc27637"/>
      <w:bookmarkStart w:id="128" w:name="_Toc1026"/>
      <w:bookmarkStart w:id="129" w:name="_Toc108617792"/>
      <w:bookmarkStart w:id="130" w:name="_Toc15548"/>
      <w:bookmarkStart w:id="131" w:name="_Toc31803"/>
      <w:bookmarkStart w:id="132" w:name="_Toc75793514"/>
      <w:bookmarkStart w:id="133" w:name="_Toc7629"/>
      <w:bookmarkStart w:id="134" w:name="_Toc25464"/>
      <w:bookmarkStart w:id="135" w:name="_Toc4784"/>
      <w:bookmarkStart w:id="136" w:name="_Toc1510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培 训</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投标人对其提供产品的使用和操作应尽培训义务。投标人应提供对采购人的基本免费培训，使采购人使用人员能够正常操作。</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包装和运输</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137" w:name="_Toc529"/>
      <w:bookmarkStart w:id="138" w:name="_Toc75793516"/>
      <w:bookmarkStart w:id="139" w:name="_Toc108617794"/>
      <w:bookmarkStart w:id="140" w:name="_Toc267320054"/>
      <w:bookmarkStart w:id="141" w:name="_Toc13936"/>
      <w:bookmarkStart w:id="142" w:name="_Toc4353"/>
      <w:bookmarkStart w:id="143" w:name="_Toc30515"/>
      <w:bookmarkStart w:id="144" w:name="_Toc14923"/>
      <w:bookmarkStart w:id="145" w:name="_Toc6385"/>
      <w:bookmarkStart w:id="146" w:name="_Toc23858"/>
      <w:bookmarkStart w:id="147" w:name="_Toc17569"/>
      <w:bookmarkStart w:id="148" w:name="_Toc1138"/>
      <w:bookmarkStart w:id="149" w:name="_Toc27175"/>
      <w:bookmarkStart w:id="150" w:name="_Toc32308"/>
      <w:bookmarkStart w:id="151" w:name="_Toc28513"/>
      <w:bookmarkStart w:id="152" w:name="_Toc6099"/>
      <w:bookmarkStart w:id="153" w:name="_Toc10406"/>
      <w:r>
        <w:rPr>
          <w:rFonts w:hint="eastAsia" w:ascii="方正仿宋_GBK" w:hAnsi="方正仿宋_GBK" w:eastAsia="方正仿宋_GBK" w:cs="方正仿宋_GBK"/>
          <w:color w:val="000000" w:themeColor="text1"/>
          <w:sz w:val="21"/>
          <w:szCs w:val="21"/>
          <w14:textFill>
            <w14:solidFill>
              <w14:schemeClr w14:val="tx1"/>
            </w14:solidFill>
          </w14:textFill>
        </w:rPr>
        <w:t>中标人应保证货物到达采购人所在地完好无损，如有缺漏、损坏，由供应商负责调换、补齐或赔偿。</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51"/>
    <w:bookmarkEnd w:id="52"/>
    <w:p>
      <w:pPr>
        <w:rPr>
          <w:rFonts w:hint="eastAsia" w:ascii="方正仿宋_GBK" w:hAnsi="方正仿宋_GBK" w:eastAsia="方正仿宋_GBK" w:cs="方正仿宋_GBK"/>
        </w:rPr>
      </w:pPr>
      <w:bookmarkStart w:id="154" w:name="_Toc465084037"/>
      <w:bookmarkStart w:id="155" w:name="_Toc10768"/>
    </w:p>
    <w:p>
      <w:pPr>
        <w:pStyle w:val="3"/>
        <w:numPr>
          <w:ilvl w:val="0"/>
          <w:numId w:val="1"/>
        </w:numPr>
        <w:spacing w:beforeLines="0" w:afterLines="0" w:line="240" w:lineRule="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44"/>
          <w:szCs w:val="44"/>
        </w:rPr>
        <w:t>废标条款</w:t>
      </w:r>
      <w:bookmarkEnd w:id="154"/>
      <w:bookmarkEnd w:id="155"/>
    </w:p>
    <w:p>
      <w:pPr>
        <w:pStyle w:val="4"/>
        <w:spacing w:line="400" w:lineRule="exact"/>
        <w:ind w:firstLine="481" w:firstLineChars="200"/>
        <w:rPr>
          <w:rFonts w:hint="eastAsia" w:ascii="方正仿宋_GBK" w:hAnsi="方正仿宋_GBK" w:eastAsia="方正仿宋_GBK" w:cs="方正仿宋_GBK"/>
          <w:b/>
          <w:sz w:val="24"/>
        </w:rPr>
      </w:pPr>
      <w:bookmarkStart w:id="156"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156"/>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157"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7"/>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4"/>
          <w:rFonts w:hint="eastAsia" w:ascii="方正仿宋_GBK" w:hAnsi="方正仿宋_GBK" w:eastAsia="方正仿宋_GBK" w:cs="方正仿宋_GBK"/>
          <w:b/>
          <w:bCs/>
          <w:kern w:val="0"/>
          <w:sz w:val="21"/>
          <w:szCs w:val="21"/>
        </w:rPr>
      </w:pPr>
      <w:r>
        <w:rPr>
          <w:rStyle w:val="94"/>
          <w:rFonts w:hint="eastAsia" w:ascii="方正仿宋_GBK" w:hAnsi="方正仿宋_GBK" w:eastAsia="方正仿宋_GBK" w:cs="方正仿宋_GBK"/>
          <w:b/>
          <w:bCs/>
          <w:kern w:val="0"/>
          <w:sz w:val="21"/>
          <w:szCs w:val="21"/>
          <w:lang w:val="en-US" w:eastAsia="zh-CN"/>
        </w:rPr>
        <w:t xml:space="preserve">1.2 </w:t>
      </w:r>
      <w:r>
        <w:rPr>
          <w:rStyle w:val="94"/>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7"/>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只能在最高限价内报价，</w:t>
            </w:r>
            <w:r>
              <w:rPr>
                <w:rStyle w:val="94"/>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4"/>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b/>
          <w:bCs/>
          <w:sz w:val="21"/>
          <w:szCs w:val="21"/>
          <w:lang w:val="en-US" w:eastAsia="zh-CN"/>
        </w:rPr>
        <w:t xml:space="preserve">1.3 </w:t>
      </w:r>
      <w:r>
        <w:rPr>
          <w:rStyle w:val="94"/>
          <w:rFonts w:hint="eastAsia" w:ascii="方正仿宋_GBK" w:hAnsi="方正仿宋_GBK" w:eastAsia="方正仿宋_GBK" w:cs="方正仿宋_GBK"/>
          <w:b/>
          <w:bCs/>
          <w:sz w:val="21"/>
          <w:szCs w:val="21"/>
        </w:rPr>
        <w:t>澄清有关问题。</w:t>
      </w:r>
      <w:r>
        <w:rPr>
          <w:rStyle w:val="94"/>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4"/>
          <w:rFonts w:hint="eastAsia" w:ascii="方正仿宋_GBK" w:hAnsi="方正仿宋_GBK" w:eastAsia="方正仿宋_GBK" w:cs="方正仿宋_GBK"/>
          <w:color w:val="000000" w:themeColor="text1"/>
          <w:sz w:val="21"/>
          <w:szCs w:val="21"/>
          <w14:textFill>
            <w14:solidFill>
              <w14:schemeClr w14:val="tx1"/>
            </w14:solidFill>
          </w14:textFill>
        </w:rPr>
      </w:pPr>
      <w:bookmarkStart w:id="158"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158"/>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。对完全满足招标比选文件（技术需求和商务要求）实质性要求的供应商报价按照由低到高的顺序依次确定中标候选人（报价最低为第一中标候选人，以此类推）。若报价有并列的，采购人随机抽取决定排名。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157"/>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32"/>
          <w:szCs w:val="32"/>
        </w:rPr>
      </w:pPr>
      <w:bookmarkStart w:id="159"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159"/>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color w:val="000000"/>
          <w:sz w:val="24"/>
        </w:rPr>
        <w:br w:type="page"/>
      </w:r>
      <w:bookmarkStart w:id="160" w:name="_Toc32155"/>
      <w:bookmarkStart w:id="161" w:name="_Toc465084042"/>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160"/>
      <w:bookmarkEnd w:id="161"/>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2"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162"/>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3"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16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164"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0"/>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5"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165"/>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开标应当在竞争性比选文件中“投标邀请书”确定的时间和地点公开进行。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0"/>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6"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 标</w:t>
      </w:r>
      <w:bookmarkEnd w:id="166"/>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67"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 标</w:t>
      </w:r>
      <w:bookmarkEnd w:id="1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28"/>
          <w:szCs w:val="28"/>
        </w:rPr>
      </w:pPr>
      <w:bookmarkStart w:id="168"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68"/>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9" w:name="_Toc465084053"/>
      <w:r>
        <w:rPr>
          <w:rFonts w:hint="eastAsia" w:ascii="方正仿宋_GBK" w:hAnsi="方正仿宋_GBK" w:eastAsia="方正仿宋_GBK" w:cs="方正仿宋_GBK"/>
          <w:b/>
          <w:sz w:val="32"/>
          <w:szCs w:val="32"/>
          <w:lang w:val="en-US" w:eastAsia="zh-CN"/>
        </w:rPr>
        <w:t>8.</w:t>
      </w:r>
      <w:r>
        <w:rPr>
          <w:rFonts w:hint="eastAsia" w:ascii="方正仿宋_GBK" w:hAnsi="方正仿宋_GBK" w:eastAsia="方正仿宋_GBK" w:cs="方正仿宋_GBK"/>
          <w:b/>
          <w:sz w:val="28"/>
          <w:szCs w:val="28"/>
        </w:rPr>
        <w:t>签订合同</w:t>
      </w:r>
      <w:bookmarkEnd w:id="169"/>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一、资格</w:t>
      </w:r>
      <w:r>
        <w:rPr>
          <w:rFonts w:hint="eastAsia" w:ascii="方正仿宋_GBK" w:hAnsi="方正仿宋_GBK" w:eastAsia="方正仿宋_GBK" w:cs="方正仿宋_GBK"/>
          <w:b/>
          <w:sz w:val="28"/>
          <w:szCs w:val="28"/>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报价明细表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70" w:name="_Toc429584884"/>
      <w:bookmarkStart w:id="171" w:name="_Toc465084059"/>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bookmarkEnd w:id="170"/>
    <w:bookmarkEnd w:id="171"/>
    <w:p>
      <w:pPr>
        <w:widowControl/>
        <w:jc w:val="both"/>
        <w:rPr>
          <w:rFonts w:hint="eastAsia" w:ascii="方正仿宋_GBK" w:hAnsi="方正仿宋_GBK" w:eastAsia="方正仿宋_GBK" w:cs="方正仿宋_GBK"/>
          <w:b/>
          <w:sz w:val="21"/>
          <w:szCs w:val="21"/>
        </w:rPr>
      </w:pPr>
    </w:p>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jc w:val="both"/>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垫江县砚台镇太安村股份经济合作联合社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72" w:name="_Toc534185830"/>
      <w:bookmarkStart w:id="173" w:name="_Toc509218853"/>
      <w:bookmarkStart w:id="174" w:name="_Toc536800771"/>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72"/>
      <w:bookmarkEnd w:id="173"/>
      <w:bookmarkEnd w:id="174"/>
      <w:bookmarkStart w:id="175" w:name="_Toc287607866"/>
      <w:bookmarkStart w:id="176" w:name="_Toc430530529"/>
      <w:bookmarkStart w:id="177" w:name="_Toc277082642"/>
      <w:bookmarkStart w:id="178" w:name="_Toc224103494"/>
      <w:bookmarkStart w:id="179" w:name="_Toc287620813"/>
    </w:p>
    <w:bookmarkEnd w:id="175"/>
    <w:bookmarkEnd w:id="176"/>
    <w:bookmarkEnd w:id="177"/>
    <w:bookmarkEnd w:id="178"/>
    <w:bookmarkEnd w:id="179"/>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垫江县砚台镇太安村股份经济合作联合社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垫江县砚台镇太安村基层治理治安巡逻车采购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2126"/>
        <w:gridCol w:w="241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车型</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（台）</w:t>
            </w:r>
          </w:p>
        </w:tc>
        <w:tc>
          <w:tcPr>
            <w:tcW w:w="2410" w:type="dxa"/>
          </w:tcPr>
          <w:p>
            <w:pPr>
              <w:spacing w:line="500" w:lineRule="exact"/>
              <w:ind w:firstLine="210" w:firstLineChars="10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投标单价报价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（元/台）</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投标总价报价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2410"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ind w:firstLine="5145" w:firstLineChars="2450"/>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投标人（盖公章）：</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7"/>
        <w:ind w:left="120"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pStyle w:val="2"/>
        <w:rPr>
          <w:rFonts w:hint="eastAsia" w:ascii="方正仿宋_GBK" w:hAnsi="方正仿宋_GBK" w:eastAsia="方正仿宋_GBK" w:cs="方正仿宋_GBK"/>
          <w:sz w:val="21"/>
          <w:szCs w:val="21"/>
        </w:rPr>
      </w:pPr>
    </w:p>
    <w:p>
      <w:pPr>
        <w:snapToGrid w:val="0"/>
        <w:spacing w:line="400" w:lineRule="exact"/>
        <w:jc w:val="center"/>
        <w:rPr>
          <w:rStyle w:val="94"/>
          <w:rFonts w:hint="eastAsia" w:ascii="方正仿宋_GBK" w:hAnsi="方正仿宋_GBK" w:eastAsia="方正仿宋_GBK" w:cs="方正仿宋_GBK"/>
          <w:b/>
          <w:bCs w:val="0"/>
          <w:sz w:val="32"/>
          <w:szCs w:val="32"/>
        </w:rPr>
      </w:pPr>
      <w:r>
        <w:rPr>
          <w:rStyle w:val="94"/>
          <w:rFonts w:hint="eastAsia" w:ascii="方正仿宋_GBK" w:hAnsi="方正仿宋_GBK" w:eastAsia="方正仿宋_GBK" w:cs="方正仿宋_GBK"/>
          <w:b/>
          <w:bCs w:val="0"/>
          <w:sz w:val="32"/>
          <w:szCs w:val="32"/>
        </w:rPr>
        <w:t>（三）报价明细表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Style w:val="94"/>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Style w:val="94"/>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none"/>
        </w:rPr>
        <w:t>采购项目名称：</w:t>
      </w:r>
      <w:r>
        <w:rPr>
          <w:rFonts w:hint="eastAsia" w:ascii="方正仿宋_GBK" w:hAnsi="方正仿宋_GBK" w:eastAsia="方正仿宋_GBK" w:cs="方正仿宋_GBK"/>
          <w:color w:val="000000"/>
          <w:sz w:val="21"/>
          <w:szCs w:val="21"/>
          <w:u w:val="single"/>
          <w:lang w:eastAsia="zh-CN"/>
        </w:rPr>
        <w:t>垫江县砚台镇太安村基层治理治安巡逻车采购</w:t>
      </w:r>
      <w:r>
        <w:rPr>
          <w:rStyle w:val="94"/>
          <w:rFonts w:hint="eastAsia" w:ascii="方正仿宋_GBK" w:hAnsi="方正仿宋_GBK" w:eastAsia="方正仿宋_GBK" w:cs="方正仿宋_GBK"/>
          <w:sz w:val="21"/>
          <w:szCs w:val="21"/>
        </w:rPr>
        <w:t xml:space="preserve">                       单位：元</w:t>
      </w:r>
    </w:p>
    <w:tbl>
      <w:tblPr>
        <w:tblStyle w:val="1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60"/>
        <w:gridCol w:w="1984"/>
        <w:gridCol w:w="1364"/>
        <w:gridCol w:w="1242"/>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设备名称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车型</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制造商</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原产地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数量</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单价</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pStyle w:val="97"/>
              <w:snapToGrid w:val="0"/>
              <w:spacing w:line="240" w:lineRule="auto"/>
              <w:ind w:left="0"/>
              <w:jc w:val="center"/>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巡逻车辆      </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r>
    </w:tbl>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525" w:firstLineChars="2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投标人：                       法定代表人（或法定代表人授权代表）：</w:t>
      </w:r>
    </w:p>
    <w:p>
      <w:pPr>
        <w:snapToGrid w:val="0"/>
        <w:spacing w:line="500" w:lineRule="exact"/>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（投标人公章）                               （签署或盖章）</w:t>
      </w: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年     月     日</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1.请投标人完整填写本表；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2.该表可扩展。</w:t>
      </w:r>
    </w:p>
    <w:p>
      <w:pPr>
        <w:pStyle w:val="2"/>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630" w:firstLineChars="3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垫江县砚台镇太安村基层治理治安巡逻车采购</w:t>
      </w:r>
      <w:r>
        <w:rPr>
          <w:rFonts w:hint="eastAsia" w:ascii="方正仿宋_GBK" w:hAnsi="方正仿宋_GBK" w:eastAsia="方正仿宋_GBK" w:cs="方正仿宋_GBK"/>
          <w:sz w:val="21"/>
          <w:szCs w:val="21"/>
          <w:u w:val="single"/>
        </w:rPr>
        <w:t xml:space="preserve">  </w:t>
      </w:r>
    </w:p>
    <w:tbl>
      <w:tblPr>
        <w:tblStyle w:val="17"/>
        <w:tblW w:w="8291" w:type="dxa"/>
        <w:jc w:val="center"/>
        <w:tblLayout w:type="fixed"/>
        <w:tblCellMar>
          <w:top w:w="0" w:type="dxa"/>
          <w:left w:w="0" w:type="dxa"/>
          <w:bottom w:w="0" w:type="dxa"/>
          <w:right w:w="0" w:type="dxa"/>
        </w:tblCellMar>
      </w:tblPr>
      <w:tblGrid>
        <w:gridCol w:w="1512"/>
        <w:gridCol w:w="4615"/>
        <w:gridCol w:w="2164"/>
      </w:tblGrid>
      <w:tr>
        <w:tblPrEx>
          <w:tblCellMar>
            <w:top w:w="0" w:type="dxa"/>
            <w:left w:w="0" w:type="dxa"/>
            <w:bottom w:w="0" w:type="dxa"/>
            <w:right w:w="0" w:type="dxa"/>
          </w:tblCellMar>
        </w:tblPrEx>
        <w:trPr>
          <w:trHeight w:val="589"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车型</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参数</w:t>
            </w: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tblPrEx>
          <w:tblCellMar>
            <w:top w:w="0" w:type="dxa"/>
            <w:left w:w="0" w:type="dxa"/>
            <w:bottom w:w="0" w:type="dxa"/>
            <w:right w:w="0" w:type="dxa"/>
          </w:tblCellMar>
        </w:tblPrEx>
        <w:trPr>
          <w:trHeight w:val="3841"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方正仿宋_GBK" w:hAnsi="方正仿宋_GBK" w:eastAsia="方正仿宋_GBK" w:cs="方正仿宋_GBK"/>
                <w:bCs/>
                <w:color w:val="FF0000"/>
                <w:sz w:val="21"/>
                <w:szCs w:val="21"/>
              </w:rPr>
            </w:pPr>
          </w:p>
          <w:p>
            <w:pPr>
              <w:pStyle w:val="2"/>
              <w:rPr>
                <w:rFonts w:hint="eastAsia" w:ascii="方正仿宋_GBK" w:hAnsi="方正仿宋_GBK" w:eastAsia="方正仿宋_GBK" w:cs="方正仿宋_GBK"/>
                <w:sz w:val="21"/>
                <w:szCs w:val="21"/>
              </w:rPr>
            </w:pP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tc>
      </w:tr>
    </w:tbl>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spacing w:line="500" w:lineRule="exact"/>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项目技术需求”中所列带★部分条款进行比较和响应；投标人在投标文件技术需求差异表中必须完全响应且承诺完全满足。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3. 可附技术支撑资料（格式自定）。</w:t>
      </w:r>
    </w:p>
    <w:p>
      <w:pPr>
        <w:snapToGrid w:val="0"/>
        <w:spacing w:line="400" w:lineRule="exact"/>
        <w:ind w:firstLine="210" w:firstLineChars="100"/>
        <w:rPr>
          <w:rFonts w:hint="eastAsia" w:ascii="方正仿宋_GBK" w:hAnsi="方正仿宋_GBK" w:eastAsia="方正仿宋_GBK" w:cs="方正仿宋_GBK"/>
          <w:b/>
          <w:sz w:val="21"/>
          <w:szCs w:val="21"/>
        </w:rPr>
      </w:pPr>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垫江县砚台镇太安村基层治理治安巡逻车采购</w:t>
      </w:r>
      <w:r>
        <w:rPr>
          <w:rFonts w:hint="eastAsia" w:ascii="方正仿宋_GBK" w:hAnsi="方正仿宋_GBK" w:eastAsia="方正仿宋_GBK" w:cs="方正仿宋_GBK"/>
          <w:sz w:val="21"/>
          <w:szCs w:val="21"/>
          <w:u w:val="singl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项目商务要求”中“</w:t>
      </w:r>
      <w:r>
        <w:rPr>
          <w:rFonts w:hint="eastAsia" w:ascii="方正仿宋_GBK" w:hAnsi="方正仿宋_GBK" w:eastAsia="方正仿宋_GBK" w:cs="方正仿宋_GBK"/>
          <w:b/>
          <w:color w:val="000000" w:themeColor="text1"/>
          <w:kern w:val="0"/>
          <w:sz w:val="21"/>
          <w:szCs w:val="21"/>
          <w:lang w:val="zh-CN"/>
          <w14:textFill>
            <w14:solidFill>
              <w14:schemeClr w14:val="tx1"/>
            </w14:solidFill>
          </w14:textFill>
        </w:rPr>
        <w:t>★</w:t>
      </w:r>
      <w:r>
        <w:rPr>
          <w:rFonts w:hint="eastAsia" w:ascii="方正仿宋_GBK" w:hAnsi="方正仿宋_GBK" w:eastAsia="方正仿宋_GBK" w:cs="方正仿宋_GBK"/>
          <w:sz w:val="21"/>
          <w:szCs w:val="21"/>
        </w:rPr>
        <w:t>”所列条款进行比较和响应。投标人在商务要求差异表中必须逐条响应且承诺完全满足（无差异或正偏离）。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pStyle w:val="4"/>
        <w:spacing w:line="400" w:lineRule="exact"/>
        <w:rPr>
          <w:rFonts w:hint="eastAsia" w:ascii="方正仿宋_GBK" w:hAnsi="方正仿宋_GBK" w:eastAsia="方正仿宋_GBK" w:cs="方正仿宋_GBK"/>
          <w:b/>
          <w:sz w:val="21"/>
          <w:szCs w:val="21"/>
        </w:rPr>
      </w:pPr>
    </w:p>
    <w:p>
      <w:pPr>
        <w:pStyle w:val="2"/>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32"/>
          <w:szCs w:val="32"/>
        </w:rPr>
        <w:t>（六）其他与项目有关的资料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p>
      <w:pPr>
        <w:pStyle w:val="3"/>
        <w:tabs>
          <w:tab w:val="clear" w:pos="3360"/>
        </w:tabs>
        <w:spacing w:beforeLines="0" w:afterLines="0" w:line="360" w:lineRule="auto"/>
        <w:rPr>
          <w:rFonts w:hint="eastAsia" w:ascii="方正仿宋_GBK" w:hAnsi="方正仿宋_GBK" w:eastAsia="方正仿宋_GBK" w:cs="方正仿宋_GBK"/>
          <w:sz w:val="21"/>
          <w:szCs w:val="21"/>
        </w:rPr>
      </w:pPr>
    </w:p>
    <w:p>
      <w:pPr>
        <w:numPr>
          <w:ilvl w:val="255"/>
          <w:numId w:val="0"/>
        </w:numPr>
        <w:spacing w:line="360" w:lineRule="auto"/>
        <w:rPr>
          <w:rFonts w:hint="eastAsia" w:ascii="方正仿宋_GBK" w:hAnsi="方正仿宋_GBK" w:eastAsia="方正仿宋_GBK" w:cs="方正仿宋_GBK"/>
          <w:sz w:val="21"/>
          <w:szCs w:val="21"/>
        </w:rPr>
      </w:pP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4C492F"/>
    <w:rsid w:val="029C4ABF"/>
    <w:rsid w:val="02D75BDD"/>
    <w:rsid w:val="02DC3F04"/>
    <w:rsid w:val="02FC6355"/>
    <w:rsid w:val="03245139"/>
    <w:rsid w:val="035E4919"/>
    <w:rsid w:val="03A72764"/>
    <w:rsid w:val="042F6E36"/>
    <w:rsid w:val="04313746"/>
    <w:rsid w:val="043D2019"/>
    <w:rsid w:val="045F6B9B"/>
    <w:rsid w:val="0486237A"/>
    <w:rsid w:val="04AF0CB6"/>
    <w:rsid w:val="04E459E6"/>
    <w:rsid w:val="055662AA"/>
    <w:rsid w:val="05C313AC"/>
    <w:rsid w:val="063836CF"/>
    <w:rsid w:val="064D09B3"/>
    <w:rsid w:val="069118FA"/>
    <w:rsid w:val="069465EF"/>
    <w:rsid w:val="06AA7504"/>
    <w:rsid w:val="06DB41DD"/>
    <w:rsid w:val="07795FC3"/>
    <w:rsid w:val="079254DA"/>
    <w:rsid w:val="07C850B5"/>
    <w:rsid w:val="07D00281"/>
    <w:rsid w:val="083A378F"/>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A583254"/>
    <w:rsid w:val="0A676FF7"/>
    <w:rsid w:val="0AA01CBB"/>
    <w:rsid w:val="0ADA341F"/>
    <w:rsid w:val="0AF173F5"/>
    <w:rsid w:val="0B0D630F"/>
    <w:rsid w:val="0B1B7594"/>
    <w:rsid w:val="0B6516C6"/>
    <w:rsid w:val="0B6613C6"/>
    <w:rsid w:val="0B681473"/>
    <w:rsid w:val="0BA60EC9"/>
    <w:rsid w:val="0BAA6B9C"/>
    <w:rsid w:val="0BC11EE9"/>
    <w:rsid w:val="0BC419DA"/>
    <w:rsid w:val="0BFC73C5"/>
    <w:rsid w:val="0C104906"/>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ED7911"/>
    <w:rsid w:val="0F100D8B"/>
    <w:rsid w:val="0F1E7653"/>
    <w:rsid w:val="0F8F4DAB"/>
    <w:rsid w:val="0FCC70AF"/>
    <w:rsid w:val="0FD73ACE"/>
    <w:rsid w:val="0FD77A64"/>
    <w:rsid w:val="0FEC3B33"/>
    <w:rsid w:val="0FF80514"/>
    <w:rsid w:val="10173A8A"/>
    <w:rsid w:val="102063C6"/>
    <w:rsid w:val="102170D9"/>
    <w:rsid w:val="103434F8"/>
    <w:rsid w:val="10471EAC"/>
    <w:rsid w:val="11032FA4"/>
    <w:rsid w:val="110A7E8F"/>
    <w:rsid w:val="113A4C18"/>
    <w:rsid w:val="11B20C52"/>
    <w:rsid w:val="120D5E88"/>
    <w:rsid w:val="126A0B9A"/>
    <w:rsid w:val="126E605B"/>
    <w:rsid w:val="12C1392F"/>
    <w:rsid w:val="12EC596D"/>
    <w:rsid w:val="13254936"/>
    <w:rsid w:val="13273327"/>
    <w:rsid w:val="134F3535"/>
    <w:rsid w:val="135A121B"/>
    <w:rsid w:val="13F55D6D"/>
    <w:rsid w:val="13F60F2C"/>
    <w:rsid w:val="1422706E"/>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814DCC"/>
    <w:rsid w:val="168336BE"/>
    <w:rsid w:val="16F837AA"/>
    <w:rsid w:val="17255A22"/>
    <w:rsid w:val="17740331"/>
    <w:rsid w:val="17A7349C"/>
    <w:rsid w:val="17AE1190"/>
    <w:rsid w:val="182B7E8D"/>
    <w:rsid w:val="183A09B0"/>
    <w:rsid w:val="18411ED8"/>
    <w:rsid w:val="18E558E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E94781"/>
    <w:rsid w:val="1D383FD6"/>
    <w:rsid w:val="1D664D6C"/>
    <w:rsid w:val="1D6A13B9"/>
    <w:rsid w:val="1D943902"/>
    <w:rsid w:val="1DF4473D"/>
    <w:rsid w:val="1E001EBE"/>
    <w:rsid w:val="1E3F0AA6"/>
    <w:rsid w:val="1E470974"/>
    <w:rsid w:val="1E543091"/>
    <w:rsid w:val="1E6F234E"/>
    <w:rsid w:val="1F464788"/>
    <w:rsid w:val="1F7A6C6E"/>
    <w:rsid w:val="1FF13B7D"/>
    <w:rsid w:val="1FFB04CC"/>
    <w:rsid w:val="200313AB"/>
    <w:rsid w:val="20321EA5"/>
    <w:rsid w:val="203647FC"/>
    <w:rsid w:val="203A406E"/>
    <w:rsid w:val="20702E18"/>
    <w:rsid w:val="20AA041D"/>
    <w:rsid w:val="20BD6CCC"/>
    <w:rsid w:val="21156B08"/>
    <w:rsid w:val="212378FE"/>
    <w:rsid w:val="219F63D1"/>
    <w:rsid w:val="22280ABD"/>
    <w:rsid w:val="22463FB1"/>
    <w:rsid w:val="227F33BA"/>
    <w:rsid w:val="228323A4"/>
    <w:rsid w:val="228F2E77"/>
    <w:rsid w:val="228F4698"/>
    <w:rsid w:val="22BB58D5"/>
    <w:rsid w:val="233D7B88"/>
    <w:rsid w:val="236D2879"/>
    <w:rsid w:val="23B8360A"/>
    <w:rsid w:val="24345C13"/>
    <w:rsid w:val="245B6F27"/>
    <w:rsid w:val="24A05D1C"/>
    <w:rsid w:val="24A514E6"/>
    <w:rsid w:val="250C1C9F"/>
    <w:rsid w:val="25A17A0B"/>
    <w:rsid w:val="266D6A9E"/>
    <w:rsid w:val="27EC60E8"/>
    <w:rsid w:val="28041684"/>
    <w:rsid w:val="282E0CE1"/>
    <w:rsid w:val="28D821FD"/>
    <w:rsid w:val="290952EB"/>
    <w:rsid w:val="292F2731"/>
    <w:rsid w:val="29310257"/>
    <w:rsid w:val="295F1D4E"/>
    <w:rsid w:val="29E057D9"/>
    <w:rsid w:val="2A067935"/>
    <w:rsid w:val="2A263B34"/>
    <w:rsid w:val="2A5135D3"/>
    <w:rsid w:val="2A5C7555"/>
    <w:rsid w:val="2A5D1CAC"/>
    <w:rsid w:val="2A6F75C2"/>
    <w:rsid w:val="2A830F86"/>
    <w:rsid w:val="2AA333D6"/>
    <w:rsid w:val="2AF81826"/>
    <w:rsid w:val="2B050E79"/>
    <w:rsid w:val="2B570B57"/>
    <w:rsid w:val="2B607D71"/>
    <w:rsid w:val="2BA33D84"/>
    <w:rsid w:val="2C213F3C"/>
    <w:rsid w:val="2C2440A3"/>
    <w:rsid w:val="2C3B13EC"/>
    <w:rsid w:val="2C5A1872"/>
    <w:rsid w:val="2CF558DF"/>
    <w:rsid w:val="2D3B49AB"/>
    <w:rsid w:val="2DA446D5"/>
    <w:rsid w:val="2DD323EF"/>
    <w:rsid w:val="2DEE69E0"/>
    <w:rsid w:val="2E1032E7"/>
    <w:rsid w:val="2EA009D4"/>
    <w:rsid w:val="2F2139B7"/>
    <w:rsid w:val="2F4B5DEA"/>
    <w:rsid w:val="2F8530AA"/>
    <w:rsid w:val="2F9B9909"/>
    <w:rsid w:val="302C1778"/>
    <w:rsid w:val="30395021"/>
    <w:rsid w:val="307E3B7F"/>
    <w:rsid w:val="30806168"/>
    <w:rsid w:val="31135038"/>
    <w:rsid w:val="312030D5"/>
    <w:rsid w:val="31863DD2"/>
    <w:rsid w:val="3188160C"/>
    <w:rsid w:val="319C1736"/>
    <w:rsid w:val="320F1351"/>
    <w:rsid w:val="3244724D"/>
    <w:rsid w:val="324C7908"/>
    <w:rsid w:val="325D030E"/>
    <w:rsid w:val="32690A61"/>
    <w:rsid w:val="326E6099"/>
    <w:rsid w:val="32AF0E92"/>
    <w:rsid w:val="331545D8"/>
    <w:rsid w:val="33720075"/>
    <w:rsid w:val="33BA0EF1"/>
    <w:rsid w:val="340E4E6D"/>
    <w:rsid w:val="345C6637"/>
    <w:rsid w:val="34876C9A"/>
    <w:rsid w:val="34CA0A84"/>
    <w:rsid w:val="34D310B7"/>
    <w:rsid w:val="34F63FAC"/>
    <w:rsid w:val="34FD7B87"/>
    <w:rsid w:val="3542559A"/>
    <w:rsid w:val="35A16831"/>
    <w:rsid w:val="35B6724A"/>
    <w:rsid w:val="35D53B5B"/>
    <w:rsid w:val="363C06FF"/>
    <w:rsid w:val="370D31CB"/>
    <w:rsid w:val="370F310D"/>
    <w:rsid w:val="3731094C"/>
    <w:rsid w:val="37780A88"/>
    <w:rsid w:val="379434E2"/>
    <w:rsid w:val="37D73C3B"/>
    <w:rsid w:val="38053223"/>
    <w:rsid w:val="381E22EE"/>
    <w:rsid w:val="382542B3"/>
    <w:rsid w:val="38404848"/>
    <w:rsid w:val="38652E8A"/>
    <w:rsid w:val="38730CC1"/>
    <w:rsid w:val="388E23DC"/>
    <w:rsid w:val="38DA48DA"/>
    <w:rsid w:val="38EE0C10"/>
    <w:rsid w:val="390A4620"/>
    <w:rsid w:val="394710BB"/>
    <w:rsid w:val="399860D0"/>
    <w:rsid w:val="399B75B3"/>
    <w:rsid w:val="39A069ED"/>
    <w:rsid w:val="39A14231"/>
    <w:rsid w:val="39BC591B"/>
    <w:rsid w:val="39EF24BE"/>
    <w:rsid w:val="3A241712"/>
    <w:rsid w:val="3A2E1DD5"/>
    <w:rsid w:val="3A3E0BCC"/>
    <w:rsid w:val="3A487F73"/>
    <w:rsid w:val="3A543DA5"/>
    <w:rsid w:val="3A751F6D"/>
    <w:rsid w:val="3AC17C82"/>
    <w:rsid w:val="3AEA1A4C"/>
    <w:rsid w:val="3B9C3591"/>
    <w:rsid w:val="3B9F35BE"/>
    <w:rsid w:val="3BE60F04"/>
    <w:rsid w:val="3C0104DD"/>
    <w:rsid w:val="3C93090A"/>
    <w:rsid w:val="3C945797"/>
    <w:rsid w:val="3CA54D8C"/>
    <w:rsid w:val="3D1912D6"/>
    <w:rsid w:val="3D213357"/>
    <w:rsid w:val="3D736C38"/>
    <w:rsid w:val="3DBD0EC6"/>
    <w:rsid w:val="3E23065E"/>
    <w:rsid w:val="3E410AE4"/>
    <w:rsid w:val="3E416D36"/>
    <w:rsid w:val="3E6D4412"/>
    <w:rsid w:val="3E717A7D"/>
    <w:rsid w:val="3E9B4698"/>
    <w:rsid w:val="3EF34643"/>
    <w:rsid w:val="3EF54C69"/>
    <w:rsid w:val="3F20222B"/>
    <w:rsid w:val="3F6041CA"/>
    <w:rsid w:val="3F7007F4"/>
    <w:rsid w:val="3F773AB8"/>
    <w:rsid w:val="3FA23E73"/>
    <w:rsid w:val="3FAB65CB"/>
    <w:rsid w:val="3FC75019"/>
    <w:rsid w:val="40175FA1"/>
    <w:rsid w:val="40274A00"/>
    <w:rsid w:val="406C09E0"/>
    <w:rsid w:val="4090365D"/>
    <w:rsid w:val="4104427B"/>
    <w:rsid w:val="412C30C3"/>
    <w:rsid w:val="4171323D"/>
    <w:rsid w:val="41AA71A7"/>
    <w:rsid w:val="423C398C"/>
    <w:rsid w:val="42597DB4"/>
    <w:rsid w:val="42A03F94"/>
    <w:rsid w:val="42AA0A59"/>
    <w:rsid w:val="42C570E7"/>
    <w:rsid w:val="42C95B9A"/>
    <w:rsid w:val="43607C5E"/>
    <w:rsid w:val="438A6CE4"/>
    <w:rsid w:val="43BE73AD"/>
    <w:rsid w:val="43DF5D5D"/>
    <w:rsid w:val="442D3C78"/>
    <w:rsid w:val="44817E8C"/>
    <w:rsid w:val="44EE5FAA"/>
    <w:rsid w:val="45675AC5"/>
    <w:rsid w:val="45912555"/>
    <w:rsid w:val="459227DA"/>
    <w:rsid w:val="45A04342"/>
    <w:rsid w:val="45B735B9"/>
    <w:rsid w:val="45E20AC7"/>
    <w:rsid w:val="45EF0E26"/>
    <w:rsid w:val="461268C8"/>
    <w:rsid w:val="461E170B"/>
    <w:rsid w:val="462C1A65"/>
    <w:rsid w:val="4681150F"/>
    <w:rsid w:val="468974CC"/>
    <w:rsid w:val="46BB2E01"/>
    <w:rsid w:val="4707703F"/>
    <w:rsid w:val="47094169"/>
    <w:rsid w:val="47413031"/>
    <w:rsid w:val="48427933"/>
    <w:rsid w:val="48DF1625"/>
    <w:rsid w:val="48EA7323"/>
    <w:rsid w:val="490C39B2"/>
    <w:rsid w:val="496008C3"/>
    <w:rsid w:val="49AA57F3"/>
    <w:rsid w:val="49BE748D"/>
    <w:rsid w:val="4A062BE2"/>
    <w:rsid w:val="4A2A2D74"/>
    <w:rsid w:val="4A8275FB"/>
    <w:rsid w:val="4AE211F8"/>
    <w:rsid w:val="4AE93126"/>
    <w:rsid w:val="4B337EB1"/>
    <w:rsid w:val="4B666221"/>
    <w:rsid w:val="4B67027D"/>
    <w:rsid w:val="4BBD03F9"/>
    <w:rsid w:val="4BD9235C"/>
    <w:rsid w:val="4C3677AE"/>
    <w:rsid w:val="4C4719BC"/>
    <w:rsid w:val="4C7A3F43"/>
    <w:rsid w:val="4CCB708A"/>
    <w:rsid w:val="4CE70AA9"/>
    <w:rsid w:val="4D3A5A30"/>
    <w:rsid w:val="4D49009A"/>
    <w:rsid w:val="4D6F53D8"/>
    <w:rsid w:val="4DAD3AA0"/>
    <w:rsid w:val="4DF571F5"/>
    <w:rsid w:val="4DF83C80"/>
    <w:rsid w:val="4E330610"/>
    <w:rsid w:val="4E676345"/>
    <w:rsid w:val="4E7D3C6E"/>
    <w:rsid w:val="4E840ED8"/>
    <w:rsid w:val="4E9568B4"/>
    <w:rsid w:val="4E9B1B4B"/>
    <w:rsid w:val="4EBC2209"/>
    <w:rsid w:val="4EC85EEA"/>
    <w:rsid w:val="4ED80FF1"/>
    <w:rsid w:val="4EE94FAC"/>
    <w:rsid w:val="4F4E12B3"/>
    <w:rsid w:val="4F9C2022"/>
    <w:rsid w:val="4FA0498A"/>
    <w:rsid w:val="4FB053C4"/>
    <w:rsid w:val="50722D7F"/>
    <w:rsid w:val="508915C5"/>
    <w:rsid w:val="50BC6FD6"/>
    <w:rsid w:val="50CA0814"/>
    <w:rsid w:val="50F4514F"/>
    <w:rsid w:val="50F87728"/>
    <w:rsid w:val="51667B3B"/>
    <w:rsid w:val="51D04201"/>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83F373F"/>
    <w:rsid w:val="58714FFF"/>
    <w:rsid w:val="58745C3D"/>
    <w:rsid w:val="58CE31A6"/>
    <w:rsid w:val="58DE5456"/>
    <w:rsid w:val="58F34A1E"/>
    <w:rsid w:val="597D1B34"/>
    <w:rsid w:val="59B461B6"/>
    <w:rsid w:val="59BB7545"/>
    <w:rsid w:val="59EB6C15"/>
    <w:rsid w:val="59EB71E5"/>
    <w:rsid w:val="5A1E0E4B"/>
    <w:rsid w:val="5A4015AC"/>
    <w:rsid w:val="5A6F41D6"/>
    <w:rsid w:val="5A827470"/>
    <w:rsid w:val="5A985AD8"/>
    <w:rsid w:val="5AAB4172"/>
    <w:rsid w:val="5AFC4FD1"/>
    <w:rsid w:val="5BAE0099"/>
    <w:rsid w:val="5BB75BFE"/>
    <w:rsid w:val="5BFA06CE"/>
    <w:rsid w:val="5CA16EC6"/>
    <w:rsid w:val="5CB04E51"/>
    <w:rsid w:val="5CBA4C59"/>
    <w:rsid w:val="5D1D3EDC"/>
    <w:rsid w:val="5D274CA8"/>
    <w:rsid w:val="5D5F28DD"/>
    <w:rsid w:val="5D6515DC"/>
    <w:rsid w:val="5D812DD2"/>
    <w:rsid w:val="5D8D11F8"/>
    <w:rsid w:val="5D984468"/>
    <w:rsid w:val="5DB03702"/>
    <w:rsid w:val="5DC7295C"/>
    <w:rsid w:val="5DED6846"/>
    <w:rsid w:val="5E3A499F"/>
    <w:rsid w:val="5EAC56AE"/>
    <w:rsid w:val="5EAE7678"/>
    <w:rsid w:val="5ECE3876"/>
    <w:rsid w:val="5EEC7C19"/>
    <w:rsid w:val="5EF05EE3"/>
    <w:rsid w:val="5F34458D"/>
    <w:rsid w:val="5FD160E0"/>
    <w:rsid w:val="5FF124D7"/>
    <w:rsid w:val="5FF17B2D"/>
    <w:rsid w:val="602F2A3B"/>
    <w:rsid w:val="604C6F91"/>
    <w:rsid w:val="6057165A"/>
    <w:rsid w:val="606139F3"/>
    <w:rsid w:val="60BB442F"/>
    <w:rsid w:val="60BD473D"/>
    <w:rsid w:val="61350781"/>
    <w:rsid w:val="618C2A9C"/>
    <w:rsid w:val="626F5370"/>
    <w:rsid w:val="628F156F"/>
    <w:rsid w:val="62CF7BBD"/>
    <w:rsid w:val="62E619DB"/>
    <w:rsid w:val="6367429A"/>
    <w:rsid w:val="638E2EBD"/>
    <w:rsid w:val="63FB0DE2"/>
    <w:rsid w:val="643A375C"/>
    <w:rsid w:val="647255C0"/>
    <w:rsid w:val="64752197"/>
    <w:rsid w:val="649966D5"/>
    <w:rsid w:val="649C6AAC"/>
    <w:rsid w:val="64BF340B"/>
    <w:rsid w:val="64D32CF2"/>
    <w:rsid w:val="64F63334"/>
    <w:rsid w:val="650E0CCD"/>
    <w:rsid w:val="651D7306"/>
    <w:rsid w:val="653144BD"/>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D0643D"/>
    <w:rsid w:val="68D42825"/>
    <w:rsid w:val="68EF17FE"/>
    <w:rsid w:val="691B1231"/>
    <w:rsid w:val="692E7D33"/>
    <w:rsid w:val="69474951"/>
    <w:rsid w:val="69B0699A"/>
    <w:rsid w:val="69F165AC"/>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AA159D"/>
    <w:rsid w:val="6DAC56CB"/>
    <w:rsid w:val="6DF17581"/>
    <w:rsid w:val="6E132EBC"/>
    <w:rsid w:val="6F082DD5"/>
    <w:rsid w:val="6F5C3185"/>
    <w:rsid w:val="7036571F"/>
    <w:rsid w:val="70EB412D"/>
    <w:rsid w:val="70EB475C"/>
    <w:rsid w:val="7108228F"/>
    <w:rsid w:val="713B4ED5"/>
    <w:rsid w:val="714614AB"/>
    <w:rsid w:val="71D07AE3"/>
    <w:rsid w:val="71FB277D"/>
    <w:rsid w:val="72175979"/>
    <w:rsid w:val="7218332F"/>
    <w:rsid w:val="72AD6919"/>
    <w:rsid w:val="72B87A76"/>
    <w:rsid w:val="72D97364"/>
    <w:rsid w:val="731A2D6E"/>
    <w:rsid w:val="731D115A"/>
    <w:rsid w:val="73AD6C42"/>
    <w:rsid w:val="73DB2866"/>
    <w:rsid w:val="74142811"/>
    <w:rsid w:val="742E378B"/>
    <w:rsid w:val="74452F75"/>
    <w:rsid w:val="744D3782"/>
    <w:rsid w:val="74626AE3"/>
    <w:rsid w:val="747B1D95"/>
    <w:rsid w:val="74EE481B"/>
    <w:rsid w:val="751D7DBF"/>
    <w:rsid w:val="752B15CB"/>
    <w:rsid w:val="76146DF1"/>
    <w:rsid w:val="76275CB9"/>
    <w:rsid w:val="76811C18"/>
    <w:rsid w:val="76A74C81"/>
    <w:rsid w:val="76BE7841"/>
    <w:rsid w:val="76CC1970"/>
    <w:rsid w:val="76E23662"/>
    <w:rsid w:val="775755EB"/>
    <w:rsid w:val="777059BB"/>
    <w:rsid w:val="77A32A2C"/>
    <w:rsid w:val="77E13906"/>
    <w:rsid w:val="77FB0098"/>
    <w:rsid w:val="78352A5C"/>
    <w:rsid w:val="788259A6"/>
    <w:rsid w:val="7893509C"/>
    <w:rsid w:val="78B960A7"/>
    <w:rsid w:val="7967694A"/>
    <w:rsid w:val="7981693C"/>
    <w:rsid w:val="79863274"/>
    <w:rsid w:val="79C6374C"/>
    <w:rsid w:val="7A155441"/>
    <w:rsid w:val="7A1C61AA"/>
    <w:rsid w:val="7A745F52"/>
    <w:rsid w:val="7AAA4D40"/>
    <w:rsid w:val="7AAE11C1"/>
    <w:rsid w:val="7AB12692"/>
    <w:rsid w:val="7ABD3BA8"/>
    <w:rsid w:val="7ADA4272"/>
    <w:rsid w:val="7B107245"/>
    <w:rsid w:val="7BB47850"/>
    <w:rsid w:val="7BB77041"/>
    <w:rsid w:val="7BF92464"/>
    <w:rsid w:val="7C781BC3"/>
    <w:rsid w:val="7CD07471"/>
    <w:rsid w:val="7D887ABE"/>
    <w:rsid w:val="7DE73EC8"/>
    <w:rsid w:val="7DE92023"/>
    <w:rsid w:val="7DF61D00"/>
    <w:rsid w:val="7DFF7723"/>
    <w:rsid w:val="7E09286B"/>
    <w:rsid w:val="7E461224"/>
    <w:rsid w:val="7E614048"/>
    <w:rsid w:val="7E9E29CD"/>
    <w:rsid w:val="7F20181F"/>
    <w:rsid w:val="7F55109D"/>
    <w:rsid w:val="7F7C4C9D"/>
    <w:rsid w:val="7FA06711"/>
    <w:rsid w:val="7FCB3295"/>
    <w:rsid w:val="7FE66117"/>
    <w:rsid w:val="9F5FF01F"/>
    <w:rsid w:val="BE7FF4C1"/>
    <w:rsid w:val="E79CE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Indent"/>
    <w:basedOn w:val="1"/>
    <w:link w:val="96"/>
    <w:qFormat/>
    <w:uiPriority w:val="0"/>
    <w:pPr>
      <w:spacing w:line="700" w:lineRule="exact"/>
      <w:ind w:left="960"/>
    </w:pPr>
    <w:rPr>
      <w:sz w:val="44"/>
    </w:rPr>
  </w:style>
  <w:style w:type="paragraph" w:styleId="9">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Body Text Indent 2"/>
    <w:basedOn w:val="1"/>
    <w:link w:val="98"/>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6">
    <w:name w:val="Title"/>
    <w:basedOn w:val="1"/>
    <w:link w:val="26"/>
    <w:qFormat/>
    <w:uiPriority w:val="0"/>
    <w:pPr>
      <w:widowControl/>
      <w:spacing w:after="240" w:line="360" w:lineRule="auto"/>
      <w:jc w:val="center"/>
    </w:pPr>
    <w:rPr>
      <w:rFonts w:ascii="Arial" w:hAnsi="Arial"/>
      <w:b/>
      <w:smallCaps/>
      <w:kern w:val="28"/>
      <w:sz w:val="36"/>
      <w:szCs w:val="20"/>
      <w:lang w:eastAsia="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12"/>
    <w:qFormat/>
    <w:uiPriority w:val="0"/>
    <w:rPr>
      <w:kern w:val="2"/>
      <w:sz w:val="18"/>
      <w:szCs w:val="18"/>
    </w:rPr>
  </w:style>
  <w:style w:type="character" w:customStyle="1" w:styleId="25">
    <w:name w:val="标题 Char1"/>
    <w:qFormat/>
    <w:uiPriority w:val="0"/>
    <w:rPr>
      <w:rFonts w:ascii="Arial" w:hAnsi="Arial"/>
      <w:b/>
      <w:smallCaps/>
      <w:kern w:val="28"/>
      <w:sz w:val="36"/>
      <w:lang w:eastAsia="en-US"/>
    </w:rPr>
  </w:style>
  <w:style w:type="character" w:customStyle="1" w:styleId="26">
    <w:name w:val="标题 Char"/>
    <w:basedOn w:val="19"/>
    <w:link w:val="16"/>
    <w:qFormat/>
    <w:uiPriority w:val="0"/>
    <w:rPr>
      <w:rFonts w:asciiTheme="majorHAnsi" w:hAnsiTheme="majorHAnsi" w:cstheme="majorBidi"/>
      <w:b/>
      <w:bCs/>
      <w:kern w:val="2"/>
      <w:sz w:val="32"/>
      <w:szCs w:val="32"/>
    </w:rPr>
  </w:style>
  <w:style w:type="paragraph" w:styleId="27">
    <w:name w:val="List Paragraph"/>
    <w:basedOn w:val="1"/>
    <w:unhideWhenUsed/>
    <w:qFormat/>
    <w:uiPriority w:val="99"/>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6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9">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3">
    <w:name w:val="正文文本 Char"/>
    <w:basedOn w:val="19"/>
    <w:link w:val="2"/>
    <w:qFormat/>
    <w:uiPriority w:val="0"/>
    <w:rPr>
      <w:rFonts w:ascii="Calibri" w:hAnsi="Calibri"/>
      <w:kern w:val="2"/>
      <w:sz w:val="21"/>
      <w:szCs w:val="24"/>
    </w:rPr>
  </w:style>
  <w:style w:type="character" w:customStyle="1" w:styleId="94">
    <w:name w:val="NormalCharacter"/>
    <w:qFormat/>
    <w:uiPriority w:val="0"/>
  </w:style>
  <w:style w:type="paragraph" w:customStyle="1" w:styleId="95">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6">
    <w:name w:val="正文文本缩进 Char"/>
    <w:basedOn w:val="19"/>
    <w:link w:val="8"/>
    <w:qFormat/>
    <w:uiPriority w:val="0"/>
    <w:rPr>
      <w:rFonts w:ascii="Calibri" w:hAnsi="Calibri"/>
      <w:kern w:val="2"/>
      <w:sz w:val="44"/>
      <w:szCs w:val="24"/>
    </w:rPr>
  </w:style>
  <w:style w:type="paragraph" w:customStyle="1" w:styleId="97">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98">
    <w:name w:val="正文文本缩进 2 Char"/>
    <w:basedOn w:val="19"/>
    <w:link w:val="11"/>
    <w:qFormat/>
    <w:uiPriority w:val="0"/>
    <w:rPr>
      <w:rFonts w:ascii="Calibri" w:hAnsi="Calibri"/>
      <w:kern w:val="2"/>
      <w:sz w:val="21"/>
      <w:szCs w:val="24"/>
    </w:rPr>
  </w:style>
  <w:style w:type="paragraph" w:customStyle="1" w:styleId="9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1590</Words>
  <Characters>9064</Characters>
  <Lines>75</Lines>
  <Paragraphs>21</Paragraphs>
  <TotalTime>12</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2025-07-17T20:58:11Z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