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45"/>
        </w:tabs>
        <w:kinsoku/>
        <w:wordWrap/>
        <w:overflowPunct/>
        <w:topLinePunct w:val="0"/>
        <w:autoSpaceDE/>
        <w:autoSpaceDN/>
        <w:bidi w:val="0"/>
        <w:adjustRightInd/>
        <w:snapToGrid/>
        <w:spacing w:line="800" w:lineRule="exact"/>
        <w:jc w:val="center"/>
        <w:textAlignment w:val="auto"/>
        <w:outlineLvl w:val="0"/>
        <w:rPr>
          <w:rFonts w:hint="eastAsia" w:ascii="方正仿宋_GBK" w:hAnsi="方正仿宋_GBK" w:eastAsia="方正仿宋_GBK" w:cs="方正仿宋_GBK"/>
          <w:b/>
          <w:bCs/>
          <w:sz w:val="44"/>
          <w:szCs w:val="44"/>
          <w:u w:val="single"/>
          <w:lang w:eastAsia="zh-CN"/>
        </w:rPr>
      </w:pPr>
      <w:bookmarkStart w:id="0" w:name="_Toc1895"/>
      <w:r>
        <w:rPr>
          <w:rFonts w:hint="eastAsia" w:ascii="方正仿宋_GBK" w:hAnsi="方正仿宋_GBK" w:eastAsia="方正仿宋_GBK" w:cs="方正仿宋_GBK"/>
          <w:b/>
          <w:bCs/>
          <w:sz w:val="44"/>
          <w:szCs w:val="44"/>
          <w:u w:val="single"/>
          <w:lang w:eastAsia="zh-CN"/>
        </w:rPr>
        <w:t>农村集体经济组织财务智慧预警平台采购项目</w:t>
      </w:r>
    </w:p>
    <w:p>
      <w:pPr>
        <w:tabs>
          <w:tab w:val="left" w:pos="7245"/>
        </w:tabs>
        <w:spacing w:line="1600" w:lineRule="exact"/>
        <w:jc w:val="center"/>
        <w:outlineLvl w:val="0"/>
        <w:rPr>
          <w:rFonts w:hint="eastAsia" w:ascii="方正仿宋_GBK" w:hAnsi="方正仿宋_GBK" w:eastAsia="方正仿宋_GBK" w:cs="方正仿宋_GBK"/>
          <w:b/>
          <w:bCs/>
          <w:sz w:val="44"/>
          <w:szCs w:val="44"/>
        </w:rPr>
      </w:pPr>
    </w:p>
    <w:p>
      <w:pPr>
        <w:spacing w:line="1600" w:lineRule="exact"/>
        <w:jc w:val="center"/>
        <w:outlineLvl w:val="0"/>
        <w:rPr>
          <w:rFonts w:hint="eastAsia" w:ascii="方正仿宋_GBK" w:hAnsi="方正仿宋_GBK" w:eastAsia="方正仿宋_GBK" w:cs="方正仿宋_GBK"/>
          <w:b w:val="0"/>
          <w:bCs w:val="0"/>
          <w:sz w:val="72"/>
          <w:szCs w:val="72"/>
        </w:rPr>
      </w:pPr>
      <w:bookmarkStart w:id="112" w:name="_GoBack"/>
      <w:bookmarkEnd w:id="112"/>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9"/>
        <w:spacing w:line="500" w:lineRule="exact"/>
        <w:ind w:left="0"/>
        <w:jc w:val="center"/>
        <w:rPr>
          <w:rFonts w:hint="eastAsia" w:ascii="方正仿宋_GBK" w:hAnsi="方正仿宋_GBK" w:eastAsia="方正仿宋_GBK" w:cs="方正仿宋_GBK"/>
          <w:b w:val="0"/>
          <w:bCs w:val="0"/>
          <w:sz w:val="72"/>
          <w:szCs w:val="72"/>
        </w:rPr>
      </w:pPr>
    </w:p>
    <w:p>
      <w:pPr>
        <w:pStyle w:val="9"/>
        <w:spacing w:line="500" w:lineRule="exact"/>
        <w:ind w:left="0"/>
        <w:jc w:val="center"/>
        <w:rPr>
          <w:rFonts w:hint="eastAsia" w:ascii="方正仿宋_GBK" w:hAnsi="方正仿宋_GBK" w:eastAsia="方正仿宋_GBK" w:cs="方正仿宋_GBK"/>
          <w:sz w:val="32"/>
        </w:rPr>
      </w:pPr>
    </w:p>
    <w:p>
      <w:pPr>
        <w:pStyle w:val="9"/>
        <w:spacing w:line="500" w:lineRule="exact"/>
        <w:ind w:left="0"/>
        <w:jc w:val="center"/>
        <w:rPr>
          <w:rFonts w:hint="eastAsia" w:ascii="方正仿宋_GBK" w:hAnsi="方正仿宋_GBK" w:eastAsia="方正仿宋_GBK" w:cs="方正仿宋_GBK"/>
          <w:sz w:val="32"/>
        </w:rPr>
      </w:pPr>
    </w:p>
    <w:p>
      <w:pPr>
        <w:pStyle w:val="9"/>
        <w:spacing w:line="500" w:lineRule="exact"/>
        <w:ind w:left="0"/>
        <w:jc w:val="both"/>
        <w:rPr>
          <w:rFonts w:hint="eastAsia" w:ascii="方正仿宋_GBK" w:hAnsi="方正仿宋_GBK" w:eastAsia="方正仿宋_GBK" w:cs="方正仿宋_GBK"/>
          <w:sz w:val="32"/>
        </w:rPr>
      </w:pPr>
    </w:p>
    <w:p>
      <w:pPr>
        <w:pStyle w:val="9"/>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outlineLvl w:val="0"/>
        <w:rPr>
          <w:rFonts w:hint="eastAsia" w:ascii="方正仿宋_GBK" w:hAnsi="方正仿宋_GBK" w:eastAsia="方正仿宋_GBK" w:cs="方正仿宋_GBK"/>
          <w:sz w:val="36"/>
        </w:rPr>
      </w:pPr>
      <w:bookmarkStart w:id="1" w:name="_Toc19037"/>
    </w:p>
    <w:p>
      <w:pPr>
        <w:spacing w:line="500" w:lineRule="exact"/>
        <w:jc w:val="center"/>
        <w:outlineLvl w:val="0"/>
        <w:rPr>
          <w:rFonts w:hint="eastAsia" w:ascii="方正仿宋_GBK" w:hAnsi="方正仿宋_GBK" w:eastAsia="方正仿宋_GBK" w:cs="方正仿宋_GBK"/>
          <w:sz w:val="36"/>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jc w:val="center"/>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垫江县砚台镇百胜社区股份经济合作联合社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101"/>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snapToGrid w:val="0"/>
          <w:color w:val="auto"/>
          <w:kern w:val="0"/>
          <w:sz w:val="21"/>
          <w:szCs w:val="21"/>
          <w:highlight w:val="none"/>
        </w:rPr>
        <w:t>第一章</w:t>
      </w:r>
      <w:r>
        <w:rPr>
          <w:rStyle w:val="24"/>
          <w:rFonts w:hint="eastAsia" w:ascii="方正仿宋_GBK" w:hAnsi="方正仿宋_GBK" w:eastAsia="方正仿宋_GBK" w:cs="方正仿宋_GBK"/>
          <w:snapToGrid w:val="0"/>
          <w:color w:val="auto"/>
          <w:kern w:val="0"/>
          <w:sz w:val="21"/>
          <w:szCs w:val="21"/>
          <w:highlight w:val="none"/>
        </w:rPr>
        <w:t xml:space="preserve">  </w:t>
      </w:r>
      <w:r>
        <w:rPr>
          <w:rStyle w:val="24"/>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snapToGrid w:val="0"/>
          <w:color w:val="auto"/>
          <w:sz w:val="21"/>
          <w:szCs w:val="21"/>
          <w:highlight w:val="none"/>
        </w:rPr>
        <w:t>第二章</w:t>
      </w:r>
      <w:r>
        <w:rPr>
          <w:rStyle w:val="24"/>
          <w:rFonts w:hint="eastAsia" w:ascii="方正仿宋_GBK" w:hAnsi="方正仿宋_GBK" w:eastAsia="方正仿宋_GBK" w:cs="方正仿宋_GBK"/>
          <w:snapToGrid w:val="0"/>
          <w:color w:val="auto"/>
          <w:sz w:val="21"/>
          <w:szCs w:val="21"/>
          <w:highlight w:val="none"/>
        </w:rPr>
        <w:t xml:space="preserve">  </w:t>
      </w:r>
      <w:r>
        <w:rPr>
          <w:rStyle w:val="24"/>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snapToGrid w:val="0"/>
          <w:color w:val="auto"/>
          <w:kern w:val="0"/>
          <w:sz w:val="21"/>
          <w:szCs w:val="21"/>
          <w:highlight w:val="none"/>
        </w:rPr>
        <w:t>第三章</w:t>
      </w:r>
      <w:r>
        <w:rPr>
          <w:rStyle w:val="24"/>
          <w:rFonts w:hint="eastAsia" w:ascii="方正仿宋_GBK" w:hAnsi="方正仿宋_GBK" w:eastAsia="方正仿宋_GBK" w:cs="方正仿宋_GBK"/>
          <w:snapToGrid w:val="0"/>
          <w:color w:val="auto"/>
          <w:kern w:val="0"/>
          <w:sz w:val="21"/>
          <w:szCs w:val="21"/>
          <w:highlight w:val="none"/>
        </w:rPr>
        <w:t xml:space="preserve">  </w:t>
      </w:r>
      <w:r>
        <w:rPr>
          <w:rStyle w:val="24"/>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6</w:t>
      </w:r>
      <w:r>
        <w:rPr>
          <w:rFonts w:hint="eastAsia" w:ascii="方正仿宋_GBK" w:hAnsi="方正仿宋_GBK" w:eastAsia="方正仿宋_GBK" w:cs="方正仿宋_GBK"/>
          <w:color w:val="auto"/>
          <w:sz w:val="21"/>
          <w:szCs w:val="21"/>
          <w:highlight w:val="none"/>
        </w:rPr>
        <w:fldChar w:fldCharType="end"/>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color w:val="auto"/>
          <w:kern w:val="0"/>
          <w:sz w:val="21"/>
          <w:szCs w:val="21"/>
          <w:highlight w:val="none"/>
        </w:rPr>
        <w:t>第四章</w:t>
      </w:r>
      <w:r>
        <w:rPr>
          <w:rStyle w:val="24"/>
          <w:rFonts w:hint="eastAsia" w:ascii="方正仿宋_GBK" w:hAnsi="方正仿宋_GBK" w:eastAsia="方正仿宋_GBK" w:cs="方正仿宋_GBK"/>
          <w:color w:val="auto"/>
          <w:kern w:val="0"/>
          <w:sz w:val="21"/>
          <w:szCs w:val="21"/>
          <w:highlight w:val="none"/>
        </w:rPr>
        <w:t xml:space="preserve">  </w:t>
      </w:r>
      <w:r>
        <w:rPr>
          <w:rStyle w:val="24"/>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8</w:t>
      </w:r>
      <w:r>
        <w:rPr>
          <w:rFonts w:hint="eastAsia" w:ascii="方正仿宋_GBK" w:hAnsi="方正仿宋_GBK" w:eastAsia="方正仿宋_GBK" w:cs="方正仿宋_GBK"/>
          <w:color w:val="auto"/>
          <w:sz w:val="21"/>
          <w:szCs w:val="21"/>
          <w:highlight w:val="none"/>
        </w:rPr>
        <w:fldChar w:fldCharType="end"/>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color w:val="auto"/>
          <w:sz w:val="21"/>
          <w:szCs w:val="21"/>
          <w:highlight w:val="none"/>
        </w:rPr>
        <w:t>第五章</w:t>
      </w:r>
      <w:r>
        <w:rPr>
          <w:rStyle w:val="24"/>
          <w:rFonts w:hint="eastAsia" w:ascii="方正仿宋_GBK" w:hAnsi="方正仿宋_GBK" w:eastAsia="方正仿宋_GBK" w:cs="方正仿宋_GBK"/>
          <w:color w:val="auto"/>
          <w:sz w:val="21"/>
          <w:szCs w:val="21"/>
          <w:highlight w:val="none"/>
        </w:rPr>
        <w:t xml:space="preserve">  </w:t>
      </w:r>
      <w:r>
        <w:rPr>
          <w:rStyle w:val="24"/>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0</w:t>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color w:val="auto"/>
          <w:sz w:val="21"/>
          <w:szCs w:val="21"/>
          <w:highlight w:val="none"/>
        </w:rPr>
        <w:t>第六章</w:t>
      </w:r>
      <w:r>
        <w:rPr>
          <w:rStyle w:val="24"/>
          <w:rFonts w:hint="eastAsia" w:ascii="方正仿宋_GBK" w:hAnsi="方正仿宋_GBK" w:eastAsia="方正仿宋_GBK" w:cs="方正仿宋_GBK"/>
          <w:color w:val="auto"/>
          <w:sz w:val="21"/>
          <w:szCs w:val="21"/>
          <w:highlight w:val="none"/>
        </w:rPr>
        <w:t xml:space="preserve">  </w:t>
      </w:r>
      <w:r>
        <w:rPr>
          <w:rStyle w:val="24"/>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6"/>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4"/>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4"/>
          <w:rFonts w:hint="eastAsia" w:ascii="方正仿宋_GBK" w:hAnsi="方正仿宋_GBK" w:eastAsia="方正仿宋_GBK" w:cs="方正仿宋_GBK"/>
          <w:color w:val="auto"/>
          <w:sz w:val="21"/>
          <w:szCs w:val="21"/>
          <w:highlight w:val="none"/>
        </w:rPr>
        <w:t>第七章</w:t>
      </w:r>
      <w:r>
        <w:rPr>
          <w:rStyle w:val="24"/>
          <w:rFonts w:hint="eastAsia" w:ascii="方正仿宋_GBK" w:hAnsi="方正仿宋_GBK" w:eastAsia="方正仿宋_GBK" w:cs="方正仿宋_GBK"/>
          <w:color w:val="auto"/>
          <w:sz w:val="21"/>
          <w:szCs w:val="21"/>
          <w:highlight w:val="none"/>
        </w:rPr>
        <w:t xml:space="preserve">  </w:t>
      </w:r>
      <w:r>
        <w:rPr>
          <w:rStyle w:val="24"/>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3</w:t>
      </w:r>
    </w:p>
    <w:p>
      <w:pPr>
        <w:pStyle w:val="16"/>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1095"/>
      <w:bookmarkStart w:id="3" w:name="_Toc465084018"/>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color w:val="auto"/>
          <w:w w:val="99"/>
          <w:kern w:val="0"/>
          <w:sz w:val="28"/>
          <w:szCs w:val="28"/>
          <w:highlight w:val="none"/>
          <w:lang w:eastAsia="zh-CN"/>
        </w:rPr>
        <w:t>农村集体经济组织财务智慧预警平台采购项目</w:t>
      </w:r>
      <w:r>
        <w:rPr>
          <w:rFonts w:hint="eastAsia" w:ascii="方正仿宋_GBK" w:hAnsi="方正仿宋_GBK" w:eastAsia="方正仿宋_GBK" w:cs="方正仿宋_GBK"/>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垫江县砚台镇百胜社区股份经济合作联合社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农村集体经济组织财务智慧预警平台</w:t>
      </w:r>
      <w:r>
        <w:rPr>
          <w:rFonts w:hint="eastAsia" w:ascii="方正仿宋_GBK" w:hAnsi="方正仿宋_GBK" w:eastAsia="方正仿宋_GBK" w:cs="方正仿宋_GBK"/>
          <w:sz w:val="21"/>
          <w:szCs w:val="21"/>
          <w:u w:val="single"/>
        </w:rPr>
        <w:t>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8"/>
        <w:tblW w:w="7275" w:type="dxa"/>
        <w:tblInd w:w="542" w:type="dxa"/>
        <w:tblLayout w:type="fixed"/>
        <w:tblCellMar>
          <w:top w:w="0" w:type="dxa"/>
          <w:left w:w="108" w:type="dxa"/>
          <w:bottom w:w="0" w:type="dxa"/>
          <w:right w:w="108" w:type="dxa"/>
        </w:tblCellMar>
      </w:tblPr>
      <w:tblGrid>
        <w:gridCol w:w="2635"/>
        <w:gridCol w:w="1592"/>
        <w:gridCol w:w="1472"/>
        <w:gridCol w:w="1576"/>
      </w:tblGrid>
      <w:tr>
        <w:tblPrEx>
          <w:tblCellMar>
            <w:top w:w="0" w:type="dxa"/>
            <w:left w:w="108" w:type="dxa"/>
            <w:bottom w:w="0" w:type="dxa"/>
            <w:right w:w="108" w:type="dxa"/>
          </w:tblCellMar>
        </w:tblPrEx>
        <w:trPr>
          <w:trHeight w:val="900" w:hRule="atLeast"/>
        </w:trPr>
        <w:tc>
          <w:tcPr>
            <w:tcW w:w="2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lang w:eastAsia="zh-CN"/>
              </w:rPr>
            </w:pPr>
            <w:r>
              <w:rPr>
                <w:rFonts w:hint="eastAsia" w:ascii="方正仿宋_GBK" w:hAnsi="方正仿宋_GBK" w:eastAsia="方正仿宋_GBK" w:cs="方正仿宋_GBK"/>
                <w:b/>
                <w:bCs/>
                <w:color w:val="000000"/>
                <w:kern w:val="0"/>
                <w:sz w:val="21"/>
                <w:szCs w:val="21"/>
                <w:lang w:eastAsia="zh-CN"/>
              </w:rPr>
              <w:t>采购内容</w:t>
            </w:r>
          </w:p>
        </w:tc>
        <w:tc>
          <w:tcPr>
            <w:tcW w:w="15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lang w:eastAsia="zh-CN"/>
              </w:rPr>
            </w:pPr>
            <w:r>
              <w:rPr>
                <w:rFonts w:hint="eastAsia" w:ascii="方正仿宋_GBK" w:hAnsi="方正仿宋_GBK" w:eastAsia="方正仿宋_GBK" w:cs="方正仿宋_GBK"/>
                <w:b/>
                <w:bCs/>
                <w:color w:val="000000"/>
                <w:kern w:val="0"/>
                <w:sz w:val="18"/>
                <w:szCs w:val="18"/>
                <w:lang w:eastAsia="zh-CN"/>
              </w:rPr>
              <w:t>（单位：元）</w:t>
            </w:r>
          </w:p>
        </w:tc>
        <w:tc>
          <w:tcPr>
            <w:tcW w:w="14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w:t>
            </w:r>
            <w:r>
              <w:rPr>
                <w:rFonts w:hint="eastAsia" w:ascii="方正仿宋_GBK" w:hAnsi="方正仿宋_GBK" w:eastAsia="方正仿宋_GBK" w:cs="方正仿宋_GBK"/>
                <w:b/>
                <w:bCs/>
                <w:color w:val="000000"/>
                <w:kern w:val="0"/>
                <w:sz w:val="18"/>
                <w:szCs w:val="18"/>
                <w:lang w:eastAsia="zh-CN"/>
              </w:rPr>
              <w:t>（单位：元）</w:t>
            </w:r>
          </w:p>
        </w:tc>
        <w:tc>
          <w:tcPr>
            <w:tcW w:w="1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w:t>
            </w:r>
          </w:p>
        </w:tc>
      </w:tr>
      <w:tr>
        <w:tblPrEx>
          <w:tblCellMar>
            <w:top w:w="0" w:type="dxa"/>
            <w:left w:w="108" w:type="dxa"/>
            <w:bottom w:w="0" w:type="dxa"/>
            <w:right w:w="108" w:type="dxa"/>
          </w:tblCellMar>
        </w:tblPrEx>
        <w:trPr>
          <w:trHeight w:val="900" w:hRule="atLeast"/>
        </w:trPr>
        <w:tc>
          <w:tcPr>
            <w:tcW w:w="2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农村集体经济组织财务智慧预警平台</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50000</w:t>
            </w:r>
          </w:p>
        </w:tc>
        <w:tc>
          <w:tcPr>
            <w:tcW w:w="1472"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乡村振兴补助资金。</w:t>
      </w:r>
    </w:p>
    <w:p>
      <w:pPr>
        <w:pStyle w:val="4"/>
        <w:pageBreakBefore w:val="0"/>
        <w:widowControl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textAlignment w:val="auto"/>
        <w:outlineLvl w:val="9"/>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21"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b/>
          <w:bCs/>
          <w:sz w:val="21"/>
          <w:szCs w:val="21"/>
          <w:lang w:val="en-US" w:eastAsia="zh-CN"/>
        </w:rPr>
        <w:t>3.6</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i w:val="0"/>
          <w:caps w:val="0"/>
          <w:color w:val="222222"/>
          <w:spacing w:val="0"/>
          <w:sz w:val="21"/>
          <w:szCs w:val="21"/>
          <w:shd w:val="clear" w:fill="F5F5F5"/>
        </w:rPr>
        <w:t>本项目的特定资格要求</w:t>
      </w:r>
      <w:r>
        <w:rPr>
          <w:rFonts w:hint="eastAsia" w:ascii="方正仿宋_GBK" w:hAnsi="方正仿宋_GBK" w:eastAsia="方正仿宋_GBK" w:cs="方正仿宋_GBK"/>
          <w:i w:val="0"/>
          <w:caps w:val="0"/>
          <w:color w:val="222222"/>
          <w:spacing w:val="0"/>
          <w:sz w:val="21"/>
          <w:szCs w:val="21"/>
          <w:shd w:val="clear" w:fill="F5F5F5"/>
          <w:lang w:eastAsia="zh-CN"/>
        </w:rPr>
        <w:t>：投标人须具备软件企业认定证书或软件能力成熟度模型集成（CMMI）认证证书。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28"/>
          <w:szCs w:val="28"/>
          <w:lang w:val="en-US" w:eastAsia="zh-CN"/>
        </w:rPr>
        <w:t>4.</w:t>
      </w:r>
      <w:bookmarkEnd w:id="7"/>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8</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21</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32"/>
          <w:szCs w:val="32"/>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14:textFill>
            <w14:solidFill>
              <w14:schemeClr w14:val="tx1"/>
            </w14:solidFill>
          </w14:textFill>
        </w:rPr>
        <w:t>9</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14:textFill>
            <w14:solidFill>
              <w14:schemeClr w14:val="tx1"/>
            </w14:solidFill>
          </w14:textFill>
        </w:rPr>
        <w:t>30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14:textFill>
            <w14:solidFill>
              <w14:schemeClr w14:val="tx1"/>
            </w14:solidFill>
          </w14:textFill>
        </w:rPr>
        <w:t>10:00。</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垫江县砚台镇人民政府一楼大会场</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2025年8月29日10:00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一楼大会场</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3"/>
      <w:bookmarkStart w:id="10" w:name="_Toc465084024"/>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垫江县砚台镇百胜社区股份经济合作联合社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地  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垫江县砚台镇百胜社区党群服务中心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李清文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31025"/>
      <w:bookmarkStart w:id="14" w:name="_Toc465084026"/>
    </w:p>
    <w:p>
      <w:pPr>
        <w:pStyle w:val="2"/>
        <w:rPr>
          <w:rFonts w:hint="eastAsia" w:ascii="方正仿宋_GBK" w:hAnsi="方正仿宋_GBK" w:eastAsia="方正仿宋_GBK" w:cs="方正仿宋_GBK"/>
          <w:lang w:val="en-US" w:eastAsia="zh-CN"/>
        </w:rPr>
      </w:pPr>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本项目旨在采购一套功能完备的农村集体经济组织财务智慧预警平台，实现对财务数据的实时监测、智能分析与风险预警。平台需具备多维度数据分析能力，可自定义预警指标与阈值，及时准确推送预警信息，提供可视化报表与决策支持功能，确保农村集体经济组织财务管理的规范与安全。</w:t>
      </w:r>
      <w:r>
        <w:rPr>
          <w:rFonts w:hint="eastAsia" w:ascii="方正仿宋_GBK" w:hAnsi="方正仿宋_GBK" w:eastAsia="方正仿宋_GBK" w:cs="方正仿宋_GBK"/>
          <w:sz w:val="21"/>
          <w:szCs w:val="21"/>
          <w:lang w:eastAsia="zh-CN"/>
        </w:rPr>
        <w:t>具体技术要求如下：</w:t>
      </w:r>
    </w:p>
    <w:p>
      <w:pPr>
        <w:pStyle w:val="2"/>
        <w:keepNext w:val="0"/>
        <w:keepLines w:val="0"/>
        <w:pageBreakBefore w:val="0"/>
        <w:widowControl w:val="0"/>
        <w:kinsoku/>
        <w:wordWrap/>
        <w:overflowPunct/>
        <w:topLinePunct w:val="0"/>
        <w:autoSpaceDE/>
        <w:autoSpaceDN/>
        <w:bidi w:val="0"/>
        <w:adjustRightInd/>
        <w:snapToGrid/>
        <w:spacing w:after="0" w:line="380" w:lineRule="exact"/>
        <w:textAlignment w:val="auto"/>
        <w:outlineLvl w:val="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系统功能要求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1.1 账务处理</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1.1.1支持按照《农村集体经济组织会计制度》预设标准会计科目，并允许根据实际业务灵活自定义二级、三级科目，满足不同农村集体经济组织的个性化核算需求。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1.1.2提供便捷的凭证录入功能，支持自动校验会计科目，避免录入错误；</w:t>
      </w:r>
      <w:r>
        <w:rPr>
          <w:rFonts w:hint="eastAsia" w:ascii="方正仿宋_GBK" w:hAnsi="方正仿宋_GBK" w:eastAsia="方正仿宋_GBK" w:cs="方正仿宋_GBK"/>
          <w:color w:val="auto"/>
          <w:lang w:val="en-US" w:eastAsia="zh-CN"/>
        </w:rPr>
        <w:t>支持原始凭证的批量扫描导入</w:t>
      </w:r>
      <w:r>
        <w:rPr>
          <w:rFonts w:hint="eastAsia" w:ascii="方正仿宋_GBK" w:hAnsi="方正仿宋_GBK" w:eastAsia="方正仿宋_GBK" w:cs="方正仿宋_GBK"/>
          <w:lang w:val="en-US" w:eastAsia="zh-CN"/>
        </w:rPr>
        <w:t>、修改、审核、记账、作废、红冲等操作。能根据录入的凭证自动生成总账、明细账、日记账等各类账簿，方便随时查询和核对账目。</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1.1.3实现期末自动结账、转账、分摊费用等功能，确保财务数据的准确结转，并生成期末财务报表，如收入支出表、现金流量表等。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lang w:eastAsia="zh-CN"/>
        </w:rPr>
        <w:t>财务分析与决策支持</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1.2.1</w:t>
      </w:r>
      <w:r>
        <w:rPr>
          <w:rFonts w:hint="eastAsia" w:ascii="方正仿宋_GBK" w:hAnsi="方正仿宋_GBK" w:eastAsia="方正仿宋_GBK" w:cs="方正仿宋_GBK"/>
          <w:lang w:eastAsia="zh-CN"/>
        </w:rPr>
        <w:t>多维度分析：支持从多个维度对财务数据进行分析，如时间维度（年度、季度、月度）、组织维度（</w:t>
      </w:r>
      <w:r>
        <w:rPr>
          <w:rFonts w:hint="eastAsia" w:ascii="方正仿宋_GBK" w:hAnsi="方正仿宋_GBK" w:eastAsia="方正仿宋_GBK" w:cs="方正仿宋_GBK"/>
          <w:color w:val="auto"/>
          <w:lang w:val="en-US" w:eastAsia="zh-CN"/>
        </w:rPr>
        <w:t>村集体联合</w:t>
      </w:r>
      <w:r>
        <w:rPr>
          <w:rFonts w:hint="eastAsia" w:ascii="方正仿宋_GBK" w:hAnsi="方正仿宋_GBK" w:eastAsia="方正仿宋_GBK" w:cs="方正仿宋_GBK"/>
          <w:lang w:eastAsia="zh-CN"/>
        </w:rPr>
        <w:t>社、强村公司）、科目维度等，满足不同层次管理人员的分析需求。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1.2.2</w:t>
      </w:r>
      <w:r>
        <w:rPr>
          <w:rFonts w:hint="eastAsia" w:ascii="方正仿宋_GBK" w:hAnsi="方正仿宋_GBK" w:eastAsia="方正仿宋_GBK" w:cs="方正仿宋_GBK"/>
          <w:lang w:eastAsia="zh-CN"/>
        </w:rPr>
        <w:t>数据分析模型：内置丰富的数据分析模型，如趋势分析、对比分析、结构分析、比率分析等，通过可视化的方式展示分析结果，为管理人员提供直观、准确的决策依据。</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1.2.3</w:t>
      </w:r>
      <w:r>
        <w:rPr>
          <w:rFonts w:hint="eastAsia" w:ascii="方正仿宋_GBK" w:hAnsi="方正仿宋_GBK" w:eastAsia="方正仿宋_GBK" w:cs="方正仿宋_GBK"/>
          <w:lang w:eastAsia="zh-CN"/>
        </w:rPr>
        <w:t>预测与模拟：利用历史财务数据和数据分析模型，对农村集体经济组织的财务状况进行预测和模拟，帮助管理人员提前制定应对策略，防范财务风险。</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val="en-US" w:eastAsia="zh-CN"/>
        </w:rPr>
        <w:t xml:space="preserve">1.3 </w:t>
      </w:r>
      <w:r>
        <w:rPr>
          <w:rFonts w:hint="eastAsia" w:ascii="方正仿宋_GBK" w:hAnsi="方正仿宋_GBK" w:eastAsia="方正仿宋_GBK" w:cs="方正仿宋_GBK"/>
          <w:b/>
          <w:bCs/>
          <w:lang w:eastAsia="zh-CN"/>
        </w:rPr>
        <w:t>智能预警功能</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1.3.1</w:t>
      </w:r>
      <w:r>
        <w:rPr>
          <w:rFonts w:hint="eastAsia" w:ascii="方正仿宋_GBK" w:hAnsi="方正仿宋_GBK" w:eastAsia="方正仿宋_GBK" w:cs="方正仿宋_GBK"/>
          <w:lang w:eastAsia="zh-CN"/>
        </w:rPr>
        <w:t>预警指标设定：提供灵活的预警指标设置功能，可根据农村集体经济组织的实际情况和管理需求，自定义各类财务预警指标，如流动比率、资金周转率、费用支出占比等。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1.3.2</w:t>
      </w:r>
      <w:r>
        <w:rPr>
          <w:rFonts w:hint="eastAsia" w:ascii="方正仿宋_GBK" w:hAnsi="方正仿宋_GBK" w:eastAsia="方正仿宋_GBK" w:cs="方正仿宋_GBK"/>
          <w:lang w:eastAsia="zh-CN"/>
        </w:rPr>
        <w:t>实时监测与预警：对财务数据进行实时监测，当发现数据超出预设的预警指标范围时，系统能够立即发出预警信号</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如异常支出、原始凭证要件不齐等）</w:t>
      </w:r>
      <w:r>
        <w:rPr>
          <w:rFonts w:hint="eastAsia" w:ascii="方正仿宋_GBK" w:hAnsi="方正仿宋_GBK" w:eastAsia="方正仿宋_GBK" w:cs="方正仿宋_GBK"/>
          <w:lang w:eastAsia="zh-CN"/>
        </w:rPr>
        <w:t>。预警方式包括但不限于弹窗提醒、短信通知、邮件推送等，确保相关管理人员能够及时获取预警信息。</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1.3.3</w:t>
      </w:r>
      <w:r>
        <w:rPr>
          <w:rFonts w:hint="eastAsia" w:ascii="方正仿宋_GBK" w:hAnsi="方正仿宋_GBK" w:eastAsia="方正仿宋_GBK" w:cs="方正仿宋_GBK"/>
          <w:lang w:eastAsia="zh-CN"/>
        </w:rPr>
        <w:t>预警分析与处理：针对预警信息，系统应提供详细的分析报告，帮助管理人员快速了解问题的根源和影响程度。同时，支持对预警事项进行标记、分类和跟踪处理，记录处理过程和结果，形成闭环管理。</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1.4 </w:t>
      </w:r>
      <w:r>
        <w:rPr>
          <w:rFonts w:hint="eastAsia" w:ascii="方正仿宋_GBK" w:hAnsi="方正仿宋_GBK" w:eastAsia="方正仿宋_GBK" w:cs="方正仿宋_GBK"/>
          <w:b/>
          <w:bCs/>
          <w:lang w:eastAsia="zh-CN"/>
        </w:rPr>
        <w:t>系统管理与权限控制</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1.4.1</w:t>
      </w:r>
      <w:r>
        <w:rPr>
          <w:rFonts w:hint="eastAsia" w:ascii="方正仿宋_GBK" w:hAnsi="方正仿宋_GBK" w:eastAsia="方正仿宋_GBK" w:cs="方正仿宋_GBK"/>
          <w:lang w:eastAsia="zh-CN"/>
        </w:rPr>
        <w:t>用户管理：实现对平台用户的统一管理，包括用户注册、登录、密码重置、角色分配等功能。支持批量导入用户信息，提高用户管理效率。</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1.4.2</w:t>
      </w:r>
      <w:r>
        <w:rPr>
          <w:rFonts w:hint="eastAsia" w:ascii="方正仿宋_GBK" w:hAnsi="方正仿宋_GBK" w:eastAsia="方正仿宋_GBK" w:cs="方正仿宋_GBK"/>
          <w:lang w:eastAsia="zh-CN"/>
        </w:rPr>
        <w:t>权限控制：采用严格的权限控制机制，根据用户的角色和职责，为其分配相应的操作权限和数据访问权限。确保只有授权用户能够访问和操作敏感财务数据，保障数据安全。</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1.4.3</w:t>
      </w:r>
      <w:r>
        <w:rPr>
          <w:rFonts w:hint="eastAsia" w:ascii="方正仿宋_GBK" w:hAnsi="方正仿宋_GBK" w:eastAsia="方正仿宋_GBK" w:cs="方正仿宋_GBK"/>
          <w:lang w:eastAsia="zh-CN"/>
        </w:rPr>
        <w:t>系统配置：提供系统参数配置、数据备份与恢复、日志管理等功能，方便管理员对平台进行日常维护和管理。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8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lang w:eastAsia="zh-CN"/>
        </w:rPr>
        <w:t>性能要求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2.1 </w:t>
      </w:r>
      <w:r>
        <w:rPr>
          <w:rFonts w:hint="eastAsia" w:ascii="方正仿宋_GBK" w:hAnsi="方正仿宋_GBK" w:eastAsia="方正仿宋_GBK" w:cs="方正仿宋_GBK"/>
          <w:b/>
          <w:bCs/>
          <w:lang w:eastAsia="zh-CN"/>
        </w:rPr>
        <w:t>响应时间：</w:t>
      </w:r>
      <w:r>
        <w:rPr>
          <w:rFonts w:hint="eastAsia" w:ascii="方正仿宋_GBK" w:hAnsi="方正仿宋_GBK" w:eastAsia="方正仿宋_GBK" w:cs="方正仿宋_GBK"/>
          <w:lang w:eastAsia="zh-CN"/>
        </w:rPr>
        <w:t>系统应具备快速的响应能力，在正常业务负载情况下，用户操作的平均响应时间不超过 3 秒，最大响应时间不超过 5 秒。</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2.2 </w:t>
      </w:r>
      <w:r>
        <w:rPr>
          <w:rFonts w:hint="eastAsia" w:ascii="方正仿宋_GBK" w:hAnsi="方正仿宋_GBK" w:eastAsia="方正仿宋_GBK" w:cs="方正仿宋_GBK"/>
          <w:b/>
          <w:bCs/>
          <w:lang w:eastAsia="zh-CN"/>
        </w:rPr>
        <w:t>并发处理能力</w:t>
      </w:r>
      <w:r>
        <w:rPr>
          <w:rFonts w:hint="eastAsia" w:ascii="方正仿宋_GBK" w:hAnsi="方正仿宋_GBK" w:eastAsia="方正仿宋_GBK" w:cs="方正仿宋_GBK"/>
          <w:b/>
          <w:bCs/>
          <w:color w:val="auto"/>
          <w:lang w:eastAsia="zh-CN"/>
        </w:rPr>
        <w:t>：</w:t>
      </w:r>
      <w:r>
        <w:rPr>
          <w:rFonts w:hint="eastAsia" w:ascii="方正仿宋_GBK" w:hAnsi="方正仿宋_GBK" w:eastAsia="方正仿宋_GBK" w:cs="方正仿宋_GBK"/>
          <w:color w:val="auto"/>
          <w:lang w:eastAsia="zh-CN"/>
        </w:rPr>
        <w:t>能够支持至少</w:t>
      </w:r>
      <w:r>
        <w:rPr>
          <w:rFonts w:hint="eastAsia" w:ascii="方正仿宋_GBK" w:hAnsi="方正仿宋_GBK" w:eastAsia="方正仿宋_GBK" w:cs="方正仿宋_GBK"/>
          <w:color w:val="auto"/>
          <w:lang w:val="en-US" w:eastAsia="zh-CN"/>
        </w:rPr>
        <w:t>50</w:t>
      </w:r>
      <w:r>
        <w:rPr>
          <w:rFonts w:hint="eastAsia" w:ascii="方正仿宋_GBK" w:hAnsi="方正仿宋_GBK" w:eastAsia="方正仿宋_GBK" w:cs="方正仿宋_GBK"/>
          <w:color w:val="auto"/>
          <w:lang w:eastAsia="zh-CN"/>
        </w:rPr>
        <w:t>个用户同时在线并发操作，</w:t>
      </w:r>
      <w:r>
        <w:rPr>
          <w:rFonts w:hint="eastAsia" w:ascii="方正仿宋_GBK" w:hAnsi="方正仿宋_GBK" w:eastAsia="方正仿宋_GBK" w:cs="方正仿宋_GBK"/>
          <w:lang w:eastAsia="zh-CN"/>
        </w:rPr>
        <w:t>确保系统在高并发情况下的稳定性和性能不受影响。</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2.3 </w:t>
      </w:r>
      <w:r>
        <w:rPr>
          <w:rFonts w:hint="eastAsia" w:ascii="方正仿宋_GBK" w:hAnsi="方正仿宋_GBK" w:eastAsia="方正仿宋_GBK" w:cs="方正仿宋_GBK"/>
          <w:b/>
          <w:bCs/>
          <w:lang w:eastAsia="zh-CN"/>
        </w:rPr>
        <w:t>数据存储与处理能力：</w:t>
      </w:r>
      <w:r>
        <w:rPr>
          <w:rFonts w:hint="eastAsia" w:ascii="方正仿宋_GBK" w:hAnsi="方正仿宋_GBK" w:eastAsia="方正仿宋_GBK" w:cs="方正仿宋_GBK"/>
          <w:lang w:eastAsia="zh-CN"/>
        </w:rPr>
        <w:t>具备强大的数据存储和处理能力，能够存储农村集体经济组织多年的财务数据，并快速处理大规模的数据查询和分析请求。</w:t>
      </w:r>
    </w:p>
    <w:p>
      <w:pPr>
        <w:pStyle w:val="2"/>
        <w:keepNext w:val="0"/>
        <w:keepLines w:val="0"/>
        <w:pageBreakBefore w:val="0"/>
        <w:widowControl w:val="0"/>
        <w:kinsoku/>
        <w:wordWrap/>
        <w:overflowPunct/>
        <w:topLinePunct w:val="0"/>
        <w:autoSpaceDE/>
        <w:autoSpaceDN/>
        <w:bidi w:val="0"/>
        <w:adjustRightInd/>
        <w:snapToGrid/>
        <w:spacing w:after="0" w:line="38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z w:val="28"/>
          <w:szCs w:val="28"/>
          <w:lang w:val="en-US" w:eastAsia="zh-CN"/>
        </w:rPr>
        <w:t>3.</w:t>
      </w:r>
      <w:r>
        <w:rPr>
          <w:rFonts w:hint="eastAsia" w:ascii="方正仿宋_GBK" w:hAnsi="方正仿宋_GBK" w:eastAsia="方正仿宋_GBK" w:cs="方正仿宋_GBK"/>
          <w:b/>
          <w:bCs/>
          <w:sz w:val="28"/>
          <w:szCs w:val="28"/>
          <w:lang w:eastAsia="zh-CN"/>
        </w:rPr>
        <w:t>安全要求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3.1 </w:t>
      </w:r>
      <w:r>
        <w:rPr>
          <w:rFonts w:hint="eastAsia" w:ascii="方正仿宋_GBK" w:hAnsi="方正仿宋_GBK" w:eastAsia="方正仿宋_GBK" w:cs="方正仿宋_GBK"/>
          <w:b/>
          <w:bCs/>
          <w:lang w:eastAsia="zh-CN"/>
        </w:rPr>
        <w:t>数据加密：</w:t>
      </w:r>
      <w:r>
        <w:rPr>
          <w:rFonts w:hint="eastAsia" w:ascii="方正仿宋_GBK" w:hAnsi="方正仿宋_GBK" w:eastAsia="方正仿宋_GBK" w:cs="方正仿宋_GBK"/>
          <w:lang w:eastAsia="zh-CN"/>
        </w:rPr>
        <w:t>对平台中的敏感财务数据进行加密存储和传输，防止数据泄露和篡改。采用符合国家标准的加密算法，如SSL/TLS加密协议等。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3.2 </w:t>
      </w:r>
      <w:r>
        <w:rPr>
          <w:rFonts w:hint="eastAsia" w:ascii="方正仿宋_GBK" w:hAnsi="方正仿宋_GBK" w:eastAsia="方正仿宋_GBK" w:cs="方正仿宋_GBK"/>
          <w:b/>
          <w:bCs/>
          <w:lang w:eastAsia="zh-CN"/>
        </w:rPr>
        <w:t>身份认证与授权：</w:t>
      </w:r>
      <w:r>
        <w:rPr>
          <w:rFonts w:hint="eastAsia" w:ascii="方正仿宋_GBK" w:hAnsi="方正仿宋_GBK" w:eastAsia="方正仿宋_GBK" w:cs="方正仿宋_GBK"/>
          <w:lang w:eastAsia="zh-CN"/>
        </w:rPr>
        <w:t>通过多种身份认证方式（如用户名 / 密码、短信验证码、指纹识别等）确保用户身份的真实性和合法性。结合严格的权限控制机制，防止非法用户访问和操作平台数据。</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3.3 </w:t>
      </w:r>
      <w:r>
        <w:rPr>
          <w:rFonts w:hint="eastAsia" w:ascii="方正仿宋_GBK" w:hAnsi="方正仿宋_GBK" w:eastAsia="方正仿宋_GBK" w:cs="方正仿宋_GBK"/>
          <w:b/>
          <w:bCs/>
          <w:lang w:eastAsia="zh-CN"/>
        </w:rPr>
        <w:t>安全审计：</w:t>
      </w:r>
      <w:r>
        <w:rPr>
          <w:rFonts w:hint="eastAsia" w:ascii="方正仿宋_GBK" w:hAnsi="方正仿宋_GBK" w:eastAsia="方正仿宋_GBK" w:cs="方正仿宋_GBK"/>
          <w:lang w:eastAsia="zh-CN"/>
        </w:rPr>
        <w:t>建立完善的安全审计机制，对平台用户的所有操作进行详细记录，包括操作时间、操作内容、操作人员等信息。以便在发生安全事件时能够进行追溯和调查。</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3.4 </w:t>
      </w:r>
      <w:r>
        <w:rPr>
          <w:rFonts w:hint="eastAsia" w:ascii="方正仿宋_GBK" w:hAnsi="方正仿宋_GBK" w:eastAsia="方正仿宋_GBK" w:cs="方正仿宋_GBK"/>
          <w:b/>
          <w:bCs/>
          <w:lang w:eastAsia="zh-CN"/>
        </w:rPr>
        <w:t>系统漏洞管理：</w:t>
      </w:r>
      <w:r>
        <w:rPr>
          <w:rFonts w:hint="eastAsia" w:ascii="方正仿宋_GBK" w:hAnsi="方正仿宋_GBK" w:eastAsia="方正仿宋_GBK" w:cs="方正仿宋_GBK"/>
          <w:lang w:eastAsia="zh-CN"/>
        </w:rPr>
        <w:t>定期对系统进行安全漏洞扫描和修复，及时更新系统的安全补丁，确保系统的安全性和稳定性。</w:t>
      </w:r>
    </w:p>
    <w:p>
      <w:pPr>
        <w:pStyle w:val="2"/>
        <w:keepNext w:val="0"/>
        <w:keepLines w:val="0"/>
        <w:pageBreakBefore w:val="0"/>
        <w:widowControl w:val="0"/>
        <w:kinsoku/>
        <w:wordWrap/>
        <w:overflowPunct/>
        <w:topLinePunct w:val="0"/>
        <w:autoSpaceDE/>
        <w:autoSpaceDN/>
        <w:bidi w:val="0"/>
        <w:adjustRightInd/>
        <w:snapToGrid/>
        <w:spacing w:after="0" w:line="38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eastAsia="zh-CN"/>
        </w:rPr>
        <w:t>兼容性要求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4.1 </w:t>
      </w:r>
      <w:r>
        <w:rPr>
          <w:rFonts w:hint="eastAsia" w:ascii="方正仿宋_GBK" w:hAnsi="方正仿宋_GBK" w:eastAsia="方正仿宋_GBK" w:cs="方正仿宋_GBK"/>
          <w:b/>
          <w:bCs/>
          <w:lang w:eastAsia="zh-CN"/>
        </w:rPr>
        <w:t>操作系统兼容性：</w:t>
      </w:r>
      <w:r>
        <w:rPr>
          <w:rFonts w:hint="eastAsia" w:ascii="方正仿宋_GBK" w:hAnsi="方正仿宋_GBK" w:eastAsia="方正仿宋_GBK" w:cs="方正仿宋_GBK"/>
          <w:lang w:eastAsia="zh-CN"/>
        </w:rPr>
        <w:t>支持主流的操作系统，如 Windows Server、Linux 等，确保平台能够在不同的操作系统环境下稳定运行。</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4.2</w:t>
      </w:r>
      <w:r>
        <w:rPr>
          <w:rFonts w:hint="eastAsia" w:ascii="方正仿宋_GBK" w:hAnsi="方正仿宋_GBK" w:eastAsia="方正仿宋_GBK" w:cs="方正仿宋_GBK"/>
          <w:b/>
          <w:bCs/>
          <w:lang w:eastAsia="zh-CN"/>
        </w:rPr>
        <w:t>浏览器兼容性：</w:t>
      </w:r>
      <w:r>
        <w:rPr>
          <w:rFonts w:hint="eastAsia" w:ascii="方正仿宋_GBK" w:hAnsi="方正仿宋_GBK" w:eastAsia="方正仿宋_GBK" w:cs="方正仿宋_GBK"/>
          <w:lang w:eastAsia="zh-CN"/>
        </w:rPr>
        <w:t>兼容常见的浏览器，如Chrome、Firefox、Edge、360 浏览器等，用户能够使用不同的浏览器方便地访问平台。</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4.3 </w:t>
      </w:r>
      <w:r>
        <w:rPr>
          <w:rFonts w:hint="eastAsia" w:ascii="方正仿宋_GBK" w:hAnsi="方正仿宋_GBK" w:eastAsia="方正仿宋_GBK" w:cs="方正仿宋_GBK"/>
          <w:b/>
          <w:bCs/>
          <w:lang w:eastAsia="zh-CN"/>
        </w:rPr>
        <w:t>硬件兼容性：</w:t>
      </w:r>
      <w:r>
        <w:rPr>
          <w:rFonts w:hint="eastAsia" w:ascii="方正仿宋_GBK" w:hAnsi="方正仿宋_GBK" w:eastAsia="方正仿宋_GBK" w:cs="方正仿宋_GBK"/>
          <w:lang w:eastAsia="zh-CN"/>
        </w:rPr>
        <w:t>能够与农村集体经济组织现有的硬件设备（如服务器、计算机、打印机等）良好兼容，避免因硬件兼容性问题导致系统运行故障。</w:t>
      </w:r>
    </w:p>
    <w:p>
      <w:pPr>
        <w:pStyle w:val="2"/>
        <w:keepNext w:val="0"/>
        <w:keepLines w:val="0"/>
        <w:pageBreakBefore w:val="0"/>
        <w:widowControl w:val="0"/>
        <w:kinsoku/>
        <w:wordWrap/>
        <w:overflowPunct/>
        <w:topLinePunct w:val="0"/>
        <w:autoSpaceDE/>
        <w:autoSpaceDN/>
        <w:bidi w:val="0"/>
        <w:adjustRightInd/>
        <w:snapToGrid/>
        <w:spacing w:after="0" w:line="380" w:lineRule="exact"/>
        <w:textAlignment w:val="auto"/>
        <w:outlineLvl w:val="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lang w:eastAsia="zh-CN"/>
        </w:rPr>
        <w:t>售后服务要求</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5.1</w:t>
      </w:r>
      <w:r>
        <w:rPr>
          <w:rFonts w:hint="eastAsia" w:ascii="方正仿宋_GBK" w:hAnsi="方正仿宋_GBK" w:eastAsia="方正仿宋_GBK" w:cs="方正仿宋_GBK"/>
          <w:b/>
          <w:bCs/>
          <w:lang w:eastAsia="zh-CN"/>
        </w:rPr>
        <w:t>技术支持：</w:t>
      </w:r>
      <w:r>
        <w:rPr>
          <w:rFonts w:hint="eastAsia" w:ascii="方正仿宋_GBK" w:hAnsi="方正仿宋_GBK" w:eastAsia="方正仿宋_GBK" w:cs="方正仿宋_GBK"/>
          <w:lang w:eastAsia="zh-CN"/>
        </w:rPr>
        <w:t>供应商应提供 7×24 小时的技术支持服务，确保在平台出现故障时能够及时响应和解决问题。提供多种技术支持渠道，如电话、邮件、在线客服等。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5.2 </w:t>
      </w:r>
      <w:r>
        <w:rPr>
          <w:rFonts w:hint="eastAsia" w:ascii="方正仿宋_GBK" w:hAnsi="方正仿宋_GBK" w:eastAsia="方正仿宋_GBK" w:cs="方正仿宋_GBK"/>
          <w:b/>
          <w:bCs/>
          <w:lang w:eastAsia="zh-CN"/>
        </w:rPr>
        <w:t>培训服务：</w:t>
      </w:r>
      <w:r>
        <w:rPr>
          <w:rFonts w:hint="eastAsia" w:ascii="方正仿宋_GBK" w:hAnsi="方正仿宋_GBK" w:eastAsia="方正仿宋_GBK" w:cs="方正仿宋_GBK"/>
          <w:lang w:eastAsia="zh-CN"/>
        </w:rPr>
        <w:t>为农村集体经济组织的相关人员提供系统操作培训，使其能够熟练掌握平台的使用方法。培训内容包括系统功能介绍、操作演示、实际操作练习等，培训方式可采用现场培训、远程培训或在线视频培训等。</w:t>
      </w:r>
    </w:p>
    <w:p>
      <w:pPr>
        <w:pStyle w:val="2"/>
        <w:keepNext w:val="0"/>
        <w:keepLines w:val="0"/>
        <w:pageBreakBefore w:val="0"/>
        <w:widowControl w:val="0"/>
        <w:kinsoku/>
        <w:wordWrap/>
        <w:overflowPunct/>
        <w:topLinePunct w:val="0"/>
        <w:autoSpaceDE/>
        <w:autoSpaceDN/>
        <w:bidi w:val="0"/>
        <w:adjustRightInd/>
        <w:snapToGrid/>
        <w:spacing w:after="0" w:line="380" w:lineRule="exact"/>
        <w:ind w:firstLine="421" w:firstLineChars="200"/>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lang w:val="en-US" w:eastAsia="zh-CN"/>
        </w:rPr>
        <w:t xml:space="preserve">5.3 </w:t>
      </w:r>
      <w:r>
        <w:rPr>
          <w:rFonts w:hint="eastAsia" w:ascii="方正仿宋_GBK" w:hAnsi="方正仿宋_GBK" w:eastAsia="方正仿宋_GBK" w:cs="方正仿宋_GBK"/>
          <w:b/>
          <w:bCs/>
          <w:lang w:eastAsia="zh-CN"/>
        </w:rPr>
        <w:t>系统升级与维护：</w:t>
      </w:r>
      <w:r>
        <w:rPr>
          <w:rFonts w:hint="eastAsia" w:ascii="方正仿宋_GBK" w:hAnsi="方正仿宋_GBK" w:eastAsia="方正仿宋_GBK" w:cs="方正仿宋_GBK"/>
          <w:lang w:eastAsia="zh-CN"/>
        </w:rPr>
        <w:t>供应商应定期对平台进行升级和维护，修复系统漏洞，优化系统性能，增加新的功能模块。确保平台能够适应农村集体经济组织不断发展的业务需求。在系统升级过程中，应提前通知用户，并提供详细的升级说明和操作指南。</w:t>
      </w:r>
    </w:p>
    <w:p>
      <w:pPr>
        <w:pStyle w:val="3"/>
        <w:numPr>
          <w:ilvl w:val="0"/>
          <w:numId w:val="0"/>
        </w:numPr>
        <w:tabs>
          <w:tab w:val="left" w:pos="1530"/>
        </w:tabs>
        <w:spacing w:beforeLines="0" w:afterLines="0" w:line="360" w:lineRule="auto"/>
        <w:jc w:val="center"/>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5" w:name="_Toc10069"/>
      <w:bookmarkStart w:id="16" w:name="_Toc465084029"/>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15"/>
      <w:bookmarkEnd w:id="16"/>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7" w:name="_Toc10039"/>
      <w:bookmarkStart w:id="18" w:name="_Toc13389"/>
      <w:bookmarkStart w:id="19" w:name="_Toc8752"/>
      <w:bookmarkStart w:id="20" w:name="_Toc12768"/>
      <w:bookmarkStart w:id="21" w:name="_Toc6595"/>
      <w:bookmarkStart w:id="22" w:name="_Toc13728"/>
      <w:bookmarkStart w:id="23" w:name="_Toc108617787"/>
      <w:bookmarkStart w:id="24" w:name="_Toc23501"/>
      <w:bookmarkStart w:id="25" w:name="_Toc9676"/>
      <w:bookmarkStart w:id="26" w:name="_Toc22944"/>
      <w:bookmarkStart w:id="27" w:name="_Toc75793509"/>
      <w:bookmarkStart w:id="28" w:name="_Toc11380"/>
      <w:bookmarkStart w:id="29" w:name="_Toc28521"/>
      <w:bookmarkStart w:id="30" w:name="_Toc30118"/>
      <w:bookmarkStart w:id="31" w:name="_Toc21429"/>
      <w:bookmarkStart w:id="32" w:name="_Toc14029"/>
      <w:bookmarkStart w:id="33" w:name="_Toc4871"/>
      <w:bookmarkStart w:id="34" w:name="_Toc267320049"/>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w:t>
      </w:r>
      <w:r>
        <w:rPr>
          <w:rFonts w:hint="eastAsia" w:ascii="方正仿宋_GBK" w:hAnsi="方正仿宋_GBK" w:eastAsia="方正仿宋_GBK" w:cs="方正仿宋_GBK"/>
          <w:b/>
          <w:bCs w:val="0"/>
          <w:color w:val="000000" w:themeColor="text1"/>
          <w:sz w:val="28"/>
          <w:szCs w:val="28"/>
          <w:lang w:eastAsia="zh-CN"/>
          <w14:textFill>
            <w14:solidFill>
              <w14:schemeClr w14:val="tx1"/>
            </w14:solidFill>
          </w14:textFill>
        </w:rPr>
        <w:t>期限</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、交货地点及验收方式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w:t>
      </w:r>
      <w:r>
        <w:rPr>
          <w:rFonts w:hint="eastAsia" w:ascii="方正仿宋_GBK" w:hAnsi="方正仿宋_GBK" w:eastAsia="方正仿宋_GBK" w:cs="方正仿宋_GBK"/>
          <w:b/>
          <w:bCs/>
          <w:color w:val="000000" w:themeColor="text1"/>
          <w:kern w:val="0"/>
          <w:sz w:val="21"/>
          <w:szCs w:val="21"/>
          <w:lang w:eastAsia="zh-CN"/>
          <w14:textFill>
            <w14:solidFill>
              <w14:schemeClr w14:val="tx1"/>
            </w14:solidFill>
          </w14:textFill>
        </w:rPr>
        <w:t>期限</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垫江县砚台镇百胜社区党群服务中心</w:t>
      </w:r>
      <w:r>
        <w:rPr>
          <w:rFonts w:hint="eastAsia" w:ascii="方正仿宋_GBK" w:hAnsi="方正仿宋_GBK" w:eastAsia="方正仿宋_GBK" w:cs="方正仿宋_GBK"/>
          <w:color w:val="000000" w:themeColor="text1"/>
          <w:kern w:val="0"/>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b/>
          <w:bCs/>
          <w:color w:val="FF0000"/>
          <w:kern w:val="0"/>
          <w:sz w:val="21"/>
          <w:szCs w:val="21"/>
        </w:rPr>
      </w:pPr>
      <w:r>
        <w:rPr>
          <w:rFonts w:hint="eastAsia" w:ascii="方正仿宋_GBK" w:hAnsi="方正仿宋_GBK" w:eastAsia="方正仿宋_GBK" w:cs="方正仿宋_GBK"/>
          <w:b/>
          <w:bCs/>
          <w:color w:val="auto"/>
          <w:kern w:val="0"/>
          <w:sz w:val="21"/>
          <w:szCs w:val="21"/>
          <w:lang w:val="en-US" w:eastAsia="zh-CN"/>
        </w:rPr>
        <w:t xml:space="preserve">1.3 </w:t>
      </w:r>
      <w:r>
        <w:rPr>
          <w:rFonts w:hint="eastAsia" w:ascii="方正仿宋_GBK" w:hAnsi="方正仿宋_GBK" w:eastAsia="方正仿宋_GBK" w:cs="方正仿宋_GBK"/>
          <w:b/>
          <w:bCs/>
          <w:color w:val="auto"/>
          <w:kern w:val="0"/>
          <w:sz w:val="21"/>
          <w:szCs w:val="21"/>
        </w:rPr>
        <w:t>验收方式</w:t>
      </w:r>
      <w:bookmarkStart w:id="35" w:name="_Toc1484"/>
      <w:bookmarkStart w:id="36" w:name="_Toc21022"/>
      <w:bookmarkStart w:id="37" w:name="_Toc20367"/>
      <w:bookmarkStart w:id="38" w:name="_Toc7746"/>
      <w:bookmarkStart w:id="39" w:name="_Toc29436"/>
      <w:bookmarkStart w:id="40" w:name="_Toc8592"/>
      <w:bookmarkStart w:id="41" w:name="_Toc108617788"/>
      <w:bookmarkStart w:id="42" w:name="_Toc29144"/>
      <w:bookmarkStart w:id="43" w:name="_Toc13418"/>
      <w:bookmarkStart w:id="44" w:name="_Toc18152"/>
      <w:bookmarkStart w:id="45" w:name="_Toc30781"/>
      <w:bookmarkStart w:id="46" w:name="_Toc4036"/>
      <w:bookmarkStart w:id="47" w:name="_Toc22142"/>
      <w:bookmarkStart w:id="48" w:name="_Toc28679"/>
      <w:bookmarkStart w:id="49" w:name="_Toc75793510"/>
      <w:bookmarkStart w:id="50" w:name="_Toc22158"/>
      <w:bookmarkStart w:id="51" w:name="_Toc267320050"/>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1.3.1资料验收（文档审查）</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核对供应商提交的技术文档是否完整、规范，包括：平台设计方案、功能说明书、操作手册；源代码（如需）、测试报告、安全审计报告；硬件设备清单（如服务器）、软件授权证明等。</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1.3.2功能测试验收</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依据采购合同中的功能需求清单，逐项验证平台核心能力，重点包括：</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财务数据采集与整合（如对接村集体账簿、银行流水）；</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预警规则生效情况（</w:t>
      </w:r>
      <w:r>
        <w:rPr>
          <w:rFonts w:hint="eastAsia" w:ascii="方正仿宋_GBK" w:hAnsi="方正仿宋_GBK" w:eastAsia="方正仿宋_GBK" w:cs="方正仿宋_GBK"/>
          <w:color w:val="auto"/>
          <w:sz w:val="21"/>
          <w:szCs w:val="21"/>
          <w:lang w:val="en-US" w:eastAsia="zh-CN"/>
        </w:rPr>
        <w:t>如异常支出、原始凭证要件不齐等预警</w:t>
      </w:r>
      <w:r>
        <w:rPr>
          <w:rFonts w:hint="eastAsia" w:ascii="方正仿宋_GBK" w:hAnsi="方正仿宋_GBK" w:eastAsia="方正仿宋_GBK" w:cs="方正仿宋_GBK"/>
          <w:sz w:val="21"/>
          <w:szCs w:val="21"/>
          <w:lang w:val="en-US" w:eastAsia="zh-CN"/>
        </w:rPr>
        <w:t>）；</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数据分析与报表生成（如收支分析、债务监测、公开公示报表）；</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用户权限管理（分级授权、操作留痕）、数据备份与恢复功能。</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测试方式：通过模拟真实业务场景（如录入异常数据触发预警）、现场操作演示等。</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1.3.3性能与安全性验收</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性能测试：验证平台响应速度（如数据查询、预警触发延迟）、并发处理能力（多用户同时操作稳定性）、数据存储容量是否符合合同约定。</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安全性测试：检查数据加密（传输与存储）、防入侵、防篡改能力，是否通过等保测评（如三级等保），是否存在漏洞风险（可由第三方机构检测）。</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1.3.4现场部署与用户验收</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确认平台已完成实际环境部署（如服务器搭建、数据对接、网络配置），并能正常接入村集体财务系统或相关数据源。</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组织用户代表（如村会计、乡镇管理员）进行实操培训与试用，收集反馈意见，验证平台是否满足实际业务需求（如操作便捷性、预警实用性）。</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1.3.5试运行验收</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试运行期3个月，期间平台需在真实业务中稳定运行，记录问题并由供应商整改。试运行结束后，若未出现重大功能缺陷或性能问题，且用户反馈合格，可进入最终验收。</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1.3.6最终验收与文档移交</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召开验收会议，汇总各环节测试结果，参与方签字确认是否通过验收。</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验收通过后，供应商需移交完整的平台部署文件、账号密码、维护联系方式等，并签订验收报告。</w:t>
      </w:r>
    </w:p>
    <w:p>
      <w:pPr>
        <w:pStyle w:val="2"/>
        <w:keepNext w:val="0"/>
        <w:keepLines w:val="0"/>
        <w:pageBreakBefore w:val="0"/>
        <w:widowControl w:val="0"/>
        <w:kinsoku/>
        <w:wordWrap/>
        <w:overflowPunct/>
        <w:topLinePunct w:val="0"/>
        <w:autoSpaceDE/>
        <w:autoSpaceDN/>
        <w:bidi w:val="0"/>
        <w:adjustRightInd/>
        <w:spacing w:after="0" w:line="39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1"/>
          <w:szCs w:val="21"/>
          <w:lang w:val="en-US" w:eastAsia="zh-CN"/>
        </w:rPr>
        <w:t xml:space="preserve">    1.3.7若未通过验收，采购人列出问题清单，要求供应商限期整改后重新验收，直至符合要求；若多次整改仍不达标，按合同约定追究违约责任。</w:t>
      </w:r>
    </w:p>
    <w:p>
      <w:pPr>
        <w:keepNext w:val="0"/>
        <w:keepLines w:val="0"/>
        <w:pageBreakBefore w:val="0"/>
        <w:widowControl w:val="0"/>
        <w:kinsoku/>
        <w:wordWrap/>
        <w:overflowPunct/>
        <w:topLinePunct w:val="0"/>
        <w:autoSpaceDE/>
        <w:autoSpaceDN/>
        <w:bidi w:val="0"/>
        <w:adjustRightInd/>
        <w:spacing w:line="390" w:lineRule="exac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rPr>
        <w:t>报价要求</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Pr>
        <w:keepNext w:val="0"/>
        <w:keepLines w:val="0"/>
        <w:pageBreakBefore w:val="0"/>
        <w:widowControl w:val="0"/>
        <w:kinsoku/>
        <w:wordWrap/>
        <w:overflowPunct/>
        <w:topLinePunct w:val="0"/>
        <w:autoSpaceDE/>
        <w:autoSpaceDN/>
        <w:bidi w:val="0"/>
        <w:adjustRightInd/>
        <w:snapToGrid w:val="0"/>
        <w:spacing w:line="390" w:lineRule="exact"/>
        <w:ind w:firstLine="421"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b/>
          <w:bCs/>
          <w:color w:val="auto"/>
          <w:sz w:val="21"/>
          <w:szCs w:val="21"/>
          <w:lang w:val="en-US" w:eastAsia="zh-CN"/>
        </w:rPr>
        <w:t>2.1</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本次报价含</w:t>
      </w:r>
      <w:r>
        <w:rPr>
          <w:rFonts w:hint="eastAsia" w:ascii="方正仿宋_GBK" w:hAnsi="方正仿宋_GBK" w:eastAsia="方正仿宋_GBK" w:cs="方正仿宋_GBK"/>
          <w:lang w:val="en-US" w:eastAsia="zh-CN"/>
        </w:rPr>
        <w:t>软件产品费用（</w:t>
      </w:r>
      <w:r>
        <w:rPr>
          <w:rFonts w:hint="eastAsia" w:ascii="方正仿宋_GBK" w:hAnsi="方正仿宋_GBK" w:eastAsia="方正仿宋_GBK" w:cs="方正仿宋_GBK"/>
        </w:rPr>
        <w:t>平台基础功能模块费用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定制化开发费用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软件授权费用）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安全设备（如防火墙）</w:t>
      </w:r>
      <w:r>
        <w:rPr>
          <w:rFonts w:hint="eastAsia" w:ascii="方正仿宋_GBK" w:hAnsi="方正仿宋_GBK" w:eastAsia="方正仿宋_GBK" w:cs="方正仿宋_GBK"/>
          <w:lang w:eastAsia="zh-CN"/>
        </w:rPr>
        <w:t>费用、平台的</w:t>
      </w:r>
      <w:r>
        <w:rPr>
          <w:rFonts w:hint="eastAsia" w:ascii="方正仿宋_GBK" w:hAnsi="方正仿宋_GBK" w:eastAsia="方正仿宋_GBK" w:cs="方正仿宋_GBK"/>
        </w:rPr>
        <w:t>安装调试费用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数据迁移、系统对接等人工</w:t>
      </w:r>
      <w:r>
        <w:rPr>
          <w:rFonts w:hint="eastAsia" w:ascii="方正仿宋_GBK" w:hAnsi="方正仿宋_GBK" w:eastAsia="方正仿宋_GBK" w:cs="方正仿宋_GBK"/>
          <w:lang w:eastAsia="zh-CN"/>
        </w:rPr>
        <w:t>费用、</w:t>
      </w:r>
      <w:r>
        <w:rPr>
          <w:rFonts w:hint="eastAsia" w:ascii="方正仿宋_GBK" w:hAnsi="方正仿宋_GBK" w:eastAsia="方正仿宋_GBK" w:cs="方正仿宋_GBK"/>
        </w:rPr>
        <w:t>针对用户的操作培训</w:t>
      </w:r>
      <w:r>
        <w:rPr>
          <w:rFonts w:hint="eastAsia" w:ascii="方正仿宋_GBK" w:hAnsi="方正仿宋_GBK" w:eastAsia="方正仿宋_GBK" w:cs="方正仿宋_GBK"/>
          <w:lang w:eastAsia="zh-CN"/>
        </w:rPr>
        <w:t>费、质保期内的运维费用、税费以及其他不可预见的费用等一切</w:t>
      </w:r>
      <w:r>
        <w:rPr>
          <w:rFonts w:hint="eastAsia" w:ascii="方正仿宋_GBK" w:hAnsi="方正仿宋_GBK" w:eastAsia="方正仿宋_GBK" w:cs="方正仿宋_GBK"/>
        </w:rPr>
        <w:t>费用。因自身原因造成漏报、少报皆由其自行承担责任，采购人不再补偿。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p>
    <w:bookmarkEnd w:id="51"/>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52" w:name="_Toc22695"/>
      <w:bookmarkStart w:id="53" w:name="_Toc30442"/>
      <w:bookmarkStart w:id="54" w:name="_Toc19350"/>
      <w:bookmarkStart w:id="55" w:name="_Toc1008"/>
      <w:bookmarkStart w:id="56" w:name="_Toc29286"/>
      <w:bookmarkStart w:id="57" w:name="_Toc25932"/>
      <w:bookmarkStart w:id="58" w:name="_Toc75793512"/>
      <w:bookmarkStart w:id="59" w:name="_Toc8955"/>
      <w:bookmarkStart w:id="60" w:name="_Toc5174"/>
      <w:bookmarkStart w:id="61" w:name="_Toc18007"/>
      <w:bookmarkStart w:id="62" w:name="_Toc108617790"/>
      <w:bookmarkStart w:id="63" w:name="_Toc25745"/>
      <w:bookmarkStart w:id="64" w:name="_Toc21888"/>
      <w:bookmarkStart w:id="65" w:name="_Toc32722"/>
      <w:bookmarkStart w:id="66" w:name="_Toc25552"/>
      <w:bookmarkStart w:id="67" w:name="_Toc12285"/>
      <w:bookmarkStart w:id="68" w:name="_Toc267320051"/>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双方完成交付使用后，</w:t>
      </w:r>
      <w:r>
        <w:rPr>
          <w:rFonts w:hint="eastAsia" w:ascii="方正仿宋_GBK" w:hAnsi="方正仿宋_GBK" w:eastAsia="方正仿宋_GBK" w:cs="方正仿宋_GBK"/>
          <w:color w:val="000000" w:themeColor="text1"/>
          <w:sz w:val="21"/>
          <w:szCs w:val="21"/>
          <w14:textFill>
            <w14:solidFill>
              <w14:schemeClr w14:val="tx1"/>
            </w14:solidFill>
          </w14:textFill>
        </w:rPr>
        <w:t>中标人须开具有效的专用发票及相关资料交与采购人</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14:textFill>
            <w14:solidFill>
              <w14:schemeClr w14:val="tx1"/>
            </w14:solidFill>
          </w14:textFill>
        </w:rPr>
        <w:t>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69" w:name="_Toc267320052"/>
      <w:bookmarkStart w:id="70" w:name="_Toc75793513"/>
      <w:bookmarkStart w:id="71" w:name="_Toc9213"/>
      <w:bookmarkStart w:id="72" w:name="_Toc28056"/>
      <w:bookmarkStart w:id="73" w:name="_Toc11399"/>
      <w:bookmarkStart w:id="74" w:name="_Toc3565"/>
      <w:bookmarkStart w:id="75" w:name="_Toc4897"/>
      <w:bookmarkStart w:id="76" w:name="_Toc22431"/>
      <w:bookmarkStart w:id="77" w:name="_Toc3311"/>
      <w:bookmarkStart w:id="78" w:name="_Toc27144"/>
      <w:bookmarkStart w:id="79" w:name="_Toc18959"/>
      <w:bookmarkStart w:id="80" w:name="_Toc4339"/>
      <w:bookmarkStart w:id="81" w:name="_Toc10105"/>
      <w:bookmarkStart w:id="82" w:name="_Toc108617791"/>
      <w:bookmarkStart w:id="83" w:name="_Toc11060"/>
      <w:bookmarkStart w:id="84" w:name="_Toc25410"/>
      <w:bookmarkStart w:id="85" w:name="_Toc2036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auto"/>
          <w:kern w:val="0"/>
          <w:sz w:val="21"/>
          <w:szCs w:val="21"/>
        </w:rPr>
        <w:t>采购人</w:t>
      </w:r>
      <w:r>
        <w:rPr>
          <w:rFonts w:hint="eastAsia" w:ascii="方正仿宋_GBK" w:hAnsi="方正仿宋_GBK" w:eastAsia="方正仿宋_GBK" w:cs="方正仿宋_GBK"/>
          <w:color w:val="auto"/>
          <w:kern w:val="0"/>
          <w:sz w:val="21"/>
          <w:szCs w:val="21"/>
          <w:lang w:eastAsia="zh-CN"/>
        </w:rPr>
        <w:t>拥有所采购的农村集体经济组织财务智慧预警平台的所有权和使用权，</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且</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在中华人民共和国境内使用投标人提供的</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平台</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及服务时免受第三方提出的侵犯其专利权或其它知识产权的起诉。如果第三方提出侵权指控，中标人应承担由此而引起的一切法律责任和费用。</w:t>
      </w:r>
    </w:p>
    <w:p>
      <w:pPr>
        <w:rPr>
          <w:rFonts w:hint="eastAsia" w:ascii="方正仿宋_GBK" w:hAnsi="方正仿宋_GBK" w:eastAsia="方正仿宋_GBK" w:cs="方正仿宋_GBK"/>
          <w:b/>
          <w:color w:val="000000" w:themeColor="text1"/>
          <w:sz w:val="21"/>
          <w:szCs w:val="21"/>
          <w14:textFill>
            <w14:solidFill>
              <w14:schemeClr w14:val="tx1"/>
            </w14:solidFill>
          </w14:textFill>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2"/>
        <w:rPr>
          <w:rFonts w:hint="eastAsia" w:ascii="方正仿宋_GBK" w:hAnsi="方正仿宋_GBK" w:eastAsia="方正仿宋_GBK" w:cs="方正仿宋_GBK"/>
        </w:rPr>
      </w:pPr>
    </w:p>
    <w:p>
      <w:pPr>
        <w:rPr>
          <w:rFonts w:hint="eastAsia" w:ascii="方正仿宋_GBK" w:hAnsi="方正仿宋_GBK" w:eastAsia="方正仿宋_GBK" w:cs="方正仿宋_GBK"/>
        </w:rPr>
      </w:pPr>
    </w:p>
    <w:bookmarkEnd w:id="33"/>
    <w:bookmarkEnd w:id="34"/>
    <w:p>
      <w:pPr>
        <w:pStyle w:val="3"/>
        <w:numPr>
          <w:ilvl w:val="0"/>
          <w:numId w:val="1"/>
        </w:numPr>
        <w:spacing w:beforeLines="0" w:afterLines="0" w:line="240" w:lineRule="auto"/>
        <w:rPr>
          <w:rFonts w:hint="eastAsia" w:ascii="方正仿宋_GBK" w:hAnsi="方正仿宋_GBK" w:eastAsia="方正仿宋_GBK" w:cs="方正仿宋_GBK"/>
          <w:sz w:val="44"/>
          <w:szCs w:val="44"/>
        </w:rPr>
      </w:pPr>
      <w:bookmarkStart w:id="86" w:name="_Toc10768"/>
      <w:bookmarkStart w:id="87" w:name="_Toc465084037"/>
      <w:r>
        <w:rPr>
          <w:rFonts w:hint="eastAsia" w:ascii="方正仿宋_GBK" w:hAnsi="方正仿宋_GBK" w:eastAsia="方正仿宋_GBK" w:cs="方正仿宋_GBK"/>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44"/>
          <w:szCs w:val="44"/>
        </w:rPr>
        <w:t>废标条款</w:t>
      </w:r>
      <w:bookmarkEnd w:id="86"/>
      <w:bookmarkEnd w:id="87"/>
    </w:p>
    <w:p>
      <w:pPr>
        <w:pStyle w:val="4"/>
        <w:spacing w:line="400" w:lineRule="exact"/>
        <w:ind w:firstLine="481" w:firstLineChars="200"/>
        <w:rPr>
          <w:rFonts w:hint="eastAsia" w:ascii="方正仿宋_GBK" w:hAnsi="方正仿宋_GBK" w:eastAsia="方正仿宋_GBK" w:cs="方正仿宋_GBK"/>
          <w:b/>
          <w:sz w:val="24"/>
        </w:rPr>
      </w:pPr>
      <w:bookmarkStart w:id="88"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88"/>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89"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8"/>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blPrEx>
          <w:tblCellMar>
            <w:top w:w="0" w:type="dxa"/>
            <w:left w:w="108" w:type="dxa"/>
            <w:bottom w:w="0" w:type="dxa"/>
            <w:right w:w="108" w:type="dxa"/>
          </w:tblCellMar>
        </w:tblPrEx>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6"/>
          <w:rFonts w:hint="eastAsia" w:ascii="方正仿宋_GBK" w:hAnsi="方正仿宋_GBK" w:eastAsia="方正仿宋_GBK" w:cs="方正仿宋_GBK"/>
          <w:b/>
          <w:bCs/>
          <w:kern w:val="0"/>
          <w:sz w:val="21"/>
          <w:szCs w:val="21"/>
        </w:rPr>
      </w:pPr>
      <w:r>
        <w:rPr>
          <w:rStyle w:val="96"/>
          <w:rFonts w:hint="eastAsia" w:ascii="方正仿宋_GBK" w:hAnsi="方正仿宋_GBK" w:eastAsia="方正仿宋_GBK" w:cs="方正仿宋_GBK"/>
          <w:b/>
          <w:bCs/>
          <w:kern w:val="0"/>
          <w:sz w:val="21"/>
          <w:szCs w:val="21"/>
          <w:lang w:val="en-US" w:eastAsia="zh-CN"/>
        </w:rPr>
        <w:t xml:space="preserve">1.2 </w:t>
      </w:r>
      <w:r>
        <w:rPr>
          <w:rStyle w:val="96"/>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8"/>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b/>
                <w:kern w:val="0"/>
                <w:sz w:val="21"/>
                <w:szCs w:val="21"/>
              </w:rPr>
            </w:pPr>
            <w:r>
              <w:rPr>
                <w:rStyle w:val="96"/>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b/>
                <w:kern w:val="0"/>
                <w:sz w:val="21"/>
                <w:szCs w:val="21"/>
              </w:rPr>
            </w:pPr>
            <w:r>
              <w:rPr>
                <w:rStyle w:val="96"/>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b/>
                <w:kern w:val="0"/>
                <w:sz w:val="21"/>
                <w:szCs w:val="21"/>
              </w:rPr>
            </w:pPr>
            <w:r>
              <w:rPr>
                <w:rStyle w:val="96"/>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sz w:val="21"/>
                <w:szCs w:val="21"/>
              </w:rPr>
            </w:pPr>
            <w:r>
              <w:rPr>
                <w:rStyle w:val="96"/>
                <w:rFonts w:hint="eastAsia" w:ascii="方正仿宋_GBK" w:hAnsi="方正仿宋_GBK" w:eastAsia="方正仿宋_GBK" w:cs="方正仿宋_GBK"/>
                <w:sz w:val="21"/>
                <w:szCs w:val="21"/>
              </w:rPr>
              <w:t>投标报价文件</w:t>
            </w:r>
          </w:p>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sz w:val="21"/>
                <w:szCs w:val="21"/>
                <w:lang w:val="zh-CN"/>
              </w:rPr>
            </w:pPr>
            <w:r>
              <w:rPr>
                <w:rStyle w:val="96"/>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sz w:val="21"/>
                <w:szCs w:val="21"/>
                <w:lang w:val="zh-CN"/>
              </w:rPr>
              <w:t>只能在最高限价内报价，</w:t>
            </w:r>
            <w:r>
              <w:rPr>
                <w:rStyle w:val="96"/>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sz w:val="21"/>
                <w:szCs w:val="21"/>
                <w:lang w:val="zh-CN"/>
              </w:rPr>
            </w:pPr>
            <w:r>
              <w:rPr>
                <w:rStyle w:val="96"/>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报价文件</w:t>
            </w:r>
          </w:p>
          <w:p>
            <w:pPr>
              <w:snapToGrid w:val="0"/>
              <w:rPr>
                <w:rStyle w:val="96"/>
                <w:rFonts w:hint="eastAsia" w:ascii="方正仿宋_GBK" w:hAnsi="方正仿宋_GBK" w:eastAsia="方正仿宋_GBK" w:cs="方正仿宋_GBK"/>
                <w:sz w:val="21"/>
                <w:szCs w:val="21"/>
                <w:lang w:val="zh-CN"/>
              </w:rPr>
            </w:pPr>
            <w:r>
              <w:rPr>
                <w:rStyle w:val="96"/>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报价文件</w:t>
            </w:r>
          </w:p>
          <w:p>
            <w:pPr>
              <w:snapToGrid w:val="0"/>
              <w:rPr>
                <w:rStyle w:val="96"/>
                <w:rFonts w:hint="eastAsia" w:ascii="方正仿宋_GBK" w:hAnsi="方正仿宋_GBK" w:eastAsia="方正仿宋_GBK" w:cs="方正仿宋_GBK"/>
                <w:kern w:val="0"/>
                <w:sz w:val="21"/>
                <w:szCs w:val="21"/>
              </w:rPr>
            </w:pPr>
            <w:r>
              <w:rPr>
                <w:rStyle w:val="96"/>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6"/>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6"/>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6"/>
          <w:rFonts w:hint="eastAsia" w:ascii="方正仿宋_GBK" w:hAnsi="方正仿宋_GBK" w:eastAsia="方正仿宋_GBK" w:cs="方正仿宋_GBK"/>
          <w:b/>
          <w:sz w:val="21"/>
          <w:szCs w:val="21"/>
        </w:rPr>
      </w:pPr>
      <w:r>
        <w:rPr>
          <w:rStyle w:val="96"/>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6"/>
          <w:rFonts w:hint="eastAsia" w:ascii="方正仿宋_GBK" w:hAnsi="方正仿宋_GBK" w:eastAsia="方正仿宋_GBK" w:cs="方正仿宋_GBK"/>
          <w:sz w:val="21"/>
          <w:szCs w:val="21"/>
        </w:rPr>
      </w:pPr>
      <w:r>
        <w:rPr>
          <w:rStyle w:val="96"/>
          <w:rFonts w:hint="eastAsia" w:ascii="方正仿宋_GBK" w:hAnsi="方正仿宋_GBK" w:eastAsia="方正仿宋_GBK" w:cs="方正仿宋_GBK"/>
          <w:b/>
          <w:bCs/>
          <w:sz w:val="21"/>
          <w:szCs w:val="21"/>
          <w:lang w:val="en-US" w:eastAsia="zh-CN"/>
        </w:rPr>
        <w:t xml:space="preserve">1.3 </w:t>
      </w:r>
      <w:r>
        <w:rPr>
          <w:rStyle w:val="96"/>
          <w:rFonts w:hint="eastAsia" w:ascii="方正仿宋_GBK" w:hAnsi="方正仿宋_GBK" w:eastAsia="方正仿宋_GBK" w:cs="方正仿宋_GBK"/>
          <w:b/>
          <w:bCs/>
          <w:sz w:val="21"/>
          <w:szCs w:val="21"/>
        </w:rPr>
        <w:t>澄清有关问题。</w:t>
      </w:r>
      <w:r>
        <w:rPr>
          <w:rStyle w:val="96"/>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6"/>
          <w:rFonts w:hint="eastAsia" w:ascii="方正仿宋_GBK" w:hAnsi="方正仿宋_GBK" w:eastAsia="方正仿宋_GBK" w:cs="方正仿宋_GBK"/>
          <w:color w:val="000000" w:themeColor="text1"/>
          <w:sz w:val="21"/>
          <w:szCs w:val="21"/>
          <w14:textFill>
            <w14:solidFill>
              <w14:schemeClr w14:val="tx1"/>
            </w14:solidFill>
          </w14:textFill>
        </w:rPr>
      </w:pPr>
      <w:bookmarkStart w:id="90"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90"/>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。对完全满足招标比选文件（技术需求和商务要求）实质性要求的供应商报价按照由低到高的顺序依次确定中标候选人（报价最低为第一中标候选人，以此类推）。若报价有并列的，采购人随机抽取决定排名。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89"/>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28"/>
          <w:szCs w:val="28"/>
        </w:rPr>
      </w:pPr>
      <w:bookmarkStart w:id="91"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91"/>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color w:val="000000"/>
          <w:sz w:val="24"/>
        </w:rPr>
        <w:br w:type="page"/>
      </w:r>
      <w:bookmarkStart w:id="92" w:name="_Toc32155"/>
      <w:bookmarkStart w:id="93" w:name="_Toc465084042"/>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92"/>
      <w:bookmarkEnd w:id="93"/>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94"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94"/>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95"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95"/>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96"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9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1"/>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1"/>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1"/>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97"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97"/>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开标应当在竞争性比选文件中“投标邀请书”确定的时间和地点公开进行。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1"/>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98"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评标</w:t>
      </w:r>
      <w:bookmarkEnd w:id="98"/>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99"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定标</w:t>
      </w:r>
      <w:bookmarkEnd w:id="99"/>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32"/>
          <w:szCs w:val="32"/>
        </w:rPr>
      </w:pPr>
      <w:bookmarkStart w:id="100"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00"/>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01" w:name="_Toc465084053"/>
      <w:r>
        <w:rPr>
          <w:rFonts w:hint="eastAsia" w:ascii="方正仿宋_GBK" w:hAnsi="方正仿宋_GBK" w:eastAsia="方正仿宋_GBK" w:cs="方正仿宋_GBK"/>
          <w:b/>
          <w:sz w:val="28"/>
          <w:szCs w:val="28"/>
          <w:lang w:val="en-US" w:eastAsia="zh-CN"/>
        </w:rPr>
        <w:t>8.</w:t>
      </w:r>
      <w:r>
        <w:rPr>
          <w:rFonts w:hint="eastAsia" w:ascii="方正仿宋_GBK" w:hAnsi="方正仿宋_GBK" w:eastAsia="方正仿宋_GBK" w:cs="方正仿宋_GBK"/>
          <w:b/>
          <w:sz w:val="28"/>
          <w:szCs w:val="28"/>
        </w:rPr>
        <w:t>签订合同</w:t>
      </w:r>
      <w:bookmarkEnd w:id="101"/>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32"/>
          <w:szCs w:val="32"/>
        </w:rPr>
        <w:t>一、资格</w:t>
      </w:r>
      <w:r>
        <w:rPr>
          <w:rFonts w:hint="eastAsia" w:ascii="方正仿宋_GBK" w:hAnsi="方正仿宋_GBK" w:eastAsia="方正仿宋_GBK" w:cs="方正仿宋_GBK"/>
          <w:b/>
          <w:sz w:val="32"/>
          <w:szCs w:val="32"/>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rPr>
        <w:t>二、</w:t>
      </w:r>
      <w:r>
        <w:rPr>
          <w:rFonts w:hint="eastAsia" w:ascii="方正仿宋_GBK" w:hAnsi="方正仿宋_GBK" w:eastAsia="方正仿宋_GBK" w:cs="方正仿宋_GBK"/>
          <w:b/>
          <w:sz w:val="32"/>
          <w:szCs w:val="32"/>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报价明细表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02" w:name="_Toc465084059"/>
      <w:bookmarkStart w:id="103" w:name="_Toc429584884"/>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jc w:val="both"/>
        <w:rPr>
          <w:rFonts w:hint="eastAsia" w:ascii="方正仿宋_GBK" w:hAnsi="方正仿宋_GBK" w:eastAsia="方正仿宋_GBK" w:cs="方正仿宋_GBK"/>
          <w:b/>
          <w:bCs/>
          <w:sz w:val="21"/>
          <w:szCs w:val="21"/>
        </w:rPr>
      </w:pP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bookmarkEnd w:id="102"/>
    <w:bookmarkEnd w:id="103"/>
    <w:p>
      <w:pPr>
        <w:widowControl/>
        <w:jc w:val="both"/>
        <w:rPr>
          <w:rFonts w:hint="eastAsia" w:ascii="方正仿宋_GBK" w:hAnsi="方正仿宋_GBK" w:eastAsia="方正仿宋_GBK" w:cs="方正仿宋_GBK"/>
          <w:sz w:val="21"/>
          <w:szCs w:val="21"/>
        </w:rPr>
      </w:pPr>
    </w:p>
    <w:p>
      <w:pPr>
        <w:widowControl/>
        <w:ind w:firstLine="421" w:firstLineChars="200"/>
        <w:jc w:val="center"/>
        <w:rPr>
          <w:rFonts w:hint="eastAsia" w:ascii="方正仿宋_GBK" w:hAnsi="方正仿宋_GBK" w:eastAsia="方正仿宋_GBK" w:cs="方正仿宋_GBK"/>
          <w:b/>
          <w:sz w:val="21"/>
          <w:szCs w:val="21"/>
        </w:rPr>
      </w:pPr>
    </w:p>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w w:val="200"/>
          <w:kern w:val="0"/>
          <w:szCs w:val="21"/>
          <w:highlight w:val="none"/>
          <w:u w:val="singl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垫江县砚台镇百胜社区股份经济合作联合社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04" w:name="_Toc536800771"/>
      <w:bookmarkStart w:id="105" w:name="_Toc534185830"/>
      <w:bookmarkStart w:id="106" w:name="_Toc509218853"/>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04"/>
      <w:bookmarkEnd w:id="105"/>
      <w:bookmarkEnd w:id="106"/>
      <w:bookmarkStart w:id="107" w:name="_Toc224103494"/>
      <w:bookmarkStart w:id="108" w:name="_Toc277082642"/>
      <w:bookmarkStart w:id="109" w:name="_Toc287620813"/>
      <w:bookmarkStart w:id="110" w:name="_Toc287607866"/>
      <w:bookmarkStart w:id="111" w:name="_Toc430530529"/>
    </w:p>
    <w:bookmarkEnd w:id="107"/>
    <w:bookmarkEnd w:id="108"/>
    <w:bookmarkEnd w:id="109"/>
    <w:bookmarkEnd w:id="110"/>
    <w:bookmarkEnd w:id="111"/>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垫江县砚台镇百胜社区股份经济合作联合社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农村集体经济组织财务智慧预警平台采购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9"/>
        <w:tblW w:w="85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35"/>
        <w:gridCol w:w="2835"/>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2835" w:type="dxa"/>
            <w:vAlign w:val="center"/>
          </w:tcPr>
          <w:p>
            <w:pPr>
              <w:spacing w:line="500" w:lineRule="exact"/>
              <w:jc w:val="center"/>
              <w:outlineLvl w:val="0"/>
              <w:rPr>
                <w:rFonts w:hint="eastAsia" w:ascii="方正仿宋_GBK" w:hAnsi="方正仿宋_GBK" w:eastAsia="方正仿宋_GBK" w:cs="方正仿宋_GBK"/>
                <w:b/>
                <w:bCs/>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eastAsia="zh-CN"/>
                <w14:textFill>
                  <w14:solidFill>
                    <w14:schemeClr w14:val="tx1"/>
                  </w14:solidFill>
                </w14:textFill>
              </w:rPr>
              <w:t>采购内容</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最高总价限价</w:t>
            </w:r>
          </w:p>
          <w:p>
            <w:pPr>
              <w:pStyle w:val="2"/>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color w:val="000000" w:themeColor="text1"/>
                <w:sz w:val="18"/>
                <w:szCs w:val="18"/>
                <w:lang w:eastAsia="zh-CN"/>
                <w14:textFill>
                  <w14:solidFill>
                    <w14:schemeClr w14:val="tx1"/>
                  </w14:solidFill>
                </w14:textFill>
              </w:rPr>
              <w:t>（单位：元）</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报价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方正仿宋_GBK" w:hAnsi="方正仿宋_GBK" w:eastAsia="方正仿宋_GBK" w:cs="方正仿宋_GBK"/>
                <w:b/>
                <w:bCs/>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18"/>
                <w:szCs w:val="18"/>
                <w:lang w:eastAsia="zh-CN"/>
                <w14:textFill>
                  <w14:solidFill>
                    <w14:schemeClr w14:val="tx1"/>
                  </w14:solidFill>
                </w14:textFill>
              </w:rPr>
              <w:t>（单位：元）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835" w:type="dxa"/>
            <w:vAlign w:val="center"/>
          </w:tcPr>
          <w:p>
            <w:pPr>
              <w:spacing w:line="500" w:lineRule="exact"/>
              <w:jc w:val="center"/>
              <w:outlineLvl w:val="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农村集体经济组织财务智慧预警平台</w:t>
            </w:r>
            <w:r>
              <w:rPr>
                <w:rFonts w:hint="eastAsia" w:ascii="方正仿宋_GBK" w:hAnsi="方正仿宋_GBK" w:eastAsia="方正仿宋_GBK" w:cs="方正仿宋_GBK"/>
                <w:color w:val="000000"/>
                <w:sz w:val="21"/>
                <w:szCs w:val="21"/>
              </w:rPr>
              <w:t xml:space="preserve">     </w:t>
            </w:r>
          </w:p>
        </w:tc>
        <w:tc>
          <w:tcPr>
            <w:tcW w:w="2835"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50000</w:t>
            </w:r>
          </w:p>
        </w:tc>
        <w:tc>
          <w:tcPr>
            <w:tcW w:w="2835"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sz w:val="21"/>
          <w:szCs w:val="21"/>
        </w:rPr>
        <w:t>投标人（盖公章）：</w:t>
      </w:r>
      <w:r>
        <w:rPr>
          <w:rFonts w:hint="eastAsia" w:ascii="方正仿宋_GBK" w:hAnsi="方正仿宋_GBK" w:eastAsia="方正仿宋_GBK" w:cs="方正仿宋_GBK"/>
          <w:sz w:val="21"/>
          <w:szCs w:val="21"/>
          <w:lang w:val="en-US" w:eastAsia="zh-CN"/>
        </w:rPr>
        <w:t xml:space="preserve">                          </w:t>
      </w:r>
      <w:r>
        <w:rPr>
          <w:rStyle w:val="96"/>
          <w:rFonts w:hint="eastAsia" w:ascii="方正仿宋_GBK" w:hAnsi="方正仿宋_GBK" w:eastAsia="方正仿宋_GBK" w:cs="方正仿宋_GBK"/>
          <w:sz w:val="21"/>
          <w:szCs w:val="21"/>
        </w:rPr>
        <w:t>法定代表人（或法定代表人授权代表）：</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left="5985" w:leftChars="2850" w:firstLine="0"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9"/>
        <w:ind w:left="120" w:firstLine="210" w:firstLineChars="1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630" w:firstLineChars="3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项目名称：</w:t>
      </w:r>
      <w:r>
        <w:rPr>
          <w:rFonts w:hint="eastAsia" w:ascii="方正仿宋_GBK" w:hAnsi="方正仿宋_GBK" w:eastAsia="方正仿宋_GBK" w:cs="方正仿宋_GBK"/>
          <w:sz w:val="21"/>
          <w:szCs w:val="21"/>
          <w:lang w:eastAsia="zh-CN"/>
        </w:rPr>
        <w:t>农村集体经济组织财务智慧预警平台采购项目</w:t>
      </w:r>
    </w:p>
    <w:tbl>
      <w:tblPr>
        <w:tblStyle w:val="18"/>
        <w:tblW w:w="8519" w:type="dxa"/>
        <w:jc w:val="center"/>
        <w:tblLayout w:type="fixed"/>
        <w:tblCellMar>
          <w:top w:w="0" w:type="dxa"/>
          <w:left w:w="0" w:type="dxa"/>
          <w:bottom w:w="0" w:type="dxa"/>
          <w:right w:w="0" w:type="dxa"/>
        </w:tblCellMar>
      </w:tblPr>
      <w:tblGrid>
        <w:gridCol w:w="1632"/>
        <w:gridCol w:w="2337"/>
        <w:gridCol w:w="2275"/>
        <w:gridCol w:w="2275"/>
      </w:tblGrid>
      <w:tr>
        <w:tblPrEx>
          <w:tblCellMar>
            <w:top w:w="0" w:type="dxa"/>
            <w:left w:w="0" w:type="dxa"/>
            <w:bottom w:w="0" w:type="dxa"/>
            <w:right w:w="0" w:type="dxa"/>
          </w:tblCellMar>
        </w:tblPrEx>
        <w:trPr>
          <w:trHeight w:val="589" w:hRule="atLeas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条款序号</w:t>
            </w: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技术要求</w:t>
            </w: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响应情况</w:t>
            </w: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差异说明</w:t>
            </w:r>
          </w:p>
        </w:tc>
      </w:tr>
      <w:tr>
        <w:tblPrEx>
          <w:tblCellMar>
            <w:top w:w="0" w:type="dxa"/>
            <w:left w:w="0" w:type="dxa"/>
            <w:bottom w:w="0" w:type="dxa"/>
            <w:right w:w="0" w:type="dxa"/>
          </w:tblCellMar>
        </w:tblPrEx>
        <w:trPr>
          <w:trHeight w:val="1134" w:hRule="exac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p>
            <w:pPr>
              <w:snapToGrid w:val="0"/>
              <w:spacing w:before="80" w:after="80"/>
              <w:jc w:val="center"/>
              <w:rPr>
                <w:rFonts w:hint="eastAsia" w:ascii="方正仿宋_GBK" w:hAnsi="方正仿宋_GBK" w:eastAsia="方正仿宋_GBK" w:cs="方正仿宋_GBK"/>
                <w:b w:val="0"/>
                <w:bCs w:val="0"/>
                <w:sz w:val="21"/>
                <w:szCs w:val="21"/>
              </w:rPr>
            </w:pPr>
          </w:p>
          <w:p>
            <w:pPr>
              <w:snapToGrid w:val="0"/>
              <w:spacing w:before="80" w:after="80"/>
              <w:jc w:val="center"/>
              <w:rPr>
                <w:rFonts w:hint="eastAsia" w:ascii="方正仿宋_GBK" w:hAnsi="方正仿宋_GBK" w:eastAsia="方正仿宋_GBK" w:cs="方正仿宋_GBK"/>
                <w:b w:val="0"/>
                <w:bCs w:val="0"/>
                <w:sz w:val="21"/>
                <w:szCs w:val="21"/>
              </w:rPr>
            </w:pPr>
          </w:p>
          <w:p>
            <w:pPr>
              <w:snapToGrid w:val="0"/>
              <w:spacing w:before="80" w:after="80"/>
              <w:jc w:val="center"/>
              <w:rPr>
                <w:rFonts w:hint="eastAsia" w:ascii="方正仿宋_GBK" w:hAnsi="方正仿宋_GBK" w:eastAsia="方正仿宋_GBK" w:cs="方正仿宋_GBK"/>
                <w:b w:val="0"/>
                <w:bCs w:val="0"/>
                <w:sz w:val="21"/>
                <w:szCs w:val="21"/>
              </w:rPr>
            </w:pPr>
          </w:p>
          <w:p>
            <w:pPr>
              <w:snapToGrid w:val="0"/>
              <w:spacing w:before="80" w:after="80"/>
              <w:jc w:val="center"/>
              <w:rPr>
                <w:rFonts w:hint="eastAsia" w:ascii="方正仿宋_GBK" w:hAnsi="方正仿宋_GBK" w:eastAsia="方正仿宋_GBK" w:cs="方正仿宋_GBK"/>
                <w:b w:val="0"/>
                <w:bCs w:val="0"/>
                <w:sz w:val="21"/>
                <w:szCs w:val="21"/>
              </w:rPr>
            </w:pP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line="360" w:lineRule="auto"/>
              <w:rPr>
                <w:rFonts w:hint="eastAsia" w:ascii="方正仿宋_GBK" w:hAnsi="方正仿宋_GBK" w:eastAsia="方正仿宋_GBK" w:cs="方正仿宋_GBK"/>
                <w:b w:val="0"/>
                <w:bCs w:val="0"/>
                <w:color w:val="FF0000"/>
                <w:sz w:val="21"/>
                <w:szCs w:val="21"/>
              </w:rPr>
            </w:pPr>
          </w:p>
          <w:p>
            <w:pPr>
              <w:pStyle w:val="2"/>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提醒：请注明具体内容以及投标文件中具体内容的位置（页码）</w:t>
            </w: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r>
      <w:tr>
        <w:tblPrEx>
          <w:tblCellMar>
            <w:top w:w="0" w:type="dxa"/>
            <w:left w:w="0" w:type="dxa"/>
            <w:bottom w:w="0" w:type="dxa"/>
            <w:right w:w="0" w:type="dxa"/>
          </w:tblCellMar>
        </w:tblPrEx>
        <w:trPr>
          <w:trHeight w:val="1134" w:hRule="exac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r>
      <w:tr>
        <w:tblPrEx>
          <w:tblCellMar>
            <w:top w:w="0" w:type="dxa"/>
            <w:left w:w="0" w:type="dxa"/>
            <w:bottom w:w="0" w:type="dxa"/>
            <w:right w:w="0" w:type="dxa"/>
          </w:tblCellMar>
        </w:tblPrEx>
        <w:trPr>
          <w:trHeight w:val="1134" w:hRule="exac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r>
      <w:tr>
        <w:tblPrEx>
          <w:tblCellMar>
            <w:top w:w="0" w:type="dxa"/>
            <w:left w:w="0" w:type="dxa"/>
            <w:bottom w:w="0" w:type="dxa"/>
            <w:right w:w="0" w:type="dxa"/>
          </w:tblCellMar>
        </w:tblPrEx>
        <w:trPr>
          <w:trHeight w:val="1134" w:hRule="exac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r>
      <w:tr>
        <w:tblPrEx>
          <w:tblCellMar>
            <w:top w:w="0" w:type="dxa"/>
            <w:left w:w="0" w:type="dxa"/>
            <w:bottom w:w="0" w:type="dxa"/>
            <w:right w:w="0" w:type="dxa"/>
          </w:tblCellMar>
        </w:tblPrEx>
        <w:trPr>
          <w:trHeight w:val="1134" w:hRule="exact"/>
          <w:jc w:val="center"/>
        </w:trPr>
        <w:tc>
          <w:tcPr>
            <w:tcW w:w="16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33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c>
          <w:tcPr>
            <w:tcW w:w="22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napToGrid w:val="0"/>
              <w:spacing w:before="80" w:after="80"/>
              <w:jc w:val="center"/>
              <w:rPr>
                <w:rFonts w:hint="eastAsia" w:ascii="方正仿宋_GBK" w:hAnsi="方正仿宋_GBK" w:eastAsia="方正仿宋_GBK" w:cs="方正仿宋_GBK"/>
                <w:b w:val="0"/>
                <w:bCs w:val="0"/>
                <w:sz w:val="21"/>
                <w:szCs w:val="21"/>
              </w:rPr>
            </w:pPr>
          </w:p>
        </w:tc>
      </w:tr>
    </w:tbl>
    <w:p>
      <w:pPr>
        <w:pStyle w:val="2"/>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可附技术支撑资料（格式自定）。</w:t>
      </w:r>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项目名称：</w:t>
      </w:r>
      <w:r>
        <w:rPr>
          <w:rFonts w:hint="eastAsia" w:ascii="方正仿宋_GBK" w:hAnsi="方正仿宋_GBK" w:eastAsia="方正仿宋_GBK" w:cs="方正仿宋_GBK"/>
          <w:sz w:val="21"/>
          <w:szCs w:val="21"/>
          <w:lang w:eastAsia="zh-CN"/>
        </w:rPr>
        <w:t>农村集体经济组织财务智慧预警平台采购项目</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条款</w:t>
            </w: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snapToGrid w:val="0"/>
        <w:spacing w:line="400" w:lineRule="exact"/>
        <w:jc w:val="cente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snapToGrid w:val="0"/>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p>
      <w:pPr>
        <w:pStyle w:val="3"/>
        <w:tabs>
          <w:tab w:val="clear" w:pos="3360"/>
        </w:tabs>
        <w:spacing w:beforeLines="0" w:afterLines="0" w:line="360" w:lineRule="auto"/>
        <w:rPr>
          <w:rFonts w:hint="eastAsia" w:ascii="方正仿宋_GBK" w:hAnsi="方正仿宋_GBK" w:eastAsia="方正仿宋_GBK" w:cs="方正仿宋_GBK"/>
          <w:sz w:val="21"/>
          <w:szCs w:val="21"/>
        </w:rPr>
      </w:pPr>
    </w:p>
    <w:p>
      <w:pPr>
        <w:numPr>
          <w:ilvl w:val="255"/>
          <w:numId w:val="0"/>
        </w:numPr>
        <w:spacing w:line="360" w:lineRule="auto"/>
        <w:rPr>
          <w:rFonts w:hint="eastAsia" w:ascii="方正仿宋_GBK" w:hAnsi="方正仿宋_GBK" w:eastAsia="方正仿宋_GBK" w:cs="方正仿宋_GBK"/>
          <w:sz w:val="21"/>
          <w:szCs w:val="21"/>
        </w:rPr>
      </w:pP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rPr>
    </w:pPr>
    <w:r>
      <w:rPr>
        <w:sz w:val="24"/>
      </w:rPr>
      <w:fldChar w:fldCharType="begin"/>
    </w:r>
    <w:r>
      <w:rPr>
        <w:rStyle w:val="22"/>
        <w:sz w:val="24"/>
      </w:rPr>
      <w:instrText xml:space="preserve"> PAGE </w:instrText>
    </w:r>
    <w:r>
      <w:rPr>
        <w:sz w:val="24"/>
      </w:rPr>
      <w:fldChar w:fldCharType="separate"/>
    </w:r>
    <w:r>
      <w:rPr>
        <w:rStyle w:val="2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D6C8C"/>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2A7DFF"/>
    <w:rsid w:val="024C492F"/>
    <w:rsid w:val="029C4ABF"/>
    <w:rsid w:val="02D75BDD"/>
    <w:rsid w:val="02DC3F04"/>
    <w:rsid w:val="02FC6355"/>
    <w:rsid w:val="03447C1F"/>
    <w:rsid w:val="035E4919"/>
    <w:rsid w:val="03A72764"/>
    <w:rsid w:val="03BE3252"/>
    <w:rsid w:val="042F6E36"/>
    <w:rsid w:val="04313746"/>
    <w:rsid w:val="043D2019"/>
    <w:rsid w:val="045F6B9B"/>
    <w:rsid w:val="0486237A"/>
    <w:rsid w:val="04A2445B"/>
    <w:rsid w:val="04AF0CB6"/>
    <w:rsid w:val="04E459E6"/>
    <w:rsid w:val="055662AA"/>
    <w:rsid w:val="056B0BB0"/>
    <w:rsid w:val="05C313AC"/>
    <w:rsid w:val="063836CF"/>
    <w:rsid w:val="064D09B3"/>
    <w:rsid w:val="069118FA"/>
    <w:rsid w:val="069465EF"/>
    <w:rsid w:val="06AA7504"/>
    <w:rsid w:val="06DB41DD"/>
    <w:rsid w:val="07075524"/>
    <w:rsid w:val="07795FC3"/>
    <w:rsid w:val="079254DA"/>
    <w:rsid w:val="079C0DB0"/>
    <w:rsid w:val="07C850B5"/>
    <w:rsid w:val="07CE059C"/>
    <w:rsid w:val="07D00281"/>
    <w:rsid w:val="083A378F"/>
    <w:rsid w:val="08671162"/>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A583254"/>
    <w:rsid w:val="0A676FF7"/>
    <w:rsid w:val="0A847C3A"/>
    <w:rsid w:val="0AA01CBB"/>
    <w:rsid w:val="0ADA341F"/>
    <w:rsid w:val="0AF173F5"/>
    <w:rsid w:val="0AF65FEC"/>
    <w:rsid w:val="0B0D630F"/>
    <w:rsid w:val="0B1B7594"/>
    <w:rsid w:val="0B6516C6"/>
    <w:rsid w:val="0B6613C6"/>
    <w:rsid w:val="0B681473"/>
    <w:rsid w:val="0B7F60C2"/>
    <w:rsid w:val="0BA60EC9"/>
    <w:rsid w:val="0BAA6B9C"/>
    <w:rsid w:val="0BC11EE9"/>
    <w:rsid w:val="0BC419DA"/>
    <w:rsid w:val="0BFC73C5"/>
    <w:rsid w:val="0BFF6DDA"/>
    <w:rsid w:val="0C104906"/>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B142CE"/>
    <w:rsid w:val="0EED7911"/>
    <w:rsid w:val="0EF8112D"/>
    <w:rsid w:val="0F100D8B"/>
    <w:rsid w:val="0F1E7653"/>
    <w:rsid w:val="0F8F4DAB"/>
    <w:rsid w:val="0FCC70AF"/>
    <w:rsid w:val="0FD73ACE"/>
    <w:rsid w:val="0FD77A64"/>
    <w:rsid w:val="0FEC3B33"/>
    <w:rsid w:val="0FF80514"/>
    <w:rsid w:val="10173A8A"/>
    <w:rsid w:val="102063C6"/>
    <w:rsid w:val="102170D9"/>
    <w:rsid w:val="103434F8"/>
    <w:rsid w:val="10471EAC"/>
    <w:rsid w:val="10960BEC"/>
    <w:rsid w:val="11032FA4"/>
    <w:rsid w:val="110A7E8F"/>
    <w:rsid w:val="113A4C18"/>
    <w:rsid w:val="11B20C52"/>
    <w:rsid w:val="11B83EF1"/>
    <w:rsid w:val="120D5E88"/>
    <w:rsid w:val="12606081"/>
    <w:rsid w:val="126A0B9A"/>
    <w:rsid w:val="126E605B"/>
    <w:rsid w:val="12997F92"/>
    <w:rsid w:val="12C1392F"/>
    <w:rsid w:val="12E32E8C"/>
    <w:rsid w:val="12EC596D"/>
    <w:rsid w:val="13254936"/>
    <w:rsid w:val="13273327"/>
    <w:rsid w:val="134F3535"/>
    <w:rsid w:val="135A121B"/>
    <w:rsid w:val="13F60F2C"/>
    <w:rsid w:val="1422706E"/>
    <w:rsid w:val="142444BB"/>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814DCC"/>
    <w:rsid w:val="168336BE"/>
    <w:rsid w:val="16A20685"/>
    <w:rsid w:val="16BF088E"/>
    <w:rsid w:val="16F837AA"/>
    <w:rsid w:val="17255A22"/>
    <w:rsid w:val="17740331"/>
    <w:rsid w:val="17A7349C"/>
    <w:rsid w:val="17AE1190"/>
    <w:rsid w:val="182B7E8D"/>
    <w:rsid w:val="183A09B0"/>
    <w:rsid w:val="18411ED8"/>
    <w:rsid w:val="18955CD1"/>
    <w:rsid w:val="18B8358D"/>
    <w:rsid w:val="18E558E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9541EE"/>
    <w:rsid w:val="1CE94781"/>
    <w:rsid w:val="1D383FD6"/>
    <w:rsid w:val="1D664D6C"/>
    <w:rsid w:val="1D6A13B9"/>
    <w:rsid w:val="1D8B7F9A"/>
    <w:rsid w:val="1D943902"/>
    <w:rsid w:val="1DF4473D"/>
    <w:rsid w:val="1E001EBE"/>
    <w:rsid w:val="1E3F0AA6"/>
    <w:rsid w:val="1E470974"/>
    <w:rsid w:val="1E543091"/>
    <w:rsid w:val="1E6F234E"/>
    <w:rsid w:val="1F464788"/>
    <w:rsid w:val="1FF13B7D"/>
    <w:rsid w:val="1FFB04CC"/>
    <w:rsid w:val="200313AB"/>
    <w:rsid w:val="20321EA5"/>
    <w:rsid w:val="203647FC"/>
    <w:rsid w:val="203A406E"/>
    <w:rsid w:val="20702E18"/>
    <w:rsid w:val="20AA041D"/>
    <w:rsid w:val="20BD6CCC"/>
    <w:rsid w:val="21156B08"/>
    <w:rsid w:val="212378FE"/>
    <w:rsid w:val="219F63D1"/>
    <w:rsid w:val="22280ABD"/>
    <w:rsid w:val="22463FB1"/>
    <w:rsid w:val="227F33BA"/>
    <w:rsid w:val="228323A4"/>
    <w:rsid w:val="228F2E77"/>
    <w:rsid w:val="228F4698"/>
    <w:rsid w:val="22980F63"/>
    <w:rsid w:val="22BB58D5"/>
    <w:rsid w:val="234364A7"/>
    <w:rsid w:val="236D2879"/>
    <w:rsid w:val="23B8360A"/>
    <w:rsid w:val="24345C13"/>
    <w:rsid w:val="245B6F27"/>
    <w:rsid w:val="24735389"/>
    <w:rsid w:val="24A05D1C"/>
    <w:rsid w:val="250C1C9F"/>
    <w:rsid w:val="25A17A0B"/>
    <w:rsid w:val="266D6A9E"/>
    <w:rsid w:val="27EC60E8"/>
    <w:rsid w:val="28041684"/>
    <w:rsid w:val="282E0CE1"/>
    <w:rsid w:val="28D821FD"/>
    <w:rsid w:val="28F955C9"/>
    <w:rsid w:val="290952EB"/>
    <w:rsid w:val="292F2731"/>
    <w:rsid w:val="29310257"/>
    <w:rsid w:val="295F1D4E"/>
    <w:rsid w:val="29E057D9"/>
    <w:rsid w:val="2A067935"/>
    <w:rsid w:val="2A263B34"/>
    <w:rsid w:val="2A5135D3"/>
    <w:rsid w:val="2A5C7555"/>
    <w:rsid w:val="2A5D1CAC"/>
    <w:rsid w:val="2A6F75C2"/>
    <w:rsid w:val="2A830F86"/>
    <w:rsid w:val="2AA333D6"/>
    <w:rsid w:val="2AF81826"/>
    <w:rsid w:val="2AF924AF"/>
    <w:rsid w:val="2B050E79"/>
    <w:rsid w:val="2B570B57"/>
    <w:rsid w:val="2B607D71"/>
    <w:rsid w:val="2BA33D84"/>
    <w:rsid w:val="2C130B55"/>
    <w:rsid w:val="2C213F3C"/>
    <w:rsid w:val="2C2440A3"/>
    <w:rsid w:val="2C3B13EC"/>
    <w:rsid w:val="2C5A1872"/>
    <w:rsid w:val="2CF558DF"/>
    <w:rsid w:val="2D3B49AB"/>
    <w:rsid w:val="2DA446D5"/>
    <w:rsid w:val="2DD323EF"/>
    <w:rsid w:val="2DEE69E0"/>
    <w:rsid w:val="2E1032E7"/>
    <w:rsid w:val="2EA009D4"/>
    <w:rsid w:val="2F2139B7"/>
    <w:rsid w:val="2F4B5DEA"/>
    <w:rsid w:val="2F8530AA"/>
    <w:rsid w:val="2F9B9909"/>
    <w:rsid w:val="300118D9"/>
    <w:rsid w:val="302C1778"/>
    <w:rsid w:val="30395021"/>
    <w:rsid w:val="307E3B7F"/>
    <w:rsid w:val="30806168"/>
    <w:rsid w:val="31135038"/>
    <w:rsid w:val="312030D5"/>
    <w:rsid w:val="31863DD2"/>
    <w:rsid w:val="3186730B"/>
    <w:rsid w:val="3188160C"/>
    <w:rsid w:val="319C1736"/>
    <w:rsid w:val="31D01FC8"/>
    <w:rsid w:val="320F1351"/>
    <w:rsid w:val="3244724D"/>
    <w:rsid w:val="324C7908"/>
    <w:rsid w:val="32571097"/>
    <w:rsid w:val="325D030E"/>
    <w:rsid w:val="32690A61"/>
    <w:rsid w:val="326E6099"/>
    <w:rsid w:val="32965D18"/>
    <w:rsid w:val="32AF0E92"/>
    <w:rsid w:val="331545D8"/>
    <w:rsid w:val="33720075"/>
    <w:rsid w:val="33BA0EF1"/>
    <w:rsid w:val="340E4E6D"/>
    <w:rsid w:val="345C6637"/>
    <w:rsid w:val="34876C9A"/>
    <w:rsid w:val="349F074B"/>
    <w:rsid w:val="34C568B3"/>
    <w:rsid w:val="34CA0A84"/>
    <w:rsid w:val="34D310B7"/>
    <w:rsid w:val="34F63FAC"/>
    <w:rsid w:val="34FD7B87"/>
    <w:rsid w:val="3542559A"/>
    <w:rsid w:val="35A16831"/>
    <w:rsid w:val="35B6724A"/>
    <w:rsid w:val="35D53B5B"/>
    <w:rsid w:val="363C06FF"/>
    <w:rsid w:val="364C3960"/>
    <w:rsid w:val="36817054"/>
    <w:rsid w:val="370D31CB"/>
    <w:rsid w:val="370F310D"/>
    <w:rsid w:val="3731094C"/>
    <w:rsid w:val="37780A88"/>
    <w:rsid w:val="379434E2"/>
    <w:rsid w:val="37D73C3B"/>
    <w:rsid w:val="38053223"/>
    <w:rsid w:val="381E22EE"/>
    <w:rsid w:val="382542B3"/>
    <w:rsid w:val="38404848"/>
    <w:rsid w:val="38652E8A"/>
    <w:rsid w:val="38730CC1"/>
    <w:rsid w:val="3881511F"/>
    <w:rsid w:val="388E23DC"/>
    <w:rsid w:val="38DA48DA"/>
    <w:rsid w:val="38EE0C10"/>
    <w:rsid w:val="390A4620"/>
    <w:rsid w:val="394710BB"/>
    <w:rsid w:val="399860D0"/>
    <w:rsid w:val="399B75B3"/>
    <w:rsid w:val="39A069ED"/>
    <w:rsid w:val="39A14231"/>
    <w:rsid w:val="39BC591B"/>
    <w:rsid w:val="39EF24BE"/>
    <w:rsid w:val="3A241712"/>
    <w:rsid w:val="3A2E1DD5"/>
    <w:rsid w:val="3A3E0BCC"/>
    <w:rsid w:val="3A487F73"/>
    <w:rsid w:val="3A543DA5"/>
    <w:rsid w:val="3A5E41F1"/>
    <w:rsid w:val="3A751F6D"/>
    <w:rsid w:val="3AC17C82"/>
    <w:rsid w:val="3AEA1A4C"/>
    <w:rsid w:val="3B9C3591"/>
    <w:rsid w:val="3B9F35BE"/>
    <w:rsid w:val="3BE60F04"/>
    <w:rsid w:val="3C0104DD"/>
    <w:rsid w:val="3C93090A"/>
    <w:rsid w:val="3C945797"/>
    <w:rsid w:val="3CA54D8C"/>
    <w:rsid w:val="3CAF2ABF"/>
    <w:rsid w:val="3D1912D6"/>
    <w:rsid w:val="3D213357"/>
    <w:rsid w:val="3D736C38"/>
    <w:rsid w:val="3DBD0EC6"/>
    <w:rsid w:val="3E23065E"/>
    <w:rsid w:val="3E410AE4"/>
    <w:rsid w:val="3E416D36"/>
    <w:rsid w:val="3E6D4412"/>
    <w:rsid w:val="3E717A7D"/>
    <w:rsid w:val="3E9B4698"/>
    <w:rsid w:val="3EF34643"/>
    <w:rsid w:val="3EF54C69"/>
    <w:rsid w:val="3F20222B"/>
    <w:rsid w:val="3F386C9D"/>
    <w:rsid w:val="3F5B7E3C"/>
    <w:rsid w:val="3F6041CA"/>
    <w:rsid w:val="3F7007F4"/>
    <w:rsid w:val="3F773AB8"/>
    <w:rsid w:val="3FA23E73"/>
    <w:rsid w:val="3FAB65CB"/>
    <w:rsid w:val="3FC75019"/>
    <w:rsid w:val="40175FA1"/>
    <w:rsid w:val="40274A00"/>
    <w:rsid w:val="406C09E0"/>
    <w:rsid w:val="4090365D"/>
    <w:rsid w:val="4104427B"/>
    <w:rsid w:val="412C30C3"/>
    <w:rsid w:val="4171323D"/>
    <w:rsid w:val="41AA71A7"/>
    <w:rsid w:val="423C398C"/>
    <w:rsid w:val="42597DB4"/>
    <w:rsid w:val="42A03F94"/>
    <w:rsid w:val="42C570E7"/>
    <w:rsid w:val="42C95B9A"/>
    <w:rsid w:val="43607C5E"/>
    <w:rsid w:val="438A6CE4"/>
    <w:rsid w:val="43BE73AD"/>
    <w:rsid w:val="44817E8C"/>
    <w:rsid w:val="44EE5FAA"/>
    <w:rsid w:val="45675AC5"/>
    <w:rsid w:val="45912555"/>
    <w:rsid w:val="459227DA"/>
    <w:rsid w:val="45A04342"/>
    <w:rsid w:val="45B735B9"/>
    <w:rsid w:val="45E20AC7"/>
    <w:rsid w:val="45EF0E26"/>
    <w:rsid w:val="461268C8"/>
    <w:rsid w:val="461E170B"/>
    <w:rsid w:val="462C1A65"/>
    <w:rsid w:val="4681150F"/>
    <w:rsid w:val="468974CC"/>
    <w:rsid w:val="46BB2E01"/>
    <w:rsid w:val="46C22FEB"/>
    <w:rsid w:val="4707703F"/>
    <w:rsid w:val="47094169"/>
    <w:rsid w:val="47413031"/>
    <w:rsid w:val="48427933"/>
    <w:rsid w:val="48B93EDE"/>
    <w:rsid w:val="48DF1625"/>
    <w:rsid w:val="48EA7323"/>
    <w:rsid w:val="490C39B2"/>
    <w:rsid w:val="496008C3"/>
    <w:rsid w:val="49AA57F3"/>
    <w:rsid w:val="49BE748D"/>
    <w:rsid w:val="4A062BE2"/>
    <w:rsid w:val="4A2A2D74"/>
    <w:rsid w:val="4A8275FB"/>
    <w:rsid w:val="4A933729"/>
    <w:rsid w:val="4ADE4BB7"/>
    <w:rsid w:val="4AE211F8"/>
    <w:rsid w:val="4AE93126"/>
    <w:rsid w:val="4B337EB1"/>
    <w:rsid w:val="4B666221"/>
    <w:rsid w:val="4B67027D"/>
    <w:rsid w:val="4BBD03F9"/>
    <w:rsid w:val="4BD9235C"/>
    <w:rsid w:val="4BE57A61"/>
    <w:rsid w:val="4C3677AE"/>
    <w:rsid w:val="4C4719BC"/>
    <w:rsid w:val="4C7A3F43"/>
    <w:rsid w:val="4C926E9E"/>
    <w:rsid w:val="4CCB708A"/>
    <w:rsid w:val="4CE70AA9"/>
    <w:rsid w:val="4D3A5A30"/>
    <w:rsid w:val="4D49009A"/>
    <w:rsid w:val="4D6F53D8"/>
    <w:rsid w:val="4DAD3AA0"/>
    <w:rsid w:val="4DF571F5"/>
    <w:rsid w:val="4DF83C80"/>
    <w:rsid w:val="4E330610"/>
    <w:rsid w:val="4E676345"/>
    <w:rsid w:val="4E6F374C"/>
    <w:rsid w:val="4E7D3C6E"/>
    <w:rsid w:val="4E840ED8"/>
    <w:rsid w:val="4E9568B4"/>
    <w:rsid w:val="4E9B1B4B"/>
    <w:rsid w:val="4EBC2209"/>
    <w:rsid w:val="4EC85EEA"/>
    <w:rsid w:val="4ED80FF1"/>
    <w:rsid w:val="4EE94FAC"/>
    <w:rsid w:val="4F4E12B3"/>
    <w:rsid w:val="4F9C2022"/>
    <w:rsid w:val="4FA0498A"/>
    <w:rsid w:val="4FB053C4"/>
    <w:rsid w:val="4FE64AEF"/>
    <w:rsid w:val="50722D7F"/>
    <w:rsid w:val="508915C5"/>
    <w:rsid w:val="50BC6FD6"/>
    <w:rsid w:val="50CA0814"/>
    <w:rsid w:val="50F4514F"/>
    <w:rsid w:val="50F87728"/>
    <w:rsid w:val="51385291"/>
    <w:rsid w:val="51667B3B"/>
    <w:rsid w:val="51D04201"/>
    <w:rsid w:val="51DA3596"/>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5E3FF2"/>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7DC3152"/>
    <w:rsid w:val="583F373F"/>
    <w:rsid w:val="58714FFF"/>
    <w:rsid w:val="58745C3D"/>
    <w:rsid w:val="58CE31A6"/>
    <w:rsid w:val="58D12B2F"/>
    <w:rsid w:val="58DE5456"/>
    <w:rsid w:val="58F34A1E"/>
    <w:rsid w:val="597D1B34"/>
    <w:rsid w:val="59B461B6"/>
    <w:rsid w:val="59BB7545"/>
    <w:rsid w:val="59DC72C4"/>
    <w:rsid w:val="59EB6C15"/>
    <w:rsid w:val="59EB71E5"/>
    <w:rsid w:val="5A1E0E4B"/>
    <w:rsid w:val="5A4015AC"/>
    <w:rsid w:val="5A6F41D6"/>
    <w:rsid w:val="5A827470"/>
    <w:rsid w:val="5A985AD8"/>
    <w:rsid w:val="5AAB4172"/>
    <w:rsid w:val="5AFC4FD1"/>
    <w:rsid w:val="5BAE0099"/>
    <w:rsid w:val="5BB75BFE"/>
    <w:rsid w:val="5BFA06CE"/>
    <w:rsid w:val="5CA16EC6"/>
    <w:rsid w:val="5CB04E51"/>
    <w:rsid w:val="5CBA4C59"/>
    <w:rsid w:val="5D1D3EDC"/>
    <w:rsid w:val="5D274CA8"/>
    <w:rsid w:val="5D5F28DD"/>
    <w:rsid w:val="5D6515DC"/>
    <w:rsid w:val="5D812DD2"/>
    <w:rsid w:val="5D8D11F8"/>
    <w:rsid w:val="5D984468"/>
    <w:rsid w:val="5DB03702"/>
    <w:rsid w:val="5DC7295C"/>
    <w:rsid w:val="5DED6846"/>
    <w:rsid w:val="5EAC56AE"/>
    <w:rsid w:val="5EAE7678"/>
    <w:rsid w:val="5ECE3876"/>
    <w:rsid w:val="5EEC7C19"/>
    <w:rsid w:val="5EF05EE3"/>
    <w:rsid w:val="5F1318C5"/>
    <w:rsid w:val="5F34458D"/>
    <w:rsid w:val="5F3D687C"/>
    <w:rsid w:val="5FD160E0"/>
    <w:rsid w:val="5FF17B2D"/>
    <w:rsid w:val="602F2A3B"/>
    <w:rsid w:val="604C6F91"/>
    <w:rsid w:val="6057165A"/>
    <w:rsid w:val="606139F3"/>
    <w:rsid w:val="60BB442F"/>
    <w:rsid w:val="60BD473D"/>
    <w:rsid w:val="61350781"/>
    <w:rsid w:val="618C2A9C"/>
    <w:rsid w:val="61A23B43"/>
    <w:rsid w:val="621E4598"/>
    <w:rsid w:val="626F5370"/>
    <w:rsid w:val="628F156F"/>
    <w:rsid w:val="62BA2E88"/>
    <w:rsid w:val="62CF7BBD"/>
    <w:rsid w:val="62E619DB"/>
    <w:rsid w:val="62F4369B"/>
    <w:rsid w:val="6367429A"/>
    <w:rsid w:val="638E2EBD"/>
    <w:rsid w:val="63FB0DE2"/>
    <w:rsid w:val="643A375C"/>
    <w:rsid w:val="647255C0"/>
    <w:rsid w:val="64752197"/>
    <w:rsid w:val="649966D5"/>
    <w:rsid w:val="649C6AAC"/>
    <w:rsid w:val="64BF340B"/>
    <w:rsid w:val="64D32CF2"/>
    <w:rsid w:val="64F63334"/>
    <w:rsid w:val="650E0CCD"/>
    <w:rsid w:val="651652C1"/>
    <w:rsid w:val="651D7306"/>
    <w:rsid w:val="653144BD"/>
    <w:rsid w:val="65C75774"/>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D0643D"/>
    <w:rsid w:val="68D42825"/>
    <w:rsid w:val="68EF17FE"/>
    <w:rsid w:val="691B1231"/>
    <w:rsid w:val="692E7D33"/>
    <w:rsid w:val="69474951"/>
    <w:rsid w:val="69B0699A"/>
    <w:rsid w:val="69F165AC"/>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AA159D"/>
    <w:rsid w:val="6DAA29AD"/>
    <w:rsid w:val="6DAC56CB"/>
    <w:rsid w:val="6DE95CF9"/>
    <w:rsid w:val="6DF17581"/>
    <w:rsid w:val="6E132EBC"/>
    <w:rsid w:val="6F082DD5"/>
    <w:rsid w:val="6F5C3185"/>
    <w:rsid w:val="7036571F"/>
    <w:rsid w:val="70D50E8A"/>
    <w:rsid w:val="70EB412D"/>
    <w:rsid w:val="70EB475C"/>
    <w:rsid w:val="7108228F"/>
    <w:rsid w:val="713B4ED5"/>
    <w:rsid w:val="714614AB"/>
    <w:rsid w:val="714B3607"/>
    <w:rsid w:val="71D07AE3"/>
    <w:rsid w:val="71FB277D"/>
    <w:rsid w:val="72175979"/>
    <w:rsid w:val="7218332F"/>
    <w:rsid w:val="72AD6919"/>
    <w:rsid w:val="72B87A76"/>
    <w:rsid w:val="72D97364"/>
    <w:rsid w:val="731A2D6E"/>
    <w:rsid w:val="731D115A"/>
    <w:rsid w:val="73A961A7"/>
    <w:rsid w:val="73AD6C42"/>
    <w:rsid w:val="73DB2866"/>
    <w:rsid w:val="73DD1D30"/>
    <w:rsid w:val="74142811"/>
    <w:rsid w:val="742E378B"/>
    <w:rsid w:val="74452F75"/>
    <w:rsid w:val="74626AE3"/>
    <w:rsid w:val="747B1D95"/>
    <w:rsid w:val="74EE481B"/>
    <w:rsid w:val="751D7DBF"/>
    <w:rsid w:val="752B15CB"/>
    <w:rsid w:val="761F51DD"/>
    <w:rsid w:val="76275CB9"/>
    <w:rsid w:val="766302B0"/>
    <w:rsid w:val="76811C18"/>
    <w:rsid w:val="76A74C81"/>
    <w:rsid w:val="76BE7841"/>
    <w:rsid w:val="76CC1970"/>
    <w:rsid w:val="76E23662"/>
    <w:rsid w:val="775755EB"/>
    <w:rsid w:val="777059BB"/>
    <w:rsid w:val="77A32A2C"/>
    <w:rsid w:val="77E13906"/>
    <w:rsid w:val="77FB0098"/>
    <w:rsid w:val="78352A5C"/>
    <w:rsid w:val="788259A6"/>
    <w:rsid w:val="7893509C"/>
    <w:rsid w:val="78B960A7"/>
    <w:rsid w:val="78F316F4"/>
    <w:rsid w:val="7967694A"/>
    <w:rsid w:val="7981693C"/>
    <w:rsid w:val="79863274"/>
    <w:rsid w:val="79C6374C"/>
    <w:rsid w:val="7A155441"/>
    <w:rsid w:val="7A1C61AA"/>
    <w:rsid w:val="7A5D5B1C"/>
    <w:rsid w:val="7A745F52"/>
    <w:rsid w:val="7AAA4D40"/>
    <w:rsid w:val="7AAE11C1"/>
    <w:rsid w:val="7AB12692"/>
    <w:rsid w:val="7ABD3BA8"/>
    <w:rsid w:val="7ADA4272"/>
    <w:rsid w:val="7B107245"/>
    <w:rsid w:val="7BB47850"/>
    <w:rsid w:val="7BB77041"/>
    <w:rsid w:val="7C2610AC"/>
    <w:rsid w:val="7C781BC3"/>
    <w:rsid w:val="7CD07471"/>
    <w:rsid w:val="7D887ABE"/>
    <w:rsid w:val="7DE73EC8"/>
    <w:rsid w:val="7DE92023"/>
    <w:rsid w:val="7DFB59F8"/>
    <w:rsid w:val="7DFF7723"/>
    <w:rsid w:val="7E09286B"/>
    <w:rsid w:val="7E461224"/>
    <w:rsid w:val="7E614048"/>
    <w:rsid w:val="7E7F2861"/>
    <w:rsid w:val="7E9E29CD"/>
    <w:rsid w:val="7F20181F"/>
    <w:rsid w:val="7F55109D"/>
    <w:rsid w:val="7F7C4C9D"/>
    <w:rsid w:val="7FA06711"/>
    <w:rsid w:val="7FCB3295"/>
    <w:rsid w:val="7FE66117"/>
    <w:rsid w:val="9F5FF01F"/>
    <w:rsid w:val="BE7F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5"/>
    <w:qFormat/>
    <w:uiPriority w:val="0"/>
    <w:pPr>
      <w:spacing w:after="120"/>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semiHidden/>
    <w:unhideWhenUsed/>
    <w:qFormat/>
    <w:uiPriority w:val="99"/>
    <w:pPr>
      <w:jc w:val="left"/>
    </w:pPr>
  </w:style>
  <w:style w:type="paragraph" w:styleId="9">
    <w:name w:val="Body Text Indent"/>
    <w:basedOn w:val="1"/>
    <w:link w:val="98"/>
    <w:qFormat/>
    <w:uiPriority w:val="0"/>
    <w:pPr>
      <w:spacing w:line="700" w:lineRule="exact"/>
      <w:ind w:left="960"/>
    </w:pPr>
    <w:rPr>
      <w:sz w:val="44"/>
    </w:rPr>
  </w:style>
  <w:style w:type="paragraph" w:styleId="10">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1">
    <w:name w:val="Plain Text"/>
    <w:basedOn w:val="1"/>
    <w:qFormat/>
    <w:uiPriority w:val="0"/>
    <w:pPr>
      <w:adjustRightInd w:val="0"/>
      <w:snapToGrid w:val="0"/>
      <w:spacing w:line="360" w:lineRule="auto"/>
    </w:pPr>
    <w:rPr>
      <w:rFonts w:ascii="宋体" w:hAnsi="Courier New"/>
    </w:rPr>
  </w:style>
  <w:style w:type="paragraph" w:styleId="12">
    <w:name w:val="Body Text Indent 2"/>
    <w:basedOn w:val="1"/>
    <w:link w:val="100"/>
    <w:qFormat/>
    <w:uiPriority w:val="0"/>
    <w:pPr>
      <w:spacing w:after="120" w:line="480" w:lineRule="auto"/>
      <w:ind w:left="420" w:leftChars="200"/>
    </w:pPr>
  </w:style>
  <w:style w:type="paragraph" w:styleId="13">
    <w:name w:val="Balloon Text"/>
    <w:basedOn w:val="1"/>
    <w:link w:val="2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7">
    <w:name w:val="Title"/>
    <w:basedOn w:val="1"/>
    <w:link w:val="28"/>
    <w:qFormat/>
    <w:uiPriority w:val="0"/>
    <w:pPr>
      <w:widowControl/>
      <w:spacing w:after="240" w:line="360" w:lineRule="auto"/>
      <w:jc w:val="center"/>
    </w:pPr>
    <w:rPr>
      <w:rFonts w:ascii="Arial" w:hAnsi="Arial"/>
      <w:b/>
      <w:smallCaps/>
      <w:kern w:val="28"/>
      <w:sz w:val="36"/>
      <w:szCs w:val="20"/>
      <w:lang w:eastAsia="en-US"/>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character" w:customStyle="1" w:styleId="26">
    <w:name w:val="批注框文本 Char"/>
    <w:basedOn w:val="20"/>
    <w:link w:val="13"/>
    <w:qFormat/>
    <w:uiPriority w:val="0"/>
    <w:rPr>
      <w:kern w:val="2"/>
      <w:sz w:val="18"/>
      <w:szCs w:val="18"/>
    </w:rPr>
  </w:style>
  <w:style w:type="character" w:customStyle="1" w:styleId="27">
    <w:name w:val="标题 Char1"/>
    <w:qFormat/>
    <w:uiPriority w:val="0"/>
    <w:rPr>
      <w:rFonts w:ascii="Arial" w:hAnsi="Arial"/>
      <w:b/>
      <w:smallCaps/>
      <w:kern w:val="28"/>
      <w:sz w:val="36"/>
      <w:lang w:eastAsia="en-US"/>
    </w:rPr>
  </w:style>
  <w:style w:type="character" w:customStyle="1" w:styleId="28">
    <w:name w:val="标题 Char"/>
    <w:basedOn w:val="20"/>
    <w:link w:val="17"/>
    <w:qFormat/>
    <w:uiPriority w:val="0"/>
    <w:rPr>
      <w:rFonts w:asciiTheme="majorHAnsi" w:hAnsiTheme="majorHAnsi" w:cstheme="majorBidi"/>
      <w:b/>
      <w:bCs/>
      <w:kern w:val="2"/>
      <w:sz w:val="32"/>
      <w:szCs w:val="32"/>
    </w:rPr>
  </w:style>
  <w:style w:type="paragraph" w:styleId="29">
    <w:name w:val="List Paragraph"/>
    <w:basedOn w:val="1"/>
    <w:unhideWhenUsed/>
    <w:qFormat/>
    <w:uiPriority w:val="99"/>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9">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1">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2">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0">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2">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3">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5">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7">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9">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80">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1">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2">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4">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6">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7">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8">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9">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0">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1">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5">
    <w:name w:val="正文文本 Char"/>
    <w:basedOn w:val="20"/>
    <w:link w:val="2"/>
    <w:qFormat/>
    <w:uiPriority w:val="0"/>
    <w:rPr>
      <w:rFonts w:ascii="Calibri" w:hAnsi="Calibri"/>
      <w:kern w:val="2"/>
      <w:sz w:val="21"/>
      <w:szCs w:val="24"/>
    </w:rPr>
  </w:style>
  <w:style w:type="character" w:customStyle="1" w:styleId="96">
    <w:name w:val="NormalCharacter"/>
    <w:qFormat/>
    <w:uiPriority w:val="0"/>
  </w:style>
  <w:style w:type="paragraph" w:customStyle="1" w:styleId="97">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8">
    <w:name w:val="正文文本缩进 Char"/>
    <w:basedOn w:val="20"/>
    <w:link w:val="9"/>
    <w:qFormat/>
    <w:uiPriority w:val="0"/>
    <w:rPr>
      <w:rFonts w:ascii="Calibri" w:hAnsi="Calibri"/>
      <w:kern w:val="2"/>
      <w:sz w:val="44"/>
      <w:szCs w:val="24"/>
    </w:rPr>
  </w:style>
  <w:style w:type="paragraph" w:customStyle="1" w:styleId="99">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100">
    <w:name w:val="正文文本缩进 2 Char"/>
    <w:basedOn w:val="20"/>
    <w:link w:val="12"/>
    <w:qFormat/>
    <w:uiPriority w:val="0"/>
    <w:rPr>
      <w:rFonts w:ascii="Calibri" w:hAnsi="Calibri"/>
      <w:kern w:val="2"/>
      <w:sz w:val="21"/>
      <w:szCs w:val="24"/>
    </w:rPr>
  </w:style>
  <w:style w:type="paragraph" w:customStyle="1" w:styleId="101">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1590</Words>
  <Characters>9064</Characters>
  <Lines>75</Lines>
  <Paragraphs>21</Paragraphs>
  <TotalTime>38</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2025-07-18T17:08:53Z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