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Style w:val="48"/>
          <w:rFonts w:ascii="宋体" w:hAnsi="宋体" w:cs="宋体"/>
          <w:sz w:val="44"/>
          <w:szCs w:val="44"/>
        </w:rPr>
      </w:pPr>
      <w:bookmarkStart w:id="298" w:name="_GoBack"/>
      <w:bookmarkEnd w:id="298"/>
    </w:p>
    <w:p>
      <w:pPr>
        <w:tabs>
          <w:tab w:val="left" w:pos="1695"/>
          <w:tab w:val="left" w:pos="3370"/>
          <w:tab w:val="left" w:pos="5555"/>
        </w:tabs>
        <w:snapToGrid w:val="0"/>
        <w:spacing w:line="360" w:lineRule="auto"/>
        <w:jc w:val="both"/>
        <w:rPr>
          <w:rStyle w:val="48"/>
          <w:rFonts w:ascii="宋体" w:hAnsi="宋体" w:cs="宋体"/>
          <w:b/>
          <w:bCs/>
          <w:sz w:val="36"/>
          <w:szCs w:val="36"/>
        </w:rPr>
      </w:pPr>
    </w:p>
    <w:p>
      <w:pPr>
        <w:pStyle w:val="44"/>
        <w:spacing w:before="0" w:after="0" w:line="360" w:lineRule="auto"/>
        <w:rPr>
          <w:rStyle w:val="48"/>
          <w:rFonts w:ascii="宋体" w:hAnsi="宋体" w:cs="宋体"/>
          <w:caps/>
        </w:rPr>
      </w:pPr>
    </w:p>
    <w:p>
      <w:pPr>
        <w:widowControl w:val="0"/>
        <w:snapToGrid w:val="0"/>
        <w:jc w:val="center"/>
        <w:textAlignment w:val="auto"/>
        <w:rPr>
          <w:rFonts w:hint="eastAsia" w:ascii="宋体" w:hAnsi="宋体" w:eastAsia="宋体" w:cs="宋体"/>
          <w:b/>
          <w:bCs/>
          <w:sz w:val="120"/>
          <w:szCs w:val="120"/>
        </w:rPr>
      </w:pPr>
      <w:r>
        <w:rPr>
          <w:rFonts w:hint="eastAsia" w:ascii="宋体" w:hAnsi="宋体" w:eastAsia="宋体" w:cs="宋体"/>
          <w:b/>
          <w:bCs/>
          <w:sz w:val="120"/>
          <w:szCs w:val="120"/>
        </w:rPr>
        <w:t>竞争性</w:t>
      </w:r>
      <w:r>
        <w:rPr>
          <w:rFonts w:hint="eastAsia" w:ascii="宋体" w:hAnsi="宋体" w:eastAsia="宋体" w:cs="宋体"/>
          <w:b/>
          <w:bCs/>
          <w:sz w:val="120"/>
          <w:szCs w:val="120"/>
          <w:lang w:val="en-US" w:eastAsia="zh-CN"/>
        </w:rPr>
        <w:t>比选</w:t>
      </w:r>
      <w:r>
        <w:rPr>
          <w:rFonts w:hint="eastAsia" w:ascii="宋体" w:hAnsi="宋体" w:eastAsia="宋体" w:cs="宋体"/>
          <w:b/>
          <w:bCs/>
          <w:sz w:val="120"/>
          <w:szCs w:val="120"/>
        </w:rPr>
        <w:t>文件</w:t>
      </w:r>
    </w:p>
    <w:p>
      <w:pPr>
        <w:tabs>
          <w:tab w:val="left" w:pos="1695"/>
          <w:tab w:val="left" w:pos="3370"/>
          <w:tab w:val="left" w:pos="5501"/>
          <w:tab w:val="left" w:pos="5555"/>
        </w:tabs>
        <w:snapToGrid w:val="0"/>
        <w:spacing w:line="360" w:lineRule="auto"/>
        <w:jc w:val="left"/>
        <w:rPr>
          <w:rStyle w:val="48"/>
          <w:rFonts w:ascii="宋体" w:hAnsi="宋体" w:cs="宋体"/>
          <w:b/>
          <w:bCs/>
          <w:sz w:val="36"/>
          <w:szCs w:val="36"/>
        </w:rPr>
      </w:pPr>
      <w:r>
        <w:rPr>
          <w:rStyle w:val="48"/>
          <w:rFonts w:hint="eastAsia" w:ascii="宋体" w:hAnsi="宋体" w:cs="宋体"/>
          <w:b/>
          <w:bCs/>
          <w:sz w:val="36"/>
          <w:szCs w:val="36"/>
        </w:rPr>
        <w:tab/>
      </w:r>
      <w:r>
        <w:rPr>
          <w:rStyle w:val="48"/>
          <w:rFonts w:hint="eastAsia" w:ascii="宋体" w:hAnsi="宋体" w:cs="宋体"/>
          <w:b/>
          <w:bCs/>
          <w:sz w:val="36"/>
          <w:szCs w:val="36"/>
        </w:rPr>
        <w:tab/>
      </w:r>
      <w:r>
        <w:rPr>
          <w:rStyle w:val="48"/>
          <w:rFonts w:hint="eastAsia" w:ascii="宋体" w:hAnsi="宋体" w:cs="宋体"/>
          <w:b/>
          <w:bCs/>
          <w:sz w:val="36"/>
          <w:szCs w:val="36"/>
        </w:rPr>
        <w:tab/>
      </w:r>
    </w:p>
    <w:p>
      <w:pPr>
        <w:tabs>
          <w:tab w:val="left" w:pos="1695"/>
          <w:tab w:val="left" w:pos="3370"/>
          <w:tab w:val="left" w:pos="5555"/>
        </w:tabs>
        <w:snapToGrid w:val="0"/>
        <w:spacing w:line="360" w:lineRule="auto"/>
        <w:jc w:val="center"/>
        <w:rPr>
          <w:rStyle w:val="48"/>
          <w:rFonts w:ascii="宋体" w:hAnsi="宋体" w:cs="宋体"/>
          <w:b/>
          <w:bCs/>
          <w:sz w:val="36"/>
          <w:szCs w:val="36"/>
        </w:rPr>
      </w:pPr>
    </w:p>
    <w:p>
      <w:pPr>
        <w:pStyle w:val="44"/>
        <w:spacing w:before="0" w:after="0" w:line="360" w:lineRule="auto"/>
        <w:rPr>
          <w:rStyle w:val="48"/>
          <w:rFonts w:ascii="宋体" w:hAnsi="宋体" w:cs="宋体"/>
          <w:caps/>
        </w:rPr>
      </w:pPr>
    </w:p>
    <w:p>
      <w:pPr>
        <w:tabs>
          <w:tab w:val="left" w:pos="1695"/>
          <w:tab w:val="left" w:pos="3370"/>
          <w:tab w:val="left" w:pos="5555"/>
        </w:tabs>
        <w:snapToGrid w:val="0"/>
        <w:spacing w:line="360" w:lineRule="auto"/>
        <w:jc w:val="center"/>
        <w:rPr>
          <w:rStyle w:val="48"/>
          <w:rFonts w:ascii="宋体" w:hAnsi="宋体" w:cs="宋体"/>
          <w:b/>
          <w:bCs/>
          <w:sz w:val="36"/>
          <w:szCs w:val="36"/>
        </w:rPr>
      </w:pPr>
    </w:p>
    <w:p>
      <w:pPr>
        <w:pStyle w:val="2"/>
        <w:rPr>
          <w:rStyle w:val="48"/>
          <w:rFonts w:ascii="宋体" w:hAnsi="宋体" w:cs="宋体"/>
          <w:b/>
          <w:bCs/>
          <w:sz w:val="36"/>
          <w:szCs w:val="36"/>
        </w:rPr>
      </w:pPr>
    </w:p>
    <w:p>
      <w:pPr>
        <w:rPr>
          <w:rStyle w:val="48"/>
          <w:rFonts w:ascii="宋体" w:hAnsi="宋体" w:cs="宋体"/>
          <w:b/>
          <w:bCs/>
          <w:sz w:val="36"/>
          <w:szCs w:val="36"/>
        </w:rPr>
      </w:pPr>
    </w:p>
    <w:p>
      <w:pPr>
        <w:pStyle w:val="2"/>
        <w:rPr>
          <w:rFonts w:hint="eastAsia" w:ascii="宋体" w:hAnsi="宋体" w:eastAsia="宋体" w:cs="宋体"/>
        </w:rPr>
      </w:pPr>
    </w:p>
    <w:p>
      <w:pPr>
        <w:pStyle w:val="44"/>
        <w:spacing w:before="0" w:after="0" w:line="360" w:lineRule="auto"/>
        <w:rPr>
          <w:rStyle w:val="48"/>
          <w:rFonts w:hint="eastAsia" w:ascii="宋体" w:hAnsi="宋体" w:eastAsia="宋体" w:cs="宋体"/>
          <w:caps/>
        </w:rPr>
      </w:pPr>
    </w:p>
    <w:p>
      <w:pPr>
        <w:spacing w:line="360" w:lineRule="auto"/>
        <w:ind w:left="2028" w:hanging="2028" w:hangingChars="600"/>
        <w:jc w:val="left"/>
        <w:rPr>
          <w:rFonts w:hint="eastAsia" w:ascii="宋体" w:hAnsi="宋体" w:eastAsia="宋体" w:cs="宋体"/>
          <w:color w:val="auto"/>
          <w:spacing w:val="-11"/>
          <w:sz w:val="32"/>
          <w:szCs w:val="32"/>
          <w:lang w:val="en-US" w:eastAsia="zh-CN"/>
        </w:rPr>
      </w:pPr>
      <w:r>
        <w:rPr>
          <w:rFonts w:hint="eastAsia" w:ascii="宋体" w:hAnsi="宋体" w:eastAsia="宋体" w:cs="宋体"/>
          <w:color w:val="auto"/>
          <w:spacing w:val="-11"/>
          <w:sz w:val="36"/>
          <w:szCs w:val="30"/>
          <w:lang w:val="en-US" w:eastAsia="zh-CN"/>
        </w:rPr>
        <w:t xml:space="preserve">   </w:t>
      </w:r>
      <w:r>
        <w:rPr>
          <w:rFonts w:hint="eastAsia" w:ascii="宋体" w:hAnsi="宋体" w:eastAsia="宋体" w:cs="宋体"/>
          <w:color w:val="auto"/>
          <w:spacing w:val="0"/>
          <w:sz w:val="32"/>
          <w:szCs w:val="32"/>
          <w:lang w:eastAsia="zh-CN"/>
        </w:rPr>
        <w:t>项目名称：</w:t>
      </w:r>
      <w:r>
        <w:rPr>
          <w:rFonts w:hint="eastAsia" w:ascii="宋体" w:hAnsi="宋体" w:cs="宋体"/>
          <w:color w:val="auto"/>
          <w:spacing w:val="0"/>
          <w:sz w:val="32"/>
          <w:szCs w:val="32"/>
          <w:lang w:val="en-US" w:eastAsia="zh-CN"/>
        </w:rPr>
        <w:t>垫江县</w:t>
      </w:r>
      <w:r>
        <w:rPr>
          <w:rFonts w:hint="eastAsia" w:ascii="宋体" w:hAnsi="宋体" w:cs="宋体"/>
          <w:color w:val="auto"/>
          <w:spacing w:val="0"/>
          <w:sz w:val="32"/>
          <w:szCs w:val="32"/>
          <w:lang w:eastAsia="zh-CN"/>
        </w:rPr>
        <w:t>精神卫生中心2025年食堂原材料配送服务</w:t>
      </w:r>
    </w:p>
    <w:p>
      <w:pPr>
        <w:spacing w:line="360" w:lineRule="auto"/>
        <w:jc w:val="both"/>
        <w:rPr>
          <w:rFonts w:hint="eastAsia" w:ascii="宋体" w:hAnsi="宋体" w:eastAsia="宋体" w:cs="宋体"/>
          <w:color w:val="auto"/>
          <w:sz w:val="32"/>
          <w:szCs w:val="32"/>
          <w:lang w:val="en-US" w:eastAsia="zh-CN"/>
        </w:rPr>
      </w:pPr>
    </w:p>
    <w:p>
      <w:pPr>
        <w:spacing w:line="360" w:lineRule="auto"/>
        <w:ind w:firstLine="640" w:firstLineChars="200"/>
        <w:jc w:val="both"/>
        <w:rPr>
          <w:rFonts w:hint="eastAsia" w:ascii="宋体" w:hAnsi="宋体" w:eastAsia="宋体" w:cs="宋体"/>
          <w:color w:val="auto"/>
          <w:sz w:val="32"/>
          <w:szCs w:val="32"/>
          <w:lang w:val="zh-CN" w:eastAsia="zh-CN"/>
        </w:rPr>
      </w:pPr>
      <w:r>
        <w:rPr>
          <w:rFonts w:hint="eastAsia" w:ascii="宋体" w:hAnsi="宋体" w:cs="宋体"/>
          <w:color w:val="auto"/>
          <w:sz w:val="32"/>
          <w:szCs w:val="32"/>
          <w:lang w:val="en-US" w:eastAsia="zh-CN"/>
        </w:rPr>
        <w:t>采</w:t>
      </w:r>
      <w:r>
        <w:rPr>
          <w:rFonts w:hint="eastAsia" w:ascii="宋体" w:hAnsi="宋体" w:eastAsia="宋体" w:cs="宋体"/>
          <w:color w:val="auto"/>
          <w:sz w:val="32"/>
          <w:szCs w:val="32"/>
          <w:lang w:eastAsia="zh-CN"/>
        </w:rPr>
        <w:t xml:space="preserve">   </w:t>
      </w:r>
      <w:r>
        <w:rPr>
          <w:rFonts w:hint="eastAsia" w:ascii="宋体" w:hAnsi="宋体" w:cs="宋体"/>
          <w:color w:val="auto"/>
          <w:sz w:val="32"/>
          <w:szCs w:val="32"/>
          <w:lang w:val="en-US" w:eastAsia="zh-CN"/>
        </w:rPr>
        <w:t>购</w:t>
      </w:r>
      <w:r>
        <w:rPr>
          <w:rFonts w:hint="eastAsia" w:ascii="宋体" w:hAnsi="宋体" w:eastAsia="宋体" w:cs="宋体"/>
          <w:color w:val="auto"/>
          <w:sz w:val="32"/>
          <w:szCs w:val="32"/>
          <w:lang w:eastAsia="zh-CN"/>
        </w:rPr>
        <w:t xml:space="preserve"> </w:t>
      </w:r>
      <w:r>
        <w:rPr>
          <w:rFonts w:hint="eastAsia" w:ascii="宋体" w:hAnsi="宋体" w:cs="宋体"/>
          <w:color w:val="auto"/>
          <w:sz w:val="32"/>
          <w:szCs w:val="32"/>
          <w:lang w:val="en-US" w:eastAsia="zh-CN"/>
        </w:rPr>
        <w:t xml:space="preserve"> </w:t>
      </w:r>
      <w:r>
        <w:rPr>
          <w:rFonts w:hint="eastAsia" w:ascii="宋体" w:hAnsi="宋体" w:eastAsia="宋体" w:cs="宋体"/>
          <w:color w:val="auto"/>
          <w:sz w:val="32"/>
          <w:szCs w:val="32"/>
          <w:lang w:eastAsia="zh-CN"/>
        </w:rPr>
        <w:t xml:space="preserve"> 人</w:t>
      </w:r>
      <w:r>
        <w:rPr>
          <w:rFonts w:hint="eastAsia" w:ascii="宋体" w:hAnsi="宋体" w:eastAsia="宋体" w:cs="宋体"/>
          <w:color w:val="auto"/>
          <w:sz w:val="32"/>
          <w:szCs w:val="32"/>
          <w:lang w:val="zh-CN" w:eastAsia="zh-CN"/>
        </w:rPr>
        <w:t>：</w:t>
      </w:r>
      <w:r>
        <w:rPr>
          <w:rFonts w:hint="eastAsia" w:ascii="宋体" w:hAnsi="宋体" w:cs="宋体"/>
          <w:color w:val="auto"/>
          <w:sz w:val="32"/>
          <w:szCs w:val="32"/>
          <w:lang w:val="en-US" w:eastAsia="zh-CN"/>
        </w:rPr>
        <w:t>垫江县</w:t>
      </w:r>
      <w:r>
        <w:rPr>
          <w:rFonts w:hint="eastAsia" w:ascii="宋体" w:hAnsi="宋体" w:eastAsia="宋体" w:cs="宋体"/>
          <w:color w:val="auto"/>
          <w:sz w:val="32"/>
          <w:szCs w:val="32"/>
          <w:lang w:val="zh-CN" w:eastAsia="zh-CN"/>
        </w:rPr>
        <w:t>精神卫生中心</w:t>
      </w:r>
    </w:p>
    <w:p>
      <w:pPr>
        <w:spacing w:line="360" w:lineRule="auto"/>
        <w:rPr>
          <w:rStyle w:val="48"/>
          <w:rFonts w:ascii="宋体" w:hAnsi="宋体" w:cs="宋体"/>
          <w:sz w:val="32"/>
          <w:szCs w:val="32"/>
        </w:rPr>
      </w:pPr>
    </w:p>
    <w:p>
      <w:pPr>
        <w:spacing w:line="360" w:lineRule="auto"/>
        <w:jc w:val="center"/>
        <w:rPr>
          <w:rStyle w:val="48"/>
          <w:rFonts w:ascii="宋体" w:hAnsi="宋体" w:cs="宋体"/>
          <w:sz w:val="32"/>
          <w:szCs w:val="32"/>
          <w:lang w:val="zh-CN"/>
        </w:rPr>
      </w:pPr>
      <w:r>
        <w:rPr>
          <w:rStyle w:val="48"/>
          <w:rFonts w:hint="eastAsia" w:ascii="宋体" w:hAnsi="宋体" w:cs="宋体"/>
          <w:sz w:val="32"/>
          <w:szCs w:val="32"/>
          <w:lang w:val="en-US" w:eastAsia="zh-CN"/>
        </w:rPr>
        <w:t>2025</w:t>
      </w:r>
      <w:r>
        <w:rPr>
          <w:rStyle w:val="48"/>
          <w:rFonts w:hint="eastAsia" w:ascii="宋体" w:hAnsi="宋体" w:cs="宋体"/>
          <w:sz w:val="32"/>
          <w:szCs w:val="32"/>
          <w:lang w:val="zh-CN"/>
        </w:rPr>
        <w:t>年</w:t>
      </w:r>
      <w:r>
        <w:rPr>
          <w:rStyle w:val="48"/>
          <w:rFonts w:hint="eastAsia" w:ascii="宋体" w:hAnsi="宋体" w:cs="宋体"/>
          <w:sz w:val="32"/>
          <w:szCs w:val="32"/>
          <w:lang w:val="en-US" w:eastAsia="zh-CN"/>
        </w:rPr>
        <w:t>9</w:t>
      </w:r>
      <w:r>
        <w:rPr>
          <w:rStyle w:val="48"/>
          <w:rFonts w:hint="eastAsia" w:ascii="宋体" w:hAnsi="宋体" w:cs="宋体"/>
          <w:sz w:val="32"/>
          <w:szCs w:val="32"/>
          <w:lang w:val="zh-CN"/>
        </w:rPr>
        <w:t xml:space="preserve">月 </w:t>
      </w:r>
    </w:p>
    <w:p>
      <w:pPr>
        <w:pStyle w:val="84"/>
        <w:spacing w:line="360" w:lineRule="auto"/>
        <w:jc w:val="center"/>
        <w:rPr>
          <w:rFonts w:hint="eastAsia" w:ascii="宋体" w:hAnsi="宋体" w:eastAsia="宋体" w:cs="宋体"/>
          <w:b w:val="0"/>
          <w:bCs w:val="0"/>
          <w:color w:val="auto"/>
          <w:kern w:val="2"/>
          <w:sz w:val="21"/>
          <w:szCs w:val="24"/>
          <w:lang w:val="zh-CN"/>
        </w:rPr>
        <w:sectPr>
          <w:footerReference r:id="rId3" w:type="default"/>
          <w:pgSz w:w="11907" w:h="16840"/>
          <w:pgMar w:top="1417" w:right="1417" w:bottom="1417" w:left="1418" w:header="964" w:footer="992" w:gutter="0"/>
          <w:pgNumType w:fmt="numberInDash" w:start="1"/>
          <w:cols w:space="720" w:num="1"/>
          <w:docGrid w:linePitch="312" w:charSpace="0"/>
        </w:sectPr>
      </w:pPr>
    </w:p>
    <w:sdt>
      <w:sdtPr>
        <w:rPr>
          <w:rFonts w:hint="eastAsia" w:ascii="宋体" w:hAnsi="宋体" w:eastAsia="宋体" w:cs="宋体"/>
          <w:b w:val="0"/>
          <w:bCs w:val="0"/>
          <w:color w:val="auto"/>
          <w:kern w:val="2"/>
          <w:sz w:val="22"/>
          <w:szCs w:val="28"/>
          <w:lang w:val="zh-CN"/>
        </w:rPr>
        <w:id w:val="1880820343"/>
        <w:docPartObj>
          <w:docPartGallery w:val="Table of Contents"/>
          <w:docPartUnique/>
        </w:docPartObj>
      </w:sdtPr>
      <w:sdtEndPr>
        <w:rPr>
          <w:rFonts w:hint="eastAsia" w:ascii="宋体" w:hAnsi="宋体" w:eastAsia="宋体" w:cs="宋体"/>
          <w:b w:val="0"/>
          <w:bCs w:val="0"/>
          <w:color w:val="auto"/>
          <w:kern w:val="2"/>
          <w:sz w:val="21"/>
          <w:szCs w:val="24"/>
          <w:lang w:val="zh-CN"/>
        </w:rPr>
      </w:sdtEndPr>
      <w:sdtContent>
        <w:p>
          <w:pPr>
            <w:pStyle w:val="96"/>
            <w:jc w:val="center"/>
            <w:rPr>
              <w:rFonts w:hint="eastAsia" w:ascii="方正小标宋_GBK" w:eastAsia="方正小标宋_GBK"/>
              <w:b/>
              <w:bCs/>
              <w:color w:val="auto"/>
              <w:sz w:val="48"/>
              <w:szCs w:val="48"/>
              <w:highlight w:val="none"/>
              <w:lang w:val="zh-CN"/>
            </w:rPr>
          </w:pPr>
          <w:r>
            <w:rPr>
              <w:rFonts w:hint="eastAsia" w:ascii="方正小标宋_GBK" w:eastAsia="方正小标宋_GBK"/>
              <w:b/>
              <w:bCs/>
              <w:color w:val="auto"/>
              <w:sz w:val="48"/>
              <w:szCs w:val="48"/>
              <w:highlight w:val="none"/>
              <w:lang w:val="zh-CN"/>
            </w:rPr>
            <w:t>目      录</w:t>
          </w:r>
        </w:p>
        <w:p>
          <w:pPr>
            <w:pStyle w:val="17"/>
            <w:tabs>
              <w:tab w:val="right" w:leader="dot" w:pos="8844"/>
            </w:tabs>
            <w:jc w:val="both"/>
            <w:rPr>
              <w:highlight w:val="none"/>
            </w:rPr>
          </w:pPr>
          <w:r>
            <w:rPr>
              <w:highlight w:val="none"/>
            </w:rPr>
            <w:fldChar w:fldCharType="begin"/>
          </w:r>
          <w:r>
            <w:rPr>
              <w:highlight w:val="none"/>
            </w:rPr>
            <w:instrText xml:space="preserve"> TOC \o "1-3" \h \z \u </w:instrText>
          </w:r>
          <w:r>
            <w:rPr>
              <w:highlight w:val="none"/>
            </w:rPr>
            <w:fldChar w:fldCharType="separate"/>
          </w:r>
        </w:p>
        <w:p>
          <w:pPr>
            <w:pStyle w:val="17"/>
            <w:tabs>
              <w:tab w:val="right" w:leader="dot" w:pos="8844"/>
            </w:tabs>
            <w:spacing w:line="900" w:lineRule="exact"/>
            <w:rPr>
              <w:sz w:val="36"/>
              <w:szCs w:val="36"/>
              <w:highlight w:val="none"/>
            </w:rPr>
          </w:pPr>
          <w:r>
            <w:rPr>
              <w:sz w:val="36"/>
              <w:szCs w:val="36"/>
              <w:highlight w:val="none"/>
            </w:rPr>
            <w:fldChar w:fldCharType="begin"/>
          </w:r>
          <w:r>
            <w:rPr>
              <w:sz w:val="36"/>
              <w:szCs w:val="36"/>
              <w:highlight w:val="none"/>
            </w:rPr>
            <w:instrText xml:space="preserve"> HYPERLINK \l _Toc28650 </w:instrText>
          </w:r>
          <w:r>
            <w:rPr>
              <w:sz w:val="36"/>
              <w:szCs w:val="36"/>
              <w:highlight w:val="none"/>
            </w:rPr>
            <w:fldChar w:fldCharType="separate"/>
          </w:r>
          <w:r>
            <w:rPr>
              <w:rFonts w:hint="eastAsia" w:ascii="方正小标宋_GBK" w:hAnsi="仿宋" w:eastAsia="方正小标宋_GBK" w:cs="仿宋"/>
              <w:sz w:val="36"/>
              <w:szCs w:val="36"/>
              <w:highlight w:val="none"/>
            </w:rPr>
            <w:t>第一篇  比选邀请书</w:t>
          </w:r>
          <w:r>
            <w:rPr>
              <w:sz w:val="36"/>
              <w:szCs w:val="36"/>
              <w:highlight w:val="none"/>
            </w:rPr>
            <w:tab/>
          </w:r>
          <w:r>
            <w:rPr>
              <w:rFonts w:hint="eastAsia"/>
              <w:sz w:val="36"/>
              <w:szCs w:val="36"/>
              <w:highlight w:val="none"/>
              <w:lang w:val="en-US" w:eastAsia="zh-CN"/>
            </w:rPr>
            <w:t>3</w:t>
          </w:r>
          <w:r>
            <w:rPr>
              <w:sz w:val="36"/>
              <w:szCs w:val="36"/>
              <w:highlight w:val="none"/>
            </w:rPr>
            <w:fldChar w:fldCharType="end"/>
          </w:r>
        </w:p>
        <w:p>
          <w:pPr>
            <w:pStyle w:val="17"/>
            <w:tabs>
              <w:tab w:val="right" w:leader="dot" w:pos="8844"/>
            </w:tabs>
            <w:spacing w:line="900" w:lineRule="exact"/>
            <w:rPr>
              <w:sz w:val="36"/>
              <w:szCs w:val="36"/>
              <w:highlight w:val="none"/>
            </w:rPr>
          </w:pPr>
          <w:r>
            <w:rPr>
              <w:sz w:val="36"/>
              <w:szCs w:val="36"/>
              <w:highlight w:val="none"/>
            </w:rPr>
            <w:fldChar w:fldCharType="begin"/>
          </w:r>
          <w:r>
            <w:rPr>
              <w:sz w:val="36"/>
              <w:szCs w:val="36"/>
              <w:highlight w:val="none"/>
            </w:rPr>
            <w:instrText xml:space="preserve"> HYPERLINK \l _Toc11254 </w:instrText>
          </w:r>
          <w:r>
            <w:rPr>
              <w:sz w:val="36"/>
              <w:szCs w:val="36"/>
              <w:highlight w:val="none"/>
            </w:rPr>
            <w:fldChar w:fldCharType="separate"/>
          </w:r>
          <w:r>
            <w:rPr>
              <w:rFonts w:hint="eastAsia" w:ascii="方正小标宋_GBK" w:hAnsi="仿宋" w:eastAsia="方正小标宋_GBK" w:cs="仿宋"/>
              <w:sz w:val="36"/>
              <w:szCs w:val="36"/>
              <w:highlight w:val="none"/>
            </w:rPr>
            <w:t>第二篇  项目服务需求</w:t>
          </w:r>
          <w:r>
            <w:rPr>
              <w:sz w:val="36"/>
              <w:szCs w:val="36"/>
              <w:highlight w:val="none"/>
            </w:rPr>
            <w:tab/>
          </w:r>
          <w:r>
            <w:rPr>
              <w:rFonts w:hint="eastAsia"/>
              <w:sz w:val="36"/>
              <w:szCs w:val="36"/>
              <w:highlight w:val="none"/>
              <w:lang w:val="en-US" w:eastAsia="zh-CN"/>
            </w:rPr>
            <w:t>4</w:t>
          </w:r>
          <w:r>
            <w:rPr>
              <w:sz w:val="36"/>
              <w:szCs w:val="36"/>
              <w:highlight w:val="none"/>
            </w:rPr>
            <w:fldChar w:fldCharType="end"/>
          </w:r>
        </w:p>
        <w:p>
          <w:pPr>
            <w:pStyle w:val="17"/>
            <w:tabs>
              <w:tab w:val="right" w:leader="dot" w:pos="8844"/>
            </w:tabs>
            <w:spacing w:line="900" w:lineRule="exact"/>
            <w:rPr>
              <w:rFonts w:hint="default" w:eastAsia="宋体"/>
              <w:sz w:val="36"/>
              <w:szCs w:val="36"/>
              <w:highlight w:val="none"/>
              <w:lang w:val="en-US" w:eastAsia="zh-CN"/>
            </w:rPr>
          </w:pPr>
          <w:r>
            <w:rPr>
              <w:sz w:val="36"/>
              <w:szCs w:val="36"/>
              <w:highlight w:val="none"/>
            </w:rPr>
            <w:fldChar w:fldCharType="begin"/>
          </w:r>
          <w:r>
            <w:rPr>
              <w:sz w:val="36"/>
              <w:szCs w:val="36"/>
              <w:highlight w:val="none"/>
            </w:rPr>
            <w:instrText xml:space="preserve"> HYPERLINK \l _Toc23567 </w:instrText>
          </w:r>
          <w:r>
            <w:rPr>
              <w:sz w:val="36"/>
              <w:szCs w:val="36"/>
              <w:highlight w:val="none"/>
            </w:rPr>
            <w:fldChar w:fldCharType="separate"/>
          </w:r>
          <w:r>
            <w:rPr>
              <w:rFonts w:hint="eastAsia" w:ascii="方正小标宋_GBK" w:hAnsi="仿宋" w:eastAsia="方正小标宋_GBK" w:cs="仿宋"/>
              <w:sz w:val="36"/>
              <w:szCs w:val="36"/>
              <w:highlight w:val="none"/>
            </w:rPr>
            <w:t>第三篇  项目商务需求</w:t>
          </w:r>
          <w:r>
            <w:rPr>
              <w:sz w:val="36"/>
              <w:szCs w:val="36"/>
              <w:highlight w:val="none"/>
            </w:rPr>
            <w:tab/>
          </w:r>
          <w:r>
            <w:rPr>
              <w:sz w:val="36"/>
              <w:szCs w:val="36"/>
              <w:highlight w:val="none"/>
            </w:rPr>
            <w:fldChar w:fldCharType="end"/>
          </w:r>
          <w:r>
            <w:rPr>
              <w:rFonts w:hint="eastAsia"/>
              <w:sz w:val="36"/>
              <w:szCs w:val="36"/>
              <w:highlight w:val="none"/>
              <w:lang w:val="en-US" w:eastAsia="zh-CN"/>
            </w:rPr>
            <w:t>14</w:t>
          </w:r>
        </w:p>
        <w:p>
          <w:pPr>
            <w:pStyle w:val="17"/>
            <w:tabs>
              <w:tab w:val="right" w:leader="dot" w:pos="8844"/>
            </w:tabs>
            <w:spacing w:line="900" w:lineRule="exact"/>
            <w:rPr>
              <w:rFonts w:hint="eastAsia" w:eastAsia="宋体"/>
              <w:sz w:val="36"/>
              <w:szCs w:val="36"/>
              <w:highlight w:val="none"/>
              <w:lang w:val="en-US" w:eastAsia="zh-CN"/>
            </w:rPr>
          </w:pPr>
          <w:r>
            <w:rPr>
              <w:sz w:val="36"/>
              <w:szCs w:val="36"/>
              <w:highlight w:val="none"/>
            </w:rPr>
            <w:fldChar w:fldCharType="begin"/>
          </w:r>
          <w:r>
            <w:rPr>
              <w:sz w:val="36"/>
              <w:szCs w:val="36"/>
              <w:highlight w:val="none"/>
            </w:rPr>
            <w:instrText xml:space="preserve"> HYPERLINK \l _Toc10069 </w:instrText>
          </w:r>
          <w:r>
            <w:rPr>
              <w:sz w:val="36"/>
              <w:szCs w:val="36"/>
              <w:highlight w:val="none"/>
            </w:rPr>
            <w:fldChar w:fldCharType="separate"/>
          </w:r>
          <w:r>
            <w:rPr>
              <w:rFonts w:hint="eastAsia" w:ascii="方正小标宋_GBK" w:hAnsi="仿宋" w:eastAsia="方正小标宋_GBK" w:cs="仿宋"/>
              <w:sz w:val="36"/>
              <w:szCs w:val="36"/>
              <w:highlight w:val="none"/>
            </w:rPr>
            <w:t>第四篇  资格审查及评标办法</w:t>
          </w:r>
          <w:r>
            <w:rPr>
              <w:sz w:val="36"/>
              <w:szCs w:val="36"/>
              <w:highlight w:val="none"/>
            </w:rPr>
            <w:tab/>
          </w:r>
          <w:r>
            <w:rPr>
              <w:rFonts w:hint="eastAsia"/>
              <w:sz w:val="36"/>
              <w:szCs w:val="36"/>
              <w:highlight w:val="none"/>
              <w:lang w:val="en-US" w:eastAsia="zh-CN"/>
            </w:rPr>
            <w:t>2</w:t>
          </w:r>
          <w:r>
            <w:rPr>
              <w:sz w:val="36"/>
              <w:szCs w:val="36"/>
              <w:highlight w:val="none"/>
            </w:rPr>
            <w:fldChar w:fldCharType="end"/>
          </w:r>
          <w:r>
            <w:rPr>
              <w:rFonts w:hint="eastAsia"/>
              <w:sz w:val="36"/>
              <w:szCs w:val="36"/>
              <w:highlight w:val="none"/>
              <w:lang w:val="en-US" w:eastAsia="zh-CN"/>
            </w:rPr>
            <w:t>0</w:t>
          </w:r>
        </w:p>
        <w:p>
          <w:pPr>
            <w:pStyle w:val="17"/>
            <w:tabs>
              <w:tab w:val="right" w:leader="dot" w:pos="8844"/>
            </w:tabs>
            <w:spacing w:line="900" w:lineRule="exact"/>
            <w:rPr>
              <w:rFonts w:hint="eastAsia" w:eastAsia="宋体"/>
              <w:sz w:val="36"/>
              <w:szCs w:val="36"/>
              <w:highlight w:val="none"/>
              <w:lang w:val="en-US" w:eastAsia="zh-CN"/>
            </w:rPr>
          </w:pPr>
          <w:r>
            <w:rPr>
              <w:sz w:val="36"/>
              <w:szCs w:val="36"/>
              <w:highlight w:val="none"/>
            </w:rPr>
            <w:fldChar w:fldCharType="begin"/>
          </w:r>
          <w:r>
            <w:rPr>
              <w:sz w:val="36"/>
              <w:szCs w:val="36"/>
              <w:highlight w:val="none"/>
            </w:rPr>
            <w:instrText xml:space="preserve"> HYPERLINK \l _Toc6313 </w:instrText>
          </w:r>
          <w:r>
            <w:rPr>
              <w:sz w:val="36"/>
              <w:szCs w:val="36"/>
              <w:highlight w:val="none"/>
            </w:rPr>
            <w:fldChar w:fldCharType="separate"/>
          </w:r>
          <w:r>
            <w:rPr>
              <w:rFonts w:hint="eastAsia" w:ascii="方正小标宋_GBK" w:hAnsi="仿宋" w:eastAsia="方正小标宋_GBK" w:cs="宋体"/>
              <w:sz w:val="36"/>
              <w:szCs w:val="52"/>
              <w:highlight w:val="none"/>
            </w:rPr>
            <w:t>第五篇 竞选人须知</w:t>
          </w:r>
          <w:r>
            <w:rPr>
              <w:sz w:val="36"/>
              <w:szCs w:val="36"/>
              <w:highlight w:val="none"/>
            </w:rPr>
            <w:tab/>
          </w:r>
          <w:r>
            <w:rPr>
              <w:rFonts w:hint="eastAsia"/>
              <w:sz w:val="36"/>
              <w:szCs w:val="36"/>
              <w:highlight w:val="none"/>
              <w:lang w:val="en-US" w:eastAsia="zh-CN"/>
            </w:rPr>
            <w:t>2</w:t>
          </w:r>
          <w:r>
            <w:rPr>
              <w:sz w:val="36"/>
              <w:szCs w:val="36"/>
              <w:highlight w:val="none"/>
            </w:rPr>
            <w:fldChar w:fldCharType="end"/>
          </w:r>
          <w:r>
            <w:rPr>
              <w:rFonts w:hint="eastAsia"/>
              <w:sz w:val="36"/>
              <w:szCs w:val="36"/>
              <w:highlight w:val="none"/>
              <w:lang w:val="en-US" w:eastAsia="zh-CN"/>
            </w:rPr>
            <w:t>8</w:t>
          </w:r>
        </w:p>
        <w:p>
          <w:pPr>
            <w:pStyle w:val="17"/>
            <w:tabs>
              <w:tab w:val="right" w:leader="dot" w:pos="8844"/>
            </w:tabs>
            <w:spacing w:line="900" w:lineRule="exact"/>
            <w:rPr>
              <w:rFonts w:hint="eastAsia" w:eastAsia="宋体"/>
              <w:sz w:val="36"/>
              <w:szCs w:val="36"/>
              <w:highlight w:val="none"/>
              <w:lang w:val="en-US" w:eastAsia="zh-CN"/>
            </w:rPr>
          </w:pPr>
          <w:r>
            <w:rPr>
              <w:sz w:val="36"/>
              <w:szCs w:val="36"/>
              <w:highlight w:val="none"/>
            </w:rPr>
            <w:fldChar w:fldCharType="begin"/>
          </w:r>
          <w:r>
            <w:rPr>
              <w:sz w:val="36"/>
              <w:szCs w:val="36"/>
              <w:highlight w:val="none"/>
            </w:rPr>
            <w:instrText xml:space="preserve"> HYPERLINK \l _Toc31547 </w:instrText>
          </w:r>
          <w:r>
            <w:rPr>
              <w:sz w:val="36"/>
              <w:szCs w:val="36"/>
              <w:highlight w:val="none"/>
            </w:rPr>
            <w:fldChar w:fldCharType="separate"/>
          </w:r>
          <w:r>
            <w:rPr>
              <w:rFonts w:hint="eastAsia" w:ascii="方正小标宋_GBK" w:hAnsi="仿宋" w:eastAsia="方正小标宋_GBK" w:cs="宋体"/>
              <w:sz w:val="36"/>
              <w:szCs w:val="52"/>
              <w:highlight w:val="none"/>
            </w:rPr>
            <w:t>第六篇  合同主要条款和格式合同（样本）</w:t>
          </w:r>
          <w:r>
            <w:rPr>
              <w:sz w:val="36"/>
              <w:szCs w:val="36"/>
              <w:highlight w:val="none"/>
            </w:rPr>
            <w:tab/>
          </w:r>
          <w:r>
            <w:rPr>
              <w:rFonts w:hint="eastAsia"/>
              <w:sz w:val="36"/>
              <w:szCs w:val="36"/>
              <w:highlight w:val="none"/>
              <w:lang w:val="en-US" w:eastAsia="zh-CN"/>
            </w:rPr>
            <w:t>3</w:t>
          </w:r>
          <w:r>
            <w:rPr>
              <w:sz w:val="36"/>
              <w:szCs w:val="36"/>
              <w:highlight w:val="none"/>
            </w:rPr>
            <w:fldChar w:fldCharType="end"/>
          </w:r>
          <w:r>
            <w:rPr>
              <w:rFonts w:hint="eastAsia"/>
              <w:sz w:val="36"/>
              <w:szCs w:val="36"/>
              <w:highlight w:val="none"/>
              <w:lang w:val="en-US" w:eastAsia="zh-CN"/>
            </w:rPr>
            <w:t>0</w:t>
          </w:r>
        </w:p>
        <w:p>
          <w:pPr>
            <w:pStyle w:val="17"/>
            <w:tabs>
              <w:tab w:val="right" w:leader="dot" w:pos="8844"/>
            </w:tabs>
            <w:spacing w:line="900" w:lineRule="exact"/>
            <w:rPr>
              <w:rFonts w:hint="eastAsia" w:eastAsia="宋体"/>
              <w:sz w:val="36"/>
              <w:szCs w:val="36"/>
              <w:highlight w:val="none"/>
              <w:lang w:val="en-US" w:eastAsia="zh-CN"/>
            </w:rPr>
          </w:pPr>
          <w:r>
            <w:rPr>
              <w:sz w:val="36"/>
              <w:szCs w:val="36"/>
              <w:highlight w:val="none"/>
            </w:rPr>
            <w:fldChar w:fldCharType="begin"/>
          </w:r>
          <w:r>
            <w:rPr>
              <w:sz w:val="36"/>
              <w:szCs w:val="36"/>
              <w:highlight w:val="none"/>
            </w:rPr>
            <w:instrText xml:space="preserve"> HYPERLINK \l _Toc9328 </w:instrText>
          </w:r>
          <w:r>
            <w:rPr>
              <w:sz w:val="36"/>
              <w:szCs w:val="36"/>
              <w:highlight w:val="none"/>
            </w:rPr>
            <w:fldChar w:fldCharType="separate"/>
          </w:r>
          <w:r>
            <w:rPr>
              <w:rFonts w:hint="eastAsia" w:ascii="方正小标宋_GBK" w:hAnsi="仿宋" w:eastAsia="方正小标宋_GBK" w:cs="宋体"/>
              <w:sz w:val="36"/>
              <w:szCs w:val="52"/>
              <w:highlight w:val="none"/>
            </w:rPr>
            <w:t>第七篇  竞选文件格式</w:t>
          </w:r>
          <w:r>
            <w:rPr>
              <w:sz w:val="36"/>
              <w:szCs w:val="36"/>
              <w:highlight w:val="none"/>
            </w:rPr>
            <w:tab/>
          </w:r>
          <w:r>
            <w:rPr>
              <w:rFonts w:hint="eastAsia"/>
              <w:sz w:val="36"/>
              <w:szCs w:val="36"/>
              <w:highlight w:val="none"/>
              <w:lang w:val="en-US" w:eastAsia="zh-CN"/>
            </w:rPr>
            <w:t>3</w:t>
          </w:r>
          <w:r>
            <w:rPr>
              <w:sz w:val="36"/>
              <w:szCs w:val="36"/>
              <w:highlight w:val="none"/>
            </w:rPr>
            <w:fldChar w:fldCharType="end"/>
          </w:r>
          <w:r>
            <w:rPr>
              <w:rFonts w:hint="eastAsia"/>
              <w:sz w:val="36"/>
              <w:szCs w:val="36"/>
              <w:highlight w:val="none"/>
              <w:lang w:val="en-US" w:eastAsia="zh-CN"/>
            </w:rPr>
            <w:t>1</w:t>
          </w:r>
        </w:p>
        <w:p>
          <w:pPr>
            <w:pStyle w:val="17"/>
            <w:tabs>
              <w:tab w:val="right" w:leader="dot" w:pos="9072"/>
            </w:tabs>
            <w:rPr>
              <w:rFonts w:ascii="宋体" w:hAnsi="宋体" w:cs="宋体"/>
              <w:sz w:val="28"/>
              <w:szCs w:val="28"/>
            </w:rPr>
          </w:pPr>
          <w:r>
            <w:rPr>
              <w:highlight w:val="none"/>
            </w:rPr>
            <w:fldChar w:fldCharType="end"/>
          </w:r>
        </w:p>
      </w:sdtContent>
    </w:sdt>
    <w:p>
      <w:pPr>
        <w:rPr>
          <w:rStyle w:val="48"/>
          <w:rFonts w:hint="eastAsia" w:ascii="宋体" w:hAnsi="宋体" w:eastAsia="宋体" w:cs="宋体"/>
          <w:b/>
          <w:kern w:val="0"/>
        </w:rPr>
      </w:pPr>
      <w:r>
        <w:rPr>
          <w:rStyle w:val="48"/>
          <w:rFonts w:hint="eastAsia" w:ascii="宋体" w:hAnsi="宋体" w:eastAsia="宋体" w:cs="宋体"/>
          <w:b/>
          <w:kern w:val="0"/>
        </w:rPr>
        <w:br w:type="page"/>
      </w:r>
    </w:p>
    <w:p>
      <w:pPr>
        <w:pStyle w:val="45"/>
        <w:ind w:left="-765"/>
        <w:outlineLvl w:val="0"/>
        <w:rPr>
          <w:rStyle w:val="48"/>
          <w:rFonts w:ascii="宋体" w:hAnsi="宋体" w:eastAsia="宋体" w:cs="宋体"/>
          <w:b/>
          <w:kern w:val="0"/>
        </w:rPr>
      </w:pPr>
      <w:bookmarkStart w:id="0" w:name="_Toc4594"/>
      <w:r>
        <w:rPr>
          <w:rStyle w:val="48"/>
          <w:rFonts w:hint="eastAsia" w:ascii="宋体" w:hAnsi="宋体" w:eastAsia="宋体" w:cs="宋体"/>
          <w:b/>
          <w:kern w:val="0"/>
        </w:rPr>
        <w:t xml:space="preserve">第一篇  </w:t>
      </w:r>
      <w:r>
        <w:rPr>
          <w:rStyle w:val="48"/>
          <w:rFonts w:hint="eastAsia" w:ascii="宋体" w:hAnsi="宋体" w:eastAsia="宋体" w:cs="宋体"/>
          <w:b/>
          <w:kern w:val="0"/>
          <w:lang w:eastAsia="zh-CN"/>
        </w:rPr>
        <w:t>比选</w:t>
      </w:r>
      <w:r>
        <w:rPr>
          <w:rStyle w:val="48"/>
          <w:rFonts w:hint="eastAsia" w:ascii="宋体" w:hAnsi="宋体" w:eastAsia="宋体" w:cs="宋体"/>
          <w:b/>
          <w:kern w:val="0"/>
        </w:rPr>
        <w:t>邀请书</w:t>
      </w:r>
      <w:bookmarkEnd w:id="0"/>
    </w:p>
    <w:p>
      <w:pPr>
        <w:spacing w:line="360" w:lineRule="auto"/>
        <w:ind w:firstLine="480" w:firstLineChars="200"/>
        <w:rPr>
          <w:rStyle w:val="48"/>
          <w:rFonts w:ascii="宋体" w:hAnsi="宋体" w:cs="宋体"/>
          <w:color w:val="auto"/>
          <w:sz w:val="24"/>
        </w:rPr>
      </w:pPr>
      <w:r>
        <w:rPr>
          <w:rStyle w:val="48"/>
          <w:rFonts w:hint="eastAsia" w:ascii="宋体" w:hAnsi="宋体" w:cs="宋体"/>
          <w:color w:val="auto"/>
          <w:sz w:val="24"/>
          <w:u w:val="single"/>
          <w:lang w:val="en-US" w:eastAsia="zh-CN"/>
        </w:rPr>
        <w:t>垫江县</w:t>
      </w:r>
      <w:r>
        <w:rPr>
          <w:rStyle w:val="48"/>
          <w:rFonts w:hint="eastAsia" w:ascii="宋体" w:hAnsi="宋体" w:cs="宋体"/>
          <w:color w:val="auto"/>
          <w:sz w:val="24"/>
          <w:u w:val="single"/>
          <w:lang w:val="zh-CN"/>
        </w:rPr>
        <w:t>精神卫生中心</w:t>
      </w:r>
      <w:r>
        <w:rPr>
          <w:rStyle w:val="48"/>
          <w:rFonts w:hint="eastAsia" w:ascii="宋体" w:hAnsi="宋体" w:cs="宋体"/>
          <w:color w:val="auto"/>
          <w:sz w:val="24"/>
          <w:u w:val="single"/>
          <w:lang w:val="en-US" w:eastAsia="zh-CN"/>
        </w:rPr>
        <w:t>拟对</w:t>
      </w:r>
      <w:r>
        <w:rPr>
          <w:rStyle w:val="48"/>
          <w:rFonts w:hint="eastAsia" w:ascii="宋体" w:hAnsi="宋体" w:cs="宋体"/>
          <w:color w:val="auto"/>
          <w:sz w:val="24"/>
          <w:u w:val="single"/>
          <w:lang w:val="zh-CN"/>
        </w:rPr>
        <w:t>2025</w:t>
      </w:r>
      <w:r>
        <w:rPr>
          <w:rStyle w:val="48"/>
          <w:rFonts w:hint="eastAsia" w:ascii="宋体" w:hAnsi="宋体" w:cs="宋体"/>
          <w:color w:val="auto"/>
          <w:sz w:val="24"/>
          <w:u w:val="single"/>
          <w:lang w:val="en-US" w:eastAsia="zh-CN"/>
        </w:rPr>
        <w:t>-2026</w:t>
      </w:r>
      <w:r>
        <w:rPr>
          <w:rStyle w:val="48"/>
          <w:rFonts w:hint="eastAsia" w:ascii="宋体" w:hAnsi="宋体" w:cs="宋体"/>
          <w:color w:val="auto"/>
          <w:sz w:val="24"/>
          <w:u w:val="single"/>
          <w:lang w:val="zh-CN"/>
        </w:rPr>
        <w:t>年食堂原材料配送服务</w:t>
      </w:r>
      <w:r>
        <w:rPr>
          <w:rStyle w:val="48"/>
          <w:rFonts w:hint="eastAsia" w:ascii="宋体" w:hAnsi="宋体" w:cs="宋体"/>
          <w:color w:val="auto"/>
          <w:sz w:val="24"/>
          <w:lang w:val="zh-CN"/>
        </w:rPr>
        <w:t>（</w:t>
      </w:r>
      <w:r>
        <w:rPr>
          <w:rStyle w:val="48"/>
          <w:rFonts w:hint="eastAsia" w:ascii="宋体" w:hAnsi="宋体" w:cs="宋体"/>
          <w:color w:val="auto"/>
          <w:sz w:val="24"/>
        </w:rPr>
        <w:t>项目名称</w:t>
      </w:r>
      <w:r>
        <w:rPr>
          <w:rStyle w:val="48"/>
          <w:rFonts w:hint="eastAsia" w:ascii="宋体" w:hAnsi="宋体" w:cs="宋体"/>
          <w:color w:val="auto"/>
          <w:sz w:val="24"/>
          <w:lang w:val="zh-CN"/>
        </w:rPr>
        <w:t>）进行竞争性比选</w:t>
      </w:r>
      <w:r>
        <w:rPr>
          <w:rStyle w:val="48"/>
          <w:rFonts w:hint="eastAsia" w:ascii="宋体" w:hAnsi="宋体" w:cs="宋体"/>
          <w:color w:val="auto"/>
          <w:sz w:val="24"/>
          <w:lang w:val="en-US" w:eastAsia="zh-CN"/>
        </w:rPr>
        <w:t>采购</w:t>
      </w:r>
      <w:r>
        <w:rPr>
          <w:rStyle w:val="48"/>
          <w:rFonts w:hint="eastAsia" w:ascii="宋体" w:hAnsi="宋体" w:cs="宋体"/>
          <w:color w:val="auto"/>
          <w:sz w:val="24"/>
          <w:lang w:val="zh-CN"/>
        </w:rPr>
        <w:t>，欢迎有资格的供应商前来参加</w:t>
      </w:r>
      <w:r>
        <w:rPr>
          <w:rStyle w:val="48"/>
          <w:rFonts w:hint="eastAsia" w:ascii="宋体" w:hAnsi="宋体" w:cs="宋体"/>
          <w:color w:val="auto"/>
          <w:sz w:val="24"/>
          <w:lang w:val="en-US" w:eastAsia="zh-CN"/>
        </w:rPr>
        <w:t>投标</w:t>
      </w:r>
      <w:r>
        <w:rPr>
          <w:rStyle w:val="48"/>
          <w:rFonts w:hint="eastAsia" w:ascii="宋体" w:hAnsi="宋体" w:cs="宋体"/>
          <w:color w:val="auto"/>
          <w:sz w:val="24"/>
          <w:lang w:val="zh-CN"/>
        </w:rPr>
        <w:t>。</w:t>
      </w:r>
    </w:p>
    <w:p>
      <w:pPr>
        <w:pStyle w:val="5"/>
        <w:spacing w:line="360" w:lineRule="auto"/>
        <w:ind w:firstLine="482" w:firstLineChars="200"/>
        <w:rPr>
          <w:rFonts w:hint="eastAsia" w:ascii="宋体" w:hAnsi="宋体" w:eastAsia="宋体" w:cs="宋体"/>
          <w:color w:val="auto"/>
          <w:kern w:val="0"/>
          <w:sz w:val="24"/>
          <w:szCs w:val="24"/>
          <w:lang w:val="zh-CN"/>
        </w:rPr>
      </w:pPr>
      <w:bookmarkStart w:id="1" w:name="_Toc13779"/>
      <w:r>
        <w:rPr>
          <w:rFonts w:hint="eastAsia" w:ascii="宋体" w:hAnsi="宋体" w:eastAsia="宋体" w:cs="宋体"/>
          <w:color w:val="auto"/>
          <w:kern w:val="0"/>
          <w:sz w:val="24"/>
          <w:szCs w:val="24"/>
          <w:lang w:val="en-US" w:eastAsia="zh-CN"/>
        </w:rPr>
        <w:t>一、</w:t>
      </w:r>
      <w:r>
        <w:rPr>
          <w:rFonts w:hint="eastAsia" w:ascii="宋体" w:hAnsi="宋体" w:eastAsia="宋体" w:cs="宋体"/>
          <w:color w:val="auto"/>
          <w:kern w:val="0"/>
          <w:sz w:val="24"/>
          <w:szCs w:val="24"/>
          <w:lang w:val="zh-CN" w:eastAsia="zh-CN"/>
        </w:rPr>
        <w:t>比选</w:t>
      </w:r>
      <w:r>
        <w:rPr>
          <w:rFonts w:hint="eastAsia" w:ascii="宋体" w:hAnsi="宋体" w:eastAsia="宋体" w:cs="宋体"/>
          <w:color w:val="auto"/>
          <w:kern w:val="0"/>
          <w:sz w:val="24"/>
          <w:szCs w:val="24"/>
          <w:lang w:val="zh-CN"/>
        </w:rPr>
        <w:t>采购内容</w:t>
      </w:r>
      <w:bookmarkEnd w:id="1"/>
    </w:p>
    <w:tbl>
      <w:tblPr>
        <w:tblStyle w:val="2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512"/>
        <w:gridCol w:w="1412"/>
        <w:gridCol w:w="1762"/>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3129" w:type="dxa"/>
            <w:noWrap w:val="0"/>
            <w:vAlign w:val="center"/>
          </w:tcPr>
          <w:p>
            <w:pPr>
              <w:snapToGrid w:val="0"/>
              <w:jc w:val="center"/>
              <w:outlineLvl w:val="0"/>
              <w:rPr>
                <w:rFonts w:hint="eastAsia" w:ascii="宋体" w:hAnsi="宋体" w:cs="宋体"/>
                <w:b w:val="0"/>
                <w:bCs/>
                <w:color w:val="000000"/>
                <w:sz w:val="24"/>
                <w:szCs w:val="24"/>
              </w:rPr>
            </w:pPr>
            <w:bookmarkStart w:id="2" w:name="_Toc10388"/>
            <w:r>
              <w:rPr>
                <w:rFonts w:hint="eastAsia" w:ascii="宋体" w:hAnsi="宋体" w:cs="宋体"/>
                <w:b w:val="0"/>
                <w:bCs/>
                <w:color w:val="000000"/>
                <w:sz w:val="24"/>
                <w:szCs w:val="24"/>
              </w:rPr>
              <w:t>项目名称</w:t>
            </w:r>
            <w:bookmarkEnd w:id="2"/>
          </w:p>
        </w:tc>
        <w:tc>
          <w:tcPr>
            <w:tcW w:w="1512" w:type="dxa"/>
            <w:noWrap w:val="0"/>
            <w:vAlign w:val="center"/>
          </w:tcPr>
          <w:p>
            <w:pPr>
              <w:snapToGrid w:val="0"/>
              <w:jc w:val="center"/>
              <w:outlineLvl w:val="0"/>
              <w:rPr>
                <w:rFonts w:hint="eastAsia" w:ascii="宋体" w:hAnsi="宋体" w:eastAsia="宋体" w:cs="宋体"/>
                <w:b w:val="0"/>
                <w:bCs/>
                <w:color w:val="000000"/>
                <w:sz w:val="24"/>
                <w:szCs w:val="24"/>
                <w:lang w:eastAsia="zh-CN"/>
              </w:rPr>
            </w:pPr>
            <w:bookmarkStart w:id="3" w:name="_Toc26445"/>
            <w:r>
              <w:rPr>
                <w:rFonts w:hint="eastAsia" w:ascii="宋体" w:hAnsi="宋体" w:eastAsia="宋体" w:cs="宋体"/>
                <w:b w:val="0"/>
                <w:bCs/>
                <w:color w:val="000000"/>
                <w:sz w:val="24"/>
                <w:szCs w:val="24"/>
                <w:lang w:val="en-US" w:eastAsia="zh-CN"/>
              </w:rPr>
              <w:t>最高折扣率</w:t>
            </w:r>
            <w:bookmarkEnd w:id="3"/>
          </w:p>
        </w:tc>
        <w:tc>
          <w:tcPr>
            <w:tcW w:w="1412" w:type="dxa"/>
            <w:noWrap w:val="0"/>
            <w:vAlign w:val="center"/>
          </w:tcPr>
          <w:p>
            <w:pPr>
              <w:snapToGrid w:val="0"/>
              <w:jc w:val="center"/>
              <w:outlineLvl w:val="0"/>
              <w:rPr>
                <w:rFonts w:hint="eastAsia" w:ascii="宋体" w:hAnsi="宋体" w:eastAsia="宋体" w:cs="宋体"/>
                <w:b w:val="0"/>
                <w:bCs/>
                <w:color w:val="000000"/>
                <w:sz w:val="24"/>
                <w:szCs w:val="24"/>
                <w:lang w:val="en-US" w:eastAsia="zh-CN"/>
              </w:rPr>
            </w:pPr>
            <w:bookmarkStart w:id="4" w:name="_Toc11488"/>
            <w:r>
              <w:rPr>
                <w:rFonts w:hint="eastAsia" w:ascii="宋体" w:hAnsi="宋体" w:eastAsia="宋体" w:cs="宋体"/>
                <w:b w:val="0"/>
                <w:bCs/>
                <w:color w:val="000000"/>
                <w:sz w:val="24"/>
                <w:szCs w:val="24"/>
                <w:lang w:eastAsia="zh-CN"/>
              </w:rPr>
              <w:t>配送服务期（年）</w:t>
            </w:r>
            <w:bookmarkEnd w:id="4"/>
          </w:p>
        </w:tc>
        <w:tc>
          <w:tcPr>
            <w:tcW w:w="1762" w:type="dxa"/>
            <w:noWrap w:val="0"/>
            <w:vAlign w:val="center"/>
          </w:tcPr>
          <w:p>
            <w:pPr>
              <w:snapToGrid w:val="0"/>
              <w:jc w:val="center"/>
              <w:outlineLvl w:val="0"/>
              <w:rPr>
                <w:rFonts w:hint="eastAsia" w:ascii="宋体" w:hAnsi="宋体" w:eastAsia="宋体" w:cs="宋体"/>
                <w:b w:val="0"/>
                <w:bCs/>
                <w:color w:val="000000"/>
                <w:sz w:val="24"/>
                <w:szCs w:val="24"/>
                <w:lang w:val="en-US" w:eastAsia="zh-CN"/>
              </w:rPr>
            </w:pPr>
            <w:bookmarkStart w:id="5" w:name="_Toc1895"/>
            <w:r>
              <w:rPr>
                <w:rFonts w:hint="eastAsia" w:ascii="宋体" w:hAnsi="宋体" w:cs="宋体"/>
                <w:b w:val="0"/>
                <w:bCs/>
                <w:color w:val="000000"/>
                <w:sz w:val="24"/>
                <w:szCs w:val="24"/>
                <w:lang w:val="en-US" w:eastAsia="zh-CN"/>
              </w:rPr>
              <w:t>中标供应商</w:t>
            </w:r>
            <w:r>
              <w:rPr>
                <w:rFonts w:hint="eastAsia" w:ascii="宋体" w:hAnsi="宋体" w:eastAsia="宋体" w:cs="宋体"/>
                <w:b w:val="0"/>
                <w:bCs/>
                <w:color w:val="000000"/>
                <w:sz w:val="24"/>
                <w:szCs w:val="24"/>
                <w:lang w:val="en-US" w:eastAsia="zh-CN"/>
              </w:rPr>
              <w:t>（名）</w:t>
            </w:r>
            <w:bookmarkEnd w:id="5"/>
          </w:p>
        </w:tc>
        <w:tc>
          <w:tcPr>
            <w:tcW w:w="1563" w:type="dxa"/>
            <w:noWrap w:val="0"/>
            <w:vAlign w:val="center"/>
          </w:tcPr>
          <w:p>
            <w:pPr>
              <w:snapToGrid w:val="0"/>
              <w:jc w:val="center"/>
              <w:outlineLvl w:val="0"/>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129" w:type="dxa"/>
            <w:noWrap w:val="0"/>
            <w:vAlign w:val="center"/>
          </w:tcPr>
          <w:p>
            <w:pPr>
              <w:snapToGrid w:val="0"/>
              <w:jc w:val="center"/>
              <w:outlineLvl w:val="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垫江县</w:t>
            </w:r>
            <w:r>
              <w:rPr>
                <w:rFonts w:hint="eastAsia" w:ascii="宋体" w:hAnsi="宋体" w:cs="宋体"/>
                <w:bCs/>
                <w:color w:val="auto"/>
                <w:sz w:val="24"/>
                <w:szCs w:val="24"/>
                <w:highlight w:val="none"/>
                <w:lang w:eastAsia="zh-CN"/>
              </w:rPr>
              <w:t>精神卫生中心2025-2026年食堂原材料配送服务</w:t>
            </w:r>
            <w:r>
              <w:rPr>
                <w:rFonts w:hint="eastAsia" w:ascii="宋体" w:hAnsi="宋体" w:cs="宋体"/>
                <w:bCs/>
                <w:color w:val="auto"/>
                <w:sz w:val="24"/>
                <w:szCs w:val="24"/>
                <w:highlight w:val="none"/>
              </w:rPr>
              <w:t xml:space="preserve"> </w:t>
            </w:r>
          </w:p>
        </w:tc>
        <w:tc>
          <w:tcPr>
            <w:tcW w:w="1512" w:type="dxa"/>
            <w:noWrap w:val="0"/>
            <w:vAlign w:val="center"/>
          </w:tcPr>
          <w:p>
            <w:pPr>
              <w:snapToGrid w:val="0"/>
              <w:jc w:val="center"/>
              <w:outlineLvl w:val="0"/>
              <w:rPr>
                <w:rFonts w:hint="default" w:ascii="宋体" w:hAnsi="宋体" w:eastAsia="宋体" w:cs="宋体"/>
                <w:bCs/>
                <w:color w:val="auto"/>
                <w:sz w:val="24"/>
                <w:szCs w:val="24"/>
                <w:highlight w:val="none"/>
                <w:lang w:val="en-US" w:eastAsia="zh-CN"/>
              </w:rPr>
            </w:pPr>
            <w:bookmarkStart w:id="6" w:name="_Toc23239"/>
            <w:r>
              <w:rPr>
                <w:rFonts w:hint="eastAsia" w:ascii="宋体" w:hAnsi="宋体" w:eastAsia="宋体" w:cs="宋体"/>
                <w:bCs/>
                <w:color w:val="auto"/>
                <w:sz w:val="24"/>
                <w:szCs w:val="24"/>
                <w:highlight w:val="none"/>
                <w:lang w:val="en-US" w:eastAsia="zh-CN"/>
              </w:rPr>
              <w:t>9</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w:t>
            </w:r>
            <w:bookmarkEnd w:id="6"/>
          </w:p>
        </w:tc>
        <w:tc>
          <w:tcPr>
            <w:tcW w:w="1412" w:type="dxa"/>
            <w:noWrap w:val="0"/>
            <w:vAlign w:val="center"/>
          </w:tcPr>
          <w:p>
            <w:pPr>
              <w:snapToGrid w:val="0"/>
              <w:jc w:val="center"/>
              <w:outlineLvl w:val="0"/>
              <w:rPr>
                <w:rFonts w:hint="eastAsia" w:ascii="宋体" w:hAnsi="宋体" w:eastAsia="宋体" w:cs="宋体"/>
                <w:bCs/>
                <w:color w:val="auto"/>
                <w:sz w:val="24"/>
                <w:szCs w:val="24"/>
                <w:highlight w:val="none"/>
                <w:lang w:val="en-US" w:eastAsia="zh-CN"/>
              </w:rPr>
            </w:pPr>
            <w:bookmarkStart w:id="7" w:name="_Toc8217"/>
            <w:r>
              <w:rPr>
                <w:rFonts w:hint="eastAsia" w:ascii="宋体" w:hAnsi="宋体" w:eastAsia="宋体" w:cs="宋体"/>
                <w:bCs/>
                <w:color w:val="auto"/>
                <w:sz w:val="24"/>
                <w:szCs w:val="24"/>
                <w:highlight w:val="none"/>
              </w:rPr>
              <w:t>1</w:t>
            </w:r>
            <w:bookmarkEnd w:id="7"/>
          </w:p>
        </w:tc>
        <w:tc>
          <w:tcPr>
            <w:tcW w:w="1762" w:type="dxa"/>
            <w:noWrap w:val="0"/>
            <w:vAlign w:val="center"/>
          </w:tcPr>
          <w:p>
            <w:pPr>
              <w:snapToGrid w:val="0"/>
              <w:jc w:val="center"/>
              <w:outlineLvl w:val="0"/>
              <w:rPr>
                <w:rFonts w:hint="eastAsia" w:ascii="宋体" w:hAnsi="宋体" w:eastAsia="宋体" w:cs="宋体"/>
                <w:bCs/>
                <w:color w:val="auto"/>
                <w:sz w:val="24"/>
                <w:szCs w:val="24"/>
                <w:highlight w:val="none"/>
                <w:lang w:eastAsia="zh-CN"/>
              </w:rPr>
            </w:pPr>
            <w:r>
              <w:rPr>
                <w:rFonts w:hint="eastAsia" w:ascii="宋体" w:hAnsi="宋体" w:eastAsia="宋体" w:cs="宋体"/>
                <w:b w:val="0"/>
                <w:bCs/>
                <w:color w:val="000000"/>
                <w:sz w:val="24"/>
                <w:szCs w:val="24"/>
                <w:lang w:val="en-US" w:eastAsia="zh-CN"/>
              </w:rPr>
              <w:t>1</w:t>
            </w:r>
          </w:p>
        </w:tc>
        <w:tc>
          <w:tcPr>
            <w:tcW w:w="1563" w:type="dxa"/>
            <w:noWrap w:val="0"/>
            <w:vAlign w:val="center"/>
          </w:tcPr>
          <w:p>
            <w:pPr>
              <w:snapToGrid w:val="0"/>
              <w:jc w:val="center"/>
              <w:outlineLvl w:val="0"/>
              <w:rPr>
                <w:rFonts w:hint="eastAsia" w:ascii="宋体" w:hAnsi="宋体" w:eastAsia="宋体" w:cs="宋体"/>
                <w:bCs/>
                <w:color w:val="auto"/>
                <w:sz w:val="24"/>
                <w:szCs w:val="24"/>
                <w:highlight w:val="none"/>
                <w:lang w:eastAsia="zh-CN"/>
              </w:rPr>
            </w:pPr>
          </w:p>
        </w:tc>
      </w:tr>
    </w:tbl>
    <w:p>
      <w:pPr>
        <w:pStyle w:val="5"/>
        <w:spacing w:line="360" w:lineRule="auto"/>
        <w:ind w:firstLine="482" w:firstLineChars="200"/>
        <w:rPr>
          <w:rFonts w:hint="eastAsia" w:ascii="宋体" w:hAnsi="宋体" w:eastAsia="宋体" w:cs="宋体"/>
          <w:color w:val="auto"/>
          <w:kern w:val="0"/>
          <w:sz w:val="24"/>
          <w:szCs w:val="24"/>
          <w:highlight w:val="none"/>
          <w:lang w:val="en-US" w:eastAsia="zh-CN"/>
        </w:rPr>
      </w:pPr>
      <w:bookmarkStart w:id="8" w:name="_Toc25670"/>
      <w:r>
        <w:rPr>
          <w:rFonts w:hint="eastAsia" w:ascii="宋体" w:hAnsi="宋体" w:eastAsia="宋体" w:cs="宋体"/>
          <w:color w:val="auto"/>
          <w:kern w:val="0"/>
          <w:sz w:val="24"/>
          <w:szCs w:val="24"/>
          <w:highlight w:val="none"/>
          <w:lang w:val="zh-CN"/>
        </w:rPr>
        <w:t>二、比选资格</w:t>
      </w:r>
      <w:r>
        <w:rPr>
          <w:rFonts w:hint="eastAsia" w:ascii="宋体" w:hAnsi="宋体" w:eastAsia="宋体" w:cs="宋体"/>
          <w:color w:val="auto"/>
          <w:kern w:val="0"/>
          <w:sz w:val="24"/>
          <w:szCs w:val="24"/>
          <w:highlight w:val="none"/>
          <w:lang w:val="en-US" w:eastAsia="zh-CN"/>
        </w:rPr>
        <w:t>条件</w:t>
      </w:r>
      <w:bookmarkEnd w:id="8"/>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（一）基本资格条件</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1.具有独立承担民事责任的能力；</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2.具有良好的商业信誉和健全的财务会计制度；</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3.具有履行合同所必需的设备和专业技术能力；</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4.有依法缴纳税收和社会保障资金的良好记录；</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5.三年内在经营活动中无重大违纪记录；</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6.法律、行政法规规定的其他条件。</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（二）特定资格要求：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供应商近五年未受到过行政处罚。（提供信用中国企业查询网页截图或国家企业信用信息公示系统网站查询截图）</w:t>
      </w:r>
    </w:p>
    <w:p>
      <w:pPr>
        <w:pStyle w:val="5"/>
        <w:spacing w:line="360" w:lineRule="auto"/>
        <w:ind w:firstLine="482" w:firstLineChars="200"/>
        <w:rPr>
          <w:rFonts w:hint="eastAsia" w:ascii="宋体" w:hAnsi="宋体" w:eastAsia="宋体" w:cs="宋体"/>
          <w:color w:val="auto"/>
          <w:kern w:val="0"/>
          <w:sz w:val="24"/>
          <w:szCs w:val="24"/>
          <w:highlight w:val="none"/>
          <w:lang w:val="zh-CN" w:eastAsia="zh-CN"/>
        </w:rPr>
      </w:pPr>
      <w:bookmarkStart w:id="9" w:name="_Toc22471"/>
      <w:r>
        <w:rPr>
          <w:rFonts w:hint="eastAsia" w:ascii="宋体" w:hAnsi="宋体" w:eastAsia="宋体" w:cs="宋体"/>
          <w:color w:val="auto"/>
          <w:kern w:val="0"/>
          <w:sz w:val="24"/>
          <w:szCs w:val="24"/>
          <w:highlight w:val="none"/>
          <w:lang w:val="zh-CN" w:eastAsia="zh-CN"/>
        </w:rPr>
        <w:t>三、比选有关说明</w:t>
      </w:r>
      <w:bookmarkEnd w:id="9"/>
    </w:p>
    <w:p>
      <w:pPr>
        <w:snapToGrid w:val="0"/>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凡有意参加竞选的竞选人，请到重庆市垫江县人民政府官网（http://www.cqsdj.gov.cn）政府采购栏目上下载或在代理公司处获取本项目竞争性比选文件以及图纸、澄清等开标前公布的所有项目资料，无论竞选人领取或下载与否，均视为已知晓所有比选内容。</w:t>
      </w:r>
    </w:p>
    <w:p>
      <w:pPr>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w:t>
      </w:r>
      <w:r>
        <w:rPr>
          <w:rFonts w:hint="eastAsia" w:ascii="宋体" w:hAnsi="宋体" w:cs="宋体"/>
          <w:color w:val="auto"/>
          <w:sz w:val="24"/>
          <w:highlight w:val="none"/>
          <w:lang w:eastAsia="zh-CN"/>
        </w:rPr>
        <w:t>比选</w:t>
      </w:r>
      <w:r>
        <w:rPr>
          <w:rFonts w:hint="eastAsia" w:ascii="宋体" w:hAnsi="宋体" w:cs="宋体"/>
          <w:color w:val="auto"/>
          <w:sz w:val="24"/>
          <w:highlight w:val="none"/>
        </w:rPr>
        <w:t>公告期限：自采购公告发布之日起</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个工作日。</w:t>
      </w:r>
    </w:p>
    <w:p>
      <w:pPr>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）竞争性比选文件获取</w:t>
      </w:r>
    </w:p>
    <w:p>
      <w:pPr>
        <w:snapToGrid w:val="0"/>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竞争性比选文件获取期限：202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p>
    <w:p>
      <w:pPr>
        <w:snapToGrid w:val="0"/>
        <w:spacing w:line="42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响应文件递交及开标要求</w:t>
      </w:r>
    </w:p>
    <w:p>
      <w:pPr>
        <w:snapToGrid w:val="0"/>
        <w:spacing w:line="420" w:lineRule="exact"/>
        <w:ind w:firstLine="720" w:firstLineChars="3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线下报名要求：</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（1）响应文件递交地点：</w:t>
      </w:r>
      <w:r>
        <w:rPr>
          <w:rFonts w:hint="eastAsia" w:ascii="宋体" w:hAnsi="宋体" w:cs="宋体"/>
          <w:color w:val="auto"/>
          <w:sz w:val="24"/>
          <w:highlight w:val="none"/>
          <w:lang w:val="zh-CN" w:eastAsia="zh-CN"/>
        </w:rPr>
        <w:t>垫江县精神卫生中心</w:t>
      </w:r>
      <w:r>
        <w:rPr>
          <w:rFonts w:hint="eastAsia" w:ascii="宋体" w:hAnsi="宋体" w:cs="宋体"/>
          <w:color w:val="auto"/>
          <w:sz w:val="24"/>
          <w:highlight w:val="none"/>
          <w:lang w:val="en-US" w:eastAsia="zh-CN"/>
        </w:rPr>
        <w:t>门诊三</w:t>
      </w:r>
      <w:r>
        <w:rPr>
          <w:rFonts w:hint="eastAsia" w:ascii="宋体" w:hAnsi="宋体" w:cs="宋体"/>
          <w:color w:val="auto"/>
          <w:sz w:val="24"/>
          <w:highlight w:val="none"/>
          <w:lang w:val="zh-CN" w:eastAsia="zh-CN"/>
        </w:rPr>
        <w:t>楼</w:t>
      </w:r>
      <w:r>
        <w:rPr>
          <w:rFonts w:hint="eastAsia" w:ascii="宋体" w:hAnsi="宋体" w:cs="宋体"/>
          <w:color w:val="auto"/>
          <w:sz w:val="24"/>
          <w:highlight w:val="none"/>
          <w:lang w:val="en-US" w:eastAsia="zh-CN"/>
        </w:rPr>
        <w:t>会议室。</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（2）响应文件递交开始时间：2025年9月18日8：30北京时间  </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（3）响应文件递交截止时间：2025年9月18日9：00北京时间  </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（4）开标时间：2025年9月 18 日9：00北京时间  </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（5）开标地点：同响应文件递交地点。</w:t>
      </w:r>
    </w:p>
    <w:p>
      <w:pPr>
        <w:snapToGrid w:val="0"/>
        <w:spacing w:line="420" w:lineRule="exact"/>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lang w:val="en-US" w:eastAsia="zh-CN"/>
        </w:rPr>
        <w:t>（7）响应文件份数：响应文件一式两份，其中正本一份，副本一份</w:t>
      </w:r>
      <w:r>
        <w:rPr>
          <w:rFonts w:hint="eastAsia" w:ascii="宋体" w:hAnsi="宋体" w:cs="宋体"/>
          <w:b w:val="0"/>
          <w:bCs w:val="0"/>
          <w:color w:val="auto"/>
          <w:sz w:val="24"/>
          <w:highlight w:val="none"/>
          <w:lang w:eastAsia="zh-CN"/>
        </w:rPr>
        <w:t>。</w:t>
      </w:r>
    </w:p>
    <w:p>
      <w:pPr>
        <w:snapToGrid w:val="0"/>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）供应商须满足以下</w:t>
      </w:r>
      <w:r>
        <w:rPr>
          <w:rFonts w:hint="eastAsia" w:ascii="宋体" w:hAnsi="宋体" w:cs="宋体"/>
          <w:color w:val="auto"/>
          <w:sz w:val="24"/>
          <w:highlight w:val="none"/>
          <w:lang w:eastAsia="zh-CN"/>
        </w:rPr>
        <w:t>两</w:t>
      </w:r>
      <w:r>
        <w:rPr>
          <w:rFonts w:hint="eastAsia" w:ascii="宋体" w:hAnsi="宋体" w:cs="宋体"/>
          <w:color w:val="auto"/>
          <w:sz w:val="24"/>
          <w:highlight w:val="none"/>
        </w:rPr>
        <w:t>种要件，其响应文件才被接</w:t>
      </w:r>
      <w:r>
        <w:rPr>
          <w:rFonts w:hint="eastAsia" w:ascii="宋体" w:hAnsi="宋体" w:cs="宋体"/>
          <w:color w:val="auto"/>
          <w:sz w:val="24"/>
          <w:highlight w:val="none"/>
          <w:lang w:val="en-US" w:eastAsia="zh-CN"/>
        </w:rPr>
        <w:t>收</w:t>
      </w:r>
      <w:r>
        <w:rPr>
          <w:rFonts w:hint="eastAsia" w:ascii="宋体" w:hAnsi="宋体" w:cs="宋体"/>
          <w:color w:val="auto"/>
          <w:sz w:val="24"/>
          <w:highlight w:val="none"/>
        </w:rPr>
        <w:t>：</w:t>
      </w:r>
    </w:p>
    <w:p>
      <w:pPr>
        <w:snapToGrid w:val="0"/>
        <w:spacing w:line="42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1.根据竞争性比选文件要求按时完成竞争性比选文件获取；</w:t>
      </w:r>
    </w:p>
    <w:p>
      <w:pPr>
        <w:snapToGrid w:val="0"/>
        <w:spacing w:line="42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2.按时递交了响应文件。</w:t>
      </w:r>
    </w:p>
    <w:p>
      <w:pPr>
        <w:pStyle w:val="5"/>
        <w:spacing w:line="360" w:lineRule="auto"/>
        <w:ind w:firstLine="482" w:firstLineChars="200"/>
        <w:rPr>
          <w:rFonts w:hint="eastAsia" w:ascii="宋体" w:hAnsi="宋体" w:eastAsia="宋体" w:cs="宋体"/>
          <w:color w:val="auto"/>
          <w:kern w:val="0"/>
          <w:sz w:val="24"/>
          <w:szCs w:val="24"/>
          <w:highlight w:val="none"/>
          <w:lang w:eastAsia="zh-CN"/>
        </w:rPr>
      </w:pPr>
      <w:bookmarkStart w:id="10" w:name="_Toc16343"/>
      <w:bookmarkStart w:id="11" w:name="_Toc9052"/>
      <w:bookmarkStart w:id="12" w:name="_Toc15405"/>
      <w:bookmarkStart w:id="13" w:name="_Toc2917"/>
      <w:bookmarkStart w:id="14" w:name="_Toc24341"/>
      <w:bookmarkStart w:id="15" w:name="_Toc24032"/>
      <w:bookmarkStart w:id="16" w:name="_Toc9728"/>
      <w:bookmarkStart w:id="17" w:name="_Toc26053"/>
      <w:bookmarkStart w:id="18" w:name="_Toc26362"/>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保证金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无</w:t>
      </w:r>
      <w:r>
        <w:rPr>
          <w:rFonts w:hint="eastAsia" w:ascii="宋体" w:hAnsi="宋体" w:eastAsia="宋体" w:cs="宋体"/>
          <w:color w:val="auto"/>
          <w:kern w:val="0"/>
          <w:sz w:val="24"/>
          <w:szCs w:val="24"/>
          <w:highlight w:val="none"/>
          <w:lang w:eastAsia="zh-CN"/>
        </w:rPr>
        <w:t>。</w:t>
      </w:r>
      <w:bookmarkEnd w:id="10"/>
    </w:p>
    <w:p>
      <w:pPr>
        <w:pStyle w:val="5"/>
        <w:spacing w:line="360" w:lineRule="auto"/>
        <w:ind w:firstLine="482" w:firstLineChars="200"/>
        <w:rPr>
          <w:rFonts w:hint="eastAsia" w:ascii="宋体" w:hAnsi="宋体" w:eastAsia="宋体" w:cs="宋体"/>
          <w:color w:val="auto"/>
          <w:kern w:val="0"/>
          <w:sz w:val="24"/>
          <w:szCs w:val="24"/>
          <w:highlight w:val="none"/>
        </w:rPr>
      </w:pPr>
      <w:bookmarkStart w:id="19" w:name="_Toc4704"/>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其它有关规定</w:t>
      </w:r>
      <w:bookmarkEnd w:id="11"/>
      <w:bookmarkEnd w:id="12"/>
      <w:bookmarkEnd w:id="13"/>
      <w:bookmarkEnd w:id="14"/>
      <w:bookmarkEnd w:id="15"/>
      <w:bookmarkEnd w:id="16"/>
      <w:bookmarkEnd w:id="17"/>
      <w:bookmarkEnd w:id="18"/>
      <w:bookmarkEnd w:id="19"/>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（一）单位负责人为同一人或者存在直接控股、管理关系的不同供应商，不得参加同一合同项（包）下的采购活动。</w:t>
      </w:r>
    </w:p>
    <w:p>
      <w:pPr>
        <w:snapToGrid w:val="0"/>
        <w:spacing w:line="420" w:lineRule="exact"/>
        <w:ind w:firstLine="480" w:firstLineChars="200"/>
        <w:rPr>
          <w:rFonts w:hint="eastAsia" w:ascii="宋体" w:hAnsi="宋体" w:cs="宋体"/>
          <w:color w:val="auto"/>
          <w:sz w:val="24"/>
          <w:highlight w:val="yellow"/>
          <w:lang w:val="en-US" w:eastAsia="zh-CN"/>
        </w:rPr>
      </w:pPr>
      <w:r>
        <w:rPr>
          <w:rFonts w:hint="eastAsia" w:ascii="宋体" w:hAnsi="宋体" w:cs="宋体"/>
          <w:color w:val="auto"/>
          <w:sz w:val="24"/>
          <w:highlight w:val="none"/>
          <w:lang w:val="en-US" w:eastAsia="zh-CN"/>
        </w:rPr>
        <w:t>（二）为采购项目提供整体设计、规范编制或者项目管理、监理、检测等服务的供应商，不得再参加该采购项目的其他采购活动。</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（三）超过递交和邮寄收件截止时间的响应文件，恕不接收。</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（四）比选费用：无论比选结果如何，供应商参与本项目比选的所有费用均应由供应商自行承担。</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（五）本项目不接受联合体参与投标。</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（六）本项目不接受合同分包。</w:t>
      </w:r>
    </w:p>
    <w:p>
      <w:pPr>
        <w:pStyle w:val="5"/>
        <w:spacing w:line="360" w:lineRule="auto"/>
        <w:ind w:firstLine="482" w:firstLineChars="200"/>
        <w:rPr>
          <w:rFonts w:hint="eastAsia" w:ascii="宋体" w:hAnsi="宋体" w:eastAsia="宋体" w:cs="宋体"/>
          <w:color w:val="auto"/>
          <w:kern w:val="0"/>
          <w:sz w:val="24"/>
          <w:szCs w:val="24"/>
          <w:highlight w:val="none"/>
          <w:lang w:val="zh-CN"/>
        </w:rPr>
      </w:pPr>
      <w:bookmarkStart w:id="20" w:name="_Toc17223"/>
      <w:r>
        <w:rPr>
          <w:rFonts w:hint="eastAsia" w:ascii="宋体" w:hAnsi="宋体" w:eastAsia="宋体" w:cs="宋体"/>
          <w:color w:val="auto"/>
          <w:kern w:val="0"/>
          <w:sz w:val="24"/>
          <w:szCs w:val="24"/>
          <w:highlight w:val="none"/>
        </w:rPr>
        <w:t>六</w:t>
      </w:r>
      <w:r>
        <w:rPr>
          <w:rFonts w:hint="eastAsia" w:ascii="宋体" w:hAnsi="宋体" w:eastAsia="宋体" w:cs="宋体"/>
          <w:color w:val="auto"/>
          <w:kern w:val="0"/>
          <w:sz w:val="24"/>
          <w:szCs w:val="24"/>
          <w:highlight w:val="none"/>
          <w:lang w:val="zh-CN"/>
        </w:rPr>
        <w:t>、联系方式</w:t>
      </w:r>
      <w:bookmarkEnd w:id="20"/>
    </w:p>
    <w:p>
      <w:pPr>
        <w:snapToGrid w:val="0"/>
        <w:spacing w:line="420" w:lineRule="exact"/>
        <w:ind w:firstLine="480" w:firstLineChars="200"/>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（一）采购人</w:t>
      </w:r>
      <w:r>
        <w:rPr>
          <w:rFonts w:hint="eastAsia" w:ascii="宋体" w:hAnsi="宋体" w:cs="宋体"/>
          <w:color w:val="auto"/>
          <w:sz w:val="24"/>
          <w:highlight w:val="none"/>
          <w:lang w:val="zh-CN" w:eastAsia="zh-CN"/>
        </w:rPr>
        <w:t>：垫江县精神卫生中心</w:t>
      </w:r>
    </w:p>
    <w:p>
      <w:pPr>
        <w:snapToGrid w:val="0"/>
        <w:spacing w:line="42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联系人：贺老师</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电  话：13609470922</w:t>
      </w:r>
    </w:p>
    <w:p>
      <w:pPr>
        <w:snapToGrid w:val="0"/>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地  址：重庆市垫江县新民镇南印寺村1组</w:t>
      </w:r>
    </w:p>
    <w:p>
      <w:pPr>
        <w:spacing w:line="360" w:lineRule="auto"/>
        <w:ind w:firstLine="1080" w:firstLineChars="300"/>
        <w:rPr>
          <w:rFonts w:hint="eastAsia" w:ascii="宋体" w:hAnsi="宋体" w:cs="宋体"/>
          <w:sz w:val="36"/>
          <w:szCs w:val="30"/>
        </w:rPr>
      </w:pPr>
      <w:bookmarkStart w:id="21" w:name="_Toc505"/>
      <w:bookmarkStart w:id="22" w:name="_Toc522004368"/>
      <w:bookmarkStart w:id="23" w:name="_Toc20036"/>
      <w:bookmarkStart w:id="24" w:name="_Toc522003931"/>
      <w:r>
        <w:rPr>
          <w:rFonts w:hint="eastAsia" w:ascii="宋体" w:hAnsi="宋体" w:cs="宋体"/>
          <w:sz w:val="36"/>
          <w:szCs w:val="30"/>
        </w:rPr>
        <w:br w:type="page"/>
      </w:r>
      <w:bookmarkEnd w:id="21"/>
      <w:bookmarkEnd w:id="22"/>
      <w:bookmarkEnd w:id="23"/>
      <w:bookmarkEnd w:id="24"/>
      <w:bookmarkStart w:id="25" w:name="_Toc495396926"/>
    </w:p>
    <w:p>
      <w:pPr>
        <w:rPr>
          <w:rStyle w:val="48"/>
          <w:rFonts w:hint="eastAsia" w:ascii="宋体" w:hAnsi="宋体" w:cs="宋体"/>
          <w:kern w:val="0"/>
        </w:rPr>
      </w:pPr>
    </w:p>
    <w:p>
      <w:pPr>
        <w:pStyle w:val="4"/>
        <w:spacing w:before="0" w:after="0" w:line="360" w:lineRule="auto"/>
        <w:jc w:val="center"/>
        <w:rPr>
          <w:rFonts w:hint="eastAsia" w:ascii="宋体" w:hAnsi="宋体" w:eastAsia="宋体" w:cs="宋体"/>
          <w:bCs w:val="0"/>
          <w:color w:val="auto"/>
          <w:sz w:val="36"/>
          <w:szCs w:val="30"/>
          <w:highlight w:val="none"/>
          <w:lang w:eastAsia="zh-CN"/>
        </w:rPr>
      </w:pPr>
      <w:bookmarkStart w:id="26" w:name="_Toc7422"/>
      <w:r>
        <w:rPr>
          <w:rStyle w:val="48"/>
          <w:rFonts w:hint="eastAsia" w:ascii="宋体" w:hAnsi="宋体" w:cs="宋体"/>
          <w:color w:val="auto"/>
          <w:kern w:val="0"/>
          <w:highlight w:val="none"/>
        </w:rPr>
        <w:t xml:space="preserve">第二篇  </w:t>
      </w:r>
      <w:r>
        <w:rPr>
          <w:rStyle w:val="48"/>
          <w:rFonts w:hint="eastAsia" w:ascii="宋体" w:hAnsi="宋体" w:cs="宋体"/>
          <w:color w:val="auto"/>
          <w:kern w:val="0"/>
          <w:highlight w:val="none"/>
          <w:lang w:val="en-US" w:eastAsia="zh-CN"/>
        </w:rPr>
        <w:t>项目</w:t>
      </w:r>
      <w:r>
        <w:rPr>
          <w:rStyle w:val="48"/>
          <w:rFonts w:hint="eastAsia" w:ascii="宋体" w:hAnsi="宋体" w:cs="宋体"/>
          <w:color w:val="auto"/>
          <w:kern w:val="0"/>
          <w:highlight w:val="none"/>
          <w:lang w:eastAsia="zh-CN"/>
        </w:rPr>
        <w:t>服务需求</w:t>
      </w:r>
      <w:bookmarkEnd w:id="26"/>
    </w:p>
    <w:bookmarkEnd w:id="25"/>
    <w:p>
      <w:pPr>
        <w:pStyle w:val="5"/>
        <w:spacing w:line="360" w:lineRule="auto"/>
        <w:ind w:firstLine="482" w:firstLineChars="200"/>
        <w:rPr>
          <w:rFonts w:hint="eastAsia" w:ascii="宋体" w:hAnsi="宋体" w:eastAsia="宋体" w:cs="宋体"/>
          <w:b/>
          <w:bCs/>
          <w:color w:val="auto"/>
          <w:kern w:val="0"/>
          <w:sz w:val="24"/>
          <w:szCs w:val="24"/>
          <w:highlight w:val="none"/>
          <w:lang w:val="en-US" w:eastAsia="zh-CN"/>
        </w:rPr>
      </w:pPr>
      <w:bookmarkStart w:id="27" w:name="_Toc2938"/>
      <w:bookmarkStart w:id="28" w:name="_Toc6488"/>
      <w:r>
        <w:rPr>
          <w:rFonts w:hint="eastAsia" w:ascii="宋体" w:hAnsi="宋体" w:eastAsia="宋体" w:cs="宋体"/>
          <w:b/>
          <w:bCs/>
          <w:color w:val="auto"/>
          <w:kern w:val="0"/>
          <w:sz w:val="24"/>
          <w:szCs w:val="24"/>
          <w:highlight w:val="none"/>
          <w:lang w:val="en-US" w:eastAsia="zh-CN"/>
        </w:rPr>
        <w:t>一、项目一览表</w:t>
      </w:r>
    </w:p>
    <w:tbl>
      <w:tblPr>
        <w:tblStyle w:val="2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21"/>
        <w:gridCol w:w="2500"/>
        <w:gridCol w:w="1972"/>
        <w:gridCol w:w="937"/>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56"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94"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品目</w:t>
            </w: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标的名称</w:t>
            </w:r>
          </w:p>
        </w:tc>
        <w:tc>
          <w:tcPr>
            <w:tcW w:w="1012"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采购标的对应的中小企业划分标准所属行业</w:t>
            </w:r>
          </w:p>
        </w:tc>
        <w:tc>
          <w:tcPr>
            <w:tcW w:w="481"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572"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294"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肉类</w:t>
            </w: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猪肉类</w:t>
            </w:r>
          </w:p>
        </w:tc>
        <w:tc>
          <w:tcPr>
            <w:tcW w:w="1012"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其他未列明行业</w:t>
            </w:r>
          </w:p>
        </w:tc>
        <w:tc>
          <w:tcPr>
            <w:tcW w:w="481"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1批</w:t>
            </w:r>
          </w:p>
        </w:tc>
        <w:tc>
          <w:tcPr>
            <w:tcW w:w="572"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中标供应商</w:t>
            </w:r>
            <w:r>
              <w:rPr>
                <w:rFonts w:hint="eastAsia" w:ascii="宋体" w:hAnsi="宋体" w:eastAsia="宋体" w:cs="宋体"/>
                <w:color w:val="auto"/>
                <w:sz w:val="24"/>
                <w:highlight w:val="none"/>
                <w:lang w:val="en-US" w:eastAsia="zh-CN"/>
              </w:rPr>
              <w:t>所提供产品必须为中国境内生产。</w:t>
            </w:r>
          </w:p>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中标供应商</w:t>
            </w:r>
            <w:r>
              <w:rPr>
                <w:rFonts w:hint="eastAsia" w:ascii="宋体" w:hAnsi="宋体" w:eastAsia="宋体" w:cs="宋体"/>
                <w:color w:val="auto"/>
                <w:sz w:val="24"/>
                <w:highlight w:val="none"/>
                <w:lang w:val="en-US" w:eastAsia="zh-CN"/>
              </w:rPr>
              <w:t>超过最高折扣的报价为无效报价。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牛肉类</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羊肉</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鸡、鸭、鹅、兔等家禽家畜</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鱼虾等水产</w:t>
            </w:r>
            <w:r>
              <w:rPr>
                <w:rFonts w:hint="eastAsia" w:ascii="宋体" w:hAnsi="宋体" w:cs="宋体"/>
                <w:color w:val="auto"/>
                <w:sz w:val="24"/>
                <w:highlight w:val="none"/>
                <w:lang w:val="en-US" w:eastAsia="zh-CN"/>
              </w:rPr>
              <w:t>水发</w:t>
            </w:r>
            <w:r>
              <w:rPr>
                <w:rFonts w:hint="eastAsia" w:ascii="宋体" w:hAnsi="宋体" w:eastAsia="宋体" w:cs="宋体"/>
                <w:color w:val="auto"/>
                <w:sz w:val="24"/>
                <w:highlight w:val="none"/>
                <w:lang w:val="en-US" w:eastAsia="zh-CN"/>
              </w:rPr>
              <w:t>类</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禽蛋</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冻品</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294"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米面油干货、 调料及副食品类</w:t>
            </w: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米及米制品</w:t>
            </w:r>
          </w:p>
        </w:tc>
        <w:tc>
          <w:tcPr>
            <w:tcW w:w="1012"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其他未列明行业</w:t>
            </w:r>
          </w:p>
        </w:tc>
        <w:tc>
          <w:tcPr>
            <w:tcW w:w="481"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1批</w:t>
            </w: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面粉及面制品</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食用油</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shd w:val="clear" w:color="auto" w:fill="auto"/>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干货、副食、杂粮、调料等</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294"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蔬菜类、瓜果、豆制品类</w:t>
            </w: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各类绿色蔬菜</w:t>
            </w:r>
          </w:p>
        </w:tc>
        <w:tc>
          <w:tcPr>
            <w:tcW w:w="1012"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其他未列明行业</w:t>
            </w:r>
          </w:p>
        </w:tc>
        <w:tc>
          <w:tcPr>
            <w:tcW w:w="481" w:type="pct"/>
            <w:vMerge w:val="restar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1批</w:t>
            </w: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瓜果</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94"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豆类及豆制品</w:t>
            </w:r>
          </w:p>
        </w:tc>
        <w:tc>
          <w:tcPr>
            <w:tcW w:w="101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81"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6"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294"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饮品类</w:t>
            </w:r>
          </w:p>
        </w:tc>
        <w:tc>
          <w:tcPr>
            <w:tcW w:w="1283"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奶制品、饮用水</w:t>
            </w:r>
          </w:p>
        </w:tc>
        <w:tc>
          <w:tcPr>
            <w:tcW w:w="1012"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其他未列明行业</w:t>
            </w:r>
          </w:p>
        </w:tc>
        <w:tc>
          <w:tcPr>
            <w:tcW w:w="481" w:type="pct"/>
            <w:noWrap w:val="0"/>
            <w:vAlign w:val="center"/>
          </w:tcPr>
          <w:p>
            <w:pPr>
              <w:snapToGrid w:val="0"/>
              <w:spacing w:line="4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1批</w:t>
            </w:r>
          </w:p>
        </w:tc>
        <w:tc>
          <w:tcPr>
            <w:tcW w:w="572" w:type="pct"/>
            <w:vMerge w:val="continue"/>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356" w:type="pct"/>
            <w:noWrap w:val="0"/>
            <w:vAlign w:val="center"/>
          </w:tcPr>
          <w:p>
            <w:pPr>
              <w:snapToGrid w:val="0"/>
              <w:spacing w:line="420" w:lineRule="exact"/>
              <w:ind w:firstLine="480" w:firstLineChars="200"/>
              <w:jc w:val="center"/>
              <w:rPr>
                <w:rFonts w:hint="eastAsia" w:ascii="宋体" w:hAnsi="宋体" w:eastAsia="宋体" w:cs="宋体"/>
                <w:color w:val="auto"/>
                <w:sz w:val="24"/>
                <w:highlight w:val="none"/>
                <w:lang w:val="en-US" w:eastAsia="zh-CN"/>
              </w:rPr>
            </w:pPr>
          </w:p>
        </w:tc>
        <w:tc>
          <w:tcPr>
            <w:tcW w:w="4643" w:type="pct"/>
            <w:gridSpan w:val="5"/>
            <w:noWrap w:val="0"/>
            <w:vAlign w:val="center"/>
          </w:tcPr>
          <w:p>
            <w:pPr>
              <w:snapToGrid w:val="0"/>
              <w:spacing w:line="420" w:lineRule="exact"/>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备注：本次采购的品目包括但不限于以上表格中的采购品目，结算时以实际产生的数量和金额为准。</w:t>
            </w:r>
          </w:p>
        </w:tc>
      </w:tr>
    </w:tbl>
    <w:p>
      <w:pPr>
        <w:rPr>
          <w:rFonts w:hint="eastAsia"/>
          <w:lang w:val="en-US" w:eastAsia="zh-CN"/>
        </w:rPr>
      </w:pPr>
    </w:p>
    <w:p>
      <w:pPr>
        <w:pStyle w:val="5"/>
        <w:spacing w:line="360" w:lineRule="auto"/>
        <w:ind w:firstLine="482" w:firstLineChars="200"/>
        <w:rPr>
          <w:rFonts w:hint="eastAsia" w:ascii="宋体" w:hAnsi="宋体" w:eastAsia="宋体" w:cs="宋体"/>
          <w:b w:val="0"/>
          <w:bCs w:val="0"/>
          <w:color w:val="auto"/>
          <w:kern w:val="0"/>
          <w:sz w:val="24"/>
          <w:szCs w:val="24"/>
          <w:highlight w:val="none"/>
          <w:lang w:val="en-US" w:eastAsia="zh-CN" w:bidi="ar-SA"/>
        </w:rPr>
      </w:pPr>
      <w:bookmarkStart w:id="29" w:name="_Toc24627"/>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食材需求及质量要</w:t>
      </w:r>
      <w:r>
        <w:rPr>
          <w:rFonts w:hint="eastAsia" w:ascii="宋体" w:hAnsi="宋体" w:eastAsia="宋体" w:cs="宋体"/>
          <w:color w:val="auto"/>
          <w:kern w:val="0"/>
          <w:sz w:val="24"/>
          <w:szCs w:val="24"/>
          <w:highlight w:val="none"/>
          <w:lang w:val="en-US" w:eastAsia="zh-CN"/>
        </w:rPr>
        <w:t>求</w:t>
      </w:r>
      <w:bookmarkEnd w:id="29"/>
    </w:p>
    <w:p>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本项目为垫江县精神卫生中心2025-2026年食堂原材料配送服务，就餐人数约730人，其配送品目为：肉类</w:t>
      </w:r>
      <w:r>
        <w:rPr>
          <w:rFonts w:hint="eastAsia" w:ascii="宋体" w:hAnsi="宋体" w:cs="宋体"/>
          <w:b w:val="0"/>
          <w:bCs w:val="0"/>
          <w:color w:val="auto"/>
          <w:kern w:val="0"/>
          <w:sz w:val="24"/>
          <w:szCs w:val="24"/>
          <w:highlight w:val="none"/>
          <w:lang w:val="en-US" w:eastAsia="zh-CN" w:bidi="ar-SA"/>
        </w:rPr>
        <w:t>；</w:t>
      </w:r>
      <w:r>
        <w:rPr>
          <w:rFonts w:hint="eastAsia" w:ascii="宋体" w:hAnsi="宋体" w:eastAsia="宋体" w:cs="宋体"/>
          <w:color w:val="auto"/>
          <w:sz w:val="24"/>
          <w:highlight w:val="none"/>
          <w:lang w:val="en-US" w:eastAsia="zh-CN"/>
        </w:rPr>
        <w:t>米面油干货、 调料及副食品类；蔬菜类、瓜果、豆制品类；饮品类。</w:t>
      </w:r>
      <w:r>
        <w:rPr>
          <w:rFonts w:hint="eastAsia" w:ascii="宋体" w:hAnsi="宋体" w:eastAsia="宋体" w:cs="宋体"/>
          <w:b w:val="0"/>
          <w:bCs w:val="0"/>
          <w:color w:val="auto"/>
          <w:kern w:val="0"/>
          <w:sz w:val="24"/>
          <w:szCs w:val="24"/>
          <w:highlight w:val="none"/>
          <w:lang w:val="en-US" w:eastAsia="zh-CN" w:bidi="ar-SA"/>
        </w:rPr>
        <w:t>配送商品中所有带皮的肉类和禽类都需要进行烧皮处理。</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“※”标注的技术需求为符合性审查中的实质性要求，若不满足按无效投标处理。</w:t>
      </w:r>
    </w:p>
    <w:p>
      <w:pPr>
        <w:pStyle w:val="5"/>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(一)质量标准：</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1.肉类质量标准</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肉类产品须为当天宰杀热鲜肉，肉类产品肉质有弹性，手指轻按，凹陷地方马上恢复，脂肪为白色或乳白色，整体色泽光润，切面红色、微微湿润但不粘手；具有猪（牛、羊等）肉固有气味，无异味；无淤血、无注水，无寄生虫、表皮正常、无毛无根附着（烧皮）。配送的鲜肉类必须在定点屠宰场(或宰杀店)宰杀加工，并经动物卫生检疫机构检疫合格，加盖检疫合格印章和屠宰场印章，猪肉类产品须提供生产厂家的《生猪定点屠宰证》；所有肉类产品须提供生产厂家《动物防疫条件合格证》；猪肉类产品须提供《动物产品检疫合格证》《肉品品质检验合格证》；其他肉类产品须提供《动物产品检疫合格证》。</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（2）鲜鸡肉类</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眼球饱满，皮肤有光泽，淡黄或灰白色，肌肉切后而有光泽。外表微干或微湿，不粘手，弹性良好，指压后凹陷立即恢复，正常气味。无长毛及毛、毛根、口腔及宰杀刀口无血污杂质，无紫斑瘀血净腔禽腹内无过多脂肪，腹下刀口，不过长刀口整齐，鲜鸡当天杀当天送。</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（3）鲜鹅和鸭肉类</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眼球平坦，皮肤有光泽，乳白或淡红色，肌肉切后而有光泽。外表稍湿润，不粘手，指压后凹陷立即恢复。鸭固有的正常气味，无长毛及绒毛，毛根口腔及宰杀刀口失血污、无紫斑瘀血、净膛、腹内无过多脂肪、腹下刀口，不过长，刀口齐整，鲜鹅和鸭肉类当天杀当天送。</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（4）鲜兔类</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肌肉呈均匀的鲜红色，有光泽；脂肪呈白色或微黄色。有弹性，指压后的凹陷部位可很快恢复。具有鲜兔肉正常气味，无异味。煮沸后肉汤澄清透明，脂肪团聚于液面，有兔肉香味。</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（5）禽蛋类</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外壳完整、洁净，将鲜蛋打开之后，蛋壳内部应为纯白蛋，不能有斑点或污浊，卵白透明，卵黄膜不破裂，卵黄卵白分明，不能有血管形成，不能有腐败等异臭味。光照试验：右手持蛋，左手遮盖光线透视，新鲜蛋整个呈微红色，陈蛋有暗影，腐蛋暗影更多或不透明。振荡试验：将蛋握在手中，使其摇动，新鲜蛋无哑板声，内容物无流动感，无活动声；陈旧蛋由于水分蒸发，内容物缩小，有振荡声。</w:t>
      </w:r>
    </w:p>
    <w:p>
      <w:pPr>
        <w:numPr>
          <w:ilvl w:val="0"/>
          <w:numId w:val="0"/>
        </w:numPr>
        <w:ind w:firstLine="480" w:firstLineChars="200"/>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（6）冻品类</w:t>
      </w:r>
    </w:p>
    <w:p>
      <w:pPr>
        <w:pStyle w:val="89"/>
        <w:keepNext w:val="0"/>
        <w:keepLines w:val="0"/>
        <w:pageBreakBefore w:val="0"/>
        <w:widowControl/>
        <w:kinsoku/>
        <w:wordWrap w:val="0"/>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ascii="宋体" w:hAnsi="宋体" w:eastAsia="宋体" w:cs="宋体"/>
          <w:bCs/>
          <w:i w:val="0"/>
          <w:iCs/>
          <w:color w:val="auto"/>
          <w:sz w:val="24"/>
          <w:szCs w:val="24"/>
          <w:highlight w:val="none"/>
          <w:lang w:val="en-US" w:eastAsia="zh-CN"/>
        </w:rPr>
      </w:pPr>
      <w:r>
        <w:rPr>
          <w:rFonts w:hint="eastAsia" w:ascii="宋体" w:hAnsi="宋体" w:eastAsia="宋体" w:cs="宋体"/>
          <w:bCs/>
          <w:i w:val="0"/>
          <w:iCs/>
          <w:color w:val="auto"/>
          <w:sz w:val="24"/>
          <w:szCs w:val="24"/>
          <w:highlight w:val="none"/>
          <w:lang w:val="en-US" w:eastAsia="zh-CN"/>
        </w:rPr>
        <w:t>所有产品为包装食品；包装完整、无破损，无冰块，无风干、无发霉、无变色、无变味、无杂质等现象。包装袋上须有生产日期、保质期、生产厂家和SC编码，符合国家最新相关检查标准。货物送达征集人所属分拣中心当日所剩余的有效质保期大于货物原总质保期的</w:t>
      </w:r>
      <w:r>
        <w:rPr>
          <w:rFonts w:hint="eastAsia" w:ascii="宋体" w:hAnsi="宋体" w:cs="宋体"/>
          <w:bCs/>
          <w:i w:val="0"/>
          <w:iCs/>
          <w:color w:val="auto"/>
          <w:sz w:val="24"/>
          <w:szCs w:val="24"/>
          <w:highlight w:val="none"/>
          <w:lang w:val="en-US" w:eastAsia="zh-CN"/>
        </w:rPr>
        <w:t>二</w:t>
      </w:r>
      <w:r>
        <w:rPr>
          <w:rFonts w:hint="eastAsia" w:ascii="宋体" w:hAnsi="宋体" w:eastAsia="宋体" w:cs="宋体"/>
          <w:bCs/>
          <w:i w:val="0"/>
          <w:iCs/>
          <w:color w:val="auto"/>
          <w:sz w:val="24"/>
          <w:szCs w:val="24"/>
          <w:highlight w:val="none"/>
          <w:lang w:val="en-US" w:eastAsia="zh-CN"/>
        </w:rPr>
        <w:t>分之</w:t>
      </w:r>
      <w:r>
        <w:rPr>
          <w:rFonts w:hint="eastAsia" w:ascii="宋体" w:hAnsi="宋体" w:cs="宋体"/>
          <w:bCs/>
          <w:i w:val="0"/>
          <w:iCs/>
          <w:color w:val="auto"/>
          <w:sz w:val="24"/>
          <w:szCs w:val="24"/>
          <w:highlight w:val="none"/>
          <w:lang w:val="en-US" w:eastAsia="zh-CN"/>
        </w:rPr>
        <w:t>一</w:t>
      </w:r>
      <w:r>
        <w:rPr>
          <w:rFonts w:hint="eastAsia" w:ascii="宋体" w:hAnsi="宋体" w:eastAsia="宋体" w:cs="宋体"/>
          <w:bCs/>
          <w:i w:val="0"/>
          <w:iCs/>
          <w:color w:val="auto"/>
          <w:sz w:val="24"/>
          <w:szCs w:val="24"/>
          <w:highlight w:val="none"/>
          <w:lang w:val="en-US" w:eastAsia="zh-CN"/>
        </w:rPr>
        <w:t>。</w:t>
      </w:r>
    </w:p>
    <w:p>
      <w:pPr>
        <w:pStyle w:val="5"/>
        <w:spacing w:line="360" w:lineRule="auto"/>
        <w:ind w:firstLine="720" w:firstLineChars="3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2.米面油干货、 调料及副食品类质量标准</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（1）米、面、油类物资质量符合国家相关规定的质量标准、环保标准、技术参数和规格要求，不得出售假冒伪劣产品。米、面、油物资包装应分别符合GB/T17109、GB7718、GBT17374的规定和卫生要求，食用油必须印有 “非转基因”等标识、有原厂密封措施；若采用包装袋，则包装袋应坚固结实，封口或者缝口应严密。面粉应有防尘、防雨雪、防潮湿等保护设备和措施。大米包装袋上印有大米品名、等级、数量、出厂名、厂家地址及联系电话，还应有检验合格证、生产日期和保质期。大米、面粉、食用油外包装上有注册商标及SC标注，有检验合格证、生产日期和保质期。</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干货、副食、杂粮、调料等类物资包装上须注明的生产日期、保质期、规格、生产地等相关内容。干菜、大料、干货等散装的货物不能有发霉、变质的现象。调味品（食盐、味精、酱油、醋、糖等）等必须有SC标志。</w:t>
      </w:r>
    </w:p>
    <w:p>
      <w:pPr>
        <w:pStyle w:val="5"/>
        <w:spacing w:line="360" w:lineRule="auto"/>
        <w:ind w:firstLine="720" w:firstLineChars="3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3.蔬菜类、瓜果、豆制品等食材质量标准</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（1）农药残留限量满足国家及行业最新执行标准，农药残留限量国家标准如下：</w:t>
      </w:r>
    </w:p>
    <w:tbl>
      <w:tblPr>
        <w:tblStyle w:val="24"/>
        <w:tblW w:w="0" w:type="auto"/>
        <w:jc w:val="center"/>
        <w:tblLayout w:type="fixed"/>
        <w:tblCellMar>
          <w:top w:w="0" w:type="dxa"/>
          <w:left w:w="108" w:type="dxa"/>
          <w:bottom w:w="0" w:type="dxa"/>
          <w:right w:w="108" w:type="dxa"/>
        </w:tblCellMar>
      </w:tblPr>
      <w:tblGrid>
        <w:gridCol w:w="1310"/>
        <w:gridCol w:w="2681"/>
        <w:gridCol w:w="2405"/>
        <w:gridCol w:w="2562"/>
      </w:tblGrid>
      <w:tr>
        <w:tblPrEx>
          <w:tblCellMar>
            <w:top w:w="0" w:type="dxa"/>
            <w:left w:w="108" w:type="dxa"/>
            <w:bottom w:w="0" w:type="dxa"/>
            <w:right w:w="108" w:type="dxa"/>
          </w:tblCellMar>
        </w:tblPrEx>
        <w:trPr>
          <w:trHeight w:val="586" w:hRule="atLeast"/>
          <w:jc w:val="center"/>
        </w:trPr>
        <w:tc>
          <w:tcPr>
            <w:tcW w:w="1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序  号</w:t>
            </w:r>
          </w:p>
        </w:tc>
        <w:tc>
          <w:tcPr>
            <w:tcW w:w="2681"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名  称</w:t>
            </w:r>
          </w:p>
        </w:tc>
        <w:tc>
          <w:tcPr>
            <w:tcW w:w="2405"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种  类</w:t>
            </w:r>
          </w:p>
        </w:tc>
        <w:tc>
          <w:tcPr>
            <w:tcW w:w="2562" w:type="dxa"/>
            <w:tcBorders>
              <w:top w:val="single" w:color="auto" w:sz="4" w:space="0"/>
              <w:left w:val="nil"/>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限量（mg/kg）</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滴滴涕</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≤0.1</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2</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六六六</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≤0.2</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3</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倍硫磷</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≤0.05</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4</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甲拌磷</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不得检出</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5</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杀螟硫磷</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≤0.5</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6</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敌敌畏</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≤0.2</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7</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硫磷</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不得检出</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8</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乐果</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≤1.0</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9</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马拉硫磷</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不得检出</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10</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辛硫磷</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≤0.05</w:t>
            </w:r>
          </w:p>
        </w:tc>
      </w:tr>
      <w:tr>
        <w:tblPrEx>
          <w:tblCellMar>
            <w:top w:w="0" w:type="dxa"/>
            <w:left w:w="108" w:type="dxa"/>
            <w:bottom w:w="0" w:type="dxa"/>
            <w:right w:w="108" w:type="dxa"/>
          </w:tblCellMar>
        </w:tblPrEx>
        <w:trPr>
          <w:trHeight w:val="586" w:hRule="atLeast"/>
          <w:jc w:val="center"/>
        </w:trPr>
        <w:tc>
          <w:tcPr>
            <w:tcW w:w="1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11</w:t>
            </w:r>
          </w:p>
        </w:tc>
        <w:tc>
          <w:tcPr>
            <w:tcW w:w="2681"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百菌清</w:t>
            </w:r>
          </w:p>
        </w:tc>
        <w:tc>
          <w:tcPr>
            <w:tcW w:w="2405"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杀菌剂</w:t>
            </w:r>
          </w:p>
        </w:tc>
        <w:tc>
          <w:tcPr>
            <w:tcW w:w="2562"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≤1.0</w:t>
            </w:r>
          </w:p>
        </w:tc>
      </w:tr>
      <w:tr>
        <w:tblPrEx>
          <w:tblCellMar>
            <w:top w:w="0" w:type="dxa"/>
            <w:left w:w="108" w:type="dxa"/>
            <w:bottom w:w="0" w:type="dxa"/>
            <w:right w:w="108" w:type="dxa"/>
          </w:tblCellMar>
        </w:tblPrEx>
        <w:trPr>
          <w:trHeight w:val="586" w:hRule="atLeast"/>
          <w:jc w:val="center"/>
        </w:trPr>
        <w:tc>
          <w:tcPr>
            <w:tcW w:w="1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12</w:t>
            </w:r>
          </w:p>
        </w:tc>
        <w:tc>
          <w:tcPr>
            <w:tcW w:w="2681"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多菌灵</w:t>
            </w:r>
          </w:p>
        </w:tc>
        <w:tc>
          <w:tcPr>
            <w:tcW w:w="2405"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杀菌剂</w:t>
            </w:r>
          </w:p>
        </w:tc>
        <w:tc>
          <w:tcPr>
            <w:tcW w:w="2562"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≤0.5</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13</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二氯苯醚菊酯</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≤2.0</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14</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乙酰甲胺</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磷杀虫剂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≤0.5</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15</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甲胺磷</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不得检出</w:t>
            </w:r>
          </w:p>
        </w:tc>
      </w:tr>
      <w:tr>
        <w:tblPrEx>
          <w:tblCellMar>
            <w:top w:w="0" w:type="dxa"/>
            <w:left w:w="108" w:type="dxa"/>
            <w:bottom w:w="0" w:type="dxa"/>
            <w:right w:w="108" w:type="dxa"/>
          </w:tblCellMar>
        </w:tblPrEx>
        <w:trPr>
          <w:trHeight w:val="586" w:hRule="atLeast"/>
          <w:jc w:val="center"/>
        </w:trPr>
        <w:tc>
          <w:tcPr>
            <w:tcW w:w="1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16</w:t>
            </w:r>
          </w:p>
        </w:tc>
        <w:tc>
          <w:tcPr>
            <w:tcW w:w="2681"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地亚农</w:t>
            </w:r>
          </w:p>
        </w:tc>
        <w:tc>
          <w:tcPr>
            <w:tcW w:w="2405"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≤0.5</w:t>
            </w:r>
          </w:p>
        </w:tc>
      </w:tr>
      <w:tr>
        <w:tblPrEx>
          <w:tblCellMar>
            <w:top w:w="0" w:type="dxa"/>
            <w:left w:w="108" w:type="dxa"/>
            <w:bottom w:w="0" w:type="dxa"/>
            <w:right w:w="108" w:type="dxa"/>
          </w:tblCellMar>
        </w:tblPrEx>
        <w:trPr>
          <w:trHeight w:val="586" w:hRule="atLeast"/>
          <w:jc w:val="center"/>
        </w:trPr>
        <w:tc>
          <w:tcPr>
            <w:tcW w:w="1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17</w:t>
            </w:r>
          </w:p>
        </w:tc>
        <w:tc>
          <w:tcPr>
            <w:tcW w:w="2681"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抗蚜威</w:t>
            </w:r>
          </w:p>
        </w:tc>
        <w:tc>
          <w:tcPr>
            <w:tcW w:w="2405"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≤0.5</w:t>
            </w:r>
          </w:p>
        </w:tc>
      </w:tr>
      <w:tr>
        <w:tblPrEx>
          <w:tblCellMar>
            <w:top w:w="0" w:type="dxa"/>
            <w:left w:w="108" w:type="dxa"/>
            <w:bottom w:w="0" w:type="dxa"/>
            <w:right w:w="108" w:type="dxa"/>
          </w:tblCellMar>
        </w:tblPrEx>
        <w:trPr>
          <w:trHeight w:val="586" w:hRule="atLeast"/>
          <w:jc w:val="center"/>
        </w:trPr>
        <w:tc>
          <w:tcPr>
            <w:tcW w:w="1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18</w:t>
            </w:r>
          </w:p>
        </w:tc>
        <w:tc>
          <w:tcPr>
            <w:tcW w:w="2681"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溴氰菊酯</w:t>
            </w:r>
          </w:p>
        </w:tc>
        <w:tc>
          <w:tcPr>
            <w:tcW w:w="2405"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single" w:color="auto" w:sz="4" w:space="0"/>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≤0.052</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19</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氰戊菊酯</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≤0.2</w:t>
            </w:r>
          </w:p>
        </w:tc>
      </w:tr>
      <w:tr>
        <w:tblPrEx>
          <w:tblCellMar>
            <w:top w:w="0" w:type="dxa"/>
            <w:left w:w="108" w:type="dxa"/>
            <w:bottom w:w="0" w:type="dxa"/>
            <w:right w:w="108" w:type="dxa"/>
          </w:tblCellMar>
        </w:tblPrEx>
        <w:trPr>
          <w:trHeight w:val="58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20</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呋喃丹</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不得检出</w:t>
            </w:r>
          </w:p>
        </w:tc>
      </w:tr>
      <w:tr>
        <w:tblPrEx>
          <w:tblCellMar>
            <w:top w:w="0" w:type="dxa"/>
            <w:left w:w="108" w:type="dxa"/>
            <w:bottom w:w="0" w:type="dxa"/>
            <w:right w:w="108" w:type="dxa"/>
          </w:tblCellMar>
        </w:tblPrEx>
        <w:trPr>
          <w:trHeight w:val="49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21</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水胺硫磷</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≤0.023</w:t>
            </w:r>
          </w:p>
        </w:tc>
      </w:tr>
      <w:tr>
        <w:tblPrEx>
          <w:tblCellMar>
            <w:top w:w="0" w:type="dxa"/>
            <w:left w:w="108" w:type="dxa"/>
            <w:bottom w:w="0" w:type="dxa"/>
            <w:right w:w="108" w:type="dxa"/>
          </w:tblCellMar>
        </w:tblPrEx>
        <w:trPr>
          <w:trHeight w:val="451"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22</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喹硫磷</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≤0.052</w:t>
            </w:r>
          </w:p>
        </w:tc>
      </w:tr>
      <w:tr>
        <w:tblPrEx>
          <w:tblCellMar>
            <w:top w:w="0" w:type="dxa"/>
            <w:left w:w="108" w:type="dxa"/>
            <w:bottom w:w="0" w:type="dxa"/>
            <w:right w:w="108" w:type="dxa"/>
          </w:tblCellMar>
        </w:tblPrEx>
        <w:trPr>
          <w:trHeight w:val="511"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23</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草甘磷</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除草剂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≤0.1</w:t>
            </w:r>
          </w:p>
        </w:tc>
      </w:tr>
      <w:tr>
        <w:tblPrEx>
          <w:tblCellMar>
            <w:top w:w="0" w:type="dxa"/>
            <w:left w:w="108" w:type="dxa"/>
            <w:bottom w:w="0" w:type="dxa"/>
            <w:right w:w="108" w:type="dxa"/>
          </w:tblCellMar>
        </w:tblPrEx>
        <w:trPr>
          <w:trHeight w:val="496"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24</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克线丹</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≤0.0052</w:t>
            </w:r>
          </w:p>
        </w:tc>
      </w:tr>
      <w:tr>
        <w:tblPrEx>
          <w:tblCellMar>
            <w:top w:w="0" w:type="dxa"/>
            <w:left w:w="108" w:type="dxa"/>
            <w:bottom w:w="0" w:type="dxa"/>
            <w:right w:w="108" w:type="dxa"/>
          </w:tblCellMar>
        </w:tblPrEx>
        <w:trPr>
          <w:trHeight w:val="547" w:hRule="atLeast"/>
          <w:jc w:val="center"/>
        </w:trPr>
        <w:tc>
          <w:tcPr>
            <w:tcW w:w="1310" w:type="dxa"/>
            <w:tcBorders>
              <w:top w:val="nil"/>
              <w:left w:val="single" w:color="auto" w:sz="4" w:space="0"/>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25</w:t>
            </w:r>
          </w:p>
        </w:tc>
        <w:tc>
          <w:tcPr>
            <w:tcW w:w="2681"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西维因</w:t>
            </w:r>
          </w:p>
        </w:tc>
        <w:tc>
          <w:tcPr>
            <w:tcW w:w="2405"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杀虫剂</w:t>
            </w:r>
          </w:p>
        </w:tc>
        <w:tc>
          <w:tcPr>
            <w:tcW w:w="2562" w:type="dxa"/>
            <w:tcBorders>
              <w:top w:val="nil"/>
              <w:left w:val="nil"/>
              <w:bottom w:val="single" w:color="auto" w:sz="4" w:space="0"/>
              <w:right w:val="single" w:color="auto" w:sz="4" w:space="0"/>
            </w:tcBorders>
            <w:noWrap w:val="0"/>
            <w:vAlign w:val="center"/>
          </w:tcPr>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≤2.5</w:t>
            </w:r>
          </w:p>
        </w:tc>
      </w:tr>
    </w:tbl>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（2）肉质根类：大小均匀，表皮坚硬不开裂，不空心，不糠心，不黑心，弹击有实心感；干净清洁，无泥沙，根形完整，无畸形，无细小根，无害虫，无腐烂，无端折断裂。</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（3）块根类：根形完整，无畸形，无细小根，无空心，无断折，无发霉，无缺口损伤。</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地下茎：①土豆：个体均匀、无泥土、无虫蛀和机械伤、不萎蔫变软、不发芽、不变绿。②莲藕：无泥土、无腐烂、蒂结少。③马蹄：个体饱满、无泥土、无空洞干枯、不起皱。④生姜：姜块完整、结实；无损伤、不皱缩；无黑心、糠心；不烂芽。⑤芋头：外观良好、干净、个头均匀，无开裂、无折断。</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（5）地上茎：①莴笋：茎皮光滑不开裂，无老根、无黄叶，无病虫害、不糠心、不烂芽。②水笋：鲜嫩、上青下白，无损伤，不皱缩。</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（6）普通叶菜：鲜嫩，无枯黄叶，无花斑叶，无烂叶；叶茎完整，无裂口损伤，表面无泥土及其它杂物，捆扎成捆，捆内无杂物，捆扎直径在5-8cm为宜，无农药残留。</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香辛叶菜类：①芹菜、蒜苗、西芹等：青绿，株棵完整无折断，不干枯，无黄叶，无烂叶，无泥土。②葱：新鲜青绿，无枯焦烂叶；葱株均匀无折断；干净无泥。③韭菜：细长，叶呈淡绿，有光泽感，无折断，无褐变腐败。③蒜苔：青绿脆嫩，干爽无水；苔梗粗壮、均匀、柔软；基部不老化，苔包小，不带叶鞘，无划苔，无折断。④韭黄：棵杆粗细均匀，色泽淡黄，有光泽感，无折断，无褐变腐败。</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（8）结球叶菜：叶片无损伤，最外层无枯萎叶，不得有水滴出，无烂叶，无虫眼，无腐烂及异常斑点，无农药残留。</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（9）鳞茎菜：叶体完整、无腐烂、无损伤、切口新鲜、紧实、饱满、无异味。</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（10）花菜类：个体周正，花球坚实，无发乌、无褐变，无虫咬、无霉变，整体色泽鲜明，有脆性。</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（11）瓢果类：外观良好，表皮不损伤，个体整齐，色泽正常，瓜肉坚实，无裂口，无折断，瓜条上无病斑或烂斑，无农药残留。</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12）浆果类：①茄类：皮亮有光泽，无破皮，茄身较硬有弹性，茄身和裙部有小刺，无农药残留。②西红柿：着色均匀饱满，圆正，不破裂，无脐腐病，无压痕，无农药残留。③椒类：果实成熟，表面光滑，有光泽，无腐烂，无异味；结蒂部新鲜不发黑，个体均匀，不发软皱缩，无农药残留。</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13）食用菇类：①蘑菇、草菇、平菇、金针菇、香菇、茶树菇等：色泽与其品种相适应，气味正常；无腐烂及虫蛀株，无发霉，无失水枯萎，朵片完整，其中鲜香菇、平菇等带柄类要求柄不能过长、过粗；手轻捏不能有水渗出为宜。②黑木耳：耳面黑褐色有光亮感，耳背暗黑色，无虫蛀，无霉烂。③银耳：干燥、色淡黄、肉厚整朵、圆形，无蒂头，无杂质。</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（14）荚果类：无虫蛀，手捏无干枯空洞，鲜嫩，手折易断；色泽鲜明，无损伤，无发软皱缩，无农药残留。</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15）其他：①芽菜：芽茎鲜嫩，色清洁白净，跟呈白色，头呈淡黄，无折断，无变色变质。②海洋菜：具有本品种特有清香味，无异味，不易断裂，包装完好，盒装以齐盒边。③野菜：具有本品种特有质地和风味，无污染，无虫眼，无腐烂，茎部不折断。④药菜：具有本品种特有质地和风味，叶片完整清晰，无污染，无折断损伤。⑤树菜：青绿、不干枯、不折断。</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（16）水果类产品须符合GB/T8855等相关检测标准，水果类产品须色泽鲜艳，形体完整，无腐烂、霉变、异味、虫蛀、寄生虫。</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（17）豆制品</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①豆腐</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呈均匀的白色或浅黄色，有光泽，块形完整，软硬适度，有一定的弹性，质 地细嫩有豆腐特有的香味，无酸、涩等不良气味。</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②豆腐干</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呈均匀的黄色，有光泽,块形完整，质地细腻，边角整齐，有一定的弹性，切开处挤压不出水、无杂质,有豆腐干特有的香味,无酸、涩等不良气味,滋味 纯正,咸淡适口。</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③油豆腐</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呈金黄色，有光泽，块形完整，有弹性，无杂质，皮脆，内质呈蜂窝状，不粘不散有油豆腐特有的香味，无酸、涩等不良气味，外皮酥脆适口，内软嫩 ，咸香适口。</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④豆腐皮(百叶等)</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呈均匀的白色或浅黄色，有光泽，组织结构紧密细致，富弹性，软硬适度，薄厚均一致，不粘手，无杂质，有豆腐皮特有的香味，无酸、涩等不良气味</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⑤腐竹</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呈均匀的黄色，有光泽，为枝条或片叶状，质脆易折，条状折断有空心，无霉斑杂质、虫蛀，有腐竹特有的香味，无酸、涩等不良气味。</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⑥腐乳</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表面呈红色或乳黄色，内部呈乳黄色，色泽鲜艳，无黑色、绿色等斑点，外形整齐均匀,质地细腻,无霉变及杂质,具有腐乳特有的香味,滋味鲜美,咸淡 适口,无苦、涩、酸等不良味道。</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4.饮品类</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饮用水及奶制品应严格按照《中华人民共和国食品安全法》《预包装食品标签通则》的规定和要求，明确奶制品的真实名称、净含量、SC生产许可标识、配料表、成分表、执行标准、生产厂家及地址、联系电话、储存条件、生产日期及保质期等内容。奶类送货日至保质期到期日的天数必须大于等于保质期天数的二分之一。中标供应商要有完善的储运及配送管理体系，完善的仓储配送操作规程，具备奶制品储存场所及标准，使用符合国家标准运输方式运送奶制品。奶制品的各项技术标准须符合国家（强制性）标准及各项规范要求。</w:t>
      </w:r>
    </w:p>
    <w:p>
      <w:pPr>
        <w:pStyle w:val="5"/>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三、食材安全</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中标供应商依据产品质量监督检验所提供的质量标准，每批次食材交货时应交存食材质量合格证明或食材质量检测合格报告或检疫报告复印件。供应商应保证食材品质，做好食材安全管控，保证食材的安全性，不得有腐烂、变质、发霉、过期食材。</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2.预包装产品出厂前应具备质检证明或者出厂检验合格报告等相关证明材料后方可供货。</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3.中标供应商应保证及时提供数量准确、合格安全的食材。一旦发现伪劣假冒食材、以次充好食材或替代食材，采购人应立即封存，经相关部门进行鉴定，并根据鉴定结果承担相应责任。</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4.中标供应商根据食材安全要求，配送过程中不得与非食品类产品混装，以免交叉污染。定期对配送车辆进行消毒，保持清洁、无污染。</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5.从事直接接触食材的从业人员（管理人员、技术人员和运输人员）均应取得健康证或相关从业资格证，并按规定由中标供应商进行培训。</w:t>
      </w:r>
    </w:p>
    <w:p>
      <w:pPr>
        <w:pStyle w:val="5"/>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四、配送及相关要求</w:t>
      </w:r>
      <w:bookmarkEnd w:id="27"/>
      <w:bookmarkEnd w:id="28"/>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（一）配送时间：采购人将提前1日（截止15：00时前）向中标供应商提出次日采购所需食材品目及配送数量，中标供应商应按采购人时间要求将所需食材配送到指定地点。</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（二）中标供应商按照采购人确定的食堂食材清单进行配送。中标供应商接受配送任务后，应按要求向采购人食堂提供符合品目及规格要求的优质、新鲜食材。</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（三）若采购人需要市场紧俏的食材，中标供应商须尽力配合购买，并制定相应的食材采购保障预案。</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（四）对于质量有问题的食材要保证退货，并及时更换符合质量标准的食材。对采购人要求的食材规格市场确实缺货的，经采购人研究同意后，可临时调整配送品目。</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（五）中标供应商向采购人提供符合品目及规格要求的食材，预包装产品必须是取得合格证明的食材，每批次食材提供时应交存食材质量合格证明等。</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中标供应商保证所供食材的质量、安全符合国家或本市相关规定；并按国家规定及采购人要求提供能证明所供食材符合质量、食品安全管理规定的相关检测、检验报告等资料，提供的食材必须符合国家《中华人民共和国产品质量法》等相关法律法规的规定和国家或行业规定的相关标准，且是保质期内的食材，不得提供临期或过期食材，不得以次充好；提供的食材不得侵犯他人的商标权、著作权、专利权等合法权益。若有违反，由此引起的民事侵权由中标供应商承担责任；采购人有权定期或不定期地（或委托有权单位）对中标供应商提供的食材质量进行检查，有权要求中标供应商及时退还不符合质量要求的食材。一旦发现伪劣假冒食材，经相关部门质量监测认证后，由中标供应商承担一切法律责任。采购人有权单方解除合同并要求中标供应商赔偿所造成的所有损失。</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（七）送货方式：生鲜冷冻品等货物需配冷链车辆运输；运输工具应清洁卫生无污染；运输途中严防日晒、雨淋，注意通风散热；装卸过程严防机械损伤。运抵后，由中标供应商负责免费将货物搬运至库房。</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配送人员：配送人员应配备具有丰富经验的项目负责人及分工明确的管理、配送服务人员，基本人数不低于15人（含项目负责人，配送人员、订单管理人员、采购管理人员、驾驶员等）。配送人员必须身体健康，持健康证上岗，无犯罪和其他不良记录。（投标时承诺，发出中标通知后20日内向采购人提供劳动合同或劳务合同等证明材料，否则视为中标供应商自动放弃中标资格。）</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※（九）配送工具及设施设备需求：</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配备系统化、专业化项目管理所需的软、硬件管理配送服务系统，如农药残留检测仪、肉类综合检测仪等食品安全快速检测设备。（投标时承诺，发出中标通知书20日内向采购人提供能证明有系统软件运行的软件和硬件证明材料，否则视为中标供应商自动放弃中标资格）。</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根据项目配送服务的管理质量、时间效率、食品卫生标准、每日配送数量等需求，配备满足配送服务质量需求的专用配送车辆及其他存放设备、保鲜保温库、包装器具、食品安全检测设备等工具（投标时承诺，发出中标通知书20日内向采购人提供车辆自有的提供购置发票、租赁的提供租赁协议，否则视为中标供应商自动放弃中标资格）。</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3.食材溯源要求。中标供应商应保留和提供所有食材的溯源信息依据。如产地、生产商、供应商等信息资料。</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4.中标供应商必须在中标后签订合同前购买保额不低于5000万元且有效期不短于服务周期的食品安全责任险。</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5.索证索票要求。中标供应商向采购人提供符合品目及规格要求的食材，必须是取得合格证明的食材，每批次食材提供时应交存食材质量合格证明或检验检疫证明等。</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鲜活食材必须提供鲜活食材的检验检疫证明；蔬菜类必须符合相应的质量、食品卫生和农药残留国家标准，提供农药残留检验报告；肉类提供动物卫生监督机构出具的检疫（或检测）合格证明和动物产品检疫（或检测）合格验讫印章，以及生猪定点屠宰厂肉品品质检验合格验讫印章，供货时提供《生猪定点屠宰证》和《动物防疫条件合格证》等国家强制规定材料；其他动物类产品应具备《动物检疫合格证明》。</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有包装物的食材必须为原厂生产的质保期内检验合格产品。各类货物包装应分别符合国家预包装食品的包装、安全、质量规定和食品卫生要求，若采用包装袋，则包装袋应坚固结实，封口或者缝口应严密。包装袋上印有品名、等级、数量、出厂名、厂家地址及联系电话，还应有注册商标及SC标注检验合格证、生产日期和保质期。包装物符合国家相关质量、环保标准、技术参数和</w:t>
      </w:r>
      <w:r>
        <w:rPr>
          <w:rFonts w:hint="eastAsia" w:ascii="宋体" w:hAnsi="宋体" w:cs="宋体"/>
          <w:b w:val="0"/>
          <w:bCs w:val="0"/>
          <w:color w:val="auto"/>
          <w:sz w:val="24"/>
          <w:szCs w:val="24"/>
          <w:highlight w:val="none"/>
          <w:lang w:val="en-US" w:eastAsia="zh-CN"/>
        </w:rPr>
        <w:t>规格</w:t>
      </w:r>
      <w:r>
        <w:rPr>
          <w:rFonts w:hint="eastAsia" w:ascii="宋体" w:hAnsi="宋体" w:cs="宋体"/>
          <w:color w:val="auto"/>
          <w:sz w:val="24"/>
          <w:szCs w:val="24"/>
          <w:highlight w:val="none"/>
          <w:lang w:val="en-US" w:eastAsia="zh-CN"/>
        </w:rPr>
        <w:t>要求，不得提供假冒伪劣、有毒有害（食材）包装。特定包装的食材，运输、储存必须符合国家有关特殊标准和规定。</w:t>
      </w:r>
    </w:p>
    <w:p>
      <w:pPr>
        <w:pStyle w:val="15"/>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baseline"/>
        <w:rPr>
          <w:rFonts w:hint="eastAsia" w:ascii="宋体" w:hAnsi="宋体" w:eastAsia="宋体" w:cs="宋体"/>
          <w:b/>
          <w:bCs/>
          <w:color w:val="auto"/>
          <w:kern w:val="0"/>
          <w:sz w:val="24"/>
          <w:szCs w:val="24"/>
          <w:highlight w:val="none"/>
          <w:u w:color="000000"/>
          <w:lang w:val="en-US" w:eastAsia="zh-CN" w:bidi="ar-SA"/>
        </w:rPr>
      </w:pPr>
      <w:r>
        <w:rPr>
          <w:rFonts w:hint="eastAsia" w:ascii="宋体" w:hAnsi="宋体" w:eastAsia="宋体" w:cs="宋体"/>
          <w:b/>
          <w:bCs/>
          <w:color w:val="auto"/>
          <w:kern w:val="0"/>
          <w:sz w:val="24"/>
          <w:szCs w:val="24"/>
          <w:highlight w:val="none"/>
          <w:u w:color="000000"/>
          <w:lang w:val="en-US" w:eastAsia="zh-CN" w:bidi="ar-SA"/>
        </w:rPr>
        <w:t>五、质量异议处理</w:t>
      </w:r>
    </w:p>
    <w:p>
      <w:pPr>
        <w:pStyle w:val="15"/>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（一）采购人有权对中标供应商供应的货物进行定期或不定期的抽样检验，采购人对有疑议的食材有权提取样品送相关部门检验。</w:t>
      </w:r>
    </w:p>
    <w:p>
      <w:pPr>
        <w:pStyle w:val="15"/>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人认定中标供应商所送食材与订单或合同要求不符时或食材送达之前被损坏，有权要求中标供应商退货或换货并给予中标供应商口头整改通知；若中标供应商有异议，应于接到采购人通知后1小时内书面（含电子文件）回复采购人并协商处理方式，否则将视为中标供应商对不符合质量要求无异议，中标供应商应于合同约定时间内退货或换货。</w:t>
      </w:r>
    </w:p>
    <w:p>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因</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并不具备对货品的病毒、农药残留物、添加剂等的检验检疫能力，</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收货或使用，并不代表</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认可货品完全符合质量要求，供应商不能以此为由要求免除其任何责任，也不能要求</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承担责任，供应商仍应承担所供货品的质量责任。</w:t>
      </w:r>
    </w:p>
    <w:p>
      <w:pPr>
        <w:pStyle w:val="15"/>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四</w:t>
      </w:r>
      <w:r>
        <w:rPr>
          <w:rFonts w:hint="eastAsia" w:ascii="宋体" w:hAnsi="宋体" w:eastAsia="宋体" w:cs="宋体"/>
          <w:color w:val="auto"/>
          <w:kern w:val="2"/>
          <w:sz w:val="24"/>
          <w:szCs w:val="24"/>
          <w:highlight w:val="none"/>
          <w:lang w:val="en-US" w:eastAsia="zh-CN" w:bidi="ar-SA"/>
        </w:rPr>
        <w:t>）中标供应商对处理方式提出书面（含电子文件）异议的，由采购人进行处理，若采购人无法最终认定食材质量的，双方均有权将提取样品送相关部门检验或鉴定。</w:t>
      </w:r>
    </w:p>
    <w:p>
      <w:pPr>
        <w:pStyle w:val="15"/>
        <w:keepNext w:val="0"/>
        <w:keepLines w:val="0"/>
        <w:pageBreakBefore w:val="0"/>
        <w:widowControl/>
        <w:kinsoku/>
        <w:wordWrap/>
        <w:overflowPunct/>
        <w:topLinePunct w:val="0"/>
        <w:autoSpaceDE/>
        <w:autoSpaceDN/>
        <w:bidi w:val="0"/>
        <w:adjustRightInd/>
        <w:snapToGrid w:val="0"/>
        <w:spacing w:line="360" w:lineRule="auto"/>
        <w:ind w:firstLine="723" w:firstLineChars="300"/>
        <w:textAlignment w:val="baseline"/>
        <w:rPr>
          <w:rFonts w:hint="eastAsia" w:ascii="宋体" w:hAnsi="宋体" w:eastAsia="宋体" w:cs="宋体"/>
          <w:b/>
          <w:bCs/>
          <w:color w:val="auto"/>
          <w:kern w:val="0"/>
          <w:sz w:val="24"/>
          <w:szCs w:val="24"/>
          <w:highlight w:val="none"/>
          <w:u w:color="000000"/>
          <w:lang w:val="en-US" w:eastAsia="zh-CN" w:bidi="ar-SA"/>
        </w:rPr>
      </w:pPr>
      <w:r>
        <w:rPr>
          <w:rFonts w:hint="eastAsia" w:ascii="宋体" w:hAnsi="宋体" w:eastAsia="宋体" w:cs="宋体"/>
          <w:b/>
          <w:bCs/>
          <w:color w:val="auto"/>
          <w:kern w:val="0"/>
          <w:sz w:val="24"/>
          <w:szCs w:val="24"/>
          <w:highlight w:val="none"/>
          <w:u w:color="000000"/>
          <w:lang w:val="en-US" w:eastAsia="zh-CN" w:bidi="ar-SA"/>
        </w:rPr>
        <w:t>六、违约责任</w:t>
      </w:r>
    </w:p>
    <w:p>
      <w:pPr>
        <w:pStyle w:val="15"/>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中标供应商配送食材，有腐败变质、油脂酸败、霉变、生虫、污秽不洁或者故意以次充好、改变规格大小，未通过采购人实质签收的，每发现查实一次，按该食材原值的三倍在当月货款中扣除，若累计出现5次类似情况，采购人有权终止合同。</w:t>
      </w:r>
    </w:p>
    <w:p>
      <w:pPr>
        <w:pStyle w:val="15"/>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（二）若因中标供应商配送食材引起的食品安全事故，由中标供应商承担相应的一切责任。采购方保留抽样送检权利。</w:t>
      </w:r>
    </w:p>
    <w:p>
      <w:pPr>
        <w:pStyle w:val="15"/>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p>
    <w:p>
      <w:pPr>
        <w:pStyle w:val="15"/>
        <w:widowControl w:val="0"/>
        <w:numPr>
          <w:ilvl w:val="0"/>
          <w:numId w:val="0"/>
        </w:numPr>
        <w:snapToGrid w:val="0"/>
        <w:jc w:val="left"/>
        <w:rPr>
          <w:rFonts w:hint="default" w:ascii="宋体" w:hAnsi="宋体" w:eastAsia="宋体" w:cs="宋体"/>
          <w:color w:val="auto"/>
          <w:kern w:val="2"/>
          <w:sz w:val="24"/>
          <w:szCs w:val="24"/>
          <w:highlight w:val="none"/>
          <w:lang w:val="en-US" w:eastAsia="zh-CN" w:bidi="ar-SA"/>
        </w:rPr>
      </w:pPr>
    </w:p>
    <w:p>
      <w:pPr>
        <w:pStyle w:val="15"/>
        <w:widowControl w:val="0"/>
        <w:numPr>
          <w:ilvl w:val="0"/>
          <w:numId w:val="0"/>
        </w:numPr>
        <w:snapToGrid w:val="0"/>
        <w:jc w:val="left"/>
        <w:rPr>
          <w:rFonts w:hint="default" w:ascii="宋体" w:hAnsi="宋体" w:eastAsia="宋体" w:cs="宋体"/>
          <w:color w:val="auto"/>
          <w:kern w:val="2"/>
          <w:sz w:val="24"/>
          <w:szCs w:val="24"/>
          <w:highlight w:val="none"/>
          <w:lang w:val="en-US" w:eastAsia="zh-CN" w:bidi="ar-SA"/>
        </w:rPr>
      </w:pPr>
    </w:p>
    <w:p>
      <w:pPr>
        <w:pStyle w:val="15"/>
        <w:widowControl w:val="0"/>
        <w:numPr>
          <w:ilvl w:val="0"/>
          <w:numId w:val="0"/>
        </w:numPr>
        <w:snapToGrid w:val="0"/>
        <w:jc w:val="left"/>
        <w:rPr>
          <w:rFonts w:hint="default" w:ascii="宋体" w:hAnsi="宋体" w:eastAsia="宋体" w:cs="宋体"/>
          <w:color w:val="auto"/>
          <w:kern w:val="2"/>
          <w:sz w:val="24"/>
          <w:szCs w:val="24"/>
          <w:highlight w:val="none"/>
          <w:lang w:val="en-US" w:eastAsia="zh-CN" w:bidi="ar-SA"/>
        </w:rPr>
      </w:pPr>
    </w:p>
    <w:p>
      <w:pPr>
        <w:pStyle w:val="15"/>
        <w:widowControl w:val="0"/>
        <w:numPr>
          <w:ilvl w:val="0"/>
          <w:numId w:val="0"/>
        </w:numPr>
        <w:snapToGrid w:val="0"/>
        <w:jc w:val="left"/>
        <w:rPr>
          <w:rFonts w:hint="default" w:ascii="宋体" w:hAnsi="宋体" w:eastAsia="宋体" w:cs="宋体"/>
          <w:color w:val="auto"/>
          <w:kern w:val="2"/>
          <w:sz w:val="24"/>
          <w:szCs w:val="24"/>
          <w:highlight w:val="none"/>
          <w:lang w:val="en-US" w:eastAsia="zh-CN" w:bidi="ar-SA"/>
        </w:rPr>
      </w:pPr>
    </w:p>
    <w:p>
      <w:pPr>
        <w:pStyle w:val="45"/>
        <w:jc w:val="center"/>
        <w:outlineLvl w:val="0"/>
        <w:rPr>
          <w:rStyle w:val="48"/>
          <w:rFonts w:ascii="宋体" w:hAnsi="宋体" w:eastAsia="宋体" w:cs="宋体"/>
          <w:b/>
          <w:kern w:val="0"/>
        </w:rPr>
      </w:pPr>
      <w:bookmarkStart w:id="30" w:name="_Toc16488"/>
      <w:r>
        <w:rPr>
          <w:rStyle w:val="48"/>
          <w:rFonts w:hint="eastAsia" w:ascii="宋体" w:hAnsi="宋体" w:eastAsia="宋体" w:cs="宋体"/>
          <w:b/>
          <w:kern w:val="0"/>
        </w:rPr>
        <w:t xml:space="preserve">第三篇  </w:t>
      </w:r>
      <w:r>
        <w:rPr>
          <w:rStyle w:val="48"/>
          <w:rFonts w:hint="eastAsia" w:ascii="宋体" w:hAnsi="宋体" w:eastAsia="宋体" w:cs="宋体"/>
          <w:b/>
          <w:kern w:val="0"/>
          <w:lang w:val="en-US" w:eastAsia="zh-CN"/>
        </w:rPr>
        <w:t>项目</w:t>
      </w:r>
      <w:r>
        <w:rPr>
          <w:rStyle w:val="48"/>
          <w:rFonts w:hint="eastAsia" w:ascii="宋体" w:hAnsi="宋体" w:eastAsia="宋体" w:cs="宋体"/>
          <w:b/>
          <w:kern w:val="0"/>
        </w:rPr>
        <w:t>商务要求</w:t>
      </w:r>
      <w:bookmarkEnd w:id="30"/>
    </w:p>
    <w:p>
      <w:pPr>
        <w:pStyle w:val="5"/>
        <w:spacing w:line="360" w:lineRule="auto"/>
        <w:ind w:firstLine="482" w:firstLineChars="200"/>
        <w:rPr>
          <w:rFonts w:hint="eastAsia" w:ascii="宋体" w:hAnsi="宋体" w:eastAsia="宋体" w:cs="宋体"/>
          <w:color w:val="auto"/>
          <w:kern w:val="0"/>
          <w:sz w:val="24"/>
          <w:szCs w:val="24"/>
          <w:lang w:val="zh-CN" w:eastAsia="zh-CN"/>
        </w:rPr>
      </w:pPr>
      <w:bookmarkStart w:id="31" w:name="_Toc20720"/>
      <w:r>
        <w:rPr>
          <w:rFonts w:hint="eastAsia" w:ascii="宋体" w:hAnsi="宋体" w:eastAsia="宋体" w:cs="宋体"/>
          <w:color w:val="auto"/>
          <w:kern w:val="0"/>
          <w:sz w:val="24"/>
          <w:szCs w:val="24"/>
          <w:lang w:val="zh-CN" w:eastAsia="zh-CN"/>
        </w:rPr>
        <w:t>一、服务、期</w:t>
      </w:r>
      <w:r>
        <w:rPr>
          <w:rFonts w:hint="eastAsia" w:ascii="宋体" w:hAnsi="宋体" w:eastAsia="宋体" w:cs="宋体"/>
          <w:color w:val="auto"/>
          <w:kern w:val="0"/>
          <w:sz w:val="24"/>
          <w:szCs w:val="24"/>
          <w:lang w:val="en-US" w:eastAsia="zh-CN"/>
        </w:rPr>
        <w:t>实施时间</w:t>
      </w:r>
      <w:r>
        <w:rPr>
          <w:rFonts w:hint="eastAsia" w:ascii="宋体" w:hAnsi="宋体" w:eastAsia="宋体" w:cs="宋体"/>
          <w:color w:val="auto"/>
          <w:kern w:val="0"/>
          <w:sz w:val="24"/>
          <w:szCs w:val="24"/>
          <w:lang w:val="zh-CN" w:eastAsia="zh-CN"/>
        </w:rPr>
        <w:t>、地点及验收标准</w:t>
      </w:r>
      <w:bookmarkEnd w:id="31"/>
    </w:p>
    <w:p>
      <w:pPr>
        <w:tabs>
          <w:tab w:val="left" w:pos="2940"/>
        </w:tabs>
        <w:spacing w:line="40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（一）服务期：合同签订之日起服务一年。</w:t>
      </w:r>
    </w:p>
    <w:p>
      <w:pPr>
        <w:tabs>
          <w:tab w:val="left" w:pos="2940"/>
        </w:tabs>
        <w:spacing w:line="40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（二）实施时间</w:t>
      </w:r>
    </w:p>
    <w:p>
      <w:pPr>
        <w:tabs>
          <w:tab w:val="left" w:pos="2940"/>
        </w:tabs>
        <w:spacing w:line="400" w:lineRule="exact"/>
        <w:ind w:firstLine="480"/>
        <w:rPr>
          <w:rFonts w:hint="eastAsia" w:ascii="宋体" w:hAnsi="宋体" w:eastAsia="宋体" w:cs="宋体"/>
          <w:color w:val="auto"/>
          <w:sz w:val="24"/>
          <w:lang w:val="en-US" w:eastAsia="zh-CN"/>
        </w:rPr>
      </w:pPr>
      <w:r>
        <w:rPr>
          <w:rFonts w:hint="eastAsia" w:ascii="宋体" w:hAnsi="宋体" w:cs="宋体"/>
          <w:color w:val="auto"/>
          <w:sz w:val="24"/>
          <w:lang w:val="en-US" w:eastAsia="zh-CN"/>
        </w:rPr>
        <w:t>中标供应商</w:t>
      </w:r>
      <w:r>
        <w:rPr>
          <w:rFonts w:hint="eastAsia" w:ascii="宋体" w:hAnsi="宋体" w:eastAsia="宋体" w:cs="宋体"/>
          <w:color w:val="auto"/>
          <w:sz w:val="24"/>
          <w:lang w:val="en-US" w:eastAsia="zh-CN"/>
        </w:rPr>
        <w:t>应在采购合同签订后，必须按照要求指定专人负责协调、联系。常态化采购任务需按照前一日10时前开据的供货单，于要求供货的当日7：00前送达采购人指定位置；如遇紧急情况，</w:t>
      </w:r>
      <w:r>
        <w:rPr>
          <w:rFonts w:hint="eastAsia" w:ascii="宋体" w:hAnsi="宋体" w:cs="宋体"/>
          <w:color w:val="auto"/>
          <w:sz w:val="24"/>
          <w:lang w:val="en-US" w:eastAsia="zh-CN"/>
        </w:rPr>
        <w:t>中标供应商</w:t>
      </w:r>
      <w:r>
        <w:rPr>
          <w:rFonts w:hint="eastAsia" w:ascii="宋体" w:hAnsi="宋体" w:eastAsia="宋体" w:cs="宋体"/>
          <w:color w:val="auto"/>
          <w:sz w:val="24"/>
          <w:lang w:val="en-US" w:eastAsia="zh-CN"/>
        </w:rPr>
        <w:t>应在1小时内将所需物资品名、数量配送至采购单位指定地点，不得以任何理由拒绝或推迟供应</w:t>
      </w:r>
      <w:r>
        <w:rPr>
          <w:rFonts w:hint="eastAsia" w:ascii="宋体" w:hAnsi="宋体" w:cs="宋体"/>
          <w:color w:val="auto"/>
          <w:sz w:val="24"/>
          <w:lang w:val="en-US" w:eastAsia="zh-CN"/>
        </w:rPr>
        <w:t>采购人</w:t>
      </w:r>
      <w:r>
        <w:rPr>
          <w:rFonts w:hint="eastAsia" w:ascii="宋体" w:hAnsi="宋体" w:eastAsia="宋体" w:cs="宋体"/>
          <w:color w:val="auto"/>
          <w:sz w:val="24"/>
          <w:lang w:val="en-US" w:eastAsia="zh-CN"/>
        </w:rPr>
        <w:t>所需货物。</w:t>
      </w:r>
    </w:p>
    <w:p>
      <w:pPr>
        <w:tabs>
          <w:tab w:val="left" w:pos="2940"/>
        </w:tabs>
        <w:spacing w:line="40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（三）服务地点：采购人指定地点。</w:t>
      </w:r>
    </w:p>
    <w:p>
      <w:pPr>
        <w:pageBreakBefore w:val="0"/>
        <w:tabs>
          <w:tab w:val="left" w:pos="2940"/>
        </w:tabs>
        <w:kinsoku/>
        <w:wordWrap/>
        <w:overflowPunct/>
        <w:topLinePunct w:val="0"/>
        <w:autoSpaceDE/>
        <w:autoSpaceDN/>
        <w:bidi w:val="0"/>
        <w:adjustRightInd/>
        <w:snapToGrid/>
        <w:spacing w:line="360" w:lineRule="auto"/>
        <w:ind w:firstLine="48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（四）验收标准</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bookmarkStart w:id="32" w:name="_Toc18452"/>
      <w:bookmarkStart w:id="33" w:name="_Toc22179"/>
      <w:bookmarkStart w:id="34" w:name="_Toc10483"/>
      <w:r>
        <w:rPr>
          <w:rFonts w:hint="eastAsia" w:ascii="宋体" w:hAnsi="宋体" w:eastAsia="宋体" w:cs="宋体"/>
          <w:b w:val="0"/>
          <w:bCs w:val="0"/>
          <w:color w:val="auto"/>
          <w:kern w:val="0"/>
          <w:sz w:val="24"/>
          <w:szCs w:val="24"/>
          <w:highlight w:val="none"/>
          <w:lang w:val="en-US" w:eastAsia="zh-CN"/>
        </w:rPr>
        <w:t>1.货物到达现场后，采购人应在中标供应商送货时在采购人及质量监督员在场的情况下当面进行感官检验、外观检验或试用检验等，若产品外观、包装、质量不能达到收货标准，采购人拒收配送物资，中标供应商应无条件迅速补充合格产品，不得影响正常开餐。对符合要求的产品当场作出记录，双方签字确认。</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2.提供货物未达到招标文件规定要求的，采购人向中标供应商出具服务不合格书面通知，对采购人造成损失的，由中标供应商承担一切责任，并赔偿所造成损失。</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3.采购人组织定期或不定期货品抽检和送检。对检验不合格产品无条件退、换货外，需按双方约定予以处理。</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4.因验收货物时不能直接判断质量的产品，在使用过程中发现不合格商品，中标供应商应作退货处理。</w:t>
      </w:r>
    </w:p>
    <w:p>
      <w:pPr>
        <w:pStyle w:val="5"/>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5.凡按重量计量物资，均以物品净重方式计量结算。</w:t>
      </w:r>
    </w:p>
    <w:p>
      <w:pPr>
        <w:pStyle w:val="5"/>
        <w:spacing w:line="360" w:lineRule="auto"/>
        <w:ind w:firstLine="482"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二、质量保证及售后服务</w:t>
      </w:r>
      <w:bookmarkEnd w:id="32"/>
      <w:bookmarkEnd w:id="33"/>
      <w:bookmarkEnd w:id="34"/>
    </w:p>
    <w:p>
      <w:pPr>
        <w:snapToGrid w:val="0"/>
        <w:spacing w:line="36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bookmarkStart w:id="35" w:name="_Toc89182539"/>
      <w:bookmarkStart w:id="36" w:name="_Toc16555"/>
      <w:bookmarkStart w:id="37" w:name="_Toc79389543"/>
      <w:bookmarkStart w:id="38" w:name="_Toc9881"/>
      <w:bookmarkStart w:id="39" w:name="_Hlk43137847"/>
      <w:bookmarkStart w:id="40" w:name="_Toc79389544"/>
      <w:bookmarkStart w:id="41" w:name="_Toc24569667"/>
      <w:bookmarkStart w:id="42" w:name="_Toc45804411"/>
      <w:bookmarkStart w:id="43" w:name="_Toc531962798"/>
      <w:bookmarkStart w:id="44" w:name="_Toc89182540"/>
      <w:r>
        <w:rPr>
          <w:rFonts w:hint="eastAsia" w:ascii="宋体" w:hAnsi="宋体" w:eastAsia="宋体" w:cs="宋体"/>
          <w:b w:val="0"/>
          <w:bCs w:val="0"/>
          <w:color w:val="auto"/>
          <w:kern w:val="0"/>
          <w:sz w:val="24"/>
          <w:szCs w:val="24"/>
          <w:highlight w:val="none"/>
          <w:u w:color="000000"/>
          <w:lang w:val="en-US" w:eastAsia="zh-CN" w:bidi="ar-SA"/>
        </w:rPr>
        <w:t>（一）产品质量保证期：</w:t>
      </w:r>
      <w:bookmarkStart w:id="45" w:name="_Toc267320051"/>
      <w:r>
        <w:rPr>
          <w:rFonts w:hint="eastAsia" w:ascii="宋体" w:hAnsi="宋体" w:eastAsia="宋体" w:cs="宋体"/>
          <w:b w:val="0"/>
          <w:bCs w:val="0"/>
          <w:color w:val="auto"/>
          <w:kern w:val="0"/>
          <w:sz w:val="24"/>
          <w:szCs w:val="24"/>
          <w:highlight w:val="none"/>
          <w:u w:color="000000"/>
          <w:lang w:val="en-US" w:eastAsia="zh-CN" w:bidi="ar-SA"/>
        </w:rPr>
        <w:t>按国家相关行业最新规定执行。</w:t>
      </w:r>
    </w:p>
    <w:p>
      <w:pPr>
        <w:snapToGrid w:val="0"/>
        <w:spacing w:line="36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（二）售后服务内容</w:t>
      </w:r>
    </w:p>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1.因市场特殊原因，个别食材品目不能及时提供，中标供应商应主动与采购人沟通协调，更换品目，满足需要。</w:t>
      </w:r>
    </w:p>
    <w:p>
      <w:pPr>
        <w:snapToGrid w:val="0"/>
        <w:spacing w:line="400" w:lineRule="exact"/>
        <w:ind w:firstLine="480" w:firstLineChars="200"/>
        <w:rPr>
          <w:rFonts w:hint="eastAsia" w:ascii="宋体" w:hAnsi="宋体" w:eastAsia="宋体" w:cs="宋体"/>
          <w:b w:val="0"/>
          <w:bCs w:val="0"/>
          <w:color w:val="auto"/>
          <w:kern w:val="0"/>
          <w:sz w:val="24"/>
          <w:szCs w:val="24"/>
          <w:highlight w:val="none"/>
          <w:u w:color="000000"/>
          <w:lang w:val="en-US" w:eastAsia="zh-CN" w:bidi="ar-SA"/>
        </w:rPr>
      </w:pPr>
      <w:r>
        <w:rPr>
          <w:rFonts w:hint="eastAsia" w:ascii="宋体" w:hAnsi="宋体" w:eastAsia="宋体" w:cs="宋体"/>
          <w:b w:val="0"/>
          <w:bCs w:val="0"/>
          <w:color w:val="auto"/>
          <w:kern w:val="0"/>
          <w:sz w:val="24"/>
          <w:szCs w:val="24"/>
          <w:highlight w:val="none"/>
          <w:u w:color="000000"/>
          <w:lang w:val="en-US" w:eastAsia="zh-CN" w:bidi="ar-SA"/>
        </w:rPr>
        <w:t>2.中标供应商应及时向各采购人收集意见信息，根据情况进行优化配送方案。</w:t>
      </w:r>
    </w:p>
    <w:p>
      <w:pPr>
        <w:pStyle w:val="5"/>
        <w:spacing w:line="360" w:lineRule="auto"/>
        <w:ind w:firstLine="482"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三、报价要求</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1.本项目报价填报折扣率。</w:t>
      </w:r>
    </w:p>
    <w:p>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配送食材价格根据垫江县永辉超市或垫江县新世纪超市或垫江县桂东菜市场或北门农贸市场等最低零售价格（采价地点由采购人确定，超市价格确定时间为早晨9点至12点，超市特价商品除外）作为基准价，按成交折扣率确定，配送单位与采购人每月进行不少两次市场采价（具体时间由采购人确定），并确定下一配送周期的配送食材结算价格；特价商品按特价计价。</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折扣起点为95%，整体下浮，折扣规律为94%.93%.92%，以此类推，不允许保留百分号前小数（所有品类均以此下浮比例计算。如投标折扣率89%，某品类价格为100元，则实际结算价格应为100×89%=89元；其他品列也应按此折扣率89%计算实际结算价格）。</w:t>
      </w:r>
    </w:p>
    <w:p>
      <w:pPr>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3.所有采购品目均采用相同的单价折扣。若出现了多个单价折扣，则为无效投标。</w:t>
      </w:r>
    </w:p>
    <w:p>
      <w:pPr>
        <w:snapToGrid w:val="0"/>
        <w:spacing w:line="360" w:lineRule="auto"/>
        <w:ind w:firstLine="480" w:firstLineChars="200"/>
        <w:rPr>
          <w:rFonts w:hint="eastAsia"/>
          <w:lang w:val="en-US" w:eastAsia="zh-CN"/>
        </w:rPr>
      </w:pPr>
      <w:r>
        <w:rPr>
          <w:rFonts w:hint="eastAsia" w:ascii="宋体" w:hAnsi="宋体" w:cs="宋体"/>
          <w:color w:val="auto"/>
          <w:sz w:val="24"/>
          <w:szCs w:val="24"/>
          <w:highlight w:val="none"/>
          <w:lang w:val="en-US" w:eastAsia="zh-CN"/>
        </w:rPr>
        <w:t>4.本次报价须为人民币报价（基准价的折扣率），报价包含但不限于：食材费、保险费、保鲜费、装卸费、仓储费、管理费、税费、利润、配送费等全部费用。因中标人自身原因造成漏报、少报皆由其自行承担责任，采购人不再补偿。</w:t>
      </w:r>
    </w:p>
    <w:bookmarkEnd w:id="45"/>
    <w:p>
      <w:pPr>
        <w:snapToGrid w:val="0"/>
        <w:spacing w:line="400" w:lineRule="exact"/>
        <w:ind w:firstLine="482" w:firstLineChars="200"/>
        <w:rPr>
          <w:rFonts w:hint="eastAsia" w:ascii="宋体" w:hAnsi="宋体" w:eastAsia="宋体" w:cs="宋体"/>
          <w:b/>
          <w:bCs/>
          <w:color w:val="auto"/>
          <w:kern w:val="0"/>
          <w:sz w:val="24"/>
          <w:szCs w:val="24"/>
          <w:highlight w:val="none"/>
          <w:u w:color="000000"/>
          <w:lang w:val="en-US" w:eastAsia="zh-CN" w:bidi="ar-SA"/>
        </w:rPr>
      </w:pPr>
      <w:bookmarkStart w:id="46" w:name="_Toc267320052"/>
      <w:r>
        <w:rPr>
          <w:rFonts w:hint="eastAsia" w:ascii="宋体" w:hAnsi="宋体" w:cs="宋体"/>
          <w:b/>
          <w:bCs/>
          <w:color w:val="auto"/>
          <w:kern w:val="0"/>
          <w:sz w:val="24"/>
          <w:szCs w:val="24"/>
          <w:highlight w:val="none"/>
          <w:u w:color="000000"/>
          <w:lang w:val="en-US" w:eastAsia="zh-CN" w:bidi="ar-SA"/>
        </w:rPr>
        <w:t>四</w:t>
      </w:r>
      <w:r>
        <w:rPr>
          <w:rFonts w:hint="eastAsia" w:ascii="宋体" w:hAnsi="宋体" w:eastAsia="宋体" w:cs="宋体"/>
          <w:b/>
          <w:bCs/>
          <w:color w:val="auto"/>
          <w:kern w:val="0"/>
          <w:sz w:val="24"/>
          <w:szCs w:val="24"/>
          <w:highlight w:val="none"/>
          <w:u w:color="000000"/>
          <w:lang w:val="en-US" w:eastAsia="zh-CN" w:bidi="ar-SA"/>
        </w:rPr>
        <w:t>、结算方式</w:t>
      </w:r>
    </w:p>
    <w:p>
      <w:pPr>
        <w:pStyle w:val="15"/>
        <w:rPr>
          <w:rFonts w:hint="eastAsia"/>
          <w:lang w:val="en-US" w:eastAsia="zh-CN"/>
        </w:rPr>
      </w:pP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本项目采取考核后再结算方式进行。</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1.食材价格由采购人根据第三篇第三条报价要求的定价条款确定，每月询定价不少于2次。</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2.中标人对结算价格有异议的，应在24小时内提出，并由双方共同询价对价格复核。超过24小时视为无异议。</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3.中标人向采购人开具发票；按月支付根据双方核定的金额及考核情况本月内开具发票、向乙方申请付款。</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4.采购人对中标人提供的付款资料审核通过后次月内向中标人支付相应的采购资金。</w:t>
      </w:r>
    </w:p>
    <w:p>
      <w:pPr>
        <w:snapToGrid w:val="0"/>
        <w:spacing w:line="400" w:lineRule="exact"/>
        <w:ind w:firstLine="482" w:firstLineChars="200"/>
        <w:rPr>
          <w:rFonts w:hint="eastAsia" w:ascii="宋体" w:hAnsi="宋体" w:eastAsia="宋体" w:cs="宋体"/>
          <w:b/>
          <w:bCs/>
          <w:color w:val="auto"/>
          <w:kern w:val="0"/>
          <w:sz w:val="24"/>
          <w:szCs w:val="24"/>
          <w:highlight w:val="none"/>
          <w:u w:color="000000"/>
          <w:lang w:val="en-US" w:eastAsia="zh-CN" w:bidi="ar-SA"/>
        </w:rPr>
      </w:pPr>
      <w:r>
        <w:rPr>
          <w:rFonts w:hint="eastAsia" w:ascii="宋体" w:hAnsi="宋体" w:cs="宋体"/>
          <w:b/>
          <w:bCs/>
          <w:color w:val="auto"/>
          <w:kern w:val="0"/>
          <w:sz w:val="24"/>
          <w:szCs w:val="24"/>
          <w:highlight w:val="none"/>
          <w:u w:color="000000"/>
          <w:lang w:val="en-US" w:eastAsia="zh-CN" w:bidi="ar-SA"/>
        </w:rPr>
        <w:t>五</w:t>
      </w:r>
      <w:r>
        <w:rPr>
          <w:rFonts w:hint="eastAsia" w:ascii="宋体" w:hAnsi="宋体" w:eastAsia="宋体" w:cs="宋体"/>
          <w:b/>
          <w:bCs/>
          <w:color w:val="auto"/>
          <w:kern w:val="0"/>
          <w:sz w:val="24"/>
          <w:szCs w:val="24"/>
          <w:highlight w:val="none"/>
          <w:u w:color="000000"/>
          <w:lang w:val="en-US" w:eastAsia="zh-CN" w:bidi="ar-SA"/>
        </w:rPr>
        <w:t>、结算金额</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1.结算金额=供货单价×实际数量。</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2.供货单价：价格调研小组共同考察并签字确定市场基准价（首次市场价参照执行），肉类、禽蛋类、蔬菜、瓜果类每（半）月确定一次基准价，其余类型产品每半年确定一次基准价。</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3.原则上选取垫江县内大型超市、农贸市场和农委官网价格进行市场考察，取正价商品（特殊降价产品除外）的单价（取平均值，保留两位小数）作为市场基准价；</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4.桶装水的价格按照集采价作为市场基准价。</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5.供货单价=基准价×中标百分比（例：大米市场价3.00元/斤，中标百分比为90%，中标供应商的供货单价为3.00元/斤×90%=2.7元/斤）。</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6.价格调研小组由采购人代表、中标供应商共同组成。</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个别在选取的超市和农贸市场无法确定市场单价的品目或采购人急需的其他零星品种的物资（因其量小且不经常使用），由询价小组协商，本着实事求是、公平合理原则随市场行情协商定价，可以以京东等网上超市的实时价格作为基准价。</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8.结算时间：中标供应商根据采购人当月实际发生的结算金额，向采购人递交付款资料，采购人审核资料通过后，在中标供应商出具正规有效发票后以</w:t>
      </w:r>
      <w:r>
        <w:rPr>
          <w:rFonts w:hint="eastAsia" w:ascii="宋体" w:hAnsi="宋体" w:cs="宋体"/>
          <w:color w:val="auto"/>
          <w:sz w:val="24"/>
          <w:szCs w:val="24"/>
          <w:highlight w:val="none"/>
          <w:lang w:val="en-US" w:eastAsia="zh-CN"/>
        </w:rPr>
        <w:t>转账方式</w:t>
      </w:r>
      <w:r>
        <w:rPr>
          <w:rFonts w:hint="eastAsia" w:ascii="宋体" w:hAnsi="宋体" w:eastAsia="宋体" w:cs="宋体"/>
          <w:color w:val="auto"/>
          <w:sz w:val="24"/>
          <w:szCs w:val="24"/>
          <w:highlight w:val="none"/>
          <w:lang w:val="en-US" w:eastAsia="zh-CN"/>
        </w:rPr>
        <w:t>向中标供应商支付上月结算金额。</w:t>
      </w:r>
    </w:p>
    <w:bookmarkEnd w:id="46"/>
    <w:p>
      <w:pPr>
        <w:pStyle w:val="5"/>
        <w:spacing w:line="360" w:lineRule="auto"/>
        <w:ind w:firstLine="482"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六、履约保证金</w:t>
      </w:r>
      <w:bookmarkEnd w:id="35"/>
      <w:bookmarkEnd w:id="36"/>
      <w:bookmarkEnd w:id="37"/>
      <w:bookmarkEnd w:id="38"/>
      <w:r>
        <w:rPr>
          <w:rFonts w:hint="eastAsia" w:ascii="宋体" w:hAnsi="宋体" w:eastAsia="宋体" w:cs="宋体"/>
          <w:color w:val="auto"/>
          <w:kern w:val="0"/>
          <w:sz w:val="24"/>
          <w:szCs w:val="24"/>
          <w:highlight w:val="none"/>
          <w:lang w:val="en-US" w:eastAsia="zh-CN"/>
        </w:rPr>
        <w:t xml:space="preserve">      </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1.中标供应商需缴纳20000.00元（大写：贰万元整）履约保证金。</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履约保证金缴纳方式：中标供应商应在成交通知书发出后，合同签订之前缴纳，缴纳形式为银行转账或开具同等金额的保函。采用银行转账的账户由采购人提供，履约保证金在项目服务期结束后30日内由采购人按来款渠道不计息退还。</w:t>
      </w:r>
    </w:p>
    <w:p>
      <w:pPr>
        <w:tabs>
          <w:tab w:val="left" w:pos="2940"/>
        </w:tabs>
        <w:spacing w:line="400" w:lineRule="exact"/>
        <w:ind w:firstLine="480"/>
        <w:rPr>
          <w:rFonts w:hint="eastAsia" w:ascii="宋体" w:hAnsi="宋体" w:eastAsia="宋体" w:cs="宋体"/>
          <w:b/>
          <w:bCs/>
          <w:color w:val="auto"/>
          <w:kern w:val="0"/>
          <w:sz w:val="24"/>
          <w:szCs w:val="24"/>
          <w:highlight w:val="none"/>
          <w:u w:color="000000"/>
          <w:lang w:val="en-US" w:eastAsia="zh-CN" w:bidi="ar-SA"/>
        </w:rPr>
      </w:pPr>
      <w:r>
        <w:rPr>
          <w:rFonts w:hint="eastAsia" w:ascii="宋体" w:hAnsi="宋体" w:eastAsia="宋体" w:cs="宋体"/>
          <w:b/>
          <w:bCs/>
          <w:color w:val="auto"/>
          <w:kern w:val="0"/>
          <w:sz w:val="24"/>
          <w:szCs w:val="24"/>
          <w:highlight w:val="none"/>
          <w:u w:color="000000"/>
          <w:lang w:val="en-US" w:eastAsia="zh-CN" w:bidi="ar-SA"/>
        </w:rPr>
        <w:t>七、供应责任</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1.原材料没有按时按要求配送到位，影响食堂正常开餐的，除纳入月度考核外，采购方将对供应商以当日需求计划总量2倍价款进行处罚。合同期内发生2次以上，采购方有权单方面解除合同，并自行更换供应商。</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原材料在验收时或在使用过程中发现有不符合要求的，一律退回，供应商无条件重新更换配送货物，更换后仍然不符合标准的，除纳入月度考核外，采购方有权对供应商处以当日原材料货品总价款3倍处罚。因原材料质量不符合要求影响采购方食堂正常开餐的，除纳入月度考核外，采购方有权对供应商处以当月所提供的所有原材料货品款的30%金额处罚。若在合同期内发生2次以上，采购方有权单方面解除合同，并自行更换供应商。</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3.任何因原材料质量问题导致的食品安全或食物中毒责任，由供应商承担全部法律责任与经济损失。采购方除罚没供应商全部履约保证金外，还有权单方面终止合同。</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4.原材料配送时应按照要求走送货通道，因未按要求或不配合食堂员工工作造成不良影响的，采购方有权要求限期更换配送人员，供应商必须服从。</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5.因送货员的操作不当，造成货品损坏的，损坏部分的金额由供货商承担。</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6.供应商除不可抗力因素外单方面停止供货，采购方除罚没全部履约保证金外，还有权单方面终止合同。</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7.所有处罚金额均从当月货款扣除。</w:t>
      </w:r>
    </w:p>
    <w:p>
      <w:pPr>
        <w:tabs>
          <w:tab w:val="left" w:pos="2940"/>
        </w:tabs>
        <w:spacing w:line="400" w:lineRule="exact"/>
        <w:ind w:firstLine="480"/>
        <w:rPr>
          <w:rFonts w:hint="eastAsia" w:ascii="宋体" w:hAnsi="宋体" w:eastAsia="宋体" w:cs="宋体"/>
          <w:b/>
          <w:bCs/>
          <w:color w:val="auto"/>
          <w:kern w:val="0"/>
          <w:sz w:val="24"/>
          <w:szCs w:val="24"/>
          <w:highlight w:val="none"/>
          <w:u w:color="000000"/>
          <w:lang w:val="en-US" w:eastAsia="zh-CN" w:bidi="ar-SA"/>
        </w:rPr>
      </w:pPr>
      <w:r>
        <w:rPr>
          <w:rFonts w:hint="eastAsia" w:ascii="宋体" w:hAnsi="宋体" w:eastAsia="宋体" w:cs="宋体"/>
          <w:b/>
          <w:bCs/>
          <w:color w:val="auto"/>
          <w:kern w:val="0"/>
          <w:sz w:val="24"/>
          <w:szCs w:val="24"/>
          <w:highlight w:val="none"/>
          <w:u w:color="000000"/>
          <w:lang w:val="en-US" w:eastAsia="zh-CN" w:bidi="ar-SA"/>
        </w:rPr>
        <w:t>八、考核办法</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配送服务期内，为了及时了解配送履行合同的情况，采购人对配送采取日常抽查和月考评相结合的方式进行考核，采购人有权对综合考核标准进行修改调整。</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（一）日常考评： </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1.根据各项服务日常检查和处罚标准对日常食堂食材配送服务质量进行的考核。采购人将按各项服务标准严格管理。 </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2.由采购人将检查结果进行汇总，以备在每月食材费用支付时扣除，并对配送投标人的配送范围进行调整。 </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（二）月考评： </w:t>
      </w:r>
    </w:p>
    <w:p>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月考核作为支付当月配送服务费和安排后期配送范围的主要依据，由采购人将日常检查扣分结果进行汇总，按考核扣分档次支付当月食材费，满分为100分。</w:t>
      </w:r>
    </w:p>
    <w:p>
      <w:pPr>
        <w:autoSpaceDE w:val="0"/>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考核结果运用</w:t>
      </w:r>
    </w:p>
    <w:p>
      <w:pPr>
        <w:autoSpaceDE w:val="0"/>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（1）以月为单位进行考核，考核基准分为100分，以自然月清算。</w:t>
      </w:r>
    </w:p>
    <w:p>
      <w:pPr>
        <w:autoSpaceDE w:val="0"/>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（2）考核结果作为对中标供应商日常工作的跟踪评估依据，并与支付结算费用挂钩。</w:t>
      </w:r>
    </w:p>
    <w:p>
      <w:pPr>
        <w:autoSpaceDE w:val="0"/>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（3）95分（含95分）以上为“合格”等级；</w:t>
      </w:r>
    </w:p>
    <w:p>
      <w:pPr>
        <w:autoSpaceDE w:val="0"/>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（4）达到90分（含90分）以上且低于95分（不含95分）的为“基本合格”等级；</w:t>
      </w:r>
    </w:p>
    <w:p>
      <w:pPr>
        <w:autoSpaceDE w:val="0"/>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（5）达到85分（含85分）以上且低于90分（不含90分）的为“较差”等级，以90分为基准分值，差1分从当月货款中直接扣除500元/分；</w:t>
      </w:r>
    </w:p>
    <w:p>
      <w:pPr>
        <w:autoSpaceDE w:val="0"/>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（6）低于85分（不含85分）为“差”等级，以90分为基准分值，差1分从当月货款中直接扣除1000元/分；</w:t>
      </w:r>
    </w:p>
    <w:p>
      <w:pPr>
        <w:autoSpaceDE w:val="0"/>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（7）一年内累计三次单月考核或连续两次当月得分低于85分（不含85分），采购人有权解除合同，履约保证金不予退还。</w:t>
      </w:r>
    </w:p>
    <w:p>
      <w:pPr>
        <w:autoSpaceDE w:val="0"/>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2.食堂食材配送服务考核表</w:t>
      </w:r>
    </w:p>
    <w:p>
      <w:pPr>
        <w:widowControl/>
        <w:spacing w:line="360" w:lineRule="auto"/>
        <w:ind w:firstLine="3132" w:firstLineChars="1300"/>
        <w:jc w:val="both"/>
        <w:rPr>
          <w:rFonts w:ascii="仿宋" w:eastAsia="仿宋" w:cs="仿宋"/>
          <w:b/>
          <w:bCs/>
          <w:color w:val="000000"/>
          <w:kern w:val="0"/>
          <w:sz w:val="24"/>
          <w:szCs w:val="24"/>
          <w:highlight w:val="none"/>
        </w:rPr>
      </w:pPr>
      <w:r>
        <w:rPr>
          <w:rFonts w:hint="eastAsia" w:ascii="仿宋" w:eastAsia="仿宋" w:cs="仿宋"/>
          <w:b/>
          <w:bCs/>
          <w:color w:val="000000"/>
          <w:kern w:val="0"/>
          <w:sz w:val="24"/>
          <w:szCs w:val="24"/>
          <w:highlight w:val="none"/>
          <w:lang w:val="en-US" w:eastAsia="zh-CN"/>
        </w:rPr>
        <w:t>食堂</w:t>
      </w:r>
      <w:r>
        <w:rPr>
          <w:rFonts w:hint="eastAsia" w:ascii="仿宋" w:eastAsia="仿宋" w:cs="仿宋"/>
          <w:b/>
          <w:bCs/>
          <w:color w:val="000000"/>
          <w:kern w:val="0"/>
          <w:sz w:val="24"/>
          <w:szCs w:val="24"/>
          <w:highlight w:val="none"/>
        </w:rPr>
        <w:t>食材配送服务考核表</w:t>
      </w:r>
    </w:p>
    <w:tbl>
      <w:tblPr>
        <w:tblStyle w:val="24"/>
        <w:tblW w:w="9888" w:type="dxa"/>
        <w:jc w:val="center"/>
        <w:tblLayout w:type="fixed"/>
        <w:tblCellMar>
          <w:top w:w="0" w:type="dxa"/>
          <w:left w:w="0" w:type="dxa"/>
          <w:bottom w:w="0" w:type="dxa"/>
          <w:right w:w="0" w:type="dxa"/>
        </w:tblCellMar>
      </w:tblPr>
      <w:tblGrid>
        <w:gridCol w:w="675"/>
        <w:gridCol w:w="663"/>
        <w:gridCol w:w="3745"/>
        <w:gridCol w:w="2645"/>
        <w:gridCol w:w="1020"/>
        <w:gridCol w:w="1140"/>
      </w:tblGrid>
      <w:tr>
        <w:tblPrEx>
          <w:tblCellMar>
            <w:top w:w="0" w:type="dxa"/>
            <w:left w:w="0" w:type="dxa"/>
            <w:bottom w:w="0" w:type="dxa"/>
            <w:right w:w="0" w:type="dxa"/>
          </w:tblCellMar>
        </w:tblPrEx>
        <w:trPr>
          <w:trHeight w:val="567"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shd w:val="clear" w:color="auto" w:fill="F9BE8F"/>
            <w:noWrap w:val="0"/>
            <w:vAlign w:val="center"/>
          </w:tcPr>
          <w:p>
            <w:pPr>
              <w:widowControl/>
              <w:spacing w:line="360" w:lineRule="auto"/>
              <w:jc w:val="center"/>
              <w:rPr>
                <w:rFonts w:ascii="仿宋" w:eastAsia="仿宋" w:cs="仿宋"/>
                <w:b/>
                <w:bCs/>
                <w:color w:val="000000"/>
                <w:kern w:val="0"/>
                <w:sz w:val="24"/>
                <w:szCs w:val="24"/>
                <w:highlight w:val="none"/>
              </w:rPr>
            </w:pPr>
            <w:r>
              <w:rPr>
                <w:rFonts w:hint="eastAsia" w:ascii="仿宋" w:eastAsia="仿宋" w:cs="仿宋"/>
                <w:b/>
                <w:bCs/>
                <w:color w:val="000000"/>
                <w:kern w:val="0"/>
                <w:sz w:val="24"/>
                <w:szCs w:val="24"/>
                <w:highlight w:val="none"/>
              </w:rPr>
              <w:t>项目</w:t>
            </w:r>
          </w:p>
        </w:tc>
        <w:tc>
          <w:tcPr>
            <w:tcW w:w="663" w:type="dxa"/>
            <w:tcBorders>
              <w:top w:val="single" w:color="000000" w:sz="4" w:space="0"/>
              <w:left w:val="single" w:color="000000" w:sz="4" w:space="0"/>
              <w:bottom w:val="single" w:color="000000" w:sz="4" w:space="0"/>
              <w:right w:val="single" w:color="000000" w:sz="4" w:space="0"/>
              <w:tl2br w:val="nil"/>
              <w:tr2bl w:val="nil"/>
            </w:tcBorders>
            <w:shd w:val="clear" w:color="auto" w:fill="F9BE8F"/>
            <w:noWrap w:val="0"/>
            <w:vAlign w:val="center"/>
          </w:tcPr>
          <w:p>
            <w:pPr>
              <w:widowControl/>
              <w:spacing w:line="360" w:lineRule="auto"/>
              <w:jc w:val="center"/>
              <w:rPr>
                <w:rFonts w:ascii="仿宋" w:eastAsia="仿宋" w:cs="仿宋"/>
                <w:b/>
                <w:bCs/>
                <w:color w:val="000000"/>
                <w:kern w:val="0"/>
                <w:sz w:val="24"/>
                <w:szCs w:val="24"/>
                <w:highlight w:val="none"/>
              </w:rPr>
            </w:pPr>
            <w:r>
              <w:rPr>
                <w:rFonts w:hint="eastAsia" w:ascii="仿宋" w:eastAsia="仿宋" w:cs="仿宋"/>
                <w:b/>
                <w:bCs/>
                <w:color w:val="000000"/>
                <w:kern w:val="0"/>
                <w:sz w:val="24"/>
                <w:szCs w:val="24"/>
                <w:highlight w:val="none"/>
              </w:rPr>
              <w:t>序号</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9BE8F"/>
            <w:noWrap w:val="0"/>
            <w:vAlign w:val="center"/>
          </w:tcPr>
          <w:p>
            <w:pPr>
              <w:widowControl/>
              <w:spacing w:line="360" w:lineRule="auto"/>
              <w:ind w:firstLine="482" w:firstLineChars="200"/>
              <w:jc w:val="center"/>
              <w:rPr>
                <w:rFonts w:ascii="仿宋" w:eastAsia="仿宋" w:cs="仿宋"/>
                <w:b/>
                <w:bCs/>
                <w:color w:val="000000"/>
                <w:kern w:val="0"/>
                <w:sz w:val="24"/>
                <w:szCs w:val="24"/>
                <w:highlight w:val="none"/>
              </w:rPr>
            </w:pPr>
            <w:r>
              <w:rPr>
                <w:rFonts w:hint="eastAsia" w:ascii="仿宋" w:eastAsia="仿宋" w:cs="仿宋"/>
                <w:b/>
                <w:bCs/>
                <w:color w:val="000000"/>
                <w:kern w:val="0"/>
                <w:sz w:val="24"/>
                <w:szCs w:val="24"/>
                <w:highlight w:val="none"/>
              </w:rPr>
              <w:t>考核细则</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9BE8F"/>
            <w:noWrap w:val="0"/>
            <w:vAlign w:val="center"/>
          </w:tcPr>
          <w:p>
            <w:pPr>
              <w:widowControl/>
              <w:spacing w:line="360" w:lineRule="auto"/>
              <w:jc w:val="center"/>
              <w:rPr>
                <w:rFonts w:ascii="仿宋" w:eastAsia="仿宋" w:cs="仿宋"/>
                <w:b/>
                <w:bCs/>
                <w:color w:val="000000"/>
                <w:kern w:val="0"/>
                <w:sz w:val="24"/>
                <w:szCs w:val="24"/>
                <w:highlight w:val="none"/>
              </w:rPr>
            </w:pPr>
            <w:r>
              <w:rPr>
                <w:rFonts w:hint="eastAsia" w:ascii="仿宋" w:eastAsia="仿宋" w:cs="仿宋"/>
                <w:b/>
                <w:bCs/>
                <w:color w:val="000000"/>
                <w:kern w:val="0"/>
                <w:sz w:val="24"/>
                <w:szCs w:val="24"/>
                <w:highlight w:val="none"/>
              </w:rPr>
              <w:t>扣分值</w:t>
            </w:r>
          </w:p>
        </w:tc>
        <w:tc>
          <w:tcPr>
            <w:tcW w:w="1140" w:type="dxa"/>
            <w:tcBorders>
              <w:top w:val="single" w:color="000000" w:sz="4" w:space="0"/>
              <w:left w:val="single" w:color="000000" w:sz="4" w:space="0"/>
              <w:bottom w:val="single" w:color="000000" w:sz="4" w:space="0"/>
              <w:right w:val="single" w:color="000000" w:sz="4" w:space="0"/>
              <w:tl2br w:val="nil"/>
              <w:tr2bl w:val="nil"/>
            </w:tcBorders>
            <w:shd w:val="clear" w:color="auto" w:fill="F9BE8F"/>
            <w:noWrap w:val="0"/>
            <w:vAlign w:val="center"/>
          </w:tcPr>
          <w:p>
            <w:pPr>
              <w:widowControl/>
              <w:spacing w:line="360" w:lineRule="auto"/>
              <w:ind w:firstLine="482" w:firstLineChars="200"/>
              <w:jc w:val="center"/>
              <w:rPr>
                <w:rFonts w:ascii="仿宋" w:eastAsia="仿宋" w:cs="仿宋"/>
                <w:b/>
                <w:bCs/>
                <w:color w:val="000000"/>
                <w:kern w:val="0"/>
                <w:sz w:val="24"/>
                <w:szCs w:val="24"/>
                <w:highlight w:val="none"/>
              </w:rPr>
            </w:pPr>
            <w:r>
              <w:rPr>
                <w:rFonts w:hint="eastAsia" w:ascii="仿宋" w:eastAsia="仿宋" w:cs="仿宋"/>
                <w:b/>
                <w:bCs/>
                <w:color w:val="000000"/>
                <w:kern w:val="0"/>
                <w:sz w:val="24"/>
                <w:szCs w:val="24"/>
                <w:highlight w:val="none"/>
              </w:rPr>
              <w:t>备注</w:t>
            </w:r>
          </w:p>
        </w:tc>
      </w:tr>
      <w:tr>
        <w:tblPrEx>
          <w:tblCellMar>
            <w:top w:w="0" w:type="dxa"/>
            <w:left w:w="0" w:type="dxa"/>
            <w:bottom w:w="0" w:type="dxa"/>
            <w:right w:w="0" w:type="dxa"/>
          </w:tblCellMar>
        </w:tblPrEx>
        <w:trPr>
          <w:trHeight w:val="567" w:hRule="atLeast"/>
          <w:jc w:val="center"/>
        </w:trPr>
        <w:tc>
          <w:tcPr>
            <w:tcW w:w="675"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交货</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1</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违反招标文件和合同的规定，擅自更改供应货物品牌、规格和质量的，每项次扣 2分；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nil"/>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2</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未与用户方沟通，变更采购计划的品种、数量、时间供货的， 每发生一次扣 1 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nil"/>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3</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提供虚假检验报告等相关票证的，每发现一项次扣10分并没收履约保证金；</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nil"/>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4</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未及时按要求随货提供相关票证的，每项次扣1分；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nil"/>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5</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未按用户方指定秩序卸货的，每次扣 1分；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single" w:color="000000" w:sz="4" w:space="0"/>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6</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发生退货情况，未及时补充食材，造成用户方伙食无法按时供 应的，每发生一次扣1分；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质量</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7</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货物明显低于市场品质，每发生一次，扣3分      ；</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nil"/>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8</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把用户方验收不合格退货的货物重新配送给用户方的，每发现 一次扣3分；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nil"/>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9</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在包装、运输、装卸等环节不符合食品卫生要求的，每发现一次扣2分；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nil"/>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10</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货物出现质量问题（如产品中发现农药残留超标，腐败变质等； 中标人提供假冒伪劣、过期、变质食品等），每次扣10分；货物出现质量问题，累计达3次或以上的，采购人有权单方面终止或解除合同；</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nil"/>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11</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对用户方提出的合理建议未能在约定期限内回复的，每次扣 1 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single" w:color="000000" w:sz="4" w:space="0"/>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12</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中标人组织机构发生调整，或经营场所、联系人、联系方式变更，未及时通知用户方，造成无法及时联系的，每次扣3 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其它</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13</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中标人工作人员不遵守用户方各项管理规定，每次扣3分；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nil"/>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14</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经采购人确认的其他需要考核的内容，如有违反，每项每次扣1 分；</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675" w:type="dxa"/>
            <w:vMerge w:val="continue"/>
            <w:tcBorders>
              <w:top w:val="nil"/>
              <w:left w:val="single" w:color="000000" w:sz="4" w:space="0"/>
              <w:bottom w:val="single" w:color="000000" w:sz="4" w:space="0"/>
              <w:right w:val="single" w:color="000000" w:sz="4" w:space="0"/>
              <w:tl2br w:val="nil"/>
              <w:tr2bl w:val="nil"/>
            </w:tcBorders>
            <w:noWrap w:val="0"/>
            <w:vAlign w:val="center"/>
          </w:tcPr>
          <w:p>
            <w:pPr>
              <w:rPr>
                <w:color w:val="000000"/>
                <w:highlight w:val="none"/>
              </w:rPr>
            </w:pP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jc w:val="center"/>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15</w:t>
            </w:r>
          </w:p>
        </w:tc>
        <w:tc>
          <w:tcPr>
            <w:tcW w:w="63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中标人的其他严重违约情况，经采购人确定后，采购人有权单 方面终止或解除合同；</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r>
      <w:tr>
        <w:tblPrEx>
          <w:tblCellMar>
            <w:top w:w="0" w:type="dxa"/>
            <w:left w:w="0" w:type="dxa"/>
            <w:bottom w:w="0" w:type="dxa"/>
            <w:right w:w="0" w:type="dxa"/>
          </w:tblCellMar>
        </w:tblPrEx>
        <w:trPr>
          <w:trHeight w:val="567" w:hRule="atLeast"/>
          <w:jc w:val="center"/>
        </w:trPr>
        <w:tc>
          <w:tcPr>
            <w:tcW w:w="77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扣分合计</w:t>
            </w: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FF0000"/>
                <w:kern w:val="0"/>
                <w:sz w:val="24"/>
                <w:szCs w:val="24"/>
                <w:highlight w:val="none"/>
              </w:rPr>
            </w:pPr>
          </w:p>
        </w:tc>
      </w:tr>
      <w:tr>
        <w:tblPrEx>
          <w:tblCellMar>
            <w:top w:w="0" w:type="dxa"/>
            <w:left w:w="0" w:type="dxa"/>
            <w:bottom w:w="0" w:type="dxa"/>
            <w:right w:w="0" w:type="dxa"/>
          </w:tblCellMar>
        </w:tblPrEx>
        <w:trPr>
          <w:trHeight w:val="1559" w:hRule="atLeast"/>
          <w:jc w:val="center"/>
        </w:trPr>
        <w:tc>
          <w:tcPr>
            <w:tcW w:w="50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考核小组成员签名：</w:t>
            </w:r>
          </w:p>
          <w:p>
            <w:pPr>
              <w:widowControl/>
              <w:spacing w:line="360" w:lineRule="auto"/>
              <w:ind w:firstLine="480" w:firstLineChars="200"/>
              <w:rPr>
                <w:rFonts w:ascii="仿宋" w:eastAsia="仿宋" w:cs="仿宋"/>
                <w:color w:val="000000"/>
                <w:kern w:val="0"/>
                <w:sz w:val="24"/>
                <w:szCs w:val="24"/>
                <w:highlight w:val="none"/>
              </w:rPr>
            </w:pPr>
          </w:p>
          <w:p>
            <w:pPr>
              <w:widowControl/>
              <w:spacing w:line="360" w:lineRule="auto"/>
              <w:ind w:firstLine="480" w:firstLineChars="200"/>
              <w:rPr>
                <w:rFonts w:ascii="仿宋" w:eastAsia="仿宋" w:cs="仿宋"/>
                <w:color w:val="000000"/>
                <w:kern w:val="0"/>
                <w:sz w:val="24"/>
                <w:szCs w:val="24"/>
                <w:highlight w:val="none"/>
              </w:rPr>
            </w:pPr>
          </w:p>
          <w:p>
            <w:pPr>
              <w:widowControl/>
              <w:spacing w:line="360" w:lineRule="auto"/>
              <w:ind w:firstLine="480" w:firstLineChars="200"/>
              <w:rPr>
                <w:rFonts w:ascii="仿宋" w:eastAsia="仿宋" w:cs="仿宋"/>
                <w:color w:val="000000"/>
                <w:kern w:val="0"/>
                <w:sz w:val="24"/>
                <w:szCs w:val="24"/>
                <w:highlight w:val="none"/>
              </w:rPr>
            </w:pPr>
          </w:p>
          <w:p>
            <w:pPr>
              <w:widowControl/>
              <w:spacing w:line="360" w:lineRule="auto"/>
              <w:ind w:firstLine="480" w:firstLineChars="200"/>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年   月  日</w:t>
            </w:r>
          </w:p>
        </w:tc>
        <w:tc>
          <w:tcPr>
            <w:tcW w:w="48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360" w:lineRule="auto"/>
              <w:ind w:firstLine="480" w:firstLineChars="200"/>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被考核单位代表签名：</w:t>
            </w:r>
          </w:p>
          <w:p>
            <w:pPr>
              <w:widowControl/>
              <w:spacing w:line="360" w:lineRule="auto"/>
              <w:ind w:firstLine="480" w:firstLineChars="200"/>
              <w:rPr>
                <w:rFonts w:ascii="仿宋" w:eastAsia="仿宋" w:cs="仿宋"/>
                <w:color w:val="000000"/>
                <w:kern w:val="0"/>
                <w:sz w:val="24"/>
                <w:szCs w:val="24"/>
                <w:highlight w:val="none"/>
              </w:rPr>
            </w:pPr>
          </w:p>
          <w:p>
            <w:pPr>
              <w:widowControl/>
              <w:spacing w:line="360" w:lineRule="auto"/>
              <w:ind w:firstLine="480" w:firstLineChars="200"/>
              <w:rPr>
                <w:rFonts w:ascii="仿宋" w:eastAsia="仿宋" w:cs="仿宋"/>
                <w:color w:val="000000"/>
                <w:kern w:val="0"/>
                <w:sz w:val="24"/>
                <w:szCs w:val="24"/>
                <w:highlight w:val="none"/>
              </w:rPr>
            </w:pPr>
          </w:p>
          <w:p>
            <w:pPr>
              <w:widowControl/>
              <w:spacing w:line="360" w:lineRule="auto"/>
              <w:ind w:firstLine="480" w:firstLineChars="200"/>
              <w:rPr>
                <w:rFonts w:ascii="仿宋" w:eastAsia="仿宋" w:cs="仿宋"/>
                <w:color w:val="000000"/>
                <w:kern w:val="0"/>
                <w:sz w:val="24"/>
                <w:szCs w:val="24"/>
                <w:highlight w:val="none"/>
              </w:rPr>
            </w:pPr>
          </w:p>
          <w:p>
            <w:pPr>
              <w:widowControl/>
              <w:spacing w:line="360" w:lineRule="auto"/>
              <w:ind w:firstLine="480" w:firstLineChars="200"/>
              <w:rPr>
                <w:rFonts w:ascii="仿宋" w:eastAsia="仿宋" w:cs="仿宋"/>
                <w:color w:val="000000"/>
                <w:kern w:val="0"/>
                <w:sz w:val="24"/>
                <w:szCs w:val="24"/>
                <w:highlight w:val="none"/>
              </w:rPr>
            </w:pPr>
            <w:r>
              <w:rPr>
                <w:rFonts w:hint="eastAsia" w:ascii="仿宋" w:eastAsia="仿宋" w:cs="仿宋"/>
                <w:color w:val="000000"/>
                <w:kern w:val="0"/>
                <w:sz w:val="24"/>
                <w:szCs w:val="24"/>
                <w:highlight w:val="none"/>
              </w:rPr>
              <w:t>年   月  日</w:t>
            </w:r>
          </w:p>
        </w:tc>
      </w:tr>
    </w:tbl>
    <w:p>
      <w:pPr>
        <w:widowControl/>
        <w:spacing w:line="360" w:lineRule="auto"/>
        <w:ind w:firstLine="480" w:firstLineChars="200"/>
        <w:rPr>
          <w:rFonts w:ascii="Times New Roman" w:hAnsi="Times New Roman" w:eastAsia="方正仿宋_GBK" w:cs="Times New Roman"/>
          <w:color w:val="FF0000"/>
          <w:kern w:val="2"/>
          <w:sz w:val="24"/>
          <w:szCs w:val="24"/>
          <w:highlight w:val="none"/>
          <w:lang w:val="en-US" w:eastAsia="zh-CN" w:bidi="ar-SA"/>
        </w:rPr>
      </w:pPr>
      <w:r>
        <w:rPr>
          <w:rFonts w:hint="eastAsia" w:ascii="仿宋" w:eastAsia="仿宋" w:cs="仿宋"/>
          <w:color w:val="000000"/>
          <w:kern w:val="0"/>
          <w:sz w:val="24"/>
          <w:szCs w:val="24"/>
          <w:highlight w:val="none"/>
        </w:rPr>
        <w:t xml:space="preserve">                                </w:t>
      </w:r>
      <w:r>
        <w:rPr>
          <w:rFonts w:hint="eastAsia" w:ascii="Times New Roman" w:hAnsi="Times New Roman" w:eastAsia="方正仿宋_GBK" w:cs="Times New Roman"/>
          <w:color w:val="000000"/>
          <w:kern w:val="2"/>
          <w:sz w:val="24"/>
          <w:szCs w:val="24"/>
          <w:highlight w:val="none"/>
          <w:lang w:val="en-US" w:eastAsia="zh-CN" w:bidi="ar-SA"/>
        </w:rPr>
        <w:t xml:space="preserve">    考核时段：   月   日至   月  日</w:t>
      </w:r>
    </w:p>
    <w:bookmarkEnd w:id="39"/>
    <w:bookmarkEnd w:id="40"/>
    <w:bookmarkEnd w:id="41"/>
    <w:bookmarkEnd w:id="42"/>
    <w:bookmarkEnd w:id="43"/>
    <w:bookmarkEnd w:id="44"/>
    <w:p>
      <w:pPr>
        <w:pStyle w:val="5"/>
        <w:spacing w:line="360" w:lineRule="auto"/>
        <w:ind w:firstLine="482" w:firstLineChars="200"/>
        <w:rPr>
          <w:rFonts w:hint="eastAsia" w:ascii="宋体" w:hAnsi="宋体" w:eastAsia="宋体" w:cs="宋体"/>
          <w:color w:val="auto"/>
          <w:kern w:val="0"/>
          <w:sz w:val="24"/>
          <w:szCs w:val="24"/>
          <w:highlight w:val="none"/>
          <w:lang w:val="zh-CN" w:eastAsia="zh-CN"/>
        </w:rPr>
      </w:pPr>
      <w:bookmarkStart w:id="47" w:name="_Toc19236"/>
      <w:bookmarkStart w:id="48" w:name="_Toc75258790"/>
      <w:bookmarkStart w:id="49" w:name="_Toc10280"/>
      <w:bookmarkStart w:id="50" w:name="_Toc89182543"/>
      <w:bookmarkStart w:id="51" w:name="_Toc79389548"/>
      <w:r>
        <w:rPr>
          <w:rFonts w:hint="eastAsia" w:ascii="宋体" w:hAnsi="宋体" w:eastAsia="宋体" w:cs="宋体"/>
          <w:color w:val="auto"/>
          <w:kern w:val="0"/>
          <w:sz w:val="24"/>
          <w:szCs w:val="24"/>
          <w:highlight w:val="none"/>
          <w:lang w:val="en-US" w:eastAsia="zh-CN"/>
        </w:rPr>
        <w:t>九</w:t>
      </w:r>
      <w:r>
        <w:rPr>
          <w:rFonts w:hint="eastAsia" w:ascii="宋体" w:hAnsi="宋体" w:eastAsia="宋体" w:cs="宋体"/>
          <w:color w:val="auto"/>
          <w:kern w:val="0"/>
          <w:sz w:val="24"/>
          <w:szCs w:val="24"/>
          <w:highlight w:val="none"/>
          <w:lang w:val="zh-CN" w:eastAsia="zh-CN"/>
        </w:rPr>
        <w:t>、不可抗力</w:t>
      </w:r>
      <w:bookmarkEnd w:id="47"/>
      <w:bookmarkEnd w:id="48"/>
      <w:bookmarkEnd w:id="49"/>
      <w:bookmarkEnd w:id="50"/>
      <w:bookmarkEnd w:id="51"/>
    </w:p>
    <w:p>
      <w:pPr>
        <w:snapToGrid w:val="0"/>
        <w:spacing w:line="360" w:lineRule="auto"/>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因相关政策调整等不可抗力原因致使采购项目取消的，或因客观原因致使合同无法订立或订立后因无法履行而解除的，</w:t>
      </w:r>
      <w:r>
        <w:rPr>
          <w:rFonts w:hint="eastAsia" w:ascii="宋体" w:hAnsi="宋体" w:cs="宋体"/>
          <w:color w:val="000000"/>
          <w:kern w:val="0"/>
          <w:sz w:val="24"/>
          <w:szCs w:val="24"/>
          <w:highlight w:val="none"/>
          <w:lang w:val="en-US" w:eastAsia="zh-CN"/>
        </w:rPr>
        <w:t>采购人</w:t>
      </w:r>
      <w:r>
        <w:rPr>
          <w:rFonts w:hint="eastAsia" w:ascii="宋体" w:hAnsi="宋体" w:eastAsia="宋体" w:cs="宋体"/>
          <w:color w:val="000000"/>
          <w:kern w:val="0"/>
          <w:sz w:val="24"/>
          <w:szCs w:val="24"/>
          <w:highlight w:val="none"/>
          <w:lang w:val="en-US" w:eastAsia="zh-CN"/>
        </w:rPr>
        <w:t>不承担任何责任。</w:t>
      </w:r>
    </w:p>
    <w:p>
      <w:pPr>
        <w:pStyle w:val="5"/>
        <w:spacing w:line="360" w:lineRule="auto"/>
        <w:ind w:firstLine="482" w:firstLineChars="200"/>
        <w:rPr>
          <w:rFonts w:hint="eastAsia" w:ascii="宋体" w:hAnsi="宋体" w:eastAsia="宋体" w:cs="宋体"/>
          <w:color w:val="auto"/>
          <w:kern w:val="0"/>
          <w:sz w:val="24"/>
          <w:szCs w:val="24"/>
          <w:highlight w:val="none"/>
          <w:lang w:val="zh-CN" w:eastAsia="zh-CN"/>
        </w:rPr>
      </w:pPr>
      <w:bookmarkStart w:id="52" w:name="_Toc45804413"/>
      <w:bookmarkStart w:id="53" w:name="_Toc79389549"/>
      <w:bookmarkStart w:id="54" w:name="_Toc89182544"/>
      <w:bookmarkStart w:id="55" w:name="_Toc11026"/>
      <w:bookmarkStart w:id="56" w:name="_Toc22399"/>
      <w:r>
        <w:rPr>
          <w:rFonts w:hint="eastAsia" w:ascii="宋体" w:hAnsi="宋体" w:eastAsia="宋体" w:cs="宋体"/>
          <w:color w:val="auto"/>
          <w:kern w:val="0"/>
          <w:sz w:val="24"/>
          <w:szCs w:val="24"/>
          <w:highlight w:val="none"/>
          <w:lang w:val="en-US" w:eastAsia="zh-CN"/>
        </w:rPr>
        <w:t>十</w:t>
      </w:r>
      <w:r>
        <w:rPr>
          <w:rFonts w:hint="eastAsia" w:ascii="宋体" w:hAnsi="宋体" w:eastAsia="宋体" w:cs="宋体"/>
          <w:color w:val="auto"/>
          <w:kern w:val="0"/>
          <w:sz w:val="24"/>
          <w:szCs w:val="24"/>
          <w:highlight w:val="none"/>
          <w:lang w:val="zh-CN" w:eastAsia="zh-CN"/>
        </w:rPr>
        <w:t>、其它</w:t>
      </w:r>
      <w:bookmarkEnd w:id="52"/>
      <w:bookmarkEnd w:id="53"/>
      <w:bookmarkEnd w:id="54"/>
      <w:r>
        <w:rPr>
          <w:rFonts w:hint="eastAsia" w:ascii="宋体" w:hAnsi="宋体" w:eastAsia="宋体" w:cs="宋体"/>
          <w:color w:val="auto"/>
          <w:kern w:val="0"/>
          <w:sz w:val="24"/>
          <w:szCs w:val="24"/>
          <w:highlight w:val="none"/>
          <w:lang w:val="zh-CN" w:eastAsia="zh-CN"/>
        </w:rPr>
        <w:t>要求</w:t>
      </w:r>
      <w:bookmarkEnd w:id="55"/>
      <w:bookmarkEnd w:id="56"/>
    </w:p>
    <w:p>
      <w:pPr>
        <w:snapToGrid w:val="0"/>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供应商必须在</w:t>
      </w:r>
      <w:r>
        <w:rPr>
          <w:rFonts w:hint="eastAsia" w:ascii="宋体" w:hAnsi="宋体" w:cs="宋体"/>
          <w:color w:val="000000"/>
          <w:kern w:val="0"/>
          <w:sz w:val="24"/>
          <w:szCs w:val="24"/>
          <w:highlight w:val="none"/>
          <w:lang w:val="en-US" w:eastAsia="zh-CN"/>
        </w:rPr>
        <w:t>响应</w:t>
      </w:r>
      <w:r>
        <w:rPr>
          <w:rFonts w:hint="eastAsia" w:ascii="宋体" w:hAnsi="宋体" w:cs="宋体"/>
          <w:color w:val="000000"/>
          <w:kern w:val="0"/>
          <w:sz w:val="24"/>
          <w:szCs w:val="24"/>
          <w:highlight w:val="none"/>
        </w:rPr>
        <w:t>文件中对以上条款和服务承诺明确列出，承诺内容必须达到本篇及</w:t>
      </w:r>
      <w:r>
        <w:rPr>
          <w:rFonts w:hint="eastAsia" w:ascii="宋体" w:hAnsi="宋体" w:cs="宋体"/>
          <w:color w:val="000000"/>
          <w:kern w:val="0"/>
          <w:sz w:val="24"/>
          <w:szCs w:val="24"/>
          <w:highlight w:val="none"/>
          <w:lang w:val="en-US" w:eastAsia="zh-CN"/>
        </w:rPr>
        <w:t>竞争性比选</w:t>
      </w:r>
      <w:r>
        <w:rPr>
          <w:rFonts w:hint="eastAsia" w:ascii="宋体" w:hAnsi="宋体" w:cs="宋体"/>
          <w:color w:val="000000"/>
          <w:kern w:val="0"/>
          <w:sz w:val="24"/>
          <w:szCs w:val="24"/>
          <w:highlight w:val="none"/>
        </w:rPr>
        <w:t>文件其他条款的要求。</w:t>
      </w:r>
    </w:p>
    <w:p>
      <w:pPr>
        <w:widowControl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其他未尽事宜由</w:t>
      </w:r>
      <w:r>
        <w:rPr>
          <w:rFonts w:hint="eastAsia" w:ascii="宋体" w:hAnsi="宋体" w:cs="宋体"/>
          <w:color w:val="000000"/>
          <w:kern w:val="0"/>
          <w:sz w:val="24"/>
          <w:szCs w:val="24"/>
          <w:lang w:val="en-US" w:eastAsia="zh-CN"/>
        </w:rPr>
        <w:t>采购人</w:t>
      </w:r>
      <w:r>
        <w:rPr>
          <w:rFonts w:hint="eastAsia" w:ascii="宋体" w:hAnsi="宋体" w:cs="宋体"/>
          <w:color w:val="000000"/>
          <w:kern w:val="0"/>
          <w:sz w:val="24"/>
          <w:szCs w:val="24"/>
        </w:rPr>
        <w:t>同</w:t>
      </w:r>
      <w:r>
        <w:rPr>
          <w:rFonts w:hint="eastAsia" w:ascii="宋体" w:hAnsi="宋体" w:cs="宋体"/>
          <w:color w:val="000000"/>
          <w:kern w:val="0"/>
          <w:sz w:val="24"/>
          <w:szCs w:val="24"/>
          <w:lang w:eastAsia="zh-CN"/>
        </w:rPr>
        <w:t>中标供应商</w:t>
      </w:r>
      <w:r>
        <w:rPr>
          <w:rFonts w:hint="eastAsia" w:ascii="宋体" w:hAnsi="宋体" w:cs="宋体"/>
          <w:color w:val="000000"/>
          <w:kern w:val="0"/>
          <w:sz w:val="24"/>
          <w:szCs w:val="24"/>
        </w:rPr>
        <w:t>在采购合同中详细约定</w:t>
      </w:r>
      <w:r>
        <w:rPr>
          <w:rFonts w:hint="eastAsia" w:ascii="宋体" w:hAnsi="宋体" w:eastAsia="宋体" w:cs="宋体"/>
          <w:sz w:val="24"/>
          <w:szCs w:val="24"/>
          <w:lang w:val="en-US" w:eastAsia="zh-CN"/>
        </w:rPr>
        <w:t>。</w:t>
      </w:r>
    </w:p>
    <w:p>
      <w:pPr>
        <w:pStyle w:val="45"/>
        <w:ind w:firstLine="679" w:firstLineChars="200"/>
        <w:jc w:val="both"/>
        <w:rPr>
          <w:rStyle w:val="48"/>
          <w:rFonts w:hint="eastAsia" w:ascii="宋体" w:hAnsi="宋体" w:eastAsia="宋体" w:cs="宋体"/>
          <w:b/>
          <w:spacing w:val="-11"/>
          <w:kern w:val="0"/>
          <w:sz w:val="36"/>
          <w:szCs w:val="36"/>
        </w:rPr>
      </w:pPr>
      <w:bookmarkStart w:id="57" w:name="_Toc3470"/>
    </w:p>
    <w:p>
      <w:pPr>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15"/>
        <w:rPr>
          <w:rStyle w:val="48"/>
          <w:rFonts w:hint="eastAsia" w:ascii="宋体" w:hAnsi="宋体" w:eastAsia="宋体" w:cs="宋体"/>
          <w:b/>
          <w:spacing w:val="-11"/>
          <w:kern w:val="0"/>
          <w:sz w:val="36"/>
          <w:szCs w:val="36"/>
        </w:rPr>
      </w:pPr>
    </w:p>
    <w:p>
      <w:pPr>
        <w:pStyle w:val="45"/>
        <w:ind w:firstLine="679" w:firstLineChars="200"/>
        <w:jc w:val="both"/>
        <w:rPr>
          <w:rStyle w:val="48"/>
          <w:rFonts w:hint="eastAsia" w:ascii="宋体" w:hAnsi="宋体" w:eastAsia="宋体" w:cs="宋体"/>
          <w:b/>
          <w:spacing w:val="-11"/>
          <w:kern w:val="0"/>
          <w:sz w:val="36"/>
          <w:szCs w:val="36"/>
        </w:rPr>
      </w:pPr>
    </w:p>
    <w:p>
      <w:pPr>
        <w:pStyle w:val="45"/>
        <w:ind w:firstLine="679" w:firstLineChars="200"/>
        <w:jc w:val="both"/>
        <w:rPr>
          <w:rStyle w:val="48"/>
          <w:rFonts w:hint="eastAsia" w:ascii="宋体" w:hAnsi="宋体" w:eastAsia="宋体" w:cs="宋体"/>
          <w:b/>
          <w:spacing w:val="-11"/>
          <w:kern w:val="0"/>
          <w:sz w:val="36"/>
          <w:szCs w:val="36"/>
        </w:rPr>
      </w:pPr>
    </w:p>
    <w:p>
      <w:pPr>
        <w:pStyle w:val="45"/>
        <w:ind w:firstLine="679" w:firstLineChars="200"/>
        <w:jc w:val="both"/>
        <w:rPr>
          <w:rStyle w:val="48"/>
          <w:rFonts w:ascii="宋体" w:hAnsi="宋体" w:eastAsia="宋体" w:cs="宋体"/>
          <w:b/>
          <w:spacing w:val="-11"/>
          <w:kern w:val="0"/>
          <w:sz w:val="36"/>
          <w:szCs w:val="36"/>
        </w:rPr>
      </w:pPr>
      <w:r>
        <w:rPr>
          <w:rStyle w:val="48"/>
          <w:rFonts w:hint="eastAsia" w:ascii="宋体" w:hAnsi="宋体" w:eastAsia="宋体" w:cs="宋体"/>
          <w:b/>
          <w:spacing w:val="-11"/>
          <w:kern w:val="0"/>
          <w:sz w:val="36"/>
          <w:szCs w:val="36"/>
        </w:rPr>
        <w:t xml:space="preserve">第四篇  </w:t>
      </w:r>
      <w:r>
        <w:rPr>
          <w:rStyle w:val="48"/>
          <w:rFonts w:hint="eastAsia" w:ascii="宋体" w:hAnsi="宋体" w:eastAsia="宋体" w:cs="宋体"/>
          <w:b/>
          <w:spacing w:val="-11"/>
          <w:kern w:val="0"/>
          <w:sz w:val="36"/>
          <w:szCs w:val="36"/>
          <w:lang w:eastAsia="zh-CN"/>
        </w:rPr>
        <w:t>比选</w:t>
      </w:r>
      <w:r>
        <w:rPr>
          <w:rStyle w:val="48"/>
          <w:rFonts w:hint="eastAsia" w:ascii="宋体" w:hAnsi="宋体" w:eastAsia="宋体" w:cs="宋体"/>
          <w:b/>
          <w:spacing w:val="-11"/>
          <w:kern w:val="0"/>
          <w:sz w:val="36"/>
          <w:szCs w:val="36"/>
        </w:rPr>
        <w:t>程序及方法</w:t>
      </w:r>
      <w:r>
        <w:rPr>
          <w:rStyle w:val="48"/>
          <w:rFonts w:hint="eastAsia" w:ascii="宋体" w:hAnsi="宋体" w:eastAsia="宋体" w:cs="宋体"/>
          <w:b/>
          <w:spacing w:val="-11"/>
          <w:kern w:val="0"/>
          <w:sz w:val="36"/>
          <w:szCs w:val="36"/>
          <w:lang w:eastAsia="zh-CN"/>
        </w:rPr>
        <w:t>、</w:t>
      </w:r>
      <w:r>
        <w:rPr>
          <w:rStyle w:val="48"/>
          <w:rFonts w:hint="eastAsia" w:ascii="宋体" w:hAnsi="宋体" w:eastAsia="宋体" w:cs="宋体"/>
          <w:b/>
          <w:spacing w:val="-11"/>
          <w:kern w:val="0"/>
          <w:sz w:val="36"/>
          <w:szCs w:val="36"/>
        </w:rPr>
        <w:t>评审标准</w:t>
      </w:r>
      <w:r>
        <w:rPr>
          <w:rStyle w:val="48"/>
          <w:rFonts w:hint="eastAsia" w:ascii="宋体" w:hAnsi="宋体" w:eastAsia="宋体" w:cs="宋体"/>
          <w:b/>
          <w:spacing w:val="-11"/>
          <w:kern w:val="0"/>
          <w:sz w:val="36"/>
          <w:szCs w:val="36"/>
          <w:lang w:eastAsia="zh-CN"/>
        </w:rPr>
        <w:t>、</w:t>
      </w:r>
      <w:r>
        <w:rPr>
          <w:rStyle w:val="48"/>
          <w:rFonts w:hint="eastAsia" w:ascii="宋体" w:hAnsi="宋体" w:eastAsia="宋体" w:cs="宋体"/>
          <w:b/>
          <w:spacing w:val="-11"/>
          <w:kern w:val="0"/>
          <w:sz w:val="36"/>
          <w:szCs w:val="36"/>
        </w:rPr>
        <w:t>无效响应和采购终止</w:t>
      </w:r>
      <w:bookmarkEnd w:id="57"/>
    </w:p>
    <w:p>
      <w:pPr>
        <w:pStyle w:val="5"/>
        <w:spacing w:line="360" w:lineRule="auto"/>
        <w:ind w:firstLine="482" w:firstLineChars="200"/>
        <w:rPr>
          <w:rFonts w:hint="eastAsia" w:ascii="宋体" w:hAnsi="宋体" w:eastAsia="宋体" w:cs="宋体"/>
          <w:color w:val="auto"/>
          <w:kern w:val="0"/>
          <w:sz w:val="24"/>
          <w:szCs w:val="24"/>
          <w:lang w:val="en-US" w:eastAsia="zh-CN"/>
        </w:rPr>
      </w:pPr>
      <w:bookmarkStart w:id="58" w:name="_Toc30232"/>
      <w:bookmarkStart w:id="59" w:name="_Toc10275"/>
      <w:bookmarkStart w:id="60" w:name="_Toc17366"/>
      <w:bookmarkStart w:id="61" w:name="_Toc26693"/>
      <w:bookmarkStart w:id="62" w:name="_Toc23324"/>
      <w:bookmarkStart w:id="63" w:name="_Toc17710"/>
      <w:bookmarkStart w:id="64" w:name="_Toc29783"/>
      <w:bookmarkStart w:id="65" w:name="_Toc27834"/>
      <w:bookmarkStart w:id="66" w:name="_Toc1164"/>
      <w:bookmarkStart w:id="67" w:name="_Toc2888"/>
      <w:bookmarkStart w:id="68" w:name="_Toc2022"/>
      <w:r>
        <w:rPr>
          <w:rFonts w:hint="eastAsia" w:ascii="宋体" w:hAnsi="宋体" w:eastAsia="宋体" w:cs="宋体"/>
          <w:color w:val="auto"/>
          <w:kern w:val="0"/>
          <w:sz w:val="24"/>
          <w:szCs w:val="24"/>
          <w:lang w:val="en-US" w:eastAsia="zh-CN"/>
        </w:rPr>
        <w:t>一、比选程序及方法</w:t>
      </w:r>
      <w:bookmarkEnd w:id="58"/>
      <w:bookmarkEnd w:id="59"/>
      <w:bookmarkEnd w:id="60"/>
      <w:bookmarkEnd w:id="61"/>
      <w:bookmarkEnd w:id="62"/>
      <w:bookmarkEnd w:id="63"/>
      <w:bookmarkEnd w:id="64"/>
      <w:bookmarkEnd w:id="65"/>
      <w:bookmarkEnd w:id="66"/>
      <w:bookmarkEnd w:id="67"/>
      <w:bookmarkEnd w:id="68"/>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（一）评审委员会的组成</w:t>
      </w:r>
    </w:p>
    <w:p>
      <w:pPr>
        <w:snapToGrid w:val="0"/>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评审委员会由比选人组建，一共3人。</w:t>
      </w:r>
    </w:p>
    <w:p>
      <w:pPr>
        <w:rPr>
          <w:rFonts w:hint="eastAsia" w:ascii="宋体" w:hAnsi="宋体" w:eastAsia="宋体" w:cs="宋体"/>
          <w:kern w:val="2"/>
          <w:sz w:val="24"/>
          <w:szCs w:val="24"/>
          <w:lang w:val="en-US" w:eastAsia="zh-CN" w:bidi="ar-SA"/>
        </w:rPr>
      </w:pPr>
    </w:p>
    <w:p>
      <w:pPr>
        <w:numPr>
          <w:ilvl w:val="0"/>
          <w:numId w:val="0"/>
        </w:numPr>
        <w:spacing w:line="312"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（二）按比选文件规定的</w:t>
      </w:r>
      <w:r>
        <w:rPr>
          <w:rFonts w:hint="eastAsia" w:ascii="宋体" w:hAnsi="宋体" w:cs="宋体"/>
          <w:kern w:val="2"/>
          <w:sz w:val="24"/>
          <w:szCs w:val="24"/>
          <w:lang w:val="en-US" w:eastAsia="zh-CN" w:bidi="ar-SA"/>
        </w:rPr>
        <w:t>截止时间</w:t>
      </w:r>
      <w:r>
        <w:rPr>
          <w:rFonts w:hint="eastAsia" w:ascii="宋体" w:hAnsi="宋体" w:eastAsia="宋体" w:cs="宋体"/>
          <w:kern w:val="2"/>
          <w:sz w:val="24"/>
          <w:szCs w:val="24"/>
          <w:lang w:val="en-US" w:eastAsia="zh-CN" w:bidi="ar-SA"/>
        </w:rPr>
        <w:t>进行，由本项目的评审小组对各供应商的响应文件进行评审。</w:t>
      </w:r>
    </w:p>
    <w:p>
      <w:pPr>
        <w:spacing w:line="312" w:lineRule="auto"/>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（二）评审小组对各供应商的资格条件、响应文件的有效性、完整性和响应程度进行审查。若未通过资格审查及符合性审查的竞选文件，不进入评审环节。</w:t>
      </w:r>
    </w:p>
    <w:p>
      <w:pPr>
        <w:snapToGrid w:val="0"/>
        <w:spacing w:line="312" w:lineRule="auto"/>
        <w:ind w:firstLine="480" w:firstLineChars="200"/>
        <w:rPr>
          <w:rFonts w:ascii="宋体" w:hAnsi="宋体" w:cs="宋体"/>
          <w:kern w:val="0"/>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kern w:val="0"/>
          <w:sz w:val="24"/>
        </w:rPr>
        <w:t>资格性检查。依据法律法规和竞争性比选文件的规定，对响应文件中的资格证明进行审查，以确定供应商是否具备</w:t>
      </w:r>
      <w:r>
        <w:rPr>
          <w:rFonts w:hint="eastAsia" w:ascii="宋体" w:hAnsi="宋体" w:cs="宋体"/>
          <w:kern w:val="0"/>
          <w:sz w:val="24"/>
          <w:lang w:eastAsia="zh-CN"/>
        </w:rPr>
        <w:t>比选</w:t>
      </w:r>
      <w:r>
        <w:rPr>
          <w:rFonts w:hint="eastAsia" w:ascii="宋体" w:hAnsi="宋体" w:cs="宋体"/>
          <w:kern w:val="0"/>
          <w:sz w:val="24"/>
        </w:rPr>
        <w:t>资格。资格性检查资料表如下：</w:t>
      </w:r>
    </w:p>
    <w:tbl>
      <w:tblPr>
        <w:tblStyle w:val="2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96"/>
        <w:gridCol w:w="4098"/>
        <w:gridCol w:w="3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44" w:type="dxa"/>
            <w:noWrap w:val="0"/>
            <w:vAlign w:val="center"/>
          </w:tcPr>
          <w:p>
            <w:pPr>
              <w:snapToGrid w:val="0"/>
              <w:spacing w:line="324"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4894" w:type="dxa"/>
            <w:gridSpan w:val="2"/>
            <w:noWrap w:val="0"/>
            <w:vAlign w:val="center"/>
          </w:tcPr>
          <w:p>
            <w:pPr>
              <w:snapToGrid w:val="0"/>
              <w:spacing w:line="324"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3841" w:type="dxa"/>
            <w:noWrap w:val="0"/>
            <w:vAlign w:val="center"/>
          </w:tcPr>
          <w:p>
            <w:pPr>
              <w:snapToGrid w:val="0"/>
              <w:spacing w:line="324"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644" w:type="dxa"/>
            <w:vMerge w:val="restart"/>
            <w:noWrap w:val="0"/>
            <w:vAlign w:val="center"/>
          </w:tcPr>
          <w:p>
            <w:pPr>
              <w:snapToGrid w:val="0"/>
              <w:spacing w:line="324" w:lineRule="auto"/>
              <w:jc w:val="center"/>
              <w:rPr>
                <w:rFonts w:hint="eastAsia" w:ascii="宋体" w:hAnsi="宋体" w:cs="宋体"/>
                <w:color w:val="auto"/>
                <w:sz w:val="21"/>
                <w:szCs w:val="21"/>
              </w:rPr>
            </w:pPr>
            <w:r>
              <w:rPr>
                <w:rFonts w:hint="eastAsia" w:ascii="宋体" w:hAnsi="宋体" w:cs="宋体"/>
                <w:color w:val="auto"/>
                <w:sz w:val="21"/>
                <w:szCs w:val="21"/>
              </w:rPr>
              <w:t>1</w:t>
            </w:r>
          </w:p>
        </w:tc>
        <w:tc>
          <w:tcPr>
            <w:tcW w:w="796" w:type="dxa"/>
            <w:vMerge w:val="restart"/>
            <w:noWrap w:val="0"/>
            <w:vAlign w:val="center"/>
          </w:tcPr>
          <w:p>
            <w:pPr>
              <w:snapToGrid w:val="0"/>
              <w:spacing w:line="324" w:lineRule="auto"/>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4098" w:type="dxa"/>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tc>
        <w:tc>
          <w:tcPr>
            <w:tcW w:w="3841" w:type="dxa"/>
            <w:noWrap w:val="0"/>
            <w:vAlign w:val="center"/>
          </w:tcPr>
          <w:p>
            <w:pPr>
              <w:snapToGrid w:val="0"/>
              <w:spacing w:line="324" w:lineRule="auto"/>
              <w:rPr>
                <w:rFonts w:hint="eastAsia"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pPr>
              <w:snapToGrid w:val="0"/>
              <w:spacing w:line="324" w:lineRule="auto"/>
              <w:rPr>
                <w:rFonts w:hint="eastAsia"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具有良好的商业信誉和健全的财务会计制度</w:t>
            </w:r>
          </w:p>
        </w:tc>
        <w:tc>
          <w:tcPr>
            <w:tcW w:w="3841" w:type="dxa"/>
            <w:vMerge w:val="restart"/>
            <w:noWrap w:val="0"/>
            <w:vAlign w:val="center"/>
          </w:tcPr>
          <w:p>
            <w:pPr>
              <w:snapToGrid w:val="0"/>
              <w:spacing w:line="324" w:lineRule="auto"/>
              <w:rPr>
                <w:rFonts w:hint="eastAsia" w:ascii="宋体" w:hAnsi="宋体" w:cs="宋体"/>
                <w:color w:val="auto"/>
                <w:sz w:val="21"/>
                <w:szCs w:val="21"/>
              </w:rPr>
            </w:pPr>
            <w:r>
              <w:rPr>
                <w:rFonts w:hint="eastAsia" w:ascii="宋体" w:hAnsi="宋体" w:cs="宋体"/>
                <w:color w:val="auto"/>
                <w:sz w:val="21"/>
                <w:szCs w:val="21"/>
              </w:rPr>
              <w:t>供应商提供承诺函（详见格式文件）或相关证明材料。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（3）具有履行合同所必需的设备和专业技术能力</w:t>
            </w:r>
          </w:p>
        </w:tc>
        <w:tc>
          <w:tcPr>
            <w:tcW w:w="3841" w:type="dxa"/>
            <w:vMerge w:val="continue"/>
            <w:noWrap w:val="0"/>
            <w:vAlign w:val="center"/>
          </w:tcPr>
          <w:p>
            <w:pPr>
              <w:snapToGrid w:val="0"/>
              <w:spacing w:line="324" w:lineRule="auto"/>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（4）有依法缴纳税收和社会保障金的良好记录</w:t>
            </w:r>
          </w:p>
        </w:tc>
        <w:tc>
          <w:tcPr>
            <w:tcW w:w="3841" w:type="dxa"/>
            <w:vMerge w:val="continue"/>
            <w:noWrap w:val="0"/>
            <w:vAlign w:val="center"/>
          </w:tcPr>
          <w:p>
            <w:pPr>
              <w:snapToGrid w:val="0"/>
              <w:spacing w:line="324" w:lineRule="auto"/>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lang w:val="zh-CN"/>
              </w:rPr>
            </w:pPr>
            <w:r>
              <w:rPr>
                <w:rFonts w:hint="eastAsia" w:ascii="宋体" w:hAnsi="宋体" w:eastAsia="宋体" w:cs="宋体"/>
                <w:color w:val="auto"/>
                <w:sz w:val="21"/>
                <w:szCs w:val="21"/>
              </w:rPr>
              <w:t>（5）参加政府采购活动前三年内，在经营活动中没有重大违法记录（注②）</w:t>
            </w:r>
          </w:p>
        </w:tc>
        <w:tc>
          <w:tcPr>
            <w:tcW w:w="3841" w:type="dxa"/>
            <w:vMerge w:val="continue"/>
            <w:noWrap w:val="0"/>
            <w:vAlign w:val="center"/>
          </w:tcPr>
          <w:p>
            <w:pPr>
              <w:snapToGrid w:val="0"/>
              <w:spacing w:line="324" w:lineRule="auto"/>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rPr>
              <w:t>（6）法律</w:t>
            </w:r>
            <w:r>
              <w:rPr>
                <w:rFonts w:hint="eastAsia" w:ascii="宋体" w:hAnsi="宋体" w:cs="宋体"/>
                <w:color w:val="auto"/>
                <w:sz w:val="21"/>
                <w:szCs w:val="21"/>
                <w:lang w:eastAsia="zh-CN"/>
              </w:rPr>
              <w:t>.</w:t>
            </w:r>
            <w:r>
              <w:rPr>
                <w:rFonts w:hint="eastAsia" w:ascii="宋体" w:hAnsi="宋体" w:eastAsia="宋体" w:cs="宋体"/>
                <w:color w:val="auto"/>
                <w:sz w:val="21"/>
                <w:szCs w:val="21"/>
              </w:rPr>
              <w:t>行政法规规定的其他条件</w:t>
            </w:r>
          </w:p>
        </w:tc>
        <w:tc>
          <w:tcPr>
            <w:tcW w:w="3841" w:type="dxa"/>
            <w:vMerge w:val="continue"/>
            <w:noWrap w:val="0"/>
            <w:vAlign w:val="center"/>
          </w:tcPr>
          <w:p>
            <w:pPr>
              <w:snapToGrid w:val="0"/>
              <w:spacing w:line="324" w:lineRule="auto"/>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44" w:type="dxa"/>
            <w:vMerge w:val="continue"/>
            <w:noWrap w:val="0"/>
            <w:vAlign w:val="center"/>
          </w:tcPr>
          <w:p>
            <w:pPr>
              <w:snapToGrid w:val="0"/>
              <w:spacing w:line="324" w:lineRule="auto"/>
              <w:jc w:val="center"/>
              <w:rPr>
                <w:rFonts w:hint="eastAsia" w:ascii="宋体" w:hAnsi="宋体" w:cs="宋体"/>
                <w:color w:val="auto"/>
                <w:sz w:val="21"/>
                <w:szCs w:val="21"/>
              </w:rPr>
            </w:pPr>
          </w:p>
        </w:tc>
        <w:tc>
          <w:tcPr>
            <w:tcW w:w="796" w:type="dxa"/>
            <w:vMerge w:val="continue"/>
            <w:noWrap w:val="0"/>
            <w:vAlign w:val="center"/>
          </w:tcPr>
          <w:p>
            <w:pPr>
              <w:snapToGrid w:val="0"/>
              <w:spacing w:line="324" w:lineRule="auto"/>
              <w:rPr>
                <w:rFonts w:hint="eastAsia" w:ascii="宋体" w:hAnsi="宋体" w:cs="宋体"/>
                <w:color w:val="auto"/>
                <w:sz w:val="21"/>
                <w:szCs w:val="21"/>
                <w:lang w:val="zh-CN"/>
              </w:rPr>
            </w:pPr>
          </w:p>
        </w:tc>
        <w:tc>
          <w:tcPr>
            <w:tcW w:w="4098" w:type="dxa"/>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rPr>
              <w:t>（7）特定资格要求</w:t>
            </w:r>
          </w:p>
        </w:tc>
        <w:tc>
          <w:tcPr>
            <w:tcW w:w="3841"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按“第一篇</w:t>
            </w:r>
            <w:r>
              <w:rPr>
                <w:rFonts w:hint="eastAsia" w:ascii="宋体" w:hAnsi="宋体" w:eastAsia="宋体" w:cs="宋体"/>
                <w:color w:val="auto"/>
                <w:sz w:val="21"/>
                <w:szCs w:val="21"/>
                <w:highlight w:val="none"/>
                <w:lang w:val="en-US" w:eastAsia="zh-CN"/>
              </w:rPr>
              <w:t xml:space="preserve"> 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比选资格条件（</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4" w:type="dxa"/>
            <w:noWrap w:val="0"/>
            <w:vAlign w:val="center"/>
          </w:tcPr>
          <w:p>
            <w:pPr>
              <w:snapToGrid w:val="0"/>
              <w:spacing w:line="324" w:lineRule="auto"/>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4894" w:type="dxa"/>
            <w:gridSpan w:val="2"/>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rPr>
              <w:t>落实政府采购政策需满足的资格要求</w:t>
            </w:r>
          </w:p>
        </w:tc>
        <w:tc>
          <w:tcPr>
            <w:tcW w:w="3841" w:type="dxa"/>
            <w:noWrap w:val="0"/>
            <w:vAlign w:val="center"/>
          </w:tcPr>
          <w:p>
            <w:pPr>
              <w:snapToGrid w:val="0"/>
              <w:spacing w:line="324" w:lineRule="auto"/>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pPr>
        <w:snapToGrid w:val="0"/>
        <w:spacing w:line="312" w:lineRule="auto"/>
        <w:ind w:firstLine="480" w:firstLineChars="200"/>
        <w:rPr>
          <w:rFonts w:ascii="宋体" w:hAnsi="宋体" w:cs="宋体"/>
          <w:kern w:val="0"/>
          <w:sz w:val="24"/>
        </w:rPr>
      </w:pPr>
      <w:r>
        <w:rPr>
          <w:rFonts w:hint="eastAsia" w:ascii="宋体" w:hAnsi="宋体" w:cs="宋体"/>
          <w:kern w:val="0"/>
          <w:sz w:val="24"/>
        </w:rPr>
        <w:t>①供应商按“三证合一”登记制度办理营业执照的，组织机构代码证和税务登记证（副本）以供应商所提供的营业执照（副本）复印件为准。</w:t>
      </w:r>
    </w:p>
    <w:p>
      <w:pPr>
        <w:snapToGrid w:val="0"/>
        <w:spacing w:line="312" w:lineRule="auto"/>
        <w:ind w:firstLine="480" w:firstLineChars="200"/>
        <w:rPr>
          <w:rFonts w:ascii="宋体" w:hAnsi="宋体" w:cs="宋体"/>
          <w:kern w:val="0"/>
          <w:sz w:val="24"/>
        </w:rPr>
      </w:pPr>
      <w:r>
        <w:rPr>
          <w:rFonts w:hint="eastAsia" w:ascii="宋体" w:hAnsi="宋体" w:cs="宋体"/>
          <w:kern w:val="0"/>
          <w:sz w:val="24"/>
        </w:rPr>
        <w:t>②根据《</w:t>
      </w:r>
      <w:r>
        <w:rPr>
          <w:rFonts w:ascii="宋体" w:hAnsi="宋体" w:cs="宋体"/>
          <w:kern w:val="0"/>
          <w:sz w:val="24"/>
        </w:rPr>
        <w:t>中华人民共和国政府采购法实施条例</w:t>
      </w:r>
      <w:r>
        <w:rPr>
          <w:rFonts w:hint="eastAsia" w:ascii="宋体" w:hAnsi="宋体" w:cs="宋体"/>
          <w:kern w:val="0"/>
          <w:sz w:val="24"/>
        </w:rPr>
        <w:t>》第十九条“参加政府采购活动前三年内，在经营活动中没有重大违法记录”中“重大违法记录”</w:t>
      </w:r>
      <w:r>
        <w:rPr>
          <w:rFonts w:ascii="宋体" w:hAnsi="宋体" w:cs="宋体"/>
          <w:kern w:val="0"/>
          <w:sz w:val="24"/>
        </w:rPr>
        <w:t>，是指供应商因违法经营受到刑事处罚或者责令停产停业</w:t>
      </w:r>
      <w:r>
        <w:rPr>
          <w:rFonts w:hint="eastAsia" w:ascii="宋体" w:hAnsi="宋体" w:cs="宋体"/>
          <w:kern w:val="0"/>
          <w:sz w:val="24"/>
          <w:lang w:eastAsia="zh-CN"/>
        </w:rPr>
        <w:t>、</w:t>
      </w:r>
      <w:r>
        <w:rPr>
          <w:rFonts w:ascii="宋体" w:hAnsi="宋体" w:cs="宋体"/>
          <w:kern w:val="0"/>
          <w:sz w:val="24"/>
        </w:rPr>
        <w:t>吊销许可证或者执照</w:t>
      </w:r>
      <w:r>
        <w:rPr>
          <w:rFonts w:hint="eastAsia" w:ascii="宋体" w:hAnsi="宋体" w:cs="宋体"/>
          <w:kern w:val="0"/>
          <w:sz w:val="24"/>
          <w:lang w:eastAsia="zh-CN"/>
        </w:rPr>
        <w:t>、</w:t>
      </w:r>
      <w:r>
        <w:rPr>
          <w:rFonts w:ascii="宋体" w:hAnsi="宋体" w:cs="宋体"/>
          <w:kern w:val="0"/>
          <w:sz w:val="24"/>
        </w:rPr>
        <w:t>较大数额罚款等行政处罚。</w:t>
      </w:r>
    </w:p>
    <w:p>
      <w:pPr>
        <w:snapToGrid w:val="0"/>
        <w:spacing w:line="312" w:lineRule="auto"/>
        <w:ind w:firstLine="480" w:firstLineChars="200"/>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eastAsia="zh-CN"/>
        </w:rPr>
        <w:t>.</w:t>
      </w:r>
      <w:r>
        <w:rPr>
          <w:rFonts w:hint="eastAsia" w:ascii="宋体" w:hAnsi="宋体" w:cs="宋体"/>
          <w:kern w:val="0"/>
          <w:sz w:val="24"/>
        </w:rPr>
        <w:t>符合性检查。依据</w:t>
      </w:r>
      <w:r>
        <w:rPr>
          <w:rFonts w:hint="eastAsia" w:ascii="宋体" w:hAnsi="宋体" w:cs="宋体"/>
          <w:kern w:val="0"/>
          <w:sz w:val="24"/>
          <w:lang w:eastAsia="zh-CN"/>
        </w:rPr>
        <w:t>竞争性比选文件</w:t>
      </w:r>
      <w:r>
        <w:rPr>
          <w:rFonts w:hint="eastAsia" w:ascii="宋体" w:hAnsi="宋体" w:cs="宋体"/>
          <w:kern w:val="0"/>
          <w:sz w:val="24"/>
        </w:rPr>
        <w:t>的规定，从响应文件的有效性</w:t>
      </w:r>
      <w:r>
        <w:rPr>
          <w:rFonts w:hint="eastAsia" w:ascii="宋体" w:hAnsi="宋体" w:cs="宋体"/>
          <w:kern w:val="0"/>
          <w:sz w:val="24"/>
          <w:lang w:eastAsia="zh-CN"/>
        </w:rPr>
        <w:t>、</w:t>
      </w:r>
      <w:r>
        <w:rPr>
          <w:rFonts w:hint="eastAsia" w:ascii="宋体" w:hAnsi="宋体" w:cs="宋体"/>
          <w:kern w:val="0"/>
          <w:sz w:val="24"/>
        </w:rPr>
        <w:t>完整性和对</w:t>
      </w:r>
      <w:r>
        <w:rPr>
          <w:rFonts w:hint="eastAsia" w:ascii="宋体" w:hAnsi="宋体" w:cs="宋体"/>
          <w:kern w:val="0"/>
          <w:sz w:val="24"/>
          <w:lang w:eastAsia="zh-CN"/>
        </w:rPr>
        <w:t>竞争性比选文件</w:t>
      </w:r>
      <w:r>
        <w:rPr>
          <w:rFonts w:hint="eastAsia" w:ascii="宋体" w:hAnsi="宋体" w:cs="宋体"/>
          <w:kern w:val="0"/>
          <w:sz w:val="24"/>
        </w:rPr>
        <w:t>的响应程度进行审查，以确定是否对</w:t>
      </w:r>
      <w:r>
        <w:rPr>
          <w:rFonts w:hint="eastAsia" w:ascii="宋体" w:hAnsi="宋体" w:cs="宋体"/>
          <w:kern w:val="0"/>
          <w:sz w:val="24"/>
          <w:lang w:eastAsia="zh-CN"/>
        </w:rPr>
        <w:t>竞争性比选文件</w:t>
      </w:r>
      <w:r>
        <w:rPr>
          <w:rFonts w:hint="eastAsia" w:ascii="宋体" w:hAnsi="宋体" w:cs="宋体"/>
          <w:kern w:val="0"/>
          <w:sz w:val="24"/>
        </w:rPr>
        <w:t>的实质性要求作出响应。符合性检查资料表如下：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2"/>
        <w:gridCol w:w="2157"/>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9" w:type="dxa"/>
            <w:noWrap w:val="0"/>
            <w:vAlign w:val="center"/>
          </w:tcPr>
          <w:p>
            <w:pPr>
              <w:spacing w:line="24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599" w:type="dxa"/>
            <w:gridSpan w:val="2"/>
            <w:noWrap w:val="0"/>
            <w:vAlign w:val="center"/>
          </w:tcPr>
          <w:p>
            <w:pPr>
              <w:spacing w:line="24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评审因素</w:t>
            </w:r>
          </w:p>
        </w:tc>
        <w:tc>
          <w:tcPr>
            <w:tcW w:w="4970" w:type="dxa"/>
            <w:noWrap w:val="0"/>
            <w:vAlign w:val="center"/>
          </w:tcPr>
          <w:p>
            <w:pPr>
              <w:spacing w:line="240" w:lineRule="exact"/>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9" w:type="dxa"/>
            <w:vMerge w:val="restart"/>
            <w:noWrap w:val="0"/>
            <w:vAlign w:val="center"/>
          </w:tcPr>
          <w:p>
            <w:pPr>
              <w:spacing w:line="24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42" w:type="dxa"/>
            <w:vMerge w:val="restart"/>
            <w:noWrap w:val="0"/>
            <w:vAlign w:val="center"/>
          </w:tcPr>
          <w:p>
            <w:pPr>
              <w:spacing w:line="24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有效性审查</w:t>
            </w:r>
          </w:p>
        </w:tc>
        <w:tc>
          <w:tcPr>
            <w:tcW w:w="2157"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签署</w:t>
            </w:r>
          </w:p>
        </w:tc>
        <w:tc>
          <w:tcPr>
            <w:tcW w:w="4970"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上法定代表人（或其授权代表）或自然人的签字齐全。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9" w:type="dxa"/>
            <w:vMerge w:val="continue"/>
            <w:noWrap w:val="0"/>
            <w:vAlign w:val="center"/>
          </w:tcPr>
          <w:p>
            <w:pPr>
              <w:spacing w:line="240" w:lineRule="exact"/>
              <w:jc w:val="center"/>
              <w:rPr>
                <w:rFonts w:hint="eastAsia" w:ascii="宋体" w:hAnsi="宋体" w:eastAsia="宋体" w:cs="宋体"/>
                <w:color w:val="auto"/>
                <w:kern w:val="0"/>
                <w:sz w:val="21"/>
                <w:szCs w:val="21"/>
              </w:rPr>
            </w:pPr>
          </w:p>
        </w:tc>
        <w:tc>
          <w:tcPr>
            <w:tcW w:w="1442" w:type="dxa"/>
            <w:vMerge w:val="continue"/>
            <w:noWrap w:val="0"/>
            <w:vAlign w:val="center"/>
          </w:tcPr>
          <w:p>
            <w:pPr>
              <w:spacing w:line="240" w:lineRule="exact"/>
              <w:jc w:val="left"/>
              <w:rPr>
                <w:rFonts w:hint="eastAsia" w:ascii="宋体" w:hAnsi="宋体" w:eastAsia="宋体" w:cs="宋体"/>
                <w:color w:val="auto"/>
                <w:kern w:val="0"/>
                <w:sz w:val="21"/>
                <w:szCs w:val="21"/>
              </w:rPr>
            </w:pPr>
          </w:p>
        </w:tc>
        <w:tc>
          <w:tcPr>
            <w:tcW w:w="2157" w:type="dxa"/>
            <w:noWrap w:val="0"/>
            <w:vAlign w:val="center"/>
          </w:tcPr>
          <w:p>
            <w:pPr>
              <w:spacing w:line="24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法定代表人身份证明及授权委托书</w:t>
            </w:r>
          </w:p>
        </w:tc>
        <w:tc>
          <w:tcPr>
            <w:tcW w:w="4970" w:type="dxa"/>
            <w:noWrap w:val="0"/>
            <w:vAlign w:val="center"/>
          </w:tcPr>
          <w:p>
            <w:pPr>
              <w:spacing w:line="24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法定代表人身份证明及授权委托书有效，符合</w:t>
            </w:r>
            <w:r>
              <w:rPr>
                <w:rFonts w:hint="eastAsia" w:ascii="宋体" w:hAnsi="宋体" w:eastAsia="宋体" w:cs="宋体"/>
                <w:color w:val="auto"/>
                <w:sz w:val="21"/>
                <w:szCs w:val="21"/>
                <w:lang w:eastAsia="zh-CN"/>
              </w:rPr>
              <w:t>竞争性比选</w:t>
            </w:r>
            <w:r>
              <w:rPr>
                <w:rFonts w:hint="eastAsia" w:ascii="宋体" w:hAnsi="宋体" w:eastAsia="宋体" w:cs="宋体"/>
                <w:color w:val="auto"/>
                <w:sz w:val="21"/>
                <w:szCs w:val="21"/>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9" w:type="dxa"/>
            <w:vMerge w:val="continue"/>
            <w:noWrap w:val="0"/>
            <w:vAlign w:val="center"/>
          </w:tcPr>
          <w:p>
            <w:pPr>
              <w:spacing w:line="240" w:lineRule="exact"/>
              <w:jc w:val="center"/>
              <w:rPr>
                <w:rFonts w:hint="eastAsia" w:ascii="宋体" w:hAnsi="宋体" w:eastAsia="宋体" w:cs="宋体"/>
                <w:color w:val="auto"/>
                <w:kern w:val="0"/>
                <w:sz w:val="21"/>
                <w:szCs w:val="21"/>
              </w:rPr>
            </w:pPr>
          </w:p>
        </w:tc>
        <w:tc>
          <w:tcPr>
            <w:tcW w:w="1442" w:type="dxa"/>
            <w:vMerge w:val="continue"/>
            <w:noWrap w:val="0"/>
            <w:vAlign w:val="center"/>
          </w:tcPr>
          <w:p>
            <w:pPr>
              <w:spacing w:line="240" w:lineRule="exact"/>
              <w:jc w:val="left"/>
              <w:rPr>
                <w:rFonts w:hint="eastAsia" w:ascii="宋体" w:hAnsi="宋体" w:eastAsia="宋体" w:cs="宋体"/>
                <w:color w:val="auto"/>
                <w:kern w:val="0"/>
                <w:sz w:val="21"/>
                <w:szCs w:val="21"/>
              </w:rPr>
            </w:pPr>
          </w:p>
        </w:tc>
        <w:tc>
          <w:tcPr>
            <w:tcW w:w="2157" w:type="dxa"/>
            <w:noWrap w:val="0"/>
            <w:vAlign w:val="center"/>
          </w:tcPr>
          <w:p>
            <w:pPr>
              <w:spacing w:line="24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c>
          <w:tcPr>
            <w:tcW w:w="4970"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val="zh-CN"/>
              </w:rPr>
              <w:t>只能有一个</w:t>
            </w: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9" w:type="dxa"/>
            <w:vMerge w:val="continue"/>
            <w:noWrap w:val="0"/>
            <w:vAlign w:val="center"/>
          </w:tcPr>
          <w:p>
            <w:pPr>
              <w:spacing w:line="240" w:lineRule="exact"/>
              <w:jc w:val="center"/>
              <w:rPr>
                <w:rFonts w:hint="eastAsia" w:ascii="宋体" w:hAnsi="宋体" w:eastAsia="宋体" w:cs="宋体"/>
                <w:color w:val="auto"/>
                <w:kern w:val="0"/>
                <w:sz w:val="21"/>
                <w:szCs w:val="21"/>
              </w:rPr>
            </w:pPr>
          </w:p>
        </w:tc>
        <w:tc>
          <w:tcPr>
            <w:tcW w:w="1442" w:type="dxa"/>
            <w:vMerge w:val="continue"/>
            <w:noWrap w:val="0"/>
            <w:vAlign w:val="center"/>
          </w:tcPr>
          <w:p>
            <w:pPr>
              <w:spacing w:line="240" w:lineRule="exact"/>
              <w:jc w:val="left"/>
              <w:rPr>
                <w:rFonts w:hint="eastAsia" w:ascii="宋体" w:hAnsi="宋体" w:eastAsia="宋体" w:cs="宋体"/>
                <w:color w:val="auto"/>
                <w:kern w:val="0"/>
                <w:sz w:val="21"/>
                <w:szCs w:val="21"/>
              </w:rPr>
            </w:pPr>
          </w:p>
        </w:tc>
        <w:tc>
          <w:tcPr>
            <w:tcW w:w="2157" w:type="dxa"/>
            <w:noWrap w:val="0"/>
            <w:vAlign w:val="center"/>
          </w:tcPr>
          <w:p>
            <w:pPr>
              <w:spacing w:line="24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rPr>
              <w:t>报价唯一</w:t>
            </w:r>
          </w:p>
        </w:tc>
        <w:tc>
          <w:tcPr>
            <w:tcW w:w="4970"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sz w:val="21"/>
                <w:szCs w:val="21"/>
                <w:lang w:val="zh-CN"/>
              </w:rPr>
              <w:t>只能在采购预算范围内报价，</w:t>
            </w:r>
            <w:r>
              <w:rPr>
                <w:rFonts w:hint="eastAsia" w:ascii="宋体" w:hAnsi="宋体" w:eastAsia="宋体" w:cs="宋体"/>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09" w:type="dxa"/>
            <w:vMerge w:val="restart"/>
            <w:noWrap w:val="0"/>
            <w:vAlign w:val="center"/>
          </w:tcPr>
          <w:p>
            <w:pPr>
              <w:spacing w:line="24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p>
        </w:tc>
        <w:tc>
          <w:tcPr>
            <w:tcW w:w="1442" w:type="dxa"/>
            <w:vMerge w:val="restart"/>
            <w:noWrap w:val="0"/>
            <w:vAlign w:val="center"/>
          </w:tcPr>
          <w:p>
            <w:pPr>
              <w:spacing w:line="240" w:lineRule="exact"/>
              <w:jc w:val="left"/>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lang w:eastAsia="zh-CN"/>
              </w:rPr>
              <w:t>竞争性比选</w:t>
            </w:r>
            <w:r>
              <w:rPr>
                <w:rFonts w:hint="eastAsia" w:ascii="宋体" w:hAnsi="宋体" w:eastAsia="宋体" w:cs="宋体"/>
                <w:color w:val="auto"/>
                <w:kern w:val="0"/>
                <w:sz w:val="21"/>
                <w:szCs w:val="21"/>
              </w:rPr>
              <w:t>文件的响应程度审查</w:t>
            </w:r>
          </w:p>
        </w:tc>
        <w:tc>
          <w:tcPr>
            <w:tcW w:w="2157"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响应文件</w:t>
            </w:r>
            <w:r>
              <w:rPr>
                <w:rFonts w:hint="eastAsia" w:ascii="宋体" w:hAnsi="宋体" w:eastAsia="宋体" w:cs="宋体"/>
                <w:color w:val="auto"/>
                <w:kern w:val="0"/>
                <w:sz w:val="21"/>
                <w:szCs w:val="21"/>
              </w:rPr>
              <w:t>内容</w:t>
            </w:r>
          </w:p>
        </w:tc>
        <w:tc>
          <w:tcPr>
            <w:tcW w:w="4970" w:type="dxa"/>
            <w:noWrap w:val="0"/>
            <w:vAlign w:val="center"/>
          </w:tcPr>
          <w:p>
            <w:pPr>
              <w:pStyle w:val="13"/>
              <w:spacing w:line="240" w:lineRule="exac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对竞争性比选文件第二篇、第三篇中的内容进行响应。不得出现虚假内容。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09" w:type="dxa"/>
            <w:vMerge w:val="continue"/>
            <w:noWrap w:val="0"/>
            <w:vAlign w:val="center"/>
          </w:tcPr>
          <w:p>
            <w:pPr>
              <w:spacing w:line="240" w:lineRule="exact"/>
              <w:jc w:val="center"/>
              <w:rPr>
                <w:rFonts w:hint="eastAsia" w:ascii="宋体" w:hAnsi="宋体" w:eastAsia="宋体" w:cs="宋体"/>
                <w:color w:val="auto"/>
                <w:kern w:val="0"/>
                <w:sz w:val="21"/>
                <w:szCs w:val="21"/>
              </w:rPr>
            </w:pPr>
          </w:p>
        </w:tc>
        <w:tc>
          <w:tcPr>
            <w:tcW w:w="1442" w:type="dxa"/>
            <w:vMerge w:val="continue"/>
            <w:noWrap w:val="0"/>
            <w:vAlign w:val="center"/>
          </w:tcPr>
          <w:p>
            <w:pPr>
              <w:spacing w:line="240" w:lineRule="exact"/>
              <w:rPr>
                <w:rFonts w:hint="eastAsia" w:ascii="宋体" w:hAnsi="宋体" w:eastAsia="宋体" w:cs="宋体"/>
                <w:color w:val="auto"/>
                <w:sz w:val="21"/>
                <w:szCs w:val="21"/>
                <w:lang w:val="zh-CN"/>
              </w:rPr>
            </w:pPr>
          </w:p>
        </w:tc>
        <w:tc>
          <w:tcPr>
            <w:tcW w:w="2157"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投标</w:t>
            </w:r>
            <w:r>
              <w:rPr>
                <w:rFonts w:hint="eastAsia" w:ascii="宋体" w:hAnsi="宋体" w:eastAsia="宋体" w:cs="宋体"/>
                <w:color w:val="auto"/>
                <w:kern w:val="0"/>
                <w:sz w:val="21"/>
                <w:szCs w:val="21"/>
              </w:rPr>
              <w:t>有效期</w:t>
            </w:r>
          </w:p>
        </w:tc>
        <w:tc>
          <w:tcPr>
            <w:tcW w:w="4970" w:type="dxa"/>
            <w:noWrap w:val="0"/>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响应文件</w:t>
            </w:r>
            <w:r>
              <w:rPr>
                <w:rFonts w:hint="eastAsia" w:ascii="宋体" w:hAnsi="宋体" w:eastAsia="宋体" w:cs="宋体"/>
                <w:color w:val="auto"/>
                <w:kern w:val="0"/>
                <w:sz w:val="21"/>
                <w:szCs w:val="21"/>
              </w:rPr>
              <w:t>及有关承诺文件有效期为提交</w:t>
            </w:r>
            <w:r>
              <w:rPr>
                <w:rFonts w:hint="eastAsia" w:ascii="宋体" w:hAnsi="宋体" w:eastAsia="宋体" w:cs="宋体"/>
                <w:color w:val="auto"/>
                <w:kern w:val="0"/>
                <w:sz w:val="21"/>
                <w:szCs w:val="21"/>
                <w:lang w:eastAsia="zh-CN"/>
              </w:rPr>
              <w:t>响应文件</w:t>
            </w:r>
            <w:r>
              <w:rPr>
                <w:rFonts w:hint="eastAsia" w:ascii="宋体" w:hAnsi="宋体" w:eastAsia="宋体" w:cs="宋体"/>
                <w:color w:val="auto"/>
                <w:kern w:val="0"/>
                <w:sz w:val="21"/>
                <w:szCs w:val="21"/>
              </w:rPr>
              <w:t>截止时间起90天。</w:t>
            </w:r>
          </w:p>
        </w:tc>
      </w:tr>
    </w:tbl>
    <w:p>
      <w:pPr>
        <w:spacing w:line="312" w:lineRule="auto"/>
        <w:ind w:right="-126" w:rightChars="-60" w:firstLine="480" w:firstLineChars="200"/>
        <w:rPr>
          <w:rFonts w:hint="eastAsia" w:ascii="宋体" w:hAnsi="宋体" w:cs="宋体"/>
          <w:sz w:val="24"/>
        </w:rPr>
      </w:pPr>
      <w:r>
        <w:rPr>
          <w:rFonts w:hint="eastAsia" w:ascii="宋体" w:hAnsi="宋体" w:cs="宋体"/>
          <w:sz w:val="24"/>
        </w:rPr>
        <w:t>（三）澄清有关问题。</w:t>
      </w:r>
      <w:r>
        <w:rPr>
          <w:rFonts w:hint="eastAsia" w:ascii="宋体" w:hAnsi="宋体" w:cs="宋体"/>
          <w:sz w:val="24"/>
          <w:lang w:eastAsia="zh-CN"/>
        </w:rPr>
        <w:t>评审小组</w:t>
      </w:r>
      <w:r>
        <w:rPr>
          <w:rFonts w:hint="eastAsia" w:ascii="宋体" w:hAnsi="宋体" w:cs="宋体"/>
          <w:sz w:val="24"/>
        </w:rPr>
        <w:t>在对</w:t>
      </w:r>
      <w:r>
        <w:rPr>
          <w:rFonts w:hint="eastAsia" w:ascii="宋体" w:hAnsi="宋体" w:cs="宋体"/>
          <w:sz w:val="24"/>
          <w:lang w:eastAsia="zh-CN"/>
        </w:rPr>
        <w:t>响应文件</w:t>
      </w:r>
      <w:r>
        <w:rPr>
          <w:rFonts w:hint="eastAsia" w:ascii="宋体" w:hAnsi="宋体" w:cs="宋体"/>
          <w:sz w:val="24"/>
        </w:rPr>
        <w:t>的有效性</w:t>
      </w:r>
      <w:r>
        <w:rPr>
          <w:rFonts w:hint="eastAsia" w:ascii="宋体" w:hAnsi="宋体" w:cs="宋体"/>
          <w:sz w:val="24"/>
          <w:lang w:eastAsia="zh-CN"/>
        </w:rPr>
        <w:t>、</w:t>
      </w:r>
      <w:r>
        <w:rPr>
          <w:rFonts w:hint="eastAsia" w:ascii="宋体" w:hAnsi="宋体" w:cs="宋体"/>
          <w:sz w:val="24"/>
        </w:rPr>
        <w:t>完整性和响应程度进行审查时，可以要求</w:t>
      </w:r>
      <w:r>
        <w:rPr>
          <w:rFonts w:hint="eastAsia" w:ascii="宋体" w:hAnsi="宋体" w:cs="宋体"/>
          <w:sz w:val="24"/>
          <w:lang w:eastAsia="zh-CN"/>
        </w:rPr>
        <w:t>供应商</w:t>
      </w:r>
      <w:r>
        <w:rPr>
          <w:rFonts w:hint="eastAsia" w:ascii="宋体" w:hAnsi="宋体" w:cs="宋体"/>
          <w:sz w:val="24"/>
        </w:rPr>
        <w:t>对</w:t>
      </w:r>
      <w:r>
        <w:rPr>
          <w:rFonts w:hint="eastAsia" w:ascii="宋体" w:hAnsi="宋体" w:cs="宋体"/>
          <w:sz w:val="24"/>
          <w:lang w:eastAsia="zh-CN"/>
        </w:rPr>
        <w:t>响应文件</w:t>
      </w:r>
      <w:r>
        <w:rPr>
          <w:rFonts w:hint="eastAsia" w:ascii="宋体" w:hAnsi="宋体" w:cs="宋体"/>
          <w:sz w:val="24"/>
        </w:rPr>
        <w:t>中含义不明确</w:t>
      </w:r>
      <w:r>
        <w:rPr>
          <w:rFonts w:hint="eastAsia" w:ascii="宋体" w:hAnsi="宋体" w:cs="宋体"/>
          <w:sz w:val="24"/>
          <w:lang w:eastAsia="zh-CN"/>
        </w:rPr>
        <w:t>、</w:t>
      </w:r>
      <w:r>
        <w:rPr>
          <w:rFonts w:hint="eastAsia" w:ascii="宋体" w:hAnsi="宋体" w:cs="宋体"/>
          <w:sz w:val="24"/>
        </w:rPr>
        <w:t>同类问题表述不一致或者有明显文字和计算错误的内容等作出必要的澄清</w:t>
      </w:r>
      <w:r>
        <w:rPr>
          <w:rFonts w:hint="eastAsia" w:ascii="宋体" w:hAnsi="宋体" w:cs="宋体"/>
          <w:sz w:val="24"/>
          <w:lang w:eastAsia="zh-CN"/>
        </w:rPr>
        <w:t>、</w:t>
      </w:r>
      <w:r>
        <w:rPr>
          <w:rFonts w:hint="eastAsia" w:ascii="宋体" w:hAnsi="宋体" w:cs="宋体"/>
          <w:sz w:val="24"/>
        </w:rPr>
        <w:t>说明或者更正。</w:t>
      </w:r>
      <w:r>
        <w:rPr>
          <w:rFonts w:hint="eastAsia" w:ascii="宋体" w:hAnsi="宋体" w:cs="宋体"/>
          <w:sz w:val="24"/>
          <w:lang w:eastAsia="zh-CN"/>
        </w:rPr>
        <w:t>供应商</w:t>
      </w:r>
      <w:r>
        <w:rPr>
          <w:rFonts w:hint="eastAsia" w:ascii="宋体" w:hAnsi="宋体" w:cs="宋体"/>
          <w:sz w:val="24"/>
        </w:rPr>
        <w:t>的澄清</w:t>
      </w:r>
      <w:r>
        <w:rPr>
          <w:rFonts w:hint="eastAsia" w:ascii="宋体" w:hAnsi="宋体" w:cs="宋体"/>
          <w:sz w:val="24"/>
          <w:lang w:eastAsia="zh-CN"/>
        </w:rPr>
        <w:t>、</w:t>
      </w:r>
      <w:r>
        <w:rPr>
          <w:rFonts w:hint="eastAsia" w:ascii="宋体" w:hAnsi="宋体" w:cs="宋体"/>
          <w:sz w:val="24"/>
        </w:rPr>
        <w:t>说明或者更正不得超出</w:t>
      </w:r>
      <w:r>
        <w:rPr>
          <w:rFonts w:hint="eastAsia" w:ascii="宋体" w:hAnsi="宋体" w:cs="宋体"/>
          <w:sz w:val="24"/>
          <w:lang w:eastAsia="zh-CN"/>
        </w:rPr>
        <w:t>响应文件</w:t>
      </w:r>
      <w:r>
        <w:rPr>
          <w:rFonts w:hint="eastAsia" w:ascii="宋体" w:hAnsi="宋体" w:cs="宋体"/>
          <w:sz w:val="24"/>
        </w:rPr>
        <w:t>的范围或者改变</w:t>
      </w:r>
      <w:r>
        <w:rPr>
          <w:rFonts w:hint="eastAsia" w:ascii="宋体" w:hAnsi="宋体" w:cs="宋体"/>
          <w:sz w:val="24"/>
          <w:lang w:eastAsia="zh-CN"/>
        </w:rPr>
        <w:t>响应文件</w:t>
      </w:r>
      <w:r>
        <w:rPr>
          <w:rFonts w:hint="eastAsia" w:ascii="宋体" w:hAnsi="宋体" w:cs="宋体"/>
          <w:sz w:val="24"/>
        </w:rPr>
        <w:t>的实质性内容。</w:t>
      </w:r>
    </w:p>
    <w:p>
      <w:pPr>
        <w:spacing w:line="312" w:lineRule="auto"/>
        <w:ind w:right="-126" w:rightChars="-60"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lang w:eastAsia="zh-CN"/>
        </w:rPr>
        <w:t>评审小组</w:t>
      </w:r>
      <w:r>
        <w:rPr>
          <w:rFonts w:hint="eastAsia" w:ascii="宋体" w:hAnsi="宋体" w:cs="宋体"/>
          <w:sz w:val="24"/>
        </w:rPr>
        <w:t>要求</w:t>
      </w:r>
      <w:r>
        <w:rPr>
          <w:rFonts w:hint="eastAsia" w:ascii="宋体" w:hAnsi="宋体" w:cs="宋体"/>
          <w:sz w:val="24"/>
          <w:lang w:eastAsia="zh-CN"/>
        </w:rPr>
        <w:t>供应商</w:t>
      </w:r>
      <w:r>
        <w:rPr>
          <w:rFonts w:hint="eastAsia" w:ascii="宋体" w:hAnsi="宋体" w:cs="宋体"/>
          <w:sz w:val="24"/>
        </w:rPr>
        <w:t>澄清</w:t>
      </w:r>
      <w:r>
        <w:rPr>
          <w:rFonts w:hint="eastAsia" w:ascii="宋体" w:hAnsi="宋体" w:cs="宋体"/>
          <w:sz w:val="24"/>
          <w:lang w:eastAsia="zh-CN"/>
        </w:rPr>
        <w:t>、</w:t>
      </w:r>
      <w:r>
        <w:rPr>
          <w:rFonts w:hint="eastAsia" w:ascii="宋体" w:hAnsi="宋体" w:cs="宋体"/>
          <w:sz w:val="24"/>
        </w:rPr>
        <w:t>说明或者更正</w:t>
      </w:r>
      <w:r>
        <w:rPr>
          <w:rFonts w:hint="eastAsia" w:ascii="宋体" w:hAnsi="宋体" w:cs="宋体"/>
          <w:sz w:val="24"/>
          <w:lang w:eastAsia="zh-CN"/>
        </w:rPr>
        <w:t>响应文件</w:t>
      </w:r>
      <w:r>
        <w:rPr>
          <w:rFonts w:hint="eastAsia" w:ascii="宋体" w:hAnsi="宋体" w:cs="宋体"/>
          <w:sz w:val="24"/>
        </w:rPr>
        <w:t>应当以书面形式作出。</w:t>
      </w:r>
      <w:r>
        <w:rPr>
          <w:rFonts w:hint="eastAsia" w:ascii="宋体" w:hAnsi="宋体" w:cs="宋体"/>
          <w:sz w:val="24"/>
          <w:lang w:eastAsia="zh-CN"/>
        </w:rPr>
        <w:t>供应商</w:t>
      </w:r>
      <w:r>
        <w:rPr>
          <w:rFonts w:hint="eastAsia" w:ascii="宋体" w:hAnsi="宋体" w:cs="宋体"/>
          <w:sz w:val="24"/>
        </w:rPr>
        <w:t>的澄清</w:t>
      </w:r>
      <w:r>
        <w:rPr>
          <w:rFonts w:hint="eastAsia" w:ascii="宋体" w:hAnsi="宋体" w:cs="宋体"/>
          <w:sz w:val="24"/>
          <w:lang w:eastAsia="zh-CN"/>
        </w:rPr>
        <w:t>.</w:t>
      </w:r>
      <w:r>
        <w:rPr>
          <w:rFonts w:hint="eastAsia" w:ascii="宋体" w:hAnsi="宋体" w:cs="宋体"/>
          <w:sz w:val="24"/>
        </w:rPr>
        <w:t>说明或者更正应当由法定代表人（或其授权代表）或自然人（</w:t>
      </w:r>
      <w:r>
        <w:rPr>
          <w:rFonts w:hint="eastAsia" w:ascii="宋体" w:hAnsi="宋体" w:cs="宋体"/>
          <w:sz w:val="24"/>
          <w:lang w:eastAsia="zh-CN"/>
        </w:rPr>
        <w:t>供应商</w:t>
      </w:r>
      <w:r>
        <w:rPr>
          <w:rFonts w:hint="eastAsia" w:ascii="宋体" w:hAnsi="宋体" w:cs="宋体"/>
          <w:sz w:val="24"/>
        </w:rPr>
        <w:t>为自然人）签字或者加盖公章。由授权代表签字的，应当附法定代表人授权书。</w:t>
      </w:r>
      <w:r>
        <w:rPr>
          <w:rFonts w:hint="eastAsia" w:ascii="宋体" w:hAnsi="宋体" w:cs="宋体"/>
          <w:sz w:val="24"/>
          <w:lang w:eastAsia="zh-CN"/>
        </w:rPr>
        <w:t>供应商</w:t>
      </w:r>
      <w:r>
        <w:rPr>
          <w:rFonts w:hint="eastAsia" w:ascii="宋体" w:hAnsi="宋体" w:cs="宋体"/>
          <w:sz w:val="24"/>
        </w:rPr>
        <w:t>为自然人的，应当由本人签字并附身份证明。</w:t>
      </w:r>
    </w:p>
    <w:p>
      <w:pPr>
        <w:spacing w:line="312" w:lineRule="auto"/>
        <w:ind w:right="-126" w:rightChars="-60" w:firstLine="480" w:firstLineChars="200"/>
        <w:rPr>
          <w:rFonts w:hint="eastAsia" w:ascii="宋体" w:hAnsi="宋体" w:cs="宋体"/>
          <w:sz w:val="24"/>
        </w:rPr>
      </w:pPr>
      <w:r>
        <w:rPr>
          <w:rFonts w:hint="eastAsia" w:ascii="宋体" w:hAnsi="宋体" w:cs="宋体"/>
          <w:sz w:val="24"/>
        </w:rPr>
        <w:t>（五）</w:t>
      </w:r>
      <w:r>
        <w:rPr>
          <w:rFonts w:hint="eastAsia" w:ascii="宋体" w:hAnsi="宋体" w:cs="宋体"/>
          <w:sz w:val="24"/>
          <w:lang w:eastAsia="zh-CN"/>
        </w:rPr>
        <w:t>评审小组</w:t>
      </w:r>
      <w:r>
        <w:rPr>
          <w:rFonts w:hint="eastAsia" w:ascii="宋体" w:hAnsi="宋体" w:cs="宋体"/>
          <w:sz w:val="24"/>
        </w:rPr>
        <w:t>采用综合评分法对</w:t>
      </w:r>
      <w:r>
        <w:rPr>
          <w:rFonts w:hint="eastAsia" w:ascii="宋体" w:hAnsi="宋体" w:cs="宋体"/>
          <w:sz w:val="24"/>
          <w:lang w:eastAsia="zh-CN"/>
        </w:rPr>
        <w:t>供应商</w:t>
      </w:r>
      <w:r>
        <w:rPr>
          <w:rFonts w:hint="eastAsia" w:ascii="宋体" w:hAnsi="宋体" w:cs="宋体"/>
          <w:sz w:val="24"/>
        </w:rPr>
        <w:t>的</w:t>
      </w:r>
      <w:r>
        <w:rPr>
          <w:rFonts w:hint="eastAsia" w:ascii="宋体" w:hAnsi="宋体" w:cs="宋体"/>
          <w:sz w:val="24"/>
          <w:lang w:eastAsia="zh-CN"/>
        </w:rPr>
        <w:t>响应文件</w:t>
      </w:r>
      <w:r>
        <w:rPr>
          <w:rFonts w:hint="eastAsia" w:ascii="宋体" w:hAnsi="宋体" w:cs="宋体"/>
          <w:sz w:val="24"/>
        </w:rPr>
        <w:t>和报价（含有效书面承诺）进行综合评分。综合评分法，是指</w:t>
      </w:r>
      <w:r>
        <w:rPr>
          <w:rFonts w:hint="eastAsia" w:ascii="宋体" w:hAnsi="宋体" w:cs="宋体"/>
          <w:sz w:val="24"/>
          <w:lang w:eastAsia="zh-CN"/>
        </w:rPr>
        <w:t>响应文件</w:t>
      </w:r>
      <w:r>
        <w:rPr>
          <w:rFonts w:hint="eastAsia" w:ascii="宋体" w:hAnsi="宋体" w:cs="宋体"/>
          <w:sz w:val="24"/>
        </w:rPr>
        <w:t>满足竞争性比选文件全部实质性要求且按照评审因素的量化指标评审得分最高的</w:t>
      </w:r>
      <w:r>
        <w:rPr>
          <w:rFonts w:hint="eastAsia" w:ascii="宋体" w:hAnsi="宋体" w:cs="宋体"/>
          <w:sz w:val="24"/>
          <w:lang w:eastAsia="zh-CN"/>
        </w:rPr>
        <w:t>供应商</w:t>
      </w:r>
      <w:r>
        <w:rPr>
          <w:rFonts w:hint="eastAsia" w:ascii="宋体" w:hAnsi="宋体" w:cs="宋体"/>
          <w:sz w:val="24"/>
        </w:rPr>
        <w:t>为成交候选</w:t>
      </w:r>
      <w:r>
        <w:rPr>
          <w:rFonts w:hint="eastAsia" w:ascii="宋体" w:hAnsi="宋体" w:cs="宋体"/>
          <w:sz w:val="24"/>
          <w:lang w:eastAsia="zh-CN"/>
        </w:rPr>
        <w:t>供应商</w:t>
      </w:r>
      <w:r>
        <w:rPr>
          <w:rFonts w:hint="eastAsia" w:ascii="宋体" w:hAnsi="宋体" w:cs="宋体"/>
          <w:sz w:val="24"/>
        </w:rPr>
        <w:t>的评审方法。</w:t>
      </w:r>
      <w:r>
        <w:rPr>
          <w:rFonts w:hint="eastAsia" w:ascii="宋体" w:hAnsi="宋体" w:cs="宋体"/>
          <w:sz w:val="24"/>
          <w:lang w:eastAsia="zh-CN"/>
        </w:rPr>
        <w:t>供应商</w:t>
      </w:r>
      <w:r>
        <w:rPr>
          <w:rFonts w:hint="eastAsia" w:ascii="宋体" w:hAnsi="宋体" w:cs="宋体"/>
          <w:sz w:val="24"/>
        </w:rPr>
        <w:t>总得分为价格</w:t>
      </w:r>
      <w:r>
        <w:rPr>
          <w:rFonts w:hint="eastAsia" w:ascii="宋体" w:hAnsi="宋体" w:cs="宋体"/>
          <w:sz w:val="24"/>
          <w:lang w:eastAsia="zh-CN"/>
        </w:rPr>
        <w:t>、</w:t>
      </w:r>
      <w:r>
        <w:rPr>
          <w:rFonts w:hint="eastAsia" w:ascii="宋体" w:hAnsi="宋体" w:cs="宋体"/>
          <w:sz w:val="24"/>
        </w:rPr>
        <w:t>技术</w:t>
      </w:r>
      <w:r>
        <w:rPr>
          <w:rFonts w:hint="eastAsia" w:ascii="宋体" w:hAnsi="宋体" w:cs="宋体"/>
          <w:sz w:val="24"/>
          <w:lang w:eastAsia="zh-CN"/>
        </w:rPr>
        <w:t>、</w:t>
      </w:r>
      <w:r>
        <w:rPr>
          <w:rFonts w:hint="eastAsia" w:ascii="宋体" w:hAnsi="宋体" w:cs="宋体"/>
          <w:sz w:val="24"/>
        </w:rPr>
        <w:t>商务等评定因素分别按照相应权重值计算分项得分后相加，满分为100分。</w:t>
      </w:r>
    </w:p>
    <w:p>
      <w:pPr>
        <w:spacing w:line="312" w:lineRule="auto"/>
        <w:ind w:right="-126" w:rightChars="-60" w:firstLine="480" w:firstLineChars="200"/>
      </w:pPr>
      <w:r>
        <w:rPr>
          <w:rFonts w:hint="eastAsia" w:ascii="宋体" w:hAnsi="宋体" w:cs="宋体"/>
          <w:sz w:val="24"/>
        </w:rPr>
        <w:t>（六）</w:t>
      </w:r>
      <w:r>
        <w:rPr>
          <w:rFonts w:hint="eastAsia" w:ascii="宋体" w:hAnsi="宋体" w:cs="宋体"/>
          <w:sz w:val="24"/>
          <w:lang w:eastAsia="zh-CN"/>
        </w:rPr>
        <w:t>评审小组</w:t>
      </w:r>
      <w:r>
        <w:rPr>
          <w:rFonts w:hint="eastAsia" w:ascii="宋体" w:hAnsi="宋体" w:cs="宋体"/>
          <w:sz w:val="24"/>
        </w:rPr>
        <w:t>各成员独立对每个有效响应（通过资格性</w:t>
      </w:r>
      <w:r>
        <w:rPr>
          <w:rFonts w:hint="eastAsia" w:ascii="宋体" w:hAnsi="宋体" w:cs="宋体"/>
          <w:sz w:val="24"/>
          <w:lang w:eastAsia="zh-CN"/>
        </w:rPr>
        <w:t>、</w:t>
      </w:r>
      <w:r>
        <w:rPr>
          <w:rFonts w:hint="eastAsia" w:ascii="宋体" w:hAnsi="宋体" w:cs="宋体"/>
          <w:sz w:val="24"/>
        </w:rPr>
        <w:t>符合性审查的</w:t>
      </w:r>
      <w:r>
        <w:rPr>
          <w:rFonts w:hint="eastAsia" w:ascii="宋体" w:hAnsi="宋体" w:cs="宋体"/>
          <w:sz w:val="24"/>
          <w:lang w:eastAsia="zh-CN"/>
        </w:rPr>
        <w:t>供应商</w:t>
      </w:r>
      <w:r>
        <w:rPr>
          <w:rFonts w:hint="eastAsia" w:ascii="宋体" w:hAnsi="宋体" w:cs="宋体"/>
          <w:sz w:val="24"/>
        </w:rPr>
        <w:t>）的文件进行评价</w:t>
      </w:r>
      <w:r>
        <w:rPr>
          <w:rFonts w:hint="eastAsia" w:ascii="宋体" w:hAnsi="宋体" w:cs="宋体"/>
          <w:sz w:val="24"/>
          <w:lang w:eastAsia="zh-CN"/>
        </w:rPr>
        <w:t>、</w:t>
      </w:r>
      <w:r>
        <w:rPr>
          <w:rFonts w:hint="eastAsia" w:ascii="宋体" w:hAnsi="宋体" w:cs="宋体"/>
          <w:sz w:val="24"/>
        </w:rPr>
        <w:t>打分，然后汇总每个</w:t>
      </w:r>
      <w:r>
        <w:rPr>
          <w:rFonts w:hint="eastAsia" w:ascii="宋体" w:hAnsi="宋体" w:cs="宋体"/>
          <w:sz w:val="24"/>
          <w:lang w:eastAsia="zh-CN"/>
        </w:rPr>
        <w:t>供应商</w:t>
      </w:r>
      <w:r>
        <w:rPr>
          <w:rFonts w:hint="eastAsia" w:ascii="宋体" w:hAnsi="宋体" w:cs="宋体"/>
          <w:sz w:val="24"/>
        </w:rPr>
        <w:t>每项评分因素的得分，并根据综合评分情况按照评审得分由高到低顺序推荐3名及以上成交候选</w:t>
      </w:r>
      <w:r>
        <w:rPr>
          <w:rFonts w:hint="eastAsia" w:ascii="宋体" w:hAnsi="宋体" w:cs="宋体"/>
          <w:sz w:val="24"/>
          <w:lang w:eastAsia="zh-CN"/>
        </w:rPr>
        <w:t>供应商，</w:t>
      </w:r>
      <w:r>
        <w:rPr>
          <w:rFonts w:hint="eastAsia" w:ascii="宋体" w:hAnsi="宋体" w:cs="宋体"/>
          <w:sz w:val="24"/>
          <w:lang w:val="en-US" w:eastAsia="zh-CN"/>
        </w:rPr>
        <w:t>推荐前三名为入围</w:t>
      </w:r>
      <w:r>
        <w:rPr>
          <w:rFonts w:hint="eastAsia" w:ascii="宋体" w:hAnsi="宋体" w:cs="宋体"/>
          <w:sz w:val="24"/>
        </w:rPr>
        <w:t>成交候选</w:t>
      </w:r>
      <w:r>
        <w:rPr>
          <w:rFonts w:hint="eastAsia" w:ascii="宋体" w:hAnsi="宋体" w:cs="宋体"/>
          <w:sz w:val="24"/>
          <w:lang w:eastAsia="zh-CN"/>
        </w:rPr>
        <w:t>供应商</w:t>
      </w:r>
      <w:r>
        <w:rPr>
          <w:rFonts w:hint="eastAsia" w:ascii="宋体" w:hAnsi="宋体" w:cs="宋体"/>
          <w:sz w:val="24"/>
        </w:rPr>
        <w:t>。评审得分且报价相同的，按照</w:t>
      </w:r>
      <w:r>
        <w:rPr>
          <w:rFonts w:hint="eastAsia" w:ascii="宋体" w:hAnsi="宋体" w:cs="宋体"/>
          <w:sz w:val="24"/>
          <w:lang w:eastAsia="zh-CN"/>
        </w:rPr>
        <w:t>服务部分</w:t>
      </w:r>
      <w:r>
        <w:rPr>
          <w:rFonts w:hint="eastAsia" w:ascii="宋体" w:hAnsi="宋体" w:cs="宋体"/>
          <w:sz w:val="24"/>
        </w:rPr>
        <w:t>得分优劣顺序排列推荐。以上都相同的，按商务部分得分的优劣顺序排列推荐。</w:t>
      </w:r>
    </w:p>
    <w:p>
      <w:pPr>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br w:type="page"/>
      </w:r>
    </w:p>
    <w:p>
      <w:pPr>
        <w:pStyle w:val="5"/>
        <w:numPr>
          <w:ilvl w:val="0"/>
          <w:numId w:val="2"/>
        </w:numPr>
        <w:spacing w:line="360" w:lineRule="auto"/>
        <w:ind w:firstLine="482" w:firstLineChars="200"/>
        <w:rPr>
          <w:rFonts w:hint="eastAsia" w:ascii="宋体" w:hAnsi="宋体" w:eastAsia="宋体" w:cs="宋体"/>
          <w:color w:val="auto"/>
          <w:kern w:val="0"/>
          <w:sz w:val="24"/>
          <w:szCs w:val="24"/>
          <w:highlight w:val="none"/>
          <w:lang w:val="zh-CN" w:eastAsia="zh-CN"/>
        </w:rPr>
      </w:pPr>
      <w:bookmarkStart w:id="69" w:name="_Toc3927"/>
      <w:r>
        <w:rPr>
          <w:rFonts w:hint="eastAsia" w:ascii="宋体" w:hAnsi="宋体" w:eastAsia="宋体" w:cs="宋体"/>
          <w:color w:val="auto"/>
          <w:kern w:val="0"/>
          <w:sz w:val="24"/>
          <w:szCs w:val="24"/>
          <w:highlight w:val="none"/>
          <w:lang w:val="zh-CN" w:eastAsia="zh-CN"/>
        </w:rPr>
        <w:t>评标标准</w:t>
      </w:r>
      <w:bookmarkEnd w:id="69"/>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34"/>
        <w:gridCol w:w="898"/>
        <w:gridCol w:w="3990"/>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snapToGrid w:val="0"/>
              <w:spacing w:line="360" w:lineRule="auto"/>
              <w:rPr>
                <w:rFonts w:hint="eastAsia" w:ascii="宋体" w:hAnsi="宋体" w:eastAsia="宋体" w:cs="宋体"/>
                <w:sz w:val="24"/>
              </w:rPr>
            </w:pPr>
            <w:bookmarkStart w:id="70" w:name="_Toc26875"/>
            <w:bookmarkStart w:id="71" w:name="_Toc8815"/>
            <w:bookmarkStart w:id="72" w:name="_Toc17078"/>
            <w:r>
              <w:rPr>
                <w:rFonts w:hint="eastAsia" w:ascii="宋体" w:hAnsi="宋体" w:eastAsia="宋体" w:cs="宋体"/>
                <w:sz w:val="24"/>
              </w:rPr>
              <w:t>序号</w:t>
            </w:r>
          </w:p>
        </w:tc>
        <w:tc>
          <w:tcPr>
            <w:tcW w:w="1234" w:type="dxa"/>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评分因素及权值</w:t>
            </w:r>
          </w:p>
        </w:tc>
        <w:tc>
          <w:tcPr>
            <w:tcW w:w="898" w:type="dxa"/>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分值</w:t>
            </w:r>
          </w:p>
        </w:tc>
        <w:tc>
          <w:tcPr>
            <w:tcW w:w="3990" w:type="dxa"/>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评分标准</w:t>
            </w:r>
          </w:p>
        </w:tc>
        <w:tc>
          <w:tcPr>
            <w:tcW w:w="2356" w:type="dxa"/>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1</w:t>
            </w:r>
          </w:p>
        </w:tc>
        <w:tc>
          <w:tcPr>
            <w:tcW w:w="1234" w:type="dxa"/>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投标报价</w:t>
            </w:r>
          </w:p>
          <w:p>
            <w:pPr>
              <w:snapToGrid w:val="0"/>
              <w:spacing w:line="360" w:lineRule="auto"/>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cs="宋体"/>
                <w:sz w:val="24"/>
                <w:lang w:val="en-US" w:eastAsia="zh-CN"/>
              </w:rPr>
              <w:t>3</w:t>
            </w:r>
            <w:r>
              <w:rPr>
                <w:rFonts w:hint="eastAsia" w:ascii="宋体" w:hAnsi="宋体" w:eastAsia="宋体" w:cs="宋体"/>
                <w:sz w:val="24"/>
                <w:lang w:val="en-US" w:eastAsia="zh-CN"/>
              </w:rPr>
              <w:t>0%）</w:t>
            </w:r>
          </w:p>
        </w:tc>
        <w:tc>
          <w:tcPr>
            <w:tcW w:w="898" w:type="dxa"/>
            <w:noWrap w:val="0"/>
            <w:vAlign w:val="center"/>
          </w:tcPr>
          <w:p>
            <w:pPr>
              <w:snapToGrid w:val="0"/>
              <w:spacing w:line="360" w:lineRule="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lang w:val="en-US" w:eastAsia="zh-CN"/>
              </w:rPr>
              <w:t>0</w:t>
            </w:r>
            <w:r>
              <w:rPr>
                <w:rFonts w:hint="eastAsia" w:ascii="宋体" w:hAnsi="宋体" w:eastAsia="宋体" w:cs="宋体"/>
                <w:sz w:val="24"/>
              </w:rPr>
              <w:t>分</w:t>
            </w:r>
          </w:p>
        </w:tc>
        <w:tc>
          <w:tcPr>
            <w:tcW w:w="3990" w:type="dxa"/>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有效的投标报价中的最低价为评标基准价，其价格分为满分。其他投标人的价格分统一按照下列公式计算：</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投标报价得分＝（评标基准价/投标报价）×价格权重×100。</w:t>
            </w:r>
          </w:p>
        </w:tc>
        <w:tc>
          <w:tcPr>
            <w:tcW w:w="2356" w:type="dxa"/>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对小微企业的价格用扣除后的价格参与评审，详见“（二）关于小微企业报价扣除比例说明”。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06" w:type="dxa"/>
            <w:vMerge w:val="restart"/>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p>
        </w:tc>
        <w:tc>
          <w:tcPr>
            <w:tcW w:w="1234" w:type="dxa"/>
            <w:vMerge w:val="restart"/>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服务部分</w:t>
            </w:r>
          </w:p>
          <w:p>
            <w:pPr>
              <w:snapToGrid w:val="0"/>
              <w:spacing w:line="360" w:lineRule="auto"/>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cs="宋体"/>
                <w:sz w:val="24"/>
                <w:lang w:val="en-US" w:eastAsia="zh-CN"/>
              </w:rPr>
              <w:t>55</w:t>
            </w:r>
            <w:r>
              <w:rPr>
                <w:rFonts w:hint="eastAsia" w:ascii="宋体" w:hAnsi="宋体" w:eastAsia="宋体" w:cs="宋体"/>
                <w:sz w:val="24"/>
              </w:rPr>
              <w:t>%）</w:t>
            </w:r>
          </w:p>
        </w:tc>
        <w:tc>
          <w:tcPr>
            <w:tcW w:w="898" w:type="dxa"/>
            <w:vMerge w:val="restart"/>
            <w:noWrap w:val="0"/>
            <w:vAlign w:val="center"/>
          </w:tcPr>
          <w:p>
            <w:pPr>
              <w:snapToGrid w:val="0"/>
              <w:spacing w:line="360" w:lineRule="auto"/>
              <w:rPr>
                <w:rFonts w:hint="eastAsia" w:ascii="宋体" w:hAnsi="宋体" w:eastAsia="宋体" w:cs="宋体"/>
                <w:sz w:val="24"/>
              </w:rPr>
            </w:pPr>
            <w:r>
              <w:rPr>
                <w:rFonts w:hint="eastAsia" w:ascii="宋体" w:hAnsi="宋体" w:cs="宋体"/>
                <w:sz w:val="24"/>
                <w:lang w:val="en-US" w:eastAsia="zh-CN"/>
              </w:rPr>
              <w:t>55</w:t>
            </w:r>
            <w:r>
              <w:rPr>
                <w:rFonts w:hint="eastAsia" w:ascii="宋体" w:hAnsi="宋体" w:eastAsia="宋体" w:cs="宋体"/>
                <w:sz w:val="24"/>
              </w:rPr>
              <w:t>分</w:t>
            </w:r>
          </w:p>
        </w:tc>
        <w:tc>
          <w:tcPr>
            <w:tcW w:w="3990" w:type="dxa"/>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一、项目总体理解方案（10分）。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根据投标人针对本项目总体理解方案，方案内容包含但不限于：1.对本项目理解的总体思路。</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评审要求：</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项目总体理解方案包含要素齐全，针对性强、内容齐全、可行性高得</w:t>
            </w:r>
            <w:r>
              <w:rPr>
                <w:rFonts w:hint="eastAsia" w:ascii="宋体" w:hAnsi="宋体" w:eastAsia="宋体" w:cs="宋体"/>
                <w:sz w:val="24"/>
                <w:lang w:val="en-US" w:eastAsia="zh-CN"/>
              </w:rPr>
              <w:t>10</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项目总体理解方案包含要素齐全，针对性较强、内容较齐全，可行性较高得</w:t>
            </w:r>
            <w:r>
              <w:rPr>
                <w:rFonts w:hint="eastAsia" w:ascii="宋体" w:hAnsi="宋体" w:eastAsia="宋体" w:cs="宋体"/>
                <w:sz w:val="24"/>
                <w:lang w:val="en-US" w:eastAsia="zh-CN"/>
              </w:rPr>
              <w:t>6</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项目总体理解方案包含要素齐全，针对性一般，内容较齐全，可行性一般的得3分；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项目总体理解方案包含要素齐全，可行性差、内容不齐全，可行性较差的得1分；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项目总体理解方案包含要素不齐或未提供方案得0分。</w:t>
            </w:r>
          </w:p>
        </w:tc>
        <w:tc>
          <w:tcPr>
            <w:tcW w:w="2356" w:type="dxa"/>
            <w:vMerge w:val="restart"/>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.投标人提供对应方案，格式自定。</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.投标人提供的对应方案须建立在本项目采购服务之上，否则对应方案按0分处理。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.本项内容中所称的“瑕疵”：</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①对应方案内容表述不完整或缺少关键分析点；</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②对应方案措施不科学、不合理；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③对应方案内容表述前后矛盾、无连贯性、内容存在逻辑漏洞；</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④对应方案内容存在明显错误或常识性错误；</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⑤对应方案内容并不适用本项目特性或非专门针对本项目制定；</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⑥对应方案中提出的措施举措不利于本项目目标的实现；</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⑦现有技术条件下不可能实现采购目标。</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上述任意一种情形为1处瑕疵。</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5.由评标委员会成员结合自身专业知识根据评审标准独立公正赋分。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806"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1234"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898"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3990" w:type="dxa"/>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、质量</w:t>
            </w:r>
            <w:r>
              <w:rPr>
                <w:rFonts w:hint="eastAsia" w:ascii="宋体" w:hAnsi="宋体" w:eastAsia="宋体" w:cs="宋体"/>
                <w:sz w:val="24"/>
                <w:lang w:val="en-US" w:eastAsia="zh-CN"/>
              </w:rPr>
              <w:t>安全</w:t>
            </w:r>
            <w:r>
              <w:rPr>
                <w:rFonts w:hint="eastAsia" w:ascii="宋体" w:hAnsi="宋体" w:eastAsia="宋体" w:cs="宋体"/>
                <w:sz w:val="24"/>
              </w:rPr>
              <w:t>控制方案（</w:t>
            </w:r>
            <w:r>
              <w:rPr>
                <w:rFonts w:hint="eastAsia" w:ascii="宋体" w:hAnsi="宋体" w:cs="宋体"/>
                <w:sz w:val="24"/>
                <w:lang w:val="en-US" w:eastAsia="zh-CN"/>
              </w:rPr>
              <w:t>15</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根据投标人针对本项目质量</w:t>
            </w:r>
            <w:r>
              <w:rPr>
                <w:rFonts w:hint="eastAsia" w:ascii="宋体" w:hAnsi="宋体" w:eastAsia="宋体" w:cs="宋体"/>
                <w:sz w:val="24"/>
                <w:lang w:val="en-US" w:eastAsia="zh-CN"/>
              </w:rPr>
              <w:t>安全</w:t>
            </w:r>
            <w:r>
              <w:rPr>
                <w:rFonts w:hint="eastAsia" w:ascii="宋体" w:hAnsi="宋体" w:eastAsia="宋体" w:cs="宋体"/>
                <w:sz w:val="24"/>
              </w:rPr>
              <w:t>控制方案，方案内容包含但不限于：1.质量</w:t>
            </w:r>
            <w:r>
              <w:rPr>
                <w:rFonts w:hint="eastAsia" w:ascii="宋体" w:hAnsi="宋体" w:eastAsia="宋体" w:cs="宋体"/>
                <w:sz w:val="24"/>
                <w:lang w:val="en-US" w:eastAsia="zh-CN"/>
              </w:rPr>
              <w:t>安全</w:t>
            </w:r>
            <w:r>
              <w:rPr>
                <w:rFonts w:hint="eastAsia" w:ascii="宋体" w:hAnsi="宋体" w:eastAsia="宋体" w:cs="宋体"/>
                <w:sz w:val="24"/>
              </w:rPr>
              <w:t>管理理念及质量</w:t>
            </w:r>
            <w:r>
              <w:rPr>
                <w:rFonts w:hint="eastAsia" w:ascii="宋体" w:hAnsi="宋体" w:eastAsia="宋体" w:cs="宋体"/>
                <w:sz w:val="24"/>
                <w:lang w:val="en-US" w:eastAsia="zh-CN"/>
              </w:rPr>
              <w:t>安全</w:t>
            </w:r>
            <w:r>
              <w:rPr>
                <w:rFonts w:hint="eastAsia" w:ascii="宋体" w:hAnsi="宋体" w:eastAsia="宋体" w:cs="宋体"/>
                <w:sz w:val="24"/>
              </w:rPr>
              <w:t>关键点控制；2.质量</w:t>
            </w:r>
            <w:r>
              <w:rPr>
                <w:rFonts w:hint="eastAsia" w:ascii="宋体" w:hAnsi="宋体" w:eastAsia="宋体" w:cs="宋体"/>
                <w:sz w:val="24"/>
                <w:lang w:val="en-US" w:eastAsia="zh-CN"/>
              </w:rPr>
              <w:t>安全</w:t>
            </w:r>
            <w:r>
              <w:rPr>
                <w:rFonts w:hint="eastAsia" w:ascii="宋体" w:hAnsi="宋体" w:eastAsia="宋体" w:cs="宋体"/>
                <w:sz w:val="24"/>
              </w:rPr>
              <w:t>控制保障体系；3.食材质量</w:t>
            </w:r>
            <w:r>
              <w:rPr>
                <w:rFonts w:hint="eastAsia" w:ascii="宋体" w:hAnsi="宋体" w:eastAsia="宋体" w:cs="宋体"/>
                <w:sz w:val="24"/>
                <w:lang w:val="en-US" w:eastAsia="zh-CN"/>
              </w:rPr>
              <w:t>安全</w:t>
            </w:r>
            <w:r>
              <w:rPr>
                <w:rFonts w:hint="eastAsia" w:ascii="宋体" w:hAnsi="宋体" w:eastAsia="宋体" w:cs="宋体"/>
                <w:sz w:val="24"/>
              </w:rPr>
              <w:t>控制措施；</w:t>
            </w:r>
            <w:r>
              <w:rPr>
                <w:rFonts w:hint="eastAsia" w:ascii="宋体" w:hAnsi="宋体" w:eastAsia="宋体" w:cs="宋体"/>
                <w:sz w:val="24"/>
                <w:lang w:val="en-US" w:eastAsia="zh-CN"/>
              </w:rPr>
              <w:t>4</w:t>
            </w:r>
            <w:r>
              <w:rPr>
                <w:rFonts w:hint="eastAsia" w:ascii="宋体" w:hAnsi="宋体" w:eastAsia="宋体" w:cs="宋体"/>
                <w:sz w:val="24"/>
              </w:rPr>
              <w:t>.运输安全等。</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评审要求：</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质量控制方案包含要素齐全，针对性强、内容齐全、可行性高得</w:t>
            </w:r>
            <w:r>
              <w:rPr>
                <w:rFonts w:hint="eastAsia" w:ascii="宋体" w:hAnsi="宋体" w:cs="宋体"/>
                <w:sz w:val="24"/>
                <w:lang w:val="en-US" w:eastAsia="zh-CN"/>
              </w:rPr>
              <w:t>15</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质量控制方案包含要素齐全，针对性较强、内容较齐全，可行性较高得</w:t>
            </w:r>
            <w:r>
              <w:rPr>
                <w:rFonts w:hint="eastAsia" w:ascii="宋体" w:hAnsi="宋体" w:cs="宋体"/>
                <w:sz w:val="24"/>
                <w:lang w:val="en-US" w:eastAsia="zh-CN"/>
              </w:rPr>
              <w:t>10</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质量控制方案包含要素齐全，针对性一般，内容较齐全，可行性一般的得</w:t>
            </w:r>
            <w:r>
              <w:rPr>
                <w:rFonts w:hint="eastAsia" w:ascii="宋体" w:hAnsi="宋体" w:cs="宋体"/>
                <w:sz w:val="24"/>
                <w:lang w:val="en-US" w:eastAsia="zh-CN"/>
              </w:rPr>
              <w:t>5</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质量控制方案包含要素齐全，可行性差、内容不齐全，可行性较差的得1分；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质量控制方案包含要素不齐或未提供方案得0分。</w:t>
            </w:r>
          </w:p>
        </w:tc>
        <w:tc>
          <w:tcPr>
            <w:tcW w:w="2356" w:type="dxa"/>
            <w:vMerge w:val="continue"/>
            <w:noWrap w:val="0"/>
            <w:vAlign w:val="center"/>
          </w:tcPr>
          <w:p>
            <w:pPr>
              <w:snapToGrid w:val="0"/>
              <w:spacing w:line="360" w:lineRule="auto"/>
              <w:ind w:firstLine="480" w:firstLineChars="20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806"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1234"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898"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3990" w:type="dxa"/>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、配送方案（</w:t>
            </w:r>
            <w:r>
              <w:rPr>
                <w:rFonts w:hint="eastAsia" w:ascii="宋体" w:hAnsi="宋体" w:cs="宋体"/>
                <w:sz w:val="24"/>
                <w:lang w:val="en-US" w:eastAsia="zh-CN"/>
              </w:rPr>
              <w:t>15</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根据投标人针对本项目配送方案，方案内容包含但不限于：1.食材配送的组织架构及管理制度；2.投标人基本情况</w:t>
            </w:r>
            <w:r>
              <w:rPr>
                <w:rFonts w:hint="eastAsia" w:ascii="宋体" w:hAnsi="宋体" w:eastAsia="宋体" w:cs="宋体"/>
                <w:sz w:val="24"/>
                <w:lang w:val="en-US" w:eastAsia="zh-CN"/>
              </w:rPr>
              <w:t>等</w:t>
            </w:r>
            <w:r>
              <w:rPr>
                <w:rFonts w:hint="eastAsia" w:ascii="宋体" w:hAnsi="宋体" w:eastAsia="宋体" w:cs="宋体"/>
                <w:sz w:val="24"/>
              </w:rPr>
              <w:t>；3.</w:t>
            </w:r>
            <w:r>
              <w:rPr>
                <w:rFonts w:hint="eastAsia" w:ascii="宋体" w:hAnsi="宋体" w:eastAsia="宋体" w:cs="宋体"/>
                <w:sz w:val="24"/>
                <w:lang w:val="en-US" w:eastAsia="zh-CN"/>
              </w:rPr>
              <w:t>完整的</w:t>
            </w:r>
            <w:r>
              <w:rPr>
                <w:rFonts w:hint="eastAsia" w:ascii="宋体" w:hAnsi="宋体" w:eastAsia="宋体" w:cs="宋体"/>
                <w:sz w:val="24"/>
              </w:rPr>
              <w:t>食材组织方案 ；4.</w:t>
            </w:r>
            <w:r>
              <w:rPr>
                <w:rFonts w:hint="eastAsia" w:ascii="宋体" w:hAnsi="宋体" w:eastAsia="宋体" w:cs="宋体"/>
                <w:sz w:val="24"/>
                <w:lang w:val="en-US" w:eastAsia="zh-CN"/>
              </w:rPr>
              <w:t>完善的</w:t>
            </w:r>
            <w:r>
              <w:rPr>
                <w:rFonts w:hint="eastAsia" w:ascii="宋体" w:hAnsi="宋体" w:eastAsia="宋体" w:cs="宋体"/>
                <w:sz w:val="24"/>
              </w:rPr>
              <w:t>食材配送方案等。</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评审要求：</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配送方案包含要素齐全，针对性强、内容齐全、可行性高得</w:t>
            </w:r>
            <w:r>
              <w:rPr>
                <w:rFonts w:hint="eastAsia" w:ascii="宋体" w:hAnsi="宋体" w:cs="宋体"/>
                <w:sz w:val="24"/>
                <w:lang w:val="en-US" w:eastAsia="zh-CN"/>
              </w:rPr>
              <w:t>15</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配送方案包含要素齐全，针对性较强、内容较齐全，可行性较高得</w:t>
            </w:r>
            <w:r>
              <w:rPr>
                <w:rFonts w:hint="eastAsia" w:ascii="宋体" w:hAnsi="宋体" w:cs="宋体"/>
                <w:sz w:val="24"/>
                <w:lang w:val="en-US" w:eastAsia="zh-CN"/>
              </w:rPr>
              <w:t>10</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配送方案包含要素齐全，针对性一般，内容较齐全，可行性一般的得</w:t>
            </w:r>
            <w:r>
              <w:rPr>
                <w:rFonts w:hint="eastAsia" w:ascii="宋体" w:hAnsi="宋体" w:cs="宋体"/>
                <w:sz w:val="24"/>
                <w:lang w:val="en-US" w:eastAsia="zh-CN"/>
              </w:rPr>
              <w:t>5</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配送方案包含要素齐全，可行性差、内容不齐全，可行性较差的得1分；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配送方案包含要素不齐或未提供方案得0分。</w:t>
            </w:r>
          </w:p>
        </w:tc>
        <w:tc>
          <w:tcPr>
            <w:tcW w:w="2356" w:type="dxa"/>
            <w:vMerge w:val="continue"/>
            <w:noWrap w:val="0"/>
            <w:vAlign w:val="center"/>
          </w:tcPr>
          <w:p>
            <w:pPr>
              <w:snapToGrid w:val="0"/>
              <w:spacing w:line="360" w:lineRule="auto"/>
              <w:ind w:firstLine="480" w:firstLineChars="20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806"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1234"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898"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3990" w:type="dxa"/>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四</w:t>
            </w:r>
            <w:r>
              <w:rPr>
                <w:rFonts w:hint="eastAsia" w:ascii="宋体" w:hAnsi="宋体" w:eastAsia="宋体" w:cs="宋体"/>
                <w:sz w:val="24"/>
              </w:rPr>
              <w:t>、应急方案（</w:t>
            </w:r>
            <w:r>
              <w:rPr>
                <w:rFonts w:hint="eastAsia" w:ascii="宋体" w:hAnsi="宋体" w:cs="宋体"/>
                <w:sz w:val="24"/>
                <w:lang w:val="en-US" w:eastAsia="zh-CN"/>
              </w:rPr>
              <w:t>15</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根据投标人针对本项目应急方案，方案内容包含但不限于：1.食品安全应急；2.配送应急；3.食材保供应急等。</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评审要求：</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应急方案包含要素齐全，针对性强、内容齐全、可行性高得</w:t>
            </w:r>
            <w:r>
              <w:rPr>
                <w:rFonts w:hint="eastAsia" w:ascii="宋体" w:hAnsi="宋体" w:cs="宋体"/>
                <w:sz w:val="24"/>
                <w:lang w:val="en-US" w:eastAsia="zh-CN"/>
              </w:rPr>
              <w:t>15</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应急方案包含要素齐全，针对性较强、内容较齐全，可行性较高得</w:t>
            </w:r>
            <w:r>
              <w:rPr>
                <w:rFonts w:hint="eastAsia" w:ascii="宋体" w:hAnsi="宋体" w:cs="宋体"/>
                <w:sz w:val="24"/>
                <w:lang w:val="en-US" w:eastAsia="zh-CN"/>
              </w:rPr>
              <w:t>10</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应急方案包含要素齐全，针对性一般，内容较齐全，可行性一般的得</w:t>
            </w:r>
            <w:r>
              <w:rPr>
                <w:rFonts w:hint="eastAsia" w:ascii="宋体" w:hAnsi="宋体" w:cs="宋体"/>
                <w:sz w:val="24"/>
                <w:lang w:val="en-US" w:eastAsia="zh-CN"/>
              </w:rPr>
              <w:t>5</w:t>
            </w:r>
            <w:r>
              <w:rPr>
                <w:rFonts w:hint="eastAsia" w:ascii="宋体" w:hAnsi="宋体" w:eastAsia="宋体" w:cs="宋体"/>
                <w:sz w:val="24"/>
              </w:rPr>
              <w:t>分；</w:t>
            </w:r>
          </w:p>
          <w:p>
            <w:pPr>
              <w:snapToGrid w:val="0"/>
              <w:spacing w:line="360" w:lineRule="auto"/>
              <w:ind w:firstLine="480" w:firstLineChars="200"/>
              <w:rPr>
                <w:rFonts w:hint="eastAsia"/>
              </w:rPr>
            </w:pPr>
            <w:r>
              <w:rPr>
                <w:rFonts w:hint="eastAsia" w:ascii="宋体" w:hAnsi="宋体" w:eastAsia="宋体" w:cs="宋体"/>
                <w:sz w:val="24"/>
              </w:rPr>
              <w:t>应急方案包含要素齐全，可行性差、内容不齐全，可行性较差的得1分；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应急方案包含要素不齐或未提供方案得0分。</w:t>
            </w:r>
          </w:p>
        </w:tc>
        <w:tc>
          <w:tcPr>
            <w:tcW w:w="2356" w:type="dxa"/>
            <w:vMerge w:val="continue"/>
            <w:noWrap w:val="0"/>
            <w:vAlign w:val="center"/>
          </w:tcPr>
          <w:p>
            <w:pPr>
              <w:snapToGrid w:val="0"/>
              <w:spacing w:line="360" w:lineRule="auto"/>
              <w:ind w:firstLine="480" w:firstLineChars="20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806" w:type="dxa"/>
            <w:vMerge w:val="restart"/>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p>
          <w:p>
            <w:pPr>
              <w:snapToGrid w:val="0"/>
              <w:spacing w:line="360" w:lineRule="auto"/>
              <w:ind w:firstLine="480" w:firstLineChars="200"/>
              <w:rPr>
                <w:rFonts w:hint="eastAsia" w:ascii="宋体" w:hAnsi="宋体" w:eastAsia="宋体" w:cs="宋体"/>
                <w:sz w:val="24"/>
              </w:rPr>
            </w:pPr>
          </w:p>
        </w:tc>
        <w:tc>
          <w:tcPr>
            <w:tcW w:w="1234" w:type="dxa"/>
            <w:vMerge w:val="restart"/>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商务部分</w:t>
            </w:r>
          </w:p>
          <w:p>
            <w:pPr>
              <w:snapToGrid w:val="0"/>
              <w:spacing w:line="360" w:lineRule="auto"/>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cs="宋体"/>
                <w:sz w:val="24"/>
                <w:lang w:val="en-US" w:eastAsia="zh-CN"/>
              </w:rPr>
              <w:t>5</w:t>
            </w:r>
            <w:r>
              <w:rPr>
                <w:rFonts w:hint="eastAsia" w:ascii="宋体" w:hAnsi="宋体" w:eastAsia="宋体" w:cs="宋体"/>
                <w:sz w:val="24"/>
              </w:rPr>
              <w:t>%）</w:t>
            </w:r>
          </w:p>
        </w:tc>
        <w:tc>
          <w:tcPr>
            <w:tcW w:w="898" w:type="dxa"/>
            <w:vMerge w:val="restart"/>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5</w:t>
            </w:r>
            <w:r>
              <w:rPr>
                <w:rFonts w:hint="eastAsia" w:ascii="宋体" w:hAnsi="宋体" w:eastAsia="宋体" w:cs="宋体"/>
                <w:sz w:val="24"/>
              </w:rPr>
              <w:t>分</w:t>
            </w:r>
          </w:p>
        </w:tc>
        <w:tc>
          <w:tcPr>
            <w:tcW w:w="3990" w:type="dxa"/>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仓储能力（</w:t>
            </w:r>
            <w:r>
              <w:rPr>
                <w:rFonts w:hint="eastAsia" w:ascii="宋体" w:hAnsi="宋体" w:cs="宋体"/>
                <w:sz w:val="24"/>
                <w:lang w:val="en-US" w:eastAsia="zh-CN"/>
              </w:rPr>
              <w:t>5</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投标人具有仓储能力，自有或者租用仓储或冷藏和冷冻面积 </w:t>
            </w:r>
            <w:r>
              <w:rPr>
                <w:rFonts w:hint="eastAsia" w:ascii="宋体" w:hAnsi="宋体" w:eastAsia="宋体" w:cs="宋体"/>
                <w:sz w:val="24"/>
                <w:lang w:val="en-US" w:eastAsia="zh-CN"/>
              </w:rPr>
              <w:t>40</w:t>
            </w:r>
            <w:r>
              <w:rPr>
                <w:rFonts w:hint="eastAsia" w:ascii="宋体" w:hAnsi="宋体" w:eastAsia="宋体" w:cs="宋体"/>
                <w:sz w:val="24"/>
              </w:rPr>
              <w:t>00 平方米(含)以上的得</w:t>
            </w:r>
            <w:r>
              <w:rPr>
                <w:rFonts w:hint="eastAsia" w:ascii="宋体" w:hAnsi="宋体" w:cs="宋体"/>
                <w:sz w:val="24"/>
                <w:lang w:val="en-US" w:eastAsia="zh-CN"/>
              </w:rPr>
              <w:t>5</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自有或者租用仓储或冷藏和冷冻面积 </w:t>
            </w:r>
            <w:r>
              <w:rPr>
                <w:rFonts w:hint="eastAsia" w:ascii="宋体" w:hAnsi="宋体" w:eastAsia="宋体" w:cs="宋体"/>
                <w:sz w:val="24"/>
                <w:lang w:val="en-US" w:eastAsia="zh-CN"/>
              </w:rPr>
              <w:t>20</w:t>
            </w:r>
            <w:r>
              <w:rPr>
                <w:rFonts w:hint="eastAsia" w:ascii="宋体" w:hAnsi="宋体" w:eastAsia="宋体" w:cs="宋体"/>
                <w:sz w:val="24"/>
              </w:rPr>
              <w:t>00(含)-</w:t>
            </w:r>
            <w:r>
              <w:rPr>
                <w:rFonts w:hint="eastAsia" w:ascii="宋体" w:hAnsi="宋体" w:eastAsia="宋体" w:cs="宋体"/>
                <w:sz w:val="24"/>
                <w:lang w:val="en-US" w:eastAsia="zh-CN"/>
              </w:rPr>
              <w:t>40</w:t>
            </w:r>
            <w:r>
              <w:rPr>
                <w:rFonts w:hint="eastAsia" w:ascii="宋体" w:hAnsi="宋体" w:eastAsia="宋体" w:cs="宋体"/>
                <w:sz w:val="24"/>
              </w:rPr>
              <w:t>00(不含)平方米的得</w:t>
            </w:r>
            <w:r>
              <w:rPr>
                <w:rFonts w:hint="eastAsia" w:ascii="宋体" w:hAnsi="宋体" w:eastAsia="宋体" w:cs="宋体"/>
                <w:sz w:val="24"/>
                <w:lang w:val="en-US" w:eastAsia="zh-CN"/>
              </w:rPr>
              <w:t>2</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自有或者租用仓储或冷藏和冷冻面积</w:t>
            </w:r>
            <w:r>
              <w:rPr>
                <w:rFonts w:hint="eastAsia" w:ascii="宋体" w:hAnsi="宋体" w:eastAsia="宋体" w:cs="宋体"/>
                <w:sz w:val="24"/>
                <w:lang w:val="en-US" w:eastAsia="zh-CN"/>
              </w:rPr>
              <w:t>1</w:t>
            </w:r>
            <w:r>
              <w:rPr>
                <w:rFonts w:hint="eastAsia" w:ascii="宋体" w:hAnsi="宋体" w:eastAsia="宋体" w:cs="宋体"/>
                <w:sz w:val="24"/>
              </w:rPr>
              <w:t>00</w:t>
            </w:r>
            <w:r>
              <w:rPr>
                <w:rFonts w:hint="eastAsia" w:ascii="宋体" w:hAnsi="宋体" w:eastAsia="宋体" w:cs="宋体"/>
                <w:sz w:val="24"/>
                <w:lang w:val="en-US" w:eastAsia="zh-CN"/>
              </w:rPr>
              <w:t>0</w:t>
            </w:r>
            <w:r>
              <w:rPr>
                <w:rFonts w:hint="eastAsia" w:ascii="宋体" w:hAnsi="宋体" w:eastAsia="宋体" w:cs="宋体"/>
                <w:sz w:val="24"/>
              </w:rPr>
              <w:t>(含)-</w:t>
            </w:r>
            <w:r>
              <w:rPr>
                <w:rFonts w:hint="eastAsia" w:ascii="宋体" w:hAnsi="宋体" w:eastAsia="宋体" w:cs="宋体"/>
                <w:sz w:val="24"/>
                <w:lang w:val="en-US" w:eastAsia="zh-CN"/>
              </w:rPr>
              <w:t>20</w:t>
            </w:r>
            <w:r>
              <w:rPr>
                <w:rFonts w:hint="eastAsia" w:ascii="宋体" w:hAnsi="宋体" w:eastAsia="宋体" w:cs="宋体"/>
                <w:sz w:val="24"/>
              </w:rPr>
              <w:t xml:space="preserve">00(不含)平方米的得 </w:t>
            </w:r>
            <w:r>
              <w:rPr>
                <w:rFonts w:hint="eastAsia" w:ascii="宋体" w:hAnsi="宋体" w:eastAsia="宋体" w:cs="宋体"/>
                <w:sz w:val="24"/>
                <w:lang w:val="en-US" w:eastAsia="zh-CN"/>
              </w:rPr>
              <w:t>1</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低于</w:t>
            </w:r>
            <w:r>
              <w:rPr>
                <w:rFonts w:hint="eastAsia" w:ascii="宋体" w:hAnsi="宋体" w:eastAsia="宋体" w:cs="宋体"/>
                <w:sz w:val="24"/>
                <w:lang w:val="en-US" w:eastAsia="zh-CN"/>
              </w:rPr>
              <w:t>10</w:t>
            </w:r>
            <w:r>
              <w:rPr>
                <w:rFonts w:hint="eastAsia" w:ascii="宋体" w:hAnsi="宋体" w:eastAsia="宋体" w:cs="宋体"/>
                <w:sz w:val="24"/>
              </w:rPr>
              <w:t>00平方米(不含）的得0分。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本项最高得分</w:t>
            </w:r>
            <w:r>
              <w:rPr>
                <w:rFonts w:hint="eastAsia" w:ascii="宋体" w:hAnsi="宋体" w:cs="宋体"/>
                <w:sz w:val="24"/>
                <w:lang w:val="en-US" w:eastAsia="zh-CN"/>
              </w:rPr>
              <w:t>5</w:t>
            </w:r>
            <w:r>
              <w:rPr>
                <w:rFonts w:hint="eastAsia" w:ascii="宋体" w:hAnsi="宋体" w:eastAsia="宋体" w:cs="宋体"/>
                <w:sz w:val="24"/>
              </w:rPr>
              <w:t>分。</w:t>
            </w:r>
          </w:p>
        </w:tc>
        <w:tc>
          <w:tcPr>
            <w:tcW w:w="2356" w:type="dxa"/>
            <w:noWrap w:val="0"/>
            <w:vAlign w:val="center"/>
          </w:tcPr>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仓储配送中心为自有（以不动产产权证书为准）的，自有房产需提供不动产产权证复印件或其他有效证明材料加盖公章。仓储配送中心为租赁房产的，提供有效期内的租赁合同复印件加盖公章，并且必须为投标人与该不动产所有者直接租赁，非转租。另须提供仓库现场照片、付款发票或支付凭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06"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1234"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898"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3990" w:type="dxa"/>
            <w:noWrap w:val="0"/>
            <w:vAlign w:val="center"/>
          </w:tcPr>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业绩（</w:t>
            </w:r>
            <w:r>
              <w:rPr>
                <w:rFonts w:hint="eastAsia" w:ascii="宋体" w:hAnsi="宋体" w:cs="宋体"/>
                <w:sz w:val="24"/>
                <w:lang w:val="en-US" w:eastAsia="zh-CN"/>
              </w:rPr>
              <w:t>6</w:t>
            </w:r>
            <w:r>
              <w:rPr>
                <w:rFonts w:hint="eastAsia" w:ascii="宋体" w:hAnsi="宋体" w:eastAsia="宋体" w:cs="宋体"/>
                <w:sz w:val="24"/>
                <w:lang w:val="en-US" w:eastAsia="zh-CN"/>
              </w:rPr>
              <w:t>分</w:t>
            </w:r>
            <w:r>
              <w:rPr>
                <w:rFonts w:hint="eastAsia" w:ascii="宋体" w:hAnsi="宋体" w:eastAsia="宋体" w:cs="宋体"/>
                <w:sz w:val="24"/>
                <w:lang w:eastAsia="zh-CN"/>
              </w:rPr>
              <w:t>）</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1</w:t>
            </w:r>
            <w:r>
              <w:rPr>
                <w:rFonts w:hint="eastAsia" w:ascii="宋体" w:hAnsi="宋体" w:eastAsia="宋体" w:cs="宋体"/>
                <w:sz w:val="24"/>
              </w:rPr>
              <w:t>年1月1日以来，投标人具有</w:t>
            </w:r>
            <w:r>
              <w:rPr>
                <w:rFonts w:hint="eastAsia" w:ascii="宋体" w:hAnsi="宋体" w:eastAsia="宋体" w:cs="宋体"/>
                <w:sz w:val="24"/>
                <w:lang w:eastAsia="zh-CN"/>
              </w:rPr>
              <w:t>大型及以上</w:t>
            </w:r>
            <w:r>
              <w:rPr>
                <w:rFonts w:hint="eastAsia" w:ascii="宋体" w:hAnsi="宋体" w:eastAsia="宋体" w:cs="宋体"/>
                <w:sz w:val="24"/>
              </w:rPr>
              <w:t>食堂</w:t>
            </w:r>
            <w:r>
              <w:rPr>
                <w:rFonts w:hint="eastAsia" w:ascii="宋体" w:hAnsi="宋体" w:eastAsia="宋体" w:cs="宋体"/>
                <w:sz w:val="24"/>
                <w:lang w:eastAsia="zh-CN"/>
              </w:rPr>
              <w:t>、餐馆</w:t>
            </w:r>
            <w:r>
              <w:rPr>
                <w:rFonts w:hint="eastAsia" w:ascii="宋体" w:hAnsi="宋体" w:eastAsia="宋体" w:cs="宋体"/>
                <w:sz w:val="24"/>
              </w:rPr>
              <w:t>大宗物资供货类似业绩，</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提供</w:t>
            </w:r>
            <w:r>
              <w:rPr>
                <w:rFonts w:hint="eastAsia" w:ascii="宋体" w:hAnsi="宋体" w:eastAsia="宋体" w:cs="宋体"/>
                <w:sz w:val="24"/>
                <w:lang w:val="en-US" w:eastAsia="zh-CN"/>
              </w:rPr>
              <w:t>6个</w:t>
            </w:r>
            <w:r>
              <w:rPr>
                <w:rFonts w:hint="eastAsia" w:ascii="宋体" w:hAnsi="宋体" w:cs="宋体"/>
                <w:sz w:val="24"/>
                <w:lang w:val="en-US" w:eastAsia="zh-CN"/>
              </w:rPr>
              <w:t>及</w:t>
            </w:r>
            <w:r>
              <w:rPr>
                <w:rFonts w:hint="eastAsia" w:ascii="宋体" w:hAnsi="宋体" w:eastAsia="宋体" w:cs="宋体"/>
                <w:sz w:val="24"/>
                <w:lang w:val="en-US" w:eastAsia="zh-CN"/>
              </w:rPr>
              <w:t>以上（含6个）业绩得</w:t>
            </w:r>
            <w:r>
              <w:rPr>
                <w:rFonts w:hint="eastAsia" w:ascii="宋体" w:hAnsi="宋体" w:cs="宋体"/>
                <w:sz w:val="24"/>
                <w:lang w:val="en-US" w:eastAsia="zh-CN"/>
              </w:rPr>
              <w:t>6</w:t>
            </w:r>
            <w:r>
              <w:rPr>
                <w:rFonts w:hint="eastAsia" w:ascii="宋体" w:hAnsi="宋体" w:eastAsia="宋体" w:cs="宋体"/>
                <w:sz w:val="24"/>
                <w:lang w:val="en-US" w:eastAsia="zh-CN"/>
              </w:rPr>
              <w:t>分；</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提供4个</w:t>
            </w:r>
            <w:r>
              <w:rPr>
                <w:rFonts w:hint="eastAsia" w:ascii="宋体" w:hAnsi="宋体" w:cs="宋体"/>
                <w:sz w:val="24"/>
                <w:lang w:val="en-US" w:eastAsia="zh-CN"/>
              </w:rPr>
              <w:t>-5个</w:t>
            </w:r>
            <w:r>
              <w:rPr>
                <w:rFonts w:hint="eastAsia" w:ascii="宋体" w:hAnsi="宋体" w:eastAsia="宋体" w:cs="宋体"/>
                <w:sz w:val="24"/>
                <w:lang w:val="en-US" w:eastAsia="zh-CN"/>
              </w:rPr>
              <w:t>（含4个）业绩得</w:t>
            </w:r>
            <w:r>
              <w:rPr>
                <w:rFonts w:hint="eastAsia" w:ascii="宋体" w:hAnsi="宋体" w:cs="宋体"/>
                <w:sz w:val="24"/>
                <w:lang w:val="en-US" w:eastAsia="zh-CN"/>
              </w:rPr>
              <w:t>4</w:t>
            </w:r>
            <w:r>
              <w:rPr>
                <w:rFonts w:hint="eastAsia" w:ascii="宋体" w:hAnsi="宋体" w:eastAsia="宋体" w:cs="宋体"/>
                <w:sz w:val="24"/>
                <w:lang w:val="en-US" w:eastAsia="zh-CN"/>
              </w:rPr>
              <w:t>分；</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提供2个</w:t>
            </w:r>
            <w:r>
              <w:rPr>
                <w:rFonts w:hint="eastAsia" w:ascii="宋体" w:hAnsi="宋体" w:cs="宋体"/>
                <w:sz w:val="24"/>
                <w:lang w:val="en-US" w:eastAsia="zh-CN"/>
              </w:rPr>
              <w:t>-3个</w:t>
            </w:r>
            <w:r>
              <w:rPr>
                <w:rFonts w:hint="eastAsia" w:ascii="宋体" w:hAnsi="宋体" w:eastAsia="宋体" w:cs="宋体"/>
                <w:sz w:val="24"/>
                <w:lang w:val="en-US" w:eastAsia="zh-CN"/>
              </w:rPr>
              <w:t>（含2个）业绩得2分；</w:t>
            </w:r>
          </w:p>
          <w:p>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提供1个业绩得1分；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本项最多得</w:t>
            </w:r>
            <w:r>
              <w:rPr>
                <w:rFonts w:hint="eastAsia" w:ascii="宋体" w:hAnsi="宋体" w:cs="宋体"/>
                <w:sz w:val="24"/>
                <w:lang w:val="en-US" w:eastAsia="zh-CN"/>
              </w:rPr>
              <w:t>6</w:t>
            </w:r>
            <w:r>
              <w:rPr>
                <w:rFonts w:hint="eastAsia" w:ascii="宋体" w:hAnsi="宋体" w:eastAsia="宋体" w:cs="宋体"/>
                <w:sz w:val="24"/>
              </w:rPr>
              <w:t>分，未按要求提供不得分。</w:t>
            </w:r>
          </w:p>
        </w:tc>
        <w:tc>
          <w:tcPr>
            <w:tcW w:w="2356" w:type="dxa"/>
            <w:noWrap w:val="0"/>
            <w:vAlign w:val="center"/>
          </w:tcPr>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投标人须提供合同复印件、</w:t>
            </w:r>
            <w:r>
              <w:rPr>
                <w:rFonts w:hint="eastAsia" w:ascii="宋体" w:hAnsi="宋体" w:eastAsia="宋体" w:cs="宋体"/>
                <w:sz w:val="24"/>
                <w:lang w:eastAsia="zh-CN"/>
              </w:rPr>
              <w:t>合同相对方食品经营许可证</w:t>
            </w:r>
            <w:r>
              <w:rPr>
                <w:rFonts w:hint="eastAsia" w:ascii="宋体" w:hAnsi="宋体" w:eastAsia="宋体" w:cs="宋体"/>
                <w:sz w:val="24"/>
              </w:rPr>
              <w:t>复印件并加盖投标人公章，每份合同算1个业绩。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06"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1234"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898" w:type="dxa"/>
            <w:vMerge w:val="continue"/>
            <w:noWrap w:val="0"/>
            <w:vAlign w:val="center"/>
          </w:tcPr>
          <w:p>
            <w:pPr>
              <w:snapToGrid w:val="0"/>
              <w:spacing w:line="360" w:lineRule="auto"/>
              <w:ind w:firstLine="480" w:firstLineChars="200"/>
              <w:rPr>
                <w:rFonts w:hint="eastAsia" w:ascii="宋体" w:hAnsi="宋体" w:eastAsia="宋体" w:cs="宋体"/>
                <w:sz w:val="24"/>
              </w:rPr>
            </w:pPr>
          </w:p>
        </w:tc>
        <w:tc>
          <w:tcPr>
            <w:tcW w:w="3990" w:type="dxa"/>
            <w:noWrap w:val="0"/>
            <w:vAlign w:val="center"/>
          </w:tcPr>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食品安全保险（</w:t>
            </w:r>
            <w:r>
              <w:rPr>
                <w:rFonts w:hint="eastAsia" w:ascii="宋体" w:hAnsi="宋体" w:cs="宋体"/>
                <w:sz w:val="24"/>
                <w:lang w:val="en-US" w:eastAsia="zh-CN"/>
              </w:rPr>
              <w:t>4</w:t>
            </w:r>
            <w:r>
              <w:rPr>
                <w:rFonts w:hint="eastAsia" w:ascii="宋体" w:hAnsi="宋体" w:eastAsia="宋体" w:cs="宋体"/>
                <w:sz w:val="24"/>
                <w:lang w:val="en-US" w:eastAsia="zh-CN"/>
              </w:rPr>
              <w:t>分）</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投标人购买食品安全责任险且在有效期内，食品安全责任险保额5000万元及以上得</w:t>
            </w:r>
            <w:r>
              <w:rPr>
                <w:rFonts w:hint="eastAsia" w:ascii="宋体" w:hAnsi="宋体" w:cs="宋体"/>
                <w:sz w:val="24"/>
                <w:lang w:val="en-US" w:eastAsia="zh-CN"/>
              </w:rPr>
              <w:t>4</w:t>
            </w:r>
            <w:r>
              <w:rPr>
                <w:rFonts w:hint="eastAsia" w:ascii="宋体" w:hAnsi="宋体" w:eastAsia="宋体" w:cs="宋体"/>
                <w:sz w:val="24"/>
              </w:rPr>
              <w:t>分</w:t>
            </w:r>
            <w:r>
              <w:rPr>
                <w:rFonts w:hint="eastAsia" w:ascii="宋体" w:hAnsi="宋体" w:eastAsia="宋体" w:cs="宋体"/>
                <w:sz w:val="24"/>
                <w:lang w:eastAsia="zh-CN"/>
              </w:rPr>
              <w:t>；</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3000万元（含）—5000万元得</w:t>
            </w:r>
            <w:r>
              <w:rPr>
                <w:rFonts w:hint="eastAsia" w:ascii="宋体" w:hAnsi="宋体" w:cs="宋体"/>
                <w:sz w:val="24"/>
                <w:lang w:val="en-US" w:eastAsia="zh-CN"/>
              </w:rPr>
              <w:t>2</w:t>
            </w:r>
            <w:r>
              <w:rPr>
                <w:rFonts w:hint="eastAsia" w:ascii="宋体" w:hAnsi="宋体" w:eastAsia="宋体" w:cs="宋体"/>
                <w:sz w:val="24"/>
                <w:lang w:eastAsia="zh-CN"/>
              </w:rPr>
              <w:t>分；</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1000万元—3000万元（不含）得</w:t>
            </w:r>
            <w:r>
              <w:rPr>
                <w:rFonts w:hint="eastAsia" w:ascii="宋体" w:hAnsi="宋体" w:cs="宋体"/>
                <w:sz w:val="24"/>
                <w:lang w:val="en-US" w:eastAsia="zh-CN"/>
              </w:rPr>
              <w:t>1</w:t>
            </w:r>
            <w:r>
              <w:rPr>
                <w:rFonts w:hint="eastAsia" w:ascii="宋体" w:hAnsi="宋体" w:eastAsia="宋体" w:cs="宋体"/>
                <w:sz w:val="24"/>
              </w:rPr>
              <w:t>分</w:t>
            </w:r>
            <w:r>
              <w:rPr>
                <w:rFonts w:hint="eastAsia" w:ascii="宋体" w:hAnsi="宋体" w:eastAsia="宋体" w:cs="宋体"/>
                <w:sz w:val="24"/>
                <w:lang w:eastAsia="zh-CN"/>
              </w:rPr>
              <w:t>。</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此项最高得</w:t>
            </w:r>
            <w:r>
              <w:rPr>
                <w:rFonts w:hint="eastAsia" w:ascii="宋体" w:hAnsi="宋体" w:cs="宋体"/>
                <w:sz w:val="24"/>
                <w:lang w:val="en-US" w:eastAsia="zh-CN"/>
              </w:rPr>
              <w:t>4</w:t>
            </w:r>
            <w:r>
              <w:rPr>
                <w:rFonts w:hint="eastAsia" w:ascii="宋体" w:hAnsi="宋体" w:eastAsia="宋体" w:cs="宋体"/>
                <w:sz w:val="24"/>
              </w:rPr>
              <w:t>分。</w:t>
            </w:r>
          </w:p>
        </w:tc>
        <w:tc>
          <w:tcPr>
            <w:tcW w:w="2356" w:type="dxa"/>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rPr>
              <w:t>提供有效期内的保单复印件</w:t>
            </w:r>
            <w:r>
              <w:rPr>
                <w:rFonts w:hint="eastAsia" w:ascii="宋体" w:hAnsi="宋体" w:eastAsia="宋体" w:cs="宋体"/>
                <w:sz w:val="24"/>
                <w:lang w:eastAsia="zh-CN"/>
              </w:rPr>
              <w:t>。</w:t>
            </w:r>
          </w:p>
        </w:tc>
      </w:tr>
    </w:tbl>
    <w:p>
      <w:pPr>
        <w:pStyle w:val="5"/>
        <w:spacing w:line="360" w:lineRule="auto"/>
        <w:ind w:firstLine="482" w:firstLineChars="200"/>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三、无效响应</w:t>
      </w:r>
      <w:bookmarkEnd w:id="70"/>
      <w:bookmarkEnd w:id="71"/>
      <w:bookmarkEnd w:id="72"/>
    </w:p>
    <w:p>
      <w:pPr>
        <w:snapToGrid w:val="0"/>
        <w:spacing w:line="360" w:lineRule="auto"/>
        <w:ind w:firstLine="465"/>
        <w:rPr>
          <w:rFonts w:ascii="宋体" w:hAnsi="宋体" w:cs="宋体"/>
          <w:sz w:val="24"/>
        </w:rPr>
      </w:pPr>
      <w:r>
        <w:rPr>
          <w:rFonts w:hint="eastAsia" w:ascii="宋体" w:hAnsi="宋体" w:cs="宋体"/>
          <w:sz w:val="24"/>
        </w:rPr>
        <w:t>供应商发生以下条款情况之一者，其响应文件作无效响应处理：</w:t>
      </w:r>
    </w:p>
    <w:p>
      <w:pPr>
        <w:snapToGrid w:val="0"/>
        <w:spacing w:line="360" w:lineRule="auto"/>
        <w:ind w:firstLine="480" w:firstLineChars="200"/>
        <w:rPr>
          <w:rFonts w:ascii="宋体" w:hAnsi="宋体" w:cs="宋体"/>
          <w:sz w:val="24"/>
        </w:rPr>
      </w:pPr>
      <w:bookmarkStart w:id="73" w:name="_Toc27033"/>
      <w:bookmarkStart w:id="74" w:name="_Toc22128"/>
      <w:bookmarkStart w:id="75" w:name="_Toc9808"/>
      <w:bookmarkStart w:id="76" w:name="_Toc4550"/>
      <w:r>
        <w:rPr>
          <w:rFonts w:hint="eastAsia" w:ascii="宋体" w:hAnsi="宋体" w:cs="宋体"/>
          <w:sz w:val="24"/>
        </w:rPr>
        <w:t>（一）供应商未通过资格性检查或响应文件未通过符合性检查的；</w:t>
      </w:r>
    </w:p>
    <w:p>
      <w:pPr>
        <w:snapToGrid w:val="0"/>
        <w:spacing w:line="360" w:lineRule="auto"/>
        <w:ind w:firstLine="480" w:firstLineChars="200"/>
        <w:rPr>
          <w:rFonts w:ascii="宋体" w:hAnsi="宋体" w:cs="宋体"/>
          <w:sz w:val="24"/>
        </w:rPr>
      </w:pPr>
      <w:r>
        <w:rPr>
          <w:rFonts w:hint="eastAsia" w:ascii="宋体" w:hAnsi="宋体" w:cs="宋体"/>
          <w:sz w:val="24"/>
        </w:rPr>
        <w:t>（二）供应商所提交的响应文件不按“第七篇 响应文件编制要求”规定签字</w:t>
      </w:r>
      <w:r>
        <w:rPr>
          <w:rFonts w:hint="eastAsia" w:ascii="宋体" w:hAnsi="宋体" w:cs="宋体"/>
          <w:sz w:val="24"/>
          <w:lang w:eastAsia="zh-CN"/>
        </w:rPr>
        <w:t>、</w:t>
      </w:r>
      <w:r>
        <w:rPr>
          <w:rFonts w:hint="eastAsia" w:ascii="宋体" w:hAnsi="宋体" w:cs="宋体"/>
          <w:sz w:val="24"/>
        </w:rPr>
        <w:t>盖章；</w:t>
      </w:r>
    </w:p>
    <w:p>
      <w:pPr>
        <w:snapToGrid w:val="0"/>
        <w:spacing w:line="360" w:lineRule="auto"/>
        <w:ind w:firstLine="480" w:firstLineChars="200"/>
        <w:rPr>
          <w:rFonts w:ascii="宋体" w:hAnsi="宋体" w:cs="宋体"/>
          <w:sz w:val="24"/>
        </w:rPr>
      </w:pPr>
      <w:r>
        <w:rPr>
          <w:rFonts w:hint="eastAsia" w:ascii="宋体" w:hAnsi="宋体" w:cs="宋体"/>
          <w:sz w:val="24"/>
        </w:rPr>
        <w:t>（三）供应商的报价超过</w:t>
      </w:r>
      <w:r>
        <w:rPr>
          <w:rFonts w:hint="eastAsia" w:ascii="宋体" w:hAnsi="宋体" w:cs="宋体"/>
          <w:sz w:val="24"/>
          <w:lang w:val="en-US" w:eastAsia="zh-CN"/>
        </w:rPr>
        <w:t>最高折扣率</w:t>
      </w:r>
      <w:r>
        <w:rPr>
          <w:rFonts w:hint="eastAsia" w:ascii="宋体" w:hAnsi="宋体" w:cs="宋体"/>
          <w:sz w:val="24"/>
        </w:rPr>
        <w:t>的；</w:t>
      </w:r>
    </w:p>
    <w:p>
      <w:pPr>
        <w:snapToGrid w:val="0"/>
        <w:spacing w:line="360" w:lineRule="auto"/>
        <w:ind w:firstLine="480" w:firstLineChars="200"/>
        <w:rPr>
          <w:rFonts w:ascii="宋体" w:hAnsi="宋体" w:cs="宋体"/>
          <w:sz w:val="24"/>
        </w:rPr>
      </w:pPr>
      <w:r>
        <w:rPr>
          <w:rFonts w:hint="eastAsia" w:ascii="宋体" w:hAnsi="宋体" w:cs="宋体"/>
          <w:sz w:val="24"/>
        </w:rPr>
        <w:t>（四）法定代表人为同一个人的两个及两个以上法人，母公司</w:t>
      </w:r>
      <w:r>
        <w:rPr>
          <w:rFonts w:hint="eastAsia" w:ascii="宋体" w:hAnsi="宋体" w:cs="宋体"/>
          <w:sz w:val="24"/>
          <w:lang w:eastAsia="zh-CN"/>
        </w:rPr>
        <w:t>、</w:t>
      </w:r>
      <w:r>
        <w:rPr>
          <w:rFonts w:hint="eastAsia" w:ascii="宋体" w:hAnsi="宋体" w:cs="宋体"/>
          <w:sz w:val="24"/>
        </w:rPr>
        <w:t>全资子公司及其控股公司，在同一包采购中同时参与</w:t>
      </w:r>
      <w:r>
        <w:rPr>
          <w:rFonts w:hint="eastAsia" w:ascii="宋体" w:hAnsi="宋体" w:cs="宋体"/>
          <w:sz w:val="24"/>
          <w:lang w:val="en-US" w:eastAsia="zh-CN"/>
        </w:rPr>
        <w:t>投标</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（五）供应商响应文件内容有与国家现行法律法规相违背的内容，或附有</w:t>
      </w:r>
      <w:r>
        <w:rPr>
          <w:rFonts w:hint="eastAsia" w:ascii="宋体" w:hAnsi="宋体" w:cs="宋体"/>
          <w:sz w:val="24"/>
          <w:lang w:eastAsia="zh-CN"/>
        </w:rPr>
        <w:t>采购人</w:t>
      </w:r>
      <w:r>
        <w:rPr>
          <w:rFonts w:hint="eastAsia" w:ascii="宋体" w:hAnsi="宋体" w:cs="宋体"/>
          <w:sz w:val="24"/>
        </w:rPr>
        <w:t>无法接受的条件。</w:t>
      </w:r>
    </w:p>
    <w:p>
      <w:pPr>
        <w:snapToGrid w:val="0"/>
        <w:spacing w:line="360" w:lineRule="auto"/>
        <w:ind w:firstLine="480" w:firstLineChars="200"/>
        <w:rPr>
          <w:rFonts w:ascii="宋体" w:hAnsi="宋体" w:cs="宋体"/>
          <w:sz w:val="24"/>
        </w:rPr>
      </w:pPr>
      <w:r>
        <w:rPr>
          <w:rFonts w:hint="eastAsia" w:ascii="宋体" w:hAnsi="宋体" w:cs="宋体"/>
          <w:sz w:val="24"/>
        </w:rPr>
        <w:t>（六）供应商以联合体形式</w:t>
      </w:r>
      <w:r>
        <w:rPr>
          <w:rFonts w:hint="eastAsia" w:ascii="宋体" w:hAnsi="宋体" w:cs="宋体"/>
          <w:sz w:val="24"/>
          <w:lang w:eastAsia="zh-CN"/>
        </w:rPr>
        <w:t>参与投标</w:t>
      </w:r>
      <w:r>
        <w:rPr>
          <w:rFonts w:hint="eastAsia" w:ascii="宋体" w:hAnsi="宋体" w:cs="宋体"/>
          <w:sz w:val="24"/>
        </w:rPr>
        <w:t>的；</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（七）法律法规和</w:t>
      </w:r>
      <w:r>
        <w:rPr>
          <w:rFonts w:hint="eastAsia" w:ascii="宋体" w:hAnsi="宋体" w:cs="宋体"/>
          <w:sz w:val="24"/>
          <w:lang w:eastAsia="zh-CN"/>
        </w:rPr>
        <w:t>比选</w:t>
      </w:r>
      <w:r>
        <w:rPr>
          <w:rFonts w:hint="eastAsia" w:ascii="宋体" w:hAnsi="宋体" w:cs="宋体"/>
          <w:sz w:val="24"/>
        </w:rPr>
        <w:t>文件规定的其他无效响应情形</w:t>
      </w:r>
      <w:r>
        <w:rPr>
          <w:rFonts w:hint="eastAsia" w:ascii="宋体" w:hAnsi="宋体" w:cs="宋体"/>
          <w:sz w:val="24"/>
          <w:lang w:eastAsia="zh-CN"/>
        </w:rPr>
        <w:t>；</w:t>
      </w:r>
    </w:p>
    <w:p>
      <w:pPr>
        <w:snapToGrid w:val="0"/>
        <w:spacing w:line="360" w:lineRule="auto"/>
        <w:ind w:firstLine="480" w:firstLineChars="200"/>
        <w:rPr>
          <w:rFonts w:ascii="宋体" w:hAnsi="宋体" w:cs="宋体"/>
          <w:sz w:val="24"/>
        </w:rPr>
      </w:pPr>
      <w:r>
        <w:rPr>
          <w:rFonts w:hint="eastAsia" w:ascii="宋体" w:hAnsi="宋体" w:cs="宋体"/>
          <w:sz w:val="24"/>
        </w:rPr>
        <w:t>（八）供应商被列入失信被执行人</w:t>
      </w:r>
      <w:r>
        <w:rPr>
          <w:rFonts w:hint="eastAsia" w:ascii="宋体" w:hAnsi="宋体" w:cs="宋体"/>
          <w:sz w:val="24"/>
          <w:lang w:eastAsia="zh-CN"/>
        </w:rPr>
        <w:t>、</w:t>
      </w:r>
      <w:r>
        <w:rPr>
          <w:rFonts w:hint="eastAsia" w:ascii="宋体" w:hAnsi="宋体" w:cs="宋体"/>
          <w:sz w:val="24"/>
        </w:rPr>
        <w:t>重大税收违法案件当事人名单</w:t>
      </w:r>
      <w:r>
        <w:rPr>
          <w:rFonts w:hint="eastAsia" w:ascii="宋体" w:hAnsi="宋体" w:cs="宋体"/>
          <w:sz w:val="24"/>
          <w:lang w:eastAsia="zh-CN"/>
        </w:rPr>
        <w:t>、</w:t>
      </w:r>
      <w:r>
        <w:rPr>
          <w:rFonts w:hint="eastAsia" w:ascii="宋体" w:hAnsi="宋体" w:cs="宋体"/>
          <w:sz w:val="24"/>
        </w:rPr>
        <w:t>政府采购严重违法失信行为记录名单及其他不符合《中华人民共和国政府采购法》第二十二条规定条件的。</w:t>
      </w:r>
    </w:p>
    <w:p>
      <w:pPr>
        <w:pStyle w:val="5"/>
        <w:spacing w:line="360" w:lineRule="auto"/>
        <w:ind w:firstLine="482" w:firstLineChars="200"/>
        <w:rPr>
          <w:rFonts w:hint="eastAsia" w:ascii="宋体" w:hAnsi="宋体" w:eastAsia="宋体" w:cs="宋体"/>
          <w:color w:val="auto"/>
          <w:kern w:val="0"/>
          <w:sz w:val="24"/>
          <w:szCs w:val="24"/>
          <w:lang w:val="zh-CN" w:eastAsia="zh-CN"/>
        </w:rPr>
      </w:pPr>
      <w:bookmarkStart w:id="77" w:name="_Toc1630"/>
      <w:bookmarkStart w:id="78" w:name="_Toc28839"/>
      <w:r>
        <w:rPr>
          <w:rFonts w:hint="eastAsia" w:ascii="宋体" w:hAnsi="宋体" w:eastAsia="宋体" w:cs="宋体"/>
          <w:color w:val="auto"/>
          <w:kern w:val="0"/>
          <w:sz w:val="24"/>
          <w:szCs w:val="24"/>
          <w:lang w:val="zh-CN" w:eastAsia="zh-CN"/>
        </w:rPr>
        <w:t>四、采购终止</w:t>
      </w:r>
      <w:bookmarkEnd w:id="73"/>
      <w:bookmarkEnd w:id="74"/>
      <w:bookmarkEnd w:id="75"/>
      <w:bookmarkEnd w:id="76"/>
      <w:bookmarkEnd w:id="77"/>
      <w:bookmarkEnd w:id="78"/>
    </w:p>
    <w:p>
      <w:pPr>
        <w:spacing w:line="360" w:lineRule="auto"/>
        <w:ind w:firstLine="480" w:firstLineChars="200"/>
        <w:rPr>
          <w:rFonts w:ascii="宋体" w:hAnsi="宋体" w:cs="宋体"/>
          <w:sz w:val="24"/>
        </w:rPr>
      </w:pPr>
      <w:r>
        <w:rPr>
          <w:rFonts w:hint="eastAsia" w:ascii="宋体" w:hAnsi="宋体" w:cs="宋体"/>
          <w:sz w:val="24"/>
        </w:rPr>
        <w:t>出现下列情形之一的，</w:t>
      </w:r>
      <w:r>
        <w:rPr>
          <w:rFonts w:hint="eastAsia" w:ascii="宋体" w:hAnsi="宋体" w:cs="宋体"/>
          <w:sz w:val="24"/>
          <w:lang w:eastAsia="zh-CN"/>
        </w:rPr>
        <w:t>采购人</w:t>
      </w:r>
      <w:r>
        <w:rPr>
          <w:rFonts w:hint="eastAsia" w:ascii="宋体" w:hAnsi="宋体" w:cs="宋体"/>
          <w:sz w:val="24"/>
        </w:rPr>
        <w:t>或者</w:t>
      </w:r>
      <w:r>
        <w:rPr>
          <w:rFonts w:hint="eastAsia" w:ascii="宋体" w:hAnsi="宋体" w:cs="宋体"/>
          <w:sz w:val="24"/>
          <w:lang w:eastAsia="zh-CN"/>
        </w:rPr>
        <w:t>采购代理机构</w:t>
      </w:r>
      <w:r>
        <w:rPr>
          <w:rFonts w:hint="eastAsia" w:ascii="宋体" w:hAnsi="宋体" w:cs="宋体"/>
          <w:sz w:val="24"/>
        </w:rPr>
        <w:t>应当终止本次采购活动，发布项目终止公告并说明原因，重新开展采购活动：</w:t>
      </w:r>
    </w:p>
    <w:p>
      <w:pPr>
        <w:snapToGrid w:val="0"/>
        <w:spacing w:line="360" w:lineRule="auto"/>
        <w:ind w:firstLine="480" w:firstLineChars="200"/>
        <w:rPr>
          <w:rFonts w:ascii="宋体" w:hAnsi="宋体" w:cs="宋体"/>
          <w:sz w:val="24"/>
        </w:rPr>
      </w:pPr>
      <w:r>
        <w:rPr>
          <w:rFonts w:hint="eastAsia" w:ascii="宋体" w:hAnsi="宋体" w:cs="宋体"/>
          <w:sz w:val="24"/>
        </w:rPr>
        <w:t>（一）因情况变化，不再符合规定的</w:t>
      </w:r>
      <w:r>
        <w:rPr>
          <w:rFonts w:hint="eastAsia" w:ascii="宋体" w:hAnsi="宋体" w:cs="宋体"/>
          <w:sz w:val="24"/>
          <w:lang w:eastAsia="zh-CN"/>
        </w:rPr>
        <w:t>比选采购人式</w:t>
      </w:r>
      <w:r>
        <w:rPr>
          <w:rFonts w:hint="eastAsia" w:ascii="宋体" w:hAnsi="宋体" w:cs="宋体"/>
          <w:sz w:val="24"/>
        </w:rPr>
        <w:t>适用情形的；</w:t>
      </w:r>
    </w:p>
    <w:p>
      <w:pPr>
        <w:snapToGrid w:val="0"/>
        <w:spacing w:line="360" w:lineRule="auto"/>
        <w:ind w:firstLine="480" w:firstLineChars="200"/>
        <w:rPr>
          <w:rFonts w:ascii="宋体" w:hAnsi="宋体" w:cs="宋体"/>
          <w:sz w:val="24"/>
        </w:rPr>
      </w:pPr>
      <w:r>
        <w:rPr>
          <w:rFonts w:hint="eastAsia" w:ascii="宋体" w:hAnsi="宋体" w:cs="宋体"/>
          <w:sz w:val="24"/>
        </w:rPr>
        <w:t>（二）出现影响采购公正的违法</w:t>
      </w:r>
      <w:r>
        <w:rPr>
          <w:rFonts w:hint="eastAsia" w:ascii="宋体" w:hAnsi="宋体" w:cs="宋体"/>
          <w:sz w:val="24"/>
          <w:lang w:eastAsia="zh-CN"/>
        </w:rPr>
        <w:t>、</w:t>
      </w:r>
      <w:r>
        <w:rPr>
          <w:rFonts w:hint="eastAsia" w:ascii="宋体" w:hAnsi="宋体" w:cs="宋体"/>
          <w:sz w:val="24"/>
        </w:rPr>
        <w:t>违规行为的；</w:t>
      </w:r>
    </w:p>
    <w:p>
      <w:pPr>
        <w:snapToGrid w:val="0"/>
        <w:spacing w:line="360" w:lineRule="auto"/>
        <w:ind w:firstLine="480" w:firstLineChars="200"/>
        <w:rPr>
          <w:rFonts w:ascii="宋体" w:hAnsi="宋体" w:cs="宋体"/>
          <w:sz w:val="24"/>
        </w:rPr>
      </w:pPr>
      <w:r>
        <w:rPr>
          <w:rFonts w:hint="eastAsia" w:ascii="宋体" w:hAnsi="宋体" w:cs="宋体"/>
          <w:sz w:val="24"/>
        </w:rPr>
        <w:t>（三）因重大变故，采购任务取消的。</w:t>
      </w:r>
    </w:p>
    <w:p>
      <w:pPr>
        <w:snapToGrid w:val="0"/>
        <w:spacing w:line="360" w:lineRule="auto"/>
        <w:ind w:firstLine="480" w:firstLineChars="200"/>
        <w:rPr>
          <w:rFonts w:ascii="宋体" w:hAnsi="宋体" w:cs="宋体"/>
          <w:sz w:val="32"/>
          <w:szCs w:val="32"/>
        </w:rPr>
      </w:pPr>
      <w:r>
        <w:rPr>
          <w:rFonts w:hint="eastAsia" w:ascii="宋体" w:hAnsi="宋体" w:cs="宋体"/>
          <w:sz w:val="24"/>
        </w:rPr>
        <w:t>（四）在采购过程中符合要求的供应商或者报价未超过采购预算的供应商不足3家的。</w:t>
      </w:r>
    </w:p>
    <w:p>
      <w:pPr>
        <w:pStyle w:val="45"/>
        <w:jc w:val="left"/>
        <w:rPr>
          <w:rStyle w:val="48"/>
          <w:rFonts w:ascii="宋体" w:hAnsi="宋体" w:eastAsia="宋体" w:cs="宋体"/>
          <w:sz w:val="24"/>
          <w:szCs w:val="24"/>
        </w:rPr>
      </w:pPr>
      <w:r>
        <w:rPr>
          <w:rStyle w:val="48"/>
          <w:rFonts w:hint="eastAsia" w:ascii="宋体" w:hAnsi="宋体" w:eastAsia="宋体" w:cs="宋体"/>
          <w:sz w:val="24"/>
          <w:szCs w:val="24"/>
        </w:rPr>
        <w:br w:type="page"/>
      </w:r>
    </w:p>
    <w:p>
      <w:pPr>
        <w:pStyle w:val="4"/>
        <w:spacing w:line="240" w:lineRule="auto"/>
        <w:jc w:val="center"/>
        <w:rPr>
          <w:rFonts w:hAnsi="宋体" w:cs="宋体"/>
          <w:sz w:val="36"/>
          <w:szCs w:val="30"/>
        </w:rPr>
      </w:pPr>
      <w:bookmarkStart w:id="79" w:name="_Toc30477"/>
      <w:bookmarkStart w:id="80" w:name="_Toc16546"/>
      <w:bookmarkStart w:id="81" w:name="_Toc102227313"/>
      <w:bookmarkStart w:id="82" w:name="_Toc5450"/>
      <w:bookmarkStart w:id="83" w:name="_Toc12291"/>
      <w:bookmarkStart w:id="84" w:name="_Toc27938"/>
      <w:bookmarkStart w:id="85" w:name="_Toc16953"/>
      <w:bookmarkStart w:id="86" w:name="_Toc3645"/>
      <w:bookmarkStart w:id="87" w:name="_Toc29553"/>
      <w:r>
        <w:rPr>
          <w:rFonts w:hint="eastAsia" w:hAnsi="宋体" w:cs="宋体"/>
          <w:sz w:val="36"/>
          <w:szCs w:val="30"/>
        </w:rPr>
        <w:t>第五篇  供应商须知</w:t>
      </w:r>
      <w:bookmarkEnd w:id="79"/>
      <w:bookmarkEnd w:id="80"/>
      <w:bookmarkEnd w:id="81"/>
      <w:bookmarkEnd w:id="82"/>
      <w:bookmarkEnd w:id="83"/>
      <w:bookmarkEnd w:id="84"/>
      <w:bookmarkEnd w:id="85"/>
      <w:bookmarkEnd w:id="86"/>
      <w:bookmarkEnd w:id="87"/>
    </w:p>
    <w:p>
      <w:pPr>
        <w:pStyle w:val="5"/>
        <w:spacing w:line="360" w:lineRule="auto"/>
        <w:ind w:firstLine="482" w:firstLineChars="200"/>
        <w:rPr>
          <w:rFonts w:hint="eastAsia" w:ascii="宋体" w:hAnsi="宋体" w:eastAsia="宋体" w:cs="宋体"/>
          <w:color w:val="auto"/>
          <w:kern w:val="0"/>
          <w:sz w:val="24"/>
          <w:szCs w:val="24"/>
          <w:lang w:val="zh-CN" w:eastAsia="zh-CN"/>
        </w:rPr>
      </w:pPr>
      <w:bookmarkStart w:id="88" w:name="_Toc6373"/>
      <w:bookmarkStart w:id="89" w:name="_Toc1389"/>
      <w:bookmarkStart w:id="90" w:name="_Toc15380"/>
      <w:bookmarkStart w:id="91" w:name="_Toc9462"/>
      <w:bookmarkStart w:id="92" w:name="_Toc655"/>
      <w:bookmarkStart w:id="93" w:name="_Toc9716"/>
      <w:bookmarkStart w:id="94" w:name="_Toc1189"/>
      <w:bookmarkStart w:id="95" w:name="_Toc342913389"/>
      <w:bookmarkStart w:id="96" w:name="_Toc28979"/>
      <w:bookmarkStart w:id="97" w:name="_Toc14750"/>
      <w:bookmarkStart w:id="98" w:name="_Toc29968"/>
      <w:r>
        <w:rPr>
          <w:rFonts w:hint="eastAsia" w:ascii="宋体" w:hAnsi="宋体" w:eastAsia="宋体" w:cs="宋体"/>
          <w:color w:val="auto"/>
          <w:kern w:val="0"/>
          <w:sz w:val="24"/>
          <w:szCs w:val="24"/>
          <w:lang w:val="zh-CN" w:eastAsia="zh-CN"/>
        </w:rPr>
        <w:t>一、比选费用</w:t>
      </w:r>
      <w:bookmarkEnd w:id="88"/>
      <w:bookmarkEnd w:id="89"/>
      <w:bookmarkEnd w:id="90"/>
      <w:bookmarkEnd w:id="91"/>
      <w:bookmarkEnd w:id="92"/>
      <w:bookmarkEnd w:id="93"/>
      <w:bookmarkEnd w:id="94"/>
      <w:bookmarkEnd w:id="95"/>
      <w:bookmarkEnd w:id="96"/>
      <w:bookmarkEnd w:id="97"/>
      <w:bookmarkEnd w:id="98"/>
    </w:p>
    <w:p>
      <w:pPr>
        <w:pStyle w:val="88"/>
        <w:spacing w:line="440" w:lineRule="exact"/>
        <w:ind w:firstLine="480" w:firstLineChars="200"/>
        <w:rPr>
          <w:rFonts w:hAnsi="宋体" w:cs="宋体"/>
          <w:sz w:val="24"/>
          <w:highlight w:val="none"/>
        </w:rPr>
      </w:pPr>
      <w:r>
        <w:rPr>
          <w:rFonts w:hint="eastAsia" w:hAnsi="宋体" w:cs="宋体"/>
          <w:sz w:val="24"/>
          <w:highlight w:val="none"/>
          <w:lang w:eastAsia="zh-CN"/>
        </w:rPr>
        <w:t>参与投标</w:t>
      </w:r>
      <w:r>
        <w:rPr>
          <w:rFonts w:hint="eastAsia" w:hAnsi="宋体" w:cs="宋体"/>
          <w:sz w:val="24"/>
          <w:highlight w:val="none"/>
        </w:rPr>
        <w:t>的供应商应承担其编制响应文件所涉及的一切费用，不论</w:t>
      </w:r>
      <w:r>
        <w:rPr>
          <w:rFonts w:hint="eastAsia" w:hAnsi="宋体" w:cs="宋体"/>
          <w:sz w:val="24"/>
          <w:highlight w:val="none"/>
          <w:lang w:eastAsia="zh-CN"/>
        </w:rPr>
        <w:t>比选</w:t>
      </w:r>
      <w:r>
        <w:rPr>
          <w:rFonts w:hint="eastAsia" w:hAnsi="宋体" w:cs="宋体"/>
          <w:sz w:val="24"/>
          <w:highlight w:val="none"/>
        </w:rPr>
        <w:t>结果如何，</w:t>
      </w:r>
      <w:r>
        <w:rPr>
          <w:rFonts w:hint="eastAsia" w:hAnsi="宋体" w:cs="宋体"/>
          <w:sz w:val="24"/>
          <w:highlight w:val="none"/>
          <w:lang w:eastAsia="zh-CN"/>
        </w:rPr>
        <w:t>采购人</w:t>
      </w:r>
      <w:r>
        <w:rPr>
          <w:rFonts w:hint="eastAsia" w:hAnsi="宋体" w:cs="宋体"/>
          <w:sz w:val="24"/>
          <w:highlight w:val="none"/>
        </w:rPr>
        <w:t>和</w:t>
      </w:r>
      <w:r>
        <w:rPr>
          <w:rFonts w:hint="eastAsia" w:hAnsi="宋体" w:cs="宋体"/>
          <w:sz w:val="24"/>
          <w:highlight w:val="none"/>
          <w:lang w:eastAsia="zh-CN"/>
        </w:rPr>
        <w:t>采购代理机构</w:t>
      </w:r>
      <w:r>
        <w:rPr>
          <w:rFonts w:hint="eastAsia" w:hAnsi="宋体" w:cs="宋体"/>
          <w:sz w:val="24"/>
          <w:highlight w:val="none"/>
        </w:rPr>
        <w:t>在任何情况下无义务也无责任承担这些费用。</w:t>
      </w:r>
    </w:p>
    <w:p>
      <w:pPr>
        <w:pStyle w:val="5"/>
        <w:spacing w:line="360" w:lineRule="auto"/>
        <w:ind w:firstLine="482" w:firstLineChars="200"/>
        <w:rPr>
          <w:rFonts w:hint="eastAsia" w:ascii="宋体" w:hAnsi="宋体" w:eastAsia="宋体" w:cs="宋体"/>
          <w:color w:val="auto"/>
          <w:kern w:val="0"/>
          <w:sz w:val="24"/>
          <w:szCs w:val="24"/>
          <w:lang w:val="zh-CN" w:eastAsia="zh-CN"/>
        </w:rPr>
      </w:pPr>
      <w:bookmarkStart w:id="99" w:name="_Toc21336"/>
      <w:bookmarkStart w:id="100" w:name="_Toc24004"/>
      <w:bookmarkStart w:id="101" w:name="_Toc25408"/>
      <w:bookmarkStart w:id="102" w:name="_Toc15781"/>
      <w:bookmarkStart w:id="103" w:name="_Toc19015"/>
      <w:bookmarkStart w:id="104" w:name="_Toc26369"/>
      <w:bookmarkStart w:id="105" w:name="_Toc342913391"/>
      <w:bookmarkStart w:id="106" w:name="_Toc16287"/>
      <w:bookmarkStart w:id="107" w:name="_Toc31972"/>
      <w:bookmarkStart w:id="108" w:name="_Toc4721"/>
      <w:bookmarkStart w:id="109" w:name="_Toc8393"/>
      <w:r>
        <w:rPr>
          <w:rFonts w:hint="eastAsia" w:ascii="宋体" w:hAnsi="宋体" w:eastAsia="宋体" w:cs="宋体"/>
          <w:color w:val="auto"/>
          <w:kern w:val="0"/>
          <w:sz w:val="24"/>
          <w:szCs w:val="24"/>
          <w:lang w:val="zh-CN" w:eastAsia="zh-CN"/>
        </w:rPr>
        <w:t>二</w:t>
      </w:r>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color w:val="auto"/>
          <w:kern w:val="0"/>
          <w:sz w:val="24"/>
          <w:szCs w:val="24"/>
          <w:lang w:val="zh-CN" w:eastAsia="zh-CN"/>
        </w:rPr>
        <w:t>、竞争性比选文件</w:t>
      </w:r>
      <w:bookmarkEnd w:id="109"/>
    </w:p>
    <w:p>
      <w:pPr>
        <w:spacing w:line="440" w:lineRule="exact"/>
        <w:ind w:firstLine="480" w:firstLineChars="200"/>
        <w:rPr>
          <w:rFonts w:hint="eastAsia" w:ascii="宋体" w:hAnsi="宋体" w:cs="宋体"/>
          <w:sz w:val="24"/>
          <w:highlight w:val="none"/>
        </w:rPr>
      </w:pPr>
      <w:bookmarkStart w:id="110" w:name="_Toc318159349"/>
      <w:bookmarkStart w:id="111" w:name="_Toc318166429"/>
      <w:bookmarkStart w:id="112" w:name="_Toc318159780"/>
      <w:bookmarkStart w:id="113" w:name="_Toc318159160"/>
      <w:r>
        <w:rPr>
          <w:rFonts w:hint="eastAsia" w:ascii="宋体" w:hAnsi="宋体" w:cs="宋体"/>
          <w:sz w:val="24"/>
          <w:highlight w:val="none"/>
        </w:rPr>
        <w:t>（一）竞争性比选文件由比选邀请书</w:t>
      </w:r>
      <w:r>
        <w:rPr>
          <w:rFonts w:hint="eastAsia" w:ascii="宋体" w:hAnsi="宋体" w:cs="宋体"/>
          <w:sz w:val="24"/>
          <w:highlight w:val="none"/>
          <w:lang w:eastAsia="zh-CN"/>
        </w:rPr>
        <w:t>、</w:t>
      </w:r>
      <w:r>
        <w:rPr>
          <w:rFonts w:hint="eastAsia" w:ascii="宋体" w:hAnsi="宋体" w:cs="宋体"/>
          <w:sz w:val="24"/>
          <w:highlight w:val="none"/>
          <w:lang w:val="en-US" w:eastAsia="zh-CN"/>
        </w:rPr>
        <w:t>项目服务需求</w:t>
      </w:r>
      <w:r>
        <w:rPr>
          <w:rFonts w:hint="eastAsia" w:ascii="宋体" w:hAnsi="宋体" w:cs="宋体"/>
          <w:sz w:val="24"/>
          <w:highlight w:val="none"/>
          <w:lang w:eastAsia="zh-CN"/>
        </w:rPr>
        <w:t>、</w:t>
      </w:r>
      <w:r>
        <w:rPr>
          <w:rFonts w:hint="eastAsia" w:ascii="宋体" w:hAnsi="宋体" w:cs="宋体"/>
          <w:sz w:val="24"/>
          <w:highlight w:val="none"/>
          <w:lang w:val="en-US" w:eastAsia="zh-CN"/>
        </w:rPr>
        <w:t>项目商务要求</w:t>
      </w:r>
      <w:r>
        <w:rPr>
          <w:rFonts w:hint="eastAsia" w:ascii="宋体" w:hAnsi="宋体" w:cs="宋体"/>
          <w:sz w:val="24"/>
          <w:highlight w:val="none"/>
          <w:lang w:eastAsia="zh-CN"/>
        </w:rPr>
        <w:t>、</w:t>
      </w:r>
      <w:r>
        <w:rPr>
          <w:rFonts w:hint="eastAsia" w:ascii="宋体" w:hAnsi="宋体" w:cs="宋体"/>
          <w:sz w:val="24"/>
          <w:highlight w:val="none"/>
          <w:lang w:val="en-US" w:eastAsia="zh-CN"/>
        </w:rPr>
        <w:t>比选</w:t>
      </w:r>
      <w:r>
        <w:rPr>
          <w:rFonts w:hint="eastAsia" w:ascii="宋体" w:hAnsi="宋体" w:cs="宋体"/>
          <w:sz w:val="24"/>
          <w:highlight w:val="none"/>
        </w:rPr>
        <w:t>程序及方法</w:t>
      </w:r>
      <w:r>
        <w:rPr>
          <w:rFonts w:hint="eastAsia" w:ascii="宋体" w:hAnsi="宋体" w:cs="宋体"/>
          <w:sz w:val="24"/>
          <w:highlight w:val="none"/>
          <w:lang w:eastAsia="zh-CN"/>
        </w:rPr>
        <w:t>、</w:t>
      </w:r>
      <w:r>
        <w:rPr>
          <w:rFonts w:hint="eastAsia" w:ascii="宋体" w:hAnsi="宋体" w:cs="宋体"/>
          <w:sz w:val="24"/>
          <w:highlight w:val="none"/>
        </w:rPr>
        <w:t>评审标准</w:t>
      </w:r>
      <w:r>
        <w:rPr>
          <w:rFonts w:hint="eastAsia" w:ascii="宋体" w:hAnsi="宋体" w:cs="宋体"/>
          <w:sz w:val="24"/>
          <w:highlight w:val="none"/>
          <w:lang w:eastAsia="zh-CN"/>
        </w:rPr>
        <w:t>、</w:t>
      </w:r>
      <w:r>
        <w:rPr>
          <w:rFonts w:hint="eastAsia" w:ascii="宋体" w:hAnsi="宋体" w:cs="宋体"/>
          <w:sz w:val="24"/>
          <w:highlight w:val="none"/>
        </w:rPr>
        <w:t>无效响应和采购终止</w:t>
      </w:r>
      <w:r>
        <w:rPr>
          <w:rFonts w:hint="eastAsia" w:ascii="宋体" w:hAnsi="宋体" w:cs="宋体"/>
          <w:sz w:val="24"/>
          <w:highlight w:val="none"/>
          <w:lang w:eastAsia="zh-CN"/>
        </w:rPr>
        <w:t>、供应商</w:t>
      </w:r>
      <w:r>
        <w:rPr>
          <w:rFonts w:hint="eastAsia" w:ascii="宋体" w:hAnsi="宋体" w:cs="宋体"/>
          <w:sz w:val="24"/>
          <w:highlight w:val="none"/>
        </w:rPr>
        <w:t>须知</w:t>
      </w:r>
      <w:r>
        <w:rPr>
          <w:rFonts w:hint="eastAsia" w:ascii="宋体" w:hAnsi="宋体" w:cs="宋体"/>
          <w:sz w:val="24"/>
          <w:highlight w:val="none"/>
          <w:lang w:eastAsia="zh-CN"/>
        </w:rPr>
        <w:t>、</w:t>
      </w:r>
      <w:r>
        <w:rPr>
          <w:rFonts w:hint="eastAsia" w:ascii="宋体" w:hAnsi="宋体" w:cs="宋体"/>
          <w:sz w:val="24"/>
          <w:highlight w:val="none"/>
        </w:rPr>
        <w:t>合同条款及格式</w:t>
      </w:r>
      <w:r>
        <w:rPr>
          <w:rFonts w:hint="eastAsia" w:ascii="宋体" w:hAnsi="宋体" w:cs="宋体"/>
          <w:sz w:val="24"/>
          <w:highlight w:val="none"/>
          <w:lang w:eastAsia="zh-CN"/>
        </w:rPr>
        <w:t>、响应文件</w:t>
      </w:r>
      <w:r>
        <w:rPr>
          <w:rFonts w:hint="eastAsia" w:ascii="宋体" w:hAnsi="宋体" w:cs="宋体"/>
          <w:sz w:val="24"/>
          <w:highlight w:val="none"/>
        </w:rPr>
        <w:t>编制要求七部分组成。</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（二）</w:t>
      </w:r>
      <w:r>
        <w:rPr>
          <w:rFonts w:hint="eastAsia" w:ascii="宋体" w:hAnsi="宋体" w:cs="宋体"/>
          <w:sz w:val="24"/>
          <w:highlight w:val="none"/>
          <w:lang w:eastAsia="zh-CN"/>
        </w:rPr>
        <w:t>采购人</w:t>
      </w:r>
      <w:r>
        <w:rPr>
          <w:rFonts w:hint="eastAsia" w:ascii="宋体" w:hAnsi="宋体" w:cs="宋体"/>
          <w:sz w:val="24"/>
          <w:highlight w:val="none"/>
        </w:rPr>
        <w:t>（或</w:t>
      </w:r>
      <w:r>
        <w:rPr>
          <w:rFonts w:hint="eastAsia" w:ascii="宋体" w:hAnsi="宋体" w:cs="宋体"/>
          <w:sz w:val="24"/>
          <w:highlight w:val="none"/>
          <w:lang w:eastAsia="zh-CN"/>
        </w:rPr>
        <w:t>采购代理机构</w:t>
      </w:r>
      <w:r>
        <w:rPr>
          <w:rFonts w:hint="eastAsia" w:ascii="宋体" w:hAnsi="宋体" w:cs="宋体"/>
          <w:sz w:val="24"/>
          <w:highlight w:val="none"/>
        </w:rPr>
        <w:t>）所作的一切有效的书面通知</w:t>
      </w:r>
      <w:r>
        <w:rPr>
          <w:rFonts w:hint="eastAsia" w:ascii="宋体" w:hAnsi="宋体" w:cs="宋体"/>
          <w:sz w:val="24"/>
          <w:highlight w:val="none"/>
          <w:lang w:eastAsia="zh-CN"/>
        </w:rPr>
        <w:t>、</w:t>
      </w:r>
      <w:r>
        <w:rPr>
          <w:rFonts w:hint="eastAsia" w:ascii="宋体" w:hAnsi="宋体" w:cs="宋体"/>
          <w:sz w:val="24"/>
          <w:highlight w:val="none"/>
        </w:rPr>
        <w:t>修改及补充，都是竞争性比选文件不可分割的部分。</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（三）竞争性比选文件的解释</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如对竞争性比选文件有疑问，必须以书面形式在提交</w:t>
      </w:r>
      <w:r>
        <w:rPr>
          <w:rFonts w:hint="eastAsia" w:ascii="宋体" w:hAnsi="宋体" w:cs="宋体"/>
          <w:sz w:val="24"/>
          <w:highlight w:val="none"/>
          <w:lang w:eastAsia="zh-CN"/>
        </w:rPr>
        <w:t>响应文件</w:t>
      </w:r>
      <w:r>
        <w:rPr>
          <w:rFonts w:hint="eastAsia" w:ascii="宋体" w:hAnsi="宋体" w:cs="宋体"/>
          <w:sz w:val="24"/>
          <w:highlight w:val="none"/>
        </w:rPr>
        <w:t>截止时间3个工作日前向</w:t>
      </w:r>
      <w:r>
        <w:rPr>
          <w:rFonts w:hint="eastAsia" w:ascii="宋体" w:hAnsi="宋体" w:cs="宋体"/>
          <w:sz w:val="24"/>
          <w:highlight w:val="none"/>
          <w:lang w:eastAsia="zh-CN"/>
        </w:rPr>
        <w:t>采购人</w:t>
      </w:r>
      <w:r>
        <w:rPr>
          <w:rFonts w:hint="eastAsia" w:ascii="宋体" w:hAnsi="宋体" w:cs="宋体"/>
          <w:sz w:val="24"/>
          <w:highlight w:val="none"/>
        </w:rPr>
        <w:t>（或</w:t>
      </w:r>
      <w:r>
        <w:rPr>
          <w:rFonts w:hint="eastAsia" w:ascii="宋体" w:hAnsi="宋体" w:cs="宋体"/>
          <w:sz w:val="24"/>
          <w:highlight w:val="none"/>
          <w:lang w:eastAsia="zh-CN"/>
        </w:rPr>
        <w:t>采购代理机构</w:t>
      </w:r>
      <w:r>
        <w:rPr>
          <w:rFonts w:hint="eastAsia" w:ascii="宋体" w:hAnsi="宋体" w:cs="宋体"/>
          <w:sz w:val="24"/>
          <w:highlight w:val="none"/>
        </w:rPr>
        <w:t>）要求澄清，</w:t>
      </w:r>
      <w:r>
        <w:rPr>
          <w:rFonts w:hint="eastAsia" w:ascii="宋体" w:hAnsi="宋体" w:cs="宋体"/>
          <w:sz w:val="24"/>
          <w:highlight w:val="none"/>
          <w:lang w:eastAsia="zh-CN"/>
        </w:rPr>
        <w:t>采购人</w:t>
      </w:r>
      <w:r>
        <w:rPr>
          <w:rFonts w:hint="eastAsia" w:ascii="宋体" w:hAnsi="宋体" w:cs="宋体"/>
          <w:sz w:val="24"/>
          <w:highlight w:val="none"/>
        </w:rPr>
        <w:t>（或</w:t>
      </w:r>
      <w:r>
        <w:rPr>
          <w:rFonts w:hint="eastAsia" w:ascii="宋体" w:hAnsi="宋体" w:cs="宋体"/>
          <w:sz w:val="24"/>
          <w:highlight w:val="none"/>
          <w:lang w:eastAsia="zh-CN"/>
        </w:rPr>
        <w:t>采购代理机构</w:t>
      </w:r>
      <w:r>
        <w:rPr>
          <w:rFonts w:hint="eastAsia" w:ascii="宋体" w:hAnsi="宋体" w:cs="宋体"/>
          <w:sz w:val="24"/>
          <w:highlight w:val="none"/>
        </w:rPr>
        <w:t>）可视具体情况做出处理或答复。如</w:t>
      </w:r>
      <w:r>
        <w:rPr>
          <w:rFonts w:hint="eastAsia" w:ascii="宋体" w:hAnsi="宋体" w:cs="宋体"/>
          <w:sz w:val="24"/>
          <w:highlight w:val="none"/>
          <w:lang w:eastAsia="zh-CN"/>
        </w:rPr>
        <w:t>供应商</w:t>
      </w:r>
      <w:r>
        <w:rPr>
          <w:rFonts w:hint="eastAsia" w:ascii="宋体" w:hAnsi="宋体" w:cs="宋体"/>
          <w:sz w:val="24"/>
          <w:highlight w:val="none"/>
        </w:rPr>
        <w:t>未提出疑问，视为完全理解并同意本竞争性比选文件。一经进入</w:t>
      </w:r>
      <w:r>
        <w:rPr>
          <w:rFonts w:hint="eastAsia" w:ascii="宋体" w:hAnsi="宋体" w:cs="宋体"/>
          <w:sz w:val="24"/>
          <w:highlight w:val="none"/>
          <w:lang w:val="en-US" w:eastAsia="zh-CN"/>
        </w:rPr>
        <w:t>比选</w:t>
      </w:r>
      <w:r>
        <w:rPr>
          <w:rFonts w:hint="eastAsia" w:ascii="宋体" w:hAnsi="宋体" w:cs="宋体"/>
          <w:sz w:val="24"/>
          <w:highlight w:val="none"/>
        </w:rPr>
        <w:t>程序，即视为</w:t>
      </w:r>
      <w:r>
        <w:rPr>
          <w:rFonts w:hint="eastAsia" w:ascii="宋体" w:hAnsi="宋体" w:cs="宋体"/>
          <w:sz w:val="24"/>
          <w:highlight w:val="none"/>
          <w:lang w:eastAsia="zh-CN"/>
        </w:rPr>
        <w:t>供应商</w:t>
      </w:r>
      <w:r>
        <w:rPr>
          <w:rFonts w:hint="eastAsia" w:ascii="宋体" w:hAnsi="宋体" w:cs="宋体"/>
          <w:sz w:val="24"/>
          <w:highlight w:val="none"/>
        </w:rPr>
        <w:t>已详细阅读全部文件资料，完全理解竞争性比选文件所有条款内容并同意放弃对这方面有不明白及误解的权利。</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（四）评审的依据为竞争性比选文件和</w:t>
      </w:r>
      <w:r>
        <w:rPr>
          <w:rFonts w:hint="eastAsia" w:ascii="宋体" w:hAnsi="宋体" w:cs="宋体"/>
          <w:sz w:val="24"/>
          <w:highlight w:val="none"/>
          <w:lang w:eastAsia="zh-CN"/>
        </w:rPr>
        <w:t>响应文件</w:t>
      </w:r>
      <w:r>
        <w:rPr>
          <w:rFonts w:hint="eastAsia" w:ascii="宋体" w:hAnsi="宋体" w:cs="宋体"/>
          <w:sz w:val="24"/>
          <w:highlight w:val="none"/>
        </w:rPr>
        <w:t>（含有效的书面承诺）。</w:t>
      </w:r>
      <w:r>
        <w:rPr>
          <w:rFonts w:hint="eastAsia" w:ascii="宋体" w:hAnsi="宋体" w:cs="宋体"/>
          <w:sz w:val="24"/>
          <w:highlight w:val="none"/>
          <w:lang w:eastAsia="zh-CN"/>
        </w:rPr>
        <w:t>评审小组</w:t>
      </w:r>
      <w:r>
        <w:rPr>
          <w:rFonts w:hint="eastAsia" w:ascii="宋体" w:hAnsi="宋体" w:cs="宋体"/>
          <w:sz w:val="24"/>
          <w:highlight w:val="none"/>
        </w:rPr>
        <w:t>判断</w:t>
      </w:r>
      <w:r>
        <w:rPr>
          <w:rFonts w:hint="eastAsia" w:ascii="宋体" w:hAnsi="宋体" w:cs="宋体"/>
          <w:sz w:val="24"/>
          <w:highlight w:val="none"/>
          <w:lang w:eastAsia="zh-CN"/>
        </w:rPr>
        <w:t>响应文件</w:t>
      </w:r>
      <w:r>
        <w:rPr>
          <w:rFonts w:hint="eastAsia" w:ascii="宋体" w:hAnsi="宋体" w:cs="宋体"/>
          <w:sz w:val="24"/>
          <w:highlight w:val="none"/>
        </w:rPr>
        <w:t>对竞争性比选文件的响应，仅基于</w:t>
      </w:r>
      <w:r>
        <w:rPr>
          <w:rFonts w:hint="eastAsia" w:ascii="宋体" w:hAnsi="宋体" w:cs="宋体"/>
          <w:sz w:val="24"/>
          <w:highlight w:val="none"/>
          <w:lang w:eastAsia="zh-CN"/>
        </w:rPr>
        <w:t>响应文件</w:t>
      </w:r>
      <w:r>
        <w:rPr>
          <w:rFonts w:hint="eastAsia" w:ascii="宋体" w:hAnsi="宋体" w:cs="宋体"/>
          <w:sz w:val="24"/>
          <w:highlight w:val="none"/>
        </w:rPr>
        <w:t>本身而不靠外部证据。</w:t>
      </w:r>
    </w:p>
    <w:bookmarkEnd w:id="110"/>
    <w:bookmarkEnd w:id="111"/>
    <w:bookmarkEnd w:id="112"/>
    <w:bookmarkEnd w:id="113"/>
    <w:p>
      <w:pPr>
        <w:pStyle w:val="5"/>
        <w:spacing w:line="360" w:lineRule="auto"/>
        <w:ind w:firstLine="482" w:firstLineChars="200"/>
        <w:rPr>
          <w:rFonts w:hint="eastAsia" w:ascii="宋体" w:hAnsi="宋体" w:eastAsia="宋体" w:cs="宋体"/>
          <w:color w:val="auto"/>
          <w:kern w:val="0"/>
          <w:sz w:val="24"/>
          <w:szCs w:val="24"/>
          <w:lang w:val="zh-CN" w:eastAsia="zh-CN"/>
        </w:rPr>
      </w:pPr>
      <w:bookmarkStart w:id="114" w:name="_Toc179714297"/>
      <w:bookmarkStart w:id="115" w:name="_Toc14224"/>
      <w:bookmarkStart w:id="116" w:name="_Toc8245"/>
      <w:bookmarkStart w:id="117" w:name="_Toc12964"/>
      <w:bookmarkStart w:id="118" w:name="_Toc22250"/>
      <w:bookmarkStart w:id="119" w:name="_Toc6441"/>
      <w:bookmarkStart w:id="120" w:name="_Toc22797"/>
      <w:bookmarkStart w:id="121" w:name="_Toc7567"/>
      <w:bookmarkStart w:id="122" w:name="_Toc15947"/>
      <w:bookmarkStart w:id="123" w:name="_Toc5137"/>
      <w:bookmarkStart w:id="124" w:name="_Toc7180"/>
      <w:bookmarkStart w:id="125" w:name="_Toc342913392"/>
      <w:bookmarkStart w:id="126" w:name="_Toc102227318"/>
      <w:r>
        <w:rPr>
          <w:rFonts w:hint="eastAsia" w:ascii="宋体" w:hAnsi="宋体" w:eastAsia="宋体" w:cs="宋体"/>
          <w:color w:val="auto"/>
          <w:kern w:val="0"/>
          <w:sz w:val="24"/>
          <w:szCs w:val="24"/>
          <w:lang w:val="zh-CN" w:eastAsia="zh-CN"/>
        </w:rPr>
        <w:t>三、比选要求</w:t>
      </w:r>
      <w:bookmarkEnd w:id="114"/>
      <w:bookmarkEnd w:id="115"/>
      <w:bookmarkEnd w:id="116"/>
      <w:bookmarkEnd w:id="117"/>
      <w:bookmarkEnd w:id="118"/>
      <w:bookmarkEnd w:id="119"/>
      <w:bookmarkEnd w:id="120"/>
      <w:bookmarkEnd w:id="121"/>
      <w:bookmarkEnd w:id="122"/>
      <w:bookmarkEnd w:id="123"/>
      <w:bookmarkEnd w:id="124"/>
      <w:bookmarkEnd w:id="125"/>
      <w:bookmarkEnd w:id="126"/>
    </w:p>
    <w:p>
      <w:pPr>
        <w:snapToGrid w:val="0"/>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（一）</w:t>
      </w:r>
      <w:r>
        <w:rPr>
          <w:rFonts w:hint="eastAsia" w:ascii="宋体" w:hAnsi="宋体" w:cs="宋体"/>
          <w:sz w:val="24"/>
          <w:highlight w:val="none"/>
          <w:lang w:eastAsia="zh-CN"/>
        </w:rPr>
        <w:t>响应文件</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.供应商</w:t>
      </w:r>
      <w:r>
        <w:rPr>
          <w:rFonts w:hint="eastAsia" w:ascii="宋体" w:hAnsi="宋体" w:cs="宋体"/>
          <w:sz w:val="24"/>
          <w:highlight w:val="none"/>
        </w:rPr>
        <w:t>应当按照竞争性比选文件的要求编制</w:t>
      </w:r>
      <w:r>
        <w:rPr>
          <w:rFonts w:hint="eastAsia" w:ascii="宋体" w:hAnsi="宋体" w:cs="宋体"/>
          <w:sz w:val="24"/>
          <w:highlight w:val="none"/>
          <w:lang w:eastAsia="zh-CN"/>
        </w:rPr>
        <w:t>响应文件</w:t>
      </w:r>
      <w:r>
        <w:rPr>
          <w:rFonts w:hint="eastAsia" w:ascii="宋体" w:hAnsi="宋体" w:cs="宋体"/>
          <w:sz w:val="24"/>
          <w:highlight w:val="none"/>
        </w:rPr>
        <w:t>，并对竞争性比选文件提出的要求和条件作出实质性响应，</w:t>
      </w:r>
      <w:r>
        <w:rPr>
          <w:rFonts w:hint="eastAsia" w:ascii="宋体" w:hAnsi="宋体" w:cs="宋体"/>
          <w:sz w:val="24"/>
          <w:highlight w:val="none"/>
          <w:lang w:eastAsia="zh-CN"/>
        </w:rPr>
        <w:t>响应文件</w:t>
      </w:r>
      <w:r>
        <w:rPr>
          <w:rFonts w:hint="eastAsia" w:ascii="宋体" w:hAnsi="宋体" w:cs="宋体"/>
          <w:sz w:val="24"/>
          <w:highlight w:val="none"/>
        </w:rPr>
        <w:t>原则上采用软面订本，同时应编制完整的页码</w:t>
      </w:r>
      <w:r>
        <w:rPr>
          <w:rFonts w:hint="eastAsia" w:ascii="宋体" w:hAnsi="宋体" w:cs="宋体"/>
          <w:sz w:val="24"/>
          <w:highlight w:val="none"/>
          <w:lang w:eastAsia="zh-CN"/>
        </w:rPr>
        <w:t>.</w:t>
      </w:r>
      <w:r>
        <w:rPr>
          <w:rFonts w:hint="eastAsia" w:ascii="宋体" w:hAnsi="宋体" w:cs="宋体"/>
          <w:sz w:val="24"/>
          <w:highlight w:val="none"/>
        </w:rPr>
        <w:t>目录。</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.响应文件</w:t>
      </w:r>
      <w:r>
        <w:rPr>
          <w:rFonts w:hint="eastAsia" w:ascii="宋体" w:hAnsi="宋体" w:cs="宋体"/>
          <w:sz w:val="24"/>
          <w:highlight w:val="none"/>
        </w:rPr>
        <w:t>组成</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eastAsia="zh-CN"/>
        </w:rPr>
        <w:t>响应文件</w:t>
      </w:r>
      <w:r>
        <w:rPr>
          <w:rFonts w:hint="eastAsia" w:ascii="宋体" w:hAnsi="宋体" w:cs="宋体"/>
          <w:sz w:val="24"/>
          <w:highlight w:val="none"/>
        </w:rPr>
        <w:t>由第七篇“</w:t>
      </w:r>
      <w:r>
        <w:rPr>
          <w:rFonts w:hint="eastAsia" w:ascii="宋体" w:hAnsi="宋体" w:cs="宋体"/>
          <w:sz w:val="24"/>
          <w:highlight w:val="none"/>
          <w:lang w:eastAsia="zh-CN"/>
        </w:rPr>
        <w:t>响应文件</w:t>
      </w:r>
      <w:r>
        <w:rPr>
          <w:rFonts w:hint="eastAsia" w:ascii="宋体" w:hAnsi="宋体" w:cs="宋体"/>
          <w:sz w:val="24"/>
          <w:highlight w:val="none"/>
        </w:rPr>
        <w:t>编制要求”规定的部分和</w:t>
      </w:r>
      <w:r>
        <w:rPr>
          <w:rFonts w:hint="eastAsia" w:ascii="宋体" w:hAnsi="宋体" w:cs="宋体"/>
          <w:sz w:val="24"/>
          <w:highlight w:val="none"/>
          <w:lang w:eastAsia="zh-CN"/>
        </w:rPr>
        <w:t>供应商</w:t>
      </w:r>
      <w:r>
        <w:rPr>
          <w:rFonts w:hint="eastAsia" w:ascii="宋体" w:hAnsi="宋体" w:cs="宋体"/>
          <w:sz w:val="24"/>
          <w:highlight w:val="none"/>
        </w:rPr>
        <w:t>所作的一切有效补充</w:t>
      </w:r>
      <w:r>
        <w:rPr>
          <w:rFonts w:hint="eastAsia" w:ascii="宋体" w:hAnsi="宋体" w:cs="宋体"/>
          <w:sz w:val="24"/>
          <w:highlight w:val="none"/>
          <w:lang w:eastAsia="zh-CN"/>
        </w:rPr>
        <w:t>、</w:t>
      </w:r>
      <w:r>
        <w:rPr>
          <w:rFonts w:hint="eastAsia" w:ascii="宋体" w:hAnsi="宋体" w:cs="宋体"/>
          <w:sz w:val="24"/>
          <w:highlight w:val="none"/>
        </w:rPr>
        <w:t>修改和承诺等文件组成，</w:t>
      </w:r>
      <w:r>
        <w:rPr>
          <w:rFonts w:hint="eastAsia" w:ascii="宋体" w:hAnsi="宋体" w:cs="宋体"/>
          <w:sz w:val="24"/>
          <w:highlight w:val="none"/>
          <w:lang w:eastAsia="zh-CN"/>
        </w:rPr>
        <w:t>供应商</w:t>
      </w:r>
      <w:r>
        <w:rPr>
          <w:rFonts w:hint="eastAsia" w:ascii="宋体" w:hAnsi="宋体" w:cs="宋体"/>
          <w:sz w:val="24"/>
          <w:highlight w:val="none"/>
        </w:rPr>
        <w:t>应按照第七篇“</w:t>
      </w:r>
      <w:r>
        <w:rPr>
          <w:rFonts w:hint="eastAsia" w:ascii="宋体" w:hAnsi="宋体" w:cs="宋体"/>
          <w:sz w:val="24"/>
          <w:highlight w:val="none"/>
          <w:lang w:eastAsia="zh-CN"/>
        </w:rPr>
        <w:t>响应文件</w:t>
      </w:r>
      <w:r>
        <w:rPr>
          <w:rFonts w:hint="eastAsia" w:ascii="宋体" w:hAnsi="宋体" w:cs="宋体"/>
          <w:sz w:val="24"/>
          <w:highlight w:val="none"/>
        </w:rPr>
        <w:t>编制要求”规定的目录顺序组织编写和装订，也可在基本格式基础上对表格进行扩展，未规定格式的由</w:t>
      </w:r>
      <w:r>
        <w:rPr>
          <w:rFonts w:hint="eastAsia" w:ascii="宋体" w:hAnsi="宋体" w:cs="宋体"/>
          <w:sz w:val="24"/>
          <w:highlight w:val="none"/>
          <w:lang w:eastAsia="zh-CN"/>
        </w:rPr>
        <w:t>供应商</w:t>
      </w:r>
      <w:r>
        <w:rPr>
          <w:rFonts w:hint="eastAsia" w:ascii="宋体" w:hAnsi="宋体" w:cs="宋体"/>
          <w:sz w:val="24"/>
          <w:highlight w:val="none"/>
        </w:rPr>
        <w:t>自定格式。</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（二）联合体</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本项目不接受联合体形式</w:t>
      </w:r>
      <w:r>
        <w:rPr>
          <w:rFonts w:hint="eastAsia" w:ascii="宋体" w:hAnsi="宋体" w:cs="宋体"/>
          <w:sz w:val="24"/>
          <w:highlight w:val="none"/>
          <w:lang w:eastAsia="zh-CN"/>
        </w:rPr>
        <w:t>参与投标</w:t>
      </w:r>
      <w:r>
        <w:rPr>
          <w:rFonts w:hint="eastAsia" w:ascii="宋体" w:hAnsi="宋体" w:cs="宋体"/>
          <w:sz w:val="24"/>
          <w:highlight w:val="none"/>
        </w:rPr>
        <w:t>。</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（三）</w:t>
      </w:r>
      <w:r>
        <w:rPr>
          <w:rFonts w:hint="eastAsia" w:ascii="宋体" w:hAnsi="宋体" w:cs="宋体"/>
          <w:sz w:val="24"/>
          <w:highlight w:val="none"/>
          <w:lang w:val="en-US" w:eastAsia="zh-CN"/>
        </w:rPr>
        <w:t>比选</w:t>
      </w:r>
      <w:r>
        <w:rPr>
          <w:rFonts w:hint="eastAsia" w:ascii="宋体" w:hAnsi="宋体" w:cs="宋体"/>
          <w:sz w:val="24"/>
          <w:highlight w:val="none"/>
        </w:rPr>
        <w:t>有效期：</w:t>
      </w:r>
      <w:r>
        <w:rPr>
          <w:rFonts w:hint="eastAsia" w:ascii="宋体" w:hAnsi="宋体" w:cs="宋体"/>
          <w:sz w:val="24"/>
          <w:highlight w:val="none"/>
          <w:lang w:eastAsia="zh-CN"/>
        </w:rPr>
        <w:t>响应文件</w:t>
      </w:r>
      <w:r>
        <w:rPr>
          <w:rFonts w:hint="eastAsia" w:ascii="宋体" w:hAnsi="宋体" w:cs="宋体"/>
          <w:sz w:val="24"/>
          <w:highlight w:val="none"/>
        </w:rPr>
        <w:t>及有关承诺文件有效期为提交</w:t>
      </w:r>
      <w:r>
        <w:rPr>
          <w:rFonts w:hint="eastAsia" w:ascii="宋体" w:hAnsi="宋体" w:cs="宋体"/>
          <w:sz w:val="24"/>
          <w:highlight w:val="none"/>
          <w:lang w:eastAsia="zh-CN"/>
        </w:rPr>
        <w:t>响应文件</w:t>
      </w:r>
      <w:r>
        <w:rPr>
          <w:rFonts w:hint="eastAsia" w:ascii="宋体" w:hAnsi="宋体" w:cs="宋体"/>
          <w:sz w:val="24"/>
          <w:highlight w:val="none"/>
        </w:rPr>
        <w:t>截止时间起90天。</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（四）修正错误</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w:t>
      </w:r>
      <w:r>
        <w:rPr>
          <w:rFonts w:hint="eastAsia" w:ascii="宋体" w:hAnsi="宋体" w:cs="宋体"/>
          <w:sz w:val="24"/>
          <w:highlight w:val="none"/>
        </w:rPr>
        <w:t>若</w:t>
      </w:r>
      <w:r>
        <w:rPr>
          <w:rFonts w:hint="eastAsia" w:ascii="宋体" w:hAnsi="宋体" w:cs="宋体"/>
          <w:sz w:val="24"/>
          <w:highlight w:val="none"/>
          <w:lang w:eastAsia="zh-CN"/>
        </w:rPr>
        <w:t>供应商</w:t>
      </w:r>
      <w:r>
        <w:rPr>
          <w:rFonts w:hint="eastAsia" w:ascii="宋体" w:hAnsi="宋体" w:cs="宋体"/>
          <w:sz w:val="24"/>
          <w:highlight w:val="none"/>
        </w:rPr>
        <w:t>所递交的</w:t>
      </w:r>
      <w:r>
        <w:rPr>
          <w:rFonts w:hint="eastAsia" w:ascii="宋体" w:hAnsi="宋体" w:cs="宋体"/>
          <w:sz w:val="24"/>
          <w:highlight w:val="none"/>
          <w:lang w:eastAsia="zh-CN"/>
        </w:rPr>
        <w:t>响应文件</w:t>
      </w:r>
      <w:r>
        <w:rPr>
          <w:rFonts w:hint="eastAsia" w:ascii="宋体" w:hAnsi="宋体" w:cs="宋体"/>
          <w:sz w:val="24"/>
          <w:highlight w:val="none"/>
        </w:rPr>
        <w:t>或投标报价中的价格出现大写金额和小写金额不一致的错误，以大写金额修正为准。</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.评审小组</w:t>
      </w:r>
      <w:r>
        <w:rPr>
          <w:rFonts w:hint="eastAsia" w:ascii="宋体" w:hAnsi="宋体" w:cs="宋体"/>
          <w:sz w:val="24"/>
          <w:highlight w:val="none"/>
        </w:rPr>
        <w:t>按上述修正错误的原则及方法修正</w:t>
      </w:r>
      <w:r>
        <w:rPr>
          <w:rFonts w:hint="eastAsia" w:ascii="宋体" w:hAnsi="宋体" w:cs="宋体"/>
          <w:sz w:val="24"/>
          <w:highlight w:val="none"/>
          <w:lang w:eastAsia="zh-CN"/>
        </w:rPr>
        <w:t>供应商</w:t>
      </w:r>
      <w:r>
        <w:rPr>
          <w:rFonts w:hint="eastAsia" w:ascii="宋体" w:hAnsi="宋体" w:cs="宋体"/>
          <w:sz w:val="24"/>
          <w:highlight w:val="none"/>
        </w:rPr>
        <w:t>的报价，</w:t>
      </w:r>
      <w:r>
        <w:rPr>
          <w:rFonts w:hint="eastAsia" w:ascii="宋体" w:hAnsi="宋体" w:cs="宋体"/>
          <w:sz w:val="24"/>
          <w:highlight w:val="none"/>
          <w:lang w:eastAsia="zh-CN"/>
        </w:rPr>
        <w:t>供应商</w:t>
      </w:r>
      <w:r>
        <w:rPr>
          <w:rFonts w:hint="eastAsia" w:ascii="宋体" w:hAnsi="宋体" w:cs="宋体"/>
          <w:sz w:val="24"/>
          <w:highlight w:val="none"/>
        </w:rPr>
        <w:t>同意并签字确认后，修正后的报价对</w:t>
      </w:r>
      <w:r>
        <w:rPr>
          <w:rFonts w:hint="eastAsia" w:ascii="宋体" w:hAnsi="宋体" w:cs="宋体"/>
          <w:sz w:val="24"/>
          <w:highlight w:val="none"/>
          <w:lang w:eastAsia="zh-CN"/>
        </w:rPr>
        <w:t>供应商</w:t>
      </w:r>
      <w:r>
        <w:rPr>
          <w:rFonts w:hint="eastAsia" w:ascii="宋体" w:hAnsi="宋体" w:cs="宋体"/>
          <w:sz w:val="24"/>
          <w:highlight w:val="none"/>
        </w:rPr>
        <w:t>具有约束作用。如果</w:t>
      </w:r>
      <w:r>
        <w:rPr>
          <w:rFonts w:hint="eastAsia" w:ascii="宋体" w:hAnsi="宋体" w:cs="宋体"/>
          <w:sz w:val="24"/>
          <w:highlight w:val="none"/>
          <w:lang w:eastAsia="zh-CN"/>
        </w:rPr>
        <w:t>供应商</w:t>
      </w:r>
      <w:r>
        <w:rPr>
          <w:rFonts w:hint="eastAsia" w:ascii="宋体" w:hAnsi="宋体" w:cs="宋体"/>
          <w:sz w:val="24"/>
          <w:highlight w:val="none"/>
        </w:rPr>
        <w:t>不接受修正后的价格，将失去成为中选人的资格。</w:t>
      </w:r>
    </w:p>
    <w:p>
      <w:pPr>
        <w:snapToGrid w:val="0"/>
        <w:spacing w:line="440" w:lineRule="exact"/>
        <w:ind w:firstLine="482" w:firstLineChars="200"/>
        <w:rPr>
          <w:rFonts w:hint="eastAsia" w:ascii="宋体" w:hAnsi="宋体" w:cs="宋体"/>
          <w:sz w:val="24"/>
          <w:highlight w:val="none"/>
        </w:rPr>
      </w:pPr>
      <w:r>
        <w:rPr>
          <w:rFonts w:hint="eastAsia" w:ascii="宋体" w:hAnsi="宋体" w:cs="宋体"/>
          <w:b/>
          <w:bCs/>
          <w:sz w:val="24"/>
          <w:highlight w:val="none"/>
        </w:rPr>
        <w:t>（五）提交</w:t>
      </w:r>
      <w:r>
        <w:rPr>
          <w:rFonts w:hint="eastAsia" w:ascii="宋体" w:hAnsi="宋体" w:cs="宋体"/>
          <w:b/>
          <w:bCs/>
          <w:sz w:val="24"/>
          <w:highlight w:val="none"/>
          <w:lang w:eastAsia="zh-CN"/>
        </w:rPr>
        <w:t>响应文件</w:t>
      </w:r>
      <w:r>
        <w:rPr>
          <w:rFonts w:hint="eastAsia" w:ascii="宋体" w:hAnsi="宋体" w:cs="宋体"/>
          <w:b/>
          <w:bCs/>
          <w:sz w:val="24"/>
          <w:highlight w:val="none"/>
        </w:rPr>
        <w:t>的份数和签署</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1.响应文件一式</w:t>
      </w:r>
      <w:r>
        <w:rPr>
          <w:rFonts w:hint="eastAsia" w:ascii="宋体" w:hAnsi="宋体" w:cs="宋体"/>
          <w:sz w:val="24"/>
          <w:highlight w:val="none"/>
          <w:lang w:val="en-US" w:eastAsia="zh-CN"/>
        </w:rPr>
        <w:t>贰</w:t>
      </w:r>
      <w:r>
        <w:rPr>
          <w:rFonts w:hint="eastAsia" w:ascii="宋体" w:hAnsi="宋体" w:cs="宋体"/>
          <w:sz w:val="24"/>
          <w:highlight w:val="none"/>
          <w:lang w:eastAsia="zh-CN"/>
        </w:rPr>
        <w:t>份，其中正本一份，副本</w:t>
      </w:r>
      <w:r>
        <w:rPr>
          <w:rFonts w:hint="eastAsia" w:ascii="宋体" w:hAnsi="宋体" w:cs="宋体"/>
          <w:sz w:val="24"/>
          <w:highlight w:val="none"/>
          <w:lang w:val="en-US" w:eastAsia="zh-CN"/>
        </w:rPr>
        <w:t>一</w:t>
      </w:r>
      <w:r>
        <w:rPr>
          <w:rFonts w:hint="eastAsia" w:ascii="宋体" w:hAnsi="宋体" w:cs="宋体"/>
          <w:sz w:val="24"/>
          <w:highlight w:val="none"/>
          <w:lang w:eastAsia="zh-CN"/>
        </w:rPr>
        <w:t>份；副本可为正本的复印件，应与正本一致，如出现不一致情况以正本为准。</w:t>
      </w:r>
    </w:p>
    <w:p>
      <w:pPr>
        <w:snapToGrid w:val="0"/>
        <w:spacing w:line="440" w:lineRule="exact"/>
        <w:ind w:firstLine="480" w:firstLineChars="200"/>
        <w:rPr>
          <w:rFonts w:ascii="宋体" w:hAnsi="宋体" w:cs="宋体"/>
          <w:sz w:val="24"/>
          <w:highlight w:val="none"/>
        </w:rPr>
      </w:pPr>
      <w:r>
        <w:rPr>
          <w:rFonts w:hint="eastAsia" w:ascii="宋体" w:hAnsi="宋体" w:cs="宋体"/>
          <w:sz w:val="24"/>
          <w:highlight w:val="none"/>
          <w:lang w:eastAsia="zh-CN"/>
        </w:rPr>
        <w:t>2.在纸质响应文件中，竞争性比选文</w:t>
      </w:r>
      <w:r>
        <w:rPr>
          <w:rFonts w:hint="eastAsia" w:ascii="宋体" w:hAnsi="宋体" w:cs="宋体"/>
          <w:sz w:val="24"/>
          <w:highlight w:val="none"/>
        </w:rPr>
        <w:t>件第七篇</w:t>
      </w:r>
      <w:r>
        <w:rPr>
          <w:rFonts w:hint="eastAsia" w:ascii="宋体" w:hAnsi="宋体" w:cs="宋体"/>
          <w:sz w:val="24"/>
          <w:highlight w:val="none"/>
          <w:lang w:eastAsia="zh-CN"/>
        </w:rPr>
        <w:t>响应文件</w:t>
      </w:r>
      <w:r>
        <w:rPr>
          <w:rFonts w:hint="eastAsia" w:ascii="宋体" w:hAnsi="宋体" w:cs="宋体"/>
          <w:sz w:val="24"/>
          <w:highlight w:val="none"/>
        </w:rPr>
        <w:t>编制要求中规定签字</w:t>
      </w:r>
      <w:r>
        <w:rPr>
          <w:rFonts w:hint="eastAsia" w:ascii="宋体" w:hAnsi="宋体" w:cs="宋体"/>
          <w:sz w:val="24"/>
          <w:highlight w:val="none"/>
          <w:lang w:eastAsia="zh-CN"/>
        </w:rPr>
        <w:t>、</w:t>
      </w:r>
      <w:r>
        <w:rPr>
          <w:rFonts w:hint="eastAsia" w:ascii="宋体" w:hAnsi="宋体" w:cs="宋体"/>
          <w:sz w:val="24"/>
          <w:highlight w:val="none"/>
        </w:rPr>
        <w:t>盖章的地方必须按其规定签字</w:t>
      </w:r>
      <w:r>
        <w:rPr>
          <w:rFonts w:hint="eastAsia" w:ascii="宋体" w:hAnsi="宋体" w:cs="宋体"/>
          <w:sz w:val="24"/>
          <w:highlight w:val="none"/>
          <w:lang w:eastAsia="zh-CN"/>
        </w:rPr>
        <w:t>、</w:t>
      </w:r>
      <w:r>
        <w:rPr>
          <w:rFonts w:hint="eastAsia" w:ascii="宋体" w:hAnsi="宋体" w:cs="宋体"/>
          <w:sz w:val="24"/>
          <w:highlight w:val="none"/>
        </w:rPr>
        <w:t>盖章。</w:t>
      </w:r>
    </w:p>
    <w:p>
      <w:pPr>
        <w:pStyle w:val="5"/>
        <w:spacing w:line="360" w:lineRule="auto"/>
        <w:ind w:firstLine="482" w:firstLineChars="200"/>
        <w:rPr>
          <w:rFonts w:hint="eastAsia" w:ascii="宋体" w:hAnsi="宋体" w:eastAsia="宋体" w:cs="宋体"/>
          <w:color w:val="auto"/>
          <w:kern w:val="0"/>
          <w:sz w:val="24"/>
          <w:szCs w:val="24"/>
          <w:highlight w:val="none"/>
          <w:lang w:val="zh-CN" w:eastAsia="zh-CN"/>
        </w:rPr>
      </w:pPr>
      <w:bookmarkStart w:id="127" w:name="_Toc24430"/>
      <w:bookmarkStart w:id="128" w:name="_Toc32632"/>
      <w:bookmarkStart w:id="129" w:name="_Toc23688"/>
      <w:bookmarkStart w:id="130" w:name="_Toc5132"/>
      <w:bookmarkStart w:id="131" w:name="_Toc19895"/>
      <w:bookmarkStart w:id="132" w:name="_Toc25555"/>
      <w:bookmarkStart w:id="133" w:name="_Toc28474"/>
      <w:bookmarkStart w:id="134" w:name="_Toc14349"/>
      <w:bookmarkStart w:id="135" w:name="_Toc15461"/>
      <w:bookmarkStart w:id="136" w:name="_Toc3760"/>
      <w:r>
        <w:rPr>
          <w:rFonts w:hint="eastAsia" w:ascii="宋体" w:hAnsi="宋体" w:eastAsia="宋体" w:cs="宋体"/>
          <w:color w:val="auto"/>
          <w:kern w:val="0"/>
          <w:sz w:val="24"/>
          <w:szCs w:val="24"/>
          <w:highlight w:val="none"/>
          <w:lang w:val="zh-CN" w:eastAsia="zh-CN"/>
        </w:rPr>
        <w:t>四、中标供应商的确认和变更</w:t>
      </w:r>
      <w:bookmarkEnd w:id="127"/>
      <w:bookmarkEnd w:id="128"/>
      <w:bookmarkEnd w:id="129"/>
      <w:bookmarkEnd w:id="130"/>
      <w:bookmarkEnd w:id="131"/>
      <w:bookmarkEnd w:id="132"/>
      <w:bookmarkEnd w:id="133"/>
      <w:bookmarkEnd w:id="134"/>
      <w:bookmarkEnd w:id="135"/>
      <w:bookmarkEnd w:id="136"/>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（一）中选人的确定</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采购人或其授权的评标委员会应按照评标报告中推荐的中标候选人排名顺序确定中标人。</w:t>
      </w:r>
      <w:r>
        <w:rPr>
          <w:rFonts w:hint="eastAsia" w:ascii="宋体" w:hAnsi="宋体" w:cs="宋体"/>
          <w:sz w:val="24"/>
          <w:highlight w:val="none"/>
          <w:lang w:eastAsia="zh-CN"/>
        </w:rPr>
        <w:t>采购人</w:t>
      </w:r>
      <w:r>
        <w:rPr>
          <w:rFonts w:hint="eastAsia" w:ascii="宋体" w:hAnsi="宋体" w:cs="宋体"/>
          <w:sz w:val="24"/>
          <w:highlight w:val="none"/>
        </w:rPr>
        <w:t>逾期未确定中选人且不提出异议的，视为确定评审报告提出的排序第一的</w:t>
      </w:r>
      <w:r>
        <w:rPr>
          <w:rFonts w:hint="eastAsia" w:ascii="宋体" w:hAnsi="宋体" w:cs="宋体"/>
          <w:sz w:val="24"/>
          <w:highlight w:val="none"/>
          <w:lang w:eastAsia="zh-CN"/>
        </w:rPr>
        <w:t>供应商</w:t>
      </w:r>
      <w:r>
        <w:rPr>
          <w:rFonts w:hint="eastAsia" w:ascii="宋体" w:hAnsi="宋体" w:cs="宋体"/>
          <w:sz w:val="24"/>
          <w:highlight w:val="none"/>
        </w:rPr>
        <w:t>为中选人。</w:t>
      </w:r>
    </w:p>
    <w:p>
      <w:pPr>
        <w:snapToGrid w:val="0"/>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（二）中选人的变更</w:t>
      </w:r>
    </w:p>
    <w:p>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中选人拒绝与</w:t>
      </w:r>
      <w:r>
        <w:rPr>
          <w:rFonts w:hint="eastAsia" w:ascii="宋体" w:hAnsi="宋体" w:cs="宋体"/>
          <w:sz w:val="24"/>
          <w:highlight w:val="none"/>
          <w:lang w:eastAsia="zh-CN"/>
        </w:rPr>
        <w:t>采购人</w:t>
      </w:r>
      <w:r>
        <w:rPr>
          <w:rFonts w:hint="eastAsia" w:ascii="宋体" w:hAnsi="宋体" w:cs="宋体"/>
          <w:sz w:val="24"/>
          <w:highlight w:val="none"/>
        </w:rPr>
        <w:t>签订合同的，</w:t>
      </w:r>
      <w:r>
        <w:rPr>
          <w:rFonts w:hint="eastAsia" w:ascii="宋体" w:hAnsi="宋体" w:cs="宋体"/>
          <w:sz w:val="24"/>
          <w:highlight w:val="none"/>
          <w:lang w:eastAsia="zh-CN"/>
        </w:rPr>
        <w:t>采购人</w:t>
      </w:r>
      <w:r>
        <w:rPr>
          <w:rFonts w:hint="eastAsia" w:ascii="宋体" w:hAnsi="宋体" w:cs="宋体"/>
          <w:sz w:val="24"/>
          <w:highlight w:val="none"/>
        </w:rPr>
        <w:t>可以按照评标报告推荐的成交候选</w:t>
      </w:r>
      <w:r>
        <w:rPr>
          <w:rFonts w:hint="eastAsia" w:ascii="宋体" w:hAnsi="宋体" w:cs="宋体"/>
          <w:sz w:val="24"/>
          <w:highlight w:val="none"/>
          <w:lang w:eastAsia="zh-CN"/>
        </w:rPr>
        <w:t>供应商</w:t>
      </w:r>
      <w:r>
        <w:rPr>
          <w:rFonts w:hint="eastAsia" w:ascii="宋体" w:hAnsi="宋体" w:cs="宋体"/>
          <w:sz w:val="24"/>
          <w:highlight w:val="none"/>
        </w:rPr>
        <w:t>顺序，确定排名下一位的候选人为中选人，也可以重新开展采购活动。</w:t>
      </w:r>
    </w:p>
    <w:p>
      <w:pPr>
        <w:pStyle w:val="5"/>
        <w:spacing w:line="360" w:lineRule="auto"/>
        <w:ind w:firstLine="482" w:firstLineChars="200"/>
        <w:rPr>
          <w:rFonts w:hint="eastAsia" w:ascii="宋体" w:hAnsi="宋体" w:eastAsia="宋体" w:cs="宋体"/>
          <w:color w:val="auto"/>
          <w:kern w:val="0"/>
          <w:sz w:val="24"/>
          <w:szCs w:val="24"/>
          <w:highlight w:val="none"/>
          <w:lang w:val="zh-CN" w:eastAsia="zh-CN"/>
        </w:rPr>
      </w:pPr>
      <w:bookmarkStart w:id="137" w:name="_Toc27533"/>
      <w:bookmarkStart w:id="138" w:name="_Toc3676"/>
      <w:bookmarkStart w:id="139" w:name="_Toc342913395"/>
      <w:bookmarkStart w:id="140" w:name="_Toc102227321"/>
      <w:bookmarkStart w:id="141" w:name="_Toc892"/>
      <w:bookmarkStart w:id="142" w:name="_Toc23396"/>
      <w:bookmarkStart w:id="143" w:name="_Toc9807"/>
      <w:bookmarkStart w:id="144" w:name="_Toc13340"/>
      <w:bookmarkStart w:id="145" w:name="_Toc23694"/>
      <w:bookmarkStart w:id="146" w:name="_Toc19735"/>
      <w:bookmarkStart w:id="147" w:name="_Toc24425"/>
      <w:bookmarkStart w:id="148" w:name="_Toc112"/>
      <w:r>
        <w:rPr>
          <w:rFonts w:hint="eastAsia" w:ascii="宋体" w:hAnsi="宋体" w:eastAsia="宋体" w:cs="宋体"/>
          <w:color w:val="auto"/>
          <w:kern w:val="0"/>
          <w:sz w:val="24"/>
          <w:szCs w:val="24"/>
          <w:highlight w:val="none"/>
          <w:lang w:val="zh-CN" w:eastAsia="zh-CN"/>
        </w:rPr>
        <w:t>五、成交通知</w:t>
      </w:r>
      <w:bookmarkEnd w:id="137"/>
      <w:bookmarkEnd w:id="138"/>
      <w:bookmarkEnd w:id="139"/>
      <w:bookmarkEnd w:id="140"/>
      <w:bookmarkEnd w:id="141"/>
      <w:bookmarkEnd w:id="142"/>
      <w:bookmarkEnd w:id="143"/>
      <w:bookmarkEnd w:id="144"/>
      <w:bookmarkEnd w:id="145"/>
      <w:bookmarkEnd w:id="146"/>
      <w:bookmarkEnd w:id="147"/>
      <w:bookmarkEnd w:id="148"/>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（一）中选人确定后，采购人应当自中标人确定之日起</w:t>
      </w:r>
      <w:r>
        <w:rPr>
          <w:rFonts w:hint="eastAsia" w:ascii="宋体" w:hAnsi="宋体" w:cs="宋体"/>
          <w:sz w:val="24"/>
          <w:highlight w:val="none"/>
          <w:lang w:val="en-US" w:eastAsia="zh-CN"/>
        </w:rPr>
        <w:t>1</w:t>
      </w:r>
      <w:r>
        <w:rPr>
          <w:rFonts w:hint="eastAsia" w:ascii="宋体" w:hAnsi="宋体" w:cs="宋体"/>
          <w:sz w:val="24"/>
          <w:highlight w:val="none"/>
          <w:lang w:eastAsia="zh-CN"/>
        </w:rPr>
        <w:t>个工作日内，在重庆市垫江县人民政府官网(http://www.cqsdj.gov.cn)政府采购栏目上对中标结果进行公示。中标公示期限为</w:t>
      </w:r>
      <w:r>
        <w:rPr>
          <w:rFonts w:hint="eastAsia" w:ascii="宋体" w:hAnsi="宋体" w:cs="宋体"/>
          <w:sz w:val="24"/>
          <w:highlight w:val="none"/>
          <w:lang w:val="en-US" w:eastAsia="zh-CN"/>
        </w:rPr>
        <w:t>1个工作日</w:t>
      </w:r>
      <w:r>
        <w:rPr>
          <w:rFonts w:hint="eastAsia" w:ascii="宋体" w:hAnsi="宋体" w:cs="宋体"/>
          <w:sz w:val="24"/>
          <w:highlight w:val="none"/>
          <w:lang w:eastAsia="zh-CN"/>
        </w:rPr>
        <w:t>。</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（二）如有投标人对评标结果提出质疑的，在质疑处理完毕后发出中标通知书。</w:t>
      </w:r>
      <w:r>
        <w:rPr>
          <w:rFonts w:hint="eastAsia" w:ascii="宋体" w:hAnsi="宋体" w:cs="宋体"/>
          <w:sz w:val="24"/>
          <w:highlight w:val="none"/>
          <w:lang w:val="en-US" w:eastAsia="zh-CN"/>
        </w:rPr>
        <w:t>采购人</w:t>
      </w:r>
      <w:r>
        <w:rPr>
          <w:rFonts w:hint="eastAsia" w:ascii="宋体" w:hAnsi="宋体" w:cs="宋体"/>
          <w:sz w:val="24"/>
          <w:highlight w:val="none"/>
          <w:lang w:eastAsia="zh-CN"/>
        </w:rPr>
        <w:t>将以书面形式发出《中标通知书》。《中标通知书》一经发出即发生法律效力。中标通知书发出后，采购人改变中标结果，或者中标人放弃中标，应当承担相应的法律责任。</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（三）《中标通知书》将作为签订合同的依据。</w:t>
      </w:r>
    </w:p>
    <w:p>
      <w:pPr>
        <w:snapToGrid w:val="0"/>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）中标人无权向他人转让中标项目</w:t>
      </w:r>
    </w:p>
    <w:p>
      <w:pPr>
        <w:pStyle w:val="5"/>
        <w:spacing w:line="360" w:lineRule="auto"/>
        <w:ind w:firstLine="482" w:firstLineChars="200"/>
        <w:rPr>
          <w:rFonts w:hint="eastAsia" w:ascii="宋体" w:hAnsi="宋体" w:eastAsia="宋体" w:cs="宋体"/>
          <w:color w:val="auto"/>
          <w:kern w:val="0"/>
          <w:sz w:val="24"/>
          <w:szCs w:val="24"/>
          <w:highlight w:val="none"/>
          <w:lang w:val="zh-CN" w:eastAsia="zh-CN"/>
        </w:rPr>
      </w:pPr>
      <w:bookmarkStart w:id="149" w:name="_Toc24529"/>
      <w:bookmarkStart w:id="150" w:name="_Toc102227322"/>
      <w:bookmarkStart w:id="151" w:name="_Toc3104"/>
      <w:bookmarkStart w:id="152" w:name="_Toc342913396"/>
      <w:bookmarkStart w:id="153" w:name="_Toc27101"/>
      <w:bookmarkStart w:id="154" w:name="_Toc30150"/>
      <w:bookmarkStart w:id="155" w:name="_Toc9378"/>
      <w:bookmarkStart w:id="156" w:name="_Toc30080"/>
      <w:bookmarkStart w:id="157" w:name="_Toc23358"/>
      <w:bookmarkStart w:id="158" w:name="_Toc12789059"/>
      <w:bookmarkStart w:id="159" w:name="_Toc11641055"/>
      <w:r>
        <w:rPr>
          <w:rFonts w:hint="eastAsia" w:ascii="宋体" w:hAnsi="宋体" w:eastAsia="宋体" w:cs="宋体"/>
          <w:color w:val="auto"/>
          <w:kern w:val="0"/>
          <w:sz w:val="24"/>
          <w:szCs w:val="24"/>
          <w:highlight w:val="none"/>
          <w:lang w:val="en-US" w:eastAsia="zh-CN"/>
        </w:rPr>
        <w:t>六</w:t>
      </w:r>
      <w:bookmarkEnd w:id="149"/>
      <w:bookmarkStart w:id="160" w:name="_Toc32069"/>
      <w:bookmarkStart w:id="161" w:name="_Toc16944"/>
      <w:bookmarkStart w:id="162" w:name="_Toc7079"/>
      <w:bookmarkStart w:id="163" w:name="_Toc6044"/>
      <w:r>
        <w:rPr>
          <w:rFonts w:hint="eastAsia" w:ascii="宋体" w:hAnsi="宋体" w:eastAsia="宋体" w:cs="宋体"/>
          <w:color w:val="auto"/>
          <w:kern w:val="0"/>
          <w:sz w:val="24"/>
          <w:szCs w:val="24"/>
          <w:highlight w:val="none"/>
          <w:lang w:val="zh-CN" w:eastAsia="zh-CN"/>
        </w:rPr>
        <w:t>、签订</w:t>
      </w:r>
      <w:bookmarkEnd w:id="150"/>
      <w:r>
        <w:rPr>
          <w:rFonts w:hint="eastAsia" w:ascii="宋体" w:hAnsi="宋体" w:eastAsia="宋体" w:cs="宋体"/>
          <w:color w:val="auto"/>
          <w:kern w:val="0"/>
          <w:sz w:val="24"/>
          <w:szCs w:val="24"/>
          <w:highlight w:val="none"/>
          <w:lang w:val="zh-CN" w:eastAsia="zh-CN"/>
        </w:rPr>
        <w:t>合同</w:t>
      </w:r>
      <w:bookmarkEnd w:id="151"/>
      <w:bookmarkEnd w:id="152"/>
      <w:bookmarkEnd w:id="153"/>
      <w:bookmarkEnd w:id="154"/>
      <w:bookmarkEnd w:id="155"/>
      <w:bookmarkEnd w:id="156"/>
      <w:bookmarkEnd w:id="157"/>
      <w:bookmarkEnd w:id="160"/>
      <w:bookmarkEnd w:id="161"/>
      <w:bookmarkEnd w:id="162"/>
      <w:bookmarkEnd w:id="163"/>
    </w:p>
    <w:p>
      <w:pPr>
        <w:spacing w:line="440" w:lineRule="exact"/>
        <w:ind w:firstLine="360" w:firstLineChars="150"/>
        <w:rPr>
          <w:rFonts w:ascii="宋体" w:hAnsi="宋体" w:cs="宋体"/>
          <w:color w:val="auto"/>
          <w:sz w:val="24"/>
        </w:rPr>
      </w:pPr>
      <w:r>
        <w:rPr>
          <w:rFonts w:hint="eastAsia" w:ascii="宋体" w:hAnsi="宋体" w:cs="宋体"/>
          <w:color w:val="auto"/>
          <w:sz w:val="24"/>
        </w:rPr>
        <w:t>（一）</w:t>
      </w:r>
      <w:r>
        <w:rPr>
          <w:rFonts w:hint="eastAsia" w:ascii="宋体" w:hAnsi="宋体" w:cs="宋体"/>
          <w:color w:val="auto"/>
          <w:sz w:val="24"/>
          <w:lang w:eastAsia="zh-CN"/>
        </w:rPr>
        <w:t>采购人</w:t>
      </w:r>
      <w:r>
        <w:rPr>
          <w:rFonts w:hint="eastAsia" w:ascii="宋体" w:hAnsi="宋体" w:cs="宋体"/>
          <w:color w:val="auto"/>
          <w:sz w:val="24"/>
        </w:rPr>
        <w:t>自</w:t>
      </w:r>
      <w:r>
        <w:rPr>
          <w:rFonts w:hint="eastAsia" w:ascii="宋体" w:hAnsi="宋体" w:cs="宋体"/>
          <w:color w:val="auto"/>
          <w:sz w:val="24"/>
          <w:highlight w:val="none"/>
          <w:lang w:eastAsia="zh-CN"/>
        </w:rPr>
        <w:t>中标通知书</w:t>
      </w:r>
      <w:r>
        <w:rPr>
          <w:rFonts w:hint="eastAsia" w:ascii="宋体" w:hAnsi="宋体" w:cs="宋体"/>
          <w:color w:val="auto"/>
          <w:sz w:val="24"/>
          <w:highlight w:val="none"/>
          <w:lang w:val="en-US" w:eastAsia="zh-CN"/>
        </w:rPr>
        <w:t>发出</w:t>
      </w:r>
      <w:r>
        <w:rPr>
          <w:rFonts w:hint="eastAsia" w:ascii="宋体" w:hAnsi="宋体" w:cs="宋体"/>
          <w:color w:val="auto"/>
          <w:sz w:val="24"/>
          <w:lang w:val="en-US" w:eastAsia="zh-CN"/>
        </w:rPr>
        <w:t>之日起10日内，</w:t>
      </w:r>
      <w:r>
        <w:rPr>
          <w:rFonts w:hint="eastAsia" w:ascii="宋体" w:hAnsi="宋体" w:cs="宋体"/>
          <w:color w:val="auto"/>
          <w:sz w:val="24"/>
        </w:rPr>
        <w:t>按照</w:t>
      </w:r>
      <w:r>
        <w:rPr>
          <w:rFonts w:hint="eastAsia" w:ascii="宋体" w:hAnsi="宋体" w:cs="宋体"/>
          <w:color w:val="auto"/>
          <w:sz w:val="24"/>
          <w:lang w:eastAsia="zh-CN"/>
        </w:rPr>
        <w:t>竞争性比选文件</w:t>
      </w:r>
      <w:r>
        <w:rPr>
          <w:rFonts w:hint="eastAsia" w:ascii="宋体" w:hAnsi="宋体" w:cs="宋体"/>
          <w:color w:val="auto"/>
          <w:sz w:val="24"/>
        </w:rPr>
        <w:t>和</w:t>
      </w:r>
      <w:r>
        <w:rPr>
          <w:rFonts w:hint="eastAsia" w:ascii="宋体" w:hAnsi="宋体" w:cs="宋体"/>
          <w:color w:val="auto"/>
          <w:sz w:val="24"/>
          <w:lang w:eastAsia="zh-CN"/>
        </w:rPr>
        <w:t>中标供应商</w:t>
      </w:r>
      <w:r>
        <w:rPr>
          <w:rFonts w:hint="eastAsia" w:ascii="宋体" w:hAnsi="宋体" w:cs="宋体"/>
          <w:color w:val="auto"/>
          <w:sz w:val="24"/>
        </w:rPr>
        <w:t>响应文件的约定，与</w:t>
      </w:r>
      <w:r>
        <w:rPr>
          <w:rFonts w:hint="eastAsia" w:ascii="宋体" w:hAnsi="宋体" w:cs="宋体"/>
          <w:color w:val="auto"/>
          <w:sz w:val="24"/>
          <w:lang w:eastAsia="zh-CN"/>
        </w:rPr>
        <w:t>中标供应商</w:t>
      </w:r>
      <w:r>
        <w:rPr>
          <w:rFonts w:hint="eastAsia" w:ascii="宋体" w:hAnsi="宋体" w:cs="宋体"/>
          <w:color w:val="auto"/>
          <w:sz w:val="24"/>
        </w:rPr>
        <w:t>签订书面合同。所签订的合同不得对</w:t>
      </w:r>
      <w:r>
        <w:rPr>
          <w:rFonts w:hint="eastAsia" w:ascii="宋体" w:hAnsi="宋体" w:cs="宋体"/>
          <w:color w:val="auto"/>
          <w:sz w:val="24"/>
          <w:lang w:eastAsia="zh-CN"/>
        </w:rPr>
        <w:t>竞争性比选文件</w:t>
      </w:r>
      <w:r>
        <w:rPr>
          <w:rFonts w:hint="eastAsia" w:ascii="宋体" w:hAnsi="宋体" w:cs="宋体"/>
          <w:color w:val="auto"/>
          <w:sz w:val="24"/>
        </w:rPr>
        <w:t>和供应商的响应文件作实质性修改。</w:t>
      </w:r>
    </w:p>
    <w:p>
      <w:pPr>
        <w:spacing w:line="440" w:lineRule="exact"/>
        <w:ind w:firstLine="360" w:firstLineChars="150"/>
        <w:rPr>
          <w:rFonts w:ascii="宋体" w:hAnsi="宋体" w:cs="宋体"/>
          <w:sz w:val="24"/>
        </w:rPr>
      </w:pPr>
      <w:r>
        <w:rPr>
          <w:rFonts w:hint="eastAsia" w:ascii="宋体" w:hAnsi="宋体" w:cs="宋体"/>
          <w:sz w:val="24"/>
        </w:rPr>
        <w:t>（二）</w:t>
      </w:r>
      <w:r>
        <w:rPr>
          <w:rFonts w:hint="eastAsia" w:ascii="宋体" w:hAnsi="宋体" w:cs="宋体"/>
          <w:sz w:val="24"/>
          <w:lang w:eastAsia="zh-CN"/>
        </w:rPr>
        <w:t>竞争性比选文件、</w:t>
      </w:r>
      <w:r>
        <w:rPr>
          <w:rFonts w:hint="eastAsia" w:ascii="宋体" w:hAnsi="宋体" w:cs="宋体"/>
          <w:sz w:val="24"/>
        </w:rPr>
        <w:t>供应商的响应文件及澄清文件等，均为签订采购合同的依据。</w:t>
      </w:r>
    </w:p>
    <w:p>
      <w:pPr>
        <w:spacing w:line="440" w:lineRule="exact"/>
        <w:ind w:firstLine="360" w:firstLineChars="150"/>
        <w:rPr>
          <w:rFonts w:ascii="宋体" w:hAnsi="宋体" w:cs="宋体"/>
          <w:sz w:val="24"/>
        </w:rPr>
      </w:pPr>
      <w:r>
        <w:rPr>
          <w:rFonts w:hint="eastAsia" w:ascii="宋体" w:hAnsi="宋体" w:cs="宋体"/>
          <w:sz w:val="24"/>
        </w:rPr>
        <w:t>（三）合同生效条款由供需双方约定，法律</w:t>
      </w:r>
      <w:r>
        <w:rPr>
          <w:rFonts w:hint="eastAsia" w:ascii="宋体" w:hAnsi="宋体" w:cs="宋体"/>
          <w:sz w:val="24"/>
          <w:lang w:eastAsia="zh-CN"/>
        </w:rPr>
        <w:t>、</w:t>
      </w:r>
      <w:r>
        <w:rPr>
          <w:rFonts w:hint="eastAsia" w:ascii="宋体" w:hAnsi="宋体" w:cs="宋体"/>
          <w:sz w:val="24"/>
        </w:rPr>
        <w:t>行政法规规定应当办理批准</w:t>
      </w:r>
      <w:r>
        <w:rPr>
          <w:rFonts w:hint="eastAsia" w:ascii="宋体" w:hAnsi="宋体" w:cs="宋体"/>
          <w:sz w:val="24"/>
          <w:lang w:eastAsia="zh-CN"/>
        </w:rPr>
        <w:t>、</w:t>
      </w:r>
      <w:r>
        <w:rPr>
          <w:rFonts w:hint="eastAsia" w:ascii="宋体" w:hAnsi="宋体" w:cs="宋体"/>
          <w:sz w:val="24"/>
        </w:rPr>
        <w:t>登记等手续后生效的合同，依照其规定。</w:t>
      </w:r>
    </w:p>
    <w:p>
      <w:pPr>
        <w:spacing w:line="360" w:lineRule="auto"/>
        <w:ind w:firstLine="360" w:firstLineChars="150"/>
        <w:rPr>
          <w:rFonts w:ascii="宋体" w:hAnsi="宋体" w:cs="宋体"/>
          <w:sz w:val="24"/>
        </w:rPr>
      </w:pPr>
    </w:p>
    <w:p>
      <w:pPr>
        <w:pStyle w:val="45"/>
        <w:ind w:left="-765"/>
        <w:rPr>
          <w:rFonts w:hint="eastAsia" w:ascii="宋体" w:hAnsi="宋体" w:cs="宋体"/>
          <w:sz w:val="36"/>
          <w:szCs w:val="30"/>
        </w:rPr>
      </w:pPr>
      <w:r>
        <w:rPr>
          <w:rFonts w:hint="eastAsia" w:ascii="宋体" w:hAnsi="宋体" w:cs="宋体"/>
          <w:sz w:val="36"/>
          <w:szCs w:val="30"/>
        </w:rPr>
        <w:br w:type="page"/>
      </w:r>
      <w:bookmarkStart w:id="164" w:name="_Toc27951"/>
      <w:bookmarkStart w:id="165" w:name="_Toc29688"/>
      <w:bookmarkStart w:id="166" w:name="_Toc23904"/>
      <w:bookmarkStart w:id="167" w:name="_Toc24955"/>
      <w:bookmarkStart w:id="168" w:name="_Toc16093"/>
      <w:bookmarkStart w:id="169" w:name="_Toc32008"/>
    </w:p>
    <w:p>
      <w:pPr>
        <w:pStyle w:val="45"/>
        <w:outlineLvl w:val="0"/>
        <w:rPr>
          <w:rStyle w:val="48"/>
          <w:rFonts w:hint="eastAsia" w:ascii="宋体" w:hAnsi="宋体" w:eastAsia="宋体" w:cs="宋体"/>
          <w:b/>
          <w:kern w:val="0"/>
        </w:rPr>
      </w:pPr>
      <w:bookmarkStart w:id="170" w:name="_Toc3956"/>
      <w:r>
        <w:rPr>
          <w:rStyle w:val="48"/>
          <w:rFonts w:hint="eastAsia" w:ascii="宋体" w:hAnsi="宋体" w:eastAsia="宋体" w:cs="宋体"/>
          <w:b/>
          <w:kern w:val="0"/>
        </w:rPr>
        <w:t xml:space="preserve">第六篇  </w:t>
      </w:r>
      <w:bookmarkEnd w:id="158"/>
      <w:bookmarkEnd w:id="159"/>
      <w:bookmarkEnd w:id="164"/>
      <w:bookmarkEnd w:id="165"/>
      <w:bookmarkEnd w:id="166"/>
      <w:bookmarkEnd w:id="167"/>
      <w:bookmarkEnd w:id="168"/>
      <w:bookmarkEnd w:id="169"/>
      <w:r>
        <w:rPr>
          <w:rStyle w:val="48"/>
          <w:rFonts w:hint="eastAsia" w:ascii="宋体" w:hAnsi="宋体" w:eastAsia="宋体" w:cs="宋体"/>
          <w:b/>
          <w:kern w:val="0"/>
          <w:lang w:val="en-US" w:eastAsia="zh-CN"/>
        </w:rPr>
        <w:t>合同条款及格式</w:t>
      </w:r>
      <w:bookmarkEnd w:id="170"/>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本合同为参考版本。</w:t>
      </w:r>
    </w:p>
    <w:p>
      <w:pPr>
        <w:snapToGrid w:val="0"/>
        <w:spacing w:line="380" w:lineRule="exact"/>
        <w:jc w:val="center"/>
        <w:rPr>
          <w:rFonts w:hint="eastAsia" w:ascii="宋体" w:hAnsi="宋体" w:eastAsia="宋体" w:cs="宋体"/>
          <w:b/>
          <w:bCs/>
          <w:color w:val="auto"/>
          <w:spacing w:val="-14"/>
          <w:sz w:val="24"/>
          <w:szCs w:val="24"/>
        </w:rPr>
      </w:pPr>
      <w:bookmarkStart w:id="171" w:name="_Hlt41879464"/>
      <w:bookmarkEnd w:id="171"/>
      <w:r>
        <w:rPr>
          <w:rFonts w:hint="eastAsia" w:ascii="宋体" w:hAnsi="宋体" w:eastAsia="宋体" w:cs="宋体"/>
          <w:b/>
          <w:bCs/>
          <w:color w:val="auto"/>
          <w:spacing w:val="-14"/>
          <w:sz w:val="24"/>
          <w:szCs w:val="24"/>
        </w:rPr>
        <w:t>采购合同（参考格式）</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甲方（需方）：___________________________      计价单位：____________</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乙方（供方）：___________________________      计量单位：_____________</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经双方协商一致，达成以下购销合同：</w:t>
      </w:r>
    </w:p>
    <w:tbl>
      <w:tblPr>
        <w:tblStyle w:val="2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6"/>
        <w:gridCol w:w="1047"/>
        <w:gridCol w:w="904"/>
        <w:gridCol w:w="352"/>
        <w:gridCol w:w="777"/>
        <w:gridCol w:w="1537"/>
        <w:gridCol w:w="2158"/>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65" w:hRule="atLeast"/>
          <w:jc w:val="center"/>
        </w:trPr>
        <w:tc>
          <w:tcPr>
            <w:tcW w:w="2606"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047"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904"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129" w:type="dxa"/>
            <w:gridSpan w:val="2"/>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537"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交货时间</w:t>
            </w:r>
          </w:p>
        </w:tc>
        <w:tc>
          <w:tcPr>
            <w:tcW w:w="2158"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0" w:hRule="atLeast"/>
          <w:jc w:val="center"/>
        </w:trPr>
        <w:tc>
          <w:tcPr>
            <w:tcW w:w="2606" w:type="dxa"/>
            <w:noWrap w:val="0"/>
            <w:vAlign w:val="center"/>
          </w:tcPr>
          <w:p>
            <w:pPr>
              <w:spacing w:line="240" w:lineRule="auto"/>
              <w:jc w:val="center"/>
              <w:rPr>
                <w:rFonts w:hint="eastAsia" w:ascii="宋体" w:hAnsi="宋体" w:eastAsia="宋体" w:cs="宋体"/>
                <w:color w:val="auto"/>
                <w:sz w:val="24"/>
                <w:szCs w:val="24"/>
              </w:rPr>
            </w:pPr>
          </w:p>
        </w:tc>
        <w:tc>
          <w:tcPr>
            <w:tcW w:w="1047" w:type="dxa"/>
            <w:noWrap w:val="0"/>
            <w:vAlign w:val="center"/>
          </w:tcPr>
          <w:p>
            <w:pPr>
              <w:spacing w:line="240" w:lineRule="auto"/>
              <w:jc w:val="center"/>
              <w:rPr>
                <w:rFonts w:hint="eastAsia" w:ascii="宋体" w:hAnsi="宋体" w:eastAsia="宋体" w:cs="宋体"/>
                <w:color w:val="auto"/>
                <w:sz w:val="24"/>
                <w:szCs w:val="24"/>
              </w:rPr>
            </w:pPr>
          </w:p>
        </w:tc>
        <w:tc>
          <w:tcPr>
            <w:tcW w:w="904" w:type="dxa"/>
            <w:noWrap w:val="0"/>
            <w:vAlign w:val="center"/>
          </w:tcPr>
          <w:p>
            <w:pPr>
              <w:spacing w:line="240" w:lineRule="auto"/>
              <w:jc w:val="center"/>
              <w:rPr>
                <w:rFonts w:hint="eastAsia" w:ascii="宋体" w:hAnsi="宋体" w:eastAsia="宋体" w:cs="宋体"/>
                <w:color w:val="auto"/>
                <w:sz w:val="24"/>
                <w:szCs w:val="24"/>
              </w:rPr>
            </w:pPr>
          </w:p>
        </w:tc>
        <w:tc>
          <w:tcPr>
            <w:tcW w:w="1129" w:type="dxa"/>
            <w:gridSpan w:val="2"/>
            <w:noWrap w:val="0"/>
            <w:vAlign w:val="center"/>
          </w:tcPr>
          <w:p>
            <w:pPr>
              <w:spacing w:line="240" w:lineRule="auto"/>
              <w:jc w:val="center"/>
              <w:rPr>
                <w:rFonts w:hint="eastAsia" w:ascii="宋体" w:hAnsi="宋体" w:eastAsia="宋体" w:cs="宋体"/>
                <w:color w:val="auto"/>
                <w:sz w:val="24"/>
                <w:szCs w:val="24"/>
              </w:rPr>
            </w:pPr>
          </w:p>
        </w:tc>
        <w:tc>
          <w:tcPr>
            <w:tcW w:w="1537" w:type="dxa"/>
            <w:noWrap w:val="0"/>
            <w:vAlign w:val="center"/>
          </w:tcPr>
          <w:p>
            <w:pPr>
              <w:spacing w:line="240" w:lineRule="auto"/>
              <w:jc w:val="center"/>
              <w:rPr>
                <w:rFonts w:hint="eastAsia" w:ascii="宋体" w:hAnsi="宋体" w:eastAsia="宋体" w:cs="宋体"/>
                <w:color w:val="auto"/>
                <w:sz w:val="24"/>
                <w:szCs w:val="24"/>
              </w:rPr>
            </w:pPr>
          </w:p>
        </w:tc>
        <w:tc>
          <w:tcPr>
            <w:tcW w:w="2158" w:type="dxa"/>
            <w:noWrap w:val="0"/>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0" w:hRule="atLeast"/>
          <w:jc w:val="center"/>
        </w:trPr>
        <w:tc>
          <w:tcPr>
            <w:tcW w:w="2606" w:type="dxa"/>
            <w:noWrap w:val="0"/>
            <w:vAlign w:val="center"/>
          </w:tcPr>
          <w:p>
            <w:pPr>
              <w:spacing w:line="240" w:lineRule="auto"/>
              <w:jc w:val="center"/>
              <w:rPr>
                <w:rFonts w:hint="eastAsia" w:ascii="宋体" w:hAnsi="宋体" w:eastAsia="宋体" w:cs="宋体"/>
                <w:color w:val="auto"/>
                <w:sz w:val="24"/>
                <w:szCs w:val="24"/>
              </w:rPr>
            </w:pPr>
          </w:p>
        </w:tc>
        <w:tc>
          <w:tcPr>
            <w:tcW w:w="1047" w:type="dxa"/>
            <w:noWrap w:val="0"/>
            <w:vAlign w:val="center"/>
          </w:tcPr>
          <w:p>
            <w:pPr>
              <w:spacing w:line="240" w:lineRule="auto"/>
              <w:jc w:val="center"/>
              <w:rPr>
                <w:rFonts w:hint="eastAsia" w:ascii="宋体" w:hAnsi="宋体" w:eastAsia="宋体" w:cs="宋体"/>
                <w:color w:val="auto"/>
                <w:sz w:val="24"/>
                <w:szCs w:val="24"/>
              </w:rPr>
            </w:pPr>
          </w:p>
        </w:tc>
        <w:tc>
          <w:tcPr>
            <w:tcW w:w="904" w:type="dxa"/>
            <w:noWrap w:val="0"/>
            <w:vAlign w:val="center"/>
          </w:tcPr>
          <w:p>
            <w:pPr>
              <w:spacing w:line="240" w:lineRule="auto"/>
              <w:jc w:val="center"/>
              <w:rPr>
                <w:rFonts w:hint="eastAsia" w:ascii="宋体" w:hAnsi="宋体" w:eastAsia="宋体" w:cs="宋体"/>
                <w:color w:val="auto"/>
                <w:sz w:val="24"/>
                <w:szCs w:val="24"/>
              </w:rPr>
            </w:pPr>
          </w:p>
        </w:tc>
        <w:tc>
          <w:tcPr>
            <w:tcW w:w="1129" w:type="dxa"/>
            <w:gridSpan w:val="2"/>
            <w:noWrap w:val="0"/>
            <w:vAlign w:val="center"/>
          </w:tcPr>
          <w:p>
            <w:pPr>
              <w:spacing w:line="240" w:lineRule="auto"/>
              <w:jc w:val="center"/>
              <w:rPr>
                <w:rFonts w:hint="eastAsia" w:ascii="宋体" w:hAnsi="宋体" w:eastAsia="宋体" w:cs="宋体"/>
                <w:color w:val="auto"/>
                <w:sz w:val="24"/>
                <w:szCs w:val="24"/>
              </w:rPr>
            </w:pPr>
          </w:p>
        </w:tc>
        <w:tc>
          <w:tcPr>
            <w:tcW w:w="1537" w:type="dxa"/>
            <w:noWrap w:val="0"/>
            <w:vAlign w:val="center"/>
          </w:tcPr>
          <w:p>
            <w:pPr>
              <w:spacing w:line="240" w:lineRule="auto"/>
              <w:jc w:val="center"/>
              <w:rPr>
                <w:rFonts w:hint="eastAsia" w:ascii="宋体" w:hAnsi="宋体" w:eastAsia="宋体" w:cs="宋体"/>
                <w:color w:val="auto"/>
                <w:sz w:val="24"/>
                <w:szCs w:val="24"/>
              </w:rPr>
            </w:pPr>
          </w:p>
        </w:tc>
        <w:tc>
          <w:tcPr>
            <w:tcW w:w="2158" w:type="dxa"/>
            <w:noWrap w:val="0"/>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74" w:hRule="atLeast"/>
          <w:jc w:val="center"/>
        </w:trPr>
        <w:tc>
          <w:tcPr>
            <w:tcW w:w="9381" w:type="dxa"/>
            <w:gridSpan w:val="7"/>
            <w:noWrap w:val="0"/>
            <w:vAlign w:val="center"/>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47" w:hRule="atLeast"/>
          <w:jc w:val="center"/>
        </w:trPr>
        <w:tc>
          <w:tcPr>
            <w:tcW w:w="9381" w:type="dxa"/>
            <w:gridSpan w:val="7"/>
            <w:noWrap w:val="0"/>
            <w:vAlign w:val="center"/>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86" w:hRule="atLeast"/>
          <w:jc w:val="center"/>
        </w:trPr>
        <w:tc>
          <w:tcPr>
            <w:tcW w:w="9381" w:type="dxa"/>
            <w:gridSpan w:val="7"/>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96" w:hRule="atLeast"/>
          <w:jc w:val="center"/>
        </w:trPr>
        <w:tc>
          <w:tcPr>
            <w:tcW w:w="9381" w:type="dxa"/>
            <w:gridSpan w:val="7"/>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610" w:hRule="atLeast"/>
          <w:jc w:val="center"/>
        </w:trPr>
        <w:tc>
          <w:tcPr>
            <w:tcW w:w="9381" w:type="dxa"/>
            <w:gridSpan w:val="7"/>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付款方式：</w:t>
            </w:r>
          </w:p>
          <w:p>
            <w:pPr>
              <w:spacing w:line="24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00" w:type="dxa"/>
            <w:gridSpan w:val="8"/>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违约责任：</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按《</w:t>
            </w:r>
            <w:r>
              <w:rPr>
                <w:rFonts w:hint="eastAsia" w:ascii="宋体" w:hAnsi="宋体" w:eastAsia="宋体" w:cs="宋体"/>
                <w:bCs/>
                <w:color w:val="auto"/>
                <w:spacing w:val="-14"/>
                <w:sz w:val="24"/>
                <w:szCs w:val="24"/>
              </w:rPr>
              <w:t>中华人民共和国民法典</w:t>
            </w:r>
            <w:r>
              <w:rPr>
                <w:rFonts w:hint="eastAsia" w:ascii="宋体" w:hAnsi="宋体" w:eastAsia="宋体" w:cs="宋体"/>
                <w:color w:val="auto"/>
                <w:sz w:val="24"/>
                <w:szCs w:val="24"/>
              </w:rPr>
              <w:t>》执行，或按双方约定。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9400" w:type="dxa"/>
            <w:gridSpan w:val="8"/>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其他约定事项：</w:t>
            </w:r>
          </w:p>
          <w:p>
            <w:pPr>
              <w:tabs>
                <w:tab w:val="left" w:pos="360"/>
              </w:tabs>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竞争性比选文件</w:t>
            </w:r>
            <w:r>
              <w:rPr>
                <w:rFonts w:hint="eastAsia" w:ascii="宋体" w:hAnsi="宋体" w:eastAsia="宋体" w:cs="宋体"/>
                <w:color w:val="auto"/>
                <w:sz w:val="24"/>
                <w:szCs w:val="24"/>
              </w:rPr>
              <w:t>及其补遗文件</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和承诺是本合同不可分割的部分。</w:t>
            </w:r>
          </w:p>
          <w:p>
            <w:pPr>
              <w:tabs>
                <w:tab w:val="left" w:pos="360"/>
              </w:tabs>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2.本合同如发生争议由双方协商解决，协商不成向需方所在人民法院</w:t>
            </w:r>
            <w:r>
              <w:rPr>
                <w:rFonts w:hint="eastAsia" w:ascii="宋体" w:hAnsi="宋体" w:cs="宋体"/>
                <w:color w:val="auto"/>
                <w:sz w:val="24"/>
                <w:szCs w:val="24"/>
                <w:lang w:eastAsia="zh-CN"/>
              </w:rPr>
              <w:t>提起</w:t>
            </w:r>
            <w:r>
              <w:rPr>
                <w:rFonts w:hint="eastAsia" w:ascii="宋体" w:hAnsi="宋体" w:eastAsia="宋体" w:cs="宋体"/>
                <w:color w:val="auto"/>
                <w:sz w:val="24"/>
                <w:szCs w:val="24"/>
              </w:rPr>
              <w:t>诉讼。</w:t>
            </w:r>
          </w:p>
          <w:p>
            <w:pPr>
              <w:tabs>
                <w:tab w:val="left" w:pos="360"/>
              </w:tabs>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3.本合同一式__份， 需方__份，供方__份，具同等法律效力。</w:t>
            </w:r>
          </w:p>
          <w:p>
            <w:pPr>
              <w:tabs>
                <w:tab w:val="left" w:pos="360"/>
              </w:tabs>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4909" w:type="dxa"/>
            <w:gridSpan w:val="4"/>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需方：</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tc>
        <w:tc>
          <w:tcPr>
            <w:tcW w:w="4491" w:type="dxa"/>
            <w:gridSpan w:val="4"/>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供方：</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传真：</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账号：</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00" w:type="dxa"/>
            <w:gridSpan w:val="8"/>
            <w:noWrap w:val="0"/>
            <w:vAlign w:val="top"/>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spacing w:line="240" w:lineRule="auto"/>
              <w:rPr>
                <w:rFonts w:hint="eastAsia" w:ascii="宋体" w:hAnsi="宋体" w:eastAsia="宋体" w:cs="宋体"/>
                <w:color w:val="auto"/>
                <w:sz w:val="24"/>
                <w:szCs w:val="24"/>
              </w:rPr>
            </w:pPr>
          </w:p>
        </w:tc>
      </w:tr>
    </w:tbl>
    <w:p>
      <w:pPr>
        <w:rPr>
          <w:rFonts w:hint="eastAsia" w:ascii="宋体" w:hAnsi="宋体" w:eastAsia="宋体" w:cs="宋体"/>
          <w:sz w:val="24"/>
          <w:szCs w:val="24"/>
        </w:rPr>
      </w:pPr>
      <w:r>
        <w:rPr>
          <w:rFonts w:hint="eastAsia" w:ascii="宋体" w:hAnsi="宋体" w:eastAsia="宋体" w:cs="宋体"/>
          <w:color w:val="auto"/>
          <w:sz w:val="24"/>
          <w:szCs w:val="24"/>
        </w:rPr>
        <w:t>签约时间：           年   月   日      签约地点</w:t>
      </w:r>
      <w:r>
        <w:rPr>
          <w:rFonts w:hint="eastAsia" w:ascii="宋体" w:hAnsi="宋体" w:eastAsia="宋体" w:cs="宋体"/>
          <w:sz w:val="24"/>
          <w:szCs w:val="24"/>
        </w:rPr>
        <w:t>：</w:t>
      </w:r>
    </w:p>
    <w:p>
      <w:pPr>
        <w:rPr>
          <w:rStyle w:val="48"/>
          <w:rFonts w:ascii="宋体" w:hAnsi="宋体" w:cs="宋体"/>
          <w:b/>
          <w:kern w:val="0"/>
        </w:rPr>
      </w:pPr>
    </w:p>
    <w:p>
      <w:pPr>
        <w:rPr>
          <w:rStyle w:val="48"/>
          <w:rFonts w:ascii="宋体" w:hAnsi="宋体" w:cs="宋体"/>
          <w:b/>
          <w:kern w:val="0"/>
        </w:rPr>
      </w:pPr>
      <w:r>
        <w:rPr>
          <w:rStyle w:val="48"/>
          <w:rFonts w:hint="eastAsia" w:ascii="宋体" w:hAnsi="宋体" w:cs="宋体"/>
          <w:b/>
          <w:kern w:val="0"/>
        </w:rPr>
        <w:br w:type="page"/>
      </w:r>
    </w:p>
    <w:p>
      <w:pPr>
        <w:pStyle w:val="45"/>
        <w:outlineLvl w:val="0"/>
        <w:rPr>
          <w:rStyle w:val="48"/>
          <w:rFonts w:ascii="宋体" w:hAnsi="宋体" w:eastAsia="宋体" w:cs="宋体"/>
          <w:b/>
          <w:kern w:val="0"/>
        </w:rPr>
      </w:pPr>
      <w:bookmarkStart w:id="172" w:name="_Toc5519"/>
      <w:r>
        <w:rPr>
          <w:rStyle w:val="48"/>
          <w:rFonts w:hint="eastAsia" w:ascii="宋体" w:hAnsi="宋体" w:eastAsia="宋体" w:cs="宋体"/>
          <w:b/>
          <w:kern w:val="0"/>
        </w:rPr>
        <w:t>第七篇 响应文件编制要求</w:t>
      </w:r>
      <w:bookmarkEnd w:id="172"/>
    </w:p>
    <w:p>
      <w:pPr>
        <w:spacing w:line="360" w:lineRule="auto"/>
        <w:ind w:left="420" w:leftChars="200" w:firstLine="562"/>
        <w:rPr>
          <w:rFonts w:hint="eastAsia" w:ascii="宋体" w:hAnsi="宋体"/>
          <w:b/>
          <w:bCs/>
          <w:color w:val="000000"/>
          <w:szCs w:val="28"/>
        </w:rPr>
      </w:pPr>
      <w:bookmarkStart w:id="173" w:name="_Toc9905"/>
      <w:bookmarkEnd w:id="173"/>
    </w:p>
    <w:p>
      <w:pPr>
        <w:spacing w:line="360" w:lineRule="auto"/>
        <w:ind w:left="420" w:leftChars="200" w:firstLine="562"/>
        <w:rPr>
          <w:rFonts w:hint="eastAsia" w:ascii="宋体" w:hAnsi="宋体"/>
          <w:b/>
          <w:bCs/>
          <w:color w:val="000000"/>
          <w:szCs w:val="28"/>
        </w:rPr>
      </w:pPr>
    </w:p>
    <w:p>
      <w:pPr>
        <w:spacing w:line="360" w:lineRule="auto"/>
        <w:ind w:left="420" w:leftChars="200" w:firstLine="562"/>
        <w:rPr>
          <w:rFonts w:hint="eastAsia" w:ascii="宋体" w:hAnsi="宋体"/>
          <w:b/>
          <w:bCs/>
          <w:color w:val="000000"/>
          <w:sz w:val="28"/>
          <w:szCs w:val="28"/>
        </w:rPr>
      </w:pPr>
      <w:r>
        <w:rPr>
          <w:rFonts w:hint="eastAsia" w:ascii="宋体" w:hAnsi="宋体"/>
          <w:b/>
          <w:bCs/>
          <w:color w:val="000000"/>
          <w:sz w:val="28"/>
          <w:szCs w:val="28"/>
        </w:rPr>
        <w:t>项目名称：</w:t>
      </w:r>
    </w:p>
    <w:p>
      <w:pPr>
        <w:spacing w:line="360" w:lineRule="auto"/>
        <w:ind w:firstLine="480"/>
        <w:rPr>
          <w:rFonts w:hint="eastAsia" w:ascii="宋体" w:hAnsi="宋体"/>
          <w:color w:val="000000"/>
        </w:rPr>
      </w:pPr>
      <w:bookmarkStart w:id="174" w:name="_Toc3550"/>
      <w:bookmarkEnd w:id="174"/>
    </w:p>
    <w:p>
      <w:pPr>
        <w:pStyle w:val="90"/>
        <w:rPr>
          <w:rFonts w:hint="eastAsia" w:ascii="宋体" w:hAnsi="宋体" w:eastAsia="宋体"/>
          <w:b/>
          <w:bCs/>
          <w:color w:val="000000"/>
          <w:sz w:val="96"/>
          <w:szCs w:val="96"/>
        </w:rPr>
      </w:pPr>
    </w:p>
    <w:p>
      <w:pPr>
        <w:pStyle w:val="91"/>
        <w:ind w:left="0"/>
        <w:jc w:val="center"/>
        <w:rPr>
          <w:rFonts w:hint="eastAsia" w:ascii="宋体" w:hAnsi="宋体"/>
          <w:color w:val="000000"/>
        </w:rPr>
      </w:pPr>
      <w:r>
        <w:rPr>
          <w:rFonts w:hint="eastAsia" w:ascii="宋体" w:hAnsi="宋体"/>
          <w:color w:val="000000"/>
        </w:rPr>
        <w:t>（正本/副本）</w:t>
      </w:r>
    </w:p>
    <w:p>
      <w:pPr>
        <w:jc w:val="center"/>
        <w:rPr>
          <w:rFonts w:hint="eastAsia" w:ascii="宋体" w:hAnsi="宋体"/>
          <w:b/>
          <w:bCs/>
          <w:color w:val="000000"/>
          <w:sz w:val="96"/>
          <w:szCs w:val="96"/>
        </w:rPr>
      </w:pPr>
      <w:r>
        <w:rPr>
          <w:rFonts w:hint="eastAsia" w:ascii="宋体" w:hAnsi="宋体"/>
          <w:b/>
          <w:bCs/>
          <w:color w:val="000000"/>
          <w:sz w:val="96"/>
          <w:szCs w:val="96"/>
        </w:rPr>
        <w:t>响</w:t>
      </w:r>
    </w:p>
    <w:p>
      <w:pPr>
        <w:jc w:val="center"/>
        <w:rPr>
          <w:rFonts w:hint="eastAsia" w:ascii="宋体" w:hAnsi="宋体"/>
          <w:b/>
          <w:bCs/>
          <w:color w:val="000000"/>
          <w:sz w:val="96"/>
          <w:szCs w:val="96"/>
        </w:rPr>
      </w:pPr>
      <w:r>
        <w:rPr>
          <w:rFonts w:hint="eastAsia" w:ascii="宋体" w:hAnsi="宋体"/>
          <w:b/>
          <w:bCs/>
          <w:color w:val="000000"/>
          <w:sz w:val="96"/>
          <w:szCs w:val="96"/>
        </w:rPr>
        <w:t>应</w:t>
      </w:r>
    </w:p>
    <w:p>
      <w:pPr>
        <w:jc w:val="center"/>
        <w:rPr>
          <w:rFonts w:hint="eastAsia" w:ascii="宋体" w:hAnsi="宋体"/>
          <w:b/>
          <w:bCs/>
          <w:color w:val="000000"/>
          <w:sz w:val="96"/>
          <w:szCs w:val="96"/>
        </w:rPr>
      </w:pPr>
      <w:r>
        <w:rPr>
          <w:rFonts w:hint="eastAsia" w:ascii="宋体" w:hAnsi="宋体"/>
          <w:b/>
          <w:bCs/>
          <w:color w:val="000000"/>
          <w:sz w:val="96"/>
          <w:szCs w:val="96"/>
        </w:rPr>
        <w:t>文</w:t>
      </w:r>
    </w:p>
    <w:p>
      <w:pPr>
        <w:jc w:val="center"/>
        <w:rPr>
          <w:rFonts w:hint="eastAsia" w:ascii="宋体" w:hAnsi="宋体"/>
          <w:b/>
          <w:bCs/>
          <w:color w:val="000000"/>
          <w:sz w:val="96"/>
          <w:szCs w:val="96"/>
        </w:rPr>
      </w:pPr>
      <w:r>
        <w:rPr>
          <w:rFonts w:hint="eastAsia" w:ascii="宋体" w:hAnsi="宋体"/>
          <w:b/>
          <w:bCs/>
          <w:color w:val="000000"/>
          <w:sz w:val="96"/>
          <w:szCs w:val="96"/>
        </w:rPr>
        <w:t>件</w:t>
      </w:r>
    </w:p>
    <w:p>
      <w:pPr>
        <w:spacing w:line="360" w:lineRule="auto"/>
        <w:rPr>
          <w:rFonts w:hint="eastAsia" w:ascii="宋体" w:hAnsi="宋体"/>
          <w:b/>
          <w:bCs/>
          <w:color w:val="000000"/>
          <w:szCs w:val="28"/>
        </w:rPr>
      </w:pPr>
    </w:p>
    <w:p>
      <w:pPr>
        <w:spacing w:line="360" w:lineRule="auto"/>
        <w:rPr>
          <w:rFonts w:hint="eastAsia" w:ascii="宋体" w:hAnsi="宋体"/>
          <w:b/>
          <w:bCs/>
          <w:color w:val="000000"/>
          <w:szCs w:val="28"/>
        </w:rPr>
      </w:pPr>
    </w:p>
    <w:p>
      <w:pPr>
        <w:pStyle w:val="3"/>
        <w:rPr>
          <w:rFonts w:hint="eastAsia"/>
        </w:rPr>
      </w:pPr>
    </w:p>
    <w:p>
      <w:pPr>
        <w:spacing w:line="360" w:lineRule="auto"/>
        <w:ind w:firstLine="1124" w:firstLineChars="400"/>
        <w:outlineLvl w:val="0"/>
        <w:rPr>
          <w:rFonts w:hint="eastAsia" w:ascii="宋体" w:hAnsi="宋体"/>
          <w:b/>
          <w:bCs/>
          <w:color w:val="000000"/>
          <w:sz w:val="28"/>
          <w:szCs w:val="28"/>
        </w:rPr>
      </w:pPr>
      <w:bookmarkStart w:id="175" w:name="_Toc16809"/>
      <w:bookmarkEnd w:id="175"/>
      <w:bookmarkStart w:id="176" w:name="_Toc22409"/>
      <w:bookmarkStart w:id="177" w:name="_Toc22227"/>
      <w:bookmarkStart w:id="178" w:name="_Toc20707"/>
      <w:bookmarkStart w:id="179" w:name="_Toc16113"/>
      <w:bookmarkStart w:id="180" w:name="_Toc3197"/>
      <w:bookmarkStart w:id="181" w:name="_Toc6247"/>
      <w:bookmarkStart w:id="182" w:name="_Toc9361"/>
      <w:bookmarkStart w:id="183" w:name="_Toc1702"/>
      <w:r>
        <w:rPr>
          <w:rFonts w:hint="eastAsia" w:ascii="宋体" w:hAnsi="宋体"/>
          <w:b/>
          <w:bCs/>
          <w:color w:val="000000"/>
          <w:sz w:val="28"/>
          <w:szCs w:val="28"/>
        </w:rPr>
        <w:t>供应商名称：</w:t>
      </w:r>
      <w:bookmarkEnd w:id="176"/>
      <w:bookmarkEnd w:id="177"/>
      <w:bookmarkEnd w:id="178"/>
      <w:bookmarkEnd w:id="179"/>
      <w:bookmarkEnd w:id="180"/>
      <w:bookmarkEnd w:id="181"/>
      <w:bookmarkEnd w:id="182"/>
      <w:bookmarkEnd w:id="183"/>
    </w:p>
    <w:p>
      <w:pPr>
        <w:spacing w:line="360" w:lineRule="auto"/>
        <w:ind w:firstLine="1124" w:firstLineChars="400"/>
        <w:outlineLvl w:val="0"/>
        <w:rPr>
          <w:rFonts w:hint="eastAsia" w:ascii="宋体" w:hAnsi="宋体"/>
          <w:b/>
          <w:bCs/>
          <w:color w:val="000000"/>
          <w:sz w:val="28"/>
          <w:szCs w:val="28"/>
        </w:rPr>
      </w:pPr>
      <w:bookmarkStart w:id="184" w:name="_Toc19528"/>
      <w:bookmarkEnd w:id="184"/>
      <w:bookmarkStart w:id="185" w:name="_Toc18020"/>
      <w:bookmarkStart w:id="186" w:name="_Toc27534"/>
      <w:bookmarkStart w:id="187" w:name="_Toc25432"/>
      <w:bookmarkStart w:id="188" w:name="_Toc19797"/>
      <w:bookmarkStart w:id="189" w:name="_Toc11779"/>
      <w:bookmarkStart w:id="190" w:name="_Toc5764"/>
      <w:bookmarkStart w:id="191" w:name="_Toc8225"/>
      <w:bookmarkStart w:id="192" w:name="_Toc737"/>
      <w:r>
        <w:rPr>
          <w:rFonts w:hint="eastAsia" w:ascii="宋体" w:hAnsi="宋体"/>
          <w:b/>
          <w:bCs/>
          <w:color w:val="000000"/>
          <w:sz w:val="28"/>
          <w:szCs w:val="28"/>
        </w:rPr>
        <w:t>供应商地址：</w:t>
      </w:r>
      <w:bookmarkEnd w:id="185"/>
      <w:bookmarkEnd w:id="186"/>
      <w:bookmarkEnd w:id="187"/>
      <w:bookmarkEnd w:id="188"/>
      <w:bookmarkEnd w:id="189"/>
      <w:bookmarkEnd w:id="190"/>
      <w:bookmarkEnd w:id="191"/>
      <w:bookmarkEnd w:id="192"/>
    </w:p>
    <w:p>
      <w:pPr>
        <w:spacing w:line="360" w:lineRule="auto"/>
        <w:ind w:firstLine="1124" w:firstLineChars="400"/>
        <w:outlineLvl w:val="0"/>
        <w:rPr>
          <w:rFonts w:hint="eastAsia" w:ascii="宋体" w:hAnsi="宋体"/>
          <w:b/>
          <w:bCs/>
          <w:color w:val="000000"/>
          <w:sz w:val="28"/>
          <w:szCs w:val="28"/>
        </w:rPr>
      </w:pPr>
      <w:bookmarkStart w:id="193" w:name="_Toc21655"/>
      <w:bookmarkEnd w:id="193"/>
      <w:bookmarkStart w:id="194" w:name="_Toc32671"/>
      <w:bookmarkStart w:id="195" w:name="_Toc27159"/>
      <w:bookmarkStart w:id="196" w:name="_Toc3916"/>
      <w:bookmarkStart w:id="197" w:name="_Toc26625"/>
      <w:bookmarkStart w:id="198" w:name="_Toc26651"/>
      <w:bookmarkStart w:id="199" w:name="_Toc13231"/>
      <w:bookmarkStart w:id="200" w:name="_Toc20332"/>
      <w:bookmarkStart w:id="201" w:name="_Toc26364"/>
      <w:r>
        <w:rPr>
          <w:rFonts w:hint="eastAsia" w:ascii="宋体" w:hAnsi="宋体"/>
          <w:b/>
          <w:bCs/>
          <w:color w:val="000000"/>
          <w:sz w:val="28"/>
          <w:szCs w:val="28"/>
        </w:rPr>
        <w:t>投标日期：</w:t>
      </w:r>
      <w:bookmarkEnd w:id="194"/>
      <w:bookmarkEnd w:id="195"/>
      <w:bookmarkEnd w:id="196"/>
      <w:bookmarkEnd w:id="197"/>
      <w:bookmarkEnd w:id="198"/>
      <w:bookmarkEnd w:id="199"/>
      <w:bookmarkEnd w:id="200"/>
      <w:bookmarkEnd w:id="201"/>
    </w:p>
    <w:p>
      <w:pPr>
        <w:rPr>
          <w:rFonts w:hint="eastAsia" w:ascii="宋体" w:hAnsi="宋体" w:cs="宋体"/>
          <w:b/>
          <w:sz w:val="24"/>
        </w:rPr>
      </w:pPr>
      <w:r>
        <w:rPr>
          <w:rFonts w:hint="eastAsia" w:ascii="宋体" w:hAnsi="宋体" w:cs="宋体"/>
          <w:b/>
          <w:sz w:val="24"/>
        </w:rPr>
        <w:br w:type="page"/>
      </w:r>
    </w:p>
    <w:p>
      <w:pPr>
        <w:pStyle w:val="39"/>
        <w:jc w:val="center"/>
        <w:rPr>
          <w:rFonts w:hint="eastAsia" w:eastAsia="宋体"/>
          <w:b/>
          <w:bCs/>
          <w:sz w:val="28"/>
          <w:szCs w:val="21"/>
          <w:lang w:val="en-US" w:eastAsia="zh-CN"/>
        </w:rPr>
      </w:pPr>
      <w:r>
        <w:rPr>
          <w:rFonts w:hint="eastAsia"/>
          <w:b/>
          <w:bCs/>
          <w:sz w:val="28"/>
          <w:szCs w:val="21"/>
          <w:lang w:val="en-US" w:eastAsia="zh-CN"/>
        </w:rPr>
        <w:t>目  录</w:t>
      </w:r>
    </w:p>
    <w:p>
      <w:pPr>
        <w:snapToGrid w:val="0"/>
        <w:spacing w:line="400" w:lineRule="exact"/>
        <w:ind w:firstLine="482" w:firstLineChars="200"/>
        <w:rPr>
          <w:rFonts w:ascii="宋体" w:hAnsi="宋体" w:cs="宋体"/>
          <w:b/>
          <w:sz w:val="24"/>
        </w:rPr>
      </w:pPr>
      <w:r>
        <w:rPr>
          <w:rFonts w:hint="eastAsia" w:ascii="宋体" w:hAnsi="宋体" w:cs="宋体"/>
          <w:b/>
          <w:sz w:val="24"/>
        </w:rPr>
        <w:t>一</w:t>
      </w:r>
      <w:r>
        <w:rPr>
          <w:rFonts w:hint="eastAsia" w:ascii="宋体" w:hAnsi="宋体" w:cs="宋体"/>
          <w:b/>
          <w:sz w:val="24"/>
          <w:lang w:eastAsia="zh-CN"/>
        </w:rPr>
        <w:t>、</w:t>
      </w:r>
      <w:r>
        <w:rPr>
          <w:rFonts w:hint="eastAsia" w:ascii="宋体" w:hAnsi="宋体" w:cs="宋体"/>
          <w:b/>
          <w:sz w:val="24"/>
        </w:rPr>
        <w:t>经济文件</w:t>
      </w:r>
    </w:p>
    <w:p>
      <w:pPr>
        <w:snapToGrid w:val="0"/>
        <w:spacing w:line="400" w:lineRule="exact"/>
        <w:ind w:firstLine="480" w:firstLineChars="200"/>
        <w:rPr>
          <w:rFonts w:ascii="宋体" w:hAnsi="宋体" w:cs="宋体"/>
          <w:sz w:val="24"/>
        </w:rPr>
      </w:pPr>
      <w:r>
        <w:rPr>
          <w:rFonts w:hint="eastAsia" w:ascii="宋体" w:hAnsi="宋体" w:cs="宋体"/>
          <w:sz w:val="24"/>
        </w:rPr>
        <w:t>（一）</w:t>
      </w:r>
      <w:r>
        <w:rPr>
          <w:rFonts w:hint="eastAsia" w:ascii="宋体" w:hAnsi="宋体" w:eastAsia="宋体" w:cs="宋体"/>
          <w:sz w:val="24"/>
          <w:szCs w:val="24"/>
          <w:lang w:eastAsia="zh-CN"/>
        </w:rPr>
        <w:t>竞争性比选</w:t>
      </w:r>
      <w:r>
        <w:rPr>
          <w:rFonts w:hint="eastAsia" w:ascii="宋体" w:hAnsi="宋体" w:eastAsia="宋体" w:cs="宋体"/>
          <w:sz w:val="24"/>
          <w:szCs w:val="24"/>
        </w:rPr>
        <w:t>报价函</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（二）明细报价表</w:t>
      </w:r>
    </w:p>
    <w:p>
      <w:pPr>
        <w:snapToGrid w:val="0"/>
        <w:spacing w:line="400" w:lineRule="exact"/>
        <w:ind w:firstLine="482" w:firstLineChars="200"/>
        <w:rPr>
          <w:rFonts w:hint="eastAsia" w:ascii="宋体" w:hAnsi="宋体" w:eastAsia="宋体" w:cs="宋体"/>
          <w:b/>
          <w:sz w:val="24"/>
          <w:lang w:eastAsia="zh-CN"/>
        </w:rPr>
      </w:pPr>
      <w:r>
        <w:rPr>
          <w:rFonts w:hint="eastAsia" w:ascii="宋体" w:hAnsi="宋体" w:cs="宋体"/>
          <w:b/>
          <w:sz w:val="24"/>
        </w:rPr>
        <w:t>二</w:t>
      </w:r>
      <w:r>
        <w:rPr>
          <w:rFonts w:hint="eastAsia" w:ascii="宋体" w:hAnsi="宋体" w:cs="宋体"/>
          <w:b/>
          <w:sz w:val="24"/>
          <w:lang w:eastAsia="zh-CN"/>
        </w:rPr>
        <w:t>、服务部分</w:t>
      </w:r>
    </w:p>
    <w:p>
      <w:pPr>
        <w:snapToGrid w:val="0"/>
        <w:spacing w:line="400" w:lineRule="exact"/>
        <w:ind w:firstLine="480" w:firstLineChars="200"/>
        <w:rPr>
          <w:rFonts w:ascii="宋体" w:hAnsi="宋体" w:cs="宋体"/>
          <w:bCs/>
          <w:sz w:val="24"/>
        </w:rPr>
      </w:pPr>
      <w:r>
        <w:rPr>
          <w:rFonts w:hint="eastAsia" w:ascii="宋体" w:hAnsi="宋体" w:cs="宋体"/>
          <w:bCs/>
          <w:sz w:val="24"/>
        </w:rPr>
        <w:t>（一）</w:t>
      </w:r>
      <w:r>
        <w:rPr>
          <w:rFonts w:hint="eastAsia" w:ascii="宋体" w:hAnsi="宋体" w:cs="宋体"/>
          <w:sz w:val="24"/>
          <w:szCs w:val="24"/>
          <w:lang w:val="en-US" w:eastAsia="zh-CN"/>
        </w:rPr>
        <w:t>服务响应偏离表</w:t>
      </w:r>
    </w:p>
    <w:p>
      <w:pPr>
        <w:snapToGrid w:val="0"/>
        <w:spacing w:line="400" w:lineRule="exact"/>
        <w:ind w:firstLine="482" w:firstLineChars="200"/>
        <w:rPr>
          <w:rFonts w:ascii="宋体" w:hAnsi="宋体" w:cs="宋体"/>
          <w:b/>
          <w:sz w:val="24"/>
        </w:rPr>
      </w:pPr>
      <w:r>
        <w:rPr>
          <w:rFonts w:hint="eastAsia" w:ascii="宋体" w:hAnsi="宋体" w:cs="宋体"/>
          <w:b/>
          <w:sz w:val="24"/>
        </w:rPr>
        <w:t>三</w:t>
      </w:r>
      <w:r>
        <w:rPr>
          <w:rFonts w:hint="eastAsia" w:ascii="宋体" w:hAnsi="宋体" w:cs="宋体"/>
          <w:b/>
          <w:sz w:val="24"/>
          <w:lang w:eastAsia="zh-CN"/>
        </w:rPr>
        <w:t>、</w:t>
      </w:r>
      <w:r>
        <w:rPr>
          <w:rFonts w:hint="eastAsia" w:ascii="宋体" w:hAnsi="宋体" w:cs="宋体"/>
          <w:b/>
          <w:sz w:val="24"/>
        </w:rPr>
        <w:t>商务文件</w:t>
      </w:r>
    </w:p>
    <w:p>
      <w:pPr>
        <w:snapToGrid w:val="0"/>
        <w:spacing w:line="400" w:lineRule="exact"/>
        <w:ind w:firstLine="480" w:firstLineChars="200"/>
        <w:rPr>
          <w:rFonts w:ascii="宋体" w:hAnsi="宋体" w:cs="宋体"/>
          <w:sz w:val="24"/>
        </w:rPr>
      </w:pPr>
      <w:r>
        <w:rPr>
          <w:rFonts w:hint="eastAsia" w:ascii="宋体" w:hAnsi="宋体" w:cs="宋体"/>
          <w:sz w:val="24"/>
        </w:rPr>
        <w:t>（一）</w:t>
      </w:r>
      <w:r>
        <w:rPr>
          <w:rFonts w:hint="eastAsia" w:ascii="宋体" w:hAnsi="宋体" w:eastAsia="宋体" w:cs="宋体"/>
          <w:color w:val="auto"/>
          <w:sz w:val="24"/>
          <w:szCs w:val="24"/>
        </w:rPr>
        <w:t>商务响应偏离表</w:t>
      </w:r>
    </w:p>
    <w:p>
      <w:pPr>
        <w:snapToGrid w:val="0"/>
        <w:spacing w:line="400" w:lineRule="exact"/>
        <w:ind w:firstLine="480" w:firstLineChars="200"/>
        <w:rPr>
          <w:rFonts w:ascii="宋体" w:hAnsi="宋体" w:cs="宋体"/>
          <w:sz w:val="24"/>
        </w:rPr>
      </w:pPr>
      <w:r>
        <w:rPr>
          <w:rFonts w:hint="eastAsia" w:ascii="宋体" w:hAnsi="宋体" w:cs="宋体"/>
          <w:sz w:val="24"/>
        </w:rPr>
        <w:t>（二）</w:t>
      </w:r>
      <w:r>
        <w:rPr>
          <w:rFonts w:hint="eastAsia" w:ascii="宋体" w:hAnsi="宋体" w:eastAsia="宋体" w:cs="宋体"/>
          <w:color w:val="auto"/>
          <w:sz w:val="24"/>
          <w:szCs w:val="24"/>
        </w:rPr>
        <w:t>其它</w:t>
      </w: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rPr>
        <w:t>优惠承诺（格式自定）</w:t>
      </w:r>
    </w:p>
    <w:p>
      <w:pPr>
        <w:snapToGrid w:val="0"/>
        <w:spacing w:line="400" w:lineRule="exact"/>
        <w:ind w:firstLine="482" w:firstLineChars="200"/>
        <w:rPr>
          <w:rFonts w:ascii="宋体" w:hAnsi="宋体" w:cs="宋体"/>
          <w:b/>
          <w:sz w:val="24"/>
        </w:rPr>
      </w:pPr>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资格文件</w:t>
      </w:r>
    </w:p>
    <w:p>
      <w:pPr>
        <w:snapToGrid w:val="0"/>
        <w:spacing w:line="400" w:lineRule="exact"/>
        <w:ind w:firstLine="480" w:firstLineChars="200"/>
        <w:rPr>
          <w:rFonts w:ascii="宋体" w:hAnsi="宋体" w:cs="宋体"/>
          <w:sz w:val="24"/>
        </w:rPr>
      </w:pPr>
      <w:r>
        <w:rPr>
          <w:rFonts w:hint="eastAsia" w:ascii="宋体" w:hAnsi="宋体" w:cs="宋体"/>
          <w:sz w:val="24"/>
        </w:rPr>
        <w:t>（一）</w:t>
      </w:r>
      <w:r>
        <w:rPr>
          <w:rFonts w:hint="eastAsia" w:ascii="宋体" w:hAnsi="宋体" w:eastAsia="宋体" w:cs="宋体"/>
          <w:color w:val="auto"/>
          <w:sz w:val="24"/>
          <w:szCs w:val="24"/>
        </w:rPr>
        <w:t>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宋体" w:hAnsi="宋体" w:cs="宋体"/>
          <w:sz w:val="24"/>
        </w:rPr>
      </w:pPr>
      <w:r>
        <w:rPr>
          <w:rFonts w:hint="eastAsia" w:ascii="宋体" w:hAnsi="宋体" w:cs="宋体"/>
          <w:sz w:val="24"/>
        </w:rPr>
        <w:t>（二）法定代表人身份证明书（格式）</w:t>
      </w:r>
    </w:p>
    <w:p>
      <w:pPr>
        <w:snapToGrid w:val="0"/>
        <w:spacing w:line="400" w:lineRule="exact"/>
        <w:ind w:firstLine="480" w:firstLineChars="200"/>
        <w:rPr>
          <w:rFonts w:ascii="宋体" w:hAnsi="宋体" w:cs="宋体"/>
          <w:sz w:val="24"/>
        </w:rPr>
      </w:pPr>
      <w:r>
        <w:rPr>
          <w:rFonts w:hint="eastAsia" w:ascii="宋体" w:hAnsi="宋体" w:cs="宋体"/>
          <w:sz w:val="24"/>
        </w:rPr>
        <w:t>（三）法定代表人授权委托书（格式）</w:t>
      </w:r>
    </w:p>
    <w:p>
      <w:pPr>
        <w:snapToGrid w:val="0"/>
        <w:spacing w:line="400" w:lineRule="exact"/>
        <w:ind w:firstLine="480" w:firstLineChars="200"/>
        <w:rPr>
          <w:rFonts w:ascii="宋体" w:hAnsi="宋体" w:cs="宋体"/>
          <w:sz w:val="24"/>
        </w:rPr>
      </w:pPr>
      <w:r>
        <w:rPr>
          <w:rFonts w:hint="eastAsia" w:ascii="宋体" w:hAnsi="宋体" w:cs="宋体"/>
          <w:sz w:val="24"/>
        </w:rPr>
        <w:t>（四）基本资格条件承诺函（格式）</w:t>
      </w:r>
    </w:p>
    <w:p>
      <w:pPr>
        <w:snapToGrid w:val="0"/>
        <w:spacing w:line="400" w:lineRule="exact"/>
        <w:ind w:firstLine="480" w:firstLineChars="200"/>
        <w:rPr>
          <w:rFonts w:hint="eastAsia" w:ascii="宋体" w:hAnsi="宋体" w:eastAsia="宋体" w:cs="宋体"/>
          <w:sz w:val="24"/>
          <w:lang w:eastAsia="zh-CN"/>
        </w:rPr>
      </w:pPr>
      <w:r>
        <w:rPr>
          <w:rFonts w:hint="eastAsia" w:ascii="宋体" w:hAnsi="宋体" w:cs="宋体"/>
          <w:sz w:val="24"/>
        </w:rPr>
        <w:t>（五）特定资格条件证书或证明文件</w:t>
      </w:r>
      <w:r>
        <w:rPr>
          <w:rFonts w:hint="eastAsia" w:ascii="宋体" w:hAnsi="宋体" w:cs="宋体"/>
          <w:sz w:val="24"/>
          <w:lang w:eastAsia="zh-CN"/>
        </w:rPr>
        <w:t>（</w:t>
      </w:r>
      <w:r>
        <w:rPr>
          <w:rFonts w:hint="eastAsia" w:ascii="宋体" w:hAnsi="宋体" w:cs="宋体"/>
          <w:sz w:val="24"/>
          <w:lang w:val="en-US" w:eastAsia="zh-CN"/>
        </w:rPr>
        <w:t>如果有</w:t>
      </w:r>
      <w:r>
        <w:rPr>
          <w:rFonts w:hint="eastAsia" w:ascii="宋体" w:hAnsi="宋体" w:cs="宋体"/>
          <w:sz w:val="24"/>
          <w:lang w:eastAsia="zh-CN"/>
        </w:rPr>
        <w:t>）</w:t>
      </w:r>
    </w:p>
    <w:p>
      <w:pPr>
        <w:snapToGri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五</w:t>
      </w:r>
      <w:r>
        <w:rPr>
          <w:rFonts w:hint="eastAsia" w:ascii="宋体" w:hAnsi="宋体" w:cs="宋体"/>
          <w:b/>
          <w:sz w:val="24"/>
          <w:lang w:eastAsia="zh-CN"/>
        </w:rPr>
        <w:t>、</w:t>
      </w:r>
      <w:r>
        <w:rPr>
          <w:rFonts w:hint="eastAsia" w:ascii="宋体" w:hAnsi="宋体" w:eastAsia="宋体" w:cs="宋体"/>
          <w:b/>
          <w:sz w:val="24"/>
        </w:rPr>
        <w:t>其他资料</w:t>
      </w:r>
    </w:p>
    <w:p>
      <w:pPr>
        <w:snapToGrid w:val="0"/>
        <w:spacing w:line="400" w:lineRule="exact"/>
        <w:ind w:firstLine="480" w:firstLineChars="200"/>
        <w:rPr>
          <w:rFonts w:ascii="宋体" w:hAnsi="宋体" w:cs="宋体"/>
          <w:sz w:val="24"/>
          <w:szCs w:val="28"/>
        </w:rPr>
      </w:pPr>
      <w:r>
        <w:rPr>
          <w:rFonts w:hint="eastAsia" w:ascii="宋体" w:hAnsi="宋体" w:cs="宋体"/>
          <w:color w:val="000000"/>
          <w:sz w:val="24"/>
          <w:szCs w:val="24"/>
        </w:rPr>
        <w:t>（一）其他与项目有关的资</w:t>
      </w:r>
      <w:r>
        <w:rPr>
          <w:rFonts w:hint="eastAsia" w:ascii="宋体" w:hAnsi="宋体" w:cs="宋体"/>
          <w:sz w:val="24"/>
          <w:szCs w:val="28"/>
        </w:rPr>
        <w:t>料</w:t>
      </w:r>
      <w:r>
        <w:rPr>
          <w:rFonts w:hint="eastAsia" w:ascii="宋体" w:hAnsi="宋体" w:cs="宋体"/>
          <w:color w:val="000000"/>
          <w:sz w:val="24"/>
          <w:szCs w:val="24"/>
        </w:rPr>
        <w:t>（自附）</w:t>
      </w:r>
    </w:p>
    <w:p>
      <w:pPr>
        <w:pStyle w:val="52"/>
      </w:pPr>
    </w:p>
    <w:p>
      <w:pPr>
        <w:rPr>
          <w:rFonts w:ascii="宋体" w:hAnsi="宋体" w:cs="宋体"/>
          <w:bCs/>
          <w:sz w:val="36"/>
          <w:szCs w:val="30"/>
        </w:rPr>
      </w:pPr>
    </w:p>
    <w:p>
      <w:r>
        <w:br w:type="page"/>
      </w:r>
      <w:bookmarkStart w:id="202" w:name="_Toc15893"/>
      <w:bookmarkStart w:id="203" w:name="_Toc28074"/>
      <w:bookmarkStart w:id="204" w:name="_Toc14552"/>
      <w:bookmarkStart w:id="205" w:name="_Toc13547"/>
      <w:bookmarkStart w:id="206" w:name="_Toc10124"/>
      <w:bookmarkStart w:id="207" w:name="_Toc27943"/>
      <w:bookmarkStart w:id="208" w:name="_Toc21561"/>
      <w:bookmarkStart w:id="209" w:name="_Toc14568"/>
      <w:bookmarkStart w:id="210" w:name="_Toc31914"/>
      <w:bookmarkStart w:id="211" w:name="_Toc5594"/>
      <w:bookmarkStart w:id="212" w:name="_Toc18349"/>
      <w:bookmarkStart w:id="213" w:name="_Toc15107"/>
      <w:bookmarkStart w:id="214" w:name="_Toc11171"/>
      <w:bookmarkStart w:id="215" w:name="_Toc29821"/>
      <w:bookmarkStart w:id="216" w:name="_Toc27612"/>
      <w:bookmarkStart w:id="217" w:name="_Toc23361"/>
      <w:bookmarkStart w:id="218" w:name="_Toc14661"/>
      <w:bookmarkStart w:id="219" w:name="_Toc31828"/>
      <w:bookmarkStart w:id="220" w:name="_Toc12242"/>
      <w:bookmarkStart w:id="221" w:name="_Toc3778"/>
      <w:bookmarkStart w:id="222" w:name="_Toc25659"/>
      <w:bookmarkStart w:id="223" w:name="_Toc20970"/>
      <w:bookmarkStart w:id="224" w:name="_Toc6452"/>
      <w:bookmarkStart w:id="225" w:name="_Toc28987"/>
      <w:bookmarkStart w:id="226" w:name="_Toc429584884"/>
      <w:bookmarkStart w:id="227" w:name="_Toc20796"/>
      <w:bookmarkStart w:id="228" w:name="_Toc75793540"/>
    </w:p>
    <w:p>
      <w:pPr>
        <w:pStyle w:val="5"/>
        <w:spacing w:line="360" w:lineRule="auto"/>
        <w:ind w:firstLine="482" w:firstLineChars="200"/>
        <w:rPr>
          <w:rFonts w:hint="eastAsia" w:ascii="宋体" w:hAnsi="宋体" w:eastAsia="宋体" w:cs="宋体"/>
          <w:color w:val="auto"/>
          <w:kern w:val="0"/>
          <w:sz w:val="24"/>
          <w:szCs w:val="24"/>
          <w:lang w:val="zh-CN" w:eastAsia="zh-CN"/>
        </w:rPr>
      </w:pPr>
      <w:bookmarkStart w:id="229" w:name="_Toc3978"/>
      <w:r>
        <w:rPr>
          <w:rFonts w:hint="eastAsia" w:ascii="宋体" w:hAnsi="宋体" w:eastAsia="宋体" w:cs="宋体"/>
          <w:color w:val="auto"/>
          <w:kern w:val="0"/>
          <w:sz w:val="24"/>
          <w:szCs w:val="24"/>
          <w:lang w:val="en-US" w:eastAsia="zh-CN"/>
        </w:rPr>
        <w:t>一、经济文件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tabs>
          <w:tab w:val="left" w:pos="2895"/>
        </w:tabs>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竞争性比选</w:t>
      </w:r>
      <w:r>
        <w:rPr>
          <w:rFonts w:hint="eastAsia" w:ascii="宋体" w:hAnsi="宋体" w:eastAsia="宋体" w:cs="宋体"/>
          <w:sz w:val="24"/>
          <w:szCs w:val="24"/>
        </w:rPr>
        <w:t>报价函</w:t>
      </w:r>
    </w:p>
    <w:p>
      <w:pPr>
        <w:tabs>
          <w:tab w:val="left" w:pos="2895"/>
        </w:tabs>
        <w:spacing w:line="312"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eastAsia="zh-CN"/>
        </w:rPr>
        <w:t>竞争性比选</w:t>
      </w:r>
      <w:r>
        <w:rPr>
          <w:rFonts w:hint="eastAsia" w:ascii="宋体" w:hAnsi="宋体" w:eastAsia="宋体" w:cs="宋体"/>
          <w:sz w:val="24"/>
          <w:szCs w:val="24"/>
        </w:rPr>
        <w:t>报价函</w:t>
      </w:r>
    </w:p>
    <w:p>
      <w:pPr>
        <w:tabs>
          <w:tab w:val="left" w:pos="6300"/>
        </w:tabs>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cs="宋体"/>
          <w:color w:val="auto"/>
          <w:sz w:val="24"/>
          <w:szCs w:val="24"/>
          <w:u w:val="none"/>
          <w:lang w:eastAsia="zh-CN"/>
        </w:rPr>
        <w:t>采购机构</w:t>
      </w:r>
      <w:r>
        <w:rPr>
          <w:rFonts w:hint="eastAsia" w:ascii="宋体" w:hAnsi="宋体" w:eastAsia="宋体" w:cs="宋体"/>
          <w:color w:val="auto"/>
          <w:sz w:val="24"/>
          <w:szCs w:val="24"/>
          <w:u w:val="none"/>
        </w:rPr>
        <w:t>名称）</w:t>
      </w:r>
      <w:r>
        <w:rPr>
          <w:rFonts w:hint="eastAsia" w:ascii="宋体" w:hAnsi="宋体" w:eastAsia="宋体" w:cs="宋体"/>
          <w:color w:val="auto"/>
          <w:sz w:val="24"/>
          <w:szCs w:val="24"/>
        </w:rPr>
        <w:t>：</w:t>
      </w:r>
    </w:p>
    <w:p>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我方收到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（项目名称）的</w:t>
      </w:r>
      <w:r>
        <w:rPr>
          <w:rFonts w:hint="eastAsia" w:ascii="宋体" w:hAnsi="宋体" w:eastAsia="宋体" w:cs="宋体"/>
          <w:color w:val="auto"/>
          <w:sz w:val="24"/>
          <w:szCs w:val="24"/>
          <w:lang w:eastAsia="zh-CN"/>
        </w:rPr>
        <w:t>竞争性比选</w:t>
      </w:r>
      <w:r>
        <w:rPr>
          <w:rFonts w:hint="eastAsia" w:ascii="宋体" w:hAnsi="宋体" w:eastAsia="宋体" w:cs="宋体"/>
          <w:color w:val="auto"/>
          <w:sz w:val="24"/>
          <w:szCs w:val="24"/>
        </w:rPr>
        <w:t>文件，经详细研究，决定</w:t>
      </w:r>
      <w:r>
        <w:rPr>
          <w:rFonts w:hint="eastAsia" w:ascii="宋体" w:hAnsi="宋体" w:eastAsia="宋体" w:cs="宋体"/>
          <w:color w:val="auto"/>
          <w:sz w:val="24"/>
          <w:szCs w:val="24"/>
          <w:highlight w:val="none"/>
        </w:rPr>
        <w:t>参加该项目的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p>
      <w:pPr>
        <w:numPr>
          <w:ilvl w:val="0"/>
          <w:numId w:val="0"/>
        </w:numPr>
        <w:tabs>
          <w:tab w:val="left" w:pos="6300"/>
        </w:tabs>
        <w:snapToGrid w:val="0"/>
        <w:spacing w:line="400" w:lineRule="exact"/>
        <w:ind w:firstLine="480" w:firstLineChars="200"/>
        <w:rPr>
          <w:rFonts w:hint="eastAsia" w:ascii="宋体" w:hAnsi="宋体" w:eastAsia="宋体" w:cs="宋体"/>
          <w:color w:val="auto"/>
          <w:sz w:val="24"/>
          <w:szCs w:val="24"/>
          <w:highlight w:val="gree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愿意按照</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文件中的一切要求，提供本项目的技术服务，</w:t>
      </w:r>
      <w:r>
        <w:rPr>
          <w:rFonts w:hint="eastAsia" w:ascii="宋体" w:hAnsi="宋体" w:eastAsia="宋体" w:cs="宋体"/>
          <w:b/>
          <w:bCs/>
          <w:color w:val="000000"/>
          <w:kern w:val="0"/>
          <w:sz w:val="24"/>
          <w:szCs w:val="24"/>
          <w:lang w:eastAsia="zh-CN"/>
        </w:rPr>
        <w:t>报价</w:t>
      </w:r>
      <w:r>
        <w:rPr>
          <w:rFonts w:hint="eastAsia" w:ascii="宋体" w:hAnsi="宋体" w:eastAsia="宋体" w:cs="宋体"/>
          <w:b/>
          <w:bCs/>
          <w:color w:val="auto"/>
          <w:kern w:val="0"/>
          <w:sz w:val="24"/>
          <w:szCs w:val="24"/>
          <w:lang w:val="en-US" w:eastAsia="zh-CN"/>
        </w:rPr>
        <w:t>折扣率为</w:t>
      </w:r>
      <w:r>
        <w:rPr>
          <w:rFonts w:hint="eastAsia" w:ascii="宋体" w:hAnsi="宋体" w:eastAsia="宋体" w:cs="宋体"/>
          <w:sz w:val="24"/>
          <w:szCs w:val="24"/>
        </w:rPr>
        <w:t>（</w:t>
      </w:r>
      <w:r>
        <w:rPr>
          <w:rFonts w:hint="eastAsia" w:ascii="宋体" w:hAnsi="宋体" w:eastAsia="宋体" w:cs="宋体"/>
          <w:sz w:val="24"/>
          <w:szCs w:val="24"/>
          <w:lang w:eastAsia="zh-CN"/>
        </w:rPr>
        <w:t>大</w:t>
      </w:r>
      <w:r>
        <w:rPr>
          <w:rFonts w:hint="eastAsia" w:ascii="宋体" w:hAnsi="宋体" w:eastAsia="宋体" w:cs="宋体"/>
          <w:sz w:val="24"/>
          <w:szCs w:val="24"/>
        </w:rPr>
        <w:t>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rPr>
        <w:t>。</w:t>
      </w:r>
    </w:p>
    <w:p>
      <w:pPr>
        <w:tabs>
          <w:tab w:val="left" w:pos="6300"/>
        </w:tabs>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我方现提交的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为：正本一份，副本</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份。</w:t>
      </w:r>
    </w:p>
    <w:p>
      <w:pPr>
        <w:tabs>
          <w:tab w:val="left" w:pos="6300"/>
        </w:tabs>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我方承诺：本次</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的有效期为提交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截止时间起90天。</w:t>
      </w:r>
    </w:p>
    <w:p>
      <w:pPr>
        <w:tabs>
          <w:tab w:val="left" w:pos="6300"/>
        </w:tabs>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eastAsia="zh-CN"/>
        </w:rPr>
        <w:t>.</w:t>
      </w:r>
      <w:r>
        <w:rPr>
          <w:rFonts w:hint="eastAsia" w:ascii="宋体" w:hAnsi="宋体" w:eastAsia="宋体" w:cs="宋体"/>
          <w:color w:val="auto"/>
          <w:sz w:val="24"/>
          <w:szCs w:val="24"/>
        </w:rPr>
        <w:t>我方完全理解和接受贵方</w:t>
      </w:r>
      <w:r>
        <w:rPr>
          <w:rFonts w:hint="eastAsia" w:ascii="宋体" w:hAnsi="宋体" w:eastAsia="宋体" w:cs="宋体"/>
          <w:color w:val="auto"/>
          <w:sz w:val="24"/>
          <w:szCs w:val="24"/>
          <w:lang w:eastAsia="zh-CN"/>
        </w:rPr>
        <w:t>竞争性比选</w:t>
      </w:r>
      <w:r>
        <w:rPr>
          <w:rFonts w:hint="eastAsia" w:ascii="宋体" w:hAnsi="宋体" w:eastAsia="宋体" w:cs="宋体"/>
          <w:color w:val="auto"/>
          <w:sz w:val="24"/>
          <w:szCs w:val="24"/>
        </w:rPr>
        <w:t>文件的一切规定和要求及评审办法。</w:t>
      </w:r>
    </w:p>
    <w:p>
      <w:pPr>
        <w:tabs>
          <w:tab w:val="left" w:pos="6300"/>
        </w:tabs>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我方若成为</w:t>
      </w:r>
      <w:r>
        <w:rPr>
          <w:rFonts w:hint="eastAsia" w:ascii="宋体" w:hAnsi="宋体" w:eastAsia="宋体" w:cs="宋体"/>
          <w:color w:val="auto"/>
          <w:sz w:val="24"/>
          <w:szCs w:val="24"/>
          <w:lang w:eastAsia="zh-CN"/>
        </w:rPr>
        <w:t>中选人</w:t>
      </w:r>
      <w:r>
        <w:rPr>
          <w:rFonts w:hint="eastAsia" w:ascii="宋体" w:hAnsi="宋体" w:eastAsia="宋体" w:cs="宋体"/>
          <w:color w:val="auto"/>
          <w:sz w:val="24"/>
          <w:szCs w:val="24"/>
        </w:rPr>
        <w:t>，将按照最终</w:t>
      </w:r>
      <w:r>
        <w:rPr>
          <w:rFonts w:hint="eastAsia" w:ascii="宋体" w:hAnsi="宋体" w:cs="宋体"/>
          <w:color w:val="auto"/>
          <w:sz w:val="24"/>
          <w:szCs w:val="24"/>
          <w:lang w:val="en-US" w:eastAsia="zh-CN"/>
        </w:rPr>
        <w:t>比选</w:t>
      </w:r>
      <w:r>
        <w:rPr>
          <w:rFonts w:hint="eastAsia" w:ascii="宋体" w:hAnsi="宋体" w:eastAsia="宋体" w:cs="宋体"/>
          <w:color w:val="auto"/>
          <w:sz w:val="24"/>
          <w:szCs w:val="24"/>
        </w:rPr>
        <w:t>结果签订合同，并且严格履行合同义务。本承诺函将成为合同不可分割的一部分，与合同具有同等的法律效力。</w:t>
      </w:r>
    </w:p>
    <w:p>
      <w:pPr>
        <w:tabs>
          <w:tab w:val="left" w:pos="6300"/>
        </w:tabs>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eastAsia="zh-CN"/>
        </w:rPr>
        <w:t>.</w:t>
      </w:r>
      <w:r>
        <w:rPr>
          <w:rFonts w:hint="eastAsia" w:ascii="宋体" w:hAnsi="宋体" w:eastAsia="宋体" w:cs="宋体"/>
          <w:color w:val="auto"/>
          <w:sz w:val="24"/>
          <w:szCs w:val="24"/>
        </w:rPr>
        <w:t>我方理解，最低报价不是成交的唯一条件。</w:t>
      </w:r>
    </w:p>
    <w:p>
      <w:pPr>
        <w:tabs>
          <w:tab w:val="left" w:pos="6300"/>
        </w:tabs>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eastAsia="zh-CN"/>
        </w:rPr>
        <w:t>.</w:t>
      </w:r>
      <w:r>
        <w:rPr>
          <w:rFonts w:hint="eastAsia" w:ascii="宋体" w:hAnsi="宋体" w:eastAsia="宋体" w:cs="宋体"/>
          <w:color w:val="auto"/>
          <w:sz w:val="24"/>
          <w:szCs w:val="24"/>
        </w:rPr>
        <w:t>我方同意按</w:t>
      </w:r>
      <w:r>
        <w:rPr>
          <w:rFonts w:hint="eastAsia" w:ascii="宋体" w:hAnsi="宋体" w:eastAsia="宋体" w:cs="宋体"/>
          <w:color w:val="auto"/>
          <w:sz w:val="24"/>
          <w:szCs w:val="24"/>
          <w:lang w:eastAsia="zh-CN"/>
        </w:rPr>
        <w:t>竞争性比选</w:t>
      </w:r>
      <w:r>
        <w:rPr>
          <w:rFonts w:hint="eastAsia" w:ascii="宋体" w:hAnsi="宋体" w:eastAsia="宋体" w:cs="宋体"/>
          <w:color w:val="auto"/>
          <w:sz w:val="24"/>
          <w:szCs w:val="24"/>
        </w:rPr>
        <w:t>文件规定，如果我方成为</w:t>
      </w:r>
      <w:r>
        <w:rPr>
          <w:rFonts w:hint="eastAsia" w:ascii="宋体" w:hAnsi="宋体" w:eastAsia="宋体" w:cs="宋体"/>
          <w:color w:val="auto"/>
          <w:sz w:val="24"/>
          <w:szCs w:val="24"/>
          <w:lang w:eastAsia="zh-CN"/>
        </w:rPr>
        <w:t>中选人</w:t>
      </w:r>
      <w:r>
        <w:rPr>
          <w:rFonts w:hint="eastAsia" w:ascii="宋体" w:hAnsi="宋体" w:eastAsia="宋体" w:cs="宋体"/>
          <w:color w:val="auto"/>
          <w:sz w:val="24"/>
          <w:szCs w:val="24"/>
        </w:rPr>
        <w:t>，保证在接到成交通知书后，向</w:t>
      </w:r>
      <w:r>
        <w:rPr>
          <w:rFonts w:hint="eastAsia" w:ascii="宋体" w:hAnsi="宋体" w:cs="宋体"/>
          <w:color w:val="auto"/>
          <w:sz w:val="24"/>
          <w:szCs w:val="24"/>
          <w:lang w:eastAsia="zh-CN"/>
        </w:rPr>
        <w:t>采购代理机构</w:t>
      </w:r>
      <w:r>
        <w:rPr>
          <w:rFonts w:hint="eastAsia" w:ascii="宋体" w:hAnsi="宋体" w:eastAsia="宋体" w:cs="宋体"/>
          <w:color w:val="auto"/>
          <w:sz w:val="24"/>
          <w:szCs w:val="24"/>
        </w:rPr>
        <w:t>交纳</w:t>
      </w:r>
      <w:r>
        <w:rPr>
          <w:rFonts w:hint="eastAsia" w:ascii="宋体" w:hAnsi="宋体" w:eastAsia="宋体" w:cs="宋体"/>
          <w:color w:val="auto"/>
          <w:sz w:val="24"/>
          <w:szCs w:val="24"/>
          <w:lang w:eastAsia="zh-CN"/>
        </w:rPr>
        <w:t>竞争性比选</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代理服务费</w:t>
      </w:r>
      <w:r>
        <w:rPr>
          <w:rFonts w:hint="eastAsia" w:ascii="宋体" w:hAnsi="宋体" w:eastAsia="宋体" w:cs="宋体"/>
          <w:color w:val="auto"/>
          <w:sz w:val="24"/>
          <w:szCs w:val="24"/>
        </w:rPr>
        <w:t>。</w:t>
      </w:r>
    </w:p>
    <w:p>
      <w:pPr>
        <w:tabs>
          <w:tab w:val="left" w:pos="6300"/>
        </w:tabs>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我方未为采购项目提供整体设计</w:t>
      </w:r>
      <w:r>
        <w:rPr>
          <w:rFonts w:hint="eastAsia" w:ascii="宋体" w:hAnsi="宋体" w:cs="宋体"/>
          <w:color w:val="auto"/>
          <w:sz w:val="24"/>
          <w:szCs w:val="24"/>
          <w:lang w:eastAsia="zh-CN"/>
        </w:rPr>
        <w:t>.</w:t>
      </w:r>
      <w:r>
        <w:rPr>
          <w:rFonts w:hint="eastAsia" w:ascii="宋体" w:hAnsi="宋体" w:eastAsia="宋体" w:cs="宋体"/>
          <w:color w:val="auto"/>
          <w:sz w:val="24"/>
          <w:szCs w:val="24"/>
        </w:rPr>
        <w:t>规范编制或者项目管理</w:t>
      </w:r>
      <w:r>
        <w:rPr>
          <w:rFonts w:hint="eastAsia" w:ascii="宋体" w:hAnsi="宋体" w:cs="宋体"/>
          <w:color w:val="auto"/>
          <w:sz w:val="24"/>
          <w:szCs w:val="24"/>
          <w:lang w:eastAsia="zh-CN"/>
        </w:rPr>
        <w:t>.</w:t>
      </w:r>
      <w:r>
        <w:rPr>
          <w:rFonts w:hint="eastAsia" w:ascii="宋体" w:hAnsi="宋体" w:eastAsia="宋体" w:cs="宋体"/>
          <w:color w:val="auto"/>
          <w:sz w:val="24"/>
          <w:szCs w:val="24"/>
        </w:rPr>
        <w:t>监理</w:t>
      </w:r>
      <w:r>
        <w:rPr>
          <w:rFonts w:hint="eastAsia" w:ascii="宋体" w:hAnsi="宋体" w:cs="宋体"/>
          <w:color w:val="auto"/>
          <w:sz w:val="24"/>
          <w:szCs w:val="24"/>
          <w:lang w:eastAsia="zh-CN"/>
        </w:rPr>
        <w:t>.</w:t>
      </w:r>
      <w:r>
        <w:rPr>
          <w:rFonts w:hint="eastAsia" w:ascii="宋体" w:hAnsi="宋体" w:eastAsia="宋体" w:cs="宋体"/>
          <w:color w:val="auto"/>
          <w:sz w:val="24"/>
          <w:szCs w:val="24"/>
        </w:rPr>
        <w:t>检测等服务。</w:t>
      </w:r>
    </w:p>
    <w:p>
      <w:pPr>
        <w:snapToGrid w:val="0"/>
        <w:spacing w:line="312" w:lineRule="auto"/>
        <w:ind w:firstLine="570"/>
        <w:jc w:val="center"/>
        <w:rPr>
          <w:rFonts w:hint="eastAsia" w:ascii="宋体" w:hAnsi="宋体" w:eastAsia="宋体" w:cs="宋体"/>
          <w:color w:val="auto"/>
          <w:sz w:val="24"/>
          <w:szCs w:val="24"/>
        </w:rPr>
      </w:pPr>
    </w:p>
    <w:p>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（公章）或自然人签字：</w:t>
      </w:r>
    </w:p>
    <w:p>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p>
    <w:p>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电话：                                             传真：</w:t>
      </w:r>
    </w:p>
    <w:p>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网址：                                             邮编：</w:t>
      </w:r>
    </w:p>
    <w:p>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联系人：</w:t>
      </w:r>
    </w:p>
    <w:p>
      <w:pPr>
        <w:spacing w:line="500" w:lineRule="exact"/>
        <w:rPr>
          <w:rFonts w:hint="eastAsia" w:ascii="宋体" w:hAnsi="宋体" w:eastAsia="宋体" w:cs="宋体"/>
          <w:sz w:val="24"/>
          <w:szCs w:val="24"/>
        </w:rPr>
      </w:pPr>
      <w:r>
        <w:rPr>
          <w:rFonts w:hint="eastAsia" w:ascii="宋体" w:hAnsi="宋体" w:eastAsia="宋体" w:cs="宋体"/>
          <w:color w:val="auto"/>
          <w:sz w:val="24"/>
          <w:szCs w:val="24"/>
        </w:rPr>
        <w:t xml:space="preserve">                                                  年   月   日</w:t>
      </w:r>
    </w:p>
    <w:p>
      <w:pPr>
        <w:snapToGrid w:val="0"/>
        <w:spacing w:line="500" w:lineRule="exact"/>
        <w:ind w:firstLine="480" w:firstLineChars="200"/>
        <w:rPr>
          <w:rFonts w:hint="eastAsia" w:ascii="宋体" w:hAnsi="宋体" w:eastAsia="宋体" w:cs="宋体"/>
          <w:sz w:val="24"/>
          <w:szCs w:val="24"/>
        </w:rPr>
      </w:pPr>
    </w:p>
    <w:p>
      <w:pPr>
        <w:rPr>
          <w:rFonts w:hint="eastAsia" w:ascii="宋体" w:hAnsi="宋体" w:eastAsia="宋体" w:cs="宋体"/>
          <w:b/>
          <w:sz w:val="24"/>
          <w:szCs w:val="24"/>
        </w:rPr>
      </w:pPr>
      <w:r>
        <w:rPr>
          <w:rFonts w:hint="eastAsia" w:ascii="宋体" w:hAnsi="宋体" w:eastAsia="宋体" w:cs="宋体"/>
          <w:bCs/>
          <w:sz w:val="24"/>
          <w:szCs w:val="24"/>
        </w:rPr>
        <w:br w:type="page"/>
      </w:r>
    </w:p>
    <w:p>
      <w:pPr>
        <w:pStyle w:val="5"/>
        <w:spacing w:line="360" w:lineRule="auto"/>
        <w:ind w:firstLine="482" w:firstLineChars="200"/>
        <w:rPr>
          <w:rFonts w:hint="eastAsia" w:ascii="宋体" w:hAnsi="宋体" w:eastAsia="宋体" w:cs="宋体"/>
          <w:color w:val="auto"/>
          <w:kern w:val="0"/>
          <w:sz w:val="24"/>
          <w:szCs w:val="24"/>
          <w:lang w:val="en-US" w:eastAsia="zh-CN"/>
        </w:rPr>
      </w:pPr>
      <w:bookmarkStart w:id="230" w:name="_Toc17206"/>
      <w:r>
        <w:rPr>
          <w:rFonts w:hint="eastAsia" w:ascii="宋体" w:hAnsi="宋体" w:eastAsia="宋体" w:cs="宋体"/>
          <w:color w:val="auto"/>
          <w:kern w:val="0"/>
          <w:sz w:val="24"/>
          <w:szCs w:val="24"/>
          <w:lang w:val="en-US" w:eastAsia="zh-CN"/>
        </w:rPr>
        <w:t>二、服务部分</w:t>
      </w:r>
      <w:bookmarkEnd w:id="230"/>
    </w:p>
    <w:p>
      <w:pPr>
        <w:tabs>
          <w:tab w:val="left" w:pos="2895"/>
        </w:tabs>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cs="宋体"/>
          <w:sz w:val="24"/>
          <w:szCs w:val="24"/>
          <w:lang w:val="en-US" w:eastAsia="zh-CN"/>
        </w:rPr>
        <w:t>服务响应偏离表</w:t>
      </w:r>
    </w:p>
    <w:p>
      <w:pPr>
        <w:snapToGrid w:val="0"/>
        <w:spacing w:line="400" w:lineRule="exact"/>
        <w:ind w:firstLine="720" w:firstLineChars="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791"/>
        <w:gridCol w:w="2899"/>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9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91" w:type="dxa"/>
            <w:noWrap w:val="0"/>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比选服务</w:t>
            </w:r>
            <w:r>
              <w:rPr>
                <w:rFonts w:hint="eastAsia" w:ascii="宋体" w:hAnsi="宋体" w:eastAsia="宋体" w:cs="宋体"/>
                <w:sz w:val="24"/>
                <w:szCs w:val="24"/>
              </w:rPr>
              <w:t>需求</w:t>
            </w:r>
          </w:p>
        </w:tc>
        <w:tc>
          <w:tcPr>
            <w:tcW w:w="28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响应情况</w:t>
            </w:r>
          </w:p>
        </w:tc>
        <w:tc>
          <w:tcPr>
            <w:tcW w:w="217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96" w:type="dxa"/>
            <w:noWrap w:val="0"/>
            <w:vAlign w:val="center"/>
          </w:tcPr>
          <w:p>
            <w:pPr>
              <w:jc w:val="center"/>
              <w:rPr>
                <w:rFonts w:hint="eastAsia" w:ascii="宋体" w:hAnsi="宋体" w:eastAsia="宋体" w:cs="宋体"/>
                <w:sz w:val="24"/>
                <w:szCs w:val="24"/>
              </w:rPr>
            </w:pPr>
          </w:p>
        </w:tc>
        <w:tc>
          <w:tcPr>
            <w:tcW w:w="2791" w:type="dxa"/>
            <w:noWrap w:val="0"/>
            <w:vAlign w:val="center"/>
          </w:tcPr>
          <w:p>
            <w:pPr>
              <w:jc w:val="center"/>
              <w:rPr>
                <w:rFonts w:hint="eastAsia" w:ascii="宋体" w:hAnsi="宋体" w:eastAsia="宋体" w:cs="宋体"/>
                <w:sz w:val="24"/>
                <w:szCs w:val="24"/>
              </w:rPr>
            </w:pPr>
          </w:p>
        </w:tc>
        <w:tc>
          <w:tcPr>
            <w:tcW w:w="2899" w:type="dxa"/>
            <w:noWrap w:val="0"/>
            <w:vAlign w:val="center"/>
          </w:tcPr>
          <w:p>
            <w:pPr>
              <w:jc w:val="center"/>
              <w:rPr>
                <w:rFonts w:hint="eastAsia" w:ascii="宋体" w:hAnsi="宋体" w:eastAsia="宋体" w:cs="宋体"/>
                <w:sz w:val="24"/>
                <w:szCs w:val="24"/>
              </w:rPr>
            </w:pPr>
          </w:p>
        </w:tc>
        <w:tc>
          <w:tcPr>
            <w:tcW w:w="2172"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96" w:type="dxa"/>
            <w:noWrap w:val="0"/>
            <w:vAlign w:val="center"/>
          </w:tcPr>
          <w:p>
            <w:pPr>
              <w:jc w:val="center"/>
              <w:rPr>
                <w:rFonts w:hint="eastAsia" w:ascii="宋体" w:hAnsi="宋体" w:eastAsia="宋体" w:cs="宋体"/>
                <w:sz w:val="24"/>
                <w:szCs w:val="24"/>
              </w:rPr>
            </w:pPr>
          </w:p>
        </w:tc>
        <w:tc>
          <w:tcPr>
            <w:tcW w:w="2791" w:type="dxa"/>
            <w:noWrap w:val="0"/>
            <w:vAlign w:val="center"/>
          </w:tcPr>
          <w:p>
            <w:pPr>
              <w:jc w:val="center"/>
              <w:rPr>
                <w:rFonts w:hint="eastAsia" w:ascii="宋体" w:hAnsi="宋体" w:eastAsia="宋体" w:cs="宋体"/>
                <w:sz w:val="24"/>
                <w:szCs w:val="24"/>
              </w:rPr>
            </w:pPr>
          </w:p>
        </w:tc>
        <w:tc>
          <w:tcPr>
            <w:tcW w:w="2899" w:type="dxa"/>
            <w:noWrap w:val="0"/>
            <w:vAlign w:val="center"/>
          </w:tcPr>
          <w:p>
            <w:pPr>
              <w:jc w:val="center"/>
              <w:rPr>
                <w:rFonts w:hint="eastAsia" w:ascii="宋体" w:hAnsi="宋体" w:eastAsia="宋体" w:cs="宋体"/>
                <w:sz w:val="24"/>
                <w:szCs w:val="24"/>
              </w:rPr>
            </w:pPr>
          </w:p>
        </w:tc>
        <w:tc>
          <w:tcPr>
            <w:tcW w:w="2172"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96" w:type="dxa"/>
            <w:noWrap w:val="0"/>
            <w:vAlign w:val="center"/>
          </w:tcPr>
          <w:p>
            <w:pPr>
              <w:jc w:val="center"/>
              <w:rPr>
                <w:rFonts w:hint="eastAsia" w:ascii="宋体" w:hAnsi="宋体" w:eastAsia="宋体" w:cs="宋体"/>
                <w:sz w:val="24"/>
                <w:szCs w:val="24"/>
              </w:rPr>
            </w:pPr>
          </w:p>
        </w:tc>
        <w:tc>
          <w:tcPr>
            <w:tcW w:w="2791" w:type="dxa"/>
            <w:noWrap w:val="0"/>
            <w:vAlign w:val="center"/>
          </w:tcPr>
          <w:p>
            <w:pPr>
              <w:jc w:val="center"/>
              <w:rPr>
                <w:rFonts w:hint="eastAsia" w:ascii="宋体" w:hAnsi="宋体" w:eastAsia="宋体" w:cs="宋体"/>
                <w:sz w:val="24"/>
                <w:szCs w:val="24"/>
              </w:rPr>
            </w:pPr>
          </w:p>
        </w:tc>
        <w:tc>
          <w:tcPr>
            <w:tcW w:w="2899" w:type="dxa"/>
            <w:noWrap w:val="0"/>
            <w:vAlign w:val="center"/>
          </w:tcPr>
          <w:p>
            <w:pPr>
              <w:jc w:val="center"/>
              <w:rPr>
                <w:rFonts w:hint="eastAsia" w:ascii="宋体" w:hAnsi="宋体" w:eastAsia="宋体" w:cs="宋体"/>
                <w:sz w:val="24"/>
                <w:szCs w:val="24"/>
              </w:rPr>
            </w:pPr>
          </w:p>
        </w:tc>
        <w:tc>
          <w:tcPr>
            <w:tcW w:w="2172"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96" w:type="dxa"/>
            <w:noWrap w:val="0"/>
            <w:vAlign w:val="center"/>
          </w:tcPr>
          <w:p>
            <w:pPr>
              <w:jc w:val="center"/>
              <w:rPr>
                <w:rFonts w:hint="eastAsia" w:ascii="宋体" w:hAnsi="宋体" w:eastAsia="宋体" w:cs="宋体"/>
                <w:sz w:val="24"/>
                <w:szCs w:val="24"/>
              </w:rPr>
            </w:pPr>
          </w:p>
        </w:tc>
        <w:tc>
          <w:tcPr>
            <w:tcW w:w="2791" w:type="dxa"/>
            <w:noWrap w:val="0"/>
            <w:vAlign w:val="center"/>
          </w:tcPr>
          <w:p>
            <w:pPr>
              <w:jc w:val="center"/>
              <w:rPr>
                <w:rFonts w:hint="eastAsia" w:ascii="宋体" w:hAnsi="宋体" w:eastAsia="宋体" w:cs="宋体"/>
                <w:sz w:val="24"/>
                <w:szCs w:val="24"/>
              </w:rPr>
            </w:pPr>
          </w:p>
        </w:tc>
        <w:tc>
          <w:tcPr>
            <w:tcW w:w="2899" w:type="dxa"/>
            <w:noWrap w:val="0"/>
            <w:vAlign w:val="center"/>
          </w:tcPr>
          <w:p>
            <w:pPr>
              <w:jc w:val="center"/>
              <w:rPr>
                <w:rFonts w:hint="eastAsia" w:ascii="宋体" w:hAnsi="宋体" w:eastAsia="宋体" w:cs="宋体"/>
                <w:sz w:val="24"/>
                <w:szCs w:val="24"/>
              </w:rPr>
            </w:pPr>
          </w:p>
        </w:tc>
        <w:tc>
          <w:tcPr>
            <w:tcW w:w="2172"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96" w:type="dxa"/>
            <w:noWrap w:val="0"/>
            <w:vAlign w:val="center"/>
          </w:tcPr>
          <w:p>
            <w:pPr>
              <w:jc w:val="center"/>
              <w:rPr>
                <w:rFonts w:hint="eastAsia" w:ascii="宋体" w:hAnsi="宋体" w:eastAsia="宋体" w:cs="宋体"/>
                <w:sz w:val="24"/>
                <w:szCs w:val="24"/>
              </w:rPr>
            </w:pPr>
          </w:p>
        </w:tc>
        <w:tc>
          <w:tcPr>
            <w:tcW w:w="2791" w:type="dxa"/>
            <w:noWrap w:val="0"/>
            <w:vAlign w:val="center"/>
          </w:tcPr>
          <w:p>
            <w:pPr>
              <w:jc w:val="center"/>
              <w:rPr>
                <w:rFonts w:hint="eastAsia" w:ascii="宋体" w:hAnsi="宋体" w:eastAsia="宋体" w:cs="宋体"/>
                <w:sz w:val="24"/>
                <w:szCs w:val="24"/>
              </w:rPr>
            </w:pPr>
          </w:p>
        </w:tc>
        <w:tc>
          <w:tcPr>
            <w:tcW w:w="2899" w:type="dxa"/>
            <w:noWrap w:val="0"/>
            <w:vAlign w:val="center"/>
          </w:tcPr>
          <w:p>
            <w:pPr>
              <w:jc w:val="center"/>
              <w:rPr>
                <w:rFonts w:hint="eastAsia" w:ascii="宋体" w:hAnsi="宋体" w:eastAsia="宋体" w:cs="宋体"/>
                <w:sz w:val="24"/>
                <w:szCs w:val="24"/>
              </w:rPr>
            </w:pPr>
          </w:p>
        </w:tc>
        <w:tc>
          <w:tcPr>
            <w:tcW w:w="2172"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96" w:type="dxa"/>
            <w:noWrap w:val="0"/>
            <w:vAlign w:val="center"/>
          </w:tcPr>
          <w:p>
            <w:pPr>
              <w:jc w:val="center"/>
              <w:rPr>
                <w:rFonts w:hint="eastAsia" w:ascii="宋体" w:hAnsi="宋体" w:eastAsia="宋体" w:cs="宋体"/>
                <w:sz w:val="24"/>
                <w:szCs w:val="24"/>
              </w:rPr>
            </w:pPr>
          </w:p>
        </w:tc>
        <w:tc>
          <w:tcPr>
            <w:tcW w:w="2791" w:type="dxa"/>
            <w:noWrap w:val="0"/>
            <w:vAlign w:val="center"/>
          </w:tcPr>
          <w:p>
            <w:pPr>
              <w:jc w:val="center"/>
              <w:rPr>
                <w:rFonts w:hint="eastAsia" w:ascii="宋体" w:hAnsi="宋体" w:eastAsia="宋体" w:cs="宋体"/>
                <w:sz w:val="24"/>
                <w:szCs w:val="24"/>
              </w:rPr>
            </w:pPr>
          </w:p>
        </w:tc>
        <w:tc>
          <w:tcPr>
            <w:tcW w:w="2899" w:type="dxa"/>
            <w:noWrap w:val="0"/>
            <w:vAlign w:val="center"/>
          </w:tcPr>
          <w:p>
            <w:pPr>
              <w:jc w:val="center"/>
              <w:rPr>
                <w:rFonts w:hint="eastAsia" w:ascii="宋体" w:hAnsi="宋体" w:eastAsia="宋体" w:cs="宋体"/>
                <w:sz w:val="24"/>
                <w:szCs w:val="24"/>
              </w:rPr>
            </w:pPr>
          </w:p>
        </w:tc>
        <w:tc>
          <w:tcPr>
            <w:tcW w:w="2172"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96" w:type="dxa"/>
            <w:noWrap w:val="0"/>
            <w:vAlign w:val="center"/>
          </w:tcPr>
          <w:p>
            <w:pPr>
              <w:jc w:val="center"/>
              <w:rPr>
                <w:rFonts w:hint="eastAsia" w:ascii="宋体" w:hAnsi="宋体" w:eastAsia="宋体" w:cs="宋体"/>
                <w:sz w:val="24"/>
                <w:szCs w:val="24"/>
              </w:rPr>
            </w:pPr>
          </w:p>
        </w:tc>
        <w:tc>
          <w:tcPr>
            <w:tcW w:w="2791" w:type="dxa"/>
            <w:noWrap w:val="0"/>
            <w:vAlign w:val="center"/>
          </w:tcPr>
          <w:p>
            <w:pPr>
              <w:jc w:val="center"/>
              <w:rPr>
                <w:rFonts w:hint="eastAsia" w:ascii="宋体" w:hAnsi="宋体" w:eastAsia="宋体" w:cs="宋体"/>
                <w:sz w:val="24"/>
                <w:szCs w:val="24"/>
              </w:rPr>
            </w:pPr>
          </w:p>
        </w:tc>
        <w:tc>
          <w:tcPr>
            <w:tcW w:w="2899" w:type="dxa"/>
            <w:noWrap w:val="0"/>
            <w:vAlign w:val="center"/>
          </w:tcPr>
          <w:p>
            <w:pPr>
              <w:jc w:val="center"/>
              <w:rPr>
                <w:rFonts w:hint="eastAsia" w:ascii="宋体" w:hAnsi="宋体" w:eastAsia="宋体" w:cs="宋体"/>
                <w:sz w:val="24"/>
                <w:szCs w:val="24"/>
              </w:rPr>
            </w:pPr>
          </w:p>
        </w:tc>
        <w:tc>
          <w:tcPr>
            <w:tcW w:w="2172"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96" w:type="dxa"/>
            <w:noWrap w:val="0"/>
            <w:vAlign w:val="center"/>
          </w:tcPr>
          <w:p>
            <w:pPr>
              <w:jc w:val="center"/>
              <w:rPr>
                <w:rFonts w:hint="eastAsia" w:ascii="宋体" w:hAnsi="宋体" w:eastAsia="宋体" w:cs="宋体"/>
                <w:sz w:val="24"/>
                <w:szCs w:val="24"/>
              </w:rPr>
            </w:pPr>
          </w:p>
        </w:tc>
        <w:tc>
          <w:tcPr>
            <w:tcW w:w="2791" w:type="dxa"/>
            <w:noWrap w:val="0"/>
            <w:vAlign w:val="center"/>
          </w:tcPr>
          <w:p>
            <w:pPr>
              <w:jc w:val="center"/>
              <w:rPr>
                <w:rFonts w:hint="eastAsia" w:ascii="宋体" w:hAnsi="宋体" w:eastAsia="宋体" w:cs="宋体"/>
                <w:sz w:val="24"/>
                <w:szCs w:val="24"/>
              </w:rPr>
            </w:pPr>
          </w:p>
        </w:tc>
        <w:tc>
          <w:tcPr>
            <w:tcW w:w="2899" w:type="dxa"/>
            <w:noWrap w:val="0"/>
            <w:vAlign w:val="center"/>
          </w:tcPr>
          <w:p>
            <w:pPr>
              <w:jc w:val="center"/>
              <w:rPr>
                <w:rFonts w:hint="eastAsia" w:ascii="宋体" w:hAnsi="宋体" w:eastAsia="宋体" w:cs="宋体"/>
                <w:sz w:val="24"/>
                <w:szCs w:val="24"/>
              </w:rPr>
            </w:pPr>
          </w:p>
        </w:tc>
        <w:tc>
          <w:tcPr>
            <w:tcW w:w="2172"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96" w:type="dxa"/>
            <w:noWrap w:val="0"/>
            <w:vAlign w:val="center"/>
          </w:tcPr>
          <w:p>
            <w:pPr>
              <w:jc w:val="center"/>
              <w:rPr>
                <w:rFonts w:hint="eastAsia" w:ascii="宋体" w:hAnsi="宋体" w:eastAsia="宋体" w:cs="宋体"/>
                <w:sz w:val="24"/>
                <w:szCs w:val="24"/>
              </w:rPr>
            </w:pPr>
          </w:p>
        </w:tc>
        <w:tc>
          <w:tcPr>
            <w:tcW w:w="2791" w:type="dxa"/>
            <w:noWrap w:val="0"/>
            <w:vAlign w:val="center"/>
          </w:tcPr>
          <w:p>
            <w:pPr>
              <w:jc w:val="center"/>
              <w:rPr>
                <w:rFonts w:hint="eastAsia" w:ascii="宋体" w:hAnsi="宋体" w:eastAsia="宋体" w:cs="宋体"/>
                <w:sz w:val="24"/>
                <w:szCs w:val="24"/>
              </w:rPr>
            </w:pPr>
          </w:p>
        </w:tc>
        <w:tc>
          <w:tcPr>
            <w:tcW w:w="2899" w:type="dxa"/>
            <w:noWrap w:val="0"/>
            <w:vAlign w:val="center"/>
          </w:tcPr>
          <w:p>
            <w:pPr>
              <w:jc w:val="center"/>
              <w:rPr>
                <w:rFonts w:hint="eastAsia" w:ascii="宋体" w:hAnsi="宋体" w:eastAsia="宋体" w:cs="宋体"/>
                <w:sz w:val="24"/>
                <w:szCs w:val="24"/>
              </w:rPr>
            </w:pPr>
          </w:p>
        </w:tc>
        <w:tc>
          <w:tcPr>
            <w:tcW w:w="2172"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96" w:type="dxa"/>
            <w:noWrap w:val="0"/>
            <w:vAlign w:val="center"/>
          </w:tcPr>
          <w:p>
            <w:pPr>
              <w:jc w:val="center"/>
              <w:rPr>
                <w:rFonts w:hint="eastAsia" w:ascii="宋体" w:hAnsi="宋体" w:eastAsia="宋体" w:cs="宋体"/>
                <w:sz w:val="24"/>
                <w:szCs w:val="24"/>
              </w:rPr>
            </w:pPr>
          </w:p>
        </w:tc>
        <w:tc>
          <w:tcPr>
            <w:tcW w:w="2791" w:type="dxa"/>
            <w:noWrap w:val="0"/>
            <w:vAlign w:val="center"/>
          </w:tcPr>
          <w:p>
            <w:pPr>
              <w:jc w:val="center"/>
              <w:rPr>
                <w:rFonts w:hint="eastAsia" w:ascii="宋体" w:hAnsi="宋体" w:eastAsia="宋体" w:cs="宋体"/>
                <w:sz w:val="24"/>
                <w:szCs w:val="24"/>
              </w:rPr>
            </w:pPr>
          </w:p>
        </w:tc>
        <w:tc>
          <w:tcPr>
            <w:tcW w:w="2899" w:type="dxa"/>
            <w:noWrap w:val="0"/>
            <w:vAlign w:val="center"/>
          </w:tcPr>
          <w:p>
            <w:pPr>
              <w:jc w:val="center"/>
              <w:rPr>
                <w:rFonts w:hint="eastAsia" w:ascii="宋体" w:hAnsi="宋体" w:eastAsia="宋体" w:cs="宋体"/>
                <w:sz w:val="24"/>
                <w:szCs w:val="24"/>
              </w:rPr>
            </w:pPr>
          </w:p>
        </w:tc>
        <w:tc>
          <w:tcPr>
            <w:tcW w:w="2172" w:type="dxa"/>
            <w:noWrap w:val="0"/>
            <w:vAlign w:val="center"/>
          </w:tcPr>
          <w:p>
            <w:pPr>
              <w:jc w:val="center"/>
              <w:rPr>
                <w:rFonts w:hint="eastAsia" w:ascii="宋体" w:hAnsi="宋体" w:eastAsia="宋体" w:cs="宋体"/>
                <w:sz w:val="24"/>
                <w:szCs w:val="24"/>
              </w:rPr>
            </w:pPr>
          </w:p>
        </w:tc>
      </w:tr>
    </w:tbl>
    <w:p>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法定代表人（或其授权代表）或自然人：</w:t>
      </w:r>
    </w:p>
    <w:p>
      <w:pPr>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                               （签字或盖章）</w:t>
      </w:r>
    </w:p>
    <w:p>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numPr>
          <w:ilvl w:val="0"/>
          <w:numId w:val="0"/>
        </w:numPr>
        <w:snapToGrid w:val="0"/>
        <w:spacing w:line="400" w:lineRule="exact"/>
        <w:ind w:left="502"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1.本表即为对本项目“第二篇  </w:t>
      </w:r>
      <w:r>
        <w:rPr>
          <w:rFonts w:hint="eastAsia" w:ascii="宋体" w:hAnsi="宋体" w:cs="宋体"/>
          <w:color w:val="auto"/>
          <w:sz w:val="24"/>
          <w:szCs w:val="24"/>
          <w:lang w:val="en-US" w:eastAsia="zh-CN"/>
        </w:rPr>
        <w:t>采购服务需求</w:t>
      </w:r>
      <w:r>
        <w:rPr>
          <w:rFonts w:hint="eastAsia" w:ascii="宋体" w:hAnsi="宋体" w:eastAsia="宋体" w:cs="宋体"/>
          <w:color w:val="auto"/>
          <w:sz w:val="24"/>
          <w:szCs w:val="24"/>
          <w:lang w:val="en-US" w:eastAsia="zh-CN"/>
        </w:rPr>
        <w:t>”中所列条款进行比较和响应；</w:t>
      </w:r>
    </w:p>
    <w:p>
      <w:pPr>
        <w:numPr>
          <w:ilvl w:val="0"/>
          <w:numId w:val="0"/>
        </w:numPr>
        <w:snapToGrid w:val="0"/>
        <w:spacing w:line="400" w:lineRule="exact"/>
        <w:ind w:left="502"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2.本表可扩展。</w:t>
      </w:r>
    </w:p>
    <w:p>
      <w:pPr>
        <w:numPr>
          <w:ilvl w:val="0"/>
          <w:numId w:val="0"/>
        </w:numPr>
        <w:snapToGrid w:val="0"/>
        <w:spacing w:line="400" w:lineRule="exact"/>
        <w:ind w:left="502" w:leftChars="0"/>
        <w:rPr>
          <w:rFonts w:hint="eastAsia" w:ascii="宋体" w:hAnsi="宋体" w:eastAsia="宋体" w:cs="宋体"/>
          <w:color w:val="auto"/>
          <w:sz w:val="24"/>
          <w:szCs w:val="24"/>
          <w:lang w:val="en-US" w:eastAsia="zh-CN"/>
        </w:rPr>
      </w:pPr>
    </w:p>
    <w:p>
      <w:pPr>
        <w:numPr>
          <w:ilvl w:val="0"/>
          <w:numId w:val="0"/>
        </w:numPr>
        <w:snapToGrid w:val="0"/>
        <w:spacing w:line="400" w:lineRule="exact"/>
        <w:ind w:left="502" w:leftChars="0"/>
        <w:rPr>
          <w:rFonts w:hint="eastAsia" w:ascii="宋体" w:hAnsi="宋体" w:eastAsia="宋体" w:cs="宋体"/>
          <w:color w:val="auto"/>
          <w:sz w:val="24"/>
          <w:szCs w:val="24"/>
          <w:lang w:val="en-US" w:eastAsia="zh-CN"/>
        </w:rPr>
      </w:pPr>
    </w:p>
    <w:p>
      <w:pPr>
        <w:numPr>
          <w:ilvl w:val="0"/>
          <w:numId w:val="0"/>
        </w:numPr>
        <w:snapToGrid w:val="0"/>
        <w:spacing w:line="400" w:lineRule="exact"/>
        <w:ind w:left="502" w:leftChars="0"/>
        <w:rPr>
          <w:rFonts w:hint="eastAsia" w:ascii="宋体" w:hAnsi="宋体" w:eastAsia="宋体" w:cs="宋体"/>
          <w:color w:val="auto"/>
          <w:sz w:val="24"/>
          <w:szCs w:val="24"/>
          <w:lang w:val="en-US" w:eastAsia="zh-CN"/>
        </w:rPr>
      </w:pPr>
    </w:p>
    <w:p>
      <w:pPr>
        <w:numPr>
          <w:ilvl w:val="0"/>
          <w:numId w:val="0"/>
        </w:numPr>
        <w:snapToGrid w:val="0"/>
        <w:spacing w:line="400" w:lineRule="exact"/>
        <w:ind w:left="502" w:leftChars="0"/>
        <w:rPr>
          <w:rFonts w:hint="eastAsia" w:ascii="宋体" w:hAnsi="宋体" w:eastAsia="宋体" w:cs="宋体"/>
          <w:color w:val="auto"/>
          <w:sz w:val="24"/>
          <w:szCs w:val="24"/>
          <w:lang w:val="en-US" w:eastAsia="zh-CN"/>
        </w:rPr>
      </w:pPr>
    </w:p>
    <w:p>
      <w:pPr>
        <w:numPr>
          <w:ilvl w:val="0"/>
          <w:numId w:val="0"/>
        </w:numPr>
        <w:snapToGrid w:val="0"/>
        <w:spacing w:line="400" w:lineRule="exact"/>
        <w:ind w:left="502" w:leftChars="0"/>
        <w:rPr>
          <w:rFonts w:hint="eastAsia" w:ascii="宋体" w:hAnsi="宋体" w:eastAsia="宋体" w:cs="宋体"/>
          <w:color w:val="auto"/>
          <w:sz w:val="24"/>
          <w:szCs w:val="24"/>
          <w:lang w:val="en-US" w:eastAsia="zh-CN"/>
        </w:rPr>
      </w:pPr>
    </w:p>
    <w:p>
      <w:pPr>
        <w:numPr>
          <w:ilvl w:val="0"/>
          <w:numId w:val="0"/>
        </w:numPr>
        <w:snapToGrid w:val="0"/>
        <w:spacing w:line="400" w:lineRule="exact"/>
        <w:ind w:left="502" w:leftChars="0"/>
        <w:rPr>
          <w:rFonts w:hint="eastAsia" w:ascii="宋体" w:hAnsi="宋体" w:eastAsia="宋体" w:cs="宋体"/>
          <w:color w:val="auto"/>
          <w:sz w:val="24"/>
          <w:szCs w:val="24"/>
          <w:lang w:val="en-US" w:eastAsia="zh-CN"/>
        </w:rPr>
      </w:pPr>
    </w:p>
    <w:p>
      <w:pPr>
        <w:numPr>
          <w:ilvl w:val="0"/>
          <w:numId w:val="0"/>
        </w:numPr>
        <w:snapToGrid w:val="0"/>
        <w:spacing w:line="400" w:lineRule="exact"/>
        <w:ind w:left="502" w:leftChars="0"/>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pStyle w:val="5"/>
        <w:spacing w:line="360" w:lineRule="auto"/>
        <w:ind w:firstLine="482" w:firstLineChars="200"/>
        <w:rPr>
          <w:rFonts w:hint="eastAsia" w:ascii="宋体" w:hAnsi="宋体" w:eastAsia="宋体" w:cs="宋体"/>
          <w:color w:val="auto"/>
          <w:kern w:val="0"/>
          <w:sz w:val="24"/>
          <w:szCs w:val="24"/>
          <w:lang w:val="en-US" w:eastAsia="zh-CN"/>
        </w:rPr>
      </w:pPr>
      <w:bookmarkStart w:id="231" w:name="_Toc22113"/>
      <w:bookmarkStart w:id="232" w:name="_Toc23523"/>
      <w:bookmarkStart w:id="233" w:name="_Toc21122"/>
      <w:bookmarkStart w:id="234" w:name="_Toc29234"/>
      <w:bookmarkStart w:id="235" w:name="_Toc32670"/>
      <w:bookmarkStart w:id="236" w:name="_Toc7069"/>
      <w:bookmarkStart w:id="237" w:name="_Toc3751"/>
      <w:bookmarkStart w:id="238" w:name="_Toc2284"/>
      <w:bookmarkStart w:id="239" w:name="_Toc11083"/>
      <w:bookmarkStart w:id="240" w:name="_Toc13303"/>
      <w:bookmarkStart w:id="241" w:name="_Toc13708"/>
      <w:bookmarkStart w:id="242" w:name="_Toc18650"/>
      <w:bookmarkStart w:id="243" w:name="_Toc493178791"/>
      <w:bookmarkStart w:id="244" w:name="_Toc1776"/>
      <w:bookmarkStart w:id="245" w:name="_Toc5573"/>
      <w:bookmarkStart w:id="246" w:name="_Toc14954"/>
      <w:bookmarkStart w:id="247" w:name="_Toc5134"/>
      <w:bookmarkStart w:id="248" w:name="_Toc10498"/>
      <w:bookmarkStart w:id="249" w:name="_Toc10372"/>
      <w:bookmarkStart w:id="250" w:name="_Toc17290"/>
      <w:bookmarkStart w:id="251" w:name="_Toc28242"/>
      <w:bookmarkStart w:id="252" w:name="_Toc26494"/>
      <w:bookmarkStart w:id="253" w:name="_Toc28598"/>
      <w:bookmarkStart w:id="254" w:name="_Toc75793542"/>
      <w:bookmarkStart w:id="255" w:name="_Toc30496"/>
      <w:bookmarkStart w:id="256" w:name="_Toc8958"/>
      <w:bookmarkStart w:id="257" w:name="_Toc4362"/>
      <w:bookmarkStart w:id="258" w:name="_Toc492721039"/>
      <w:bookmarkStart w:id="259" w:name="_Toc6786"/>
      <w:r>
        <w:rPr>
          <w:rFonts w:hint="eastAsia" w:ascii="宋体" w:hAnsi="宋体" w:eastAsia="宋体" w:cs="宋体"/>
          <w:color w:val="auto"/>
          <w:kern w:val="0"/>
          <w:sz w:val="24"/>
          <w:szCs w:val="24"/>
          <w:lang w:val="en-US" w:eastAsia="zh-CN"/>
        </w:rPr>
        <w:t>三、商务文件</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）商务响应偏离表</w:t>
      </w:r>
    </w:p>
    <w:p>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3159"/>
        <w:gridCol w:w="241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159" w:type="dxa"/>
            <w:noWrap w:val="0"/>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比选</w:t>
            </w:r>
            <w:r>
              <w:rPr>
                <w:rFonts w:hint="eastAsia" w:ascii="宋体" w:hAnsi="宋体" w:eastAsia="宋体" w:cs="宋体"/>
                <w:sz w:val="24"/>
                <w:szCs w:val="24"/>
              </w:rPr>
              <w:t>商务需求</w:t>
            </w:r>
          </w:p>
        </w:tc>
        <w:tc>
          <w:tcPr>
            <w:tcW w:w="241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响应情况</w:t>
            </w:r>
          </w:p>
        </w:tc>
        <w:tc>
          <w:tcPr>
            <w:tcW w:w="23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0" w:type="dxa"/>
            <w:noWrap w:val="0"/>
            <w:vAlign w:val="center"/>
          </w:tcPr>
          <w:p>
            <w:pPr>
              <w:jc w:val="center"/>
              <w:rPr>
                <w:rFonts w:hint="eastAsia" w:ascii="宋体" w:hAnsi="宋体" w:eastAsia="宋体" w:cs="宋体"/>
                <w:sz w:val="24"/>
                <w:szCs w:val="24"/>
              </w:rPr>
            </w:pPr>
          </w:p>
        </w:tc>
        <w:tc>
          <w:tcPr>
            <w:tcW w:w="3159" w:type="dxa"/>
            <w:noWrap w:val="0"/>
            <w:vAlign w:val="center"/>
          </w:tcPr>
          <w:p>
            <w:pPr>
              <w:jc w:val="center"/>
              <w:rPr>
                <w:rFonts w:hint="eastAsia" w:ascii="宋体" w:hAnsi="宋体" w:eastAsia="宋体" w:cs="宋体"/>
                <w:sz w:val="24"/>
                <w:szCs w:val="24"/>
              </w:rPr>
            </w:pPr>
          </w:p>
        </w:tc>
        <w:tc>
          <w:tcPr>
            <w:tcW w:w="2419" w:type="dxa"/>
            <w:noWrap w:val="0"/>
            <w:vAlign w:val="center"/>
          </w:tcPr>
          <w:p>
            <w:pPr>
              <w:jc w:val="center"/>
              <w:rPr>
                <w:rFonts w:hint="eastAsia" w:ascii="宋体" w:hAnsi="宋体" w:eastAsia="宋体" w:cs="宋体"/>
                <w:sz w:val="24"/>
                <w:szCs w:val="24"/>
              </w:rPr>
            </w:pPr>
          </w:p>
        </w:tc>
        <w:tc>
          <w:tcPr>
            <w:tcW w:w="234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0" w:type="dxa"/>
            <w:noWrap w:val="0"/>
            <w:vAlign w:val="center"/>
          </w:tcPr>
          <w:p>
            <w:pPr>
              <w:jc w:val="center"/>
              <w:rPr>
                <w:rFonts w:hint="eastAsia" w:ascii="宋体" w:hAnsi="宋体" w:eastAsia="宋体" w:cs="宋体"/>
                <w:sz w:val="24"/>
                <w:szCs w:val="24"/>
              </w:rPr>
            </w:pPr>
          </w:p>
        </w:tc>
        <w:tc>
          <w:tcPr>
            <w:tcW w:w="3159" w:type="dxa"/>
            <w:noWrap w:val="0"/>
            <w:vAlign w:val="center"/>
          </w:tcPr>
          <w:p>
            <w:pPr>
              <w:jc w:val="center"/>
              <w:rPr>
                <w:rFonts w:hint="eastAsia" w:ascii="宋体" w:hAnsi="宋体" w:eastAsia="宋体" w:cs="宋体"/>
                <w:sz w:val="24"/>
                <w:szCs w:val="24"/>
              </w:rPr>
            </w:pPr>
          </w:p>
        </w:tc>
        <w:tc>
          <w:tcPr>
            <w:tcW w:w="2419" w:type="dxa"/>
            <w:noWrap w:val="0"/>
            <w:vAlign w:val="center"/>
          </w:tcPr>
          <w:p>
            <w:pPr>
              <w:jc w:val="center"/>
              <w:rPr>
                <w:rFonts w:hint="eastAsia" w:ascii="宋体" w:hAnsi="宋体" w:eastAsia="宋体" w:cs="宋体"/>
                <w:sz w:val="24"/>
                <w:szCs w:val="24"/>
              </w:rPr>
            </w:pPr>
          </w:p>
        </w:tc>
        <w:tc>
          <w:tcPr>
            <w:tcW w:w="234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0" w:type="dxa"/>
            <w:noWrap w:val="0"/>
            <w:vAlign w:val="center"/>
          </w:tcPr>
          <w:p>
            <w:pPr>
              <w:jc w:val="center"/>
              <w:rPr>
                <w:rFonts w:hint="eastAsia" w:ascii="宋体" w:hAnsi="宋体" w:eastAsia="宋体" w:cs="宋体"/>
                <w:sz w:val="24"/>
                <w:szCs w:val="24"/>
              </w:rPr>
            </w:pPr>
          </w:p>
        </w:tc>
        <w:tc>
          <w:tcPr>
            <w:tcW w:w="3159" w:type="dxa"/>
            <w:noWrap w:val="0"/>
            <w:vAlign w:val="center"/>
          </w:tcPr>
          <w:p>
            <w:pPr>
              <w:jc w:val="center"/>
              <w:rPr>
                <w:rFonts w:hint="eastAsia" w:ascii="宋体" w:hAnsi="宋体" w:eastAsia="宋体" w:cs="宋体"/>
                <w:sz w:val="24"/>
                <w:szCs w:val="24"/>
              </w:rPr>
            </w:pPr>
          </w:p>
        </w:tc>
        <w:tc>
          <w:tcPr>
            <w:tcW w:w="2419" w:type="dxa"/>
            <w:noWrap w:val="0"/>
            <w:vAlign w:val="center"/>
          </w:tcPr>
          <w:p>
            <w:pPr>
              <w:jc w:val="center"/>
              <w:rPr>
                <w:rFonts w:hint="eastAsia" w:ascii="宋体" w:hAnsi="宋体" w:eastAsia="宋体" w:cs="宋体"/>
                <w:sz w:val="24"/>
                <w:szCs w:val="24"/>
              </w:rPr>
            </w:pPr>
          </w:p>
        </w:tc>
        <w:tc>
          <w:tcPr>
            <w:tcW w:w="234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0" w:type="dxa"/>
            <w:noWrap w:val="0"/>
            <w:vAlign w:val="center"/>
          </w:tcPr>
          <w:p>
            <w:pPr>
              <w:jc w:val="center"/>
              <w:rPr>
                <w:rFonts w:hint="eastAsia" w:ascii="宋体" w:hAnsi="宋体" w:eastAsia="宋体" w:cs="宋体"/>
                <w:sz w:val="24"/>
                <w:szCs w:val="24"/>
              </w:rPr>
            </w:pPr>
          </w:p>
        </w:tc>
        <w:tc>
          <w:tcPr>
            <w:tcW w:w="3159" w:type="dxa"/>
            <w:noWrap w:val="0"/>
            <w:vAlign w:val="center"/>
          </w:tcPr>
          <w:p>
            <w:pPr>
              <w:jc w:val="center"/>
              <w:rPr>
                <w:rFonts w:hint="eastAsia" w:ascii="宋体" w:hAnsi="宋体" w:eastAsia="宋体" w:cs="宋体"/>
                <w:sz w:val="24"/>
                <w:szCs w:val="24"/>
              </w:rPr>
            </w:pPr>
          </w:p>
        </w:tc>
        <w:tc>
          <w:tcPr>
            <w:tcW w:w="2419" w:type="dxa"/>
            <w:noWrap w:val="0"/>
            <w:vAlign w:val="center"/>
          </w:tcPr>
          <w:p>
            <w:pPr>
              <w:jc w:val="center"/>
              <w:rPr>
                <w:rFonts w:hint="eastAsia" w:ascii="宋体" w:hAnsi="宋体" w:eastAsia="宋体" w:cs="宋体"/>
                <w:sz w:val="24"/>
                <w:szCs w:val="24"/>
              </w:rPr>
            </w:pPr>
          </w:p>
        </w:tc>
        <w:tc>
          <w:tcPr>
            <w:tcW w:w="234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0" w:type="dxa"/>
            <w:noWrap w:val="0"/>
            <w:vAlign w:val="center"/>
          </w:tcPr>
          <w:p>
            <w:pPr>
              <w:jc w:val="center"/>
              <w:rPr>
                <w:rFonts w:hint="eastAsia" w:ascii="宋体" w:hAnsi="宋体" w:eastAsia="宋体" w:cs="宋体"/>
                <w:sz w:val="24"/>
                <w:szCs w:val="24"/>
              </w:rPr>
            </w:pPr>
          </w:p>
        </w:tc>
        <w:tc>
          <w:tcPr>
            <w:tcW w:w="3159" w:type="dxa"/>
            <w:noWrap w:val="0"/>
            <w:vAlign w:val="center"/>
          </w:tcPr>
          <w:p>
            <w:pPr>
              <w:jc w:val="center"/>
              <w:rPr>
                <w:rFonts w:hint="eastAsia" w:ascii="宋体" w:hAnsi="宋体" w:eastAsia="宋体" w:cs="宋体"/>
                <w:sz w:val="24"/>
                <w:szCs w:val="24"/>
              </w:rPr>
            </w:pPr>
          </w:p>
        </w:tc>
        <w:tc>
          <w:tcPr>
            <w:tcW w:w="2419" w:type="dxa"/>
            <w:noWrap w:val="0"/>
            <w:vAlign w:val="center"/>
          </w:tcPr>
          <w:p>
            <w:pPr>
              <w:jc w:val="center"/>
              <w:rPr>
                <w:rFonts w:hint="eastAsia" w:ascii="宋体" w:hAnsi="宋体" w:eastAsia="宋体" w:cs="宋体"/>
                <w:sz w:val="24"/>
                <w:szCs w:val="24"/>
              </w:rPr>
            </w:pPr>
          </w:p>
        </w:tc>
        <w:tc>
          <w:tcPr>
            <w:tcW w:w="234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0" w:type="dxa"/>
            <w:noWrap w:val="0"/>
            <w:vAlign w:val="center"/>
          </w:tcPr>
          <w:p>
            <w:pPr>
              <w:jc w:val="center"/>
              <w:rPr>
                <w:rFonts w:hint="eastAsia" w:ascii="宋体" w:hAnsi="宋体" w:eastAsia="宋体" w:cs="宋体"/>
                <w:sz w:val="24"/>
                <w:szCs w:val="24"/>
              </w:rPr>
            </w:pPr>
          </w:p>
        </w:tc>
        <w:tc>
          <w:tcPr>
            <w:tcW w:w="3159" w:type="dxa"/>
            <w:noWrap w:val="0"/>
            <w:vAlign w:val="center"/>
          </w:tcPr>
          <w:p>
            <w:pPr>
              <w:jc w:val="center"/>
              <w:rPr>
                <w:rFonts w:hint="eastAsia" w:ascii="宋体" w:hAnsi="宋体" w:eastAsia="宋体" w:cs="宋体"/>
                <w:sz w:val="24"/>
                <w:szCs w:val="24"/>
              </w:rPr>
            </w:pPr>
          </w:p>
        </w:tc>
        <w:tc>
          <w:tcPr>
            <w:tcW w:w="2419" w:type="dxa"/>
            <w:noWrap w:val="0"/>
            <w:vAlign w:val="center"/>
          </w:tcPr>
          <w:p>
            <w:pPr>
              <w:jc w:val="center"/>
              <w:rPr>
                <w:rFonts w:hint="eastAsia" w:ascii="宋体" w:hAnsi="宋体" w:eastAsia="宋体" w:cs="宋体"/>
                <w:sz w:val="24"/>
                <w:szCs w:val="24"/>
              </w:rPr>
            </w:pPr>
          </w:p>
        </w:tc>
        <w:tc>
          <w:tcPr>
            <w:tcW w:w="234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0" w:type="dxa"/>
            <w:noWrap w:val="0"/>
            <w:vAlign w:val="center"/>
          </w:tcPr>
          <w:p>
            <w:pPr>
              <w:jc w:val="center"/>
              <w:rPr>
                <w:rFonts w:hint="eastAsia" w:ascii="宋体" w:hAnsi="宋体" w:eastAsia="宋体" w:cs="宋体"/>
                <w:sz w:val="24"/>
                <w:szCs w:val="24"/>
              </w:rPr>
            </w:pPr>
          </w:p>
        </w:tc>
        <w:tc>
          <w:tcPr>
            <w:tcW w:w="3159" w:type="dxa"/>
            <w:noWrap w:val="0"/>
            <w:vAlign w:val="center"/>
          </w:tcPr>
          <w:p>
            <w:pPr>
              <w:jc w:val="center"/>
              <w:rPr>
                <w:rFonts w:hint="eastAsia" w:ascii="宋体" w:hAnsi="宋体" w:eastAsia="宋体" w:cs="宋体"/>
                <w:sz w:val="24"/>
                <w:szCs w:val="24"/>
              </w:rPr>
            </w:pPr>
          </w:p>
        </w:tc>
        <w:tc>
          <w:tcPr>
            <w:tcW w:w="2419" w:type="dxa"/>
            <w:noWrap w:val="0"/>
            <w:vAlign w:val="center"/>
          </w:tcPr>
          <w:p>
            <w:pPr>
              <w:jc w:val="center"/>
              <w:rPr>
                <w:rFonts w:hint="eastAsia" w:ascii="宋体" w:hAnsi="宋体" w:eastAsia="宋体" w:cs="宋体"/>
                <w:sz w:val="24"/>
                <w:szCs w:val="24"/>
              </w:rPr>
            </w:pPr>
          </w:p>
        </w:tc>
        <w:tc>
          <w:tcPr>
            <w:tcW w:w="234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00" w:type="dxa"/>
            <w:noWrap w:val="0"/>
            <w:vAlign w:val="center"/>
          </w:tcPr>
          <w:p>
            <w:pPr>
              <w:jc w:val="center"/>
              <w:rPr>
                <w:rFonts w:hint="eastAsia" w:ascii="宋体" w:hAnsi="宋体" w:eastAsia="宋体" w:cs="宋体"/>
                <w:sz w:val="24"/>
                <w:szCs w:val="24"/>
              </w:rPr>
            </w:pPr>
          </w:p>
        </w:tc>
        <w:tc>
          <w:tcPr>
            <w:tcW w:w="3159" w:type="dxa"/>
            <w:noWrap w:val="0"/>
            <w:vAlign w:val="center"/>
          </w:tcPr>
          <w:p>
            <w:pPr>
              <w:jc w:val="center"/>
              <w:rPr>
                <w:rFonts w:hint="eastAsia" w:ascii="宋体" w:hAnsi="宋体" w:eastAsia="宋体" w:cs="宋体"/>
                <w:sz w:val="24"/>
                <w:szCs w:val="24"/>
              </w:rPr>
            </w:pPr>
          </w:p>
        </w:tc>
        <w:tc>
          <w:tcPr>
            <w:tcW w:w="2419" w:type="dxa"/>
            <w:noWrap w:val="0"/>
            <w:vAlign w:val="center"/>
          </w:tcPr>
          <w:p>
            <w:pPr>
              <w:jc w:val="center"/>
              <w:rPr>
                <w:rFonts w:hint="eastAsia" w:ascii="宋体" w:hAnsi="宋体" w:eastAsia="宋体" w:cs="宋体"/>
                <w:sz w:val="24"/>
                <w:szCs w:val="24"/>
              </w:rPr>
            </w:pPr>
          </w:p>
        </w:tc>
        <w:tc>
          <w:tcPr>
            <w:tcW w:w="2340"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00" w:type="dxa"/>
            <w:noWrap w:val="0"/>
            <w:vAlign w:val="center"/>
          </w:tcPr>
          <w:p>
            <w:pPr>
              <w:jc w:val="center"/>
              <w:rPr>
                <w:rFonts w:hint="eastAsia" w:ascii="宋体" w:hAnsi="宋体" w:eastAsia="宋体" w:cs="宋体"/>
                <w:sz w:val="24"/>
                <w:szCs w:val="24"/>
              </w:rPr>
            </w:pPr>
          </w:p>
        </w:tc>
        <w:tc>
          <w:tcPr>
            <w:tcW w:w="3159" w:type="dxa"/>
            <w:noWrap w:val="0"/>
            <w:vAlign w:val="center"/>
          </w:tcPr>
          <w:p>
            <w:pPr>
              <w:jc w:val="center"/>
              <w:rPr>
                <w:rFonts w:hint="eastAsia" w:ascii="宋体" w:hAnsi="宋体" w:eastAsia="宋体" w:cs="宋体"/>
                <w:sz w:val="24"/>
                <w:szCs w:val="24"/>
              </w:rPr>
            </w:pPr>
          </w:p>
        </w:tc>
        <w:tc>
          <w:tcPr>
            <w:tcW w:w="2419" w:type="dxa"/>
            <w:noWrap w:val="0"/>
            <w:vAlign w:val="center"/>
          </w:tcPr>
          <w:p>
            <w:pPr>
              <w:jc w:val="center"/>
              <w:rPr>
                <w:rFonts w:hint="eastAsia" w:ascii="宋体" w:hAnsi="宋体" w:eastAsia="宋体" w:cs="宋体"/>
                <w:sz w:val="24"/>
                <w:szCs w:val="24"/>
              </w:rPr>
            </w:pPr>
          </w:p>
        </w:tc>
        <w:tc>
          <w:tcPr>
            <w:tcW w:w="2340" w:type="dxa"/>
            <w:noWrap w:val="0"/>
            <w:vAlign w:val="center"/>
          </w:tcPr>
          <w:p>
            <w:pPr>
              <w:jc w:val="center"/>
              <w:rPr>
                <w:rFonts w:hint="eastAsia" w:ascii="宋体" w:hAnsi="宋体" w:eastAsia="宋体" w:cs="宋体"/>
                <w:sz w:val="24"/>
                <w:szCs w:val="24"/>
              </w:rPr>
            </w:pPr>
          </w:p>
        </w:tc>
      </w:tr>
    </w:tbl>
    <w:p>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法定代表人（或其授权代表）或自然人：</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5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                                 （签字或盖章）</w:t>
      </w:r>
    </w:p>
    <w:p>
      <w:pPr>
        <w:tabs>
          <w:tab w:val="left" w:pos="6300"/>
        </w:tabs>
        <w:snapToGrid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1.本表即为对本项目“第三篇  </w:t>
      </w:r>
      <w:r>
        <w:rPr>
          <w:rFonts w:hint="eastAsia" w:ascii="宋体" w:hAnsi="宋体" w:eastAsia="宋体" w:cs="宋体"/>
          <w:color w:val="auto"/>
          <w:sz w:val="24"/>
          <w:szCs w:val="24"/>
          <w:lang w:val="en-US" w:eastAsia="zh-CN"/>
        </w:rPr>
        <w:t>采购商务要求</w:t>
      </w:r>
      <w:r>
        <w:rPr>
          <w:rFonts w:hint="eastAsia" w:ascii="宋体" w:hAnsi="宋体" w:eastAsia="宋体" w:cs="宋体"/>
          <w:color w:val="auto"/>
          <w:sz w:val="24"/>
          <w:szCs w:val="24"/>
        </w:rPr>
        <w:t>”中所列条款进行比较和响应；</w:t>
      </w:r>
    </w:p>
    <w:p>
      <w:pPr>
        <w:tabs>
          <w:tab w:val="left" w:pos="6300"/>
        </w:tabs>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2.本表可扩展。</w:t>
      </w:r>
    </w:p>
    <w:p>
      <w:pPr>
        <w:tabs>
          <w:tab w:val="left" w:pos="6300"/>
        </w:tabs>
        <w:snapToGrid w:val="0"/>
        <w:spacing w:line="500" w:lineRule="exact"/>
        <w:rPr>
          <w:rFonts w:hint="eastAsia" w:ascii="宋体" w:hAnsi="宋体" w:eastAsia="宋体" w:cs="宋体"/>
          <w:color w:val="auto"/>
          <w:sz w:val="24"/>
          <w:szCs w:val="24"/>
        </w:rPr>
      </w:pPr>
    </w:p>
    <w:p>
      <w:pPr>
        <w:tabs>
          <w:tab w:val="left" w:pos="6300"/>
        </w:tabs>
        <w:snapToGrid w:val="0"/>
        <w:spacing w:line="500" w:lineRule="exact"/>
        <w:ind w:firstLine="480" w:firstLineChars="200"/>
        <w:rPr>
          <w:rFonts w:hint="eastAsia" w:ascii="宋体" w:hAnsi="宋体" w:eastAsia="宋体" w:cs="宋体"/>
          <w:color w:val="auto"/>
          <w:sz w:val="24"/>
          <w:szCs w:val="24"/>
        </w:rPr>
      </w:pPr>
    </w:p>
    <w:p>
      <w:pPr>
        <w:pStyle w:val="17"/>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17"/>
        <w:rPr>
          <w:rFonts w:hint="eastAsia" w:ascii="宋体" w:hAnsi="宋体" w:eastAsia="宋体" w:cs="宋体"/>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tabs>
          <w:tab w:val="left" w:pos="6300"/>
        </w:tabs>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）其它</w:t>
      </w: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rPr>
        <w:t>优惠承诺（格式自定）</w:t>
      </w:r>
    </w:p>
    <w:p>
      <w:pPr>
        <w:tabs>
          <w:tab w:val="left" w:pos="6300"/>
        </w:tabs>
        <w:snapToGrid w:val="0"/>
        <w:spacing w:line="500" w:lineRule="exact"/>
        <w:ind w:firstLine="560"/>
        <w:rPr>
          <w:rFonts w:hint="eastAsia" w:ascii="宋体" w:hAnsi="宋体" w:eastAsia="宋体" w:cs="宋体"/>
          <w:sz w:val="24"/>
          <w:szCs w:val="24"/>
        </w:rPr>
      </w:pPr>
      <w:r>
        <w:rPr>
          <w:rFonts w:hint="eastAsia" w:ascii="宋体" w:hAnsi="宋体" w:eastAsia="宋体" w:cs="宋体"/>
          <w:sz w:val="24"/>
          <w:szCs w:val="24"/>
        </w:rPr>
        <w:br w:type="page"/>
      </w:r>
    </w:p>
    <w:p>
      <w:pPr>
        <w:pStyle w:val="5"/>
        <w:spacing w:line="360" w:lineRule="auto"/>
        <w:ind w:firstLine="482" w:firstLineChars="200"/>
        <w:rPr>
          <w:rFonts w:hint="eastAsia" w:ascii="宋体" w:hAnsi="宋体" w:eastAsia="宋体" w:cs="宋体"/>
          <w:color w:val="auto"/>
          <w:kern w:val="0"/>
          <w:sz w:val="24"/>
          <w:szCs w:val="24"/>
          <w:lang w:val="en-US" w:eastAsia="zh-CN"/>
        </w:rPr>
      </w:pPr>
      <w:bookmarkStart w:id="260" w:name="_Toc9195"/>
      <w:bookmarkStart w:id="261" w:name="_Toc16577"/>
      <w:bookmarkStart w:id="262" w:name="_Toc28125"/>
      <w:bookmarkStart w:id="263" w:name="_Toc75793544"/>
      <w:bookmarkStart w:id="264" w:name="_Toc29412"/>
      <w:bookmarkStart w:id="265" w:name="_Toc6108"/>
      <w:bookmarkStart w:id="266" w:name="_Toc4000"/>
      <w:bookmarkStart w:id="267" w:name="_Toc13249"/>
      <w:bookmarkStart w:id="268" w:name="_Toc30988"/>
      <w:bookmarkStart w:id="269" w:name="_Toc492721038"/>
      <w:bookmarkStart w:id="270" w:name="_Toc11324"/>
      <w:bookmarkStart w:id="271" w:name="_Toc26381"/>
      <w:bookmarkStart w:id="272" w:name="_Toc3363"/>
      <w:bookmarkStart w:id="273" w:name="_Toc17829"/>
      <w:bookmarkStart w:id="274" w:name="_Toc8899"/>
      <w:bookmarkStart w:id="275" w:name="_Toc493178793"/>
      <w:bookmarkStart w:id="276" w:name="_Toc17944"/>
      <w:bookmarkStart w:id="277" w:name="_Toc28432"/>
      <w:bookmarkStart w:id="278" w:name="_Toc12509"/>
      <w:bookmarkStart w:id="279" w:name="_Toc21121"/>
      <w:bookmarkStart w:id="280" w:name="_Toc17848"/>
      <w:bookmarkStart w:id="281" w:name="_Toc15450"/>
      <w:bookmarkStart w:id="282" w:name="_Toc13155"/>
      <w:bookmarkStart w:id="283" w:name="_Toc25072"/>
      <w:bookmarkStart w:id="284" w:name="_Toc23187"/>
      <w:bookmarkStart w:id="285" w:name="_Toc30863"/>
      <w:bookmarkStart w:id="286" w:name="_Toc22681"/>
      <w:bookmarkStart w:id="287" w:name="_Toc30818"/>
      <w:bookmarkStart w:id="288" w:name="_Toc23494"/>
      <w:r>
        <w:rPr>
          <w:rFonts w:hint="eastAsia" w:ascii="宋体" w:hAnsi="宋体" w:eastAsia="宋体" w:cs="宋体"/>
          <w:color w:val="auto"/>
          <w:kern w:val="0"/>
          <w:sz w:val="24"/>
          <w:szCs w:val="24"/>
          <w:lang w:val="en-US" w:eastAsia="zh-CN"/>
        </w:rPr>
        <w:t>四</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hint="eastAsia" w:ascii="宋体" w:hAnsi="宋体" w:eastAsia="宋体" w:cs="宋体"/>
          <w:color w:val="auto"/>
          <w:kern w:val="0"/>
          <w:sz w:val="24"/>
          <w:szCs w:val="24"/>
          <w:lang w:val="en-US" w:eastAsia="zh-CN"/>
        </w:rPr>
        <w:t>、资格条件及其他</w:t>
      </w:r>
      <w:bookmarkEnd w:id="288"/>
    </w:p>
    <w:p>
      <w:pPr>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（一）法人营业执照（副本）或事业单位法人证书（副本）或个体工商户营业执照或有效的自然人身份证明或社会团体法人登记证书复印件</w:t>
      </w:r>
      <w:r>
        <w:rPr>
          <w:rFonts w:hint="eastAsia" w:ascii="宋体" w:hAnsi="宋体" w:eastAsia="宋体" w:cs="宋体"/>
          <w:sz w:val="24"/>
          <w:szCs w:val="24"/>
        </w:rPr>
        <w:br w:type="page"/>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pPr>
        <w:tabs>
          <w:tab w:val="left" w:pos="6300"/>
        </w:tabs>
        <w:snapToGrid w:val="0"/>
        <w:spacing w:line="500" w:lineRule="exact"/>
        <w:ind w:firstLine="570"/>
        <w:rPr>
          <w:rFonts w:hint="eastAsia" w:ascii="宋体" w:hAnsi="宋体" w:eastAsia="宋体" w:cs="宋体"/>
          <w:sz w:val="24"/>
          <w:szCs w:val="24"/>
        </w:rPr>
      </w:pPr>
    </w:p>
    <w:p>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tabs>
          <w:tab w:val="left" w:pos="6300"/>
        </w:tabs>
        <w:snapToGrid w:val="0"/>
        <w:spacing w:line="500" w:lineRule="exact"/>
        <w:ind w:firstLine="570"/>
        <w:rPr>
          <w:rFonts w:hint="eastAsia" w:ascii="宋体" w:hAnsi="宋体" w:eastAsia="宋体" w:cs="宋体"/>
          <w:sz w:val="24"/>
          <w:szCs w:val="24"/>
        </w:rPr>
      </w:pPr>
    </w:p>
    <w:p>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采购人</w:t>
      </w:r>
      <w:r>
        <w:rPr>
          <w:rFonts w:hint="eastAsia" w:ascii="宋体" w:hAnsi="宋体" w:eastAsia="宋体" w:cs="宋体"/>
          <w:sz w:val="24"/>
          <w:szCs w:val="24"/>
        </w:rPr>
        <w:t>名称）：</w:t>
      </w:r>
    </w:p>
    <w:p>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（法定代表人姓名）在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（职务名称）职务，是</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w:t>
      </w:r>
    </w:p>
    <w:p>
      <w:pPr>
        <w:tabs>
          <w:tab w:val="left" w:pos="6300"/>
        </w:tabs>
        <w:snapToGrid w:val="0"/>
        <w:spacing w:line="500" w:lineRule="exact"/>
        <w:ind w:firstLine="570"/>
        <w:rPr>
          <w:rFonts w:hint="eastAsia" w:ascii="宋体" w:hAnsi="宋体" w:eastAsia="宋体" w:cs="宋体"/>
          <w:sz w:val="24"/>
          <w:szCs w:val="24"/>
        </w:rPr>
      </w:pPr>
    </w:p>
    <w:p>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特此证明。</w:t>
      </w:r>
    </w:p>
    <w:p>
      <w:pPr>
        <w:tabs>
          <w:tab w:val="left" w:pos="6300"/>
        </w:tabs>
        <w:snapToGrid w:val="0"/>
        <w:spacing w:line="500" w:lineRule="exact"/>
        <w:ind w:firstLine="570"/>
        <w:rPr>
          <w:rFonts w:hint="eastAsia" w:ascii="宋体" w:hAnsi="宋体" w:eastAsia="宋体" w:cs="宋体"/>
          <w:sz w:val="24"/>
          <w:szCs w:val="24"/>
        </w:rPr>
      </w:pPr>
    </w:p>
    <w:p>
      <w:pPr>
        <w:tabs>
          <w:tab w:val="left" w:pos="6300"/>
        </w:tabs>
        <w:snapToGrid w:val="0"/>
        <w:spacing w:line="500" w:lineRule="exact"/>
        <w:ind w:firstLine="570"/>
        <w:rPr>
          <w:rFonts w:hint="eastAsia" w:ascii="宋体" w:hAnsi="宋体" w:eastAsia="宋体" w:cs="宋体"/>
          <w:sz w:val="24"/>
          <w:szCs w:val="24"/>
        </w:rPr>
      </w:pPr>
    </w:p>
    <w:p>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 xml:space="preserve">                                                 （供应商公章）</w:t>
      </w:r>
    </w:p>
    <w:p>
      <w:pPr>
        <w:tabs>
          <w:tab w:val="left" w:pos="6300"/>
        </w:tabs>
        <w:snapToGrid w:val="0"/>
        <w:spacing w:line="500" w:lineRule="exact"/>
        <w:ind w:firstLine="890" w:firstLineChars="371"/>
        <w:rPr>
          <w:rFonts w:hint="eastAsia" w:ascii="宋体" w:hAnsi="宋体" w:eastAsia="宋体" w:cs="宋体"/>
          <w:sz w:val="24"/>
          <w:szCs w:val="24"/>
        </w:rPr>
      </w:pPr>
      <w:r>
        <w:rPr>
          <w:rFonts w:hint="eastAsia" w:ascii="宋体" w:hAnsi="宋体" w:eastAsia="宋体" w:cs="宋体"/>
          <w:sz w:val="24"/>
          <w:szCs w:val="24"/>
        </w:rPr>
        <w:t xml:space="preserve">                                                年   月   日</w:t>
      </w:r>
    </w:p>
    <w:p>
      <w:pPr>
        <w:tabs>
          <w:tab w:val="left" w:pos="6300"/>
        </w:tabs>
        <w:snapToGrid w:val="0"/>
        <w:spacing w:line="500" w:lineRule="exact"/>
        <w:ind w:firstLine="570"/>
        <w:rPr>
          <w:rFonts w:hint="eastAsia" w:ascii="宋体" w:hAnsi="宋体" w:eastAsia="宋体" w:cs="宋体"/>
          <w:sz w:val="24"/>
          <w:szCs w:val="24"/>
        </w:rPr>
      </w:pPr>
    </w:p>
    <w:p>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法定代表人电话：XXXXXXX      电子邮箱：XXXXXX@XXXXX（若授权他人办理并签署投标文件的可不填写）</w:t>
      </w:r>
    </w:p>
    <w:p>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（附：法定代表人身份证正反面复印件）</w:t>
      </w:r>
    </w:p>
    <w:p>
      <w:pPr>
        <w:tabs>
          <w:tab w:val="left" w:pos="6300"/>
        </w:tabs>
        <w:snapToGrid w:val="0"/>
        <w:spacing w:line="312" w:lineRule="auto"/>
        <w:rPr>
          <w:rFonts w:hint="eastAsia" w:ascii="宋体" w:hAnsi="宋体" w:eastAsia="宋体" w:cs="宋体"/>
          <w:b/>
          <w:bCs/>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pPr>
        <w:tabs>
          <w:tab w:val="left" w:pos="6300"/>
        </w:tabs>
        <w:snapToGrid w:val="0"/>
        <w:spacing w:line="360" w:lineRule="auto"/>
        <w:jc w:val="center"/>
        <w:rPr>
          <w:rFonts w:hint="eastAsia" w:ascii="宋体" w:hAnsi="宋体" w:eastAsia="宋体" w:cs="宋体"/>
          <w:sz w:val="24"/>
          <w:szCs w:val="24"/>
        </w:rPr>
      </w:pPr>
    </w:p>
    <w:p>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tabs>
          <w:tab w:val="left" w:pos="6300"/>
        </w:tabs>
        <w:snapToGrid w:val="0"/>
        <w:spacing w:line="500" w:lineRule="exact"/>
        <w:ind w:firstLine="570"/>
        <w:rPr>
          <w:rFonts w:hint="eastAsia" w:ascii="宋体" w:hAnsi="宋体" w:eastAsia="宋体" w:cs="宋体"/>
          <w:sz w:val="24"/>
          <w:szCs w:val="24"/>
        </w:rPr>
      </w:pPr>
    </w:p>
    <w:p>
      <w:pPr>
        <w:keepNext w:val="0"/>
        <w:keepLines w:val="0"/>
        <w:pageBreakBefore w:val="0"/>
        <w:widowControl/>
        <w:tabs>
          <w:tab w:val="left" w:pos="6300"/>
        </w:tabs>
        <w:kinsoku/>
        <w:wordWrap/>
        <w:overflowPunct/>
        <w:topLinePunct w:val="0"/>
        <w:autoSpaceDE/>
        <w:autoSpaceDN/>
        <w:bidi w:val="0"/>
        <w:adjustRightInd/>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采购人</w:t>
      </w:r>
      <w:r>
        <w:rPr>
          <w:rFonts w:hint="eastAsia" w:ascii="宋体" w:hAnsi="宋体" w:eastAsia="宋体" w:cs="宋体"/>
          <w:sz w:val="24"/>
          <w:szCs w:val="24"/>
        </w:rPr>
        <w:t>名称）：</w:t>
      </w:r>
    </w:p>
    <w:p>
      <w:pPr>
        <w:keepNext w:val="0"/>
        <w:keepLines w:val="0"/>
        <w:pageBreakBefore w:val="0"/>
        <w:widowControl/>
        <w:tabs>
          <w:tab w:val="left" w:pos="6300"/>
        </w:tabs>
        <w:kinsoku/>
        <w:wordWrap/>
        <w:overflowPunct/>
        <w:topLinePunct w:val="0"/>
        <w:autoSpaceDE/>
        <w:autoSpaceDN/>
        <w:bidi w:val="0"/>
        <w:adjustRightInd/>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（法定代表人名称）是</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（供应商名称）的法定代表人，特授权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（被授权人姓名及身份证代码）电话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代表我单位全权办理上述项目的</w:t>
      </w:r>
      <w:r>
        <w:rPr>
          <w:rFonts w:hint="eastAsia" w:ascii="宋体" w:hAnsi="宋体" w:eastAsia="宋体" w:cs="宋体"/>
          <w:sz w:val="24"/>
          <w:szCs w:val="24"/>
          <w:lang w:eastAsia="zh-CN"/>
        </w:rPr>
        <w:t>比选</w:t>
      </w:r>
      <w:r>
        <w:rPr>
          <w:rFonts w:hint="eastAsia" w:ascii="宋体" w:hAnsi="宋体" w:cs="宋体"/>
          <w:sz w:val="24"/>
          <w:szCs w:val="24"/>
          <w:lang w:eastAsia="zh-CN"/>
        </w:rPr>
        <w:t>.</w:t>
      </w:r>
      <w:r>
        <w:rPr>
          <w:rFonts w:hint="eastAsia" w:ascii="宋体" w:hAnsi="宋体" w:eastAsia="宋体" w:cs="宋体"/>
          <w:sz w:val="24"/>
          <w:szCs w:val="24"/>
        </w:rPr>
        <w:t>签约等具体工作，并签署全部有关文件</w:t>
      </w:r>
      <w:r>
        <w:rPr>
          <w:rFonts w:hint="eastAsia" w:ascii="宋体" w:hAnsi="宋体" w:cs="宋体"/>
          <w:sz w:val="24"/>
          <w:szCs w:val="24"/>
          <w:lang w:eastAsia="zh-CN"/>
        </w:rPr>
        <w:t>.</w:t>
      </w:r>
      <w:r>
        <w:rPr>
          <w:rFonts w:hint="eastAsia" w:ascii="宋体" w:hAnsi="宋体" w:eastAsia="宋体" w:cs="宋体"/>
          <w:sz w:val="24"/>
          <w:szCs w:val="24"/>
        </w:rPr>
        <w:t>协议及合同。</w:t>
      </w:r>
    </w:p>
    <w:p>
      <w:pPr>
        <w:keepNext w:val="0"/>
        <w:keepLines w:val="0"/>
        <w:pageBreakBefore w:val="0"/>
        <w:widowControl/>
        <w:tabs>
          <w:tab w:val="left" w:pos="6300"/>
        </w:tabs>
        <w:kinsoku/>
        <w:wordWrap/>
        <w:overflowPunct/>
        <w:topLinePunct w:val="0"/>
        <w:autoSpaceDE/>
        <w:autoSpaceDN/>
        <w:bidi w:val="0"/>
        <w:adjustRightInd/>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我单位对被授权人的签字负全部责任。</w:t>
      </w:r>
    </w:p>
    <w:p>
      <w:pPr>
        <w:keepNext w:val="0"/>
        <w:keepLines w:val="0"/>
        <w:pageBreakBefore w:val="0"/>
        <w:widowControl/>
        <w:tabs>
          <w:tab w:val="left" w:pos="6300"/>
        </w:tabs>
        <w:kinsoku/>
        <w:wordWrap/>
        <w:overflowPunct/>
        <w:topLinePunct w:val="0"/>
        <w:autoSpaceDE/>
        <w:autoSpaceDN/>
        <w:bidi w:val="0"/>
        <w:adjustRightInd/>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cs="宋体"/>
          <w:sz w:val="24"/>
          <w:szCs w:val="24"/>
          <w:lang w:eastAsia="zh-CN"/>
        </w:rPr>
        <w:t>撤销</w:t>
      </w:r>
      <w:r>
        <w:rPr>
          <w:rFonts w:hint="eastAsia" w:ascii="宋体" w:hAnsi="宋体" w:eastAsia="宋体" w:cs="宋体"/>
          <w:sz w:val="24"/>
          <w:szCs w:val="24"/>
        </w:rPr>
        <w:t>授权的书面通知以前，本授权书一直有效。被授权人在授权书有效期内签署的所有文件不因授权</w:t>
      </w:r>
      <w:r>
        <w:rPr>
          <w:rFonts w:hint="eastAsia" w:ascii="宋体" w:hAnsi="宋体" w:cs="宋体"/>
          <w:sz w:val="24"/>
          <w:szCs w:val="24"/>
          <w:lang w:eastAsia="zh-CN"/>
        </w:rPr>
        <w:t>的撤销</w:t>
      </w:r>
      <w:r>
        <w:rPr>
          <w:rFonts w:hint="eastAsia" w:ascii="宋体" w:hAnsi="宋体" w:eastAsia="宋体" w:cs="宋体"/>
          <w:sz w:val="24"/>
          <w:szCs w:val="24"/>
        </w:rPr>
        <w:t>而失效。</w:t>
      </w:r>
    </w:p>
    <w:p>
      <w:pPr>
        <w:tabs>
          <w:tab w:val="left" w:pos="6300"/>
        </w:tabs>
        <w:snapToGrid w:val="0"/>
        <w:spacing w:line="360" w:lineRule="auto"/>
        <w:ind w:firstLine="570"/>
        <w:rPr>
          <w:rFonts w:hint="eastAsia" w:ascii="宋体" w:hAnsi="宋体" w:eastAsia="宋体" w:cs="宋体"/>
          <w:sz w:val="24"/>
          <w:szCs w:val="24"/>
        </w:rPr>
      </w:pPr>
    </w:p>
    <w:p>
      <w:pPr>
        <w:tabs>
          <w:tab w:val="left" w:pos="6300"/>
        </w:tabs>
        <w:snapToGrid w:val="0"/>
        <w:spacing w:line="360" w:lineRule="auto"/>
        <w:ind w:firstLine="570"/>
        <w:rPr>
          <w:rFonts w:hint="eastAsia" w:ascii="宋体" w:hAnsi="宋体" w:eastAsia="宋体" w:cs="宋体"/>
          <w:sz w:val="24"/>
          <w:szCs w:val="24"/>
        </w:rPr>
      </w:pPr>
    </w:p>
    <w:p>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被授权人：                                 法定代表人：</w:t>
      </w:r>
    </w:p>
    <w:p>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（签字或盖章）                             （签字或盖章）</w:t>
      </w:r>
    </w:p>
    <w:p>
      <w:pPr>
        <w:tabs>
          <w:tab w:val="left" w:pos="6300"/>
        </w:tabs>
        <w:snapToGrid w:val="0"/>
        <w:spacing w:line="360" w:lineRule="auto"/>
        <w:ind w:firstLine="570"/>
        <w:rPr>
          <w:rFonts w:hint="eastAsia" w:ascii="宋体" w:hAnsi="宋体" w:eastAsia="宋体" w:cs="宋体"/>
          <w:sz w:val="24"/>
          <w:szCs w:val="24"/>
        </w:rPr>
      </w:pPr>
    </w:p>
    <w:p>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（附：被授权人身份证正反面复印件）</w:t>
      </w:r>
    </w:p>
    <w:p>
      <w:pPr>
        <w:tabs>
          <w:tab w:val="left" w:pos="6300"/>
        </w:tabs>
        <w:snapToGrid w:val="0"/>
        <w:spacing w:line="360" w:lineRule="auto"/>
        <w:ind w:firstLine="570"/>
        <w:rPr>
          <w:rFonts w:hint="eastAsia" w:ascii="宋体" w:hAnsi="宋体" w:eastAsia="宋体" w:cs="宋体"/>
          <w:sz w:val="24"/>
          <w:szCs w:val="24"/>
        </w:rPr>
      </w:pPr>
    </w:p>
    <w:p>
      <w:pPr>
        <w:pStyle w:val="21"/>
        <w:rPr>
          <w:rFonts w:hint="eastAsia" w:ascii="宋体" w:hAnsi="宋体" w:eastAsia="宋体" w:cs="宋体"/>
          <w:sz w:val="24"/>
          <w:szCs w:val="24"/>
        </w:rPr>
      </w:pPr>
    </w:p>
    <w:p>
      <w:pPr>
        <w:pStyle w:val="21"/>
        <w:rPr>
          <w:rFonts w:hint="eastAsia" w:ascii="宋体" w:hAnsi="宋体" w:eastAsia="宋体" w:cs="宋体"/>
          <w:sz w:val="24"/>
          <w:szCs w:val="24"/>
        </w:rPr>
      </w:pPr>
    </w:p>
    <w:p>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（供应商公章）</w:t>
      </w:r>
    </w:p>
    <w:p>
      <w:pPr>
        <w:tabs>
          <w:tab w:val="left" w:pos="6300"/>
        </w:tabs>
        <w:snapToGrid w:val="0"/>
        <w:spacing w:line="500" w:lineRule="exact"/>
        <w:ind w:firstLine="890" w:firstLineChars="37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p>
    <w:p>
      <w:pPr>
        <w:tabs>
          <w:tab w:val="left" w:pos="6300"/>
        </w:tabs>
        <w:snapToGrid w:val="0"/>
        <w:spacing w:line="360" w:lineRule="auto"/>
        <w:ind w:right="480" w:firstLine="570"/>
        <w:jc w:val="right"/>
        <w:rPr>
          <w:rFonts w:hint="eastAsia" w:ascii="宋体" w:hAnsi="宋体" w:eastAsia="宋体" w:cs="宋体"/>
          <w:sz w:val="24"/>
          <w:szCs w:val="24"/>
        </w:rPr>
      </w:pPr>
    </w:p>
    <w:p>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sz w:val="24"/>
          <w:szCs w:val="24"/>
        </w:rPr>
        <w:t>被授权人电话：XXXXXXX      电子邮箱：XXXXXX@XXXXX（若法定代表人办理并签署</w:t>
      </w:r>
      <w:r>
        <w:rPr>
          <w:rFonts w:hint="eastAsia" w:ascii="宋体" w:hAnsi="宋体" w:eastAsia="宋体" w:cs="宋体"/>
          <w:sz w:val="24"/>
          <w:szCs w:val="24"/>
          <w:lang w:eastAsia="zh-CN"/>
        </w:rPr>
        <w:t>比选申请文件</w:t>
      </w:r>
      <w:r>
        <w:rPr>
          <w:rFonts w:hint="eastAsia" w:ascii="宋体" w:hAnsi="宋体" w:eastAsia="宋体" w:cs="宋体"/>
          <w:sz w:val="24"/>
          <w:szCs w:val="24"/>
        </w:rPr>
        <w:t>的可不填写）</w:t>
      </w:r>
    </w:p>
    <w:p>
      <w:pPr>
        <w:tabs>
          <w:tab w:val="left" w:pos="6300"/>
        </w:tabs>
        <w:snapToGrid w:val="0"/>
        <w:spacing w:line="360" w:lineRule="auto"/>
        <w:ind w:right="480" w:firstLine="570"/>
        <w:jc w:val="left"/>
        <w:rPr>
          <w:rFonts w:hint="eastAsia" w:ascii="宋体" w:hAnsi="宋体" w:eastAsia="宋体" w:cs="宋体"/>
          <w:sz w:val="24"/>
          <w:szCs w:val="24"/>
        </w:rPr>
      </w:pPr>
    </w:p>
    <w:p>
      <w:pPr>
        <w:tabs>
          <w:tab w:val="left" w:pos="6300"/>
        </w:tabs>
        <w:snapToGrid w:val="0"/>
        <w:spacing w:line="360" w:lineRule="auto"/>
        <w:ind w:right="480" w:firstLine="570"/>
        <w:jc w:val="left"/>
        <w:rPr>
          <w:rFonts w:hint="eastAsia" w:ascii="宋体" w:hAnsi="宋体" w:eastAsia="宋体" w:cs="宋体"/>
          <w:sz w:val="24"/>
          <w:szCs w:val="24"/>
        </w:rPr>
      </w:pPr>
      <w:r>
        <w:rPr>
          <w:rFonts w:hint="eastAsia" w:ascii="宋体" w:hAnsi="宋体" w:eastAsia="宋体" w:cs="宋体"/>
          <w:sz w:val="24"/>
          <w:szCs w:val="24"/>
        </w:rPr>
        <w:t>注：如供应商单位法定代表人亲自参加，则无须提供该授权委托书。</w:t>
      </w:r>
    </w:p>
    <w:p>
      <w:pPr>
        <w:tabs>
          <w:tab w:val="left" w:pos="6300"/>
        </w:tabs>
        <w:snapToGrid w:val="0"/>
        <w:spacing w:line="312" w:lineRule="auto"/>
        <w:ind w:right="480" w:firstLine="570"/>
        <w:jc w:val="right"/>
        <w:rPr>
          <w:rFonts w:hint="eastAsia" w:ascii="宋体" w:hAnsi="宋体" w:eastAsia="宋体" w:cs="宋体"/>
          <w:sz w:val="24"/>
          <w:szCs w:val="24"/>
        </w:rPr>
      </w:pPr>
    </w:p>
    <w:p>
      <w:pPr>
        <w:tabs>
          <w:tab w:val="left" w:pos="6300"/>
        </w:tabs>
        <w:snapToGrid w:val="0"/>
        <w:spacing w:line="312" w:lineRule="auto"/>
        <w:ind w:right="480" w:firstLine="570"/>
        <w:jc w:val="right"/>
        <w:rPr>
          <w:rFonts w:hint="eastAsia" w:ascii="宋体" w:hAnsi="宋体" w:eastAsia="宋体" w:cs="宋体"/>
          <w:sz w:val="24"/>
          <w:szCs w:val="24"/>
        </w:rPr>
      </w:pPr>
    </w:p>
    <w:p>
      <w:pPr>
        <w:tabs>
          <w:tab w:val="left" w:pos="6300"/>
        </w:tabs>
        <w:snapToGrid w:val="0"/>
        <w:spacing w:line="312" w:lineRule="auto"/>
        <w:ind w:right="480" w:firstLine="570"/>
        <w:jc w:val="right"/>
        <w:rPr>
          <w:rFonts w:hint="eastAsia" w:ascii="宋体" w:hAnsi="宋体" w:eastAsia="宋体" w:cs="宋体"/>
          <w:sz w:val="24"/>
          <w:szCs w:val="24"/>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w:t>
      </w:r>
    </w:p>
    <w:p>
      <w:pPr>
        <w:tabs>
          <w:tab w:val="left" w:pos="6300"/>
        </w:tabs>
        <w:snapToGrid w:val="0"/>
        <w:spacing w:line="500" w:lineRule="exact"/>
        <w:ind w:firstLine="480" w:firstLineChars="200"/>
        <w:rPr>
          <w:rFonts w:hint="eastAsia" w:ascii="宋体" w:hAnsi="宋体" w:eastAsia="宋体" w:cs="宋体"/>
          <w:sz w:val="24"/>
          <w:szCs w:val="24"/>
        </w:rPr>
      </w:pPr>
    </w:p>
    <w:p>
      <w:pPr>
        <w:tabs>
          <w:tab w:val="left" w:pos="6300"/>
        </w:tabs>
        <w:snapToGrid w:val="0"/>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基本资格条件承诺函</w:t>
      </w:r>
    </w:p>
    <w:p>
      <w:pPr>
        <w:tabs>
          <w:tab w:val="left" w:pos="6300"/>
        </w:tabs>
        <w:snapToGrid w:val="0"/>
        <w:spacing w:line="500" w:lineRule="exact"/>
        <w:ind w:firstLine="480" w:firstLineChars="200"/>
        <w:rPr>
          <w:rFonts w:hint="eastAsia" w:ascii="宋体" w:hAnsi="宋体" w:eastAsia="宋体" w:cs="宋体"/>
          <w:sz w:val="24"/>
          <w:szCs w:val="24"/>
        </w:rPr>
      </w:pPr>
    </w:p>
    <w:p>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采购人</w:t>
      </w:r>
      <w:r>
        <w:rPr>
          <w:rFonts w:hint="eastAsia" w:ascii="宋体" w:hAnsi="宋体" w:eastAsia="宋体" w:cs="宋体"/>
          <w:sz w:val="24"/>
          <w:szCs w:val="24"/>
        </w:rPr>
        <w:t>名称）：</w:t>
      </w:r>
    </w:p>
    <w:p>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（供应商名称）郑重承诺：</w:t>
      </w:r>
    </w:p>
    <w:p>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1.我方具有良好的商业信誉和健全的财务会计制度，具有履行合同所必需的设备和专业技术能力，具</w:t>
      </w:r>
      <w:r>
        <w:rPr>
          <w:rFonts w:hint="eastAsia" w:ascii="宋体" w:hAnsi="宋体" w:eastAsia="宋体" w:cs="宋体"/>
          <w:sz w:val="24"/>
          <w:szCs w:val="24"/>
          <w:lang w:val="zh-CN"/>
        </w:rPr>
        <w:t>有依法缴纳税收和社会保障金的良好记录</w:t>
      </w:r>
      <w:r>
        <w:rPr>
          <w:rFonts w:hint="eastAsia" w:ascii="宋体" w:hAnsi="宋体" w:eastAsia="宋体" w:cs="宋体"/>
          <w:sz w:val="24"/>
          <w:szCs w:val="24"/>
        </w:rPr>
        <w:t>，参加本项目采购活动前三年内无重大违法活动记录。</w:t>
      </w:r>
    </w:p>
    <w:p>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2.我方未列入在信用中国网站（www.creditchina.gov.cn）“失信被执行人”</w:t>
      </w:r>
      <w:r>
        <w:rPr>
          <w:rFonts w:hint="eastAsia" w:ascii="宋体" w:hAnsi="宋体" w:cs="宋体"/>
          <w:sz w:val="24"/>
          <w:szCs w:val="24"/>
          <w:lang w:eastAsia="zh-CN"/>
        </w:rPr>
        <w:t>.</w:t>
      </w:r>
      <w:r>
        <w:rPr>
          <w:rFonts w:hint="eastAsia" w:ascii="宋体" w:hAnsi="宋体" w:eastAsia="宋体" w:cs="宋体"/>
          <w:sz w:val="24"/>
          <w:szCs w:val="24"/>
        </w:rPr>
        <w:t>“重大税收违法案件当事人名单”中，也未列入中国政府采购网（www.ccgp.gov.cn）“政府采购严重违法失信行为记录名单”中。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3.我方在采购项目评审（评标）环节结束后，随时接受</w:t>
      </w:r>
      <w:r>
        <w:rPr>
          <w:rFonts w:hint="eastAsia" w:ascii="宋体" w:hAnsi="宋体" w:cs="宋体"/>
          <w:sz w:val="24"/>
          <w:szCs w:val="24"/>
          <w:lang w:eastAsia="zh-CN"/>
        </w:rPr>
        <w:t>采购人.采购代理机构</w:t>
      </w:r>
      <w:r>
        <w:rPr>
          <w:rFonts w:hint="eastAsia" w:ascii="宋体" w:hAnsi="宋体" w:eastAsia="宋体" w:cs="宋体"/>
          <w:sz w:val="24"/>
          <w:szCs w:val="24"/>
        </w:rPr>
        <w:t>的检查验证，配合提供相关证明材料，证明符合《中华人民共和国政府采购法》规定的</w:t>
      </w:r>
      <w:r>
        <w:rPr>
          <w:rFonts w:hint="eastAsia" w:ascii="宋体" w:hAnsi="宋体" w:cs="宋体"/>
          <w:sz w:val="24"/>
          <w:szCs w:val="24"/>
          <w:lang w:eastAsia="zh-CN"/>
        </w:rPr>
        <w:t>供应商</w:t>
      </w:r>
      <w:r>
        <w:rPr>
          <w:rFonts w:hint="eastAsia" w:ascii="宋体" w:hAnsi="宋体" w:eastAsia="宋体" w:cs="宋体"/>
          <w:sz w:val="24"/>
          <w:szCs w:val="24"/>
        </w:rPr>
        <w:t>基本资格条件。</w:t>
      </w:r>
    </w:p>
    <w:p>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我方对以上承诺负全部法律责任。</w:t>
      </w:r>
    </w:p>
    <w:p>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tabs>
          <w:tab w:val="left" w:pos="6300"/>
        </w:tabs>
        <w:snapToGrid w:val="0"/>
        <w:spacing w:line="500" w:lineRule="exact"/>
        <w:ind w:firstLine="570"/>
        <w:jc w:val="center"/>
        <w:rPr>
          <w:rFonts w:hint="eastAsia" w:ascii="宋体" w:hAnsi="宋体" w:eastAsia="宋体" w:cs="宋体"/>
          <w:sz w:val="24"/>
          <w:szCs w:val="24"/>
        </w:rPr>
      </w:pPr>
      <w:r>
        <w:rPr>
          <w:rFonts w:hint="eastAsia" w:ascii="宋体" w:hAnsi="宋体" w:eastAsia="宋体" w:cs="宋体"/>
          <w:sz w:val="24"/>
          <w:szCs w:val="24"/>
        </w:rPr>
        <w:t xml:space="preserve">                                           </w:t>
      </w:r>
    </w:p>
    <w:p>
      <w:pPr>
        <w:tabs>
          <w:tab w:val="left" w:pos="6300"/>
        </w:tabs>
        <w:snapToGrid w:val="0"/>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（供应商公章）</w:t>
      </w:r>
    </w:p>
    <w:p>
      <w:pPr>
        <w:tabs>
          <w:tab w:val="left" w:pos="6300"/>
        </w:tabs>
        <w:snapToGrid w:val="0"/>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pPr>
        <w:tabs>
          <w:tab w:val="left" w:pos="6300"/>
        </w:tabs>
        <w:snapToGrid w:val="0"/>
        <w:spacing w:line="500" w:lineRule="exact"/>
        <w:ind w:firstLine="480" w:firstLineChars="200"/>
        <w:jc w:val="center"/>
        <w:rPr>
          <w:rFonts w:hint="eastAsia" w:ascii="宋体" w:hAnsi="宋体" w:eastAsia="宋体" w:cs="宋体"/>
          <w:sz w:val="24"/>
          <w:szCs w:val="24"/>
        </w:rPr>
      </w:pPr>
    </w:p>
    <w:p>
      <w:pPr>
        <w:snapToGrid w:val="0"/>
        <w:spacing w:line="440" w:lineRule="exact"/>
        <w:ind w:firstLine="480" w:firstLineChars="200"/>
        <w:rPr>
          <w:rFonts w:ascii="宋体" w:hAnsi="宋体" w:cs="宋体"/>
          <w:sz w:val="24"/>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rPr>
          <w:rFonts w:hint="eastAsia" w:ascii="宋体" w:hAnsi="宋体" w:eastAsia="宋体" w:cs="宋体"/>
          <w:color w:val="auto"/>
          <w:sz w:val="24"/>
          <w:highlight w:val="none"/>
        </w:rPr>
      </w:pPr>
      <w:bookmarkStart w:id="289" w:name="_Toc76462354"/>
      <w:bookmarkStart w:id="290" w:name="_Toc2657"/>
      <w:r>
        <w:rPr>
          <w:rFonts w:hint="eastAsia" w:ascii="宋体" w:hAnsi="宋体" w:eastAsia="宋体" w:cs="宋体"/>
          <w:color w:val="auto"/>
          <w:sz w:val="24"/>
          <w:highlight w:val="none"/>
        </w:rPr>
        <w:br w:type="page"/>
      </w:r>
    </w:p>
    <w:p>
      <w:pPr>
        <w:snapToGrid w:val="0"/>
        <w:spacing w:line="400" w:lineRule="exact"/>
        <w:ind w:firstLine="480" w:firstLineChars="200"/>
        <w:rPr>
          <w:rFonts w:hint="eastAsia" w:ascii="宋体" w:hAnsi="宋体" w:eastAsia="宋体" w:cs="宋体"/>
          <w:sz w:val="24"/>
          <w:lang w:eastAsia="zh-CN"/>
        </w:rPr>
      </w:pPr>
      <w:r>
        <w:rPr>
          <w:rFonts w:hint="eastAsia" w:ascii="宋体" w:hAnsi="宋体" w:cs="宋体"/>
          <w:sz w:val="24"/>
        </w:rPr>
        <w:t>（五）特定资格条件证书或证明文件</w:t>
      </w:r>
      <w:r>
        <w:rPr>
          <w:rFonts w:hint="eastAsia" w:ascii="宋体" w:hAnsi="宋体" w:cs="宋体"/>
          <w:sz w:val="24"/>
          <w:lang w:eastAsia="zh-CN"/>
        </w:rPr>
        <w:t>（</w:t>
      </w:r>
      <w:r>
        <w:rPr>
          <w:rFonts w:hint="eastAsia" w:ascii="宋体" w:hAnsi="宋体" w:cs="宋体"/>
          <w:sz w:val="24"/>
          <w:lang w:val="en-US" w:eastAsia="zh-CN"/>
        </w:rPr>
        <w:t>如果有</w:t>
      </w:r>
      <w:r>
        <w:rPr>
          <w:rFonts w:hint="eastAsia" w:ascii="宋体" w:hAnsi="宋体" w:cs="宋体"/>
          <w:sz w:val="24"/>
          <w:lang w:eastAsia="zh-CN"/>
        </w:rPr>
        <w:t>）</w:t>
      </w:r>
    </w:p>
    <w:p>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br w:type="page"/>
      </w:r>
    </w:p>
    <w:p>
      <w:pPr>
        <w:pStyle w:val="5"/>
        <w:spacing w:line="360" w:lineRule="auto"/>
        <w:ind w:firstLine="482" w:firstLineChars="200"/>
        <w:rPr>
          <w:rFonts w:hint="eastAsia" w:ascii="宋体" w:hAnsi="宋体" w:eastAsia="宋体" w:cs="宋体"/>
          <w:color w:val="auto"/>
          <w:kern w:val="0"/>
          <w:sz w:val="24"/>
          <w:szCs w:val="24"/>
          <w:lang w:val="en-US" w:eastAsia="zh-CN"/>
        </w:rPr>
      </w:pPr>
      <w:bookmarkStart w:id="291" w:name="_Toc25779"/>
      <w:r>
        <w:rPr>
          <w:rFonts w:hint="eastAsia" w:ascii="宋体" w:hAnsi="宋体" w:eastAsia="宋体" w:cs="宋体"/>
          <w:color w:val="auto"/>
          <w:kern w:val="0"/>
          <w:sz w:val="24"/>
          <w:szCs w:val="24"/>
          <w:lang w:val="en-US" w:eastAsia="zh-CN"/>
        </w:rPr>
        <w:t>五、其他资料</w:t>
      </w:r>
      <w:bookmarkEnd w:id="289"/>
      <w:bookmarkEnd w:id="290"/>
      <w:bookmarkEnd w:id="291"/>
    </w:p>
    <w:p>
      <w:pPr>
        <w:spacing w:line="400" w:lineRule="exact"/>
        <w:ind w:firstLine="420" w:firstLineChars="200"/>
        <w:rPr>
          <w:rFonts w:hint="eastAsia" w:ascii="宋体" w:hAnsi="宋体" w:eastAsia="宋体" w:cs="宋体"/>
          <w:sz w:val="24"/>
          <w:szCs w:val="24"/>
          <w:highlight w:val="none"/>
        </w:rPr>
      </w:pPr>
      <w:r>
        <w:rPr>
          <w:rFonts w:hint="eastAsia" w:ascii="宋体" w:hAnsi="宋体" w:cs="宋体"/>
          <w:color w:val="000000"/>
        </w:rPr>
        <w:t>（</w:t>
      </w:r>
      <w:r>
        <w:rPr>
          <w:rFonts w:hint="eastAsia" w:ascii="宋体" w:hAnsi="宋体" w:cs="宋体"/>
          <w:color w:val="000000"/>
          <w:lang w:val="en-US" w:eastAsia="zh-CN"/>
        </w:rPr>
        <w:t>一</w:t>
      </w:r>
      <w:r>
        <w:rPr>
          <w:rFonts w:hint="eastAsia" w:ascii="宋体" w:hAnsi="宋体" w:cs="宋体"/>
          <w:color w:val="000000"/>
        </w:rPr>
        <w:t>）其他与项目有关的资料（自附）</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jc w:val="center"/>
        <w:rPr>
          <w:rFonts w:hint="eastAsia" w:ascii="宋体" w:hAnsi="宋体" w:eastAsia="宋体" w:cs="宋体"/>
          <w:sz w:val="24"/>
          <w:szCs w:val="24"/>
          <w:highlight w:val="none"/>
        </w:rPr>
      </w:pPr>
    </w:p>
    <w:p>
      <w:pPr>
        <w:spacing w:line="360" w:lineRule="auto"/>
        <w:ind w:firstLine="480" w:firstLineChars="200"/>
        <w:jc w:val="center"/>
        <w:rPr>
          <w:rFonts w:hint="eastAsia" w:ascii="宋体" w:hAnsi="宋体" w:eastAsia="宋体" w:cs="宋体"/>
          <w:sz w:val="24"/>
          <w:szCs w:val="24"/>
          <w:highlight w:val="none"/>
        </w:rPr>
      </w:pPr>
    </w:p>
    <w:p>
      <w:pPr>
        <w:spacing w:line="360" w:lineRule="auto"/>
        <w:ind w:firstLine="480" w:firstLineChars="200"/>
        <w:jc w:val="center"/>
        <w:rPr>
          <w:rFonts w:hint="eastAsia" w:ascii="宋体" w:hAnsi="宋体" w:eastAsia="宋体" w:cs="宋体"/>
          <w:sz w:val="24"/>
          <w:szCs w:val="24"/>
          <w:highlight w:val="none"/>
        </w:rPr>
      </w:pPr>
    </w:p>
    <w:p>
      <w:pPr>
        <w:spacing w:line="360" w:lineRule="auto"/>
        <w:ind w:firstLine="480" w:firstLineChars="200"/>
        <w:jc w:val="center"/>
        <w:rPr>
          <w:rFonts w:hint="eastAsia" w:ascii="宋体" w:hAnsi="宋体" w:eastAsia="宋体" w:cs="宋体"/>
          <w:sz w:val="24"/>
          <w:szCs w:val="24"/>
          <w:highlight w:val="none"/>
        </w:rPr>
      </w:pPr>
    </w:p>
    <w:p>
      <w:pPr>
        <w:spacing w:line="360" w:lineRule="auto"/>
        <w:ind w:firstLine="480" w:firstLineChars="200"/>
        <w:jc w:val="center"/>
        <w:rPr>
          <w:rFonts w:hint="eastAsia" w:ascii="宋体" w:hAnsi="宋体" w:eastAsia="宋体" w:cs="宋体"/>
          <w:sz w:val="24"/>
          <w:szCs w:val="24"/>
          <w:highlight w:val="none"/>
        </w:rPr>
      </w:pPr>
    </w:p>
    <w:p>
      <w:pPr>
        <w:spacing w:line="360" w:lineRule="auto"/>
        <w:ind w:firstLine="480" w:firstLineChars="200"/>
        <w:jc w:val="center"/>
        <w:rPr>
          <w:rFonts w:hint="eastAsia" w:ascii="宋体" w:hAnsi="宋体" w:eastAsia="宋体" w:cs="宋体"/>
          <w:sz w:val="24"/>
          <w:szCs w:val="24"/>
          <w:highlight w:val="none"/>
        </w:rPr>
      </w:pPr>
    </w:p>
    <w:p>
      <w:pPr>
        <w:spacing w:line="360" w:lineRule="auto"/>
        <w:ind w:firstLine="480" w:firstLineChars="200"/>
        <w:jc w:val="center"/>
        <w:rPr>
          <w:rFonts w:hint="eastAsia" w:ascii="宋体" w:hAnsi="宋体" w:eastAsia="宋体" w:cs="宋体"/>
          <w:sz w:val="24"/>
          <w:szCs w:val="24"/>
          <w:highlight w:val="none"/>
        </w:rPr>
      </w:pPr>
    </w:p>
    <w:p>
      <w:pPr>
        <w:spacing w:line="360" w:lineRule="auto"/>
        <w:ind w:firstLine="480" w:firstLineChars="200"/>
        <w:jc w:val="center"/>
        <w:rPr>
          <w:rFonts w:hint="eastAsia" w:ascii="宋体" w:hAnsi="宋体" w:eastAsia="宋体" w:cs="宋体"/>
          <w:sz w:val="24"/>
          <w:szCs w:val="24"/>
          <w:highlight w:val="none"/>
        </w:rPr>
      </w:pPr>
    </w:p>
    <w:p>
      <w:pPr>
        <w:spacing w:line="360" w:lineRule="auto"/>
        <w:ind w:firstLine="480" w:firstLineChars="200"/>
        <w:jc w:val="center"/>
        <w:rPr>
          <w:rFonts w:hint="eastAsia" w:ascii="宋体" w:hAnsi="宋体" w:eastAsia="宋体" w:cs="宋体"/>
          <w:sz w:val="24"/>
          <w:szCs w:val="24"/>
          <w:highlight w:val="none"/>
        </w:rPr>
      </w:pPr>
    </w:p>
    <w:p>
      <w:pPr>
        <w:spacing w:line="360" w:lineRule="auto"/>
        <w:ind w:firstLine="480" w:firstLineChars="200"/>
        <w:jc w:val="center"/>
        <w:outlineLvl w:val="0"/>
        <w:rPr>
          <w:rFonts w:hint="eastAsia" w:ascii="宋体" w:hAnsi="宋体" w:eastAsia="宋体" w:cs="宋体"/>
          <w:sz w:val="24"/>
          <w:szCs w:val="24"/>
          <w:highlight w:val="none"/>
        </w:rPr>
      </w:pPr>
      <w:bookmarkStart w:id="292" w:name="_Toc22978"/>
      <w:bookmarkStart w:id="293" w:name="_Toc11163"/>
      <w:bookmarkStart w:id="294" w:name="_Toc3305"/>
      <w:bookmarkStart w:id="295" w:name="_Toc15663"/>
      <w:bookmarkStart w:id="296" w:name="_Toc9482"/>
      <w:bookmarkStart w:id="297" w:name="_Toc18862"/>
      <w:r>
        <w:rPr>
          <w:rFonts w:hint="eastAsia" w:ascii="宋体" w:hAnsi="宋体" w:eastAsia="宋体" w:cs="宋体"/>
          <w:sz w:val="24"/>
          <w:szCs w:val="24"/>
          <w:highlight w:val="none"/>
        </w:rPr>
        <w:t>（结束）</w:t>
      </w:r>
      <w:bookmarkEnd w:id="292"/>
      <w:bookmarkEnd w:id="293"/>
      <w:bookmarkEnd w:id="294"/>
      <w:bookmarkEnd w:id="295"/>
      <w:bookmarkEnd w:id="296"/>
      <w:bookmarkEnd w:id="297"/>
    </w:p>
    <w:p>
      <w:pPr>
        <w:snapToGrid w:val="0"/>
        <w:spacing w:line="400" w:lineRule="exact"/>
        <w:ind w:firstLine="480" w:firstLineChars="200"/>
        <w:rPr>
          <w:rFonts w:hint="eastAsia" w:ascii="宋体" w:hAnsi="宋体" w:eastAsia="宋体" w:cs="宋体"/>
          <w:color w:val="auto"/>
          <w:sz w:val="24"/>
          <w:szCs w:val="24"/>
          <w:highlight w:val="none"/>
        </w:rPr>
      </w:pPr>
    </w:p>
    <w:p>
      <w:pPr>
        <w:rPr>
          <w:rFonts w:hint="eastAsia" w:ascii="宋体" w:hAnsi="宋体" w:eastAsia="宋体" w:cs="宋体"/>
          <w:color w:val="auto"/>
          <w:kern w:val="0"/>
          <w:sz w:val="24"/>
          <w:szCs w:val="24"/>
          <w:highlight w:val="none"/>
          <w:lang w:eastAsia="zh-CN"/>
        </w:rPr>
      </w:pPr>
    </w:p>
    <w:sectPr>
      <w:footerReference r:id="rId4" w:type="default"/>
      <w:type w:val="continuous"/>
      <w:pgSz w:w="11906" w:h="16838"/>
      <w:pgMar w:top="1134" w:right="1021" w:bottom="1134" w:left="1134" w:header="397" w:footer="397"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Neue">
    <w:altName w:val="Times New Roman"/>
    <w:panose1 w:val="00000000000000000000"/>
    <w:charset w:val="00"/>
    <w:family w:val="auto"/>
    <w:pitch w:val="default"/>
    <w:sig w:usb0="00000000" w:usb1="00000000" w:usb2="0000001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4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59630"/>
    <w:multiLevelType w:val="singleLevel"/>
    <w:tmpl w:val="B0559630"/>
    <w:lvl w:ilvl="0" w:tentative="0">
      <w:start w:val="2"/>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172A27"/>
    <w:rsid w:val="00030082"/>
    <w:rsid w:val="00035381"/>
    <w:rsid w:val="00042BE5"/>
    <w:rsid w:val="00051B0A"/>
    <w:rsid w:val="000B07F0"/>
    <w:rsid w:val="000C328E"/>
    <w:rsid w:val="000E2CE2"/>
    <w:rsid w:val="000F1D2C"/>
    <w:rsid w:val="00100B50"/>
    <w:rsid w:val="00136ED9"/>
    <w:rsid w:val="00172A27"/>
    <w:rsid w:val="0019493E"/>
    <w:rsid w:val="001A7F16"/>
    <w:rsid w:val="001D7336"/>
    <w:rsid w:val="001E08BC"/>
    <w:rsid w:val="00281C6C"/>
    <w:rsid w:val="00297630"/>
    <w:rsid w:val="002B62AD"/>
    <w:rsid w:val="00311156"/>
    <w:rsid w:val="0031524B"/>
    <w:rsid w:val="00327CB1"/>
    <w:rsid w:val="0033000E"/>
    <w:rsid w:val="003503A2"/>
    <w:rsid w:val="0037509F"/>
    <w:rsid w:val="00414F71"/>
    <w:rsid w:val="00416711"/>
    <w:rsid w:val="00480928"/>
    <w:rsid w:val="004868CD"/>
    <w:rsid w:val="004B6AD5"/>
    <w:rsid w:val="004B6BCD"/>
    <w:rsid w:val="004E5F8B"/>
    <w:rsid w:val="00615200"/>
    <w:rsid w:val="00694164"/>
    <w:rsid w:val="006B193D"/>
    <w:rsid w:val="006C1250"/>
    <w:rsid w:val="006C3AF1"/>
    <w:rsid w:val="006E1E36"/>
    <w:rsid w:val="006E255A"/>
    <w:rsid w:val="00717C66"/>
    <w:rsid w:val="00777C29"/>
    <w:rsid w:val="007C1427"/>
    <w:rsid w:val="007E2E5B"/>
    <w:rsid w:val="007E3A38"/>
    <w:rsid w:val="007F3DC5"/>
    <w:rsid w:val="008054E8"/>
    <w:rsid w:val="0082030C"/>
    <w:rsid w:val="0086753F"/>
    <w:rsid w:val="008E0F39"/>
    <w:rsid w:val="008E1F23"/>
    <w:rsid w:val="008E2DB4"/>
    <w:rsid w:val="008E6564"/>
    <w:rsid w:val="008F00E2"/>
    <w:rsid w:val="00933805"/>
    <w:rsid w:val="00936525"/>
    <w:rsid w:val="009522F1"/>
    <w:rsid w:val="00973539"/>
    <w:rsid w:val="009833A2"/>
    <w:rsid w:val="009A66E8"/>
    <w:rsid w:val="009F04CB"/>
    <w:rsid w:val="00A562E7"/>
    <w:rsid w:val="00A75499"/>
    <w:rsid w:val="00AA0D3A"/>
    <w:rsid w:val="00AA6407"/>
    <w:rsid w:val="00AF4FAB"/>
    <w:rsid w:val="00AF5772"/>
    <w:rsid w:val="00B47DAA"/>
    <w:rsid w:val="00B502DB"/>
    <w:rsid w:val="00B658A2"/>
    <w:rsid w:val="00B74AA5"/>
    <w:rsid w:val="00B76DF4"/>
    <w:rsid w:val="00B83DFE"/>
    <w:rsid w:val="00B94D63"/>
    <w:rsid w:val="00BA3954"/>
    <w:rsid w:val="00BA4C6A"/>
    <w:rsid w:val="00BB177E"/>
    <w:rsid w:val="00BC57CD"/>
    <w:rsid w:val="00BD709B"/>
    <w:rsid w:val="00BF245F"/>
    <w:rsid w:val="00BF6FF0"/>
    <w:rsid w:val="00C2519B"/>
    <w:rsid w:val="00C92F0D"/>
    <w:rsid w:val="00CA2B84"/>
    <w:rsid w:val="00CD64AC"/>
    <w:rsid w:val="00CE0B77"/>
    <w:rsid w:val="00D005DE"/>
    <w:rsid w:val="00D20B4D"/>
    <w:rsid w:val="00D84736"/>
    <w:rsid w:val="00DB553A"/>
    <w:rsid w:val="00DB55FA"/>
    <w:rsid w:val="00DF7456"/>
    <w:rsid w:val="00E13783"/>
    <w:rsid w:val="00E4030E"/>
    <w:rsid w:val="00E9698F"/>
    <w:rsid w:val="00EB6E87"/>
    <w:rsid w:val="00ED0DA3"/>
    <w:rsid w:val="00FC5708"/>
    <w:rsid w:val="00FC7D67"/>
    <w:rsid w:val="00FD1066"/>
    <w:rsid w:val="00FD39C1"/>
    <w:rsid w:val="00FD76B9"/>
    <w:rsid w:val="00FE065B"/>
    <w:rsid w:val="00FF4F21"/>
    <w:rsid w:val="010B22B0"/>
    <w:rsid w:val="012D66CB"/>
    <w:rsid w:val="013105DF"/>
    <w:rsid w:val="01384146"/>
    <w:rsid w:val="013B4944"/>
    <w:rsid w:val="0183453D"/>
    <w:rsid w:val="019422A6"/>
    <w:rsid w:val="01F01BD2"/>
    <w:rsid w:val="021C7293"/>
    <w:rsid w:val="02263B8B"/>
    <w:rsid w:val="02672D95"/>
    <w:rsid w:val="027D7528"/>
    <w:rsid w:val="02877805"/>
    <w:rsid w:val="02A037F9"/>
    <w:rsid w:val="02A35AD5"/>
    <w:rsid w:val="02C27B7F"/>
    <w:rsid w:val="02C62933"/>
    <w:rsid w:val="03056082"/>
    <w:rsid w:val="033545BF"/>
    <w:rsid w:val="0353474B"/>
    <w:rsid w:val="03726190"/>
    <w:rsid w:val="037E4697"/>
    <w:rsid w:val="04060138"/>
    <w:rsid w:val="046248DD"/>
    <w:rsid w:val="049C11EB"/>
    <w:rsid w:val="04E83035"/>
    <w:rsid w:val="04F23609"/>
    <w:rsid w:val="059565ED"/>
    <w:rsid w:val="059705B7"/>
    <w:rsid w:val="05CA4001"/>
    <w:rsid w:val="06450013"/>
    <w:rsid w:val="064E1524"/>
    <w:rsid w:val="067A4160"/>
    <w:rsid w:val="06823015"/>
    <w:rsid w:val="06CA0469"/>
    <w:rsid w:val="071A324D"/>
    <w:rsid w:val="073E5845"/>
    <w:rsid w:val="074107DA"/>
    <w:rsid w:val="079F3753"/>
    <w:rsid w:val="07AA637F"/>
    <w:rsid w:val="07BA7D28"/>
    <w:rsid w:val="07DE2409"/>
    <w:rsid w:val="07EE6482"/>
    <w:rsid w:val="07F7358F"/>
    <w:rsid w:val="07F817E1"/>
    <w:rsid w:val="08074274"/>
    <w:rsid w:val="081163FE"/>
    <w:rsid w:val="08387E2F"/>
    <w:rsid w:val="083F4BF5"/>
    <w:rsid w:val="08420CAE"/>
    <w:rsid w:val="08567811"/>
    <w:rsid w:val="08AA4E14"/>
    <w:rsid w:val="08C848A1"/>
    <w:rsid w:val="08D6778A"/>
    <w:rsid w:val="08EB6C4F"/>
    <w:rsid w:val="09205D5F"/>
    <w:rsid w:val="094E5430"/>
    <w:rsid w:val="097A6225"/>
    <w:rsid w:val="09CE3ED7"/>
    <w:rsid w:val="09D96DB9"/>
    <w:rsid w:val="09FD7F5E"/>
    <w:rsid w:val="0A3A2515"/>
    <w:rsid w:val="0A4A209B"/>
    <w:rsid w:val="0A586D46"/>
    <w:rsid w:val="0A5B477D"/>
    <w:rsid w:val="0A671C2E"/>
    <w:rsid w:val="0A6C26BE"/>
    <w:rsid w:val="0A7A0BFE"/>
    <w:rsid w:val="0AA9231F"/>
    <w:rsid w:val="0B09160F"/>
    <w:rsid w:val="0B224DC6"/>
    <w:rsid w:val="0B2B77D7"/>
    <w:rsid w:val="0B653250"/>
    <w:rsid w:val="0B6727D9"/>
    <w:rsid w:val="0B9F01C5"/>
    <w:rsid w:val="0BC44C03"/>
    <w:rsid w:val="0BE81659"/>
    <w:rsid w:val="0C0B6E2E"/>
    <w:rsid w:val="0C22477D"/>
    <w:rsid w:val="0C3D7852"/>
    <w:rsid w:val="0C607CAF"/>
    <w:rsid w:val="0C944572"/>
    <w:rsid w:val="0CCD3E9E"/>
    <w:rsid w:val="0CE33205"/>
    <w:rsid w:val="0CEC066E"/>
    <w:rsid w:val="0CF839A0"/>
    <w:rsid w:val="0CF91064"/>
    <w:rsid w:val="0D18022F"/>
    <w:rsid w:val="0D4F14FB"/>
    <w:rsid w:val="0D7F205C"/>
    <w:rsid w:val="0D972117"/>
    <w:rsid w:val="0DF30354"/>
    <w:rsid w:val="0E0A5DCA"/>
    <w:rsid w:val="0E0F1CCC"/>
    <w:rsid w:val="0E2463DB"/>
    <w:rsid w:val="0E252C04"/>
    <w:rsid w:val="0E4806A0"/>
    <w:rsid w:val="0E55232D"/>
    <w:rsid w:val="0E616AE8"/>
    <w:rsid w:val="0E6D3FCA"/>
    <w:rsid w:val="0F00448B"/>
    <w:rsid w:val="0F1A5F55"/>
    <w:rsid w:val="0F1C1228"/>
    <w:rsid w:val="0F383941"/>
    <w:rsid w:val="0F8E2A2A"/>
    <w:rsid w:val="0F912F86"/>
    <w:rsid w:val="0F9F36BB"/>
    <w:rsid w:val="0FB053D6"/>
    <w:rsid w:val="0FB104C7"/>
    <w:rsid w:val="101A5FD3"/>
    <w:rsid w:val="103C2486"/>
    <w:rsid w:val="103E0D17"/>
    <w:rsid w:val="104906FF"/>
    <w:rsid w:val="104C4BDC"/>
    <w:rsid w:val="105D7FFC"/>
    <w:rsid w:val="10667503"/>
    <w:rsid w:val="107C6D27"/>
    <w:rsid w:val="10B21DA5"/>
    <w:rsid w:val="111D2922"/>
    <w:rsid w:val="1131366D"/>
    <w:rsid w:val="11951B26"/>
    <w:rsid w:val="11BD13A5"/>
    <w:rsid w:val="11CB5870"/>
    <w:rsid w:val="11D230A2"/>
    <w:rsid w:val="11F63824"/>
    <w:rsid w:val="12154D3D"/>
    <w:rsid w:val="121F4EBE"/>
    <w:rsid w:val="1226519C"/>
    <w:rsid w:val="123C676E"/>
    <w:rsid w:val="123D0A65"/>
    <w:rsid w:val="123F000C"/>
    <w:rsid w:val="125E4936"/>
    <w:rsid w:val="12D1335A"/>
    <w:rsid w:val="13426006"/>
    <w:rsid w:val="13862548"/>
    <w:rsid w:val="13A60EB1"/>
    <w:rsid w:val="13C10018"/>
    <w:rsid w:val="13CA0C09"/>
    <w:rsid w:val="142F3057"/>
    <w:rsid w:val="14636905"/>
    <w:rsid w:val="149D101A"/>
    <w:rsid w:val="15046A4F"/>
    <w:rsid w:val="1514752E"/>
    <w:rsid w:val="1534372C"/>
    <w:rsid w:val="15350CFB"/>
    <w:rsid w:val="154A73F4"/>
    <w:rsid w:val="156A1844"/>
    <w:rsid w:val="156D4E90"/>
    <w:rsid w:val="15730510"/>
    <w:rsid w:val="15AA1C40"/>
    <w:rsid w:val="162B2D81"/>
    <w:rsid w:val="163E4FD8"/>
    <w:rsid w:val="16511C16"/>
    <w:rsid w:val="16AD7321"/>
    <w:rsid w:val="16BA5EB3"/>
    <w:rsid w:val="16EA28EC"/>
    <w:rsid w:val="16FB6BF7"/>
    <w:rsid w:val="17254D7D"/>
    <w:rsid w:val="176D1177"/>
    <w:rsid w:val="17800EAB"/>
    <w:rsid w:val="17D47448"/>
    <w:rsid w:val="18037057"/>
    <w:rsid w:val="18151DAE"/>
    <w:rsid w:val="18574301"/>
    <w:rsid w:val="18700F1F"/>
    <w:rsid w:val="18C33745"/>
    <w:rsid w:val="18F5111C"/>
    <w:rsid w:val="195B397D"/>
    <w:rsid w:val="19704F4F"/>
    <w:rsid w:val="19A221AC"/>
    <w:rsid w:val="19B54F56"/>
    <w:rsid w:val="19B97302"/>
    <w:rsid w:val="19E443D3"/>
    <w:rsid w:val="19F94F44"/>
    <w:rsid w:val="1A006EF3"/>
    <w:rsid w:val="1A3B0976"/>
    <w:rsid w:val="1A4F0AFA"/>
    <w:rsid w:val="1A6026C2"/>
    <w:rsid w:val="1A6B6059"/>
    <w:rsid w:val="1A7840BB"/>
    <w:rsid w:val="1A7C004F"/>
    <w:rsid w:val="1A974E38"/>
    <w:rsid w:val="1AA62264"/>
    <w:rsid w:val="1AA7706A"/>
    <w:rsid w:val="1AAB623F"/>
    <w:rsid w:val="1AE259D8"/>
    <w:rsid w:val="1AFA71C6"/>
    <w:rsid w:val="1B025502"/>
    <w:rsid w:val="1B1D4936"/>
    <w:rsid w:val="1B1F48FB"/>
    <w:rsid w:val="1B2D2159"/>
    <w:rsid w:val="1B5A1A13"/>
    <w:rsid w:val="1B5E413C"/>
    <w:rsid w:val="1B60023C"/>
    <w:rsid w:val="1B810BAF"/>
    <w:rsid w:val="1B833C5F"/>
    <w:rsid w:val="1BA470C6"/>
    <w:rsid w:val="1BC76BAC"/>
    <w:rsid w:val="1BDF412A"/>
    <w:rsid w:val="1BE136FF"/>
    <w:rsid w:val="1BF306EA"/>
    <w:rsid w:val="1C122BFA"/>
    <w:rsid w:val="1C4E54F3"/>
    <w:rsid w:val="1C530B76"/>
    <w:rsid w:val="1C6A3A03"/>
    <w:rsid w:val="1C7921C7"/>
    <w:rsid w:val="1C8B27CB"/>
    <w:rsid w:val="1CD35F20"/>
    <w:rsid w:val="1CD44247"/>
    <w:rsid w:val="1CEB3A4F"/>
    <w:rsid w:val="1CFF6D16"/>
    <w:rsid w:val="1D0F7137"/>
    <w:rsid w:val="1D2D1932"/>
    <w:rsid w:val="1D31335B"/>
    <w:rsid w:val="1D6D3C7F"/>
    <w:rsid w:val="1D9A259A"/>
    <w:rsid w:val="1D9F5E03"/>
    <w:rsid w:val="1DA15674"/>
    <w:rsid w:val="1E430E84"/>
    <w:rsid w:val="1E4E5EA2"/>
    <w:rsid w:val="1EBC117E"/>
    <w:rsid w:val="1EF721A8"/>
    <w:rsid w:val="1F2E5763"/>
    <w:rsid w:val="1F415634"/>
    <w:rsid w:val="1F5A7DB5"/>
    <w:rsid w:val="1F6A2B6C"/>
    <w:rsid w:val="1F9A2D26"/>
    <w:rsid w:val="1FC74AC1"/>
    <w:rsid w:val="201062C1"/>
    <w:rsid w:val="207277FE"/>
    <w:rsid w:val="208714FC"/>
    <w:rsid w:val="208F63A9"/>
    <w:rsid w:val="20B120D5"/>
    <w:rsid w:val="20F36B91"/>
    <w:rsid w:val="20FC5251"/>
    <w:rsid w:val="21040C2B"/>
    <w:rsid w:val="21076665"/>
    <w:rsid w:val="21134B3E"/>
    <w:rsid w:val="213E72BE"/>
    <w:rsid w:val="2181419D"/>
    <w:rsid w:val="21855461"/>
    <w:rsid w:val="21941E2D"/>
    <w:rsid w:val="21A34113"/>
    <w:rsid w:val="21D4251F"/>
    <w:rsid w:val="21D62D16"/>
    <w:rsid w:val="22193201"/>
    <w:rsid w:val="223B45C8"/>
    <w:rsid w:val="22437F2D"/>
    <w:rsid w:val="226D0CCB"/>
    <w:rsid w:val="227512CF"/>
    <w:rsid w:val="22794E74"/>
    <w:rsid w:val="22A61760"/>
    <w:rsid w:val="23136BB1"/>
    <w:rsid w:val="23411E36"/>
    <w:rsid w:val="23751ADF"/>
    <w:rsid w:val="237B69CA"/>
    <w:rsid w:val="237F470C"/>
    <w:rsid w:val="238D2E29"/>
    <w:rsid w:val="239D29F0"/>
    <w:rsid w:val="23AD20A6"/>
    <w:rsid w:val="24293726"/>
    <w:rsid w:val="24561A0D"/>
    <w:rsid w:val="249D7540"/>
    <w:rsid w:val="24A002D5"/>
    <w:rsid w:val="24C20D54"/>
    <w:rsid w:val="24CD3E0B"/>
    <w:rsid w:val="24D65C75"/>
    <w:rsid w:val="24DA68EE"/>
    <w:rsid w:val="24F17E6B"/>
    <w:rsid w:val="24F4121E"/>
    <w:rsid w:val="253A672A"/>
    <w:rsid w:val="25CB5ADE"/>
    <w:rsid w:val="25E46AA9"/>
    <w:rsid w:val="25EE5B79"/>
    <w:rsid w:val="2617270D"/>
    <w:rsid w:val="26797714"/>
    <w:rsid w:val="269E134D"/>
    <w:rsid w:val="26BD1172"/>
    <w:rsid w:val="26D44D6F"/>
    <w:rsid w:val="272555CB"/>
    <w:rsid w:val="274517C9"/>
    <w:rsid w:val="2782139E"/>
    <w:rsid w:val="278D3841"/>
    <w:rsid w:val="279924B1"/>
    <w:rsid w:val="27F06E8E"/>
    <w:rsid w:val="28057B64"/>
    <w:rsid w:val="28125B4F"/>
    <w:rsid w:val="28596D8D"/>
    <w:rsid w:val="28787B62"/>
    <w:rsid w:val="28815875"/>
    <w:rsid w:val="28983B19"/>
    <w:rsid w:val="28D01566"/>
    <w:rsid w:val="28D70B46"/>
    <w:rsid w:val="28EA087A"/>
    <w:rsid w:val="29060F9C"/>
    <w:rsid w:val="29064F88"/>
    <w:rsid w:val="292C4690"/>
    <w:rsid w:val="29657E86"/>
    <w:rsid w:val="29694DFA"/>
    <w:rsid w:val="297C0898"/>
    <w:rsid w:val="299971FA"/>
    <w:rsid w:val="299B1B74"/>
    <w:rsid w:val="29A200B1"/>
    <w:rsid w:val="29EC5ACC"/>
    <w:rsid w:val="29FD282F"/>
    <w:rsid w:val="2A081E58"/>
    <w:rsid w:val="2A892860"/>
    <w:rsid w:val="2ADB1FD5"/>
    <w:rsid w:val="2AED4651"/>
    <w:rsid w:val="2AFC4894"/>
    <w:rsid w:val="2B033E75"/>
    <w:rsid w:val="2B0A6FB1"/>
    <w:rsid w:val="2B34402E"/>
    <w:rsid w:val="2B351D2A"/>
    <w:rsid w:val="2B3772CE"/>
    <w:rsid w:val="2B6E5792"/>
    <w:rsid w:val="2B77216D"/>
    <w:rsid w:val="2B7C70D6"/>
    <w:rsid w:val="2BB1567F"/>
    <w:rsid w:val="2BEE0681"/>
    <w:rsid w:val="2BF867A3"/>
    <w:rsid w:val="2BFE7608"/>
    <w:rsid w:val="2C1C3440"/>
    <w:rsid w:val="2C3A5572"/>
    <w:rsid w:val="2C4B7881"/>
    <w:rsid w:val="2C8B5ED0"/>
    <w:rsid w:val="2CB01DDA"/>
    <w:rsid w:val="2CB216AE"/>
    <w:rsid w:val="2CB27900"/>
    <w:rsid w:val="2CFB12A7"/>
    <w:rsid w:val="2D216834"/>
    <w:rsid w:val="2D687FBF"/>
    <w:rsid w:val="2DA90599"/>
    <w:rsid w:val="2DD35D80"/>
    <w:rsid w:val="2DD428E1"/>
    <w:rsid w:val="2E1E5E33"/>
    <w:rsid w:val="2E544E76"/>
    <w:rsid w:val="2E644C2A"/>
    <w:rsid w:val="2EBC4A66"/>
    <w:rsid w:val="2ED753FC"/>
    <w:rsid w:val="2ED83379"/>
    <w:rsid w:val="2EE713B8"/>
    <w:rsid w:val="2EFF5468"/>
    <w:rsid w:val="2F176141"/>
    <w:rsid w:val="2F524B2E"/>
    <w:rsid w:val="2F7013AD"/>
    <w:rsid w:val="2F712264"/>
    <w:rsid w:val="2F9C6646"/>
    <w:rsid w:val="2FB41BE1"/>
    <w:rsid w:val="30057D3D"/>
    <w:rsid w:val="300C774C"/>
    <w:rsid w:val="301D7787"/>
    <w:rsid w:val="301E003D"/>
    <w:rsid w:val="304D528B"/>
    <w:rsid w:val="305D4027"/>
    <w:rsid w:val="30711881"/>
    <w:rsid w:val="30A43A04"/>
    <w:rsid w:val="30A70C8B"/>
    <w:rsid w:val="30EB6F8A"/>
    <w:rsid w:val="310B7B23"/>
    <w:rsid w:val="310E5DFD"/>
    <w:rsid w:val="310F6E0F"/>
    <w:rsid w:val="313405A1"/>
    <w:rsid w:val="31754028"/>
    <w:rsid w:val="317E6003"/>
    <w:rsid w:val="318D0DFF"/>
    <w:rsid w:val="31955A7B"/>
    <w:rsid w:val="31963CA7"/>
    <w:rsid w:val="31C9380E"/>
    <w:rsid w:val="31CC7E3C"/>
    <w:rsid w:val="327A0EC0"/>
    <w:rsid w:val="328062EB"/>
    <w:rsid w:val="32A40559"/>
    <w:rsid w:val="32F80627"/>
    <w:rsid w:val="32FD2EB8"/>
    <w:rsid w:val="3341553A"/>
    <w:rsid w:val="337A6C9E"/>
    <w:rsid w:val="338673F1"/>
    <w:rsid w:val="33B026C0"/>
    <w:rsid w:val="33EE2824"/>
    <w:rsid w:val="344E0ECB"/>
    <w:rsid w:val="34712165"/>
    <w:rsid w:val="34D80120"/>
    <w:rsid w:val="34FA64A9"/>
    <w:rsid w:val="35263A8D"/>
    <w:rsid w:val="356814A4"/>
    <w:rsid w:val="358801C8"/>
    <w:rsid w:val="35951B6D"/>
    <w:rsid w:val="35A26EC5"/>
    <w:rsid w:val="35A66D8A"/>
    <w:rsid w:val="35B46497"/>
    <w:rsid w:val="35C33889"/>
    <w:rsid w:val="35C91817"/>
    <w:rsid w:val="3643781B"/>
    <w:rsid w:val="3654423D"/>
    <w:rsid w:val="36585E2C"/>
    <w:rsid w:val="36631C6B"/>
    <w:rsid w:val="36721CAA"/>
    <w:rsid w:val="3687718E"/>
    <w:rsid w:val="368F0CB2"/>
    <w:rsid w:val="36A302BA"/>
    <w:rsid w:val="36AE738B"/>
    <w:rsid w:val="370A7EC4"/>
    <w:rsid w:val="371C280A"/>
    <w:rsid w:val="371D3BDA"/>
    <w:rsid w:val="374B4BD9"/>
    <w:rsid w:val="37BC715F"/>
    <w:rsid w:val="37C130EE"/>
    <w:rsid w:val="37DB4F0C"/>
    <w:rsid w:val="37E34BD0"/>
    <w:rsid w:val="380354B4"/>
    <w:rsid w:val="38194CD8"/>
    <w:rsid w:val="384B29B7"/>
    <w:rsid w:val="385B7894"/>
    <w:rsid w:val="387B504A"/>
    <w:rsid w:val="388C54AA"/>
    <w:rsid w:val="38B56BEB"/>
    <w:rsid w:val="391536F1"/>
    <w:rsid w:val="391D25A6"/>
    <w:rsid w:val="3934562A"/>
    <w:rsid w:val="393C4C41"/>
    <w:rsid w:val="394967A2"/>
    <w:rsid w:val="398C3287"/>
    <w:rsid w:val="39A05096"/>
    <w:rsid w:val="39D021BF"/>
    <w:rsid w:val="39D52E80"/>
    <w:rsid w:val="39DF297C"/>
    <w:rsid w:val="3A032508"/>
    <w:rsid w:val="3A1A0928"/>
    <w:rsid w:val="3A6A6102"/>
    <w:rsid w:val="3AC80259"/>
    <w:rsid w:val="3AC802EF"/>
    <w:rsid w:val="3AD46181"/>
    <w:rsid w:val="3B0357CB"/>
    <w:rsid w:val="3B1E51EE"/>
    <w:rsid w:val="3B221DD1"/>
    <w:rsid w:val="3B392F9B"/>
    <w:rsid w:val="3B4E2EEA"/>
    <w:rsid w:val="3B61077B"/>
    <w:rsid w:val="3BF05D4F"/>
    <w:rsid w:val="3BFD6611"/>
    <w:rsid w:val="3C77771A"/>
    <w:rsid w:val="3C8A21B7"/>
    <w:rsid w:val="3C996D94"/>
    <w:rsid w:val="3CD45671"/>
    <w:rsid w:val="3CF47AC1"/>
    <w:rsid w:val="3D244CB3"/>
    <w:rsid w:val="3D65311A"/>
    <w:rsid w:val="3D6562C9"/>
    <w:rsid w:val="3D7D3613"/>
    <w:rsid w:val="3D90657F"/>
    <w:rsid w:val="3DA27C22"/>
    <w:rsid w:val="3DAC3EF8"/>
    <w:rsid w:val="3DBF3C2B"/>
    <w:rsid w:val="3DC47494"/>
    <w:rsid w:val="3DD2167B"/>
    <w:rsid w:val="3DF560D2"/>
    <w:rsid w:val="3E2E4451"/>
    <w:rsid w:val="3E7679EE"/>
    <w:rsid w:val="3E843E94"/>
    <w:rsid w:val="3EAB2953"/>
    <w:rsid w:val="3EAC7ED0"/>
    <w:rsid w:val="3EED17D0"/>
    <w:rsid w:val="3EFD6405"/>
    <w:rsid w:val="3F073B4E"/>
    <w:rsid w:val="3F0A7128"/>
    <w:rsid w:val="3F1D404C"/>
    <w:rsid w:val="3F5D194E"/>
    <w:rsid w:val="3FF74EFF"/>
    <w:rsid w:val="400124C8"/>
    <w:rsid w:val="400242A3"/>
    <w:rsid w:val="401B6629"/>
    <w:rsid w:val="40463FD3"/>
    <w:rsid w:val="404D19C2"/>
    <w:rsid w:val="407D392A"/>
    <w:rsid w:val="40860A30"/>
    <w:rsid w:val="40A614D2"/>
    <w:rsid w:val="40AC4616"/>
    <w:rsid w:val="40E90FBF"/>
    <w:rsid w:val="412169AB"/>
    <w:rsid w:val="412932F2"/>
    <w:rsid w:val="412F2E76"/>
    <w:rsid w:val="41432DC5"/>
    <w:rsid w:val="41456B3D"/>
    <w:rsid w:val="416256F8"/>
    <w:rsid w:val="41681144"/>
    <w:rsid w:val="416A65A4"/>
    <w:rsid w:val="41977AC8"/>
    <w:rsid w:val="41991C09"/>
    <w:rsid w:val="41C15304"/>
    <w:rsid w:val="420327C0"/>
    <w:rsid w:val="42322F7E"/>
    <w:rsid w:val="424E43DF"/>
    <w:rsid w:val="425E3192"/>
    <w:rsid w:val="426A68D4"/>
    <w:rsid w:val="42707BEA"/>
    <w:rsid w:val="42834F1E"/>
    <w:rsid w:val="428617AE"/>
    <w:rsid w:val="42BD1F9A"/>
    <w:rsid w:val="43101409"/>
    <w:rsid w:val="437E00E5"/>
    <w:rsid w:val="438559E1"/>
    <w:rsid w:val="438F5D12"/>
    <w:rsid w:val="43B8400B"/>
    <w:rsid w:val="44023EF2"/>
    <w:rsid w:val="440305EA"/>
    <w:rsid w:val="444C1F91"/>
    <w:rsid w:val="44A63851"/>
    <w:rsid w:val="44A65B45"/>
    <w:rsid w:val="44C07A22"/>
    <w:rsid w:val="44D45C32"/>
    <w:rsid w:val="450D7972"/>
    <w:rsid w:val="4517434D"/>
    <w:rsid w:val="45211135"/>
    <w:rsid w:val="455669CE"/>
    <w:rsid w:val="457335BA"/>
    <w:rsid w:val="459235B1"/>
    <w:rsid w:val="459D68A0"/>
    <w:rsid w:val="45B147A1"/>
    <w:rsid w:val="460C19D8"/>
    <w:rsid w:val="462839AF"/>
    <w:rsid w:val="46C557DB"/>
    <w:rsid w:val="47376F28"/>
    <w:rsid w:val="477E4B57"/>
    <w:rsid w:val="477F0E83"/>
    <w:rsid w:val="478E0C92"/>
    <w:rsid w:val="478F29C8"/>
    <w:rsid w:val="47CB2DAB"/>
    <w:rsid w:val="48071A55"/>
    <w:rsid w:val="48205C0E"/>
    <w:rsid w:val="48253225"/>
    <w:rsid w:val="488D7248"/>
    <w:rsid w:val="48AA7310"/>
    <w:rsid w:val="48B44301"/>
    <w:rsid w:val="48BF7446"/>
    <w:rsid w:val="492E6109"/>
    <w:rsid w:val="492E7EB7"/>
    <w:rsid w:val="49301E81"/>
    <w:rsid w:val="49C83ABC"/>
    <w:rsid w:val="49D00F6E"/>
    <w:rsid w:val="49E71CDD"/>
    <w:rsid w:val="49F925B1"/>
    <w:rsid w:val="49FD166D"/>
    <w:rsid w:val="4A0330F2"/>
    <w:rsid w:val="4A525E27"/>
    <w:rsid w:val="4AAA7ED3"/>
    <w:rsid w:val="4ADE2B90"/>
    <w:rsid w:val="4B082411"/>
    <w:rsid w:val="4B896B89"/>
    <w:rsid w:val="4B9F32EE"/>
    <w:rsid w:val="4BB80918"/>
    <w:rsid w:val="4BD44D46"/>
    <w:rsid w:val="4C2A0CD0"/>
    <w:rsid w:val="4CAC181F"/>
    <w:rsid w:val="4D0A35C0"/>
    <w:rsid w:val="4D1613AC"/>
    <w:rsid w:val="4D2314F5"/>
    <w:rsid w:val="4D6F6172"/>
    <w:rsid w:val="4D7E765F"/>
    <w:rsid w:val="4D896004"/>
    <w:rsid w:val="4D930591"/>
    <w:rsid w:val="4DEE6198"/>
    <w:rsid w:val="4E12786B"/>
    <w:rsid w:val="4E1C6E78"/>
    <w:rsid w:val="4E361CE8"/>
    <w:rsid w:val="4E45007C"/>
    <w:rsid w:val="4E6266EF"/>
    <w:rsid w:val="4E661EA1"/>
    <w:rsid w:val="4E8C59EE"/>
    <w:rsid w:val="4E9702AC"/>
    <w:rsid w:val="4EDB2E75"/>
    <w:rsid w:val="4EDD03B5"/>
    <w:rsid w:val="4EDE4FAD"/>
    <w:rsid w:val="4EF92D15"/>
    <w:rsid w:val="4F1D6483"/>
    <w:rsid w:val="4F2139B0"/>
    <w:rsid w:val="4F2C00B8"/>
    <w:rsid w:val="4F457D08"/>
    <w:rsid w:val="4F5543EF"/>
    <w:rsid w:val="4F9D6F64"/>
    <w:rsid w:val="4FE62753"/>
    <w:rsid w:val="4FE81D17"/>
    <w:rsid w:val="500A19B4"/>
    <w:rsid w:val="50CD4459"/>
    <w:rsid w:val="50E33C7D"/>
    <w:rsid w:val="51122D2C"/>
    <w:rsid w:val="512B6180"/>
    <w:rsid w:val="51402E7D"/>
    <w:rsid w:val="51453FF0"/>
    <w:rsid w:val="515C1131"/>
    <w:rsid w:val="519F2D25"/>
    <w:rsid w:val="51AC5C98"/>
    <w:rsid w:val="51C51AAA"/>
    <w:rsid w:val="5211195B"/>
    <w:rsid w:val="52326C6A"/>
    <w:rsid w:val="528754F0"/>
    <w:rsid w:val="529F2FF6"/>
    <w:rsid w:val="52A336C4"/>
    <w:rsid w:val="52E16484"/>
    <w:rsid w:val="52E30C07"/>
    <w:rsid w:val="52F41A82"/>
    <w:rsid w:val="5341454F"/>
    <w:rsid w:val="537961D3"/>
    <w:rsid w:val="53805F4C"/>
    <w:rsid w:val="53966EC0"/>
    <w:rsid w:val="53982AFD"/>
    <w:rsid w:val="53EC4876"/>
    <w:rsid w:val="53FA66F5"/>
    <w:rsid w:val="54077C82"/>
    <w:rsid w:val="541D3002"/>
    <w:rsid w:val="543E6D73"/>
    <w:rsid w:val="54555CAF"/>
    <w:rsid w:val="5458228C"/>
    <w:rsid w:val="549303D1"/>
    <w:rsid w:val="54DC110F"/>
    <w:rsid w:val="54F412D0"/>
    <w:rsid w:val="55044293"/>
    <w:rsid w:val="550B54F3"/>
    <w:rsid w:val="55172147"/>
    <w:rsid w:val="551F5926"/>
    <w:rsid w:val="554025E9"/>
    <w:rsid w:val="55424DB3"/>
    <w:rsid w:val="55676C2B"/>
    <w:rsid w:val="55733821"/>
    <w:rsid w:val="557F0623"/>
    <w:rsid w:val="55974E94"/>
    <w:rsid w:val="55AC6D33"/>
    <w:rsid w:val="55C0458D"/>
    <w:rsid w:val="55E41E4E"/>
    <w:rsid w:val="5607452B"/>
    <w:rsid w:val="56385D3E"/>
    <w:rsid w:val="5648732D"/>
    <w:rsid w:val="565151E5"/>
    <w:rsid w:val="568D5DEA"/>
    <w:rsid w:val="569630A9"/>
    <w:rsid w:val="56CB2E52"/>
    <w:rsid w:val="56D848CE"/>
    <w:rsid w:val="56DE116E"/>
    <w:rsid w:val="57256D9D"/>
    <w:rsid w:val="572F28F4"/>
    <w:rsid w:val="574B60D8"/>
    <w:rsid w:val="576F626A"/>
    <w:rsid w:val="5785380D"/>
    <w:rsid w:val="57AA72A2"/>
    <w:rsid w:val="57DA7B88"/>
    <w:rsid w:val="57F4740D"/>
    <w:rsid w:val="580469B3"/>
    <w:rsid w:val="582D6F77"/>
    <w:rsid w:val="5833286F"/>
    <w:rsid w:val="58385019"/>
    <w:rsid w:val="583B723F"/>
    <w:rsid w:val="585657FF"/>
    <w:rsid w:val="585A6F86"/>
    <w:rsid w:val="585D4A62"/>
    <w:rsid w:val="58694A68"/>
    <w:rsid w:val="587402CD"/>
    <w:rsid w:val="588E44CE"/>
    <w:rsid w:val="58A054FF"/>
    <w:rsid w:val="58F702C5"/>
    <w:rsid w:val="58F920E8"/>
    <w:rsid w:val="59284923"/>
    <w:rsid w:val="59883613"/>
    <w:rsid w:val="599D70BF"/>
    <w:rsid w:val="59C060CB"/>
    <w:rsid w:val="59CA7788"/>
    <w:rsid w:val="59DC01EA"/>
    <w:rsid w:val="59E854F3"/>
    <w:rsid w:val="59FB2037"/>
    <w:rsid w:val="5A584D94"/>
    <w:rsid w:val="5A6B0F6B"/>
    <w:rsid w:val="5A8D7133"/>
    <w:rsid w:val="5A955DC6"/>
    <w:rsid w:val="5AF12927"/>
    <w:rsid w:val="5AF251E8"/>
    <w:rsid w:val="5B0E7B48"/>
    <w:rsid w:val="5B1F0DC7"/>
    <w:rsid w:val="5B4377F2"/>
    <w:rsid w:val="5B5F4B57"/>
    <w:rsid w:val="5B7E0F08"/>
    <w:rsid w:val="5B8C497B"/>
    <w:rsid w:val="5BBB382C"/>
    <w:rsid w:val="5C1B30EF"/>
    <w:rsid w:val="5C57406F"/>
    <w:rsid w:val="5C61644A"/>
    <w:rsid w:val="5C6F4617"/>
    <w:rsid w:val="5C8252A5"/>
    <w:rsid w:val="5C8A7378"/>
    <w:rsid w:val="5CD55154"/>
    <w:rsid w:val="5CDC7EFE"/>
    <w:rsid w:val="5CE7604F"/>
    <w:rsid w:val="5CE943C9"/>
    <w:rsid w:val="5CFE5E59"/>
    <w:rsid w:val="5D1C3AC7"/>
    <w:rsid w:val="5D521F6E"/>
    <w:rsid w:val="5D5F6EFE"/>
    <w:rsid w:val="5DB034D2"/>
    <w:rsid w:val="5DB94316"/>
    <w:rsid w:val="5E6E45FD"/>
    <w:rsid w:val="5E725B0C"/>
    <w:rsid w:val="5E78376F"/>
    <w:rsid w:val="5E8F3152"/>
    <w:rsid w:val="5EF56650"/>
    <w:rsid w:val="5F061262"/>
    <w:rsid w:val="5F1746B0"/>
    <w:rsid w:val="5F1D3F91"/>
    <w:rsid w:val="5F4F0E5B"/>
    <w:rsid w:val="5F582CF2"/>
    <w:rsid w:val="5F5C4E6C"/>
    <w:rsid w:val="5F6441DB"/>
    <w:rsid w:val="5F9A6229"/>
    <w:rsid w:val="5F9F2289"/>
    <w:rsid w:val="5FC37153"/>
    <w:rsid w:val="5FC825BB"/>
    <w:rsid w:val="5FCB6008"/>
    <w:rsid w:val="5FF4548D"/>
    <w:rsid w:val="6005776C"/>
    <w:rsid w:val="60576EED"/>
    <w:rsid w:val="607F5012"/>
    <w:rsid w:val="60801391"/>
    <w:rsid w:val="6094614B"/>
    <w:rsid w:val="60BE6C38"/>
    <w:rsid w:val="60C12DC9"/>
    <w:rsid w:val="60D575DA"/>
    <w:rsid w:val="60DB671F"/>
    <w:rsid w:val="60E60DAF"/>
    <w:rsid w:val="61086C89"/>
    <w:rsid w:val="61164F72"/>
    <w:rsid w:val="616368A3"/>
    <w:rsid w:val="6167770A"/>
    <w:rsid w:val="61907509"/>
    <w:rsid w:val="61A41561"/>
    <w:rsid w:val="61AD62F2"/>
    <w:rsid w:val="61B64C24"/>
    <w:rsid w:val="61BE4076"/>
    <w:rsid w:val="61C764D2"/>
    <w:rsid w:val="61E00186"/>
    <w:rsid w:val="61FC006A"/>
    <w:rsid w:val="62061579"/>
    <w:rsid w:val="62565641"/>
    <w:rsid w:val="625D3358"/>
    <w:rsid w:val="62606EDB"/>
    <w:rsid w:val="62775FD3"/>
    <w:rsid w:val="628872B7"/>
    <w:rsid w:val="628D3A49"/>
    <w:rsid w:val="628F5A13"/>
    <w:rsid w:val="6298421A"/>
    <w:rsid w:val="62D774EF"/>
    <w:rsid w:val="62F31AFE"/>
    <w:rsid w:val="62FF2B86"/>
    <w:rsid w:val="631A52DC"/>
    <w:rsid w:val="633A597E"/>
    <w:rsid w:val="63645805"/>
    <w:rsid w:val="637644DD"/>
    <w:rsid w:val="63D156BB"/>
    <w:rsid w:val="63E47954"/>
    <w:rsid w:val="63F867F3"/>
    <w:rsid w:val="640C6D28"/>
    <w:rsid w:val="640F7046"/>
    <w:rsid w:val="64356063"/>
    <w:rsid w:val="64391D7F"/>
    <w:rsid w:val="64510628"/>
    <w:rsid w:val="6459439B"/>
    <w:rsid w:val="647A07CD"/>
    <w:rsid w:val="64926E05"/>
    <w:rsid w:val="650E70C3"/>
    <w:rsid w:val="652B4DF6"/>
    <w:rsid w:val="653B6349"/>
    <w:rsid w:val="65601419"/>
    <w:rsid w:val="65654809"/>
    <w:rsid w:val="6570474F"/>
    <w:rsid w:val="65823127"/>
    <w:rsid w:val="65A33670"/>
    <w:rsid w:val="65F21108"/>
    <w:rsid w:val="65F53DDF"/>
    <w:rsid w:val="66061B48"/>
    <w:rsid w:val="660A7682"/>
    <w:rsid w:val="66506C34"/>
    <w:rsid w:val="66B16FE3"/>
    <w:rsid w:val="676525C7"/>
    <w:rsid w:val="676E3E49"/>
    <w:rsid w:val="678C42CF"/>
    <w:rsid w:val="67917B37"/>
    <w:rsid w:val="67E81E4D"/>
    <w:rsid w:val="67EC2FBF"/>
    <w:rsid w:val="68107FF1"/>
    <w:rsid w:val="68422626"/>
    <w:rsid w:val="68621F93"/>
    <w:rsid w:val="68762DC1"/>
    <w:rsid w:val="68A35D74"/>
    <w:rsid w:val="68A452E5"/>
    <w:rsid w:val="68CF6B69"/>
    <w:rsid w:val="68D20407"/>
    <w:rsid w:val="691240E0"/>
    <w:rsid w:val="693E784B"/>
    <w:rsid w:val="6948796F"/>
    <w:rsid w:val="694F4082"/>
    <w:rsid w:val="695664EF"/>
    <w:rsid w:val="695C3057"/>
    <w:rsid w:val="69670B4F"/>
    <w:rsid w:val="69845BA5"/>
    <w:rsid w:val="699D01AE"/>
    <w:rsid w:val="69B7143A"/>
    <w:rsid w:val="69E46644"/>
    <w:rsid w:val="69E55F18"/>
    <w:rsid w:val="6A0D49E5"/>
    <w:rsid w:val="6A270365"/>
    <w:rsid w:val="6A4B0D46"/>
    <w:rsid w:val="6A933BC6"/>
    <w:rsid w:val="6A9A5DBE"/>
    <w:rsid w:val="6AA638F9"/>
    <w:rsid w:val="6AC36259"/>
    <w:rsid w:val="6ACB15B2"/>
    <w:rsid w:val="6AE310D9"/>
    <w:rsid w:val="6B0B50DB"/>
    <w:rsid w:val="6B2A452A"/>
    <w:rsid w:val="6B2A6C04"/>
    <w:rsid w:val="6BEE5558"/>
    <w:rsid w:val="6C2211F6"/>
    <w:rsid w:val="6C7344C7"/>
    <w:rsid w:val="6C7A5F81"/>
    <w:rsid w:val="6C8A236B"/>
    <w:rsid w:val="6CD24E7A"/>
    <w:rsid w:val="6CE06343"/>
    <w:rsid w:val="6D0A63C2"/>
    <w:rsid w:val="6D4009FB"/>
    <w:rsid w:val="6D51777A"/>
    <w:rsid w:val="6D9269D9"/>
    <w:rsid w:val="6D942CE8"/>
    <w:rsid w:val="6DB77697"/>
    <w:rsid w:val="6DBD1686"/>
    <w:rsid w:val="6DCF0265"/>
    <w:rsid w:val="6DE33741"/>
    <w:rsid w:val="6DFA0796"/>
    <w:rsid w:val="6E0E3C8F"/>
    <w:rsid w:val="6E16381A"/>
    <w:rsid w:val="6E2E60E0"/>
    <w:rsid w:val="6EE176B6"/>
    <w:rsid w:val="6F0D3F47"/>
    <w:rsid w:val="6F296E61"/>
    <w:rsid w:val="6F63625D"/>
    <w:rsid w:val="6F6849D9"/>
    <w:rsid w:val="6FB95C48"/>
    <w:rsid w:val="6FE3513A"/>
    <w:rsid w:val="6FE43B33"/>
    <w:rsid w:val="6FEF7AF1"/>
    <w:rsid w:val="701D01BA"/>
    <w:rsid w:val="70223A22"/>
    <w:rsid w:val="703674CE"/>
    <w:rsid w:val="704B11CB"/>
    <w:rsid w:val="70A6694B"/>
    <w:rsid w:val="71155335"/>
    <w:rsid w:val="712253B0"/>
    <w:rsid w:val="712A59E8"/>
    <w:rsid w:val="7196732B"/>
    <w:rsid w:val="71BC699A"/>
    <w:rsid w:val="71D8462F"/>
    <w:rsid w:val="71E52F59"/>
    <w:rsid w:val="72250CCF"/>
    <w:rsid w:val="726E73F3"/>
    <w:rsid w:val="727D3192"/>
    <w:rsid w:val="72B97E38"/>
    <w:rsid w:val="72C65FB9"/>
    <w:rsid w:val="72E459BC"/>
    <w:rsid w:val="72E66DA3"/>
    <w:rsid w:val="73076EFF"/>
    <w:rsid w:val="73293F7D"/>
    <w:rsid w:val="73542964"/>
    <w:rsid w:val="73621BD8"/>
    <w:rsid w:val="73832A2A"/>
    <w:rsid w:val="738C32BA"/>
    <w:rsid w:val="73964909"/>
    <w:rsid w:val="73BE2C1E"/>
    <w:rsid w:val="73DA3EB9"/>
    <w:rsid w:val="73F81CE1"/>
    <w:rsid w:val="74365CEE"/>
    <w:rsid w:val="744A79EB"/>
    <w:rsid w:val="745B2306"/>
    <w:rsid w:val="746740F9"/>
    <w:rsid w:val="747C477F"/>
    <w:rsid w:val="749F7D37"/>
    <w:rsid w:val="74A54F5A"/>
    <w:rsid w:val="74EB6AD9"/>
    <w:rsid w:val="74F42921"/>
    <w:rsid w:val="74F85FB9"/>
    <w:rsid w:val="74FD0BB0"/>
    <w:rsid w:val="75115F8D"/>
    <w:rsid w:val="75157E76"/>
    <w:rsid w:val="751A538A"/>
    <w:rsid w:val="75220020"/>
    <w:rsid w:val="75466405"/>
    <w:rsid w:val="754B7577"/>
    <w:rsid w:val="757A1C0A"/>
    <w:rsid w:val="75B96BD7"/>
    <w:rsid w:val="75BA294F"/>
    <w:rsid w:val="76147D8F"/>
    <w:rsid w:val="761A519B"/>
    <w:rsid w:val="762A3631"/>
    <w:rsid w:val="763E532E"/>
    <w:rsid w:val="76452218"/>
    <w:rsid w:val="769A2538"/>
    <w:rsid w:val="769C605A"/>
    <w:rsid w:val="76C53359"/>
    <w:rsid w:val="76D60EED"/>
    <w:rsid w:val="76DD2EB8"/>
    <w:rsid w:val="76E20749"/>
    <w:rsid w:val="76F16902"/>
    <w:rsid w:val="771064A4"/>
    <w:rsid w:val="772F0AE0"/>
    <w:rsid w:val="773F4EBA"/>
    <w:rsid w:val="775C0A91"/>
    <w:rsid w:val="77A43209"/>
    <w:rsid w:val="77C40DCA"/>
    <w:rsid w:val="77CB0E43"/>
    <w:rsid w:val="77F4117B"/>
    <w:rsid w:val="78054355"/>
    <w:rsid w:val="78054C6E"/>
    <w:rsid w:val="7808186C"/>
    <w:rsid w:val="780C20E7"/>
    <w:rsid w:val="78250553"/>
    <w:rsid w:val="784B57E6"/>
    <w:rsid w:val="785E5813"/>
    <w:rsid w:val="78663EDB"/>
    <w:rsid w:val="7879106D"/>
    <w:rsid w:val="78875731"/>
    <w:rsid w:val="78951550"/>
    <w:rsid w:val="78A51694"/>
    <w:rsid w:val="78C935D5"/>
    <w:rsid w:val="78CA10FB"/>
    <w:rsid w:val="78CE2999"/>
    <w:rsid w:val="79570BE0"/>
    <w:rsid w:val="7961380D"/>
    <w:rsid w:val="796651B0"/>
    <w:rsid w:val="798D25F9"/>
    <w:rsid w:val="798E188D"/>
    <w:rsid w:val="79A06ACC"/>
    <w:rsid w:val="79EB45D1"/>
    <w:rsid w:val="7A2F2AAB"/>
    <w:rsid w:val="7A8D2E7D"/>
    <w:rsid w:val="7ABB2AC0"/>
    <w:rsid w:val="7AC15A8F"/>
    <w:rsid w:val="7AC63D70"/>
    <w:rsid w:val="7ACC115A"/>
    <w:rsid w:val="7AD739F1"/>
    <w:rsid w:val="7AFB320C"/>
    <w:rsid w:val="7B09667C"/>
    <w:rsid w:val="7BB53956"/>
    <w:rsid w:val="7C014E34"/>
    <w:rsid w:val="7C146169"/>
    <w:rsid w:val="7C183F2B"/>
    <w:rsid w:val="7C232FFC"/>
    <w:rsid w:val="7C424D70"/>
    <w:rsid w:val="7C6D6A47"/>
    <w:rsid w:val="7C7462EC"/>
    <w:rsid w:val="7C7F5D65"/>
    <w:rsid w:val="7C943EFA"/>
    <w:rsid w:val="7C9A0308"/>
    <w:rsid w:val="7CC278CF"/>
    <w:rsid w:val="7CCF7DCC"/>
    <w:rsid w:val="7CD15FE2"/>
    <w:rsid w:val="7CD460A4"/>
    <w:rsid w:val="7CE107C1"/>
    <w:rsid w:val="7CF77FE5"/>
    <w:rsid w:val="7D0746CC"/>
    <w:rsid w:val="7D153C32"/>
    <w:rsid w:val="7D331A3B"/>
    <w:rsid w:val="7D3E05EA"/>
    <w:rsid w:val="7D4F2E89"/>
    <w:rsid w:val="7D803B1F"/>
    <w:rsid w:val="7D831878"/>
    <w:rsid w:val="7DAC03B0"/>
    <w:rsid w:val="7DCC5182"/>
    <w:rsid w:val="7DD32800"/>
    <w:rsid w:val="7DD42E2F"/>
    <w:rsid w:val="7E074257"/>
    <w:rsid w:val="7E132BFC"/>
    <w:rsid w:val="7E1C41A7"/>
    <w:rsid w:val="7E392313"/>
    <w:rsid w:val="7EBB6C59"/>
    <w:rsid w:val="7EC21F19"/>
    <w:rsid w:val="7EE17D2D"/>
    <w:rsid w:val="7EEC1E59"/>
    <w:rsid w:val="7F126886"/>
    <w:rsid w:val="7F1B118E"/>
    <w:rsid w:val="7F490541"/>
    <w:rsid w:val="7F761695"/>
    <w:rsid w:val="7F9D4E73"/>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4">
    <w:name w:val="heading 1"/>
    <w:basedOn w:val="1"/>
    <w:next w:val="1"/>
    <w:link w:val="83"/>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widowControl w:val="0"/>
      <w:spacing w:line="413" w:lineRule="auto"/>
      <w:outlineLvl w:val="1"/>
    </w:pPr>
    <w:rPr>
      <w:rFonts w:ascii="Arial" w:hAnsi="Arial" w:eastAsia="Arial" w:cs="Arial"/>
      <w:b/>
      <w:bCs/>
      <w:color w:val="000000"/>
      <w:sz w:val="32"/>
      <w:szCs w:val="32"/>
      <w:u w:color="000000"/>
    </w:rPr>
  </w:style>
  <w:style w:type="paragraph" w:styleId="6">
    <w:name w:val="heading 3"/>
    <w:basedOn w:val="1"/>
    <w:next w:val="1"/>
    <w:autoRedefine/>
    <w:qFormat/>
    <w:uiPriority w:val="0"/>
    <w:pPr>
      <w:keepNext/>
      <w:keepLines/>
      <w:widowControl w:val="0"/>
      <w:spacing w:line="413" w:lineRule="auto"/>
      <w:outlineLvl w:val="2"/>
    </w:pPr>
    <w:rPr>
      <w:rFonts w:eastAsia="Times New Roman"/>
      <w:b/>
      <w:bCs/>
      <w:color w:val="000000"/>
      <w:sz w:val="32"/>
      <w:szCs w:val="32"/>
      <w:u w:color="000000"/>
    </w:rPr>
  </w:style>
  <w:style w:type="paragraph" w:styleId="7">
    <w:name w:val="heading 4"/>
    <w:basedOn w:val="1"/>
    <w:next w:val="1"/>
    <w:autoRedefine/>
    <w:qFormat/>
    <w:uiPriority w:val="0"/>
    <w:pPr>
      <w:keepNext/>
      <w:keepLines/>
      <w:spacing w:before="280" w:after="290" w:line="372" w:lineRule="auto"/>
      <w:outlineLvl w:val="3"/>
    </w:pPr>
    <w:rPr>
      <w:rFonts w:ascii="Arial" w:hAnsi="Arial" w:eastAsia="黑体"/>
      <w:b/>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99"/>
    <w:pPr>
      <w:ind w:firstLine="420" w:firstLineChars="100"/>
    </w:pPr>
  </w:style>
  <w:style w:type="paragraph" w:styleId="3">
    <w:name w:val="Body Text"/>
    <w:basedOn w:val="1"/>
    <w:next w:val="1"/>
    <w:autoRedefine/>
    <w:unhideWhenUsed/>
    <w:qFormat/>
    <w:uiPriority w:val="99"/>
    <w:pPr>
      <w:spacing w:after="120"/>
    </w:pPr>
  </w:style>
  <w:style w:type="paragraph" w:styleId="8">
    <w:name w:val="Normal Indent"/>
    <w:basedOn w:val="1"/>
    <w:next w:val="1"/>
    <w:autoRedefine/>
    <w:qFormat/>
    <w:uiPriority w:val="0"/>
    <w:pPr>
      <w:widowControl w:val="0"/>
      <w:adjustRightInd w:val="0"/>
      <w:ind w:firstLine="420"/>
      <w:jc w:val="left"/>
    </w:pPr>
    <w:rPr>
      <w:sz w:val="24"/>
      <w:szCs w:val="20"/>
    </w:rPr>
  </w:style>
  <w:style w:type="paragraph" w:styleId="9">
    <w:name w:val="Body Text Indent"/>
    <w:basedOn w:val="1"/>
    <w:next w:val="10"/>
    <w:link w:val="82"/>
    <w:autoRedefine/>
    <w:qFormat/>
    <w:uiPriority w:val="0"/>
    <w:pPr>
      <w:widowControl w:val="0"/>
      <w:spacing w:line="400" w:lineRule="exact"/>
      <w:ind w:firstLine="560" w:firstLineChars="200"/>
      <w:textAlignment w:val="auto"/>
    </w:pPr>
    <w:rPr>
      <w:rFonts w:ascii="仿宋_GB2312" w:eastAsia="仿宋_GB2312"/>
      <w:sz w:val="28"/>
    </w:rPr>
  </w:style>
  <w:style w:type="paragraph" w:customStyle="1" w:styleId="10">
    <w:name w:val="样式 宋体 五号 行距: 单倍行距"/>
    <w:basedOn w:val="1"/>
    <w:autoRedefine/>
    <w:qFormat/>
    <w:uiPriority w:val="0"/>
    <w:pPr>
      <w:adjustRightInd w:val="0"/>
      <w:jc w:val="left"/>
    </w:pPr>
    <w:rPr>
      <w:rFonts w:ascii="宋体" w:hAnsi="宋体" w:eastAsia="宋体" w:cs="Times New Roman"/>
      <w:kern w:val="0"/>
      <w:sz w:val="21"/>
    </w:rPr>
  </w:style>
  <w:style w:type="paragraph" w:styleId="11">
    <w:name w:val="toc 3"/>
    <w:basedOn w:val="1"/>
    <w:next w:val="1"/>
    <w:autoRedefine/>
    <w:semiHidden/>
    <w:unhideWhenUsed/>
    <w:qFormat/>
    <w:uiPriority w:val="39"/>
    <w:pPr>
      <w:ind w:left="840" w:leftChars="400"/>
    </w:pPr>
  </w:style>
  <w:style w:type="paragraph" w:styleId="12">
    <w:name w:val="Plain Text"/>
    <w:basedOn w:val="1"/>
    <w:next w:val="1"/>
    <w:autoRedefine/>
    <w:qFormat/>
    <w:uiPriority w:val="0"/>
    <w:rPr>
      <w:rFonts w:ascii="宋体" w:hAnsi="Courier New"/>
      <w:szCs w:val="20"/>
    </w:rPr>
  </w:style>
  <w:style w:type="paragraph" w:styleId="13">
    <w:name w:val="Date"/>
    <w:basedOn w:val="1"/>
    <w:next w:val="1"/>
    <w:link w:val="81"/>
    <w:autoRedefine/>
    <w:qFormat/>
    <w:uiPriority w:val="0"/>
    <w:pPr>
      <w:jc w:val="left"/>
    </w:pPr>
    <w:rPr>
      <w:rFonts w:eastAsia="仿宋_GB2312"/>
      <w:kern w:val="0"/>
      <w:sz w:val="28"/>
    </w:rPr>
  </w:style>
  <w:style w:type="paragraph" w:styleId="14">
    <w:name w:val="Balloon Text"/>
    <w:basedOn w:val="1"/>
    <w:link w:val="87"/>
    <w:autoRedefine/>
    <w:semiHidden/>
    <w:unhideWhenUsed/>
    <w:qFormat/>
    <w:uiPriority w:val="99"/>
    <w:rPr>
      <w:sz w:val="18"/>
      <w:szCs w:val="18"/>
    </w:rPr>
  </w:style>
  <w:style w:type="paragraph" w:styleId="15">
    <w:name w:val="footer"/>
    <w:basedOn w:val="1"/>
    <w:link w:val="58"/>
    <w:autoRedefine/>
    <w:qFormat/>
    <w:uiPriority w:val="99"/>
    <w:pPr>
      <w:tabs>
        <w:tab w:val="center" w:pos="4153"/>
        <w:tab w:val="right" w:pos="8306"/>
      </w:tabs>
      <w:snapToGrid w:val="0"/>
      <w:jc w:val="left"/>
    </w:pPr>
    <w:rPr>
      <w:sz w:val="18"/>
      <w:szCs w:val="18"/>
    </w:rPr>
  </w:style>
  <w:style w:type="paragraph" w:styleId="16">
    <w:name w:val="header"/>
    <w:basedOn w:val="1"/>
    <w:link w:val="59"/>
    <w:autoRedefine/>
    <w:qFormat/>
    <w:uiPriority w:val="0"/>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autoRedefine/>
    <w:qFormat/>
    <w:uiPriority w:val="0"/>
    <w:pPr>
      <w:spacing w:before="240" w:after="60" w:line="312" w:lineRule="auto"/>
      <w:jc w:val="center"/>
      <w:outlineLvl w:val="1"/>
    </w:pPr>
    <w:rPr>
      <w:b/>
      <w:bCs/>
      <w:kern w:val="28"/>
      <w:sz w:val="32"/>
      <w:szCs w:val="32"/>
    </w:rPr>
  </w:style>
  <w:style w:type="paragraph" w:styleId="19">
    <w:name w:val="index 7"/>
    <w:basedOn w:val="1"/>
    <w:next w:val="1"/>
    <w:autoRedefine/>
    <w:qFormat/>
    <w:uiPriority w:val="0"/>
    <w:pPr>
      <w:ind w:left="2520"/>
    </w:pPr>
  </w:style>
  <w:style w:type="paragraph" w:styleId="20">
    <w:name w:val="toc 2"/>
    <w:basedOn w:val="1"/>
    <w:next w:val="1"/>
    <w:autoRedefine/>
    <w:semiHidden/>
    <w:unhideWhenUsed/>
    <w:qFormat/>
    <w:uiPriority w:val="39"/>
    <w:pPr>
      <w:ind w:left="420" w:leftChars="200"/>
    </w:pPr>
  </w:style>
  <w:style w:type="paragraph" w:styleId="21">
    <w:name w:val="Body Text 2"/>
    <w:basedOn w:val="1"/>
    <w:autoRedefine/>
    <w:qFormat/>
    <w:uiPriority w:val="0"/>
    <w:pPr>
      <w:adjustRightInd w:val="0"/>
      <w:snapToGrid w:val="0"/>
      <w:spacing w:after="120" w:afterLines="0" w:afterAutospacing="0" w:line="480" w:lineRule="auto"/>
    </w:pPr>
    <w:rPr>
      <w:sz w:val="24"/>
    </w:rPr>
  </w:style>
  <w:style w:type="paragraph" w:styleId="22">
    <w:name w:val="Normal (Web)"/>
    <w:basedOn w:val="1"/>
    <w:autoRedefine/>
    <w:qFormat/>
    <w:uiPriority w:val="0"/>
    <w:pPr>
      <w:spacing w:beforeAutospacing="1" w:afterAutospacing="1"/>
      <w:jc w:val="left"/>
    </w:pPr>
    <w:rPr>
      <w:kern w:val="0"/>
      <w:sz w:val="24"/>
    </w:rPr>
  </w:style>
  <w:style w:type="paragraph" w:styleId="23">
    <w:name w:val="Body Text First Indent 2"/>
    <w:basedOn w:val="9"/>
    <w:autoRedefine/>
    <w:qFormat/>
    <w:uiPriority w:val="0"/>
    <w:pPr>
      <w:ind w:firstLine="420" w:firstLineChars="200"/>
    </w:pPr>
    <w:rPr>
      <w:szCs w:val="24"/>
    </w:r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style>
  <w:style w:type="character" w:styleId="28">
    <w:name w:val="FollowedHyperlink"/>
    <w:basedOn w:val="26"/>
    <w:autoRedefine/>
    <w:semiHidden/>
    <w:unhideWhenUsed/>
    <w:qFormat/>
    <w:uiPriority w:val="99"/>
    <w:rPr>
      <w:color w:val="800080"/>
      <w:u w:val="none"/>
    </w:rPr>
  </w:style>
  <w:style w:type="character" w:styleId="29">
    <w:name w:val="Emphasis"/>
    <w:basedOn w:val="26"/>
    <w:autoRedefine/>
    <w:qFormat/>
    <w:uiPriority w:val="20"/>
  </w:style>
  <w:style w:type="character" w:styleId="30">
    <w:name w:val="HTML Definition"/>
    <w:basedOn w:val="26"/>
    <w:autoRedefine/>
    <w:semiHidden/>
    <w:unhideWhenUsed/>
    <w:qFormat/>
    <w:uiPriority w:val="99"/>
  </w:style>
  <w:style w:type="character" w:styleId="31">
    <w:name w:val="HTML Typewriter"/>
    <w:basedOn w:val="26"/>
    <w:autoRedefine/>
    <w:semiHidden/>
    <w:unhideWhenUsed/>
    <w:qFormat/>
    <w:uiPriority w:val="99"/>
    <w:rPr>
      <w:rFonts w:ascii="monospace" w:hAnsi="monospace" w:eastAsia="monospace" w:cs="monospace"/>
      <w:sz w:val="20"/>
    </w:rPr>
  </w:style>
  <w:style w:type="character" w:styleId="32">
    <w:name w:val="HTML Acronym"/>
    <w:basedOn w:val="26"/>
    <w:autoRedefine/>
    <w:semiHidden/>
    <w:unhideWhenUsed/>
    <w:qFormat/>
    <w:uiPriority w:val="99"/>
  </w:style>
  <w:style w:type="character" w:styleId="33">
    <w:name w:val="HTML Variable"/>
    <w:basedOn w:val="26"/>
    <w:autoRedefine/>
    <w:semiHidden/>
    <w:unhideWhenUsed/>
    <w:qFormat/>
    <w:uiPriority w:val="99"/>
  </w:style>
  <w:style w:type="character" w:styleId="34">
    <w:name w:val="Hyperlink"/>
    <w:autoRedefine/>
    <w:qFormat/>
    <w:uiPriority w:val="99"/>
    <w:rPr>
      <w:color w:val="4E3509"/>
    </w:rPr>
  </w:style>
  <w:style w:type="character" w:styleId="35">
    <w:name w:val="HTML Code"/>
    <w:basedOn w:val="26"/>
    <w:autoRedefine/>
    <w:semiHidden/>
    <w:unhideWhenUsed/>
    <w:qFormat/>
    <w:uiPriority w:val="99"/>
    <w:rPr>
      <w:rFonts w:hint="default" w:ascii="monospace" w:hAnsi="monospace" w:eastAsia="monospace" w:cs="monospace"/>
      <w:sz w:val="20"/>
    </w:rPr>
  </w:style>
  <w:style w:type="character" w:styleId="36">
    <w:name w:val="HTML Cite"/>
    <w:basedOn w:val="26"/>
    <w:autoRedefine/>
    <w:semiHidden/>
    <w:unhideWhenUsed/>
    <w:qFormat/>
    <w:uiPriority w:val="99"/>
  </w:style>
  <w:style w:type="character" w:styleId="37">
    <w:name w:val="HTML Keyboard"/>
    <w:basedOn w:val="26"/>
    <w:autoRedefine/>
    <w:semiHidden/>
    <w:unhideWhenUsed/>
    <w:qFormat/>
    <w:uiPriority w:val="99"/>
    <w:rPr>
      <w:rFonts w:hint="default" w:ascii="monospace" w:hAnsi="monospace" w:eastAsia="monospace" w:cs="monospace"/>
      <w:sz w:val="20"/>
    </w:rPr>
  </w:style>
  <w:style w:type="character" w:styleId="38">
    <w:name w:val="HTML Sample"/>
    <w:basedOn w:val="26"/>
    <w:autoRedefine/>
    <w:semiHidden/>
    <w:unhideWhenUsed/>
    <w:qFormat/>
    <w:uiPriority w:val="99"/>
    <w:rPr>
      <w:rFonts w:hint="default" w:ascii="monospace" w:hAnsi="monospace" w:eastAsia="monospace" w:cs="monospace"/>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1">
    <w:name w:val="标题 5（有编号）（绿盟科技）"/>
    <w:basedOn w:val="1"/>
    <w:next w:val="42"/>
    <w:autoRedefine/>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42">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43">
    <w:name w:val="_Style 6"/>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44">
    <w:name w:val="TOC1"/>
    <w:basedOn w:val="1"/>
    <w:next w:val="1"/>
    <w:autoRedefine/>
    <w:qFormat/>
    <w:uiPriority w:val="0"/>
    <w:pPr>
      <w:tabs>
        <w:tab w:val="right" w:leader="dot" w:pos="9117"/>
      </w:tabs>
      <w:spacing w:before="120" w:after="120"/>
      <w:jc w:val="left"/>
    </w:pPr>
    <w:rPr>
      <w:szCs w:val="21"/>
    </w:rPr>
  </w:style>
  <w:style w:type="paragraph" w:customStyle="1" w:styleId="45">
    <w:name w:val="Heading1"/>
    <w:basedOn w:val="1"/>
    <w:next w:val="1"/>
    <w:autoRedefine/>
    <w:qFormat/>
    <w:uiPriority w:val="0"/>
    <w:pPr>
      <w:snapToGrid w:val="0"/>
      <w:spacing w:line="360" w:lineRule="auto"/>
      <w:jc w:val="center"/>
    </w:pPr>
    <w:rPr>
      <w:rFonts w:eastAsia="黑体"/>
      <w:sz w:val="44"/>
      <w:szCs w:val="44"/>
    </w:rPr>
  </w:style>
  <w:style w:type="paragraph" w:customStyle="1" w:styleId="46">
    <w:name w:val="Heading2"/>
    <w:basedOn w:val="1"/>
    <w:next w:val="1"/>
    <w:autoRedefine/>
    <w:qFormat/>
    <w:uiPriority w:val="0"/>
    <w:pPr>
      <w:keepNext/>
      <w:keepLines/>
      <w:spacing w:before="260" w:after="260" w:line="416" w:lineRule="auto"/>
    </w:pPr>
    <w:rPr>
      <w:rFonts w:ascii="Arial" w:hAnsi="Arial" w:eastAsia="黑体"/>
      <w:sz w:val="32"/>
      <w:szCs w:val="32"/>
    </w:rPr>
  </w:style>
  <w:style w:type="paragraph" w:customStyle="1" w:styleId="47">
    <w:name w:val="Heading3"/>
    <w:basedOn w:val="1"/>
    <w:next w:val="1"/>
    <w:autoRedefine/>
    <w:qFormat/>
    <w:uiPriority w:val="0"/>
    <w:pPr>
      <w:keepNext/>
      <w:keepLines/>
      <w:tabs>
        <w:tab w:val="left" w:pos="1418"/>
      </w:tabs>
      <w:spacing w:before="260" w:after="260" w:line="413" w:lineRule="auto"/>
      <w:ind w:left="1260" w:hanging="420"/>
    </w:pPr>
    <w:rPr>
      <w:sz w:val="32"/>
      <w:szCs w:val="20"/>
    </w:rPr>
  </w:style>
  <w:style w:type="character" w:customStyle="1" w:styleId="48">
    <w:name w:val="NormalCharacter"/>
    <w:autoRedefine/>
    <w:semiHidden/>
    <w:qFormat/>
    <w:uiPriority w:val="0"/>
  </w:style>
  <w:style w:type="table" w:customStyle="1" w:styleId="49">
    <w:name w:val="TableNormal"/>
    <w:autoRedefine/>
    <w:qFormat/>
    <w:uiPriority w:val="0"/>
    <w:tblPr>
      <w:tblCellMar>
        <w:top w:w="0" w:type="dxa"/>
        <w:left w:w="0" w:type="dxa"/>
        <w:bottom w:w="0" w:type="dxa"/>
        <w:right w:w="0" w:type="dxa"/>
      </w:tblCellMar>
    </w:tblPr>
  </w:style>
  <w:style w:type="paragraph" w:customStyle="1" w:styleId="50">
    <w:name w:val="NormalIndent"/>
    <w:basedOn w:val="1"/>
    <w:autoRedefine/>
    <w:qFormat/>
    <w:uiPriority w:val="0"/>
    <w:pPr>
      <w:ind w:firstLine="420"/>
      <w:jc w:val="left"/>
    </w:pPr>
    <w:rPr>
      <w:sz w:val="24"/>
      <w:szCs w:val="20"/>
    </w:rPr>
  </w:style>
  <w:style w:type="paragraph" w:customStyle="1" w:styleId="51">
    <w:name w:val="AnnotationText"/>
    <w:basedOn w:val="1"/>
    <w:autoRedefine/>
    <w:semiHidden/>
    <w:qFormat/>
    <w:uiPriority w:val="0"/>
    <w:pPr>
      <w:jc w:val="left"/>
    </w:pPr>
    <w:rPr>
      <w:szCs w:val="20"/>
    </w:rPr>
  </w:style>
  <w:style w:type="paragraph" w:customStyle="1" w:styleId="52">
    <w:name w:val="BodyText"/>
    <w:basedOn w:val="1"/>
    <w:next w:val="1"/>
    <w:link w:val="53"/>
    <w:autoRedefine/>
    <w:qFormat/>
    <w:uiPriority w:val="0"/>
    <w:pPr>
      <w:spacing w:after="120"/>
    </w:pPr>
  </w:style>
  <w:style w:type="character" w:customStyle="1" w:styleId="53">
    <w:name w:val="UserStyle_0"/>
    <w:link w:val="52"/>
    <w:autoRedefine/>
    <w:qFormat/>
    <w:uiPriority w:val="0"/>
    <w:rPr>
      <w:kern w:val="2"/>
      <w:sz w:val="21"/>
      <w:szCs w:val="24"/>
    </w:rPr>
  </w:style>
  <w:style w:type="paragraph" w:customStyle="1" w:styleId="54">
    <w:name w:val="BodyTextIndent"/>
    <w:basedOn w:val="1"/>
    <w:autoRedefine/>
    <w:qFormat/>
    <w:uiPriority w:val="0"/>
    <w:pPr>
      <w:spacing w:line="400" w:lineRule="exact"/>
      <w:ind w:firstLine="560" w:firstLineChars="200"/>
    </w:pPr>
    <w:rPr>
      <w:rFonts w:ascii="仿宋_GB2312" w:eastAsia="仿宋_GB2312"/>
      <w:sz w:val="28"/>
    </w:rPr>
  </w:style>
  <w:style w:type="paragraph" w:customStyle="1" w:styleId="55">
    <w:name w:val="PlainText"/>
    <w:basedOn w:val="1"/>
    <w:autoRedefine/>
    <w:qFormat/>
    <w:uiPriority w:val="0"/>
    <w:pPr>
      <w:snapToGrid w:val="0"/>
      <w:spacing w:line="360" w:lineRule="auto"/>
    </w:pPr>
    <w:rPr>
      <w:rFonts w:ascii="宋体" w:hAnsi="宋体"/>
      <w:kern w:val="0"/>
      <w:sz w:val="20"/>
    </w:rPr>
  </w:style>
  <w:style w:type="paragraph" w:customStyle="1" w:styleId="56">
    <w:name w:val="BodyTextIndent2"/>
    <w:basedOn w:val="1"/>
    <w:autoRedefine/>
    <w:qFormat/>
    <w:uiPriority w:val="0"/>
    <w:pPr>
      <w:tabs>
        <w:tab w:val="left" w:pos="540"/>
      </w:tabs>
      <w:spacing w:line="580" w:lineRule="exact"/>
      <w:ind w:firstLine="560" w:firstLineChars="200"/>
    </w:pPr>
    <w:rPr>
      <w:rFonts w:ascii="仿宋_GB2312" w:eastAsia="仿宋_GB2312"/>
      <w:kern w:val="0"/>
      <w:sz w:val="28"/>
    </w:rPr>
  </w:style>
  <w:style w:type="paragraph" w:customStyle="1" w:styleId="57">
    <w:name w:val="Acetate"/>
    <w:basedOn w:val="1"/>
    <w:autoRedefine/>
    <w:semiHidden/>
    <w:qFormat/>
    <w:uiPriority w:val="0"/>
    <w:rPr>
      <w:sz w:val="18"/>
      <w:szCs w:val="18"/>
    </w:rPr>
  </w:style>
  <w:style w:type="character" w:customStyle="1" w:styleId="58">
    <w:name w:val="页脚 Char"/>
    <w:link w:val="15"/>
    <w:autoRedefine/>
    <w:qFormat/>
    <w:uiPriority w:val="99"/>
    <w:rPr>
      <w:kern w:val="2"/>
      <w:sz w:val="18"/>
      <w:szCs w:val="18"/>
    </w:rPr>
  </w:style>
  <w:style w:type="character" w:customStyle="1" w:styleId="59">
    <w:name w:val="页眉 Char"/>
    <w:link w:val="16"/>
    <w:autoRedefine/>
    <w:qFormat/>
    <w:uiPriority w:val="0"/>
    <w:rPr>
      <w:rFonts w:eastAsia="宋体"/>
      <w:kern w:val="2"/>
      <w:sz w:val="18"/>
      <w:szCs w:val="18"/>
      <w:lang w:val="en-US" w:eastAsia="zh-CN" w:bidi="ar-SA"/>
    </w:rPr>
  </w:style>
  <w:style w:type="paragraph" w:customStyle="1" w:styleId="60">
    <w:name w:val="FootnoteText"/>
    <w:basedOn w:val="1"/>
    <w:autoRedefine/>
    <w:qFormat/>
    <w:uiPriority w:val="0"/>
    <w:pPr>
      <w:snapToGrid w:val="0"/>
      <w:jc w:val="left"/>
    </w:pPr>
    <w:rPr>
      <w:sz w:val="18"/>
      <w:szCs w:val="18"/>
    </w:rPr>
  </w:style>
  <w:style w:type="paragraph" w:customStyle="1" w:styleId="61">
    <w:name w:val="HtmlNormal"/>
    <w:basedOn w:val="1"/>
    <w:autoRedefine/>
    <w:qFormat/>
    <w:uiPriority w:val="0"/>
    <w:pPr>
      <w:spacing w:beforeAutospacing="1" w:afterAutospacing="1"/>
      <w:jc w:val="left"/>
    </w:pPr>
    <w:rPr>
      <w:kern w:val="0"/>
      <w:sz w:val="24"/>
    </w:rPr>
  </w:style>
  <w:style w:type="paragraph" w:customStyle="1" w:styleId="62">
    <w:name w:val="BodyText1I"/>
    <w:basedOn w:val="52"/>
    <w:autoRedefine/>
    <w:qFormat/>
    <w:uiPriority w:val="0"/>
    <w:pPr>
      <w:spacing w:line="275" w:lineRule="atLeast"/>
      <w:ind w:firstLine="420"/>
    </w:pPr>
    <w:rPr>
      <w:rFonts w:ascii="宋体" w:eastAsia="楷体_GB2312"/>
    </w:rPr>
  </w:style>
  <w:style w:type="character" w:customStyle="1" w:styleId="63">
    <w:name w:val="PageNumber"/>
    <w:autoRedefine/>
    <w:qFormat/>
    <w:uiPriority w:val="0"/>
  </w:style>
  <w:style w:type="character" w:customStyle="1" w:styleId="64">
    <w:name w:val="AnnotationReference"/>
    <w:autoRedefine/>
    <w:semiHidden/>
    <w:qFormat/>
    <w:uiPriority w:val="0"/>
    <w:rPr>
      <w:sz w:val="21"/>
      <w:szCs w:val="21"/>
    </w:rPr>
  </w:style>
  <w:style w:type="character" w:customStyle="1" w:styleId="65">
    <w:name w:val="FootnoteReference"/>
    <w:autoRedefine/>
    <w:qFormat/>
    <w:uiPriority w:val="0"/>
    <w:rPr>
      <w:vertAlign w:val="superscript"/>
    </w:rPr>
  </w:style>
  <w:style w:type="character" w:customStyle="1" w:styleId="66">
    <w:name w:val="UserStyle_3"/>
    <w:autoRedefine/>
    <w:qFormat/>
    <w:uiPriority w:val="0"/>
    <w:rPr>
      <w:kern w:val="2"/>
      <w:sz w:val="21"/>
      <w:szCs w:val="24"/>
    </w:rPr>
  </w:style>
  <w:style w:type="character" w:customStyle="1" w:styleId="67">
    <w:name w:val="UserStyle_4"/>
    <w:autoRedefine/>
    <w:qFormat/>
    <w:uiPriority w:val="0"/>
    <w:rPr>
      <w:rFonts w:ascii="宋体" w:hAnsi="宋体" w:eastAsia="宋体"/>
      <w:color w:val="000000"/>
      <w:sz w:val="18"/>
      <w:szCs w:val="18"/>
    </w:rPr>
  </w:style>
  <w:style w:type="character" w:customStyle="1" w:styleId="68">
    <w:name w:val="UserStyle_5"/>
    <w:autoRedefine/>
    <w:qFormat/>
    <w:uiPriority w:val="0"/>
    <w:rPr>
      <w:rFonts w:ascii="宋体" w:hAnsi="宋体" w:eastAsia="宋体"/>
      <w:color w:val="000000"/>
      <w:sz w:val="18"/>
      <w:szCs w:val="18"/>
    </w:rPr>
  </w:style>
  <w:style w:type="character" w:customStyle="1" w:styleId="69">
    <w:name w:val="UserStyle_6"/>
    <w:autoRedefine/>
    <w:qFormat/>
    <w:uiPriority w:val="0"/>
  </w:style>
  <w:style w:type="character" w:customStyle="1" w:styleId="70">
    <w:name w:val="UserStyle_7"/>
    <w:autoRedefine/>
    <w:qFormat/>
    <w:uiPriority w:val="0"/>
    <w:rPr>
      <w:rFonts w:ascii="宋体" w:hAnsi="宋体" w:eastAsia="宋体"/>
      <w:color w:val="000000"/>
      <w:sz w:val="20"/>
      <w:szCs w:val="20"/>
    </w:rPr>
  </w:style>
  <w:style w:type="paragraph" w:customStyle="1" w:styleId="71">
    <w:name w:val="UserStyle_8"/>
    <w:basedOn w:val="1"/>
    <w:autoRedefine/>
    <w:qFormat/>
    <w:uiPriority w:val="0"/>
    <w:rPr>
      <w:kern w:val="0"/>
      <w:szCs w:val="21"/>
    </w:rPr>
  </w:style>
  <w:style w:type="paragraph" w:customStyle="1" w:styleId="72">
    <w:name w:val="UserStyle_9"/>
    <w:basedOn w:val="1"/>
    <w:autoRedefine/>
    <w:qFormat/>
    <w:uiPriority w:val="0"/>
    <w:pPr>
      <w:spacing w:after="160" w:line="240" w:lineRule="exact"/>
      <w:jc w:val="left"/>
    </w:pPr>
    <w:rPr>
      <w:rFonts w:ascii="Verdana" w:hAnsi="Verdana" w:eastAsia="仿宋_GB2312"/>
      <w:kern w:val="0"/>
      <w:sz w:val="24"/>
      <w:lang w:eastAsia="en-US"/>
    </w:rPr>
  </w:style>
  <w:style w:type="paragraph" w:customStyle="1" w:styleId="73">
    <w:name w:val="UserStyle_10"/>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74">
    <w:name w:val="UserStyle_11"/>
    <w:basedOn w:val="1"/>
    <w:autoRedefine/>
    <w:qFormat/>
    <w:uiPriority w:val="0"/>
    <w:rPr>
      <w:kern w:val="0"/>
      <w:szCs w:val="20"/>
    </w:rPr>
  </w:style>
  <w:style w:type="paragraph" w:customStyle="1" w:styleId="75">
    <w:name w:val="UserStyle_12"/>
    <w:basedOn w:val="1"/>
    <w:autoRedefine/>
    <w:qFormat/>
    <w:uiPriority w:val="0"/>
    <w:rPr>
      <w:sz w:val="28"/>
      <w:szCs w:val="20"/>
    </w:rPr>
  </w:style>
  <w:style w:type="paragraph" w:customStyle="1" w:styleId="76">
    <w:name w:val="UserStyle_13"/>
    <w:basedOn w:val="1"/>
    <w:autoRedefine/>
    <w:qFormat/>
    <w:uiPriority w:val="0"/>
    <w:pPr>
      <w:spacing w:before="50" w:after="50"/>
      <w:jc w:val="center"/>
    </w:pPr>
    <w:rPr>
      <w:rFonts w:eastAsia="黑体"/>
      <w:sz w:val="32"/>
      <w:szCs w:val="20"/>
    </w:rPr>
  </w:style>
  <w:style w:type="paragraph" w:customStyle="1" w:styleId="77">
    <w:name w:val="UserStyle_14"/>
    <w:basedOn w:val="1"/>
    <w:autoRedefine/>
    <w:qFormat/>
    <w:uiPriority w:val="0"/>
    <w:pPr>
      <w:spacing w:before="120" w:after="120" w:line="360" w:lineRule="auto"/>
      <w:jc w:val="center"/>
    </w:pPr>
    <w:rPr>
      <w:rFonts w:eastAsia="仿宋_GB2312"/>
      <w:sz w:val="24"/>
      <w:szCs w:val="20"/>
    </w:rPr>
  </w:style>
  <w:style w:type="paragraph" w:customStyle="1" w:styleId="78">
    <w:name w:val="266"/>
    <w:basedOn w:val="45"/>
    <w:next w:val="1"/>
    <w:autoRedefine/>
    <w:qFormat/>
    <w:uiPriority w:val="0"/>
    <w:pPr>
      <w:keepNext/>
      <w:keepLines/>
      <w:spacing w:before="480" w:line="276" w:lineRule="auto"/>
      <w:jc w:val="left"/>
    </w:pPr>
    <w:rPr>
      <w:rFonts w:ascii="Cambria" w:hAnsi="Cambria" w:eastAsia="宋体"/>
      <w:color w:val="365F91"/>
      <w:kern w:val="0"/>
      <w:sz w:val="28"/>
      <w:szCs w:val="28"/>
    </w:rPr>
  </w:style>
  <w:style w:type="paragraph" w:customStyle="1" w:styleId="79">
    <w:name w:val="UserStyle_15"/>
    <w:basedOn w:val="1"/>
    <w:autoRedefine/>
    <w:qFormat/>
    <w:uiPriority w:val="0"/>
    <w:rPr>
      <w:szCs w:val="21"/>
    </w:rPr>
  </w:style>
  <w:style w:type="paragraph" w:customStyle="1" w:styleId="80">
    <w:name w:val="UserStyle_16"/>
    <w:basedOn w:val="1"/>
    <w:autoRedefine/>
    <w:qFormat/>
    <w:uiPriority w:val="0"/>
    <w:pPr>
      <w:jc w:val="left"/>
    </w:pPr>
    <w:rPr>
      <w:kern w:val="0"/>
      <w:sz w:val="18"/>
      <w:szCs w:val="18"/>
    </w:rPr>
  </w:style>
  <w:style w:type="character" w:customStyle="1" w:styleId="81">
    <w:name w:val="日期 Char"/>
    <w:basedOn w:val="26"/>
    <w:link w:val="13"/>
    <w:autoRedefine/>
    <w:qFormat/>
    <w:uiPriority w:val="0"/>
    <w:rPr>
      <w:rFonts w:eastAsia="仿宋_GB2312"/>
      <w:sz w:val="28"/>
      <w:szCs w:val="24"/>
    </w:rPr>
  </w:style>
  <w:style w:type="character" w:customStyle="1" w:styleId="82">
    <w:name w:val="正文文本缩进 Char"/>
    <w:basedOn w:val="26"/>
    <w:link w:val="9"/>
    <w:autoRedefine/>
    <w:qFormat/>
    <w:uiPriority w:val="0"/>
    <w:rPr>
      <w:rFonts w:ascii="仿宋_GB2312" w:eastAsia="仿宋_GB2312"/>
      <w:kern w:val="2"/>
      <w:sz w:val="28"/>
      <w:szCs w:val="24"/>
    </w:rPr>
  </w:style>
  <w:style w:type="character" w:customStyle="1" w:styleId="83">
    <w:name w:val="标题 1 Char"/>
    <w:basedOn w:val="26"/>
    <w:link w:val="4"/>
    <w:autoRedefine/>
    <w:qFormat/>
    <w:uiPriority w:val="9"/>
    <w:rPr>
      <w:b/>
      <w:bCs/>
      <w:kern w:val="44"/>
      <w:sz w:val="44"/>
      <w:szCs w:val="44"/>
    </w:rPr>
  </w:style>
  <w:style w:type="paragraph" w:customStyle="1" w:styleId="84">
    <w:name w:val="TOC 标题1"/>
    <w:basedOn w:val="4"/>
    <w:next w:val="1"/>
    <w:autoRedefine/>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customStyle="1" w:styleId="85">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86">
    <w:name w:val="页眉与页脚"/>
    <w:autoRedefine/>
    <w:qFormat/>
    <w:uiPriority w:val="0"/>
    <w:pPr>
      <w:tabs>
        <w:tab w:val="right" w:pos="9020"/>
      </w:tabs>
    </w:pPr>
    <w:rPr>
      <w:rFonts w:ascii="Helvetica Neue" w:hAnsi="Helvetica Neue" w:eastAsia="Helvetica Neue" w:cs="Helvetica Neue"/>
      <w:color w:val="000000"/>
      <w:sz w:val="24"/>
      <w:szCs w:val="24"/>
      <w:lang w:val="en-US" w:eastAsia="zh-CN" w:bidi="ar-SA"/>
    </w:rPr>
  </w:style>
  <w:style w:type="character" w:customStyle="1" w:styleId="87">
    <w:name w:val="批注框文本 Char"/>
    <w:basedOn w:val="26"/>
    <w:link w:val="14"/>
    <w:autoRedefine/>
    <w:semiHidden/>
    <w:qFormat/>
    <w:uiPriority w:val="99"/>
    <w:rPr>
      <w:kern w:val="2"/>
      <w:sz w:val="18"/>
      <w:szCs w:val="18"/>
    </w:rPr>
  </w:style>
  <w:style w:type="paragraph" w:customStyle="1" w:styleId="88">
    <w:name w:val="1"/>
    <w:basedOn w:val="1"/>
    <w:next w:val="12"/>
    <w:autoRedefine/>
    <w:qFormat/>
    <w:uiPriority w:val="0"/>
    <w:rPr>
      <w:rFonts w:ascii="宋体" w:hAnsi="Courier New"/>
    </w:rPr>
  </w:style>
  <w:style w:type="paragraph" w:customStyle="1" w:styleId="8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90">
    <w:name w:val="正文文本1"/>
    <w:basedOn w:val="1"/>
    <w:autoRedefine/>
    <w:qFormat/>
    <w:uiPriority w:val="0"/>
    <w:rPr>
      <w:rFonts w:ascii="仿宋_GB2312" w:hAnsi="Times New Roman" w:eastAsia="仿宋_GB2312"/>
      <w:sz w:val="32"/>
    </w:rPr>
  </w:style>
  <w:style w:type="paragraph" w:customStyle="1" w:styleId="91">
    <w:name w:val="正文文本缩进1"/>
    <w:basedOn w:val="1"/>
    <w:autoRedefine/>
    <w:qFormat/>
    <w:uiPriority w:val="0"/>
    <w:pPr>
      <w:spacing w:line="700" w:lineRule="exact"/>
      <w:ind w:left="960"/>
    </w:pPr>
    <w:rPr>
      <w:rFonts w:ascii="Times New Roman" w:hAnsi="Times New Roman" w:eastAsia="宋体"/>
      <w:sz w:val="44"/>
    </w:rPr>
  </w:style>
  <w:style w:type="paragraph" w:customStyle="1" w:styleId="92">
    <w:name w:val="图例"/>
    <w:basedOn w:val="1"/>
    <w:autoRedefine/>
    <w:qFormat/>
    <w:uiPriority w:val="0"/>
    <w:pPr>
      <w:spacing w:before="120" w:beforeLines="0" w:beforeAutospacing="0" w:after="120" w:afterLines="0" w:afterAutospacing="0" w:line="360" w:lineRule="auto"/>
      <w:jc w:val="center"/>
    </w:pPr>
    <w:rPr>
      <w:rFonts w:eastAsia="仿宋_GB2312"/>
      <w:b/>
      <w:sz w:val="24"/>
    </w:rPr>
  </w:style>
  <w:style w:type="paragraph" w:customStyle="1" w:styleId="93">
    <w:name w:val="UserStyle_1"/>
    <w:basedOn w:val="1"/>
    <w:autoRedefine/>
    <w:qFormat/>
    <w:uiPriority w:val="0"/>
    <w:pPr>
      <w:ind w:firstLine="200" w:firstLineChars="200"/>
      <w:textAlignment w:val="baseline"/>
    </w:pPr>
    <w:rPr>
      <w:rFonts w:ascii="宋体" w:hAnsi="宋体"/>
      <w:sz w:val="21"/>
      <w:szCs w:val="22"/>
    </w:rPr>
  </w:style>
  <w:style w:type="paragraph" w:customStyle="1" w:styleId="94">
    <w:name w:val="Table Text"/>
    <w:autoRedefine/>
    <w:qFormat/>
    <w:uiPriority w:val="0"/>
    <w:pPr>
      <w:snapToGrid w:val="0"/>
      <w:spacing w:before="80" w:after="80"/>
    </w:pPr>
    <w:rPr>
      <w:rFonts w:ascii="Arial" w:hAnsi="Arial" w:eastAsia="宋体" w:cs="Times New Roman"/>
      <w:kern w:val="2"/>
      <w:sz w:val="18"/>
      <w:lang w:val="en-US" w:eastAsia="zh-CN" w:bidi="ar-SA"/>
    </w:rPr>
  </w:style>
  <w:style w:type="table" w:customStyle="1" w:styleId="95">
    <w:name w:val="Table Normal"/>
    <w:autoRedefine/>
    <w:unhideWhenUsed/>
    <w:qFormat/>
    <w:uiPriority w:val="0"/>
    <w:tblPr>
      <w:tblCellMar>
        <w:top w:w="0" w:type="dxa"/>
        <w:left w:w="0" w:type="dxa"/>
        <w:bottom w:w="0" w:type="dxa"/>
        <w:right w:w="0" w:type="dxa"/>
      </w:tblCellMar>
    </w:tblPr>
  </w:style>
  <w:style w:type="paragraph" w:customStyle="1" w:styleId="96">
    <w:name w:val="TOC Heading"/>
    <w:basedOn w:val="4"/>
    <w:next w:val="1"/>
    <w:autoRedefine/>
    <w:qFormat/>
    <w:uiPriority w:val="0"/>
    <w:pPr>
      <w:keepLines/>
      <w:widowControl/>
      <w:snapToGrid/>
      <w:spacing w:before="240" w:line="259" w:lineRule="auto"/>
      <w:jc w:val="left"/>
      <w:outlineLvl w:val="9"/>
    </w:pPr>
    <w:rPr>
      <w:rFonts w:ascii="Cambria" w:hAnsi="Cambria"/>
      <w:color w:val="365F91"/>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6DDD2-E104-4E91-93F2-D217CAF410F4}">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43</Pages>
  <Words>9090</Words>
  <Characters>9378</Characters>
  <Lines>88</Lines>
  <Paragraphs>24</Paragraphs>
  <TotalTime>26</TotalTime>
  <ScaleCrop>false</ScaleCrop>
  <LinksUpToDate>false</LinksUpToDate>
  <CharactersWithSpaces>9465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2021-12-13T02:06:00Z</dcterms:created>
  <dc:creator>Administrator</dc:creator>
  <cp:lastModifiedBy>WPS_1664260647</cp:lastModifiedBy>
  <cp:lastPrinted>2025-09-08T03:20:00Z</cp:lastPrinted>
  <dcterms:modified xsi:type="dcterms:W3CDTF">2025-09-24T03:24:32Z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ED4B6F64AB4D45A3A4E907879C0ECF96_13</vt:lpwstr>
  </property>
  <property fmtid="{D5CDD505-2E9C-101B-9397-08002B2CF9AE}" pid="4" name="KSOTemplateDocerSaveRecord">
    <vt:lpwstr>eyJoZGlkIjoiODgyZjFkYjlmMjFiZjUzN2FmOWUxYjQ3MTQwNjdlZTgiLCJ1c2VySWQiOiIyOTU5Mzg4MjkifQ==</vt:lpwstr>
  </property>
</Properties>
</file>