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Style w:val="49"/>
          <w:rFonts w:ascii="宋体" w:hAnsi="宋体" w:cs="宋体"/>
          <w:sz w:val="44"/>
          <w:szCs w:val="44"/>
        </w:rPr>
      </w:pPr>
    </w:p>
    <w:p>
      <w:pPr>
        <w:tabs>
          <w:tab w:val="left" w:pos="1695"/>
          <w:tab w:val="left" w:pos="3370"/>
          <w:tab w:val="left" w:pos="5555"/>
        </w:tabs>
        <w:snapToGrid w:val="0"/>
        <w:spacing w:line="360" w:lineRule="auto"/>
        <w:jc w:val="both"/>
        <w:rPr>
          <w:rStyle w:val="49"/>
          <w:rFonts w:ascii="宋体" w:hAnsi="宋体" w:cs="宋体"/>
          <w:b/>
          <w:bCs/>
          <w:sz w:val="36"/>
          <w:szCs w:val="36"/>
        </w:rPr>
      </w:pPr>
    </w:p>
    <w:p>
      <w:pPr>
        <w:pStyle w:val="45"/>
        <w:spacing w:before="0" w:after="0" w:line="360" w:lineRule="auto"/>
        <w:rPr>
          <w:rStyle w:val="49"/>
          <w:rFonts w:ascii="宋体" w:hAnsi="宋体" w:cs="宋体"/>
          <w:caps/>
        </w:rPr>
      </w:pPr>
    </w:p>
    <w:p>
      <w:pPr>
        <w:widowControl w:val="0"/>
        <w:snapToGrid w:val="0"/>
        <w:jc w:val="center"/>
        <w:textAlignment w:val="auto"/>
        <w:rPr>
          <w:rFonts w:hint="eastAsia" w:ascii="宋体" w:hAnsi="宋体" w:eastAsia="宋体" w:cs="宋体"/>
          <w:b/>
          <w:bCs/>
          <w:sz w:val="120"/>
          <w:szCs w:val="120"/>
        </w:rPr>
      </w:pPr>
      <w:r>
        <w:rPr>
          <w:rFonts w:hint="eastAsia" w:ascii="宋体" w:hAnsi="宋体" w:eastAsia="宋体" w:cs="宋体"/>
          <w:b/>
          <w:bCs/>
          <w:sz w:val="120"/>
          <w:szCs w:val="120"/>
        </w:rPr>
        <w:t>竞</w:t>
      </w:r>
      <w:bookmarkStart w:id="571" w:name="_GoBack"/>
      <w:bookmarkEnd w:id="571"/>
      <w:r>
        <w:rPr>
          <w:rFonts w:hint="eastAsia" w:ascii="宋体" w:hAnsi="宋体" w:eastAsia="宋体" w:cs="宋体"/>
          <w:b/>
          <w:bCs/>
          <w:sz w:val="120"/>
          <w:szCs w:val="120"/>
        </w:rPr>
        <w:t>争性</w:t>
      </w:r>
      <w:r>
        <w:rPr>
          <w:rFonts w:hint="eastAsia" w:ascii="宋体" w:hAnsi="宋体" w:eastAsia="宋体" w:cs="宋体"/>
          <w:b/>
          <w:bCs/>
          <w:sz w:val="120"/>
          <w:szCs w:val="120"/>
          <w:lang w:val="en-US" w:eastAsia="zh-CN"/>
        </w:rPr>
        <w:t>比选</w:t>
      </w:r>
      <w:r>
        <w:rPr>
          <w:rFonts w:hint="eastAsia" w:ascii="宋体" w:hAnsi="宋体" w:eastAsia="宋体" w:cs="宋体"/>
          <w:b/>
          <w:bCs/>
          <w:sz w:val="120"/>
          <w:szCs w:val="120"/>
        </w:rPr>
        <w:t>文件</w:t>
      </w:r>
    </w:p>
    <w:p>
      <w:pPr>
        <w:tabs>
          <w:tab w:val="left" w:pos="1695"/>
          <w:tab w:val="left" w:pos="3370"/>
          <w:tab w:val="left" w:pos="5501"/>
          <w:tab w:val="left" w:pos="5555"/>
        </w:tabs>
        <w:snapToGrid w:val="0"/>
        <w:spacing w:line="360" w:lineRule="auto"/>
        <w:jc w:val="left"/>
        <w:rPr>
          <w:rStyle w:val="49"/>
          <w:rFonts w:ascii="宋体" w:hAnsi="宋体" w:cs="宋体"/>
          <w:b/>
          <w:bCs/>
          <w:sz w:val="36"/>
          <w:szCs w:val="36"/>
        </w:rPr>
      </w:pPr>
      <w:r>
        <w:rPr>
          <w:rStyle w:val="49"/>
          <w:rFonts w:hint="eastAsia" w:ascii="宋体" w:hAnsi="宋体" w:cs="宋体"/>
          <w:b/>
          <w:bCs/>
          <w:sz w:val="36"/>
          <w:szCs w:val="36"/>
        </w:rPr>
        <w:tab/>
      </w:r>
      <w:r>
        <w:rPr>
          <w:rStyle w:val="49"/>
          <w:rFonts w:hint="eastAsia" w:ascii="宋体" w:hAnsi="宋体" w:cs="宋体"/>
          <w:b/>
          <w:bCs/>
          <w:sz w:val="36"/>
          <w:szCs w:val="36"/>
        </w:rPr>
        <w:tab/>
      </w:r>
      <w:r>
        <w:rPr>
          <w:rStyle w:val="49"/>
          <w:rFonts w:hint="eastAsia" w:ascii="宋体" w:hAnsi="宋体" w:cs="宋体"/>
          <w:b/>
          <w:bCs/>
          <w:sz w:val="36"/>
          <w:szCs w:val="36"/>
        </w:rPr>
        <w:tab/>
      </w:r>
    </w:p>
    <w:p>
      <w:pPr>
        <w:tabs>
          <w:tab w:val="left" w:pos="1695"/>
          <w:tab w:val="left" w:pos="3370"/>
          <w:tab w:val="left" w:pos="5555"/>
        </w:tabs>
        <w:snapToGrid w:val="0"/>
        <w:spacing w:line="360" w:lineRule="auto"/>
        <w:jc w:val="center"/>
        <w:rPr>
          <w:rStyle w:val="49"/>
          <w:rFonts w:ascii="宋体" w:hAnsi="宋体" w:cs="宋体"/>
          <w:b/>
          <w:bCs/>
          <w:sz w:val="36"/>
          <w:szCs w:val="36"/>
        </w:rPr>
      </w:pPr>
    </w:p>
    <w:p>
      <w:pPr>
        <w:pStyle w:val="45"/>
        <w:spacing w:before="0" w:after="0" w:line="360" w:lineRule="auto"/>
        <w:rPr>
          <w:rStyle w:val="49"/>
          <w:rFonts w:ascii="宋体" w:hAnsi="宋体" w:cs="宋体"/>
          <w:caps/>
        </w:rPr>
      </w:pPr>
    </w:p>
    <w:p>
      <w:pPr>
        <w:tabs>
          <w:tab w:val="left" w:pos="1695"/>
          <w:tab w:val="left" w:pos="3370"/>
          <w:tab w:val="left" w:pos="5555"/>
        </w:tabs>
        <w:snapToGrid w:val="0"/>
        <w:spacing w:line="360" w:lineRule="auto"/>
        <w:jc w:val="center"/>
        <w:rPr>
          <w:rStyle w:val="49"/>
          <w:rFonts w:ascii="宋体" w:hAnsi="宋体" w:cs="宋体"/>
          <w:b/>
          <w:bCs/>
          <w:sz w:val="36"/>
          <w:szCs w:val="36"/>
        </w:rPr>
      </w:pPr>
    </w:p>
    <w:p>
      <w:pPr>
        <w:pStyle w:val="2"/>
        <w:rPr>
          <w:rStyle w:val="49"/>
          <w:rFonts w:ascii="宋体" w:hAnsi="宋体" w:cs="宋体"/>
          <w:b/>
          <w:bCs/>
          <w:sz w:val="36"/>
          <w:szCs w:val="36"/>
        </w:rPr>
      </w:pPr>
    </w:p>
    <w:p>
      <w:pPr>
        <w:rPr>
          <w:rStyle w:val="49"/>
          <w:rFonts w:ascii="宋体" w:hAnsi="宋体" w:cs="宋体"/>
          <w:b/>
          <w:bCs/>
          <w:sz w:val="36"/>
          <w:szCs w:val="36"/>
        </w:rPr>
      </w:pPr>
    </w:p>
    <w:p>
      <w:pPr>
        <w:pStyle w:val="2"/>
        <w:rPr>
          <w:rFonts w:hint="eastAsia" w:ascii="宋体" w:hAnsi="宋体" w:eastAsia="宋体" w:cs="宋体"/>
        </w:rPr>
      </w:pPr>
    </w:p>
    <w:p>
      <w:pPr>
        <w:pStyle w:val="45"/>
        <w:spacing w:before="0" w:after="0" w:line="360" w:lineRule="auto"/>
        <w:rPr>
          <w:rStyle w:val="49"/>
          <w:rFonts w:hint="eastAsia" w:ascii="宋体" w:hAnsi="宋体" w:eastAsia="宋体" w:cs="宋体"/>
          <w:caps/>
        </w:rPr>
      </w:pPr>
    </w:p>
    <w:p>
      <w:pPr>
        <w:spacing w:line="900" w:lineRule="exact"/>
        <w:jc w:val="left"/>
        <w:outlineLvl w:val="0"/>
        <w:rPr>
          <w:rFonts w:hint="default" w:ascii="宋体" w:hAnsi="宋体" w:eastAsia="宋体" w:cs="宋体"/>
          <w:color w:val="auto"/>
          <w:spacing w:val="-11"/>
          <w:sz w:val="36"/>
          <w:szCs w:val="30"/>
          <w:lang w:val="en-US" w:eastAsia="zh-CN"/>
        </w:rPr>
      </w:pPr>
      <w:r>
        <w:rPr>
          <w:rFonts w:hint="eastAsia" w:ascii="宋体" w:hAnsi="宋体" w:eastAsia="宋体" w:cs="宋体"/>
          <w:color w:val="auto"/>
          <w:spacing w:val="-11"/>
          <w:sz w:val="36"/>
          <w:szCs w:val="30"/>
          <w:lang w:val="en-US" w:eastAsia="zh-CN"/>
        </w:rPr>
        <w:t xml:space="preserve">   </w:t>
      </w:r>
      <w:r>
        <w:rPr>
          <w:rFonts w:hint="eastAsia" w:ascii="宋体" w:hAnsi="宋体" w:eastAsia="宋体" w:cs="宋体"/>
          <w:color w:val="auto"/>
          <w:spacing w:val="0"/>
          <w:sz w:val="32"/>
          <w:szCs w:val="32"/>
          <w:lang w:eastAsia="zh-CN"/>
        </w:rPr>
        <w:t>项目名称：</w:t>
      </w:r>
      <w:r>
        <w:rPr>
          <w:rFonts w:hint="eastAsia" w:ascii="宋体" w:hAnsi="宋体" w:eastAsia="宋体" w:cs="宋体"/>
          <w:color w:val="auto"/>
          <w:spacing w:val="-11"/>
          <w:sz w:val="36"/>
          <w:szCs w:val="30"/>
          <w:lang w:val="en-US" w:eastAsia="zh-CN"/>
        </w:rPr>
        <w:t>垫江县精神卫生中心食堂劳务外包（第五次）</w:t>
      </w:r>
    </w:p>
    <w:p>
      <w:pPr>
        <w:spacing w:line="360" w:lineRule="auto"/>
        <w:jc w:val="both"/>
        <w:rPr>
          <w:rFonts w:hint="eastAsia" w:ascii="宋体" w:hAnsi="宋体" w:eastAsia="宋体" w:cs="宋体"/>
          <w:color w:val="auto"/>
          <w:sz w:val="32"/>
          <w:szCs w:val="32"/>
          <w:lang w:val="en-US" w:eastAsia="zh-CN"/>
        </w:rPr>
      </w:pPr>
    </w:p>
    <w:p>
      <w:pPr>
        <w:spacing w:line="360" w:lineRule="auto"/>
        <w:ind w:firstLine="640" w:firstLineChars="200"/>
        <w:jc w:val="both"/>
        <w:rPr>
          <w:rFonts w:hint="eastAsia" w:ascii="宋体" w:hAnsi="宋体" w:eastAsia="宋体" w:cs="宋体"/>
          <w:color w:val="auto"/>
          <w:sz w:val="32"/>
          <w:szCs w:val="32"/>
          <w:lang w:val="zh-CN" w:eastAsia="zh-CN"/>
        </w:rPr>
      </w:pPr>
      <w:r>
        <w:rPr>
          <w:rFonts w:hint="eastAsia" w:ascii="宋体" w:hAnsi="宋体" w:cs="宋体"/>
          <w:color w:val="auto"/>
          <w:sz w:val="32"/>
          <w:szCs w:val="32"/>
          <w:lang w:val="en-US" w:eastAsia="zh-CN"/>
        </w:rPr>
        <w:t>采</w:t>
      </w:r>
      <w:r>
        <w:rPr>
          <w:rFonts w:hint="eastAsia" w:ascii="宋体" w:hAnsi="宋体" w:eastAsia="宋体" w:cs="宋体"/>
          <w:color w:val="auto"/>
          <w:sz w:val="32"/>
          <w:szCs w:val="32"/>
          <w:lang w:eastAsia="zh-CN"/>
        </w:rPr>
        <w:t xml:space="preserve">   </w:t>
      </w:r>
      <w:r>
        <w:rPr>
          <w:rFonts w:hint="eastAsia" w:ascii="宋体" w:hAnsi="宋体" w:cs="宋体"/>
          <w:color w:val="auto"/>
          <w:sz w:val="32"/>
          <w:szCs w:val="32"/>
          <w:lang w:val="en-US" w:eastAsia="zh-CN"/>
        </w:rPr>
        <w:t>购</w:t>
      </w:r>
      <w:r>
        <w:rPr>
          <w:rFonts w:hint="eastAsia" w:ascii="宋体" w:hAnsi="宋体" w:eastAsia="宋体" w:cs="宋体"/>
          <w:color w:val="auto"/>
          <w:sz w:val="32"/>
          <w:szCs w:val="32"/>
          <w:lang w:eastAsia="zh-CN"/>
        </w:rPr>
        <w:t xml:space="preserve"> </w:t>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lang w:eastAsia="zh-CN"/>
        </w:rPr>
        <w:t xml:space="preserve"> 人</w:t>
      </w:r>
      <w:r>
        <w:rPr>
          <w:rFonts w:hint="eastAsia" w:ascii="宋体" w:hAnsi="宋体" w:eastAsia="宋体" w:cs="宋体"/>
          <w:color w:val="auto"/>
          <w:sz w:val="32"/>
          <w:szCs w:val="32"/>
          <w:lang w:val="zh-CN" w:eastAsia="zh-CN"/>
        </w:rPr>
        <w:t>：</w:t>
      </w:r>
      <w:r>
        <w:rPr>
          <w:rFonts w:hint="eastAsia" w:ascii="宋体" w:hAnsi="宋体" w:cs="宋体"/>
          <w:color w:val="auto"/>
          <w:sz w:val="32"/>
          <w:szCs w:val="32"/>
          <w:lang w:val="en-US" w:eastAsia="zh-CN"/>
        </w:rPr>
        <w:t>垫江县</w:t>
      </w:r>
      <w:r>
        <w:rPr>
          <w:rFonts w:hint="eastAsia" w:ascii="宋体" w:hAnsi="宋体" w:eastAsia="宋体" w:cs="宋体"/>
          <w:color w:val="auto"/>
          <w:sz w:val="32"/>
          <w:szCs w:val="32"/>
          <w:lang w:val="zh-CN" w:eastAsia="zh-CN"/>
        </w:rPr>
        <w:t>精神卫生中心</w:t>
      </w:r>
    </w:p>
    <w:p>
      <w:pPr>
        <w:spacing w:line="360" w:lineRule="auto"/>
        <w:rPr>
          <w:rStyle w:val="49"/>
          <w:rFonts w:ascii="宋体" w:hAnsi="宋体" w:cs="宋体"/>
          <w:sz w:val="32"/>
          <w:szCs w:val="32"/>
        </w:rPr>
      </w:pPr>
    </w:p>
    <w:p>
      <w:pPr>
        <w:spacing w:line="360" w:lineRule="auto"/>
        <w:jc w:val="center"/>
        <w:rPr>
          <w:rStyle w:val="49"/>
          <w:rFonts w:ascii="宋体" w:hAnsi="宋体" w:cs="宋体"/>
          <w:sz w:val="32"/>
          <w:szCs w:val="32"/>
          <w:lang w:val="zh-CN"/>
        </w:rPr>
      </w:pPr>
      <w:r>
        <w:rPr>
          <w:rStyle w:val="49"/>
          <w:rFonts w:hint="eastAsia" w:ascii="宋体" w:hAnsi="宋体" w:cs="宋体"/>
          <w:sz w:val="32"/>
          <w:szCs w:val="32"/>
          <w:lang w:val="en-US" w:eastAsia="zh-CN"/>
        </w:rPr>
        <w:t>2025</w:t>
      </w:r>
      <w:r>
        <w:rPr>
          <w:rStyle w:val="49"/>
          <w:rFonts w:hint="eastAsia" w:ascii="宋体" w:hAnsi="宋体" w:cs="宋体"/>
          <w:sz w:val="32"/>
          <w:szCs w:val="32"/>
          <w:lang w:val="zh-CN"/>
        </w:rPr>
        <w:t>年</w:t>
      </w:r>
      <w:r>
        <w:rPr>
          <w:rStyle w:val="49"/>
          <w:rFonts w:hint="eastAsia" w:ascii="宋体" w:hAnsi="宋体" w:cs="宋体"/>
          <w:sz w:val="32"/>
          <w:szCs w:val="32"/>
          <w:lang w:val="en-US" w:eastAsia="zh-CN"/>
        </w:rPr>
        <w:t>9</w:t>
      </w:r>
      <w:r>
        <w:rPr>
          <w:rStyle w:val="49"/>
          <w:rFonts w:hint="eastAsia" w:ascii="宋体" w:hAnsi="宋体" w:cs="宋体"/>
          <w:sz w:val="32"/>
          <w:szCs w:val="32"/>
          <w:lang w:val="zh-CN"/>
        </w:rPr>
        <w:t xml:space="preserve">月 </w:t>
      </w:r>
    </w:p>
    <w:p>
      <w:pPr>
        <w:pStyle w:val="85"/>
        <w:spacing w:line="360" w:lineRule="auto"/>
        <w:jc w:val="center"/>
        <w:rPr>
          <w:rFonts w:hint="eastAsia" w:ascii="宋体" w:hAnsi="宋体" w:eastAsia="宋体" w:cs="宋体"/>
          <w:b w:val="0"/>
          <w:bCs w:val="0"/>
          <w:color w:val="auto"/>
          <w:kern w:val="2"/>
          <w:sz w:val="21"/>
          <w:szCs w:val="24"/>
          <w:lang w:val="zh-CN"/>
        </w:rPr>
        <w:sectPr>
          <w:footerReference r:id="rId3" w:type="default"/>
          <w:pgSz w:w="11907" w:h="16840"/>
          <w:pgMar w:top="1417" w:right="1417" w:bottom="1417" w:left="1418" w:header="964" w:footer="992" w:gutter="0"/>
          <w:pgNumType w:fmt="numberInDash" w:start="1"/>
          <w:cols w:space="720" w:num="1"/>
          <w:docGrid w:linePitch="312" w:charSpace="0"/>
        </w:sectPr>
      </w:pPr>
    </w:p>
    <w:sdt>
      <w:sdtPr>
        <w:rPr>
          <w:rFonts w:hint="eastAsia" w:ascii="宋体" w:hAnsi="宋体" w:eastAsia="宋体" w:cs="宋体"/>
          <w:b w:val="0"/>
          <w:bCs w:val="0"/>
          <w:color w:val="auto"/>
          <w:kern w:val="2"/>
          <w:sz w:val="22"/>
          <w:szCs w:val="28"/>
          <w:lang w:val="zh-CN"/>
        </w:rPr>
        <w:id w:val="1880820343"/>
        <w:docPartObj>
          <w:docPartGallery w:val="Table of Contents"/>
          <w:docPartUnique/>
        </w:docPartObj>
      </w:sdtPr>
      <w:sdtEndPr>
        <w:rPr>
          <w:rFonts w:hint="eastAsia" w:ascii="宋体" w:hAnsi="宋体" w:eastAsia="宋体" w:cs="宋体"/>
          <w:b w:val="0"/>
          <w:bCs w:val="0"/>
          <w:color w:val="auto"/>
          <w:kern w:val="2"/>
          <w:sz w:val="21"/>
          <w:szCs w:val="24"/>
          <w:lang w:val="zh-CN"/>
        </w:rPr>
      </w:sdtEndPr>
      <w:sdtContent>
        <w:p>
          <w:pPr>
            <w:pStyle w:val="97"/>
            <w:jc w:val="center"/>
            <w:rPr>
              <w:rFonts w:hint="eastAsia" w:ascii="方正小标宋_GBK" w:eastAsia="方正小标宋_GBK"/>
              <w:b/>
              <w:bCs/>
              <w:color w:val="auto"/>
              <w:sz w:val="48"/>
              <w:szCs w:val="48"/>
              <w:highlight w:val="none"/>
              <w:lang w:val="zh-CN"/>
            </w:rPr>
          </w:pPr>
          <w:r>
            <w:rPr>
              <w:rFonts w:hint="eastAsia" w:ascii="方正小标宋_GBK" w:eastAsia="方正小标宋_GBK"/>
              <w:b/>
              <w:bCs/>
              <w:color w:val="auto"/>
              <w:sz w:val="48"/>
              <w:szCs w:val="48"/>
              <w:highlight w:val="none"/>
              <w:lang w:val="zh-CN"/>
            </w:rPr>
            <w:t>目      录</w:t>
          </w:r>
        </w:p>
        <w:p>
          <w:pPr>
            <w:pStyle w:val="17"/>
            <w:tabs>
              <w:tab w:val="right" w:leader="dot" w:pos="8844"/>
            </w:tabs>
            <w:jc w:val="both"/>
            <w:rPr>
              <w:highlight w:val="none"/>
            </w:rPr>
          </w:pPr>
          <w:r>
            <w:rPr>
              <w:highlight w:val="none"/>
            </w:rPr>
            <w:fldChar w:fldCharType="begin"/>
          </w:r>
          <w:r>
            <w:rPr>
              <w:highlight w:val="none"/>
            </w:rPr>
            <w:instrText xml:space="preserve"> TOC \o "1-3" \h \z \u </w:instrText>
          </w:r>
          <w:r>
            <w:rPr>
              <w:highlight w:val="none"/>
            </w:rPr>
            <w:fldChar w:fldCharType="separate"/>
          </w:r>
        </w:p>
        <w:p>
          <w:pPr>
            <w:pStyle w:val="17"/>
            <w:tabs>
              <w:tab w:val="right" w:leader="dot" w:pos="8844"/>
            </w:tabs>
            <w:spacing w:line="900" w:lineRule="exact"/>
            <w:rPr>
              <w:sz w:val="36"/>
              <w:szCs w:val="36"/>
              <w:highlight w:val="none"/>
            </w:rPr>
          </w:pPr>
          <w:r>
            <w:rPr>
              <w:sz w:val="36"/>
              <w:szCs w:val="36"/>
              <w:highlight w:val="none"/>
            </w:rPr>
            <w:fldChar w:fldCharType="begin"/>
          </w:r>
          <w:r>
            <w:rPr>
              <w:sz w:val="36"/>
              <w:szCs w:val="36"/>
              <w:highlight w:val="none"/>
            </w:rPr>
            <w:instrText xml:space="preserve"> HYPERLINK \l _Toc28650 </w:instrText>
          </w:r>
          <w:r>
            <w:rPr>
              <w:sz w:val="36"/>
              <w:szCs w:val="36"/>
              <w:highlight w:val="none"/>
            </w:rPr>
            <w:fldChar w:fldCharType="separate"/>
          </w:r>
          <w:r>
            <w:rPr>
              <w:rFonts w:hint="eastAsia" w:ascii="方正小标宋_GBK" w:hAnsi="仿宋" w:eastAsia="方正小标宋_GBK" w:cs="仿宋"/>
              <w:sz w:val="36"/>
              <w:szCs w:val="36"/>
              <w:highlight w:val="none"/>
            </w:rPr>
            <w:t>第一篇  比选邀请书</w:t>
          </w:r>
          <w:r>
            <w:rPr>
              <w:sz w:val="36"/>
              <w:szCs w:val="36"/>
              <w:highlight w:val="none"/>
            </w:rPr>
            <w:tab/>
          </w:r>
          <w:r>
            <w:rPr>
              <w:rFonts w:hint="eastAsia"/>
              <w:sz w:val="36"/>
              <w:szCs w:val="36"/>
              <w:highlight w:val="none"/>
              <w:lang w:val="en-US" w:eastAsia="zh-CN"/>
            </w:rPr>
            <w:t>2</w:t>
          </w:r>
          <w:r>
            <w:rPr>
              <w:sz w:val="36"/>
              <w:szCs w:val="36"/>
              <w:highlight w:val="none"/>
            </w:rPr>
            <w:fldChar w:fldCharType="end"/>
          </w:r>
        </w:p>
        <w:p>
          <w:pPr>
            <w:pStyle w:val="17"/>
            <w:tabs>
              <w:tab w:val="right" w:leader="dot" w:pos="8844"/>
            </w:tabs>
            <w:spacing w:line="900" w:lineRule="exact"/>
            <w:rPr>
              <w:sz w:val="36"/>
              <w:szCs w:val="36"/>
              <w:highlight w:val="none"/>
            </w:rPr>
          </w:pPr>
          <w:r>
            <w:rPr>
              <w:sz w:val="36"/>
              <w:szCs w:val="36"/>
              <w:highlight w:val="none"/>
            </w:rPr>
            <w:fldChar w:fldCharType="begin"/>
          </w:r>
          <w:r>
            <w:rPr>
              <w:sz w:val="36"/>
              <w:szCs w:val="36"/>
              <w:highlight w:val="none"/>
            </w:rPr>
            <w:instrText xml:space="preserve"> HYPERLINK \l _Toc11254 </w:instrText>
          </w:r>
          <w:r>
            <w:rPr>
              <w:sz w:val="36"/>
              <w:szCs w:val="36"/>
              <w:highlight w:val="none"/>
            </w:rPr>
            <w:fldChar w:fldCharType="separate"/>
          </w:r>
          <w:r>
            <w:rPr>
              <w:rFonts w:hint="eastAsia" w:ascii="方正小标宋_GBK" w:hAnsi="仿宋" w:eastAsia="方正小标宋_GBK" w:cs="仿宋"/>
              <w:sz w:val="36"/>
              <w:szCs w:val="36"/>
              <w:highlight w:val="none"/>
            </w:rPr>
            <w:t>第二篇  项目服务需求</w:t>
          </w:r>
          <w:r>
            <w:rPr>
              <w:sz w:val="36"/>
              <w:szCs w:val="36"/>
              <w:highlight w:val="none"/>
            </w:rPr>
            <w:tab/>
          </w:r>
          <w:r>
            <w:rPr>
              <w:rFonts w:hint="eastAsia"/>
              <w:sz w:val="36"/>
              <w:szCs w:val="36"/>
              <w:highlight w:val="none"/>
              <w:lang w:val="en-US" w:eastAsia="zh-CN"/>
            </w:rPr>
            <w:t>4</w:t>
          </w:r>
          <w:r>
            <w:rPr>
              <w:sz w:val="36"/>
              <w:szCs w:val="36"/>
              <w:highlight w:val="none"/>
            </w:rPr>
            <w:fldChar w:fldCharType="end"/>
          </w:r>
        </w:p>
        <w:p>
          <w:pPr>
            <w:pStyle w:val="17"/>
            <w:tabs>
              <w:tab w:val="right" w:leader="dot" w:pos="8844"/>
            </w:tabs>
            <w:spacing w:line="900" w:lineRule="exact"/>
            <w:rPr>
              <w:rFonts w:hint="default"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_Toc23567 </w:instrText>
          </w:r>
          <w:r>
            <w:rPr>
              <w:sz w:val="36"/>
              <w:szCs w:val="36"/>
              <w:highlight w:val="none"/>
            </w:rPr>
            <w:fldChar w:fldCharType="separate"/>
          </w:r>
          <w:r>
            <w:rPr>
              <w:rFonts w:hint="eastAsia" w:ascii="方正小标宋_GBK" w:hAnsi="仿宋" w:eastAsia="方正小标宋_GBK" w:cs="仿宋"/>
              <w:sz w:val="36"/>
              <w:szCs w:val="36"/>
              <w:highlight w:val="none"/>
            </w:rPr>
            <w:t>第三篇  项目商务需求</w:t>
          </w:r>
          <w:r>
            <w:rPr>
              <w:sz w:val="36"/>
              <w:szCs w:val="36"/>
              <w:highlight w:val="none"/>
            </w:rPr>
            <w:tab/>
          </w:r>
          <w:r>
            <w:rPr>
              <w:sz w:val="36"/>
              <w:szCs w:val="36"/>
              <w:highlight w:val="none"/>
            </w:rPr>
            <w:fldChar w:fldCharType="end"/>
          </w:r>
          <w:r>
            <w:rPr>
              <w:rFonts w:hint="eastAsia"/>
              <w:sz w:val="36"/>
              <w:szCs w:val="36"/>
              <w:highlight w:val="none"/>
              <w:lang w:val="en-US" w:eastAsia="zh-CN"/>
            </w:rPr>
            <w:t>9</w:t>
          </w:r>
        </w:p>
        <w:p>
          <w:pPr>
            <w:pStyle w:val="17"/>
            <w:tabs>
              <w:tab w:val="right" w:leader="dot" w:pos="8844"/>
            </w:tabs>
            <w:spacing w:line="900" w:lineRule="exact"/>
            <w:rPr>
              <w:rFonts w:hint="default"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_Toc10069 </w:instrText>
          </w:r>
          <w:r>
            <w:rPr>
              <w:sz w:val="36"/>
              <w:szCs w:val="36"/>
              <w:highlight w:val="none"/>
            </w:rPr>
            <w:fldChar w:fldCharType="separate"/>
          </w:r>
          <w:r>
            <w:rPr>
              <w:rFonts w:hint="eastAsia" w:ascii="方正小标宋_GBK" w:hAnsi="仿宋" w:eastAsia="方正小标宋_GBK" w:cs="仿宋"/>
              <w:sz w:val="36"/>
              <w:szCs w:val="36"/>
              <w:highlight w:val="none"/>
            </w:rPr>
            <w:t>第四篇  资格审查及评标办法</w:t>
          </w:r>
          <w:r>
            <w:rPr>
              <w:sz w:val="36"/>
              <w:szCs w:val="36"/>
              <w:highlight w:val="none"/>
            </w:rPr>
            <w:tab/>
          </w:r>
          <w:r>
            <w:rPr>
              <w:sz w:val="36"/>
              <w:szCs w:val="36"/>
              <w:highlight w:val="none"/>
            </w:rPr>
            <w:fldChar w:fldCharType="end"/>
          </w:r>
          <w:r>
            <w:rPr>
              <w:rFonts w:hint="eastAsia"/>
              <w:sz w:val="36"/>
              <w:szCs w:val="36"/>
              <w:highlight w:val="none"/>
              <w:lang w:val="en-US" w:eastAsia="zh-CN"/>
            </w:rPr>
            <w:t>13</w:t>
          </w:r>
        </w:p>
        <w:p>
          <w:pPr>
            <w:pStyle w:val="17"/>
            <w:tabs>
              <w:tab w:val="right" w:leader="dot" w:pos="8844"/>
            </w:tabs>
            <w:spacing w:line="900" w:lineRule="exact"/>
            <w:rPr>
              <w:rFonts w:hint="eastAsia"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_Toc6313 </w:instrText>
          </w:r>
          <w:r>
            <w:rPr>
              <w:sz w:val="36"/>
              <w:szCs w:val="36"/>
              <w:highlight w:val="none"/>
            </w:rPr>
            <w:fldChar w:fldCharType="separate"/>
          </w:r>
          <w:r>
            <w:rPr>
              <w:rFonts w:hint="eastAsia" w:ascii="方正小标宋_GBK" w:hAnsi="仿宋" w:eastAsia="方正小标宋_GBK" w:cs="宋体"/>
              <w:sz w:val="36"/>
              <w:szCs w:val="52"/>
              <w:highlight w:val="none"/>
            </w:rPr>
            <w:t xml:space="preserve">第五篇 </w:t>
          </w:r>
          <w:r>
            <w:rPr>
              <w:rFonts w:hint="eastAsia" w:ascii="方正小标宋_GBK" w:hAnsi="仿宋" w:eastAsia="方正小标宋_GBK" w:cs="宋体"/>
              <w:sz w:val="36"/>
              <w:szCs w:val="52"/>
              <w:highlight w:val="none"/>
              <w:lang w:val="en-US" w:eastAsia="zh-CN"/>
            </w:rPr>
            <w:t>竞</w:t>
          </w:r>
          <w:r>
            <w:rPr>
              <w:rFonts w:hint="eastAsia" w:ascii="方正小标宋_GBK" w:hAnsi="仿宋" w:eastAsia="方正小标宋_GBK" w:cs="宋体"/>
              <w:sz w:val="36"/>
              <w:szCs w:val="52"/>
              <w:highlight w:val="none"/>
              <w:lang w:eastAsia="zh-CN"/>
            </w:rPr>
            <w:t>选人</w:t>
          </w:r>
          <w:r>
            <w:rPr>
              <w:rFonts w:hint="eastAsia" w:ascii="方正小标宋_GBK" w:hAnsi="仿宋" w:eastAsia="方正小标宋_GBK" w:cs="宋体"/>
              <w:sz w:val="36"/>
              <w:szCs w:val="52"/>
              <w:highlight w:val="none"/>
            </w:rPr>
            <w:t>须知</w:t>
          </w:r>
          <w:r>
            <w:rPr>
              <w:sz w:val="36"/>
              <w:szCs w:val="36"/>
              <w:highlight w:val="none"/>
            </w:rPr>
            <w:tab/>
          </w:r>
          <w:r>
            <w:rPr>
              <w:rFonts w:hint="eastAsia"/>
              <w:sz w:val="36"/>
              <w:szCs w:val="36"/>
              <w:highlight w:val="none"/>
              <w:lang w:val="en-US" w:eastAsia="zh-CN"/>
            </w:rPr>
            <w:t>1</w:t>
          </w:r>
          <w:r>
            <w:rPr>
              <w:sz w:val="36"/>
              <w:szCs w:val="36"/>
              <w:highlight w:val="none"/>
            </w:rPr>
            <w:fldChar w:fldCharType="end"/>
          </w:r>
          <w:r>
            <w:rPr>
              <w:rFonts w:hint="eastAsia"/>
              <w:sz w:val="36"/>
              <w:szCs w:val="36"/>
              <w:highlight w:val="none"/>
              <w:lang w:val="en-US" w:eastAsia="zh-CN"/>
            </w:rPr>
            <w:t>8</w:t>
          </w:r>
        </w:p>
        <w:p>
          <w:pPr>
            <w:pStyle w:val="17"/>
            <w:tabs>
              <w:tab w:val="right" w:leader="dot" w:pos="8844"/>
            </w:tabs>
            <w:spacing w:line="900" w:lineRule="exact"/>
            <w:rPr>
              <w:rFonts w:hint="default"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_Toc31547 </w:instrText>
          </w:r>
          <w:r>
            <w:rPr>
              <w:sz w:val="36"/>
              <w:szCs w:val="36"/>
              <w:highlight w:val="none"/>
            </w:rPr>
            <w:fldChar w:fldCharType="separate"/>
          </w:r>
          <w:r>
            <w:rPr>
              <w:rFonts w:hint="eastAsia" w:ascii="方正小标宋_GBK" w:hAnsi="仿宋" w:eastAsia="方正小标宋_GBK" w:cs="宋体"/>
              <w:sz w:val="36"/>
              <w:szCs w:val="52"/>
              <w:highlight w:val="none"/>
            </w:rPr>
            <w:t>第六篇  合同主要条款和格式合同（样本）</w:t>
          </w:r>
          <w:r>
            <w:rPr>
              <w:sz w:val="36"/>
              <w:szCs w:val="36"/>
              <w:highlight w:val="none"/>
            </w:rPr>
            <w:tab/>
          </w:r>
          <w:r>
            <w:rPr>
              <w:sz w:val="36"/>
              <w:szCs w:val="36"/>
              <w:highlight w:val="none"/>
            </w:rPr>
            <w:fldChar w:fldCharType="end"/>
          </w:r>
          <w:r>
            <w:rPr>
              <w:rFonts w:hint="eastAsia"/>
              <w:sz w:val="36"/>
              <w:szCs w:val="36"/>
              <w:highlight w:val="none"/>
              <w:lang w:val="en-US" w:eastAsia="zh-CN"/>
            </w:rPr>
            <w:t>22</w:t>
          </w:r>
        </w:p>
        <w:p>
          <w:pPr>
            <w:pStyle w:val="17"/>
            <w:tabs>
              <w:tab w:val="right" w:leader="dot" w:pos="8844"/>
            </w:tabs>
            <w:spacing w:line="900" w:lineRule="exact"/>
            <w:rPr>
              <w:rFonts w:hint="default"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_Toc9328 </w:instrText>
          </w:r>
          <w:r>
            <w:rPr>
              <w:sz w:val="36"/>
              <w:szCs w:val="36"/>
              <w:highlight w:val="none"/>
            </w:rPr>
            <w:fldChar w:fldCharType="separate"/>
          </w:r>
          <w:r>
            <w:rPr>
              <w:rFonts w:hint="eastAsia" w:ascii="方正小标宋_GBK" w:hAnsi="仿宋" w:eastAsia="方正小标宋_GBK" w:cs="宋体"/>
              <w:sz w:val="36"/>
              <w:szCs w:val="52"/>
              <w:highlight w:val="none"/>
            </w:rPr>
            <w:t>第七篇  竞选文件格式</w:t>
          </w:r>
          <w:r>
            <w:rPr>
              <w:sz w:val="36"/>
              <w:szCs w:val="36"/>
              <w:highlight w:val="none"/>
            </w:rPr>
            <w:tab/>
          </w:r>
          <w:r>
            <w:rPr>
              <w:sz w:val="36"/>
              <w:szCs w:val="36"/>
              <w:highlight w:val="none"/>
            </w:rPr>
            <w:fldChar w:fldCharType="end"/>
          </w:r>
          <w:r>
            <w:rPr>
              <w:rFonts w:hint="eastAsia"/>
              <w:sz w:val="36"/>
              <w:szCs w:val="36"/>
              <w:highlight w:val="none"/>
              <w:lang w:val="en-US" w:eastAsia="zh-CN"/>
            </w:rPr>
            <w:t>23</w:t>
          </w:r>
        </w:p>
        <w:p>
          <w:pPr>
            <w:pStyle w:val="17"/>
            <w:tabs>
              <w:tab w:val="right" w:leader="dot" w:pos="9072"/>
            </w:tabs>
            <w:rPr>
              <w:rFonts w:ascii="宋体" w:hAnsi="宋体" w:cs="宋体"/>
              <w:sz w:val="28"/>
              <w:szCs w:val="28"/>
            </w:rPr>
          </w:pPr>
          <w:r>
            <w:rPr>
              <w:highlight w:val="none"/>
            </w:rPr>
            <w:fldChar w:fldCharType="end"/>
          </w:r>
        </w:p>
      </w:sdtContent>
    </w:sdt>
    <w:p>
      <w:pPr>
        <w:rPr>
          <w:rStyle w:val="49"/>
          <w:rFonts w:hint="eastAsia" w:ascii="宋体" w:hAnsi="宋体" w:eastAsia="宋体" w:cs="宋体"/>
          <w:b/>
          <w:kern w:val="0"/>
        </w:rPr>
      </w:pPr>
      <w:r>
        <w:rPr>
          <w:rStyle w:val="49"/>
          <w:rFonts w:hint="eastAsia" w:ascii="宋体" w:hAnsi="宋体" w:eastAsia="宋体" w:cs="宋体"/>
          <w:b/>
          <w:kern w:val="0"/>
        </w:rPr>
        <w:br w:type="page"/>
      </w:r>
    </w:p>
    <w:p>
      <w:pPr>
        <w:pStyle w:val="46"/>
        <w:ind w:left="-765"/>
        <w:outlineLvl w:val="0"/>
        <w:rPr>
          <w:rStyle w:val="49"/>
          <w:rFonts w:ascii="宋体" w:hAnsi="宋体" w:eastAsia="宋体" w:cs="宋体"/>
          <w:b/>
          <w:kern w:val="0"/>
        </w:rPr>
      </w:pPr>
      <w:bookmarkStart w:id="0" w:name="_Toc4594"/>
      <w:r>
        <w:rPr>
          <w:rStyle w:val="49"/>
          <w:rFonts w:hint="eastAsia" w:ascii="宋体" w:hAnsi="宋体" w:eastAsia="宋体" w:cs="宋体"/>
          <w:b/>
          <w:kern w:val="0"/>
        </w:rPr>
        <w:t xml:space="preserve">第一篇  </w:t>
      </w:r>
      <w:r>
        <w:rPr>
          <w:rStyle w:val="49"/>
          <w:rFonts w:hint="eastAsia" w:ascii="宋体" w:hAnsi="宋体" w:eastAsia="宋体" w:cs="宋体"/>
          <w:b/>
          <w:kern w:val="0"/>
          <w:lang w:eastAsia="zh-CN"/>
        </w:rPr>
        <w:t>比选</w:t>
      </w:r>
      <w:r>
        <w:rPr>
          <w:rStyle w:val="49"/>
          <w:rFonts w:hint="eastAsia" w:ascii="宋体" w:hAnsi="宋体" w:eastAsia="宋体" w:cs="宋体"/>
          <w:b/>
          <w:kern w:val="0"/>
        </w:rPr>
        <w:t>邀请书</w:t>
      </w:r>
      <w:bookmarkEnd w:id="0"/>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垫江县</w:t>
      </w:r>
      <w:r>
        <w:rPr>
          <w:rFonts w:hint="eastAsia" w:ascii="宋体" w:hAnsi="宋体" w:cs="宋体"/>
          <w:color w:val="auto"/>
          <w:sz w:val="24"/>
          <w:highlight w:val="none"/>
          <w:lang w:val="zh-CN" w:eastAsia="zh-CN"/>
        </w:rPr>
        <w:t>精神卫生中心</w:t>
      </w:r>
      <w:r>
        <w:rPr>
          <w:rFonts w:hint="eastAsia" w:ascii="宋体" w:hAnsi="宋体" w:cs="宋体"/>
          <w:color w:val="auto"/>
          <w:sz w:val="24"/>
          <w:highlight w:val="none"/>
          <w:lang w:val="en-US" w:eastAsia="zh-CN"/>
        </w:rPr>
        <w:t>食堂劳务外包（第五次）</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lang w:val="zh-CN" w:eastAsia="zh-CN"/>
        </w:rPr>
        <w:t>）进行竞争性比选</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欢迎</w:t>
      </w:r>
      <w:r>
        <w:rPr>
          <w:rFonts w:hint="eastAsia" w:ascii="宋体" w:hAnsi="宋体" w:cs="宋体"/>
          <w:color w:val="auto"/>
          <w:sz w:val="24"/>
          <w:highlight w:val="none"/>
          <w:lang w:val="zh-CN" w:eastAsia="zh-CN"/>
        </w:rPr>
        <w:t>有资格的竞选人前来参加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lang w:val="zh-CN" w:eastAsia="zh-CN"/>
        </w:rPr>
        <w:t>。</w:t>
      </w:r>
    </w:p>
    <w:p>
      <w:pPr>
        <w:pStyle w:val="5"/>
        <w:spacing w:line="360" w:lineRule="auto"/>
        <w:ind w:firstLine="482" w:firstLineChars="200"/>
        <w:rPr>
          <w:rFonts w:hint="eastAsia" w:ascii="宋体" w:hAnsi="宋体" w:eastAsia="宋体" w:cs="宋体"/>
          <w:color w:val="auto"/>
          <w:kern w:val="0"/>
          <w:sz w:val="24"/>
          <w:szCs w:val="24"/>
          <w:lang w:val="zh-CN"/>
        </w:rPr>
      </w:pPr>
      <w:bookmarkStart w:id="1" w:name="_Toc13779"/>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val="zh-CN" w:eastAsia="zh-CN"/>
        </w:rPr>
        <w:t>比选</w:t>
      </w:r>
      <w:r>
        <w:rPr>
          <w:rFonts w:hint="eastAsia" w:ascii="宋体" w:hAnsi="宋体" w:eastAsia="宋体" w:cs="宋体"/>
          <w:color w:val="auto"/>
          <w:kern w:val="0"/>
          <w:sz w:val="24"/>
          <w:szCs w:val="24"/>
          <w:lang w:val="zh-CN"/>
        </w:rPr>
        <w:t>采购内容</w:t>
      </w:r>
      <w:bookmarkEnd w:id="1"/>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4256"/>
        <w:gridCol w:w="2148"/>
        <w:gridCol w:w="215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4256" w:type="dxa"/>
            <w:noWrap w:val="0"/>
            <w:vAlign w:val="center"/>
          </w:tcPr>
          <w:p>
            <w:pPr>
              <w:snapToGrid w:val="0"/>
              <w:jc w:val="center"/>
              <w:outlineLvl w:val="0"/>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项目名称</w:t>
            </w:r>
          </w:p>
        </w:tc>
        <w:tc>
          <w:tcPr>
            <w:tcW w:w="2148" w:type="dxa"/>
            <w:noWrap w:val="0"/>
            <w:vAlign w:val="center"/>
          </w:tcPr>
          <w:p>
            <w:pPr>
              <w:snapToGrid w:val="0"/>
              <w:jc w:val="center"/>
              <w:outlineLvl w:val="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预算金额</w:t>
            </w:r>
          </w:p>
          <w:p>
            <w:pPr>
              <w:pStyle w:val="2"/>
              <w:snapToGrid w:val="0"/>
              <w:jc w:val="center"/>
              <w:rPr>
                <w:rFonts w:hint="default"/>
                <w:b/>
                <w:lang w:val="en-US" w:eastAsia="zh-CN"/>
              </w:rPr>
            </w:pPr>
            <w:r>
              <w:rPr>
                <w:rFonts w:hint="eastAsia" w:ascii="宋体" w:hAnsi="宋体" w:cs="宋体"/>
                <w:b/>
                <w:bCs/>
                <w:color w:val="000000"/>
                <w:sz w:val="24"/>
                <w:szCs w:val="24"/>
                <w:lang w:val="en-US" w:eastAsia="zh-CN"/>
              </w:rPr>
              <w:t>（万元）</w:t>
            </w:r>
          </w:p>
        </w:tc>
        <w:tc>
          <w:tcPr>
            <w:tcW w:w="2152" w:type="dxa"/>
            <w:noWrap w:val="0"/>
            <w:vAlign w:val="center"/>
          </w:tcPr>
          <w:p>
            <w:pPr>
              <w:snapToGrid w:val="0"/>
              <w:jc w:val="center"/>
              <w:outlineLvl w:val="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中选人数量</w:t>
            </w:r>
          </w:p>
          <w:p>
            <w:pPr>
              <w:pStyle w:val="2"/>
              <w:snapToGrid w:val="0"/>
              <w:rPr>
                <w:rFonts w:hint="eastAsia"/>
                <w:b/>
                <w:lang w:val="en-US" w:eastAsia="zh-CN"/>
              </w:rPr>
            </w:pPr>
            <w:r>
              <w:rPr>
                <w:rFonts w:hint="eastAsia" w:ascii="宋体" w:hAnsi="宋体" w:cs="宋体"/>
                <w:b/>
                <w:bCs/>
                <w:color w:val="000000"/>
                <w:sz w:val="24"/>
                <w:szCs w:val="24"/>
                <w:lang w:val="en-US" w:eastAsia="zh-CN"/>
              </w:rPr>
              <w:t>（名）</w:t>
            </w:r>
          </w:p>
        </w:tc>
        <w:tc>
          <w:tcPr>
            <w:tcW w:w="856" w:type="dxa"/>
            <w:noWrap w:val="0"/>
            <w:vAlign w:val="center"/>
          </w:tcPr>
          <w:p>
            <w:pPr>
              <w:snapToGrid w:val="0"/>
              <w:jc w:val="center"/>
              <w:outlineLvl w:val="0"/>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4256" w:type="dxa"/>
            <w:noWrap w:val="0"/>
            <w:vAlign w:val="center"/>
          </w:tcPr>
          <w:p>
            <w:pPr>
              <w:snapToGrid w:val="0"/>
              <w:jc w:val="center"/>
              <w:outlineLvl w:val="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垫江县</w:t>
            </w:r>
            <w:r>
              <w:rPr>
                <w:rFonts w:hint="eastAsia" w:ascii="宋体" w:hAnsi="宋体" w:cs="宋体"/>
                <w:bCs/>
                <w:color w:val="auto"/>
                <w:sz w:val="24"/>
                <w:szCs w:val="24"/>
                <w:highlight w:val="none"/>
                <w:lang w:eastAsia="zh-CN"/>
              </w:rPr>
              <w:t>精神卫生中心食堂劳务外包（第五次）</w:t>
            </w:r>
          </w:p>
        </w:tc>
        <w:tc>
          <w:tcPr>
            <w:tcW w:w="2148" w:type="dxa"/>
            <w:noWrap w:val="0"/>
            <w:vAlign w:val="center"/>
          </w:tcPr>
          <w:p>
            <w:pPr>
              <w:snapToGrid w:val="0"/>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48</w:t>
            </w:r>
          </w:p>
        </w:tc>
        <w:tc>
          <w:tcPr>
            <w:tcW w:w="2152" w:type="dxa"/>
            <w:noWrap w:val="0"/>
            <w:vAlign w:val="center"/>
          </w:tcPr>
          <w:p>
            <w:pPr>
              <w:snapToGrid w:val="0"/>
              <w:jc w:val="center"/>
              <w:outlineLvl w:val="0"/>
              <w:rPr>
                <w:rFonts w:hint="eastAsia" w:ascii="宋体" w:hAnsi="宋体" w:eastAsia="宋体" w:cs="宋体"/>
                <w:bCs/>
                <w:color w:val="auto"/>
                <w:sz w:val="24"/>
                <w:szCs w:val="24"/>
                <w:highlight w:val="none"/>
                <w:lang w:val="en-US" w:eastAsia="zh-CN"/>
              </w:rPr>
            </w:pPr>
            <w:bookmarkStart w:id="2" w:name="_Toc8217"/>
            <w:r>
              <w:rPr>
                <w:rFonts w:hint="eastAsia" w:ascii="宋体" w:hAnsi="宋体" w:eastAsia="宋体" w:cs="宋体"/>
                <w:bCs/>
                <w:color w:val="auto"/>
                <w:sz w:val="24"/>
                <w:szCs w:val="24"/>
                <w:highlight w:val="none"/>
              </w:rPr>
              <w:t>1</w:t>
            </w:r>
            <w:bookmarkEnd w:id="2"/>
          </w:p>
        </w:tc>
        <w:tc>
          <w:tcPr>
            <w:tcW w:w="856" w:type="dxa"/>
            <w:noWrap w:val="0"/>
            <w:vAlign w:val="center"/>
          </w:tcPr>
          <w:p>
            <w:pPr>
              <w:snapToGrid w:val="0"/>
              <w:jc w:val="center"/>
              <w:outlineLvl w:val="0"/>
              <w:rPr>
                <w:rFonts w:hint="eastAsia" w:ascii="宋体" w:hAnsi="宋体" w:eastAsia="宋体" w:cs="宋体"/>
                <w:bCs/>
                <w:color w:val="auto"/>
                <w:sz w:val="24"/>
                <w:szCs w:val="24"/>
                <w:highlight w:val="none"/>
                <w:lang w:eastAsia="zh-CN"/>
              </w:rPr>
            </w:pPr>
          </w:p>
        </w:tc>
      </w:tr>
    </w:tbl>
    <w:p>
      <w:pPr>
        <w:pStyle w:val="104"/>
        <w:spacing w:line="500" w:lineRule="exact"/>
        <w:ind w:firstLine="482" w:firstLineChars="200"/>
        <w:rPr>
          <w:rFonts w:hint="eastAsia" w:ascii="方正仿宋_GBK" w:hAnsi="仿宋" w:eastAsia="方正仿宋_GBK" w:cs="仿宋"/>
          <w:b/>
          <w:sz w:val="24"/>
          <w:highlight w:val="none"/>
        </w:rPr>
      </w:pPr>
      <w:bookmarkStart w:id="3" w:name="_Toc174478244"/>
      <w:bookmarkStart w:id="4" w:name="_Toc3156"/>
      <w:bookmarkStart w:id="5" w:name="_Toc174478053"/>
      <w:bookmarkStart w:id="6" w:name="_Toc25670"/>
      <w:r>
        <w:rPr>
          <w:rFonts w:hint="eastAsia" w:ascii="方正仿宋_GBK" w:hAnsi="仿宋" w:eastAsia="方正仿宋_GBK" w:cs="仿宋"/>
          <w:b/>
          <w:sz w:val="24"/>
          <w:highlight w:val="none"/>
        </w:rPr>
        <w:t>二、资金来源</w:t>
      </w:r>
      <w:bookmarkEnd w:id="3"/>
      <w:bookmarkEnd w:id="4"/>
      <w:bookmarkEnd w:id="5"/>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业主自筹和病人生活费</w:t>
      </w:r>
    </w:p>
    <w:p>
      <w:pPr>
        <w:pStyle w:val="5"/>
        <w:spacing w:line="360" w:lineRule="auto"/>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zh-CN"/>
        </w:rPr>
        <w:t>、比选资格</w:t>
      </w:r>
      <w:r>
        <w:rPr>
          <w:rFonts w:hint="eastAsia" w:ascii="宋体" w:hAnsi="宋体" w:eastAsia="宋体" w:cs="宋体"/>
          <w:color w:val="auto"/>
          <w:kern w:val="0"/>
          <w:sz w:val="24"/>
          <w:szCs w:val="24"/>
          <w:highlight w:val="none"/>
          <w:lang w:val="en-US" w:eastAsia="zh-CN"/>
        </w:rPr>
        <w:t>条件</w:t>
      </w:r>
      <w:bookmarkEnd w:id="6"/>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一）基本资格条件</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1.具有独立承担民事责任的能力；</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2.具有良好的商业信誉和健全的财务会计制度；</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3.具有履行合同所必需的设备和专业技术能力；</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4.有依法缴纳税收和社会保障资金的良好记录；</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5.三年内在经营活动中无重大违纪记录；</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6.法律、行政法规规定的其他条件。</w:t>
      </w:r>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（二）特定资格要求：</w:t>
      </w:r>
    </w:p>
    <w:p>
      <w:pPr>
        <w:pStyle w:val="5"/>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bookmarkStart w:id="7" w:name="_Toc22471"/>
      <w:r>
        <w:rPr>
          <w:rFonts w:hint="eastAsia" w:ascii="宋体" w:hAnsi="宋体" w:eastAsia="宋体" w:cs="宋体"/>
          <w:b w:val="0"/>
          <w:bCs w:val="0"/>
          <w:color w:val="auto"/>
          <w:kern w:val="2"/>
          <w:sz w:val="24"/>
          <w:szCs w:val="24"/>
          <w:highlight w:val="none"/>
          <w:lang w:val="en-US" w:eastAsia="zh-CN" w:bidi="ar-SA"/>
        </w:rPr>
        <w:t>无</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zh-CN" w:eastAsia="zh-CN"/>
        </w:rPr>
        <w:t>、比选有关说明</w:t>
      </w:r>
      <w:bookmarkEnd w:id="7"/>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（一）凡有意参加竞选的</w:t>
      </w:r>
      <w:r>
        <w:rPr>
          <w:rFonts w:hint="eastAsia" w:ascii="宋体" w:hAnsi="宋体" w:cs="宋体"/>
          <w:color w:val="auto"/>
          <w:sz w:val="24"/>
          <w:highlight w:val="none"/>
          <w:lang w:val="en-US" w:eastAsia="zh-CN"/>
        </w:rPr>
        <w:t>竞选人</w:t>
      </w:r>
      <w:r>
        <w:rPr>
          <w:rFonts w:hint="eastAsia" w:ascii="宋体" w:hAnsi="宋体" w:eastAsia="宋体" w:cs="宋体"/>
          <w:color w:val="auto"/>
          <w:sz w:val="24"/>
          <w:highlight w:val="none"/>
          <w:lang w:val="en-US" w:eastAsia="zh-CN"/>
        </w:rPr>
        <w:t>，请到重庆市垫江县人民政府官网（http://www.cqsdj.gov.cn）政府采购栏目上下载本项目竞争性比选文件以及图纸、澄清等开标前公布的所有项目资料，无论</w:t>
      </w:r>
      <w:r>
        <w:rPr>
          <w:rFonts w:hint="eastAsia" w:ascii="宋体" w:hAnsi="宋体" w:cs="宋体"/>
          <w:color w:val="auto"/>
          <w:sz w:val="24"/>
          <w:highlight w:val="none"/>
          <w:lang w:val="en-US" w:eastAsia="zh-CN"/>
        </w:rPr>
        <w:t>竞选人</w:t>
      </w:r>
      <w:r>
        <w:rPr>
          <w:rFonts w:hint="eastAsia" w:ascii="宋体" w:hAnsi="宋体" w:eastAsia="宋体" w:cs="宋体"/>
          <w:color w:val="auto"/>
          <w:sz w:val="24"/>
          <w:highlight w:val="none"/>
          <w:lang w:val="en-US" w:eastAsia="zh-CN"/>
        </w:rPr>
        <w:t>领取或下载与否，均视为已知晓所有比选内容。</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r>
        <w:rPr>
          <w:rFonts w:hint="eastAsia" w:ascii="宋体" w:hAnsi="宋体" w:cs="宋体"/>
          <w:color w:val="auto"/>
          <w:sz w:val="24"/>
          <w:highlight w:val="none"/>
          <w:lang w:eastAsia="zh-CN"/>
        </w:rPr>
        <w:t>比选</w:t>
      </w:r>
      <w:r>
        <w:rPr>
          <w:rFonts w:hint="eastAsia" w:ascii="宋体" w:hAnsi="宋体" w:cs="宋体"/>
          <w:color w:val="auto"/>
          <w:sz w:val="24"/>
          <w:highlight w:val="none"/>
        </w:rPr>
        <w:t>公告期限：自采购公告发布之日起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个工作日。</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）竞争性比选文件获取</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竞争性比选文件获取期限：202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w:t>
      </w:r>
    </w:p>
    <w:p>
      <w:pPr>
        <w:snapToGrid w:val="0"/>
        <w:spacing w:line="42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响应文件递交及开标要求</w:t>
      </w:r>
    </w:p>
    <w:p>
      <w:pPr>
        <w:snapToGrid w:val="0"/>
        <w:spacing w:line="420" w:lineRule="exact"/>
        <w:ind w:firstLine="720" w:firstLineChars="3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线下报名要求：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（1）响应文件递交地点：</w:t>
      </w:r>
      <w:r>
        <w:rPr>
          <w:rFonts w:hint="eastAsia" w:ascii="宋体" w:hAnsi="宋体" w:cs="宋体"/>
          <w:color w:val="auto"/>
          <w:sz w:val="24"/>
          <w:highlight w:val="none"/>
          <w:lang w:val="zh-CN" w:eastAsia="zh-CN"/>
        </w:rPr>
        <w:t>垫江县精神卫生中心</w:t>
      </w:r>
      <w:r>
        <w:rPr>
          <w:rFonts w:hint="eastAsia" w:ascii="宋体" w:hAnsi="宋体" w:cs="宋体"/>
          <w:color w:val="auto"/>
          <w:sz w:val="24"/>
          <w:highlight w:val="none"/>
          <w:lang w:val="en-US" w:eastAsia="zh-CN"/>
        </w:rPr>
        <w:t>门诊三</w:t>
      </w:r>
      <w:r>
        <w:rPr>
          <w:rFonts w:hint="eastAsia" w:ascii="宋体" w:hAnsi="宋体" w:cs="宋体"/>
          <w:color w:val="auto"/>
          <w:sz w:val="24"/>
          <w:highlight w:val="none"/>
          <w:lang w:val="zh-CN" w:eastAsia="zh-CN"/>
        </w:rPr>
        <w:t>楼</w:t>
      </w:r>
      <w:r>
        <w:rPr>
          <w:rFonts w:hint="eastAsia" w:ascii="宋体" w:hAnsi="宋体" w:cs="宋体"/>
          <w:color w:val="auto"/>
          <w:sz w:val="24"/>
          <w:highlight w:val="none"/>
          <w:lang w:val="en-US" w:eastAsia="zh-CN"/>
        </w:rPr>
        <w:t>会议室。</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（2）响应文件递交开始时间：2025年9月24日8：30北京时间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（3）响应文件递交截止时间：2025年9月24日9：00北京时间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（4）开标时间：2025年9月 24 日9：00北京时间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（5）开标地点：同响应文件递交地点。</w:t>
      </w:r>
    </w:p>
    <w:p>
      <w:pPr>
        <w:snapToGrid w:val="0"/>
        <w:spacing w:line="42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val="en-US" w:eastAsia="zh-CN"/>
        </w:rPr>
        <w:t>（7）响应文件份数：响应文件一式两份，其中正本一份，副本一份</w:t>
      </w:r>
      <w:r>
        <w:rPr>
          <w:rFonts w:hint="eastAsia" w:ascii="宋体" w:hAnsi="宋体" w:cs="宋体"/>
          <w:b w:val="0"/>
          <w:bCs w:val="0"/>
          <w:color w:val="auto"/>
          <w:sz w:val="24"/>
          <w:highlight w:val="none"/>
          <w:lang w:eastAsia="zh-CN"/>
        </w:rPr>
        <w:t>。</w:t>
      </w:r>
    </w:p>
    <w:p>
      <w:pPr>
        <w:snapToGrid w:val="0"/>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w:t>
      </w:r>
      <w:r>
        <w:rPr>
          <w:rFonts w:hint="eastAsia" w:ascii="宋体" w:hAnsi="宋体" w:cs="宋体"/>
          <w:color w:val="auto"/>
          <w:sz w:val="24"/>
          <w:highlight w:val="none"/>
          <w:lang w:eastAsia="zh-CN"/>
        </w:rPr>
        <w:t>竞选人</w:t>
      </w:r>
      <w:r>
        <w:rPr>
          <w:rFonts w:hint="eastAsia" w:ascii="宋体" w:hAnsi="宋体" w:cs="宋体"/>
          <w:color w:val="auto"/>
          <w:sz w:val="24"/>
          <w:highlight w:val="none"/>
        </w:rPr>
        <w:t>须满足以下</w:t>
      </w:r>
      <w:r>
        <w:rPr>
          <w:rFonts w:hint="eastAsia" w:ascii="宋体" w:hAnsi="宋体" w:cs="宋体"/>
          <w:color w:val="auto"/>
          <w:sz w:val="24"/>
          <w:highlight w:val="none"/>
          <w:lang w:eastAsia="zh-CN"/>
        </w:rPr>
        <w:t>两</w:t>
      </w:r>
      <w:r>
        <w:rPr>
          <w:rFonts w:hint="eastAsia" w:ascii="宋体" w:hAnsi="宋体" w:cs="宋体"/>
          <w:color w:val="auto"/>
          <w:sz w:val="24"/>
          <w:highlight w:val="none"/>
        </w:rPr>
        <w:t>种要件，其响应文件才被接</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w:t>
      </w:r>
    </w:p>
    <w:p>
      <w:pPr>
        <w:snapToGrid w:val="0"/>
        <w:spacing w:line="42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1.根据竞争性比选文件要求按时完成竞争性比选文件获取；</w:t>
      </w:r>
    </w:p>
    <w:p>
      <w:pPr>
        <w:snapToGrid w:val="0"/>
        <w:spacing w:line="42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2.按时递交了响应文件。</w:t>
      </w:r>
    </w:p>
    <w:p>
      <w:pPr>
        <w:pStyle w:val="5"/>
        <w:spacing w:line="360" w:lineRule="auto"/>
        <w:ind w:firstLine="482" w:firstLineChars="200"/>
        <w:rPr>
          <w:rFonts w:hint="eastAsia" w:ascii="宋体" w:hAnsi="宋体" w:eastAsia="宋体" w:cs="宋体"/>
          <w:color w:val="auto"/>
          <w:kern w:val="0"/>
          <w:sz w:val="24"/>
          <w:szCs w:val="24"/>
          <w:highlight w:val="none"/>
          <w:lang w:eastAsia="zh-CN"/>
        </w:rPr>
      </w:pPr>
      <w:bookmarkStart w:id="8" w:name="_Toc16343"/>
      <w:bookmarkStart w:id="9" w:name="_Toc9728"/>
      <w:bookmarkStart w:id="10" w:name="_Toc2917"/>
      <w:bookmarkStart w:id="11" w:name="_Toc26362"/>
      <w:bookmarkStart w:id="12" w:name="_Toc9052"/>
      <w:bookmarkStart w:id="13" w:name="_Toc26053"/>
      <w:bookmarkStart w:id="14" w:name="_Toc15405"/>
      <w:bookmarkStart w:id="15" w:name="_Toc24341"/>
      <w:bookmarkStart w:id="16" w:name="_Toc24032"/>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保证金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w:t>
      </w:r>
      <w:r>
        <w:rPr>
          <w:rFonts w:hint="eastAsia" w:ascii="宋体" w:hAnsi="宋体" w:eastAsia="宋体" w:cs="宋体"/>
          <w:color w:val="auto"/>
          <w:kern w:val="0"/>
          <w:sz w:val="24"/>
          <w:szCs w:val="24"/>
          <w:highlight w:val="none"/>
          <w:lang w:eastAsia="zh-CN"/>
        </w:rPr>
        <w:t>。</w:t>
      </w:r>
      <w:bookmarkEnd w:id="8"/>
    </w:p>
    <w:p>
      <w:pPr>
        <w:pStyle w:val="5"/>
        <w:spacing w:line="360" w:lineRule="auto"/>
        <w:ind w:firstLine="482" w:firstLineChars="200"/>
        <w:rPr>
          <w:rFonts w:hint="eastAsia" w:ascii="宋体" w:hAnsi="宋体" w:eastAsia="宋体" w:cs="宋体"/>
          <w:color w:val="auto"/>
          <w:kern w:val="0"/>
          <w:sz w:val="24"/>
          <w:szCs w:val="24"/>
          <w:highlight w:val="none"/>
        </w:rPr>
      </w:pPr>
      <w:bookmarkStart w:id="17" w:name="_Toc4704"/>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其它有关规定</w:t>
      </w:r>
      <w:bookmarkEnd w:id="9"/>
      <w:bookmarkEnd w:id="10"/>
      <w:bookmarkEnd w:id="11"/>
      <w:bookmarkEnd w:id="12"/>
      <w:bookmarkEnd w:id="13"/>
      <w:bookmarkEnd w:id="14"/>
      <w:bookmarkEnd w:id="15"/>
      <w:bookmarkEnd w:id="16"/>
      <w:bookmarkEnd w:id="17"/>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（一）单位负责人为同一人或者存在直接控股、管理关系的不同竞选人，不得参加同一合同项（包）下的采购活动。</w:t>
      </w:r>
    </w:p>
    <w:p>
      <w:pPr>
        <w:snapToGrid w:val="0"/>
        <w:spacing w:line="420" w:lineRule="exact"/>
        <w:ind w:firstLine="480" w:firstLineChars="200"/>
        <w:rPr>
          <w:rFonts w:hint="eastAsia" w:ascii="宋体" w:hAnsi="宋体" w:cs="宋体"/>
          <w:color w:val="auto"/>
          <w:sz w:val="24"/>
          <w:highlight w:val="yellow"/>
          <w:lang w:val="en-US" w:eastAsia="zh-CN"/>
        </w:rPr>
      </w:pPr>
      <w:r>
        <w:rPr>
          <w:rFonts w:hint="eastAsia" w:ascii="宋体" w:hAnsi="宋体" w:cs="宋体"/>
          <w:color w:val="auto"/>
          <w:sz w:val="24"/>
          <w:highlight w:val="none"/>
          <w:lang w:val="en-US" w:eastAsia="zh-CN"/>
        </w:rPr>
        <w:t>（二）为采购项目提供整体设计、规范编制或者项目管理、监理、检测等服务的竞选人，不得再参加该采购项目的其他采购活动。</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（三）超过递交和邮寄收件截止时间的响应文件，恕不接收。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（四）比选费用：无论比选结果如何，竞选人参与本项目比选的所有费用均应由竞选人自行承担。</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（五）本项目不接受联合体参与投标。</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（六）本项目不接受合同分包。</w:t>
      </w:r>
    </w:p>
    <w:p>
      <w:pPr>
        <w:pStyle w:val="5"/>
        <w:spacing w:line="360" w:lineRule="auto"/>
        <w:ind w:firstLine="482" w:firstLineChars="200"/>
        <w:rPr>
          <w:rFonts w:hint="eastAsia" w:ascii="宋体" w:hAnsi="宋体" w:eastAsia="宋体" w:cs="宋体"/>
          <w:color w:val="auto"/>
          <w:kern w:val="0"/>
          <w:sz w:val="24"/>
          <w:szCs w:val="24"/>
          <w:highlight w:val="none"/>
          <w:lang w:val="zh-CN"/>
        </w:rPr>
      </w:pPr>
      <w:bookmarkStart w:id="18" w:name="_Toc17223"/>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val="zh-CN"/>
        </w:rPr>
        <w:t>、联系方式</w:t>
      </w:r>
      <w:bookmarkEnd w:id="18"/>
    </w:p>
    <w:p>
      <w:pPr>
        <w:snapToGrid w:val="0"/>
        <w:spacing w:line="420" w:lineRule="exact"/>
        <w:ind w:firstLine="480" w:firstLineChars="200"/>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（一）采购人</w:t>
      </w:r>
      <w:r>
        <w:rPr>
          <w:rFonts w:hint="eastAsia" w:ascii="宋体" w:hAnsi="宋体" w:cs="宋体"/>
          <w:color w:val="auto"/>
          <w:sz w:val="24"/>
          <w:highlight w:val="none"/>
          <w:lang w:val="zh-CN" w:eastAsia="zh-CN"/>
        </w:rPr>
        <w:t>：垫江县精神卫生中心</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联系人：贺老师</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电  话：13609470922</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地  址：重庆市垫江县新民镇南印寺村1组</w:t>
      </w:r>
    </w:p>
    <w:p>
      <w:pPr>
        <w:spacing w:line="360" w:lineRule="auto"/>
        <w:ind w:firstLine="1080" w:firstLineChars="300"/>
        <w:rPr>
          <w:rFonts w:hint="eastAsia" w:ascii="宋体" w:hAnsi="宋体" w:cs="宋体"/>
          <w:sz w:val="36"/>
          <w:szCs w:val="30"/>
        </w:rPr>
      </w:pPr>
      <w:bookmarkStart w:id="19" w:name="_Toc505"/>
      <w:bookmarkStart w:id="20" w:name="_Toc20036"/>
      <w:bookmarkStart w:id="21" w:name="_Toc522003931"/>
      <w:bookmarkStart w:id="22" w:name="_Toc522004368"/>
      <w:r>
        <w:rPr>
          <w:rFonts w:hint="eastAsia" w:ascii="宋体" w:hAnsi="宋体" w:cs="宋体"/>
          <w:sz w:val="36"/>
          <w:szCs w:val="30"/>
        </w:rPr>
        <w:br w:type="page"/>
      </w:r>
      <w:bookmarkEnd w:id="19"/>
      <w:bookmarkEnd w:id="20"/>
      <w:bookmarkEnd w:id="21"/>
      <w:bookmarkEnd w:id="22"/>
      <w:bookmarkStart w:id="23" w:name="_Toc495396926"/>
    </w:p>
    <w:p>
      <w:pPr>
        <w:rPr>
          <w:rStyle w:val="49"/>
          <w:rFonts w:hint="eastAsia" w:ascii="宋体" w:hAnsi="宋体" w:cs="宋体"/>
          <w:kern w:val="0"/>
        </w:rPr>
      </w:pPr>
    </w:p>
    <w:p>
      <w:pPr>
        <w:pStyle w:val="4"/>
        <w:spacing w:before="0" w:after="0" w:line="360" w:lineRule="auto"/>
        <w:jc w:val="center"/>
        <w:rPr>
          <w:rFonts w:hint="eastAsia" w:ascii="宋体" w:hAnsi="宋体" w:eastAsia="宋体" w:cs="宋体"/>
          <w:bCs w:val="0"/>
          <w:color w:val="auto"/>
          <w:sz w:val="36"/>
          <w:szCs w:val="30"/>
          <w:highlight w:val="none"/>
          <w:lang w:eastAsia="zh-CN"/>
        </w:rPr>
      </w:pPr>
      <w:bookmarkStart w:id="24" w:name="_Toc7422"/>
      <w:r>
        <w:rPr>
          <w:rStyle w:val="49"/>
          <w:rFonts w:hint="eastAsia" w:ascii="宋体" w:hAnsi="宋体" w:cs="宋体"/>
          <w:color w:val="auto"/>
          <w:kern w:val="0"/>
          <w:highlight w:val="none"/>
        </w:rPr>
        <w:t xml:space="preserve">第二篇  </w:t>
      </w:r>
      <w:r>
        <w:rPr>
          <w:rStyle w:val="49"/>
          <w:rFonts w:hint="eastAsia" w:ascii="宋体" w:hAnsi="宋体" w:cs="宋体"/>
          <w:color w:val="auto"/>
          <w:kern w:val="0"/>
          <w:highlight w:val="none"/>
          <w:lang w:val="en-US" w:eastAsia="zh-CN"/>
        </w:rPr>
        <w:t>项目</w:t>
      </w:r>
      <w:r>
        <w:rPr>
          <w:rStyle w:val="49"/>
          <w:rFonts w:hint="eastAsia" w:ascii="宋体" w:hAnsi="宋体" w:cs="宋体"/>
          <w:color w:val="auto"/>
          <w:kern w:val="0"/>
          <w:highlight w:val="none"/>
          <w:lang w:eastAsia="zh-CN"/>
        </w:rPr>
        <w:t>服务需求</w:t>
      </w:r>
      <w:bookmarkEnd w:id="24"/>
    </w:p>
    <w:bookmarkEnd w:id="23"/>
    <w:p>
      <w:pPr>
        <w:pStyle w:val="5"/>
        <w:keepNext w:val="0"/>
        <w:keepLines w:val="0"/>
        <w:spacing w:before="0" w:after="0" w:line="360" w:lineRule="auto"/>
        <w:ind w:firstLine="482"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一、项目基本介绍</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（一）项目概况</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提供垫江县精神卫生中心食堂餐饮劳务保障，食堂每日病人用餐人数约700名，职工用餐人数约100名（以上用餐人数仅作参考，具体数量以当日实际人数为准）。</w:t>
      </w:r>
    </w:p>
    <w:p>
      <w:pPr>
        <w:spacing w:line="360" w:lineRule="auto"/>
        <w:ind w:firstLine="480" w:firstLineChars="200"/>
        <w:outlineLvl w:val="2"/>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（二）管理方式</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劳务外包采取委托管理方式。比选人负责提供相关设施设备、餐具、水、电、气配套到位，并及时进行维护维修，负责食品等原材料采购及库房管理。中选人负责食堂餐饮的劳务保障，包含但不限于食堂的管理、卫生保洁、原材料使用管理、食品加工制作和送餐服务（其中住院患者三餐分发至各病区），负责人员的招聘、人事管理安排、工资福利及待遇发放、各类法定社会保险及相关税费等。保证就餐人员按时就餐，做到及时、卫生、安全、营养、节约、热情、周到，并接受比选人的监督考核。</w:t>
      </w:r>
    </w:p>
    <w:p>
      <w:pPr>
        <w:spacing w:line="360" w:lineRule="auto"/>
        <w:ind w:firstLine="480" w:firstLineChars="200"/>
        <w:outlineLvl w:val="2"/>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（三）餐饮供应</w:t>
      </w:r>
    </w:p>
    <w:p>
      <w:pPr>
        <w:snapToGrid w:val="0"/>
        <w:spacing w:line="420" w:lineRule="exact"/>
        <w:ind w:firstLine="480" w:firstLineChars="200"/>
        <w:rPr>
          <w:rFonts w:hint="eastAsia" w:ascii="宋体" w:hAnsi="宋体" w:cs="宋体"/>
          <w:color w:val="auto"/>
          <w:sz w:val="24"/>
          <w:highlight w:val="none"/>
          <w:lang w:val="en-US" w:eastAsia="zh-CN"/>
        </w:rPr>
      </w:pPr>
      <w:bookmarkStart w:id="25" w:name="_Toc9501"/>
      <w:bookmarkStart w:id="26" w:name="_Toc813"/>
      <w:bookmarkStart w:id="27" w:name="_Toc26675"/>
      <w:r>
        <w:rPr>
          <w:rFonts w:hint="eastAsia" w:ascii="宋体" w:hAnsi="宋体" w:cs="宋体"/>
          <w:color w:val="auto"/>
          <w:sz w:val="24"/>
          <w:highlight w:val="none"/>
          <w:lang w:val="en-US" w:eastAsia="zh-CN"/>
        </w:rPr>
        <w:t>1.餐饮供应要求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按照早、中、晚供应病人及职工一日三餐。早、中、晚餐须按要求错峰供餐，且确保菜品的新鲜、口感、品质、卫生安全，减少浪费食材情况。</w:t>
      </w:r>
      <w:bookmarkEnd w:id="25"/>
      <w:bookmarkEnd w:id="26"/>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2.餐饮供应标准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严格按照中心病员食谱以及职工食谱的要求制作餐饮。</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3.服从中心安排的临时性加餐、接待及其他工作。</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4.应急保障用餐</w:t>
      </w:r>
    </w:p>
    <w:p>
      <w:pPr>
        <w:snapToGrid w:val="0"/>
        <w:spacing w:line="420" w:lineRule="exact"/>
        <w:ind w:firstLine="480" w:firstLineChars="200"/>
        <w:rPr>
          <w:highlight w:val="none"/>
        </w:rPr>
      </w:pPr>
      <w:r>
        <w:rPr>
          <w:rFonts w:hint="eastAsia" w:ascii="宋体" w:hAnsi="宋体" w:cs="宋体"/>
          <w:color w:val="auto"/>
          <w:sz w:val="24"/>
          <w:highlight w:val="none"/>
          <w:lang w:val="en-US" w:eastAsia="zh-CN"/>
        </w:rPr>
        <w:t>应急保障用餐由比选人指派，中选人按照要求提供盒餐并送到指定地点。</w:t>
      </w:r>
    </w:p>
    <w:p>
      <w:pPr>
        <w:pStyle w:val="5"/>
        <w:keepNext w:val="0"/>
        <w:keepLines w:val="0"/>
        <w:spacing w:before="0" w:after="0" w:line="360" w:lineRule="auto"/>
        <w:ind w:firstLine="482"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二、项目服务其他要求</w:t>
      </w:r>
      <w:bookmarkEnd w:id="27"/>
    </w:p>
    <w:p>
      <w:pPr>
        <w:spacing w:line="360" w:lineRule="auto"/>
        <w:ind w:firstLine="480" w:firstLineChars="200"/>
        <w:outlineLvl w:val="2"/>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（一）人员要求</w:t>
      </w:r>
    </w:p>
    <w:p>
      <w:pPr>
        <w:snapToGrid w:val="0"/>
        <w:spacing w:line="420" w:lineRule="exact"/>
        <w:ind w:firstLine="480" w:firstLineChars="200"/>
        <w:rPr>
          <w:rFonts w:hint="eastAsia" w:ascii="宋体" w:hAnsi="宋体" w:cs="宋体"/>
          <w:color w:val="auto"/>
          <w:sz w:val="24"/>
          <w:highlight w:val="none"/>
          <w:lang w:val="en-US" w:eastAsia="zh-CN"/>
        </w:rPr>
      </w:pPr>
      <w:bookmarkStart w:id="28" w:name="_Toc948"/>
      <w:bookmarkStart w:id="29" w:name="_Toc25987"/>
      <w:r>
        <w:rPr>
          <w:rFonts w:hint="eastAsia" w:ascii="宋体" w:hAnsi="宋体" w:cs="宋体"/>
          <w:color w:val="auto"/>
          <w:sz w:val="24"/>
          <w:highlight w:val="none"/>
          <w:lang w:val="en-US" w:eastAsia="zh-CN"/>
        </w:rPr>
        <w:t>中选人按照比选人的要求配备工作人员，按照比选人的用餐标准和服务标准保障早、中、晚餐用餐服务。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人员岗位设置：食堂须至少有食堂项目负责人1名，1名厨师（中级及以上厨师资格证），1名面点师（中式面点师、中级及以上资格证），6名小工（含清洁）；项目负责人需派驻在比选人单位，进行食堂日常管理，其他人员按照高效精干、保障有力的原则，结合食堂实际情况，科学合理地设置服务岗位，确定岗位薪酬，并有明确的职能职责和工作要求。</w:t>
      </w:r>
      <w:bookmarkEnd w:id="28"/>
      <w:bookmarkEnd w:id="29"/>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2.中选人提供所有食堂上岗工作人员必须持有无违法犯罪记录证明、身体健康证明及相关技能资质证。</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 投标时，中选人须将厨师、面点师的基本情况（姓名、性别、证书、身份证号码）提供给比选人，中选后不得更换上述人员，如需更换上述人员须经比选人同意方可，中选人未经比选人同意而更换上述人员，每更换1人扣款5000元。</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厨师、小工须保持稳定，如遇特殊情况需要更换，必须向比选人报告、备案，由比选人考核拟上岗人员合格后方能更换。未经比选人同意擅自更换人员，比选人按照相应人员劳务费标准扣减中选人当月费用（注：中选人须建立员工档案、在岗情况台账、人员流动台账等，供比选人随时查阅）。</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4.中选人须为员工提供统一服装，员工工作期间须统一着装，工作时形象整洁，服务热情周到、礼貌快捷。</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5.不得分包、转包，不得擅自停业。</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6.竞选人在截止比选日前三年内未因违反《中华人民共和国食品安全法》被有关行政单位处罚的（需单独自行承诺）。</w:t>
      </w:r>
    </w:p>
    <w:p>
      <w:pPr>
        <w:spacing w:line="560" w:lineRule="exact"/>
        <w:ind w:firstLine="480" w:firstLineChars="200"/>
        <w:outlineLvl w:val="2"/>
        <w:rPr>
          <w:rFonts w:hint="eastAsia" w:eastAsia="方正仿宋_GBK"/>
          <w:sz w:val="24"/>
          <w:highlight w:val="none"/>
        </w:rPr>
      </w:pPr>
      <w:r>
        <w:rPr>
          <w:rFonts w:hint="eastAsia" w:eastAsia="方正仿宋_GBK"/>
          <w:sz w:val="24"/>
          <w:highlight w:val="none"/>
        </w:rPr>
        <w:t>（二）服务要求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1.中选人应有一套具有丰富实践经验的管理班子；厨师、小工等人员配备比例应当适度，人数应当合理，每天在岗人数不少于9人，确保全年食堂始终处于优质、安全、卫生的状态；</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2.中选人中选后提供食堂日常服务方案，要求按照《食品卫生法》、时令特点和上述服务内容要求规范制定，达到预期的成本可控、食用安全、色香味形俱佳的要求；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中选人所属从业人员须通过比选人审查，保证从业人员作风正派、品行端正，具有有效健康合格证及相应的技能，从业人员年龄60岁以内，相对稳定，厨师等骨干人员调离应征求比选人的意见，遵守比选人的相关管理规定；</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中选人须搞好食堂餐厅区域（包括但不限于职工用餐区、厨房、洗菜处、凉菜间、加工间、储物室、洗碗室、消毒室、厕所等）的地面、桌椅、玻璃、墙面卫生清洁；对厨房用具严格实行“一洗二清三消毒”的规程；按规定自觉接受卫生食品管理部门（或其他行政执法部门）的监督、检查；不得出售任何变质或受污染的食物。</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中选人必须根据国家相关法律、法规，对食堂的生产安全、治安安全、消防安全、食品安全等工作具有完备有效的可操作的规章制度，并具有应急预案，及相应的责任人和原始记录，并接受比选人职能部门的监管。因违章操作及引发事故的一切责任均由中选人承担；</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6.比选人每月听取中选人食堂管理工作情况介绍，提出提高食堂服务质量的建议和方法；</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比选人有权对服务方进驻人员进行审核。中选人有新的员工进驻应事先向比选人书面提供新进人员的身份证（复印件），征得比选人同意以后方可进驻，未办好健康证的员工（包括试工人员）不得进入食堂工作；</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8.比选人派人员负责食堂的日常采购、财务管理、仓库管理工作以及由比选人负责支付厨房、食堂设施设备、餐具、器皿、物品等设施设备的日常维修保养的费用（中选人使用不当或人为损坏除外）。</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9.中选人应在人员素质上对进驻人员政治、技能、健康等方面进行挑选和把关并组织正规培训；在人员结构、数量上，服务方应当保证服务质量，配足配强工作人员；</w:t>
      </w:r>
      <w:r>
        <w:rPr>
          <w:rFonts w:hint="eastAsia" w:ascii="宋体" w:hAnsi="宋体" w:cs="宋体"/>
          <w:color w:val="auto"/>
          <w:sz w:val="24"/>
          <w:highlight w:val="none"/>
          <w:lang w:val="zh-CN" w:eastAsia="zh-CN"/>
        </w:rPr>
        <w:t>中选人应依法用工，负责所聘人员的培训、劳动保护、保险、伤病等事项；在招录员工时，必须按照《中华人民共和国劳动法》相关规定进行招录并提供相关依据的复印件。凡是“未岗前常规体检”、“有传染病史”、“有违法乱纪记录”、“有心理疾病”、“</w:t>
      </w:r>
      <w:r>
        <w:rPr>
          <w:rFonts w:hint="eastAsia" w:ascii="宋体" w:hAnsi="宋体" w:cs="宋体"/>
          <w:color w:val="auto"/>
          <w:sz w:val="24"/>
          <w:highlight w:val="none"/>
          <w:lang w:val="en-US" w:eastAsia="zh-CN"/>
        </w:rPr>
        <w:t>重大疾病</w:t>
      </w:r>
      <w:r>
        <w:rPr>
          <w:rFonts w:hint="eastAsia" w:ascii="宋体" w:hAnsi="宋体" w:cs="宋体"/>
          <w:color w:val="auto"/>
          <w:sz w:val="24"/>
          <w:highlight w:val="none"/>
          <w:lang w:val="zh-CN" w:eastAsia="zh-CN"/>
        </w:rPr>
        <w:t>”“未岗前培训”等人员不得录用；其所派人员发生事故或其他意外均由中选人负责。</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10.食物原材料和消耗材料必须符合卫生标准，制作的食品必须符合国家的食品卫生标准，并由专人负责留样48小时备查。</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中选人应随时接受监督和抽查，严格执行各项卫生管理制度，杜绝食物中毒事件的发生，如因中选人过失造成就餐人员食物中毒或其他管理饮食事故（经有关部门认定的），以及食品药品监督部门检查不合格的引发的一切责任均由中选人负责。</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12.中选人负责办理食品卫生管理部门要求服务人员相关的健康证等证件。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13.中选人负责员工的安全教育和日常管理，确保所属员工的人身及财产安全，所属员工因事故或人身财产等遭受损害的，由中选人承担全部责任。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14.中选人负责员工的保密教育，如发生泄密事件的，将从严追究相关人员法律责任。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15.因中选人管理和人员自身的原因被有关机构处罚，由中选人承担全部责任。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中选人负责制定和实施餐饮服务、安全管理、卫生防疫、防止浪费等实施方案和管理措施，做好餐厅、厨房等区域内的卫生保洁，负责餐厨垃圾的收集处理，每天定时清运到指定地点并配合相关单位做好垃圾处理，保持排水、排污管沟通畅清洁。</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17.中选人须做好停水、停电、停气的就餐服务应急方案，确保在停水、停电、停气的情况下能正常就餐。</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18.中选人要服从比选人指挥，完成临时安排的其他工作。</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19.中选人要按时发放员工工资，工资标准不得低于重庆市最新的最低工资标准，并按照国家要求为员工按时足额缴纳社会保险，不违背劳动法规定的相关待遇。</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中选人所属从业人员必须严格服从比选人的管理。竞选人须在竞选文件中承诺从业人员应认真履行岗位职责，遵守比选人的规章制度，服从比选人根据工作需要做出的统一安排调配。比选人有权对从业人员进行工作的检查 、督促、考核，并按照《垫江县精神卫生中心食堂月度考核办法》对从业人员进行考核管理，对不称职的从业者提出批评、教育及经济处罚，屡教不改者，比选人有权随时提出更换从业人员。</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21.中选人在每天下午3:00前提出第二天采购（领用）计划，在每周五前将下周菜谱上报院方食堂管理人员审定。</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22.中选人派驻食堂工作人员不得将任何食材、成品、半成品带离食堂，如发现此类情况，需按双倍价格赔偿，并更换该工作人员。</w:t>
      </w:r>
    </w:p>
    <w:p>
      <w:pPr>
        <w:spacing w:line="360" w:lineRule="auto"/>
        <w:ind w:firstLine="480" w:firstLineChars="200"/>
        <w:jc w:val="left"/>
        <w:outlineLvl w:val="2"/>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（三）安全要求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1.严格执行有关食品卫生安全的法规及规章制度，确保食品安全、卫生，并承担食品安全责任。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2.食品及菜品按规定留样备查。</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3.做好食堂的安全防范，严禁无关人员进入厨房区域。</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4.比选人有权对食堂的食品安全、菜品质量、进餐秩序及设备维护等进行监督管理。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5.负责员工的安全教育和日常管理，确保所属员工的人身及财产安全。所属员工因工作中操作不当造成事故或人身财产等遭受损害的，由中选人承担全部责任。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6.负责餐厅、厨房设施设备用品的安全，就餐完毕应及时对餐具清洗消毒后再存放，发生丢失或人为原因损坏，由竞选人承担经济赔偿责任。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7.中选人因未为所属从业人员购买社会保险和意外伤害保险等造成的损失和责任，由中选人承担全部责任。</w:t>
      </w:r>
    </w:p>
    <w:p>
      <w:pPr>
        <w:spacing w:line="560" w:lineRule="exact"/>
        <w:ind w:firstLine="480" w:firstLineChars="200"/>
        <w:jc w:val="left"/>
        <w:rPr>
          <w:rFonts w:hint="eastAsia" w:ascii="方正仿宋_GBK" w:hAnsi="方正仿宋_GBK" w:eastAsia="方正仿宋_GBK" w:cs="方正仿宋_GBK"/>
          <w:sz w:val="24"/>
          <w:highlight w:val="none"/>
        </w:rPr>
      </w:pPr>
      <w:r>
        <w:rPr>
          <w:rFonts w:hint="eastAsia" w:eastAsia="方正仿宋_GBK"/>
          <w:sz w:val="24"/>
          <w:highlight w:val="none"/>
        </w:rPr>
        <w:t>（四）</w:t>
      </w:r>
      <w:r>
        <w:rPr>
          <w:rFonts w:hint="eastAsia" w:ascii="方正仿宋_GBK" w:hAnsi="方正仿宋_GBK" w:eastAsia="方正仿宋_GBK" w:cs="方正仿宋_GBK"/>
          <w:sz w:val="24"/>
          <w:highlight w:val="none"/>
        </w:rPr>
        <w:t>环境卫生要求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1.厨房垃圾、食物残渣、污水、积垢、灰尘、蜘蛛网须及时清理，保持卫生。</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2.厨房防蝇防鼠设施（防鼠板、防鼠网、纱窗纱门、灭蝇灯等）无破损、要保持正常运转。</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3.厨房内无老鼠、苍蝇、蟑螂等有害生物。</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4.厨余垃圾和弃用食用油脂的处理须符合要求，处置流向须有记录。</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（五）食品加工要求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1.禁止添加非食用物质和滥用食品添加剂。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2.粗加工的洗涤池禁止混用。</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3.生熟食品加工用具（菜刀、菜墩）、容器应分开，禁止混用。</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4.熟食存放温度和时间是否符合要求，常温下存放时间超过2小时的熟食，食用须再次加热。</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5.冰箱内禁止生熟混放，保持清洁卫生。</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6.病人食品不得有凉菜和冷饮。</w:t>
      </w:r>
    </w:p>
    <w:p>
      <w:pPr>
        <w:pStyle w:val="98"/>
        <w:widowControl w:val="0"/>
        <w:snapToGrid w:val="0"/>
        <w:spacing w:line="560" w:lineRule="exact"/>
        <w:ind w:firstLine="480" w:firstLineChars="200"/>
        <w:rPr>
          <w:rFonts w:hint="eastAsia" w:ascii="方正仿宋_GBK" w:hAnsi="方正仿宋_GBK" w:eastAsia="方正仿宋_GBK" w:cs="方正仿宋_GBK"/>
          <w:kern w:val="2"/>
          <w:sz w:val="24"/>
          <w:szCs w:val="24"/>
          <w:highlight w:val="none"/>
        </w:rPr>
      </w:pPr>
      <w:r>
        <w:rPr>
          <w:rFonts w:hint="eastAsia" w:eastAsia="方正仿宋_GBK"/>
          <w:kern w:val="2"/>
          <w:sz w:val="24"/>
          <w:szCs w:val="24"/>
          <w:highlight w:val="none"/>
        </w:rPr>
        <w:t>（六）</w:t>
      </w:r>
      <w:r>
        <w:rPr>
          <w:rFonts w:hint="eastAsia" w:ascii="方正仿宋_GBK" w:hAnsi="方正仿宋_GBK" w:eastAsia="方正仿宋_GBK" w:cs="方正仿宋_GBK"/>
          <w:kern w:val="2"/>
          <w:sz w:val="24"/>
          <w:szCs w:val="24"/>
          <w:highlight w:val="none"/>
        </w:rPr>
        <w:t>其他要求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1.食品安全事故和其他安全事故为0。</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2.环境卫生保洁率达98%以上。</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3.各类设施设备完好率达95％以上。</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4.就餐人员《满意度调查表》满意份数须达到80%以上。</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5.入驻前1天熟悉食堂工作程序、设施设备等。</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6.食堂应遵守国家相关法律法规，确保食品质量安全，保障员工健康。</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7.食堂加工的食品、饮品应符合国家相关标准，严禁加工过期、变质或未经检验的食品。</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8.食堂应建立食品留样制度，对每餐的食品进行留样，以备检查。</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9.食堂应接受监管部门的检查和指导。</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10.食堂应遵守消防法规，建立消防安全责任制，明确各级消防安全责任人。</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11.严禁在食堂内私拉乱接电线，使用明火或违规电器。</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12.食堂应定期进行消防演练，提高员工的消防安全意识和应急处理能力。</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13.食堂应对新入职员工进行岗前培训，包括食品安全、消防安全、卫生等方面的知识。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14.食堂应对在岗员工进行定期培训，提高员工的业务技能和安全意识。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15.食堂应建立员工培训档案，对培训内容、时间、效果等进行记录和管理。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16.食堂应定期进行安全自查，发现问题及时整改。</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17.中心应定期对食堂进行安全检查，确保各项安全管理制度得到有效执行。</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对于检查中发现的问题，食堂应及时整改，并追究相关责任人的责任。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18.食堂应建立完善的安全管理制度，明确各级管理人员和员工的职责和义务。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19.食堂应建立消防安全管理制度，明确消防设施的维护和使用要求。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20.食堂应建立卫生管理制度，明确清洁卫生和消毒等方面的要求。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21.建立健全食堂食物中毒事件的应急处理机制和报告制度，一旦发生食物中毒事件或疑似食物中毒事件时，食堂要遵循“快速、合作、有效”的原则进行处理。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22.发现食物中毒或疑似食物中毒病人时，要立即向中心报告，并积极配合有关部门进行调查处理。 </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23.积极配合卫生监督所对食物中毒或疑似食物中毒事件进行调查，如实提供有关材料和样品。</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24.按规定封存食堂剩余食物、有关厨房用具和食品机械设备等物资以便卫生监督所采集作为调查取证用；禁止任何人涂改、移动和毁灭有关证据材料。</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25.对违反本规定的有关责任人将视情节轻重予以处理；触犯法律的将依法追究法律责任。 </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26.对发生食物中毒事件的食堂将视情节轻重予以通报批评；对造成严重食物中毒事件或重大社会影响的将提请上级主管部门或司法机关追究其法律责任 。</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27.中选人对提供的服务人员应尽各项专业技能培训义务。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28.如遇在岗人员休假等情况，由中选人及时加派人员进行服务，费用不再另行计算。</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29.接受比选人的监督和考核，对需整改的地方及时进行整改。</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30.按要求和考核标准，对服务质量定期考核，考核结果作为支付服务费的依据。</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31.若因中选人派驻人员工作失误造成比选人经济损失或不良后果的，由中选人负全部责任，并赔偿所有经济损失。</w:t>
      </w:r>
    </w:p>
    <w:p>
      <w:pPr>
        <w:pStyle w:val="2"/>
        <w:rPr>
          <w:rFonts w:hint="eastAsia" w:ascii="方正小标宋_GBK" w:hAnsi="仿宋" w:eastAsia="方正小标宋_GBK" w:cs="仿宋"/>
          <w:sz w:val="44"/>
          <w:highlight w:val="none"/>
        </w:rPr>
      </w:pPr>
    </w:p>
    <w:p>
      <w:pPr>
        <w:rPr>
          <w:rFonts w:hint="eastAsia" w:ascii="方正小标宋_GBK" w:hAnsi="仿宋" w:eastAsia="方正小标宋_GBK" w:cs="仿宋"/>
          <w:sz w:val="44"/>
          <w:highlight w:val="none"/>
        </w:rPr>
      </w:pPr>
    </w:p>
    <w:p>
      <w:pPr>
        <w:pStyle w:val="2"/>
        <w:rPr>
          <w:rFonts w:hint="eastAsia"/>
        </w:rPr>
      </w:pPr>
    </w:p>
    <w:p>
      <w:pPr>
        <w:pStyle w:val="15"/>
        <w:widowControl w:val="0"/>
        <w:numPr>
          <w:ilvl w:val="0"/>
          <w:numId w:val="0"/>
        </w:numPr>
        <w:snapToGrid w:val="0"/>
        <w:jc w:val="left"/>
        <w:rPr>
          <w:rFonts w:hint="default" w:ascii="宋体" w:hAnsi="宋体" w:eastAsia="宋体" w:cs="宋体"/>
          <w:color w:val="auto"/>
          <w:kern w:val="2"/>
          <w:sz w:val="24"/>
          <w:szCs w:val="24"/>
          <w:highlight w:val="none"/>
          <w:lang w:val="en-US" w:eastAsia="zh-CN" w:bidi="ar-SA"/>
        </w:rPr>
      </w:pPr>
    </w:p>
    <w:p>
      <w:pPr>
        <w:pStyle w:val="46"/>
        <w:jc w:val="center"/>
        <w:outlineLvl w:val="0"/>
        <w:rPr>
          <w:rStyle w:val="49"/>
          <w:rFonts w:ascii="宋体" w:hAnsi="宋体" w:eastAsia="宋体" w:cs="宋体"/>
          <w:b/>
          <w:kern w:val="0"/>
        </w:rPr>
      </w:pPr>
      <w:bookmarkStart w:id="30" w:name="_Toc16488"/>
      <w:r>
        <w:rPr>
          <w:rStyle w:val="49"/>
          <w:rFonts w:hint="eastAsia" w:ascii="宋体" w:hAnsi="宋体" w:eastAsia="宋体" w:cs="宋体"/>
          <w:b/>
          <w:kern w:val="0"/>
        </w:rPr>
        <w:t xml:space="preserve">第三篇  </w:t>
      </w:r>
      <w:r>
        <w:rPr>
          <w:rStyle w:val="49"/>
          <w:rFonts w:hint="eastAsia" w:ascii="宋体" w:hAnsi="宋体" w:eastAsia="宋体" w:cs="宋体"/>
          <w:b/>
          <w:kern w:val="0"/>
          <w:lang w:val="en-US" w:eastAsia="zh-CN"/>
        </w:rPr>
        <w:t>项目</w:t>
      </w:r>
      <w:r>
        <w:rPr>
          <w:rStyle w:val="49"/>
          <w:rFonts w:hint="eastAsia" w:ascii="宋体" w:hAnsi="宋体" w:eastAsia="宋体" w:cs="宋体"/>
          <w:b/>
          <w:kern w:val="0"/>
        </w:rPr>
        <w:t>商务要求</w:t>
      </w:r>
      <w:bookmarkEnd w:id="30"/>
    </w:p>
    <w:p>
      <w:pPr>
        <w:pStyle w:val="5"/>
        <w:adjustRightInd w:val="0"/>
        <w:snapToGrid w:val="0"/>
        <w:spacing w:before="0" w:after="0" w:line="500" w:lineRule="exact"/>
        <w:ind w:firstLine="482" w:firstLineChars="200"/>
        <w:rPr>
          <w:rFonts w:hint="eastAsia" w:ascii="方正仿宋_GBK" w:hAnsi="仿宋" w:eastAsia="方正仿宋_GBK" w:cs="仿宋"/>
          <w:bCs w:val="0"/>
          <w:sz w:val="24"/>
          <w:szCs w:val="24"/>
          <w:highlight w:val="none"/>
        </w:rPr>
      </w:pPr>
      <w:bookmarkStart w:id="31" w:name="_Toc28521"/>
      <w:bookmarkStart w:id="32" w:name="_Toc12768"/>
      <w:bookmarkStart w:id="33" w:name="_Toc21173"/>
      <w:bookmarkStart w:id="34" w:name="_Toc29802"/>
      <w:bookmarkStart w:id="35" w:name="_Toc116915282"/>
      <w:bookmarkStart w:id="36" w:name="_Toc22944"/>
      <w:bookmarkStart w:id="37" w:name="_Toc8752"/>
      <w:bookmarkStart w:id="38" w:name="_Toc9676"/>
      <w:bookmarkStart w:id="39" w:name="_Toc174478272"/>
      <w:bookmarkStart w:id="40" w:name="_Toc20800"/>
      <w:bookmarkStart w:id="41" w:name="_Toc17107"/>
      <w:bookmarkStart w:id="42" w:name="_Toc23501"/>
      <w:bookmarkStart w:id="43" w:name="_Toc11380"/>
      <w:bookmarkStart w:id="44" w:name="_Toc10039"/>
      <w:bookmarkStart w:id="45" w:name="_Toc6595"/>
      <w:bookmarkStart w:id="46" w:name="_Toc21429"/>
      <w:bookmarkStart w:id="47" w:name="_Toc13728"/>
      <w:bookmarkStart w:id="48" w:name="_Toc13389"/>
      <w:bookmarkStart w:id="49" w:name="_Toc75793509"/>
      <w:bookmarkStart w:id="50" w:name="_Toc14029"/>
      <w:bookmarkStart w:id="51" w:name="_Toc30118"/>
      <w:bookmarkStart w:id="52" w:name="_Toc3470"/>
      <w:r>
        <w:rPr>
          <w:rFonts w:hint="eastAsia" w:ascii="方正仿宋_GBK" w:hAnsi="仿宋" w:eastAsia="方正仿宋_GBK" w:cs="仿宋"/>
          <w:bCs w:val="0"/>
          <w:sz w:val="24"/>
          <w:szCs w:val="24"/>
          <w:highlight w:val="none"/>
        </w:rPr>
        <w:t>一、服务时间、地点及考核</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方正仿宋_GBK" w:hAnsi="仿宋" w:eastAsia="方正仿宋_GBK" w:cs="仿宋"/>
          <w:bCs w:val="0"/>
          <w:sz w:val="24"/>
          <w:szCs w:val="24"/>
          <w:highlight w:val="none"/>
        </w:rPr>
        <w:t>方式</w:t>
      </w:r>
    </w:p>
    <w:p>
      <w:pPr>
        <w:snapToGrid w:val="0"/>
        <w:spacing w:line="420" w:lineRule="exact"/>
        <w:ind w:firstLine="480" w:firstLineChars="200"/>
        <w:rPr>
          <w:rFonts w:hint="eastAsia" w:ascii="宋体" w:hAnsi="宋体" w:cs="宋体"/>
          <w:color w:val="auto"/>
          <w:sz w:val="24"/>
          <w:highlight w:val="none"/>
          <w:lang w:val="en-US" w:eastAsia="zh-CN"/>
        </w:rPr>
      </w:pPr>
      <w:bookmarkStart w:id="53" w:name="_Toc174478561"/>
      <w:bookmarkStart w:id="54" w:name="_Toc174478273"/>
      <w:bookmarkStart w:id="55" w:name="_Toc29691"/>
      <w:bookmarkStart w:id="56" w:name="_Toc175129893"/>
      <w:bookmarkStart w:id="57" w:name="_Toc174480392"/>
      <w:bookmarkStart w:id="58" w:name="_Toc176445618"/>
      <w:bookmarkStart w:id="59" w:name="_Toc174479244"/>
      <w:bookmarkStart w:id="60" w:name="_Toc174479062"/>
      <w:bookmarkStart w:id="61" w:name="_Toc14399"/>
      <w:bookmarkStart w:id="62" w:name="_Toc19184"/>
      <w:r>
        <w:rPr>
          <w:rFonts w:hint="eastAsia" w:ascii="宋体" w:hAnsi="宋体" w:cs="宋体"/>
          <w:color w:val="auto"/>
          <w:sz w:val="24"/>
          <w:highlight w:val="none"/>
          <w:lang w:val="en-US" w:eastAsia="zh-CN"/>
        </w:rPr>
        <w:t>（一）服务时间</w:t>
      </w:r>
      <w:bookmarkEnd w:id="53"/>
      <w:bookmarkEnd w:id="54"/>
      <w:bookmarkEnd w:id="55"/>
      <w:bookmarkEnd w:id="56"/>
      <w:bookmarkEnd w:id="57"/>
      <w:bookmarkEnd w:id="58"/>
      <w:bookmarkEnd w:id="59"/>
      <w:bookmarkEnd w:id="60"/>
      <w:r>
        <w:rPr>
          <w:rFonts w:hint="eastAsia" w:ascii="宋体" w:hAnsi="宋体" w:cs="宋体"/>
          <w:color w:val="auto"/>
          <w:sz w:val="24"/>
          <w:highlight w:val="none"/>
          <w:lang w:val="en-US" w:eastAsia="zh-CN"/>
        </w:rPr>
        <w:t>： 1 年。</w:t>
      </w:r>
      <w:bookmarkEnd w:id="61"/>
      <w:bookmarkEnd w:id="62"/>
    </w:p>
    <w:p>
      <w:pPr>
        <w:snapToGrid w:val="0"/>
        <w:spacing w:line="420" w:lineRule="exact"/>
        <w:ind w:firstLine="480" w:firstLineChars="200"/>
        <w:rPr>
          <w:rFonts w:hint="eastAsia" w:ascii="宋体" w:hAnsi="宋体" w:cs="宋体"/>
          <w:color w:val="auto"/>
          <w:sz w:val="24"/>
          <w:highlight w:val="none"/>
          <w:lang w:val="en-US" w:eastAsia="zh-CN"/>
        </w:rPr>
      </w:pPr>
      <w:bookmarkStart w:id="63" w:name="_Toc176445619"/>
      <w:bookmarkStart w:id="64" w:name="_Toc174478562"/>
      <w:bookmarkStart w:id="65" w:name="_Toc174479063"/>
      <w:bookmarkStart w:id="66" w:name="_Toc174479245"/>
      <w:bookmarkStart w:id="67" w:name="_Toc174480393"/>
      <w:bookmarkStart w:id="68" w:name="_Toc5909"/>
      <w:bookmarkStart w:id="69" w:name="_Toc175129894"/>
      <w:bookmarkStart w:id="70" w:name="_Toc174478274"/>
      <w:bookmarkStart w:id="71" w:name="_Toc17117"/>
      <w:bookmarkStart w:id="72" w:name="_Toc5422"/>
      <w:r>
        <w:rPr>
          <w:rFonts w:hint="eastAsia" w:ascii="宋体" w:hAnsi="宋体" w:cs="宋体"/>
          <w:color w:val="auto"/>
          <w:sz w:val="24"/>
          <w:highlight w:val="none"/>
          <w:lang w:val="en-US" w:eastAsia="zh-CN"/>
        </w:rPr>
        <w:t>（二）服务地点</w:t>
      </w:r>
      <w:bookmarkEnd w:id="63"/>
      <w:bookmarkEnd w:id="64"/>
      <w:bookmarkEnd w:id="65"/>
      <w:bookmarkEnd w:id="66"/>
      <w:bookmarkEnd w:id="67"/>
      <w:bookmarkEnd w:id="68"/>
      <w:bookmarkEnd w:id="69"/>
      <w:bookmarkEnd w:id="70"/>
      <w:r>
        <w:rPr>
          <w:rFonts w:hint="eastAsia" w:ascii="宋体" w:hAnsi="宋体" w:cs="宋体"/>
          <w:color w:val="auto"/>
          <w:sz w:val="24"/>
          <w:highlight w:val="none"/>
          <w:lang w:val="en-US" w:eastAsia="zh-CN"/>
        </w:rPr>
        <w:t>：比选人指定地点。</w:t>
      </w:r>
      <w:bookmarkEnd w:id="71"/>
      <w:bookmarkEnd w:id="72"/>
    </w:p>
    <w:p>
      <w:pPr>
        <w:snapToGrid w:val="0"/>
        <w:spacing w:line="420" w:lineRule="exact"/>
        <w:ind w:firstLine="480" w:firstLineChars="200"/>
        <w:rPr>
          <w:rFonts w:hint="eastAsia" w:ascii="宋体" w:hAnsi="宋体" w:cs="宋体"/>
          <w:color w:val="auto"/>
          <w:sz w:val="24"/>
          <w:highlight w:val="none"/>
          <w:lang w:val="en-US" w:eastAsia="zh-CN"/>
        </w:rPr>
      </w:pPr>
      <w:bookmarkStart w:id="73" w:name="_Toc1878"/>
      <w:bookmarkStart w:id="74" w:name="_Toc19494"/>
      <w:bookmarkStart w:id="75" w:name="_Toc30781"/>
      <w:bookmarkStart w:id="76" w:name="_Toc116915283"/>
      <w:bookmarkStart w:id="77" w:name="_Toc18152"/>
      <w:bookmarkStart w:id="78" w:name="_Toc1484"/>
      <w:bookmarkStart w:id="79" w:name="_Toc22158"/>
      <w:bookmarkStart w:id="80" w:name="_Toc20367"/>
      <w:bookmarkStart w:id="81" w:name="_Toc13418"/>
      <w:bookmarkStart w:id="82" w:name="_Toc174478275"/>
      <w:bookmarkStart w:id="83" w:name="_Toc4036"/>
      <w:bookmarkStart w:id="84" w:name="_Toc23541"/>
      <w:bookmarkStart w:id="85" w:name="_Toc22142"/>
      <w:bookmarkStart w:id="86" w:name="_Toc8592"/>
      <w:bookmarkStart w:id="87" w:name="_Toc21022"/>
      <w:bookmarkStart w:id="88" w:name="_Toc75793510"/>
      <w:bookmarkStart w:id="89" w:name="_Toc28679"/>
      <w:bookmarkStart w:id="90" w:name="_Toc29436"/>
      <w:bookmarkStart w:id="91" w:name="_Toc29144"/>
      <w:bookmarkStart w:id="92" w:name="_Toc7746"/>
      <w:bookmarkStart w:id="93" w:name="_Toc14966"/>
      <w:bookmarkStart w:id="94" w:name="_Toc267320050"/>
      <w:r>
        <w:rPr>
          <w:rFonts w:hint="eastAsia" w:ascii="宋体" w:hAnsi="宋体" w:cs="宋体"/>
          <w:color w:val="auto"/>
          <w:sz w:val="24"/>
          <w:highlight w:val="none"/>
          <w:lang w:val="en-US" w:eastAsia="zh-CN"/>
        </w:rPr>
        <w:t>（三）</w:t>
      </w:r>
      <w:bookmarkEnd w:id="73"/>
      <w:bookmarkEnd w:id="74"/>
      <w:r>
        <w:rPr>
          <w:rFonts w:hint="eastAsia" w:ascii="宋体" w:hAnsi="宋体" w:cs="宋体"/>
          <w:color w:val="auto"/>
          <w:sz w:val="24"/>
          <w:highlight w:val="none"/>
          <w:lang w:val="en-US" w:eastAsia="zh-CN"/>
        </w:rPr>
        <w:t>考核：</w:t>
      </w:r>
    </w:p>
    <w:p>
      <w:pPr>
        <w:snapToGrid w:val="0"/>
        <w:spacing w:line="420" w:lineRule="exact"/>
        <w:ind w:firstLine="480" w:firstLineChars="200"/>
        <w:rPr>
          <w:rFonts w:hint="eastAsia" w:ascii="宋体" w:hAnsi="宋体" w:cs="宋体"/>
          <w:color w:val="auto"/>
          <w:sz w:val="24"/>
          <w:highlight w:val="none"/>
          <w:lang w:val="en-US" w:eastAsia="zh-CN"/>
        </w:rPr>
      </w:pPr>
      <w:bookmarkStart w:id="95" w:name="_Toc15631"/>
      <w:bookmarkStart w:id="96" w:name="_Toc16674"/>
      <w:r>
        <w:rPr>
          <w:rFonts w:hint="eastAsia" w:ascii="宋体" w:hAnsi="宋体" w:cs="宋体"/>
          <w:color w:val="auto"/>
          <w:sz w:val="24"/>
          <w:highlight w:val="none"/>
          <w:lang w:val="en-US" w:eastAsia="zh-CN"/>
        </w:rPr>
        <w:t>1. 考核办法：比选人对中选人的考核由管理科室月度考核和满意度测评两方面组成。月考核分占总考核分值（100分）的60%，满意度测评占总考核分值（100分）的40%。</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2.考核内容</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2.1科室月考核</w:t>
      </w:r>
    </w:p>
    <w:p>
      <w:pPr>
        <w:spacing w:line="360" w:lineRule="auto"/>
        <w:jc w:val="center"/>
        <w:textAlignment w:val="center"/>
        <w:rPr>
          <w:rStyle w:val="99"/>
          <w:rFonts w:hint="default" w:ascii="方正仿宋_GBK" w:hAnsi="方正仿宋_GBK" w:eastAsia="方正仿宋_GBK" w:cs="方正仿宋_GBK"/>
          <w:color w:val="auto"/>
          <w:highlight w:val="none"/>
          <w:lang w:bidi="ar"/>
        </w:rPr>
      </w:pPr>
      <w:r>
        <w:rPr>
          <w:rStyle w:val="99"/>
          <w:rFonts w:hint="default" w:ascii="方正仿宋_GBK" w:hAnsi="方正仿宋_GBK" w:eastAsia="方正仿宋_GBK" w:cs="方正仿宋_GBK"/>
          <w:color w:val="auto"/>
          <w:highlight w:val="none"/>
          <w:lang w:bidi="ar"/>
        </w:rPr>
        <w:t>垫江县精神卫生中心</w:t>
      </w:r>
    </w:p>
    <w:p>
      <w:pPr>
        <w:spacing w:line="360" w:lineRule="auto"/>
        <w:jc w:val="center"/>
        <w:textAlignment w:val="center"/>
        <w:rPr>
          <w:rFonts w:hint="eastAsia"/>
          <w:sz w:val="24"/>
          <w:highlight w:val="none"/>
        </w:rPr>
      </w:pPr>
      <w:r>
        <w:rPr>
          <w:rStyle w:val="99"/>
          <w:rFonts w:hint="default" w:ascii="方正仿宋_GBK" w:hAnsi="方正仿宋_GBK" w:eastAsia="方正仿宋_GBK" w:cs="方正仿宋_GBK"/>
          <w:color w:val="auto"/>
          <w:highlight w:val="none"/>
          <w:lang w:bidi="ar"/>
        </w:rPr>
        <w:t>食堂月度考核办法</w:t>
      </w:r>
      <w:r>
        <w:rPr>
          <w:rStyle w:val="99"/>
          <w:rFonts w:hint="eastAsia" w:ascii="方正仿宋_GBK" w:hAnsi="方正仿宋_GBK" w:eastAsia="方正仿宋_GBK" w:cs="方正仿宋_GBK"/>
          <w:color w:val="auto"/>
          <w:highlight w:val="none"/>
          <w:lang w:eastAsia="zh-CN" w:bidi="ar"/>
        </w:rPr>
        <w:t>（</w:t>
      </w:r>
      <w:r>
        <w:rPr>
          <w:rStyle w:val="99"/>
          <w:rFonts w:hint="default" w:ascii="方正仿宋_GBK" w:hAnsi="方正仿宋_GBK" w:eastAsia="方正仿宋_GBK" w:cs="方正仿宋_GBK"/>
          <w:color w:val="auto"/>
          <w:highlight w:val="none"/>
          <w:lang w:bidi="ar"/>
        </w:rPr>
        <w:t>后期可根据运行情况调整）</w:t>
      </w:r>
    </w:p>
    <w:p>
      <w:pPr>
        <w:rPr>
          <w:rFonts w:hint="eastAsia"/>
          <w:highlight w:val="none"/>
        </w:rPr>
      </w:pPr>
    </w:p>
    <w:tbl>
      <w:tblPr>
        <w:tblStyle w:val="24"/>
        <w:tblW w:w="0" w:type="auto"/>
        <w:jc w:val="center"/>
        <w:tblLayout w:type="fixed"/>
        <w:tblCellMar>
          <w:top w:w="0" w:type="dxa"/>
          <w:left w:w="108" w:type="dxa"/>
          <w:bottom w:w="0" w:type="dxa"/>
          <w:right w:w="108" w:type="dxa"/>
        </w:tblCellMar>
      </w:tblPr>
      <w:tblGrid>
        <w:gridCol w:w="6129"/>
        <w:gridCol w:w="891"/>
        <w:gridCol w:w="825"/>
        <w:gridCol w:w="658"/>
      </w:tblGrid>
      <w:tr>
        <w:tblPrEx>
          <w:tblCellMar>
            <w:top w:w="0" w:type="dxa"/>
            <w:left w:w="108" w:type="dxa"/>
            <w:bottom w:w="0" w:type="dxa"/>
            <w:right w:w="108" w:type="dxa"/>
          </w:tblCellMar>
        </w:tblPrEx>
        <w:trPr>
          <w:trHeight w:val="560"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b/>
                <w:bCs/>
                <w:szCs w:val="21"/>
                <w:highlight w:val="none"/>
              </w:rPr>
            </w:pPr>
            <w:r>
              <w:rPr>
                <w:rStyle w:val="100"/>
                <w:rFonts w:hint="default"/>
                <w:color w:val="auto"/>
                <w:sz w:val="21"/>
                <w:szCs w:val="21"/>
                <w:highlight w:val="none"/>
                <w:lang w:bidi="ar"/>
              </w:rPr>
              <w:t>考核内容和评分标准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b/>
                <w:bCs/>
                <w:szCs w:val="21"/>
                <w:highlight w:val="none"/>
              </w:rPr>
            </w:pPr>
            <w:r>
              <w:rPr>
                <w:rStyle w:val="100"/>
                <w:rFonts w:hint="default"/>
                <w:color w:val="auto"/>
                <w:sz w:val="21"/>
                <w:szCs w:val="21"/>
                <w:highlight w:val="none"/>
                <w:lang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b/>
                <w:bCs/>
                <w:szCs w:val="21"/>
                <w:highlight w:val="none"/>
              </w:rPr>
            </w:pPr>
            <w:r>
              <w:rPr>
                <w:rFonts w:hint="eastAsia" w:ascii="方正仿宋_GBK" w:hAnsi="方正仿宋_GBK" w:eastAsia="方正仿宋_GBK" w:cs="方正仿宋_GBK"/>
                <w:b/>
                <w:bCs/>
                <w:kern w:val="0"/>
                <w:szCs w:val="21"/>
                <w:highlight w:val="none"/>
                <w:lang w:bidi="ar"/>
              </w:rPr>
              <w:t>扣分情况</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b/>
                <w:bCs/>
                <w:kern w:val="0"/>
                <w:szCs w:val="21"/>
                <w:highlight w:val="none"/>
                <w:lang w:bidi="ar"/>
              </w:rPr>
            </w:pPr>
            <w:r>
              <w:rPr>
                <w:rFonts w:hint="eastAsia" w:ascii="方正仿宋_GBK" w:hAnsi="方正仿宋_GBK" w:eastAsia="方正仿宋_GBK" w:cs="方正仿宋_GBK"/>
                <w:b/>
                <w:bCs/>
                <w:kern w:val="0"/>
                <w:szCs w:val="21"/>
                <w:highlight w:val="none"/>
                <w:lang w:bidi="ar"/>
              </w:rPr>
              <w:t>实际</w:t>
            </w:r>
          </w:p>
          <w:p>
            <w:pPr>
              <w:spacing w:line="440" w:lineRule="exact"/>
              <w:jc w:val="center"/>
              <w:textAlignment w:val="center"/>
              <w:rPr>
                <w:rFonts w:hint="eastAsia" w:ascii="方正仿宋_GBK" w:hAnsi="方正仿宋_GBK" w:eastAsia="方正仿宋_GBK" w:cs="方正仿宋_GBK"/>
                <w:b/>
                <w:bCs/>
                <w:szCs w:val="21"/>
                <w:highlight w:val="none"/>
              </w:rPr>
            </w:pPr>
            <w:r>
              <w:rPr>
                <w:rFonts w:hint="eastAsia" w:ascii="方正仿宋_GBK" w:hAnsi="方正仿宋_GBK" w:eastAsia="方正仿宋_GBK" w:cs="方正仿宋_GBK"/>
                <w:b/>
                <w:bCs/>
                <w:kern w:val="0"/>
                <w:szCs w:val="21"/>
                <w:highlight w:val="none"/>
                <w:lang w:bidi="ar"/>
              </w:rPr>
              <w:t>得分</w:t>
            </w:r>
          </w:p>
        </w:tc>
      </w:tr>
      <w:tr>
        <w:tblPrEx>
          <w:tblCellMar>
            <w:top w:w="0" w:type="dxa"/>
            <w:left w:w="108" w:type="dxa"/>
            <w:bottom w:w="0" w:type="dxa"/>
            <w:right w:w="108" w:type="dxa"/>
          </w:tblCellMar>
        </w:tblPrEx>
        <w:trPr>
          <w:trHeight w:val="377"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.食堂工作人员无证上岗发现一次扣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hint="eastAsia" w:eastAsia="方正仿宋_GBK"/>
                <w:kern w:val="0"/>
                <w:szCs w:val="21"/>
                <w:highlight w:val="none"/>
                <w:lang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413"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.工作期间吸烟或不按规定着装发现一次扣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hint="eastAsia" w:eastAsia="方正仿宋_GBK"/>
                <w:kern w:val="0"/>
                <w:szCs w:val="21"/>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1113"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3</w:t>
            </w:r>
            <w:r>
              <w:rPr>
                <w:rStyle w:val="102"/>
                <w:rFonts w:hint="default"/>
                <w:color w:val="auto"/>
                <w:sz w:val="21"/>
                <w:szCs w:val="21"/>
                <w:highlight w:val="none"/>
                <w:lang w:bidi="ar"/>
              </w:rPr>
              <w:t>.食堂地面、台面、桌面、物表等未按要求每日及时清扫发现一次扣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分（例如：地面有食物残渣、烟头、废弃纸张等）。</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379"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4</w:t>
            </w:r>
            <w:r>
              <w:rPr>
                <w:rStyle w:val="102"/>
                <w:rFonts w:hint="default"/>
                <w:color w:val="auto"/>
                <w:sz w:val="21"/>
                <w:szCs w:val="21"/>
                <w:highlight w:val="none"/>
                <w:lang w:bidi="ar"/>
              </w:rPr>
              <w:t>.未遵守请销假制度发现一次扣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hint="eastAsia" w:eastAsia="方正仿宋_GBK"/>
                <w:kern w:val="0"/>
                <w:szCs w:val="21"/>
                <w:highlight w:val="none"/>
                <w:lang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704"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spacing w:line="440" w:lineRule="exact"/>
              <w:jc w:val="left"/>
              <w:textAlignment w:val="center"/>
              <w:rPr>
                <w:rFonts w:hint="eastAsia"/>
                <w:szCs w:val="21"/>
                <w:highlight w:val="none"/>
              </w:rPr>
            </w:pPr>
            <w:r>
              <w:rPr>
                <w:rStyle w:val="102"/>
                <w:rFonts w:hint="default"/>
                <w:color w:val="auto"/>
                <w:sz w:val="21"/>
                <w:szCs w:val="21"/>
                <w:highlight w:val="none"/>
                <w:lang w:bidi="ar"/>
              </w:rPr>
              <w:t>餐具清洗遵循一刮、二洗、三冲、四消毒、五保洁的过程。操作设备、餐具未每日及时清洁、消毒发现一次扣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688"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6</w:t>
            </w:r>
            <w:r>
              <w:rPr>
                <w:rStyle w:val="102"/>
                <w:rFonts w:hint="default"/>
                <w:color w:val="auto"/>
                <w:sz w:val="21"/>
                <w:szCs w:val="21"/>
                <w:highlight w:val="none"/>
                <w:lang w:bidi="ar"/>
              </w:rPr>
              <w:t>.未按规定及时完善各项登记台账，发现一次扣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hint="eastAsia" w:eastAsia="方正仿宋_GBK"/>
                <w:kern w:val="0"/>
                <w:szCs w:val="21"/>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629"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7</w:t>
            </w:r>
            <w:r>
              <w:rPr>
                <w:rStyle w:val="102"/>
                <w:rFonts w:hint="default"/>
                <w:color w:val="auto"/>
                <w:sz w:val="21"/>
                <w:szCs w:val="21"/>
                <w:highlight w:val="none"/>
                <w:lang w:bidi="ar"/>
              </w:rPr>
              <w:t>.不遵守食堂规章制度，不服从管理，发现一次据情节轻重扣</w:t>
            </w:r>
            <w:r>
              <w:rPr>
                <w:rStyle w:val="101"/>
                <w:rFonts w:hint="default" w:ascii="Times New Roman" w:hAnsi="Times New Roman" w:eastAsia="方正仿宋_GBK" w:cs="Times New Roman"/>
                <w:color w:val="auto"/>
                <w:sz w:val="21"/>
                <w:szCs w:val="21"/>
                <w:highlight w:val="none"/>
                <w:lang w:bidi="ar"/>
              </w:rPr>
              <w:t>2</w:t>
            </w:r>
            <w:r>
              <w:rPr>
                <w:rStyle w:val="101"/>
                <w:rFonts w:hint="default" w:ascii="方正仿宋_GBK" w:hAnsi="方正仿宋_GBK" w:eastAsia="方正仿宋_GBK" w:cs="方正仿宋_GBK"/>
                <w:color w:val="auto"/>
                <w:sz w:val="21"/>
                <w:szCs w:val="21"/>
                <w:highlight w:val="none"/>
                <w:lang w:bidi="ar"/>
              </w:rPr>
              <w:t>-</w:t>
            </w:r>
            <w:r>
              <w:rPr>
                <w:rStyle w:val="101"/>
                <w:rFonts w:hint="default" w:ascii="Times New Roman" w:hAnsi="Times New Roman" w:eastAsia="方正仿宋_GBK" w:cs="Times New Roman"/>
                <w:color w:val="auto"/>
                <w:sz w:val="21"/>
                <w:szCs w:val="21"/>
                <w:highlight w:val="none"/>
                <w:lang w:bidi="ar"/>
              </w:rPr>
              <w:t>5</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629"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8</w:t>
            </w:r>
            <w:r>
              <w:rPr>
                <w:rStyle w:val="102"/>
                <w:rFonts w:hint="default"/>
                <w:color w:val="auto"/>
                <w:sz w:val="21"/>
                <w:szCs w:val="21"/>
                <w:highlight w:val="none"/>
                <w:lang w:bidi="ar"/>
              </w:rPr>
              <w:t>.食堂下班后未关好门窗、灶具开关、切断电源等发现一次扣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629"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9</w:t>
            </w:r>
            <w:r>
              <w:rPr>
                <w:rStyle w:val="102"/>
                <w:rFonts w:hint="default"/>
                <w:color w:val="auto"/>
                <w:sz w:val="21"/>
                <w:szCs w:val="21"/>
                <w:highlight w:val="none"/>
                <w:lang w:bidi="ar"/>
              </w:rPr>
              <w:t>.不阻止外来人员进入食堂操作间，发现一次扣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90"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10</w:t>
            </w:r>
            <w:r>
              <w:rPr>
                <w:rStyle w:val="102"/>
                <w:rFonts w:hint="default"/>
                <w:color w:val="auto"/>
                <w:sz w:val="21"/>
                <w:szCs w:val="21"/>
                <w:highlight w:val="none"/>
                <w:lang w:bidi="ar"/>
              </w:rPr>
              <w:t>.因工作失误，造成不良影响及财产损失，视情节轻重，发现一次扣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分，食堂工作人员私拿物品发现后翻倍扣分，并承担由此造成的财务损失赔偿。</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379"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Style w:val="101"/>
                <w:rFonts w:hint="default" w:ascii="Times New Roman" w:hAnsi="Times New Roman" w:eastAsia="方正仿宋_GBK" w:cs="Times New Roman"/>
                <w:color w:val="auto"/>
                <w:sz w:val="21"/>
                <w:szCs w:val="21"/>
                <w:highlight w:val="none"/>
                <w:lang w:bidi="ar"/>
              </w:rPr>
              <w:t>11</w:t>
            </w:r>
            <w:r>
              <w:rPr>
                <w:rStyle w:val="102"/>
                <w:rFonts w:hint="default"/>
                <w:color w:val="auto"/>
                <w:sz w:val="21"/>
                <w:szCs w:val="21"/>
                <w:highlight w:val="none"/>
                <w:lang w:bidi="ar"/>
              </w:rPr>
              <w:t>.出现安全隐患不及时上报发现一次扣</w:t>
            </w:r>
            <w:r>
              <w:rPr>
                <w:rStyle w:val="101"/>
                <w:rFonts w:hint="default" w:ascii="Times New Roman" w:hAnsi="Times New Roman" w:eastAsia="方正仿宋_GBK" w:cs="Times New Roman"/>
                <w:color w:val="auto"/>
                <w:sz w:val="21"/>
                <w:szCs w:val="21"/>
                <w:highlight w:val="none"/>
                <w:lang w:bidi="ar"/>
              </w:rPr>
              <w:t>2</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456"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12</w:t>
            </w:r>
            <w:r>
              <w:rPr>
                <w:rFonts w:hint="eastAsia" w:ascii="方正仿宋_GBK" w:hAnsi="方正仿宋_GBK" w:eastAsia="方正仿宋_GBK" w:cs="方正仿宋_GBK"/>
                <w:kern w:val="0"/>
                <w:szCs w:val="21"/>
                <w:highlight w:val="none"/>
                <w:lang w:bidi="ar"/>
              </w:rPr>
              <w:t>.</w:t>
            </w:r>
            <w:r>
              <w:rPr>
                <w:rStyle w:val="102"/>
                <w:rFonts w:hint="default"/>
                <w:color w:val="auto"/>
                <w:sz w:val="21"/>
                <w:szCs w:val="21"/>
                <w:highlight w:val="none"/>
                <w:lang w:bidi="ar"/>
              </w:rPr>
              <w:t>食堂内各项物品使用后不及时清点数量，造成遗失或人为损坏，发现一次扣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分，并赔偿相关经济损失。</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938"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13</w:t>
            </w:r>
            <w:r>
              <w:rPr>
                <w:rFonts w:hint="eastAsia" w:ascii="方正仿宋_GBK" w:hAnsi="方正仿宋_GBK" w:eastAsia="方正仿宋_GBK" w:cs="方正仿宋_GBK"/>
                <w:kern w:val="0"/>
                <w:szCs w:val="21"/>
                <w:highlight w:val="none"/>
                <w:lang w:bidi="ar"/>
              </w:rPr>
              <w:t>.</w:t>
            </w:r>
            <w:r>
              <w:rPr>
                <w:rStyle w:val="102"/>
                <w:rFonts w:hint="default"/>
                <w:color w:val="auto"/>
                <w:sz w:val="21"/>
                <w:szCs w:val="21"/>
                <w:highlight w:val="none"/>
                <w:lang w:bidi="ar"/>
              </w:rPr>
              <w:t>食堂内各项物品（桌椅、操作工具、餐具、设施设备等）使用后未摆放整齐有序，发现一次扣</w:t>
            </w:r>
            <w:r>
              <w:rPr>
                <w:rStyle w:val="101"/>
                <w:rFonts w:hint="default" w:ascii="Times New Roman" w:hAnsi="Times New Roman" w:eastAsia="方正仿宋_GBK" w:cs="Times New Roman"/>
                <w:color w:val="auto"/>
                <w:sz w:val="21"/>
                <w:szCs w:val="21"/>
                <w:highlight w:val="none"/>
                <w:lang w:bidi="ar"/>
              </w:rPr>
              <w:t>1</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458"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14</w:t>
            </w:r>
            <w:r>
              <w:rPr>
                <w:rStyle w:val="102"/>
                <w:rFonts w:hint="default"/>
                <w:color w:val="auto"/>
                <w:sz w:val="21"/>
                <w:szCs w:val="21"/>
                <w:highlight w:val="none"/>
                <w:lang w:bidi="ar"/>
              </w:rPr>
              <w:t>.加工食品出现不新鲜、变霉、</w:t>
            </w:r>
            <w:r>
              <w:rPr>
                <w:rStyle w:val="102"/>
                <w:rFonts w:hint="eastAsia" w:eastAsia="方正仿宋_GBK"/>
                <w:color w:val="auto"/>
                <w:sz w:val="21"/>
                <w:szCs w:val="21"/>
                <w:highlight w:val="none"/>
                <w:lang w:eastAsia="zh-CN" w:bidi="ar"/>
              </w:rPr>
              <w:t>变质</w:t>
            </w:r>
            <w:r>
              <w:rPr>
                <w:rStyle w:val="102"/>
                <w:rFonts w:hint="default"/>
                <w:color w:val="auto"/>
                <w:sz w:val="21"/>
                <w:szCs w:val="21"/>
                <w:highlight w:val="none"/>
                <w:lang w:bidi="ar"/>
              </w:rPr>
              <w:t>或饭未煮熟等根据情节轻重扣（</w:t>
            </w:r>
            <w:r>
              <w:rPr>
                <w:rStyle w:val="101"/>
                <w:rFonts w:hint="default" w:ascii="Times New Roman" w:hAnsi="Times New Roman" w:eastAsia="方正仿宋_GBK" w:cs="Times New Roman"/>
                <w:color w:val="auto"/>
                <w:sz w:val="21"/>
                <w:szCs w:val="21"/>
                <w:highlight w:val="none"/>
                <w:lang w:bidi="ar"/>
              </w:rPr>
              <w:t>5</w:t>
            </w:r>
            <w:r>
              <w:rPr>
                <w:rStyle w:val="101"/>
                <w:rFonts w:hint="default" w:ascii="方正仿宋_GBK" w:hAnsi="方正仿宋_GBK" w:eastAsia="方正仿宋_GBK" w:cs="方正仿宋_GBK"/>
                <w:color w:val="auto"/>
                <w:sz w:val="21"/>
                <w:szCs w:val="21"/>
                <w:highlight w:val="none"/>
                <w:lang w:bidi="ar"/>
              </w:rPr>
              <w:t>-</w:t>
            </w:r>
            <w:r>
              <w:rPr>
                <w:rStyle w:val="101"/>
                <w:rFonts w:hint="default" w:ascii="Times New Roman" w:hAnsi="Times New Roman" w:eastAsia="方正仿宋_GBK" w:cs="Times New Roman"/>
                <w:color w:val="auto"/>
                <w:sz w:val="21"/>
                <w:szCs w:val="21"/>
                <w:highlight w:val="none"/>
                <w:lang w:bidi="ar"/>
              </w:rPr>
              <w:t>40</w:t>
            </w:r>
            <w:r>
              <w:rPr>
                <w:rStyle w:val="102"/>
                <w:rFonts w:hint="default"/>
                <w:color w:val="auto"/>
                <w:sz w:val="21"/>
                <w:szCs w:val="21"/>
                <w:highlight w:val="none"/>
                <w:lang w:bidi="ar"/>
              </w:rPr>
              <w:t>）分，出现食物中毒情况从重处理，并追究相关人员责任且赔偿经济损失。</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40</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938"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15</w:t>
            </w:r>
            <w:r>
              <w:rPr>
                <w:rStyle w:val="102"/>
                <w:rFonts w:hint="default"/>
                <w:color w:val="auto"/>
                <w:sz w:val="21"/>
                <w:szCs w:val="21"/>
                <w:highlight w:val="none"/>
                <w:lang w:bidi="ar"/>
              </w:rPr>
              <w:t>.未按照职工食堂和病员食堂规定的开饭时间开饭，发现一次扣</w:t>
            </w:r>
            <w:r>
              <w:rPr>
                <w:rStyle w:val="102"/>
                <w:rFonts w:hint="default" w:ascii="Times New Roman" w:hAnsi="Times New Roman" w:cs="Times New Roman"/>
                <w:color w:val="auto"/>
                <w:sz w:val="21"/>
                <w:szCs w:val="21"/>
                <w:highlight w:val="none"/>
                <w:lang w:bidi="ar"/>
              </w:rPr>
              <w:t>2</w:t>
            </w:r>
            <w:r>
              <w:rPr>
                <w:rStyle w:val="102"/>
                <w:rFonts w:hint="default"/>
                <w:color w:val="auto"/>
                <w:sz w:val="21"/>
                <w:szCs w:val="21"/>
                <w:highlight w:val="none"/>
                <w:lang w:bidi="ar"/>
              </w:rPr>
              <w:t>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hint="eastAsia" w:ascii="方正仿宋_GBK" w:hAnsi="方正仿宋_GBK" w:eastAsia="方正仿宋_GBK" w:cs="方正仿宋_GBK"/>
                <w:szCs w:val="21"/>
                <w:highlight w:val="none"/>
              </w:rPr>
            </w:pPr>
            <w:r>
              <w:rPr>
                <w:rFonts w:eastAsia="方正仿宋_GBK"/>
                <w:kern w:val="0"/>
                <w:szCs w:val="21"/>
                <w:highlight w:val="none"/>
                <w:lang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938"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textAlignment w:val="center"/>
              <w:rPr>
                <w:rFonts w:hint="eastAsia" w:eastAsia="方正仿宋_GBK"/>
                <w:kern w:val="0"/>
                <w:szCs w:val="21"/>
                <w:highlight w:val="none"/>
                <w:lang w:bidi="ar"/>
              </w:rPr>
            </w:pPr>
            <w:r>
              <w:rPr>
                <w:rFonts w:hint="eastAsia" w:eastAsia="方正仿宋_GBK"/>
                <w:kern w:val="0"/>
                <w:szCs w:val="21"/>
                <w:highlight w:val="none"/>
                <w:lang w:bidi="ar"/>
              </w:rPr>
              <w:t>16.</w:t>
            </w:r>
            <w:r>
              <w:rPr>
                <w:rFonts w:hint="eastAsia" w:ascii="方正仿宋_GBK" w:hAnsi="方正仿宋_GBK" w:eastAsia="方正仿宋_GBK" w:cs="方正仿宋_GBK"/>
                <w:kern w:val="0"/>
                <w:szCs w:val="21"/>
                <w:highlight w:val="none"/>
              </w:rPr>
              <w:t>食品需规范留样达48小时，每发现一次未规范留样扣0.5分，直至扣完。</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eastAsia="方正仿宋_GBK"/>
                <w:kern w:val="0"/>
                <w:szCs w:val="21"/>
                <w:highlight w:val="none"/>
                <w:lang w:bidi="ar"/>
              </w:rPr>
            </w:pPr>
            <w:r>
              <w:rPr>
                <w:rFonts w:hint="eastAsia" w:eastAsia="方正仿宋_GBK"/>
                <w:kern w:val="0"/>
                <w:szCs w:val="21"/>
                <w:highlight w:val="none"/>
                <w:lang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1374" w:hRule="atLeast"/>
          <w:jc w:val="center"/>
        </w:trPr>
        <w:tc>
          <w:tcPr>
            <w:tcW w:w="612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spacing w:line="440" w:lineRule="exact"/>
              <w:jc w:val="left"/>
              <w:textAlignment w:val="center"/>
              <w:rPr>
                <w:szCs w:val="21"/>
                <w:highlight w:val="none"/>
              </w:rPr>
            </w:pPr>
            <w:r>
              <w:rPr>
                <w:rFonts w:hint="eastAsia" w:ascii="方正仿宋_GBK" w:hAnsi="方正仿宋_GBK" w:eastAsia="方正仿宋_GBK" w:cs="方正仿宋_GBK"/>
                <w:kern w:val="0"/>
                <w:szCs w:val="21"/>
                <w:highlight w:val="none"/>
              </w:rPr>
              <w:t>病员、职工饭菜质量要干净卫生，达到相应标准，被举报投诉菜品未清洗干净，出现苍蝇、菜虫、头发泥沙等并查证属实一次扣2分。</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textAlignment w:val="center"/>
              <w:rPr>
                <w:rFonts w:eastAsia="方正仿宋_GBK"/>
                <w:kern w:val="0"/>
                <w:szCs w:val="21"/>
                <w:highlight w:val="none"/>
                <w:lang w:bidi="ar"/>
              </w:rPr>
            </w:pPr>
            <w:r>
              <w:rPr>
                <w:rFonts w:hint="eastAsia" w:eastAsia="方正仿宋_GBK"/>
                <w:kern w:val="0"/>
                <w:szCs w:val="21"/>
                <w:highlight w:val="none"/>
                <w:lang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hint="eastAsia" w:ascii="方正仿宋_GBK" w:hAnsi="方正仿宋_GBK" w:eastAsia="方正仿宋_GBK" w:cs="方正仿宋_GBK"/>
                <w:szCs w:val="21"/>
                <w:highlight w:val="none"/>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方正仿宋_GBK" w:hAnsi="方正仿宋_GBK" w:eastAsia="方正仿宋_GBK" w:cs="方正仿宋_GBK"/>
                <w:szCs w:val="21"/>
                <w:highlight w:val="none"/>
              </w:rPr>
            </w:pPr>
          </w:p>
        </w:tc>
      </w:tr>
      <w:tr>
        <w:tblPrEx>
          <w:tblCellMar>
            <w:top w:w="0" w:type="dxa"/>
            <w:left w:w="108" w:type="dxa"/>
            <w:bottom w:w="0" w:type="dxa"/>
            <w:right w:w="108" w:type="dxa"/>
          </w:tblCellMar>
        </w:tblPrEx>
        <w:trPr>
          <w:trHeight w:val="1374" w:hRule="atLeast"/>
          <w:jc w:val="center"/>
        </w:trPr>
        <w:tc>
          <w:tcPr>
            <w:tcW w:w="85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kern w:val="0"/>
                <w:szCs w:val="21"/>
                <w:highlight w:val="none"/>
              </w:rPr>
              <w:t>备注：食堂月度考核办法得分乘以 60%，即为应得考核分数。</w:t>
            </w:r>
          </w:p>
        </w:tc>
      </w:tr>
    </w:tbl>
    <w:p>
      <w:pPr>
        <w:adjustRightInd w:val="0"/>
        <w:snapToGrid w:val="0"/>
        <w:spacing w:line="500" w:lineRule="exact"/>
        <w:rPr>
          <w:rFonts w:hint="eastAsia" w:ascii="方正仿宋_GBK" w:hAnsi="仿宋" w:eastAsia="方正仿宋_GBK" w:cs="仿宋"/>
          <w:kern w:val="0"/>
          <w:sz w:val="22"/>
          <w:szCs w:val="22"/>
          <w:highlight w:val="none"/>
        </w:rPr>
      </w:pPr>
      <w:r>
        <w:rPr>
          <w:rFonts w:hint="eastAsia" w:ascii="方正仿宋_GBK" w:hAnsi="仿宋" w:eastAsia="方正仿宋_GBK" w:cs="仿宋"/>
          <w:kern w:val="0"/>
          <w:sz w:val="24"/>
          <w:highlight w:val="none"/>
        </w:rPr>
        <w:t>2.2满意度调查</w:t>
      </w:r>
    </w:p>
    <w:p>
      <w:pPr>
        <w:spacing w:line="440" w:lineRule="exact"/>
        <w:jc w:val="center"/>
        <w:textAlignment w:val="center"/>
        <w:rPr>
          <w:rFonts w:hint="eastAsia" w:ascii="方正仿宋_GBK" w:hAnsi="方正仿宋_GBK" w:eastAsia="方正仿宋_GBK" w:cs="方正仿宋_GBK"/>
          <w:kern w:val="0"/>
          <w:sz w:val="40"/>
          <w:szCs w:val="40"/>
          <w:highlight w:val="none"/>
        </w:rPr>
      </w:pPr>
      <w:r>
        <w:rPr>
          <w:rFonts w:hint="eastAsia" w:ascii="方正仿宋_GBK" w:hAnsi="方正仿宋_GBK" w:eastAsia="方正仿宋_GBK" w:cs="方正仿宋_GBK"/>
          <w:kern w:val="0"/>
          <w:sz w:val="32"/>
          <w:szCs w:val="32"/>
          <w:highlight w:val="none"/>
        </w:rPr>
        <w:t>满意度调查表</w:t>
      </w:r>
    </w:p>
    <w:p>
      <w:pPr>
        <w:widowControl/>
        <w:adjustRightInd w:val="0"/>
        <w:snapToGrid w:val="0"/>
        <w:jc w:val="left"/>
        <w:rPr>
          <w:rFonts w:hint="eastAsia" w:ascii="仿宋" w:hAnsi="仿宋" w:eastAsia="仿宋" w:cs="仿宋"/>
          <w:sz w:val="24"/>
          <w:highlight w:val="none"/>
        </w:rPr>
      </w:pPr>
    </w:p>
    <w:p>
      <w:pPr>
        <w:widowControl/>
        <w:adjustRightInd w:val="0"/>
        <w:snapToGrid w:val="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问卷调查科室：</w:t>
      </w:r>
      <w:r>
        <w:rPr>
          <w:rFonts w:hint="eastAsia" w:ascii="仿宋" w:hAnsi="仿宋" w:eastAsia="仿宋" w:cs="仿宋"/>
          <w:sz w:val="24"/>
          <w:highlight w:val="none"/>
        </w:rPr>
        <w:t xml:space="preserve">                                   </w:t>
      </w:r>
      <w:r>
        <w:rPr>
          <w:rFonts w:hint="eastAsia" w:ascii="方正仿宋_GBK" w:hAnsi="方正仿宋_GBK" w:eastAsia="方正仿宋_GBK" w:cs="方正仿宋_GBK"/>
          <w:sz w:val="24"/>
          <w:highlight w:val="none"/>
        </w:rPr>
        <w:t xml:space="preserve">时间： </w:t>
      </w:r>
      <w:r>
        <w:rPr>
          <w:rFonts w:hint="eastAsia" w:ascii="仿宋" w:hAnsi="仿宋" w:eastAsia="仿宋" w:cs="仿宋"/>
          <w:sz w:val="24"/>
          <w:highlight w:val="none"/>
        </w:rPr>
        <w:t xml:space="preserve">   </w:t>
      </w:r>
      <w:r>
        <w:rPr>
          <w:rFonts w:hint="eastAsia" w:ascii="方正仿宋_GBK" w:hAnsi="方正仿宋_GBK" w:eastAsia="方正仿宋_GBK" w:cs="方正仿宋_GBK"/>
          <w:sz w:val="24"/>
          <w:highlight w:val="none"/>
        </w:rPr>
        <w:t xml:space="preserve"> 年     月</w:t>
      </w:r>
    </w:p>
    <w:p>
      <w:pPr>
        <w:pStyle w:val="103"/>
        <w:rPr>
          <w:rFonts w:hint="eastAsia" w:ascii="仿宋" w:hAnsi="仿宋" w:eastAsia="仿宋" w:cs="仿宋"/>
          <w:sz w:val="20"/>
          <w:szCs w:val="13"/>
          <w:highlight w:val="none"/>
        </w:rPr>
      </w:pPr>
    </w:p>
    <w:tbl>
      <w:tblPr>
        <w:tblStyle w:val="24"/>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311"/>
        <w:gridCol w:w="899"/>
        <w:gridCol w:w="764"/>
        <w:gridCol w:w="76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序号</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调查内容（总分100分）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很满意</w:t>
            </w: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满意</w:t>
            </w: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一般</w:t>
            </w: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饭菜是否干净、卫生？是否有</w:t>
            </w:r>
            <w:r>
              <w:rPr>
                <w:rFonts w:hint="eastAsia" w:ascii="方正仿宋_GBK" w:hAnsi="方正仿宋_GBK" w:eastAsia="方正仿宋_GBK" w:cs="方正仿宋_GBK"/>
                <w:sz w:val="24"/>
                <w:highlight w:val="none"/>
                <w:lang w:eastAsia="zh-CN"/>
              </w:rPr>
              <w:t>沙子</w:t>
            </w:r>
            <w:r>
              <w:rPr>
                <w:rFonts w:hint="eastAsia" w:ascii="方正仿宋_GBK" w:hAnsi="方正仿宋_GBK" w:eastAsia="方正仿宋_GBK" w:cs="方正仿宋_GBK"/>
                <w:sz w:val="24"/>
                <w:highlight w:val="none"/>
              </w:rPr>
              <w:t>或异物？（10分）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食堂饭菜种类如何？饭菜种类是否一成不变？（10分）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饭菜味道如何？是否质量很差？（10分）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饭菜热透度如何？是否冷菜冷饭？（10分）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食堂的饭菜新鲜度如何？饭菜是否有营养？（10分）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食堂的早、中、晚餐是否准时供应？（10分）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餐具的卫生情况、消毒情况如何？（10分）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食堂工作人员的服务质量如何？（10分）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食堂工作人员的个人卫生习惯如何？（10分）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食堂就餐环境是否整洁？（10分）</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3447"/>
              </w:tabs>
              <w:adjustRightInd w:val="0"/>
              <w:snapToGrid w:val="0"/>
              <w:spacing w:line="32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分值小计</w:t>
            </w: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3882"/>
              </w:tabs>
              <w:adjustRightInd w:val="0"/>
              <w:snapToGrid w:val="0"/>
              <w:spacing w:line="32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总分</w:t>
            </w:r>
          </w:p>
        </w:tc>
        <w:tc>
          <w:tcPr>
            <w:tcW w:w="3314"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298"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说明</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rPr>
              <w:t>每月随机抽选6位职工代表进行满意度调查后统计平均评分，再乘以40%，即得满意度考核得分，“很满意”得 10 分，“满意”得8分，“一般”得5分，“不满意”得0分。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8" w:type="dxa"/>
            <w:gridSpan w:val="6"/>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仿宋" w:hAnsi="仿宋" w:eastAsia="仿宋" w:cs="仿宋"/>
                <w:sz w:val="24"/>
                <w:highlight w:val="none"/>
              </w:rPr>
            </w:pPr>
            <w:r>
              <w:rPr>
                <w:rFonts w:hint="eastAsia" w:ascii="方正仿宋_GBK" w:hAnsi="方正仿宋_GBK" w:eastAsia="方正仿宋_GBK" w:cs="方正仿宋_GBK"/>
                <w:sz w:val="24"/>
                <w:highlight w:val="none"/>
              </w:rPr>
              <w:t>您对医院食堂有什么意见或建议：</w:t>
            </w:r>
          </w:p>
        </w:tc>
      </w:tr>
    </w:tbl>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3.罚则</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1.每月考核总分值未达到85分，每少一分扣500元。</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2.在考核中发现有以下情形发生，比选人可直接在当月服务费予以扣除，并限期进行整改：</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2.1中选人派驻食堂人员不服从相关管理部门的工作指派，扣除中选人100元/次。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2.2 食堂工作人员无故脱岗，扣除中选人200元/次；单次食品供应不达标，扣除中选人100元/次。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 迎检、特殊情况时，不服从中心安排，扣除中选人200元/次；迎检未达安全、卫生标准扣除中选人500元/次。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2.4 对每周、月、季、半年一次的工作内容未执行，扣除中选人500元/次。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2.5 如发生食源性疾病和食物中毒事件，根据事件的严重程度追究相关法律责任和经济责任， 比选人有权单方面解除合同。</w:t>
      </w:r>
    </w:p>
    <w:p>
      <w:pPr>
        <w:pStyle w:val="5"/>
        <w:adjustRightInd w:val="0"/>
        <w:snapToGrid w:val="0"/>
        <w:spacing w:before="0" w:after="0" w:line="500" w:lineRule="exact"/>
        <w:ind w:firstLine="482" w:firstLineChars="200"/>
        <w:rPr>
          <w:rFonts w:hint="eastAsia" w:ascii="方正仿宋_GBK" w:hAnsi="仿宋" w:eastAsia="方正仿宋_GBK" w:cs="仿宋"/>
          <w:sz w:val="24"/>
          <w:szCs w:val="24"/>
          <w:highlight w:val="none"/>
        </w:rPr>
      </w:pPr>
      <w:r>
        <w:rPr>
          <w:rFonts w:hint="eastAsia" w:ascii="方正仿宋_GBK" w:hAnsi="仿宋" w:eastAsia="方正仿宋_GBK" w:cs="仿宋"/>
          <w:sz w:val="24"/>
          <w:szCs w:val="24"/>
          <w:highlight w:val="none"/>
        </w:rPr>
        <w:t>二、退出机制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医院在日常监督检查中，如发现有违反卫生管理规定及考核办法的行为，情节较轻的，限期整改；有以下严重情节的，实行一票否决制：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1.发生食物中毒或食源性疾病的，除按《食品卫生法》规定进行处罚外，根据严重程度，比选人有权给予警告或直接解除合同。</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2.中选人分包、转包，擅自停业，比选人有权解除合同。</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3.中选人因安全责任事故或者发生起火或者消防安全事故的，比选人有权立即解除合同并追究中选人责任，比选人有权解除合同。 </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4.因中选人对其员工薪酬、岗位调整、工作地点发生变更引发3人或3人群体事件上访、怠工、停工或阻碍比选人工作，时间长达3小时或发生3次或3次以上的，比选人有权解除合同。</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5.如每年累计2个月考核低于85分以下的，比选人有权解除合同，所造成的一切经济损失由中选人自行负责。</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6.每月出现2次及以上不能正常供餐的情况（特殊情况除外），比选人有权解除合同。</w:t>
      </w:r>
    </w:p>
    <w:p>
      <w:pPr>
        <w:pStyle w:val="5"/>
        <w:adjustRightInd w:val="0"/>
        <w:snapToGrid w:val="0"/>
        <w:spacing w:before="0" w:after="0" w:line="500" w:lineRule="exact"/>
        <w:ind w:firstLine="482" w:firstLineChars="200"/>
        <w:rPr>
          <w:rFonts w:hint="eastAsia" w:ascii="方正仿宋_GBK" w:hAnsi="仿宋" w:eastAsia="方正仿宋_GBK" w:cs="仿宋"/>
          <w:bCs w:val="0"/>
          <w:sz w:val="24"/>
          <w:szCs w:val="24"/>
          <w:highlight w:val="none"/>
        </w:rPr>
      </w:pPr>
      <w:r>
        <w:rPr>
          <w:rFonts w:hint="eastAsia" w:ascii="方正仿宋_GBK" w:hAnsi="仿宋" w:eastAsia="方正仿宋_GBK" w:cs="仿宋"/>
          <w:bCs w:val="0"/>
          <w:sz w:val="24"/>
          <w:szCs w:val="24"/>
          <w:highlight w:val="none"/>
        </w:rPr>
        <w:t>三、报价要求</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5"/>
      <w:bookmarkEnd w:id="96"/>
    </w:p>
    <w:bookmarkEnd w:id="94"/>
    <w:p>
      <w:pPr>
        <w:snapToGrid w:val="0"/>
        <w:spacing w:line="420" w:lineRule="exact"/>
        <w:ind w:firstLine="480" w:firstLineChars="200"/>
        <w:rPr>
          <w:rFonts w:hint="eastAsia" w:ascii="宋体" w:hAnsi="宋体" w:cs="宋体"/>
          <w:color w:val="auto"/>
          <w:sz w:val="24"/>
          <w:highlight w:val="none"/>
          <w:lang w:val="en-US" w:eastAsia="zh-CN"/>
        </w:rPr>
      </w:pPr>
      <w:bookmarkStart w:id="97" w:name="_Toc15211"/>
      <w:bookmarkStart w:id="98" w:name="_Toc1311"/>
      <w:bookmarkStart w:id="99" w:name="_Toc174478276"/>
      <w:bookmarkStart w:id="100" w:name="_Toc87449453"/>
      <w:bookmarkStart w:id="101" w:name="_Toc116915284"/>
      <w:bookmarkStart w:id="102" w:name="_Toc23858367"/>
      <w:bookmarkStart w:id="103" w:name="_Toc30439"/>
      <w:bookmarkStart w:id="104" w:name="_Toc87448630"/>
      <w:r>
        <w:rPr>
          <w:rFonts w:hint="eastAsia" w:ascii="宋体" w:hAnsi="宋体" w:cs="宋体"/>
          <w:color w:val="auto"/>
          <w:sz w:val="24"/>
          <w:highlight w:val="none"/>
          <w:lang w:val="en-US" w:eastAsia="zh-CN"/>
        </w:rPr>
        <w:t>报价为人民币报价，包含但不限于劳务派遣人员的工资待遇、管理费、税费、住宿费、体检费、工装费、节假日加班费、社会保险及意外伤害险等所有费用。合同执行期内不变，投标人报价超过最高限价的报价为无效报价。</w:t>
      </w:r>
    </w:p>
    <w:p>
      <w:pPr>
        <w:pStyle w:val="5"/>
        <w:adjustRightInd w:val="0"/>
        <w:snapToGrid w:val="0"/>
        <w:spacing w:before="0" w:after="0" w:line="500" w:lineRule="exact"/>
        <w:ind w:firstLine="482" w:firstLineChars="200"/>
        <w:rPr>
          <w:rFonts w:ascii="方正仿宋_GBK" w:hAnsi="仿宋" w:eastAsia="方正仿宋_GBK" w:cs="仿宋"/>
          <w:bCs w:val="0"/>
          <w:sz w:val="24"/>
          <w:szCs w:val="24"/>
          <w:highlight w:val="none"/>
        </w:rPr>
      </w:pPr>
      <w:bookmarkStart w:id="105" w:name="_Toc6692"/>
      <w:bookmarkStart w:id="106" w:name="_Toc27515"/>
      <w:r>
        <w:rPr>
          <w:rFonts w:hint="eastAsia" w:ascii="方正仿宋_GBK" w:hAnsi="仿宋" w:eastAsia="方正仿宋_GBK" w:cs="仿宋"/>
          <w:bCs w:val="0"/>
          <w:sz w:val="24"/>
          <w:szCs w:val="24"/>
          <w:highlight w:val="none"/>
        </w:rPr>
        <w:t>四、</w:t>
      </w:r>
      <w:bookmarkEnd w:id="97"/>
      <w:bookmarkEnd w:id="98"/>
      <w:bookmarkEnd w:id="99"/>
      <w:r>
        <w:rPr>
          <w:rFonts w:hint="eastAsia" w:ascii="方正仿宋_GBK" w:hAnsi="仿宋" w:eastAsia="方正仿宋_GBK" w:cs="仿宋"/>
          <w:bCs w:val="0"/>
          <w:sz w:val="24"/>
          <w:szCs w:val="24"/>
          <w:highlight w:val="none"/>
        </w:rPr>
        <w:t>付款方式</w:t>
      </w:r>
      <w:bookmarkEnd w:id="105"/>
      <w:bookmarkEnd w:id="106"/>
    </w:p>
    <w:p>
      <w:pPr>
        <w:snapToGrid w:val="0"/>
        <w:spacing w:line="420" w:lineRule="exact"/>
        <w:ind w:firstLine="480" w:firstLineChars="200"/>
        <w:rPr>
          <w:rFonts w:hint="eastAsia" w:ascii="宋体" w:hAnsi="宋体" w:cs="宋体"/>
          <w:color w:val="auto"/>
          <w:sz w:val="24"/>
          <w:highlight w:val="none"/>
          <w:lang w:val="en-US" w:eastAsia="zh-CN"/>
        </w:rPr>
      </w:pPr>
      <w:bookmarkStart w:id="107" w:name="_Toc174478281"/>
      <w:bookmarkStart w:id="108" w:name="_Toc9843"/>
      <w:bookmarkStart w:id="109" w:name="_Toc5729"/>
      <w:r>
        <w:rPr>
          <w:rFonts w:hint="eastAsia" w:ascii="宋体" w:hAnsi="宋体" w:cs="宋体"/>
          <w:color w:val="auto"/>
          <w:sz w:val="24"/>
          <w:highlight w:val="none"/>
          <w:lang w:val="en-US" w:eastAsia="zh-CN"/>
        </w:rPr>
        <w:t>按月支付，不足一月按实际服务天数支付。比选人每月支付款项需根据《垫江县精神卫生中心食堂月度考核办法》和满意度调查的考核结果及罚则条款进行扣除后，由中选人向比选人开具发票并向比选人提出付款申请，比选人在次月通过银行对公转账形式支付。</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注：所有支付均为无息支付。</w:t>
      </w:r>
    </w:p>
    <w:p>
      <w:pPr>
        <w:pStyle w:val="5"/>
        <w:adjustRightInd w:val="0"/>
        <w:snapToGrid w:val="0"/>
        <w:spacing w:before="0" w:after="0" w:line="500" w:lineRule="exact"/>
        <w:ind w:firstLine="482" w:firstLineChars="200"/>
        <w:rPr>
          <w:rFonts w:hint="eastAsia" w:ascii="方正仿宋_GBK" w:hAnsi="仿宋" w:eastAsia="方正仿宋_GBK" w:cs="仿宋"/>
          <w:bCs w:val="0"/>
          <w:sz w:val="24"/>
          <w:szCs w:val="24"/>
          <w:highlight w:val="none"/>
        </w:rPr>
      </w:pPr>
      <w:r>
        <w:rPr>
          <w:rFonts w:hint="eastAsia" w:ascii="方正仿宋_GBK" w:hAnsi="仿宋" w:eastAsia="方正仿宋_GBK" w:cs="仿宋"/>
          <w:bCs w:val="0"/>
          <w:sz w:val="24"/>
          <w:szCs w:val="24"/>
          <w:highlight w:val="none"/>
        </w:rPr>
        <w:t>五、</w:t>
      </w:r>
      <w:bookmarkEnd w:id="100"/>
      <w:bookmarkEnd w:id="101"/>
      <w:bookmarkEnd w:id="102"/>
      <w:bookmarkEnd w:id="103"/>
      <w:bookmarkEnd w:id="104"/>
      <w:bookmarkEnd w:id="107"/>
      <w:bookmarkStart w:id="110" w:name="_Toc75793516"/>
      <w:bookmarkStart w:id="111" w:name="_Toc4353"/>
      <w:bookmarkStart w:id="112" w:name="_Toc6385"/>
      <w:bookmarkStart w:id="113" w:name="_Toc1138"/>
      <w:bookmarkStart w:id="114" w:name="_Toc17569"/>
      <w:bookmarkStart w:id="115" w:name="_Toc6099"/>
      <w:bookmarkStart w:id="116" w:name="_Toc13936"/>
      <w:bookmarkStart w:id="117" w:name="_Toc174478287"/>
      <w:bookmarkStart w:id="118" w:name="_Toc529"/>
      <w:bookmarkStart w:id="119" w:name="_Toc32308"/>
      <w:bookmarkStart w:id="120" w:name="_Toc116915287"/>
      <w:bookmarkStart w:id="121" w:name="_Toc30515"/>
      <w:bookmarkStart w:id="122" w:name="_Toc14923"/>
      <w:bookmarkStart w:id="123" w:name="_Toc10406"/>
      <w:bookmarkStart w:id="124" w:name="_Toc28513"/>
      <w:bookmarkStart w:id="125" w:name="_Toc6898"/>
      <w:bookmarkStart w:id="126" w:name="_Toc29746"/>
      <w:bookmarkStart w:id="127" w:name="_Toc23858"/>
      <w:bookmarkStart w:id="128" w:name="_Toc27175"/>
      <w:r>
        <w:rPr>
          <w:rFonts w:hint="eastAsia" w:ascii="方正仿宋_GBK" w:hAnsi="仿宋" w:eastAsia="方正仿宋_GBK" w:cs="仿宋"/>
          <w:bCs w:val="0"/>
          <w:sz w:val="24"/>
          <w:szCs w:val="24"/>
          <w:highlight w:val="none"/>
        </w:rPr>
        <w:t>其他</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1.竞选人必须在竞选文件中对以上条款和服务承诺明确列出，承诺内容必须达到本篇及竞争性比选文件其他条款的要求。</w:t>
      </w:r>
    </w:p>
    <w:p>
      <w:pPr>
        <w:snapToGrid w:val="0"/>
        <w:spacing w:line="420" w:lineRule="exact"/>
        <w:ind w:firstLine="480" w:firstLineChars="200"/>
        <w:rPr>
          <w:rFonts w:hint="eastAsia" w:ascii="宋体" w:hAnsi="宋体" w:cs="宋体"/>
          <w:color w:val="auto"/>
          <w:sz w:val="24"/>
          <w:highlight w:val="none"/>
          <w:lang w:val="en-US" w:eastAsia="zh-CN"/>
        </w:rPr>
      </w:pPr>
      <w:bookmarkStart w:id="129" w:name="_Toc174479259"/>
      <w:bookmarkStart w:id="130" w:name="_Toc174480407"/>
      <w:bookmarkStart w:id="131" w:name="_Toc174478288"/>
      <w:bookmarkStart w:id="132" w:name="_Toc175129908"/>
      <w:bookmarkStart w:id="133" w:name="_Toc31884"/>
      <w:bookmarkStart w:id="134" w:name="_Toc176445633"/>
      <w:bookmarkStart w:id="135" w:name="_Toc17458"/>
      <w:bookmarkStart w:id="136" w:name="_Toc1479"/>
      <w:bookmarkStart w:id="137" w:name="_Toc174478576"/>
      <w:r>
        <w:rPr>
          <w:rFonts w:hint="eastAsia" w:ascii="宋体" w:hAnsi="宋体" w:cs="宋体"/>
          <w:color w:val="auto"/>
          <w:sz w:val="24"/>
          <w:highlight w:val="none"/>
          <w:lang w:val="en-US" w:eastAsia="zh-CN"/>
        </w:rPr>
        <w:t>2. 中选人在竞选时提供虚假材料或进行虚假承诺，或中选后提供的服务达不到比选文件要求及中选人提供竞选文件的竞选内容的，视为虚假竞选，将报相关监督管理部门依法予以处理。</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 其他未尽事宜由供需双方在采购合同中详细约定。</w:t>
      </w:r>
      <w:bookmarkEnd w:id="129"/>
      <w:bookmarkEnd w:id="130"/>
      <w:bookmarkEnd w:id="131"/>
      <w:bookmarkEnd w:id="132"/>
      <w:bookmarkEnd w:id="133"/>
      <w:bookmarkEnd w:id="134"/>
      <w:bookmarkEnd w:id="135"/>
      <w:bookmarkEnd w:id="136"/>
      <w:bookmarkEnd w:id="137"/>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15"/>
        <w:rPr>
          <w:rStyle w:val="49"/>
          <w:rFonts w:hint="eastAsia" w:ascii="宋体" w:hAnsi="宋体" w:eastAsia="宋体" w:cs="宋体"/>
          <w:b/>
          <w:spacing w:val="-11"/>
          <w:kern w:val="0"/>
          <w:sz w:val="36"/>
          <w:szCs w:val="36"/>
        </w:rPr>
      </w:pPr>
    </w:p>
    <w:p>
      <w:pPr>
        <w:pStyle w:val="46"/>
        <w:ind w:firstLine="679" w:firstLineChars="200"/>
        <w:jc w:val="both"/>
        <w:rPr>
          <w:rStyle w:val="49"/>
          <w:rFonts w:ascii="宋体" w:hAnsi="宋体" w:eastAsia="宋体" w:cs="宋体"/>
          <w:b/>
          <w:spacing w:val="-11"/>
          <w:kern w:val="0"/>
          <w:sz w:val="36"/>
          <w:szCs w:val="36"/>
        </w:rPr>
      </w:pPr>
      <w:r>
        <w:rPr>
          <w:rStyle w:val="49"/>
          <w:rFonts w:hint="eastAsia" w:ascii="宋体" w:hAnsi="宋体" w:eastAsia="宋体" w:cs="宋体"/>
          <w:b/>
          <w:spacing w:val="-11"/>
          <w:kern w:val="0"/>
          <w:sz w:val="36"/>
          <w:szCs w:val="36"/>
        </w:rPr>
        <w:t xml:space="preserve">第四篇  </w:t>
      </w:r>
      <w:r>
        <w:rPr>
          <w:rStyle w:val="49"/>
          <w:rFonts w:hint="eastAsia" w:ascii="宋体" w:hAnsi="宋体" w:eastAsia="宋体" w:cs="宋体"/>
          <w:b/>
          <w:spacing w:val="-11"/>
          <w:kern w:val="0"/>
          <w:sz w:val="36"/>
          <w:szCs w:val="36"/>
          <w:lang w:eastAsia="zh-CN"/>
        </w:rPr>
        <w:t>比选</w:t>
      </w:r>
      <w:r>
        <w:rPr>
          <w:rStyle w:val="49"/>
          <w:rFonts w:hint="eastAsia" w:ascii="宋体" w:hAnsi="宋体" w:eastAsia="宋体" w:cs="宋体"/>
          <w:b/>
          <w:spacing w:val="-11"/>
          <w:kern w:val="0"/>
          <w:sz w:val="36"/>
          <w:szCs w:val="36"/>
        </w:rPr>
        <w:t>程序及方法</w:t>
      </w:r>
      <w:r>
        <w:rPr>
          <w:rStyle w:val="49"/>
          <w:rFonts w:hint="eastAsia" w:ascii="宋体" w:hAnsi="宋体" w:eastAsia="宋体" w:cs="宋体"/>
          <w:b/>
          <w:spacing w:val="-11"/>
          <w:kern w:val="0"/>
          <w:sz w:val="36"/>
          <w:szCs w:val="36"/>
          <w:lang w:eastAsia="zh-CN"/>
        </w:rPr>
        <w:t>、</w:t>
      </w:r>
      <w:r>
        <w:rPr>
          <w:rStyle w:val="49"/>
          <w:rFonts w:hint="eastAsia" w:ascii="宋体" w:hAnsi="宋体" w:eastAsia="宋体" w:cs="宋体"/>
          <w:b/>
          <w:spacing w:val="-11"/>
          <w:kern w:val="0"/>
          <w:sz w:val="36"/>
          <w:szCs w:val="36"/>
        </w:rPr>
        <w:t>评审标准</w:t>
      </w:r>
      <w:r>
        <w:rPr>
          <w:rStyle w:val="49"/>
          <w:rFonts w:hint="eastAsia" w:ascii="宋体" w:hAnsi="宋体" w:eastAsia="宋体" w:cs="宋体"/>
          <w:b/>
          <w:spacing w:val="-11"/>
          <w:kern w:val="0"/>
          <w:sz w:val="36"/>
          <w:szCs w:val="36"/>
          <w:lang w:eastAsia="zh-CN"/>
        </w:rPr>
        <w:t>、</w:t>
      </w:r>
      <w:r>
        <w:rPr>
          <w:rStyle w:val="49"/>
          <w:rFonts w:hint="eastAsia" w:ascii="宋体" w:hAnsi="宋体" w:eastAsia="宋体" w:cs="宋体"/>
          <w:b/>
          <w:spacing w:val="-11"/>
          <w:kern w:val="0"/>
          <w:sz w:val="36"/>
          <w:szCs w:val="36"/>
        </w:rPr>
        <w:t>无效响应和采购终止</w:t>
      </w:r>
      <w:bookmarkEnd w:id="52"/>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138" w:name="_Toc17366"/>
      <w:bookmarkStart w:id="139" w:name="_Toc10275"/>
      <w:bookmarkStart w:id="140" w:name="_Toc26693"/>
      <w:bookmarkStart w:id="141" w:name="_Toc1164"/>
      <w:bookmarkStart w:id="142" w:name="_Toc2888"/>
      <w:bookmarkStart w:id="143" w:name="_Toc23324"/>
      <w:bookmarkStart w:id="144" w:name="_Toc27834"/>
      <w:bookmarkStart w:id="145" w:name="_Toc30232"/>
      <w:bookmarkStart w:id="146" w:name="_Toc17710"/>
      <w:bookmarkStart w:id="147" w:name="_Toc2022"/>
      <w:bookmarkStart w:id="148" w:name="_Toc29783"/>
      <w:r>
        <w:rPr>
          <w:rFonts w:hint="eastAsia" w:ascii="宋体" w:hAnsi="宋体" w:eastAsia="宋体" w:cs="宋体"/>
          <w:color w:val="auto"/>
          <w:kern w:val="0"/>
          <w:sz w:val="24"/>
          <w:szCs w:val="24"/>
          <w:lang w:val="en-US" w:eastAsia="zh-CN"/>
        </w:rPr>
        <w:t>一、比选程序及方法</w:t>
      </w:r>
      <w:bookmarkEnd w:id="138"/>
      <w:bookmarkEnd w:id="139"/>
      <w:bookmarkEnd w:id="140"/>
      <w:bookmarkEnd w:id="141"/>
      <w:bookmarkEnd w:id="142"/>
      <w:bookmarkEnd w:id="143"/>
      <w:bookmarkEnd w:id="144"/>
      <w:bookmarkEnd w:id="145"/>
      <w:bookmarkEnd w:id="146"/>
      <w:bookmarkEnd w:id="147"/>
      <w:bookmarkEnd w:id="148"/>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（一）评审委员会的组成</w:t>
      </w:r>
    </w:p>
    <w:p>
      <w:pPr>
        <w:snapToGrid w:val="0"/>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评审委员会由比选人组建，一共3人。</w:t>
      </w:r>
    </w:p>
    <w:p>
      <w:pPr>
        <w:rPr>
          <w:rFonts w:hint="eastAsia" w:ascii="宋体" w:hAnsi="宋体" w:eastAsia="宋体" w:cs="宋体"/>
          <w:kern w:val="2"/>
          <w:sz w:val="24"/>
          <w:szCs w:val="24"/>
          <w:lang w:val="en-US" w:eastAsia="zh-CN" w:bidi="ar-SA"/>
        </w:rPr>
      </w:pPr>
    </w:p>
    <w:p>
      <w:pPr>
        <w:numPr>
          <w:ilvl w:val="0"/>
          <w:numId w:val="0"/>
        </w:numPr>
        <w:spacing w:line="312"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（二）按比选文件规定的</w:t>
      </w:r>
      <w:r>
        <w:rPr>
          <w:rFonts w:hint="eastAsia" w:ascii="宋体" w:hAnsi="宋体" w:cs="宋体"/>
          <w:kern w:val="2"/>
          <w:sz w:val="24"/>
          <w:szCs w:val="24"/>
          <w:lang w:val="en-US" w:eastAsia="zh-CN" w:bidi="ar-SA"/>
        </w:rPr>
        <w:t>截止时间</w:t>
      </w:r>
      <w:r>
        <w:rPr>
          <w:rFonts w:hint="eastAsia" w:ascii="宋体" w:hAnsi="宋体" w:eastAsia="宋体" w:cs="宋体"/>
          <w:kern w:val="2"/>
          <w:sz w:val="24"/>
          <w:szCs w:val="24"/>
          <w:lang w:val="en-US" w:eastAsia="zh-CN" w:bidi="ar-SA"/>
        </w:rPr>
        <w:t>进行，由本项目的评审小组对各</w:t>
      </w:r>
      <w:r>
        <w:rPr>
          <w:rFonts w:hint="eastAsia" w:ascii="宋体" w:hAnsi="宋体" w:cs="宋体"/>
          <w:kern w:val="2"/>
          <w:sz w:val="24"/>
          <w:szCs w:val="24"/>
          <w:lang w:val="en-US" w:eastAsia="zh-CN" w:bidi="ar-SA"/>
        </w:rPr>
        <w:t>竞选人</w:t>
      </w:r>
      <w:r>
        <w:rPr>
          <w:rFonts w:hint="eastAsia" w:ascii="宋体" w:hAnsi="宋体" w:eastAsia="宋体" w:cs="宋体"/>
          <w:kern w:val="2"/>
          <w:sz w:val="24"/>
          <w:szCs w:val="24"/>
          <w:lang w:val="en-US" w:eastAsia="zh-CN" w:bidi="ar-SA"/>
        </w:rPr>
        <w:t>的响应文件进行评审。</w:t>
      </w:r>
    </w:p>
    <w:p>
      <w:pPr>
        <w:spacing w:line="312"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（二）评审小组对各</w:t>
      </w:r>
      <w:r>
        <w:rPr>
          <w:rFonts w:hint="eastAsia" w:ascii="宋体" w:hAnsi="宋体" w:cs="宋体"/>
          <w:kern w:val="2"/>
          <w:sz w:val="24"/>
          <w:szCs w:val="24"/>
          <w:lang w:val="en-US" w:eastAsia="zh-CN" w:bidi="ar-SA"/>
        </w:rPr>
        <w:t>竞选人</w:t>
      </w:r>
      <w:r>
        <w:rPr>
          <w:rFonts w:hint="eastAsia" w:ascii="宋体" w:hAnsi="宋体" w:eastAsia="宋体" w:cs="宋体"/>
          <w:kern w:val="2"/>
          <w:sz w:val="24"/>
          <w:szCs w:val="24"/>
          <w:lang w:val="en-US" w:eastAsia="zh-CN" w:bidi="ar-SA"/>
        </w:rPr>
        <w:t>的资格条件、响应文件的有效性、完整性和响应程度进行审查。若未通过资格审查及符合性审查的竞选文件，不进入评审环节。</w:t>
      </w:r>
    </w:p>
    <w:p>
      <w:pPr>
        <w:snapToGrid w:val="0"/>
        <w:spacing w:line="312"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kern w:val="0"/>
          <w:sz w:val="24"/>
        </w:rPr>
        <w:t>资格性检查。依据法律法规和竞争性比选文件的规定，对响应文件中的资格证明进行审查，以确定</w:t>
      </w:r>
      <w:r>
        <w:rPr>
          <w:rFonts w:hint="eastAsia" w:ascii="宋体" w:hAnsi="宋体" w:cs="宋体"/>
          <w:kern w:val="0"/>
          <w:sz w:val="24"/>
          <w:lang w:eastAsia="zh-CN"/>
        </w:rPr>
        <w:t>竞选人</w:t>
      </w:r>
      <w:r>
        <w:rPr>
          <w:rFonts w:hint="eastAsia" w:ascii="宋体" w:hAnsi="宋体" w:cs="宋体"/>
          <w:kern w:val="0"/>
          <w:sz w:val="24"/>
        </w:rPr>
        <w:t>是否具备</w:t>
      </w:r>
      <w:r>
        <w:rPr>
          <w:rFonts w:hint="eastAsia" w:ascii="宋体" w:hAnsi="宋体" w:cs="宋体"/>
          <w:kern w:val="0"/>
          <w:sz w:val="24"/>
          <w:lang w:eastAsia="zh-CN"/>
        </w:rPr>
        <w:t>比选</w:t>
      </w:r>
      <w:r>
        <w:rPr>
          <w:rFonts w:hint="eastAsia" w:ascii="宋体" w:hAnsi="宋体" w:cs="宋体"/>
          <w:kern w:val="0"/>
          <w:sz w:val="24"/>
        </w:rPr>
        <w:t>资格。资格性检查资料表如下：</w:t>
      </w:r>
    </w:p>
    <w:tbl>
      <w:tblPr>
        <w:tblStyle w:val="2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96"/>
        <w:gridCol w:w="4098"/>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4" w:type="dxa"/>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4894" w:type="dxa"/>
            <w:gridSpan w:val="2"/>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3841" w:type="dxa"/>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644" w:type="dxa"/>
            <w:vMerge w:val="restart"/>
            <w:noWrap w:val="0"/>
            <w:vAlign w:val="center"/>
          </w:tcPr>
          <w:p>
            <w:pPr>
              <w:snapToGrid w:val="0"/>
              <w:spacing w:line="324" w:lineRule="auto"/>
              <w:jc w:val="center"/>
              <w:rPr>
                <w:rFonts w:hint="eastAsia" w:ascii="宋体" w:hAnsi="宋体" w:cs="宋体"/>
                <w:color w:val="auto"/>
                <w:sz w:val="21"/>
                <w:szCs w:val="21"/>
              </w:rPr>
            </w:pPr>
            <w:r>
              <w:rPr>
                <w:rFonts w:hint="eastAsia" w:ascii="宋体" w:hAnsi="宋体" w:cs="宋体"/>
                <w:color w:val="auto"/>
                <w:sz w:val="21"/>
                <w:szCs w:val="21"/>
              </w:rPr>
              <w:t>1</w:t>
            </w:r>
          </w:p>
        </w:tc>
        <w:tc>
          <w:tcPr>
            <w:tcW w:w="796" w:type="dxa"/>
            <w:vMerge w:val="restart"/>
            <w:noWrap w:val="0"/>
            <w:vAlign w:val="center"/>
          </w:tcPr>
          <w:p>
            <w:pPr>
              <w:snapToGrid w:val="0"/>
              <w:spacing w:line="324" w:lineRule="auto"/>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3841" w:type="dxa"/>
            <w:noWrap w:val="0"/>
            <w:vAlign w:val="center"/>
          </w:tcPr>
          <w:p>
            <w:pPr>
              <w:snapToGrid w:val="0"/>
              <w:spacing w:line="324" w:lineRule="auto"/>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竞选人</w:t>
            </w:r>
            <w:r>
              <w:rPr>
                <w:rFonts w:hint="eastAsia" w:ascii="宋体" w:hAnsi="宋体" w:cs="宋体"/>
                <w:color w:val="auto"/>
                <w:sz w:val="21"/>
                <w:szCs w:val="21"/>
              </w:rPr>
              <w:t xml:space="preserve">法人营业执照（副本）或事业单位法人证书（副本）或个体工商户营业执照或有效的自然人身份证明或社会团体法人登记证书（提供复印件）。 </w:t>
            </w:r>
          </w:p>
          <w:p>
            <w:pPr>
              <w:snapToGrid w:val="0"/>
              <w:spacing w:line="324" w:lineRule="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竞选人</w:t>
            </w:r>
            <w:r>
              <w:rPr>
                <w:rFonts w:hint="eastAsia" w:ascii="宋体" w:hAnsi="宋体" w:cs="宋体"/>
                <w:color w:val="auto"/>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3841" w:type="dxa"/>
            <w:vMerge w:val="restart"/>
            <w:noWrap w:val="0"/>
            <w:vAlign w:val="center"/>
          </w:tcPr>
          <w:p>
            <w:pPr>
              <w:snapToGrid w:val="0"/>
              <w:spacing w:line="324" w:lineRule="auto"/>
              <w:rPr>
                <w:rFonts w:hint="eastAsia" w:ascii="宋体" w:hAnsi="宋体" w:cs="宋体"/>
                <w:color w:val="auto"/>
                <w:sz w:val="21"/>
                <w:szCs w:val="21"/>
              </w:rPr>
            </w:pPr>
            <w:r>
              <w:rPr>
                <w:rFonts w:hint="eastAsia" w:ascii="宋体" w:hAnsi="宋体" w:cs="宋体"/>
                <w:color w:val="auto"/>
                <w:sz w:val="21"/>
                <w:szCs w:val="21"/>
                <w:lang w:eastAsia="zh-CN"/>
              </w:rPr>
              <w:t>竞选人</w:t>
            </w:r>
            <w:r>
              <w:rPr>
                <w:rFonts w:hint="eastAsia" w:ascii="宋体" w:hAnsi="宋体" w:cs="宋体"/>
                <w:color w:val="auto"/>
                <w:sz w:val="21"/>
                <w:szCs w:val="21"/>
              </w:rPr>
              <w:t>提供承诺函（详见格式文件）或相关证明材料。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rPr>
              <w:t>（5）参加政府采购活动前三年内，在经营活动中没有重大违法记录（注②）</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（6）法律</w:t>
            </w:r>
            <w:r>
              <w:rPr>
                <w:rFonts w:hint="eastAsia" w:ascii="宋体" w:hAnsi="宋体" w:cs="宋体"/>
                <w:color w:val="auto"/>
                <w:sz w:val="21"/>
                <w:szCs w:val="21"/>
                <w:lang w:eastAsia="zh-CN"/>
              </w:rPr>
              <w:t>、</w:t>
            </w:r>
            <w:r>
              <w:rPr>
                <w:rFonts w:hint="eastAsia" w:ascii="宋体" w:hAnsi="宋体" w:eastAsia="宋体" w:cs="宋体"/>
                <w:color w:val="auto"/>
                <w:sz w:val="21"/>
                <w:szCs w:val="21"/>
              </w:rPr>
              <w:t>行政法规规定的其他条件</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（7）特定资格要求</w:t>
            </w:r>
          </w:p>
        </w:tc>
        <w:tc>
          <w:tcPr>
            <w:tcW w:w="3841"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 xml:space="preserve"> 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比选资格条件（</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noWrap w:val="0"/>
            <w:vAlign w:val="center"/>
          </w:tcPr>
          <w:p>
            <w:pPr>
              <w:snapToGrid w:val="0"/>
              <w:spacing w:line="324"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4894" w:type="dxa"/>
            <w:gridSpan w:val="2"/>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落实政府采购政策需满足的资格要求</w:t>
            </w:r>
          </w:p>
        </w:tc>
        <w:tc>
          <w:tcPr>
            <w:tcW w:w="3841"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pPr>
        <w:snapToGrid w:val="0"/>
        <w:spacing w:line="312" w:lineRule="auto"/>
        <w:ind w:firstLine="480" w:firstLineChars="200"/>
        <w:rPr>
          <w:rFonts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竞选人</w:t>
      </w:r>
      <w:r>
        <w:rPr>
          <w:rFonts w:hint="eastAsia" w:ascii="宋体" w:hAnsi="宋体" w:cs="宋体"/>
          <w:kern w:val="0"/>
          <w:sz w:val="24"/>
        </w:rPr>
        <w:t>按“三证合一”登记制度办理营业执照的，组织机构代码证和税务登记证（副本）以</w:t>
      </w:r>
      <w:r>
        <w:rPr>
          <w:rFonts w:hint="eastAsia" w:ascii="宋体" w:hAnsi="宋体" w:cs="宋体"/>
          <w:kern w:val="0"/>
          <w:sz w:val="24"/>
          <w:lang w:eastAsia="zh-CN"/>
        </w:rPr>
        <w:t>竞选人</w:t>
      </w:r>
      <w:r>
        <w:rPr>
          <w:rFonts w:hint="eastAsia" w:ascii="宋体" w:hAnsi="宋体" w:cs="宋体"/>
          <w:kern w:val="0"/>
          <w:sz w:val="24"/>
        </w:rPr>
        <w:t>所提供的营业执照（副本）复印件为准。</w:t>
      </w:r>
    </w:p>
    <w:p>
      <w:pPr>
        <w:snapToGrid w:val="0"/>
        <w:spacing w:line="312" w:lineRule="auto"/>
        <w:ind w:firstLine="480" w:firstLineChars="200"/>
        <w:rPr>
          <w:rFonts w:ascii="宋体" w:hAnsi="宋体" w:cs="宋体"/>
          <w:kern w:val="0"/>
          <w:sz w:val="24"/>
        </w:rPr>
      </w:pPr>
      <w:r>
        <w:rPr>
          <w:rFonts w:hint="eastAsia" w:ascii="宋体" w:hAnsi="宋体" w:cs="宋体"/>
          <w:kern w:val="0"/>
          <w:sz w:val="24"/>
        </w:rPr>
        <w:t>②根据《</w:t>
      </w:r>
      <w:r>
        <w:rPr>
          <w:rFonts w:ascii="宋体" w:hAnsi="宋体" w:cs="宋体"/>
          <w:kern w:val="0"/>
          <w:sz w:val="24"/>
        </w:rPr>
        <w:t>中华人民共和国政府采购法实施条例</w:t>
      </w:r>
      <w:r>
        <w:rPr>
          <w:rFonts w:hint="eastAsia" w:ascii="宋体" w:hAnsi="宋体" w:cs="宋体"/>
          <w:kern w:val="0"/>
          <w:sz w:val="24"/>
        </w:rPr>
        <w:t>》第十九条“参加政府采购活动前三年内，在经营活动中没有重大违法记录”中“重大违法记录”</w:t>
      </w:r>
      <w:r>
        <w:rPr>
          <w:rFonts w:ascii="宋体" w:hAnsi="宋体" w:cs="宋体"/>
          <w:kern w:val="0"/>
          <w:sz w:val="24"/>
        </w:rPr>
        <w:t>，是指</w:t>
      </w:r>
      <w:r>
        <w:rPr>
          <w:rFonts w:hint="eastAsia" w:ascii="宋体" w:hAnsi="宋体" w:cs="宋体"/>
          <w:kern w:val="0"/>
          <w:sz w:val="24"/>
          <w:lang w:eastAsia="zh-CN"/>
        </w:rPr>
        <w:t>竞选人</w:t>
      </w:r>
      <w:r>
        <w:rPr>
          <w:rFonts w:ascii="宋体" w:hAnsi="宋体" w:cs="宋体"/>
          <w:kern w:val="0"/>
          <w:sz w:val="24"/>
        </w:rPr>
        <w:t>因违法经营受到刑事处罚或者责令停产停业</w:t>
      </w:r>
      <w:r>
        <w:rPr>
          <w:rFonts w:hint="eastAsia" w:ascii="宋体" w:hAnsi="宋体" w:cs="宋体"/>
          <w:kern w:val="0"/>
          <w:sz w:val="24"/>
          <w:lang w:eastAsia="zh-CN"/>
        </w:rPr>
        <w:t>、</w:t>
      </w:r>
      <w:r>
        <w:rPr>
          <w:rFonts w:ascii="宋体" w:hAnsi="宋体" w:cs="宋体"/>
          <w:kern w:val="0"/>
          <w:sz w:val="24"/>
        </w:rPr>
        <w:t>吊销许可证或者执照</w:t>
      </w:r>
      <w:r>
        <w:rPr>
          <w:rFonts w:hint="eastAsia" w:ascii="宋体" w:hAnsi="宋体" w:cs="宋体"/>
          <w:kern w:val="0"/>
          <w:sz w:val="24"/>
          <w:lang w:eastAsia="zh-CN"/>
        </w:rPr>
        <w:t>、</w:t>
      </w:r>
      <w:r>
        <w:rPr>
          <w:rFonts w:ascii="宋体" w:hAnsi="宋体" w:cs="宋体"/>
          <w:kern w:val="0"/>
          <w:sz w:val="24"/>
        </w:rPr>
        <w:t>较大数额罚款等行政处罚。</w:t>
      </w:r>
    </w:p>
    <w:p>
      <w:pPr>
        <w:snapToGrid w:val="0"/>
        <w:spacing w:line="312" w:lineRule="auto"/>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kern w:val="0"/>
          <w:sz w:val="24"/>
        </w:rPr>
        <w:t>符合性检查。依据</w:t>
      </w:r>
      <w:r>
        <w:rPr>
          <w:rFonts w:hint="eastAsia" w:ascii="宋体" w:hAnsi="宋体" w:cs="宋体"/>
          <w:kern w:val="0"/>
          <w:sz w:val="24"/>
          <w:lang w:eastAsia="zh-CN"/>
        </w:rPr>
        <w:t>竞争性比选文件</w:t>
      </w:r>
      <w:r>
        <w:rPr>
          <w:rFonts w:hint="eastAsia" w:ascii="宋体" w:hAnsi="宋体" w:cs="宋体"/>
          <w:kern w:val="0"/>
          <w:sz w:val="24"/>
        </w:rPr>
        <w:t>的规定，从响应文件的有效性</w:t>
      </w:r>
      <w:r>
        <w:rPr>
          <w:rFonts w:hint="eastAsia" w:ascii="宋体" w:hAnsi="宋体" w:cs="宋体"/>
          <w:kern w:val="0"/>
          <w:sz w:val="24"/>
          <w:lang w:eastAsia="zh-CN"/>
        </w:rPr>
        <w:t>、</w:t>
      </w:r>
      <w:r>
        <w:rPr>
          <w:rFonts w:hint="eastAsia" w:ascii="宋体" w:hAnsi="宋体" w:cs="宋体"/>
          <w:kern w:val="0"/>
          <w:sz w:val="24"/>
        </w:rPr>
        <w:t>完整性和对</w:t>
      </w:r>
      <w:r>
        <w:rPr>
          <w:rFonts w:hint="eastAsia" w:ascii="宋体" w:hAnsi="宋体" w:cs="宋体"/>
          <w:kern w:val="0"/>
          <w:sz w:val="24"/>
          <w:lang w:eastAsia="zh-CN"/>
        </w:rPr>
        <w:t>竞争性比选文件</w:t>
      </w:r>
      <w:r>
        <w:rPr>
          <w:rFonts w:hint="eastAsia" w:ascii="宋体" w:hAnsi="宋体" w:cs="宋体"/>
          <w:kern w:val="0"/>
          <w:sz w:val="24"/>
        </w:rPr>
        <w:t>的响应程度进行审查，以确定是否对</w:t>
      </w:r>
      <w:r>
        <w:rPr>
          <w:rFonts w:hint="eastAsia" w:ascii="宋体" w:hAnsi="宋体" w:cs="宋体"/>
          <w:kern w:val="0"/>
          <w:sz w:val="24"/>
          <w:lang w:eastAsia="zh-CN"/>
        </w:rPr>
        <w:t>竞争性比选文件</w:t>
      </w:r>
      <w:r>
        <w:rPr>
          <w:rFonts w:hint="eastAsia" w:ascii="宋体" w:hAnsi="宋体" w:cs="宋体"/>
          <w:kern w:val="0"/>
          <w:sz w:val="24"/>
        </w:rPr>
        <w:t>的实质性要求作出响应。符合性检查资料表如下：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2"/>
        <w:gridCol w:w="2157"/>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9" w:type="dxa"/>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599" w:type="dxa"/>
            <w:gridSpan w:val="2"/>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4970" w:type="dxa"/>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restart"/>
            <w:noWrap w:val="0"/>
            <w:vAlign w:val="center"/>
          </w:tcPr>
          <w:p>
            <w:pPr>
              <w:spacing w:line="2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42" w:type="dxa"/>
            <w:vMerge w:val="restart"/>
            <w:noWrap w:val="0"/>
            <w:vAlign w:val="center"/>
          </w:tcPr>
          <w:p>
            <w:pPr>
              <w:spacing w:line="24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有效性审查</w:t>
            </w: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签署</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上法定代表人（或其授权代表）或自然人的签字齐全。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4970" w:type="dxa"/>
            <w:noWrap w:val="0"/>
            <w:vAlign w:val="center"/>
          </w:tcPr>
          <w:p>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w:t>
            </w:r>
            <w:r>
              <w:rPr>
                <w:rFonts w:hint="eastAsia" w:ascii="宋体" w:hAnsi="宋体" w:eastAsia="宋体" w:cs="宋体"/>
                <w:color w:val="auto"/>
                <w:sz w:val="21"/>
                <w:szCs w:val="21"/>
                <w:lang w:eastAsia="zh-CN"/>
              </w:rPr>
              <w:t>竞争性比选</w:t>
            </w:r>
            <w:r>
              <w:rPr>
                <w:rFonts w:hint="eastAsia" w:ascii="宋体" w:hAnsi="宋体" w:eastAsia="宋体" w:cs="宋体"/>
                <w:color w:val="auto"/>
                <w:sz w:val="21"/>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只能在采购预算范围内报价，</w:t>
            </w:r>
            <w:r>
              <w:rPr>
                <w:rFonts w:hint="eastAsia" w:ascii="宋体" w:hAnsi="宋体" w:eastAsia="宋体" w:cs="宋体"/>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9" w:type="dxa"/>
            <w:vMerge w:val="restart"/>
            <w:noWrap w:val="0"/>
            <w:vAlign w:val="center"/>
          </w:tcPr>
          <w:p>
            <w:pPr>
              <w:spacing w:line="24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442" w:type="dxa"/>
            <w:vMerge w:val="restart"/>
            <w:noWrap w:val="0"/>
            <w:vAlign w:val="center"/>
          </w:tcPr>
          <w:p>
            <w:pPr>
              <w:spacing w:line="240" w:lineRule="exact"/>
              <w:jc w:val="left"/>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lang w:eastAsia="zh-CN"/>
              </w:rPr>
              <w:t>竞争性比选</w:t>
            </w:r>
            <w:r>
              <w:rPr>
                <w:rFonts w:hint="eastAsia" w:ascii="宋体" w:hAnsi="宋体" w:eastAsia="宋体" w:cs="宋体"/>
                <w:color w:val="auto"/>
                <w:kern w:val="0"/>
                <w:sz w:val="21"/>
                <w:szCs w:val="21"/>
              </w:rPr>
              <w:t>文件的响应程度审查</w:t>
            </w: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内容</w:t>
            </w:r>
          </w:p>
        </w:tc>
        <w:tc>
          <w:tcPr>
            <w:tcW w:w="4970" w:type="dxa"/>
            <w:noWrap w:val="0"/>
            <w:vAlign w:val="center"/>
          </w:tcPr>
          <w:p>
            <w:pPr>
              <w:pStyle w:val="13"/>
              <w:spacing w:line="240" w:lineRule="exac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对竞争性比选文件第二篇、第三篇中的内容进行响应。不得出现虚假内容。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rPr>
                <w:rFonts w:hint="eastAsia" w:ascii="宋体" w:hAnsi="宋体" w:eastAsia="宋体" w:cs="宋体"/>
                <w:color w:val="auto"/>
                <w:sz w:val="21"/>
                <w:szCs w:val="21"/>
                <w:lang w:val="zh-CN"/>
              </w:rPr>
            </w:pP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w:t>
            </w:r>
            <w:r>
              <w:rPr>
                <w:rFonts w:hint="eastAsia" w:ascii="宋体" w:hAnsi="宋体" w:eastAsia="宋体" w:cs="宋体"/>
                <w:color w:val="auto"/>
                <w:kern w:val="0"/>
                <w:sz w:val="21"/>
                <w:szCs w:val="21"/>
              </w:rPr>
              <w:t>有效期</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及有关承诺文件有效期为提交</w:t>
            </w: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截止时间起90天。</w:t>
            </w:r>
          </w:p>
        </w:tc>
      </w:tr>
    </w:tbl>
    <w:p>
      <w:pPr>
        <w:spacing w:line="312" w:lineRule="auto"/>
        <w:ind w:right="-126" w:rightChars="-60" w:firstLine="480" w:firstLineChars="200"/>
        <w:rPr>
          <w:rFonts w:hint="eastAsia" w:ascii="宋体" w:hAnsi="宋体" w:cs="宋体"/>
          <w:sz w:val="24"/>
        </w:rPr>
      </w:pPr>
      <w:r>
        <w:rPr>
          <w:rFonts w:hint="eastAsia" w:ascii="宋体" w:hAnsi="宋体" w:cs="宋体"/>
          <w:sz w:val="24"/>
        </w:rPr>
        <w:t>（三）澄清有关问题。</w:t>
      </w:r>
      <w:r>
        <w:rPr>
          <w:rFonts w:hint="eastAsia" w:ascii="宋体" w:hAnsi="宋体" w:cs="宋体"/>
          <w:sz w:val="24"/>
          <w:lang w:eastAsia="zh-CN"/>
        </w:rPr>
        <w:t>评审小组</w:t>
      </w:r>
      <w:r>
        <w:rPr>
          <w:rFonts w:hint="eastAsia" w:ascii="宋体" w:hAnsi="宋体" w:cs="宋体"/>
          <w:sz w:val="24"/>
        </w:rPr>
        <w:t>在对</w:t>
      </w:r>
      <w:r>
        <w:rPr>
          <w:rFonts w:hint="eastAsia" w:ascii="宋体" w:hAnsi="宋体" w:cs="宋体"/>
          <w:sz w:val="24"/>
          <w:lang w:eastAsia="zh-CN"/>
        </w:rPr>
        <w:t>响应文件</w:t>
      </w:r>
      <w:r>
        <w:rPr>
          <w:rFonts w:hint="eastAsia" w:ascii="宋体" w:hAnsi="宋体" w:cs="宋体"/>
          <w:sz w:val="24"/>
        </w:rPr>
        <w:t>的有效性</w:t>
      </w:r>
      <w:r>
        <w:rPr>
          <w:rFonts w:hint="eastAsia" w:ascii="宋体" w:hAnsi="宋体" w:cs="宋体"/>
          <w:sz w:val="24"/>
          <w:lang w:eastAsia="zh-CN"/>
        </w:rPr>
        <w:t>、</w:t>
      </w:r>
      <w:r>
        <w:rPr>
          <w:rFonts w:hint="eastAsia" w:ascii="宋体" w:hAnsi="宋体" w:cs="宋体"/>
          <w:sz w:val="24"/>
        </w:rPr>
        <w:t>完整性和响应程度进行审查时，可以要求</w:t>
      </w:r>
      <w:r>
        <w:rPr>
          <w:rFonts w:hint="eastAsia" w:ascii="宋体" w:hAnsi="宋体" w:cs="宋体"/>
          <w:sz w:val="24"/>
          <w:lang w:eastAsia="zh-CN"/>
        </w:rPr>
        <w:t>竞选人</w:t>
      </w:r>
      <w:r>
        <w:rPr>
          <w:rFonts w:hint="eastAsia" w:ascii="宋体" w:hAnsi="宋体" w:cs="宋体"/>
          <w:sz w:val="24"/>
        </w:rPr>
        <w:t>对</w:t>
      </w:r>
      <w:r>
        <w:rPr>
          <w:rFonts w:hint="eastAsia" w:ascii="宋体" w:hAnsi="宋体" w:cs="宋体"/>
          <w:sz w:val="24"/>
          <w:lang w:eastAsia="zh-CN"/>
        </w:rPr>
        <w:t>响应文件</w:t>
      </w:r>
      <w:r>
        <w:rPr>
          <w:rFonts w:hint="eastAsia" w:ascii="宋体" w:hAnsi="宋体" w:cs="宋体"/>
          <w:sz w:val="24"/>
        </w:rPr>
        <w:t>中含义不明确</w:t>
      </w:r>
      <w:r>
        <w:rPr>
          <w:rFonts w:hint="eastAsia" w:ascii="宋体" w:hAnsi="宋体" w:cs="宋体"/>
          <w:sz w:val="24"/>
          <w:lang w:eastAsia="zh-CN"/>
        </w:rPr>
        <w:t>、</w:t>
      </w:r>
      <w:r>
        <w:rPr>
          <w:rFonts w:hint="eastAsia" w:ascii="宋体" w:hAnsi="宋体" w:cs="宋体"/>
          <w:sz w:val="24"/>
        </w:rPr>
        <w:t>同类问题表述不一致或者有明显文字和计算错误的内容等作出必要的澄清</w:t>
      </w:r>
      <w:r>
        <w:rPr>
          <w:rFonts w:hint="eastAsia" w:ascii="宋体" w:hAnsi="宋体" w:cs="宋体"/>
          <w:sz w:val="24"/>
          <w:lang w:eastAsia="zh-CN"/>
        </w:rPr>
        <w:t>、</w:t>
      </w:r>
      <w:r>
        <w:rPr>
          <w:rFonts w:hint="eastAsia" w:ascii="宋体" w:hAnsi="宋体" w:cs="宋体"/>
          <w:sz w:val="24"/>
        </w:rPr>
        <w:t>说明或者更正。</w:t>
      </w:r>
      <w:r>
        <w:rPr>
          <w:rFonts w:hint="eastAsia" w:ascii="宋体" w:hAnsi="宋体" w:cs="宋体"/>
          <w:sz w:val="24"/>
          <w:lang w:eastAsia="zh-CN"/>
        </w:rPr>
        <w:t>竞选人</w:t>
      </w:r>
      <w:r>
        <w:rPr>
          <w:rFonts w:hint="eastAsia" w:ascii="宋体" w:hAnsi="宋体" w:cs="宋体"/>
          <w:sz w:val="24"/>
        </w:rPr>
        <w:t>的澄清</w:t>
      </w:r>
      <w:r>
        <w:rPr>
          <w:rFonts w:hint="eastAsia" w:ascii="宋体" w:hAnsi="宋体" w:cs="宋体"/>
          <w:sz w:val="24"/>
          <w:lang w:eastAsia="zh-CN"/>
        </w:rPr>
        <w:t>、</w:t>
      </w:r>
      <w:r>
        <w:rPr>
          <w:rFonts w:hint="eastAsia" w:ascii="宋体" w:hAnsi="宋体" w:cs="宋体"/>
          <w:sz w:val="24"/>
        </w:rPr>
        <w:t>说明或者更正不得超出</w:t>
      </w:r>
      <w:r>
        <w:rPr>
          <w:rFonts w:hint="eastAsia" w:ascii="宋体" w:hAnsi="宋体" w:cs="宋体"/>
          <w:sz w:val="24"/>
          <w:lang w:eastAsia="zh-CN"/>
        </w:rPr>
        <w:t>响应文件</w:t>
      </w:r>
      <w:r>
        <w:rPr>
          <w:rFonts w:hint="eastAsia" w:ascii="宋体" w:hAnsi="宋体" w:cs="宋体"/>
          <w:sz w:val="24"/>
        </w:rPr>
        <w:t>的范围或者改变</w:t>
      </w:r>
      <w:r>
        <w:rPr>
          <w:rFonts w:hint="eastAsia" w:ascii="宋体" w:hAnsi="宋体" w:cs="宋体"/>
          <w:sz w:val="24"/>
          <w:lang w:eastAsia="zh-CN"/>
        </w:rPr>
        <w:t>响应文件</w:t>
      </w:r>
      <w:r>
        <w:rPr>
          <w:rFonts w:hint="eastAsia" w:ascii="宋体" w:hAnsi="宋体" w:cs="宋体"/>
          <w:sz w:val="24"/>
        </w:rPr>
        <w:t>的实质性内容。</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lang w:eastAsia="zh-CN"/>
        </w:rPr>
        <w:t>评审小组</w:t>
      </w:r>
      <w:r>
        <w:rPr>
          <w:rFonts w:hint="eastAsia" w:ascii="宋体" w:hAnsi="宋体" w:cs="宋体"/>
          <w:sz w:val="24"/>
        </w:rPr>
        <w:t>要求</w:t>
      </w:r>
      <w:r>
        <w:rPr>
          <w:rFonts w:hint="eastAsia" w:ascii="宋体" w:hAnsi="宋体" w:cs="宋体"/>
          <w:sz w:val="24"/>
          <w:lang w:eastAsia="zh-CN"/>
        </w:rPr>
        <w:t>竞选人</w:t>
      </w:r>
      <w:r>
        <w:rPr>
          <w:rFonts w:hint="eastAsia" w:ascii="宋体" w:hAnsi="宋体" w:cs="宋体"/>
          <w:sz w:val="24"/>
        </w:rPr>
        <w:t>澄清</w:t>
      </w:r>
      <w:r>
        <w:rPr>
          <w:rFonts w:hint="eastAsia" w:ascii="宋体" w:hAnsi="宋体" w:cs="宋体"/>
          <w:sz w:val="24"/>
          <w:lang w:eastAsia="zh-CN"/>
        </w:rPr>
        <w:t>、</w:t>
      </w:r>
      <w:r>
        <w:rPr>
          <w:rFonts w:hint="eastAsia" w:ascii="宋体" w:hAnsi="宋体" w:cs="宋体"/>
          <w:sz w:val="24"/>
        </w:rPr>
        <w:t>说明或者更正</w:t>
      </w:r>
      <w:r>
        <w:rPr>
          <w:rFonts w:hint="eastAsia" w:ascii="宋体" w:hAnsi="宋体" w:cs="宋体"/>
          <w:sz w:val="24"/>
          <w:lang w:eastAsia="zh-CN"/>
        </w:rPr>
        <w:t>响应文件</w:t>
      </w:r>
      <w:r>
        <w:rPr>
          <w:rFonts w:hint="eastAsia" w:ascii="宋体" w:hAnsi="宋体" w:cs="宋体"/>
          <w:sz w:val="24"/>
        </w:rPr>
        <w:t>应当以书面形式作出。</w:t>
      </w:r>
      <w:r>
        <w:rPr>
          <w:rFonts w:hint="eastAsia" w:ascii="宋体" w:hAnsi="宋体" w:cs="宋体"/>
          <w:sz w:val="24"/>
          <w:lang w:eastAsia="zh-CN"/>
        </w:rPr>
        <w:t>竞选人</w:t>
      </w:r>
      <w:r>
        <w:rPr>
          <w:rFonts w:hint="eastAsia" w:ascii="宋体" w:hAnsi="宋体" w:cs="宋体"/>
          <w:sz w:val="24"/>
        </w:rPr>
        <w:t>的澄清</w:t>
      </w:r>
      <w:r>
        <w:rPr>
          <w:rFonts w:hint="eastAsia" w:ascii="宋体" w:hAnsi="宋体" w:cs="宋体"/>
          <w:sz w:val="24"/>
          <w:lang w:eastAsia="zh-CN"/>
        </w:rPr>
        <w:t>.</w:t>
      </w:r>
      <w:r>
        <w:rPr>
          <w:rFonts w:hint="eastAsia" w:ascii="宋体" w:hAnsi="宋体" w:cs="宋体"/>
          <w:sz w:val="24"/>
        </w:rPr>
        <w:t>说明或者更正应当由法定代表人（或其授权代表）或自然人（</w:t>
      </w:r>
      <w:r>
        <w:rPr>
          <w:rFonts w:hint="eastAsia" w:ascii="宋体" w:hAnsi="宋体" w:cs="宋体"/>
          <w:sz w:val="24"/>
          <w:lang w:eastAsia="zh-CN"/>
        </w:rPr>
        <w:t>竞选人</w:t>
      </w:r>
      <w:r>
        <w:rPr>
          <w:rFonts w:hint="eastAsia" w:ascii="宋体" w:hAnsi="宋体" w:cs="宋体"/>
          <w:sz w:val="24"/>
        </w:rPr>
        <w:t>为自然人）签字或者加盖公章。由授权代表签字的，应当附法定代表人授权书。</w:t>
      </w:r>
      <w:r>
        <w:rPr>
          <w:rFonts w:hint="eastAsia" w:ascii="宋体" w:hAnsi="宋体" w:cs="宋体"/>
          <w:sz w:val="24"/>
          <w:lang w:eastAsia="zh-CN"/>
        </w:rPr>
        <w:t>竞选人</w:t>
      </w:r>
      <w:r>
        <w:rPr>
          <w:rFonts w:hint="eastAsia" w:ascii="宋体" w:hAnsi="宋体" w:cs="宋体"/>
          <w:sz w:val="24"/>
        </w:rPr>
        <w:t>为自然人的，应当由本人签字并附身份证明。</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lang w:eastAsia="zh-CN"/>
        </w:rPr>
        <w:t>评审小组</w:t>
      </w:r>
      <w:r>
        <w:rPr>
          <w:rFonts w:hint="eastAsia" w:ascii="宋体" w:hAnsi="宋体" w:cs="宋体"/>
          <w:sz w:val="24"/>
        </w:rPr>
        <w:t>采用综合评分法对</w:t>
      </w:r>
      <w:r>
        <w:rPr>
          <w:rFonts w:hint="eastAsia" w:ascii="宋体" w:hAnsi="宋体" w:cs="宋体"/>
          <w:sz w:val="24"/>
          <w:lang w:eastAsia="zh-CN"/>
        </w:rPr>
        <w:t>竞选人</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和报价（含有效书面承诺）进行综合评分。综合评分法，是指</w:t>
      </w:r>
      <w:r>
        <w:rPr>
          <w:rFonts w:hint="eastAsia" w:ascii="宋体" w:hAnsi="宋体" w:cs="宋体"/>
          <w:sz w:val="24"/>
          <w:lang w:eastAsia="zh-CN"/>
        </w:rPr>
        <w:t>响应文件</w:t>
      </w:r>
      <w:r>
        <w:rPr>
          <w:rFonts w:hint="eastAsia" w:ascii="宋体" w:hAnsi="宋体" w:cs="宋体"/>
          <w:sz w:val="24"/>
        </w:rPr>
        <w:t>满足竞争性比选文件全部实质性要求且按照评审因素的量化指标评审得分最高的</w:t>
      </w:r>
      <w:r>
        <w:rPr>
          <w:rFonts w:hint="eastAsia" w:ascii="宋体" w:hAnsi="宋体" w:cs="宋体"/>
          <w:sz w:val="24"/>
          <w:lang w:eastAsia="zh-CN"/>
        </w:rPr>
        <w:t>竞选人</w:t>
      </w:r>
      <w:r>
        <w:rPr>
          <w:rFonts w:hint="eastAsia" w:ascii="宋体" w:hAnsi="宋体" w:cs="宋体"/>
          <w:sz w:val="24"/>
        </w:rPr>
        <w:t>为成交候选</w:t>
      </w:r>
      <w:r>
        <w:rPr>
          <w:rFonts w:hint="eastAsia" w:ascii="宋体" w:hAnsi="宋体" w:cs="宋体"/>
          <w:sz w:val="24"/>
          <w:lang w:eastAsia="zh-CN"/>
        </w:rPr>
        <w:t>竞选人</w:t>
      </w:r>
      <w:r>
        <w:rPr>
          <w:rFonts w:hint="eastAsia" w:ascii="宋体" w:hAnsi="宋体" w:cs="宋体"/>
          <w:sz w:val="24"/>
        </w:rPr>
        <w:t>的评审方法。</w:t>
      </w:r>
      <w:r>
        <w:rPr>
          <w:rFonts w:hint="eastAsia" w:ascii="宋体" w:hAnsi="宋体" w:cs="宋体"/>
          <w:sz w:val="24"/>
          <w:lang w:eastAsia="zh-CN"/>
        </w:rPr>
        <w:t>竞选人</w:t>
      </w:r>
      <w:r>
        <w:rPr>
          <w:rFonts w:hint="eastAsia" w:ascii="宋体" w:hAnsi="宋体" w:cs="宋体"/>
          <w:sz w:val="24"/>
        </w:rPr>
        <w:t>总得分为价格</w:t>
      </w:r>
      <w:r>
        <w:rPr>
          <w:rFonts w:hint="eastAsia" w:ascii="宋体" w:hAnsi="宋体" w:cs="宋体"/>
          <w:sz w:val="24"/>
          <w:lang w:eastAsia="zh-CN"/>
        </w:rPr>
        <w:t>、</w:t>
      </w:r>
      <w:r>
        <w:rPr>
          <w:rFonts w:hint="eastAsia" w:ascii="宋体" w:hAnsi="宋体" w:cs="宋体"/>
          <w:sz w:val="24"/>
        </w:rPr>
        <w:t>技术</w:t>
      </w:r>
      <w:r>
        <w:rPr>
          <w:rFonts w:hint="eastAsia" w:ascii="宋体" w:hAnsi="宋体" w:cs="宋体"/>
          <w:sz w:val="24"/>
          <w:lang w:eastAsia="zh-CN"/>
        </w:rPr>
        <w:t>、</w:t>
      </w:r>
      <w:r>
        <w:rPr>
          <w:rFonts w:hint="eastAsia" w:ascii="宋体" w:hAnsi="宋体" w:cs="宋体"/>
          <w:sz w:val="24"/>
        </w:rPr>
        <w:t>商务等评定因素分别按照相应权重值计算分项得分后相加，满分为100分。</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（六）</w:t>
      </w:r>
      <w:r>
        <w:rPr>
          <w:rFonts w:hint="eastAsia" w:ascii="宋体" w:hAnsi="宋体" w:cs="宋体"/>
          <w:sz w:val="24"/>
          <w:lang w:eastAsia="zh-CN"/>
        </w:rPr>
        <w:t>评审小组</w:t>
      </w:r>
      <w:r>
        <w:rPr>
          <w:rFonts w:hint="eastAsia" w:ascii="宋体" w:hAnsi="宋体" w:cs="宋体"/>
          <w:sz w:val="24"/>
        </w:rPr>
        <w:t>各成员独立对每个有效响应（通过资格性</w:t>
      </w:r>
      <w:r>
        <w:rPr>
          <w:rFonts w:hint="eastAsia" w:ascii="宋体" w:hAnsi="宋体" w:cs="宋体"/>
          <w:sz w:val="24"/>
          <w:lang w:eastAsia="zh-CN"/>
        </w:rPr>
        <w:t>、</w:t>
      </w:r>
      <w:r>
        <w:rPr>
          <w:rFonts w:hint="eastAsia" w:ascii="宋体" w:hAnsi="宋体" w:cs="宋体"/>
          <w:sz w:val="24"/>
        </w:rPr>
        <w:t>符合性审查的</w:t>
      </w:r>
      <w:r>
        <w:rPr>
          <w:rFonts w:hint="eastAsia" w:ascii="宋体" w:hAnsi="宋体" w:cs="宋体"/>
          <w:sz w:val="24"/>
          <w:lang w:eastAsia="zh-CN"/>
        </w:rPr>
        <w:t>竞选人</w:t>
      </w:r>
      <w:r>
        <w:rPr>
          <w:rFonts w:hint="eastAsia" w:ascii="宋体" w:hAnsi="宋体" w:cs="宋体"/>
          <w:sz w:val="24"/>
        </w:rPr>
        <w:t>）的文件进行评价</w:t>
      </w:r>
      <w:r>
        <w:rPr>
          <w:rFonts w:hint="eastAsia" w:ascii="宋体" w:hAnsi="宋体" w:cs="宋体"/>
          <w:sz w:val="24"/>
          <w:lang w:eastAsia="zh-CN"/>
        </w:rPr>
        <w:t>、</w:t>
      </w:r>
      <w:r>
        <w:rPr>
          <w:rFonts w:hint="eastAsia" w:ascii="宋体" w:hAnsi="宋体" w:cs="宋体"/>
          <w:sz w:val="24"/>
        </w:rPr>
        <w:t>打分，然后汇总每个</w:t>
      </w:r>
      <w:r>
        <w:rPr>
          <w:rFonts w:hint="eastAsia" w:ascii="宋体" w:hAnsi="宋体" w:cs="宋体"/>
          <w:sz w:val="24"/>
          <w:lang w:eastAsia="zh-CN"/>
        </w:rPr>
        <w:t>竞选人</w:t>
      </w:r>
      <w:r>
        <w:rPr>
          <w:rFonts w:hint="eastAsia" w:ascii="宋体" w:hAnsi="宋体" w:cs="宋体"/>
          <w:sz w:val="24"/>
        </w:rPr>
        <w:t>每项评分因素的得分，并根据综合评分情况按照评审得分由高到低顺序推荐3名及以上成交候选</w:t>
      </w:r>
      <w:r>
        <w:rPr>
          <w:rFonts w:hint="eastAsia" w:ascii="宋体" w:hAnsi="宋体" w:cs="宋体"/>
          <w:sz w:val="24"/>
          <w:lang w:eastAsia="zh-CN"/>
        </w:rPr>
        <w:t>竞选人，</w:t>
      </w:r>
      <w:r>
        <w:rPr>
          <w:rFonts w:hint="eastAsia" w:ascii="宋体" w:hAnsi="宋体" w:cs="宋体"/>
          <w:sz w:val="24"/>
          <w:lang w:val="en-US" w:eastAsia="zh-CN"/>
        </w:rPr>
        <w:t>推荐前三名为入围</w:t>
      </w:r>
      <w:r>
        <w:rPr>
          <w:rFonts w:hint="eastAsia" w:ascii="宋体" w:hAnsi="宋体" w:cs="宋体"/>
          <w:sz w:val="24"/>
        </w:rPr>
        <w:t>成交候选</w:t>
      </w:r>
      <w:r>
        <w:rPr>
          <w:rFonts w:hint="eastAsia" w:ascii="宋体" w:hAnsi="宋体" w:cs="宋体"/>
          <w:sz w:val="24"/>
          <w:lang w:eastAsia="zh-CN"/>
        </w:rPr>
        <w:t>竞选人</w:t>
      </w:r>
      <w:r>
        <w:rPr>
          <w:rFonts w:hint="eastAsia" w:ascii="宋体" w:hAnsi="宋体" w:cs="宋体"/>
          <w:sz w:val="24"/>
        </w:rPr>
        <w:t>。得分相同的，按竞选报价由低到高顺序排列。得分且竞选报价相同的并列。按照商务部分由高到低顺序排列。</w:t>
      </w:r>
    </w:p>
    <w:p>
      <w:pPr>
        <w:pStyle w:val="104"/>
        <w:spacing w:line="400" w:lineRule="exact"/>
        <w:ind w:firstLine="482" w:firstLineChars="200"/>
        <w:rPr>
          <w:rFonts w:hint="eastAsia" w:ascii="方正仿宋_GBK" w:hAnsi="仿宋" w:eastAsia="方正仿宋_GBK" w:cs="仿宋"/>
          <w:b/>
          <w:sz w:val="24"/>
          <w:szCs w:val="24"/>
          <w:highlight w:val="none"/>
        </w:rPr>
      </w:pPr>
      <w:bookmarkStart w:id="149" w:name="_Toc174478293"/>
      <w:bookmarkStart w:id="150" w:name="_Toc12303"/>
      <w:bookmarkStart w:id="151" w:name="_Toc5362"/>
      <w:r>
        <w:rPr>
          <w:rFonts w:hint="eastAsia" w:ascii="方正仿宋_GBK" w:hAnsi="仿宋" w:eastAsia="方正仿宋_GBK" w:cs="仿宋"/>
          <w:b/>
          <w:sz w:val="24"/>
          <w:szCs w:val="24"/>
          <w:highlight w:val="none"/>
        </w:rPr>
        <w:t>三、评标标准</w:t>
      </w:r>
      <w:bookmarkEnd w:id="149"/>
      <w:bookmarkEnd w:id="150"/>
      <w:bookmarkEnd w:id="151"/>
      <w:bookmarkStart w:id="152" w:name="_Toc20423"/>
      <w:bookmarkStart w:id="153" w:name="_Toc1749"/>
      <w:bookmarkStart w:id="154" w:name="_Toc18716"/>
      <w:bookmarkStart w:id="155" w:name="_Toc75793521"/>
      <w:bookmarkStart w:id="156" w:name="_Toc5010"/>
      <w:bookmarkStart w:id="157" w:name="_Toc13045"/>
      <w:bookmarkStart w:id="158" w:name="_Toc26747"/>
      <w:bookmarkStart w:id="159" w:name="_Toc174478294"/>
      <w:bookmarkStart w:id="160" w:name="_Toc21357"/>
      <w:bookmarkStart w:id="161" w:name="_Toc15200"/>
      <w:bookmarkStart w:id="162" w:name="_Toc17065"/>
      <w:bookmarkStart w:id="163" w:name="_Toc19313"/>
      <w:bookmarkStart w:id="164" w:name="_Toc4045"/>
      <w:bookmarkStart w:id="165" w:name="_Toc5665"/>
      <w:bookmarkStart w:id="166" w:name="_Toc10923"/>
      <w:bookmarkStart w:id="167" w:name="_Toc22167"/>
      <w:bookmarkStart w:id="168" w:name="_Toc29586"/>
      <w:bookmarkStart w:id="169" w:name="_Toc13232"/>
      <w:bookmarkStart w:id="170" w:name="_Toc30659"/>
      <w:bookmarkStart w:id="171" w:name="_Toc27926"/>
    </w:p>
    <w:tbl>
      <w:tblPr>
        <w:tblStyle w:val="24"/>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088"/>
        <w:gridCol w:w="684"/>
        <w:gridCol w:w="557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ind w:firstLine="28"/>
              <w:jc w:val="center"/>
              <w:rPr>
                <w:rFonts w:hint="eastAsia" w:ascii="方正仿宋_GBK" w:hAnsi="宋体" w:eastAsia="方正仿宋_GBK"/>
                <w:b/>
                <w:szCs w:val="21"/>
                <w:highlight w:val="none"/>
              </w:rPr>
            </w:pPr>
            <w:bookmarkStart w:id="172" w:name="_Toc5106"/>
            <w:bookmarkEnd w:id="172"/>
            <w:bookmarkStart w:id="173" w:name="_Toc22201"/>
            <w:bookmarkEnd w:id="173"/>
            <w:bookmarkStart w:id="174" w:name="_Toc4008"/>
            <w:bookmarkEnd w:id="174"/>
            <w:bookmarkStart w:id="175" w:name="_Toc106030399"/>
            <w:bookmarkEnd w:id="175"/>
            <w:bookmarkStart w:id="176" w:name="_Toc4735"/>
            <w:bookmarkEnd w:id="176"/>
            <w:bookmarkStart w:id="177" w:name="_Toc21024"/>
            <w:bookmarkEnd w:id="177"/>
            <w:bookmarkStart w:id="178" w:name="_Toc22256"/>
            <w:bookmarkEnd w:id="178"/>
            <w:bookmarkStart w:id="179" w:name="_Toc21000"/>
            <w:bookmarkEnd w:id="179"/>
            <w:bookmarkStart w:id="180" w:name="_Toc1982"/>
            <w:bookmarkEnd w:id="180"/>
            <w:bookmarkStart w:id="181" w:name="_Toc21720"/>
            <w:bookmarkEnd w:id="181"/>
            <w:bookmarkStart w:id="182" w:name="_Toc12533"/>
            <w:bookmarkEnd w:id="182"/>
            <w:bookmarkStart w:id="183" w:name="_Toc19831"/>
            <w:bookmarkEnd w:id="183"/>
            <w:bookmarkStart w:id="184" w:name="_Toc11639"/>
            <w:bookmarkEnd w:id="184"/>
            <w:bookmarkStart w:id="185" w:name="_Toc75793523"/>
            <w:bookmarkEnd w:id="185"/>
            <w:bookmarkStart w:id="186" w:name="_Toc29546"/>
            <w:bookmarkEnd w:id="186"/>
            <w:bookmarkStart w:id="187" w:name="_Toc13159"/>
            <w:bookmarkEnd w:id="187"/>
            <w:bookmarkStart w:id="188" w:name="_Toc25962"/>
            <w:bookmarkEnd w:id="188"/>
            <w:bookmarkStart w:id="189" w:name="_Toc25755"/>
            <w:bookmarkEnd w:id="189"/>
            <w:bookmarkStart w:id="190" w:name="_Toc18502"/>
            <w:bookmarkEnd w:id="190"/>
            <w:r>
              <w:rPr>
                <w:rFonts w:hint="eastAsia" w:ascii="方正仿宋_GBK" w:hAnsi="宋体" w:eastAsia="方正仿宋_GBK"/>
                <w:b/>
                <w:szCs w:val="21"/>
                <w:highlight w:val="none"/>
              </w:rPr>
              <w:t>序号</w:t>
            </w:r>
          </w:p>
        </w:tc>
        <w:tc>
          <w:tcPr>
            <w:tcW w:w="1088" w:type="dxa"/>
            <w:noWrap w:val="0"/>
            <w:vAlign w:val="center"/>
          </w:tcPr>
          <w:p>
            <w:pPr>
              <w:ind w:firstLine="28"/>
              <w:jc w:val="center"/>
              <w:rPr>
                <w:rFonts w:hint="eastAsia" w:ascii="方正仿宋_GBK" w:hAnsi="宋体" w:eastAsia="方正仿宋_GBK"/>
                <w:b/>
                <w:szCs w:val="21"/>
                <w:highlight w:val="none"/>
              </w:rPr>
            </w:pPr>
            <w:r>
              <w:rPr>
                <w:rFonts w:hint="eastAsia" w:ascii="方正仿宋_GBK" w:hAnsi="宋体" w:eastAsia="方正仿宋_GBK"/>
                <w:b/>
                <w:szCs w:val="21"/>
                <w:highlight w:val="none"/>
              </w:rPr>
              <w:t>评分因素</w:t>
            </w:r>
          </w:p>
          <w:p>
            <w:pPr>
              <w:ind w:firstLine="28"/>
              <w:jc w:val="center"/>
              <w:rPr>
                <w:rFonts w:hint="eastAsia" w:ascii="方正仿宋_GBK" w:hAnsi="宋体" w:eastAsia="方正仿宋_GBK"/>
                <w:b/>
                <w:szCs w:val="21"/>
                <w:highlight w:val="none"/>
              </w:rPr>
            </w:pPr>
            <w:r>
              <w:rPr>
                <w:rFonts w:hint="eastAsia" w:ascii="方正仿宋_GBK" w:hAnsi="宋体" w:eastAsia="方正仿宋_GBK"/>
                <w:b/>
                <w:szCs w:val="21"/>
                <w:highlight w:val="none"/>
              </w:rPr>
              <w:t>及权重</w:t>
            </w:r>
          </w:p>
        </w:tc>
        <w:tc>
          <w:tcPr>
            <w:tcW w:w="684" w:type="dxa"/>
            <w:noWrap w:val="0"/>
            <w:vAlign w:val="center"/>
          </w:tcPr>
          <w:p>
            <w:pPr>
              <w:ind w:firstLine="28"/>
              <w:jc w:val="center"/>
              <w:rPr>
                <w:rFonts w:hint="eastAsia" w:ascii="方正仿宋_GBK" w:hAnsi="宋体" w:eastAsia="方正仿宋_GBK"/>
                <w:b/>
                <w:szCs w:val="21"/>
                <w:highlight w:val="none"/>
              </w:rPr>
            </w:pPr>
            <w:r>
              <w:rPr>
                <w:rFonts w:hint="eastAsia" w:ascii="方正仿宋_GBK" w:hAnsi="宋体" w:eastAsia="方正仿宋_GBK"/>
                <w:b/>
                <w:szCs w:val="21"/>
                <w:highlight w:val="none"/>
              </w:rPr>
              <w:t>分值</w:t>
            </w:r>
          </w:p>
        </w:tc>
        <w:tc>
          <w:tcPr>
            <w:tcW w:w="5578" w:type="dxa"/>
            <w:noWrap w:val="0"/>
            <w:vAlign w:val="center"/>
          </w:tcPr>
          <w:p>
            <w:pPr>
              <w:ind w:firstLine="28"/>
              <w:jc w:val="center"/>
              <w:rPr>
                <w:rFonts w:hint="eastAsia" w:ascii="方正仿宋_GBK" w:hAnsi="宋体" w:eastAsia="方正仿宋_GBK"/>
                <w:b/>
                <w:szCs w:val="21"/>
                <w:highlight w:val="none"/>
              </w:rPr>
            </w:pPr>
            <w:r>
              <w:rPr>
                <w:rFonts w:hint="eastAsia" w:ascii="方正仿宋_GBK" w:hAnsi="宋体" w:eastAsia="方正仿宋_GBK"/>
                <w:b/>
                <w:szCs w:val="21"/>
                <w:highlight w:val="none"/>
              </w:rPr>
              <w:t>评分标准</w:t>
            </w:r>
          </w:p>
        </w:tc>
        <w:tc>
          <w:tcPr>
            <w:tcW w:w="1307" w:type="dxa"/>
            <w:noWrap w:val="0"/>
            <w:vAlign w:val="center"/>
          </w:tcPr>
          <w:p>
            <w:pPr>
              <w:pStyle w:val="93"/>
              <w:spacing w:before="0" w:after="0" w:line="240" w:lineRule="auto"/>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1</w:t>
            </w:r>
          </w:p>
        </w:tc>
        <w:tc>
          <w:tcPr>
            <w:tcW w:w="108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竞选报价</w:t>
            </w:r>
          </w:p>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rPr>
              <w:t>30%</w:t>
            </w:r>
            <w:r>
              <w:rPr>
                <w:rFonts w:hint="eastAsia" w:ascii="方正仿宋_GBK" w:hAnsi="宋体" w:eastAsia="方正仿宋_GBK"/>
                <w:szCs w:val="21"/>
                <w:highlight w:val="none"/>
                <w:lang w:eastAsia="zh-CN"/>
              </w:rPr>
              <w:t>)</w:t>
            </w:r>
          </w:p>
        </w:tc>
        <w:tc>
          <w:tcPr>
            <w:tcW w:w="684" w:type="dxa"/>
            <w:noWrap w:val="0"/>
            <w:vAlign w:val="center"/>
          </w:tcPr>
          <w:p>
            <w:pPr>
              <w:ind w:firstLine="28"/>
              <w:jc w:val="center"/>
              <w:rPr>
                <w:rFonts w:ascii="方正仿宋_GBK" w:hAnsi="宋体" w:eastAsia="方正仿宋_GBK"/>
                <w:szCs w:val="21"/>
                <w:highlight w:val="none"/>
              </w:rPr>
            </w:pPr>
            <w:r>
              <w:rPr>
                <w:rFonts w:hint="eastAsia" w:ascii="方正仿宋_GBK" w:hAnsi="宋体" w:eastAsia="方正仿宋_GBK"/>
                <w:szCs w:val="21"/>
                <w:highlight w:val="none"/>
              </w:rPr>
              <w:t>30分</w:t>
            </w:r>
          </w:p>
        </w:tc>
        <w:tc>
          <w:tcPr>
            <w:tcW w:w="5578" w:type="dxa"/>
            <w:noWrap w:val="0"/>
            <w:vAlign w:val="center"/>
          </w:tcPr>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所有合格竞选人的竞选报价中去掉六分之一（不能整除的按小数点前整数取整，不足六家报价则不去掉）的最低价和相同家数的最高价后的算术平均值，即为本项目投标报价的评标基准价。</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评标基准价计算的最终结果取小数点后两位，小数点后第三位四舍五入。在评标基准价计算完成后（除计算错误外），在后续的评审中不得再对其做出调整。</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投标报价的偏差率计算公式</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偏差率=100%×（投标人报价-评标基准价）/评标基准价</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偏差率计算的最终结果取小数点后两位，小数点后第三位“四舍五入”。</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不设置允许偏差范围，得分值的满分30分。在此基础上，竞选报价与评标基准价相比，每增加1%扣0.2分，每减少1%扣0.1分，扣完为止。</w:t>
            </w:r>
          </w:p>
          <w:p>
            <w:pPr>
              <w:rPr>
                <w:rFonts w:hint="eastAsia" w:ascii="方正仿宋_GBK" w:hAnsi="宋体" w:eastAsia="方正仿宋_GBK"/>
                <w:szCs w:val="21"/>
                <w:highlight w:val="none"/>
              </w:rPr>
            </w:pPr>
            <w:r>
              <w:rPr>
                <w:rFonts w:hint="eastAsia" w:ascii="方正仿宋_GBK" w:hAnsi="宋体" w:eastAsia="方正仿宋_GBK"/>
                <w:szCs w:val="21"/>
                <w:highlight w:val="none"/>
              </w:rPr>
              <w:t>竞选报价得分最终结果取小数点后两位，第三位四舍五入。</w:t>
            </w:r>
          </w:p>
        </w:tc>
        <w:tc>
          <w:tcPr>
            <w:tcW w:w="1307" w:type="dxa"/>
            <w:noWrap w:val="0"/>
            <w:vAlign w:val="center"/>
          </w:tcPr>
          <w:p>
            <w:pPr>
              <w:ind w:left="-3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2</w:t>
            </w:r>
          </w:p>
        </w:tc>
        <w:tc>
          <w:tcPr>
            <w:tcW w:w="108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服务部分</w:t>
            </w:r>
          </w:p>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rPr>
              <w:t>30%</w:t>
            </w:r>
            <w:r>
              <w:rPr>
                <w:rFonts w:hint="eastAsia" w:ascii="方正仿宋_GBK" w:hAnsi="宋体" w:eastAsia="方正仿宋_GBK"/>
                <w:szCs w:val="21"/>
                <w:highlight w:val="none"/>
                <w:lang w:eastAsia="zh-CN"/>
              </w:rPr>
              <w:t>)</w:t>
            </w:r>
          </w:p>
        </w:tc>
        <w:tc>
          <w:tcPr>
            <w:tcW w:w="684" w:type="dxa"/>
            <w:noWrap w:val="0"/>
            <w:vAlign w:val="center"/>
          </w:tcPr>
          <w:p>
            <w:pPr>
              <w:ind w:firstLine="28"/>
              <w:jc w:val="center"/>
              <w:rPr>
                <w:rFonts w:ascii="方正仿宋_GBK" w:hAnsi="宋体" w:eastAsia="方正仿宋_GBK"/>
                <w:szCs w:val="21"/>
                <w:highlight w:val="none"/>
              </w:rPr>
            </w:pPr>
            <w:r>
              <w:rPr>
                <w:rFonts w:hint="eastAsia" w:ascii="方正仿宋_GBK" w:hAnsi="宋体" w:eastAsia="方正仿宋_GBK"/>
                <w:szCs w:val="21"/>
                <w:highlight w:val="none"/>
              </w:rPr>
              <w:t>30分</w:t>
            </w:r>
          </w:p>
        </w:tc>
        <w:tc>
          <w:tcPr>
            <w:tcW w:w="5578" w:type="dxa"/>
            <w:noWrap w:val="0"/>
            <w:vAlign w:val="center"/>
          </w:tcPr>
          <w:p>
            <w:pPr>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1.食堂经营管理方案（3分）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制定科学、合理且具有实际可操作的食堂经营管理方案。优得3分，一般得1分，差得0.5分，不提供不得分。</w:t>
            </w:r>
          </w:p>
          <w:p>
            <w:pPr>
              <w:rPr>
                <w:rFonts w:ascii="方正仿宋_GBK" w:hAnsi="宋体" w:eastAsia="方正仿宋_GBK"/>
                <w:b/>
                <w:bCs/>
                <w:szCs w:val="21"/>
                <w:highlight w:val="none"/>
              </w:rPr>
            </w:pPr>
            <w:r>
              <w:rPr>
                <w:rFonts w:hint="eastAsia" w:ascii="方正仿宋_GBK" w:hAnsi="宋体" w:eastAsia="方正仿宋_GBK"/>
                <w:b/>
                <w:bCs/>
                <w:szCs w:val="21"/>
                <w:highlight w:val="none"/>
              </w:rPr>
              <w:t>2.人员管理制度（3分）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有完善的从业人员管理规定、员工轮换方案、员工教育培训方案和员工奖惩考核办法。优得3分，一般得1分，差得0.5分，不提供不得分。</w:t>
            </w:r>
          </w:p>
          <w:p>
            <w:pPr>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3. 应急处置预案（3分）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制定完善的消防应急处置预案和可操作的措施和办法。优得3分，一般得1分，差得0.5分，不提供不得分。</w:t>
            </w:r>
          </w:p>
          <w:p>
            <w:pPr>
              <w:pStyle w:val="2"/>
              <w:spacing w:line="240" w:lineRule="auto"/>
              <w:ind w:firstLine="0"/>
              <w:rPr>
                <w:rFonts w:ascii="方正仿宋_GBK" w:eastAsia="方正仿宋_GBK" w:cs="Times New Roman"/>
                <w:b/>
                <w:bCs/>
                <w:sz w:val="21"/>
                <w:szCs w:val="21"/>
                <w:highlight w:val="none"/>
              </w:rPr>
            </w:pPr>
            <w:r>
              <w:rPr>
                <w:rFonts w:hint="eastAsia" w:ascii="方正仿宋_GBK" w:eastAsia="方正仿宋_GBK" w:cs="Times New Roman"/>
                <w:b/>
                <w:bCs/>
                <w:sz w:val="21"/>
                <w:szCs w:val="21"/>
                <w:highlight w:val="none"/>
              </w:rPr>
              <w:t>4</w:t>
            </w:r>
            <w:r>
              <w:rPr>
                <w:rFonts w:hint="eastAsia" w:ascii="方正仿宋_GBK" w:eastAsia="方正仿宋_GBK" w:cs="Times New Roman"/>
                <w:b/>
                <w:bCs/>
                <w:sz w:val="21"/>
                <w:szCs w:val="21"/>
                <w:highlight w:val="none"/>
                <w:lang w:eastAsia="zh-CN"/>
              </w:rPr>
              <w:t>.日</w:t>
            </w:r>
            <w:r>
              <w:rPr>
                <w:rFonts w:ascii="方正仿宋_GBK" w:eastAsia="方正仿宋_GBK" w:cs="Times New Roman"/>
                <w:b/>
                <w:bCs/>
                <w:sz w:val="21"/>
                <w:szCs w:val="21"/>
                <w:highlight w:val="none"/>
              </w:rPr>
              <w:t>常巡查巡检制度</w:t>
            </w:r>
            <w:r>
              <w:rPr>
                <w:rFonts w:hint="eastAsia" w:ascii="方正仿宋_GBK" w:eastAsia="方正仿宋_GBK" w:cs="Times New Roman"/>
                <w:b/>
                <w:bCs/>
                <w:sz w:val="21"/>
                <w:szCs w:val="21"/>
                <w:highlight w:val="none"/>
              </w:rPr>
              <w:t>（3分）</w:t>
            </w:r>
          </w:p>
          <w:p>
            <w:pPr>
              <w:pStyle w:val="2"/>
              <w:spacing w:line="240" w:lineRule="auto"/>
              <w:ind w:firstLineChars="200"/>
              <w:rPr>
                <w:rFonts w:hint="eastAsia" w:ascii="方正仿宋_GBK" w:eastAsia="方正仿宋_GBK" w:cs="Times New Roman"/>
                <w:sz w:val="21"/>
                <w:szCs w:val="21"/>
                <w:highlight w:val="none"/>
              </w:rPr>
            </w:pPr>
            <w:r>
              <w:rPr>
                <w:rFonts w:ascii="方正仿宋_GBK" w:eastAsia="方正仿宋_GBK" w:cs="Times New Roman"/>
                <w:sz w:val="21"/>
                <w:szCs w:val="21"/>
                <w:highlight w:val="none"/>
              </w:rPr>
              <w:t>制定日常巡查巡检制度，有具体的巡查巡检可行性措施和办法</w:t>
            </w:r>
            <w:r>
              <w:rPr>
                <w:rFonts w:hint="eastAsia" w:ascii="方正仿宋_GBK" w:eastAsia="方正仿宋_GBK" w:cs="Times New Roman"/>
                <w:sz w:val="21"/>
                <w:szCs w:val="21"/>
                <w:highlight w:val="none"/>
              </w:rPr>
              <w:t>。优得3分，一般得1分，差得0.5分，不提供不得分。</w:t>
            </w:r>
          </w:p>
          <w:p>
            <w:pPr>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5.留样管理制度（5分）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制定规范的留样管理制度。优得5分，一般得2分，差得1分，不提供不得分。</w:t>
            </w:r>
          </w:p>
          <w:p>
            <w:pPr>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6.食堂管理制度和管理措施（5分）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制定食堂管理制度和管理措施。优得5分，一般得2分，差得1分，不提供不得分。</w:t>
            </w:r>
          </w:p>
          <w:p>
            <w:pPr>
              <w:rPr>
                <w:rFonts w:ascii="方正仿宋_GBK" w:hAnsi="宋体" w:eastAsia="方正仿宋_GBK"/>
                <w:b/>
                <w:bCs/>
                <w:szCs w:val="21"/>
                <w:highlight w:val="none"/>
              </w:rPr>
            </w:pPr>
            <w:r>
              <w:rPr>
                <w:rFonts w:hint="eastAsia" w:ascii="方正仿宋_GBK" w:hAnsi="宋体" w:eastAsia="方正仿宋_GBK"/>
                <w:b/>
                <w:bCs/>
                <w:szCs w:val="21"/>
                <w:highlight w:val="none"/>
              </w:rPr>
              <w:t>7.应急预案措施（8分）</w:t>
            </w:r>
          </w:p>
          <w:p>
            <w:pPr>
              <w:ind w:firstLine="420" w:firstLineChars="200"/>
              <w:rPr>
                <w:highlight w:val="none"/>
              </w:rPr>
            </w:pPr>
            <w:r>
              <w:rPr>
                <w:rFonts w:hint="eastAsia" w:ascii="方正仿宋_GBK" w:hAnsi="宋体" w:eastAsia="方正仿宋_GBK"/>
                <w:szCs w:val="21"/>
                <w:highlight w:val="none"/>
              </w:rPr>
              <w:t>制定完善的应急预案措施（须包含食品安全应急预案、突发不可预计的自然灾害、疫情等情况、突发停电、停水、停气）。优得8分，一般得4分，差得2分，不提供不得分。</w:t>
            </w:r>
          </w:p>
        </w:tc>
        <w:tc>
          <w:tcPr>
            <w:tcW w:w="1307" w:type="dxa"/>
            <w:noWrap w:val="0"/>
            <w:vAlign w:val="center"/>
          </w:tcPr>
          <w:p>
            <w:pPr>
              <w:jc w:val="center"/>
              <w:rPr>
                <w:rFonts w:ascii="方正仿宋_GBK" w:hAnsi="宋体" w:eastAsia="方正仿宋_GBK"/>
                <w:szCs w:val="21"/>
                <w:highlight w:val="none"/>
              </w:rPr>
            </w:pPr>
            <w:r>
              <w:rPr>
                <w:rFonts w:hint="eastAsia" w:ascii="方正仿宋_GBK" w:hAnsi="宋体" w:eastAsia="方正仿宋_GBK"/>
                <w:szCs w:val="21"/>
                <w:highlight w:val="none"/>
              </w:rPr>
              <w:t>竞选人</w:t>
            </w:r>
            <w:r>
              <w:rPr>
                <w:rFonts w:hint="eastAsia" w:ascii="方正仿宋_GBK" w:hAnsi="宋体" w:eastAsia="方正仿宋_GBK"/>
                <w:szCs w:val="21"/>
                <w:highlight w:val="none"/>
                <w:lang w:eastAsia="zh-CN"/>
              </w:rPr>
              <w:t>提供</w:t>
            </w:r>
            <w:r>
              <w:rPr>
                <w:rFonts w:hint="eastAsia" w:ascii="方正仿宋_GBK" w:hAnsi="宋体" w:eastAsia="方正仿宋_GBK"/>
                <w:szCs w:val="21"/>
                <w:highlight w:val="none"/>
              </w:rPr>
              <w:t>相应的服务方案。评审小组根据竞选人提供的实施方案进行评分。</w:t>
            </w:r>
            <w:r>
              <w:rPr>
                <w:rFonts w:hint="eastAsia" w:ascii="方正仿宋_GBK" w:hAnsi="宋体" w:eastAsia="方正仿宋_GBK"/>
                <w:szCs w:val="21"/>
                <w:highlight w:val="none"/>
                <w:lang w:val="en-US" w:eastAsia="zh-CN"/>
              </w:rPr>
              <w:t>注：服务部分总页数不超过200页（不含封面及尾页），如每超过一页扣0.1分，扣完为止。</w:t>
            </w: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3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3</w:t>
            </w:r>
          </w:p>
        </w:tc>
        <w:tc>
          <w:tcPr>
            <w:tcW w:w="1088" w:type="dxa"/>
            <w:noWrap w:val="0"/>
            <w:vAlign w:val="center"/>
          </w:tcPr>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rPr>
              <w:t>商务部分</w:t>
            </w:r>
          </w:p>
          <w:p>
            <w:pPr>
              <w:ind w:firstLine="28"/>
              <w:jc w:val="center"/>
              <w:rPr>
                <w:rFonts w:hint="eastAsia" w:ascii="方正仿宋_GBK" w:hAnsi="宋体" w:eastAsia="方正仿宋_GBK"/>
                <w:szCs w:val="21"/>
                <w:highlight w:val="none"/>
              </w:rPr>
            </w:pP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rPr>
              <w:t>40%</w:t>
            </w:r>
            <w:r>
              <w:rPr>
                <w:rFonts w:hint="eastAsia" w:ascii="方正仿宋_GBK" w:hAnsi="宋体" w:eastAsia="方正仿宋_GBK"/>
                <w:szCs w:val="21"/>
                <w:highlight w:val="none"/>
                <w:lang w:eastAsia="zh-CN"/>
              </w:rPr>
              <w:t>)</w:t>
            </w:r>
          </w:p>
        </w:tc>
        <w:tc>
          <w:tcPr>
            <w:tcW w:w="684" w:type="dxa"/>
            <w:noWrap w:val="0"/>
            <w:vAlign w:val="center"/>
          </w:tcPr>
          <w:p>
            <w:pPr>
              <w:ind w:firstLine="28"/>
              <w:jc w:val="center"/>
              <w:rPr>
                <w:rFonts w:ascii="方正仿宋_GBK" w:hAnsi="宋体" w:eastAsia="方正仿宋_GBK"/>
                <w:szCs w:val="21"/>
                <w:highlight w:val="none"/>
              </w:rPr>
            </w:pPr>
            <w:r>
              <w:rPr>
                <w:rFonts w:hint="eastAsia" w:ascii="方正仿宋_GBK" w:hAnsi="宋体" w:eastAsia="方正仿宋_GBK"/>
                <w:szCs w:val="21"/>
                <w:highlight w:val="none"/>
              </w:rPr>
              <w:t>40分</w:t>
            </w:r>
          </w:p>
        </w:tc>
        <w:tc>
          <w:tcPr>
            <w:tcW w:w="5578" w:type="dxa"/>
            <w:noWrap w:val="0"/>
            <w:vAlign w:val="center"/>
          </w:tcPr>
          <w:p>
            <w:pPr>
              <w:ind w:firstLine="211" w:firstLineChars="100"/>
              <w:rPr>
                <w:b/>
                <w:bCs/>
                <w:highlight w:val="none"/>
              </w:rPr>
            </w:pPr>
            <w:r>
              <w:rPr>
                <w:rFonts w:hint="eastAsia" w:ascii="方正仿宋_GBK" w:hAnsi="宋体" w:eastAsia="方正仿宋_GBK"/>
                <w:b/>
                <w:bCs/>
                <w:szCs w:val="21"/>
                <w:highlight w:val="none"/>
              </w:rPr>
              <w:t>1.业绩（9分）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竞选人近三年至竞选截止时间（以签合同时间为准）前具有从事医院、学校、政府机关以及国有企业等机构经营服务经验，得3分。不提供不得分。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竞选人具有300人以上的公立机构食堂服务经验的，加2分，具有500人以上的公立机构食堂服务经验的，加4分，具有700人以上的公立机构食堂服务经验的或经营酒店餐饮的，加6分。</w:t>
            </w:r>
          </w:p>
          <w:p>
            <w:pPr>
              <w:pStyle w:val="2"/>
              <w:spacing w:line="240" w:lineRule="auto"/>
              <w:ind w:firstLine="422" w:firstLineChars="200"/>
              <w:rPr>
                <w:rFonts w:hint="eastAsia" w:ascii="方正仿宋_GBK" w:eastAsia="方正仿宋_GBK" w:cs="Times New Roman"/>
                <w:b/>
                <w:bCs/>
                <w:sz w:val="21"/>
                <w:szCs w:val="21"/>
                <w:highlight w:val="none"/>
              </w:rPr>
            </w:pPr>
            <w:r>
              <w:rPr>
                <w:rFonts w:hint="eastAsia" w:ascii="方正仿宋_GBK" w:eastAsia="方正仿宋_GBK" w:cs="Times New Roman"/>
                <w:b/>
                <w:bCs/>
                <w:sz w:val="21"/>
                <w:szCs w:val="21"/>
                <w:highlight w:val="none"/>
              </w:rPr>
              <w:t>2.项目负责人管理经验及主厨经验（21分）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2.1竞选人派驻本项目的负责人（该人员需全职管理该项目）应具有食堂或者有酒店餐饮的相关管理经验，得3分。不提供不得分。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项目负责人具有300人以上的公立机构食堂管理经验一年以上的，加1分，具有500人以上的公立机构食堂管理经验一年以上的，加2分；具有700人以上的公立机构食堂管理经验一年以上的，加3分。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2.2竞选人派驻本项目的主厨（该人员需全职）应具有食堂或者酒店的相关经验，且具有中级及以上厨师资格证书，得3分。不提供不得分。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主厨具有300人以上的公立机构食堂经验一年以上的，加2分；具有500人以上的公立机构食堂经验一年以上的，加4分；具有700人以上的公立机构食堂经验一年以上的，加6分；主厨具有酒店餐饮从业经验一年以上的，加3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注：提供拟为本项目服务的主厨名单、身份证复印件，主厨年龄不得大于55岁，否则不得分。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2.3面点师具有大型酒店（酒店等级在四星及以上）餐饮从业经验2年以上的，且具有中级及以上资格证书，得3分。不提供不得分。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宋体" w:eastAsia="方正仿宋_GBK" w:cs="Times New Roman"/>
                <w:kern w:val="2"/>
                <w:sz w:val="21"/>
                <w:szCs w:val="21"/>
                <w:highlight w:val="none"/>
                <w:lang w:val="en-US" w:eastAsia="zh-CN" w:bidi="ar-SA"/>
              </w:rPr>
            </w:pPr>
            <w:r>
              <w:rPr>
                <w:rFonts w:hint="eastAsia" w:ascii="方正仿宋_GBK" w:hAnsi="宋体" w:eastAsia="方正仿宋_GBK" w:cs="Times New Roman"/>
                <w:kern w:val="2"/>
                <w:sz w:val="21"/>
                <w:szCs w:val="21"/>
                <w:highlight w:val="none"/>
                <w:lang w:val="en-US" w:eastAsia="zh-CN" w:bidi="ar-SA"/>
              </w:rPr>
              <w:t>注：提供拟为本项目服务的面点师名单、身份证复印件，面点师年龄不得大于55岁，否则不得分。</w:t>
            </w:r>
          </w:p>
          <w:p>
            <w:pPr>
              <w:ind w:firstLine="422" w:firstLineChars="200"/>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3.单位实力（6分）</w:t>
            </w:r>
          </w:p>
          <w:p>
            <w:pPr>
              <w:ind w:firstLine="420" w:firstLineChars="200"/>
              <w:rPr>
                <w:rFonts w:hint="eastAsia" w:ascii="方正仿宋_GBK" w:hAnsi="宋体" w:eastAsia="方正仿宋_GBK"/>
                <w:szCs w:val="21"/>
                <w:highlight w:val="none"/>
              </w:rPr>
            </w:pPr>
            <w:r>
              <w:rPr>
                <w:rFonts w:hint="eastAsia" w:ascii="方正仿宋_GBK" w:hAnsi="宋体" w:eastAsia="方正仿宋_GBK"/>
                <w:szCs w:val="21"/>
                <w:highlight w:val="none"/>
              </w:rPr>
              <w:t>竞选人近三年从事300人以上的公立机构食堂或酒店餐饮项目，服务年限1年得2分，服务年限2年得4分，服务年限3年得6分。 本项最多得6分。</w:t>
            </w:r>
            <w:r>
              <w:rPr>
                <w:rFonts w:hint="eastAsia" w:ascii="方正仿宋_GBK" w:hAnsi="宋体" w:eastAsia="方正仿宋_GBK" w:cs="Times New Roman"/>
                <w:kern w:val="2"/>
                <w:sz w:val="21"/>
                <w:szCs w:val="21"/>
                <w:highlight w:val="none"/>
                <w:lang w:val="en-US" w:eastAsia="zh-CN" w:bidi="ar-SA"/>
              </w:rPr>
              <w:t>不提供不得分。</w:t>
            </w:r>
          </w:p>
          <w:p>
            <w:pPr>
              <w:ind w:firstLine="422" w:firstLineChars="200"/>
              <w:rPr>
                <w:rFonts w:hint="eastAsia" w:ascii="方正仿宋_GBK" w:hAnsi="宋体" w:eastAsia="方正仿宋_GBK"/>
                <w:b/>
                <w:bCs/>
                <w:szCs w:val="21"/>
                <w:highlight w:val="none"/>
              </w:rPr>
            </w:pPr>
            <w:r>
              <w:rPr>
                <w:rFonts w:hint="eastAsia" w:ascii="方正仿宋_GBK" w:hAnsi="宋体" w:eastAsia="方正仿宋_GBK"/>
                <w:b/>
                <w:bCs/>
                <w:szCs w:val="21"/>
                <w:highlight w:val="none"/>
              </w:rPr>
              <w:t>4.承诺（4分）</w:t>
            </w:r>
          </w:p>
          <w:p>
            <w:pPr>
              <w:pStyle w:val="2"/>
              <w:rPr>
                <w:rFonts w:hint="default"/>
                <w:highlight w:val="none"/>
              </w:rPr>
            </w:pPr>
            <w:r>
              <w:rPr>
                <w:rFonts w:hint="eastAsia" w:ascii="方正仿宋_GBK" w:hAnsi="宋体" w:eastAsia="方正仿宋_GBK"/>
                <w:szCs w:val="21"/>
                <w:highlight w:val="none"/>
              </w:rPr>
              <w:t>（1）</w:t>
            </w:r>
            <w:r>
              <w:rPr>
                <w:rFonts w:hint="default" w:ascii="方正仿宋_GBK" w:hAnsi="仿宋" w:eastAsia="方正仿宋_GBK" w:cs="仿宋"/>
                <w:sz w:val="24"/>
                <w:highlight w:val="none"/>
              </w:rPr>
              <w:t>竞选人近三年内，经营活动中无任何食品卫生、消防安全等方面的不良及违法记录、无合同违约行为、无重大有效投诉、无经济纠纷及诉讼情况，并对以上情况做出书面承诺（格式自拟）</w:t>
            </w:r>
            <w:r>
              <w:rPr>
                <w:rFonts w:hint="eastAsia" w:ascii="方正仿宋_GBK" w:hAnsi="宋体" w:eastAsia="方正仿宋_GBK" w:cs="Times New Roman"/>
                <w:sz w:val="21"/>
                <w:szCs w:val="21"/>
                <w:highlight w:val="none"/>
                <w:lang w:eastAsia="zh-CN"/>
              </w:rPr>
              <w:t>，</w:t>
            </w:r>
            <w:r>
              <w:rPr>
                <w:rFonts w:hint="eastAsia" w:ascii="方正仿宋_GBK" w:hAnsi="宋体" w:eastAsia="方正仿宋_GBK" w:cs="Times New Roman"/>
                <w:sz w:val="21"/>
                <w:szCs w:val="21"/>
                <w:highlight w:val="none"/>
                <w:lang w:val="en-US" w:eastAsia="zh-CN"/>
              </w:rPr>
              <w:t>得1分；</w:t>
            </w:r>
          </w:p>
          <w:p>
            <w:pPr>
              <w:ind w:firstLine="420" w:firstLineChars="200"/>
              <w:rPr>
                <w:rFonts w:ascii="方正仿宋_GBK" w:hAnsi="宋体" w:eastAsia="方正仿宋_GBK"/>
                <w:szCs w:val="21"/>
                <w:highlight w:val="none"/>
              </w:rPr>
            </w:pPr>
            <w:r>
              <w:rPr>
                <w:rFonts w:hint="eastAsia" w:ascii="方正仿宋_GBK" w:hAnsi="宋体" w:eastAsia="方正仿宋_GBK"/>
                <w:szCs w:val="21"/>
                <w:highlight w:val="none"/>
              </w:rPr>
              <w:t>（2）</w:t>
            </w:r>
            <w:r>
              <w:rPr>
                <w:rFonts w:hint="eastAsia" w:ascii="方正仿宋_GBK" w:hAnsi="宋体" w:eastAsia="方正仿宋_GBK"/>
                <w:szCs w:val="21"/>
                <w:highlight w:val="none"/>
                <w:lang w:val="en-US" w:eastAsia="zh-CN"/>
              </w:rPr>
              <w:t>中选人</w:t>
            </w:r>
            <w:r>
              <w:rPr>
                <w:rFonts w:ascii="方正仿宋_GBK" w:hAnsi="宋体" w:eastAsia="方正仿宋_GBK"/>
                <w:szCs w:val="21"/>
                <w:highlight w:val="none"/>
              </w:rPr>
              <w:t>严格执行《食品卫生法》等国家饮食卫生法律法规，得1分；</w:t>
            </w:r>
          </w:p>
          <w:p>
            <w:pPr>
              <w:ind w:firstLine="420" w:firstLineChars="200"/>
              <w:rPr>
                <w:rFonts w:ascii="方正仿宋_GBK" w:hAnsi="宋体" w:eastAsia="方正仿宋_GBK"/>
                <w:szCs w:val="21"/>
                <w:highlight w:val="none"/>
              </w:rPr>
            </w:pPr>
            <w:r>
              <w:rPr>
                <w:rFonts w:hint="eastAsia" w:ascii="方正仿宋_GBK" w:hAnsi="宋体" w:eastAsia="方正仿宋_GBK"/>
                <w:szCs w:val="21"/>
                <w:highlight w:val="none"/>
              </w:rPr>
              <w:t>（3）</w:t>
            </w:r>
            <w:r>
              <w:rPr>
                <w:rFonts w:hint="eastAsia" w:ascii="方正仿宋_GBK" w:hAnsi="宋体" w:eastAsia="方正仿宋_GBK"/>
                <w:szCs w:val="21"/>
                <w:highlight w:val="none"/>
                <w:lang w:val="en-US" w:eastAsia="zh-CN"/>
              </w:rPr>
              <w:t>中选人</w:t>
            </w:r>
            <w:r>
              <w:rPr>
                <w:rFonts w:ascii="方正仿宋_GBK" w:hAnsi="宋体" w:eastAsia="方正仿宋_GBK"/>
                <w:szCs w:val="21"/>
                <w:highlight w:val="none"/>
              </w:rPr>
              <w:t>所有员工必须身体健康并持有效“健康证”，及接受</w:t>
            </w:r>
            <w:r>
              <w:rPr>
                <w:rFonts w:hint="eastAsia" w:ascii="方正仿宋_GBK" w:hAnsi="宋体" w:eastAsia="方正仿宋_GBK"/>
                <w:szCs w:val="21"/>
                <w:highlight w:val="none"/>
                <w:lang w:eastAsia="zh-CN"/>
              </w:rPr>
              <w:t>比选人</w:t>
            </w:r>
            <w:r>
              <w:rPr>
                <w:rFonts w:ascii="方正仿宋_GBK" w:hAnsi="宋体" w:eastAsia="方正仿宋_GBK"/>
                <w:szCs w:val="21"/>
                <w:highlight w:val="none"/>
              </w:rPr>
              <w:t>的相关纪律约束，得1分；</w:t>
            </w:r>
          </w:p>
          <w:p>
            <w:pPr>
              <w:ind w:firstLine="420" w:firstLineChars="200"/>
              <w:rPr>
                <w:rFonts w:ascii="方正仿宋_GBK" w:hAnsi="宋体" w:eastAsia="方正仿宋_GBK"/>
                <w:szCs w:val="21"/>
                <w:highlight w:val="none"/>
              </w:rPr>
            </w:pPr>
            <w:r>
              <w:rPr>
                <w:rFonts w:hint="eastAsia" w:ascii="方正仿宋_GBK" w:hAnsi="宋体" w:eastAsia="方正仿宋_GBK"/>
                <w:szCs w:val="21"/>
                <w:highlight w:val="none"/>
              </w:rPr>
              <w:t>（4）</w:t>
            </w:r>
            <w:r>
              <w:rPr>
                <w:rFonts w:hint="eastAsia" w:ascii="方正仿宋_GBK" w:hAnsi="宋体" w:eastAsia="方正仿宋_GBK"/>
                <w:szCs w:val="21"/>
                <w:highlight w:val="none"/>
                <w:lang w:val="en-US" w:eastAsia="zh-CN"/>
              </w:rPr>
              <w:t>中选人</w:t>
            </w:r>
            <w:r>
              <w:rPr>
                <w:rFonts w:ascii="方正仿宋_GBK" w:hAnsi="宋体" w:eastAsia="方正仿宋_GBK"/>
                <w:szCs w:val="21"/>
                <w:highlight w:val="none"/>
              </w:rPr>
              <w:t>随时</w:t>
            </w:r>
            <w:r>
              <w:rPr>
                <w:rFonts w:hint="eastAsia" w:ascii="方正仿宋_GBK" w:hAnsi="宋体" w:eastAsia="方正仿宋_GBK"/>
                <w:szCs w:val="21"/>
                <w:highlight w:val="none"/>
                <w:lang w:eastAsia="zh-CN"/>
              </w:rPr>
              <w:t>接受比选人</w:t>
            </w:r>
            <w:r>
              <w:rPr>
                <w:rFonts w:ascii="方正仿宋_GBK" w:hAnsi="宋体" w:eastAsia="方正仿宋_GBK"/>
                <w:szCs w:val="21"/>
                <w:highlight w:val="none"/>
              </w:rPr>
              <w:t>的监督和管理，</w:t>
            </w:r>
            <w:r>
              <w:rPr>
                <w:rFonts w:hint="eastAsia" w:ascii="方正仿宋_GBK" w:hAnsi="宋体" w:eastAsia="方正仿宋_GBK"/>
                <w:szCs w:val="21"/>
                <w:highlight w:val="none"/>
                <w:lang w:eastAsia="zh-CN"/>
              </w:rPr>
              <w:t>比选人</w:t>
            </w:r>
            <w:r>
              <w:rPr>
                <w:rFonts w:ascii="方正仿宋_GBK" w:hAnsi="宋体" w:eastAsia="方正仿宋_GBK"/>
                <w:szCs w:val="21"/>
                <w:highlight w:val="none"/>
              </w:rPr>
              <w:t>提出的改善意见，</w:t>
            </w:r>
            <w:r>
              <w:rPr>
                <w:rFonts w:hint="eastAsia" w:ascii="方正仿宋_GBK" w:hAnsi="宋体" w:eastAsia="方正仿宋_GBK"/>
                <w:szCs w:val="21"/>
                <w:highlight w:val="none"/>
                <w:lang w:eastAsia="zh-CN"/>
              </w:rPr>
              <w:t>及时</w:t>
            </w:r>
            <w:r>
              <w:rPr>
                <w:rFonts w:ascii="方正仿宋_GBK" w:hAnsi="宋体" w:eastAsia="方正仿宋_GBK"/>
                <w:szCs w:val="21"/>
                <w:highlight w:val="none"/>
              </w:rPr>
              <w:t>妥善处理，得1分。</w:t>
            </w:r>
          </w:p>
          <w:p>
            <w:pPr>
              <w:ind w:firstLine="420" w:firstLineChars="200"/>
              <w:rPr>
                <w:highlight w:val="none"/>
              </w:rPr>
            </w:pPr>
            <w:r>
              <w:rPr>
                <w:rFonts w:hint="eastAsia" w:ascii="方正仿宋_GBK" w:hAnsi="宋体" w:eastAsia="方正仿宋_GBK"/>
                <w:szCs w:val="21"/>
                <w:highlight w:val="none"/>
              </w:rPr>
              <w:t>注：竞选人应自行承诺上述内容，格式自拟，每缺一项或漏一项扣1分，不提供不得分。</w:t>
            </w:r>
          </w:p>
        </w:tc>
        <w:tc>
          <w:tcPr>
            <w:tcW w:w="1307" w:type="dxa"/>
            <w:noWrap w:val="0"/>
            <w:vAlign w:val="center"/>
          </w:tcPr>
          <w:p>
            <w:pPr>
              <w:rPr>
                <w:rFonts w:hint="eastAsia" w:ascii="方正仿宋_GBK" w:hAnsi="宋体" w:eastAsia="方正仿宋_GBK"/>
                <w:szCs w:val="21"/>
                <w:highlight w:val="none"/>
              </w:rPr>
            </w:pPr>
            <w:r>
              <w:rPr>
                <w:rFonts w:hint="eastAsia" w:ascii="方正仿宋_GBK" w:hAnsi="宋体" w:eastAsia="方正仿宋_GBK"/>
                <w:szCs w:val="21"/>
                <w:highlight w:val="none"/>
              </w:rPr>
              <w:t>1.</w:t>
            </w:r>
            <w:r>
              <w:rPr>
                <w:rFonts w:hint="eastAsia" w:ascii="方正仿宋_GBK" w:hAnsi="宋体" w:eastAsia="方正仿宋_GBK"/>
                <w:szCs w:val="21"/>
                <w:highlight w:val="none"/>
                <w:lang w:val="en-US" w:eastAsia="zh-CN"/>
              </w:rPr>
              <w:t>竞选人业绩需</w:t>
            </w:r>
            <w:r>
              <w:rPr>
                <w:rFonts w:hint="eastAsia" w:ascii="方正仿宋_GBK" w:hAnsi="宋体" w:eastAsia="方正仿宋_GBK"/>
                <w:szCs w:val="21"/>
                <w:highlight w:val="none"/>
              </w:rPr>
              <w:t>提供服务合同并加公司公章</w:t>
            </w: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lang w:val="en-US" w:eastAsia="zh-CN"/>
              </w:rPr>
              <w:t>经营酒店的竞选人需提供《食品服务许可证》及星级认定</w:t>
            </w:r>
            <w:r>
              <w:rPr>
                <w:rFonts w:hint="eastAsia" w:ascii="方正仿宋_GBK" w:hAnsi="宋体" w:eastAsia="方正仿宋_GBK" w:cs="Times New Roman"/>
                <w:szCs w:val="21"/>
                <w:highlight w:val="none"/>
                <w:lang w:val="en-US" w:eastAsia="zh-CN"/>
              </w:rPr>
              <w:t>等证书</w:t>
            </w:r>
            <w:r>
              <w:rPr>
                <w:rFonts w:hint="eastAsia" w:ascii="方正仿宋_GBK" w:hAnsi="宋体" w:eastAsia="方正仿宋_GBK"/>
                <w:szCs w:val="21"/>
                <w:highlight w:val="none"/>
                <w:lang w:val="en-US" w:eastAsia="zh-CN"/>
              </w:rPr>
              <w:t>。</w:t>
            </w:r>
          </w:p>
          <w:p>
            <w:pPr>
              <w:rPr>
                <w:rFonts w:hint="eastAsia" w:ascii="方正仿宋_GBK" w:hAnsi="宋体" w:eastAsia="方正仿宋_GBK"/>
                <w:szCs w:val="21"/>
                <w:highlight w:val="none"/>
              </w:rPr>
            </w:pPr>
            <w:r>
              <w:rPr>
                <w:rFonts w:hint="eastAsia" w:ascii="方正仿宋_GBK" w:hAnsi="宋体" w:eastAsia="方正仿宋_GBK"/>
                <w:szCs w:val="21"/>
                <w:highlight w:val="none"/>
              </w:rPr>
              <w:t>2.提供派驻本项目的负责人身份信息及相关管理经验的证明文件并加盖单位公章，并需提供2025年5月至2025年7月由投标人为其缴纳的</w:t>
            </w:r>
            <w:r>
              <w:rPr>
                <w:rFonts w:hint="eastAsia" w:ascii="方正仿宋_GBK" w:hAnsi="宋体" w:eastAsia="方正仿宋_GBK"/>
                <w:szCs w:val="21"/>
                <w:highlight w:val="none"/>
                <w:lang w:eastAsia="zh-CN"/>
              </w:rPr>
              <w:t>社会保险</w:t>
            </w:r>
            <w:r>
              <w:rPr>
                <w:rFonts w:hint="eastAsia" w:ascii="方正仿宋_GBK" w:hAnsi="宋体" w:eastAsia="方正仿宋_GBK"/>
                <w:szCs w:val="21"/>
                <w:highlight w:val="none"/>
              </w:rPr>
              <w:t>缴纳证明。</w:t>
            </w:r>
          </w:p>
          <w:p>
            <w:pPr>
              <w:rPr>
                <w:rFonts w:hint="eastAsia" w:ascii="方正仿宋_GBK" w:hAnsi="宋体" w:eastAsia="方正仿宋_GBK"/>
                <w:szCs w:val="21"/>
                <w:highlight w:val="none"/>
              </w:rPr>
            </w:pPr>
            <w:r>
              <w:rPr>
                <w:rFonts w:hint="eastAsia" w:ascii="方正仿宋_GBK" w:hAnsi="宋体" w:eastAsia="方正仿宋_GBK"/>
                <w:szCs w:val="21"/>
                <w:highlight w:val="none"/>
              </w:rPr>
              <w:t>3</w:t>
            </w:r>
            <w:r>
              <w:rPr>
                <w:rFonts w:hint="eastAsia" w:ascii="方正仿宋_GBK" w:eastAsia="方正仿宋_GBK"/>
                <w:szCs w:val="21"/>
                <w:highlight w:val="none"/>
              </w:rPr>
              <w:t>主厨、面点师的经验需</w:t>
            </w:r>
            <w:r>
              <w:rPr>
                <w:rFonts w:hint="eastAsia" w:ascii="方正仿宋_GBK" w:hAnsi="宋体" w:eastAsia="方正仿宋_GBK"/>
                <w:szCs w:val="21"/>
                <w:highlight w:val="none"/>
              </w:rPr>
              <w:t>提供相关证明文件并加盖单位公章</w:t>
            </w:r>
            <w:r>
              <w:rPr>
                <w:rFonts w:hint="eastAsia" w:ascii="方正仿宋_GBK" w:hAnsi="宋体" w:eastAsia="方正仿宋_GBK"/>
                <w:szCs w:val="21"/>
                <w:highlight w:val="none"/>
                <w:lang w:eastAsia="zh-CN"/>
              </w:rPr>
              <w:t>，</w:t>
            </w:r>
            <w:r>
              <w:rPr>
                <w:rFonts w:hint="eastAsia" w:ascii="方正仿宋_GBK" w:hAnsi="宋体" w:eastAsia="方正仿宋_GBK"/>
                <w:szCs w:val="21"/>
                <w:highlight w:val="none"/>
              </w:rPr>
              <w:t>并需提供2025年5月至2025年7月由投标人为其缴纳的社会保障缴纳证明。</w:t>
            </w:r>
          </w:p>
          <w:p>
            <w:pPr>
              <w:rPr>
                <w:rFonts w:hint="eastAsia" w:ascii="方正仿宋_GBK" w:hAnsi="宋体" w:eastAsia="方正仿宋_GBK"/>
                <w:szCs w:val="21"/>
                <w:highlight w:val="none"/>
              </w:rPr>
            </w:pPr>
          </w:p>
          <w:p>
            <w:pPr>
              <w:pStyle w:val="2"/>
              <w:rPr>
                <w:rFonts w:hint="default" w:eastAsia="方正仿宋_GBK"/>
                <w:highlight w:val="none"/>
                <w:lang w:val="en-US" w:eastAsia="zh-CN"/>
              </w:rPr>
            </w:pPr>
          </w:p>
        </w:tc>
      </w:tr>
    </w:tbl>
    <w:p>
      <w:pPr>
        <w:pStyle w:val="104"/>
        <w:numPr>
          <w:ilvl w:val="0"/>
          <w:numId w:val="4"/>
        </w:numPr>
        <w:spacing w:line="400" w:lineRule="exact"/>
        <w:ind w:firstLine="482" w:firstLineChars="200"/>
        <w:rPr>
          <w:rFonts w:hint="eastAsia" w:ascii="方正仿宋_GBK" w:hAnsi="仿宋" w:eastAsia="方正仿宋_GBK" w:cs="仿宋"/>
          <w:b/>
          <w:sz w:val="24"/>
          <w:szCs w:val="24"/>
          <w:highlight w:val="none"/>
        </w:rPr>
      </w:pPr>
      <w:r>
        <w:rPr>
          <w:rFonts w:hint="eastAsia" w:ascii="方正仿宋_GBK" w:hAnsi="仿宋" w:eastAsia="方正仿宋_GBK" w:cs="仿宋"/>
          <w:b/>
          <w:sz w:val="24"/>
          <w:szCs w:val="24"/>
          <w:highlight w:val="none"/>
        </w:rPr>
        <w:t>无效竞选条款</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312" w:lineRule="auto"/>
        <w:ind w:right="-126" w:rightChars="-60" w:firstLine="480" w:firstLineChars="200"/>
        <w:rPr>
          <w:rFonts w:hint="eastAsia" w:ascii="宋体" w:hAnsi="宋体" w:cs="宋体"/>
          <w:sz w:val="24"/>
        </w:rPr>
      </w:pPr>
      <w:r>
        <w:rPr>
          <w:rFonts w:hint="eastAsia" w:ascii="宋体" w:hAnsi="宋体" w:cs="宋体"/>
          <w:sz w:val="24"/>
        </w:rPr>
        <w:t>竞选人或其竞选文件出现下列情况之一者，应为无效竞选：</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（一）竞选文件未按竞争性比选文件要求签署、盖章的；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）不具备竞争性比选文件中规定的资格要求的；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）报价超过竞争性比选文件中规定的预算金额或者最高限价的；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）竞选文件含有竞选人不能接受的附加条件的；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val="en-US" w:eastAsia="zh-CN"/>
        </w:rPr>
        <w:t>竞</w:t>
      </w:r>
      <w:r>
        <w:rPr>
          <w:rFonts w:hint="eastAsia" w:ascii="宋体" w:hAnsi="宋体" w:cs="宋体"/>
          <w:sz w:val="24"/>
          <w:lang w:eastAsia="zh-CN"/>
        </w:rPr>
        <w:t>选人</w:t>
      </w:r>
      <w:r>
        <w:rPr>
          <w:rFonts w:hint="eastAsia" w:ascii="宋体" w:hAnsi="宋体" w:cs="宋体"/>
          <w:sz w:val="24"/>
        </w:rPr>
        <w:t>串通竞选的、恶意竞选、报价比例与市场明显不相符的。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）法律法规和竞争性比选文件规定的其他无效情形。</w:t>
      </w:r>
    </w:p>
    <w:p>
      <w:pPr>
        <w:pStyle w:val="104"/>
        <w:spacing w:line="400" w:lineRule="exact"/>
        <w:ind w:firstLine="482" w:firstLineChars="200"/>
        <w:rPr>
          <w:rFonts w:hint="eastAsia" w:ascii="方正仿宋_GBK" w:hAnsi="仿宋" w:eastAsia="方正仿宋_GBK" w:cs="仿宋"/>
          <w:b/>
          <w:sz w:val="24"/>
          <w:szCs w:val="24"/>
          <w:highlight w:val="none"/>
        </w:rPr>
      </w:pPr>
      <w:bookmarkStart w:id="191" w:name="_Toc22703"/>
      <w:bookmarkStart w:id="192" w:name="_Toc8181"/>
      <w:bookmarkStart w:id="193" w:name="_Toc30605"/>
      <w:bookmarkStart w:id="194" w:name="_Toc4422"/>
      <w:bookmarkStart w:id="195" w:name="_Toc25960"/>
      <w:bookmarkStart w:id="196" w:name="_Toc25549"/>
      <w:bookmarkStart w:id="197" w:name="_Toc14355"/>
      <w:bookmarkStart w:id="198" w:name="_Toc174478295"/>
      <w:bookmarkStart w:id="199" w:name="_Toc75793522"/>
      <w:bookmarkStart w:id="200" w:name="_Toc11293"/>
      <w:bookmarkStart w:id="201" w:name="_Toc6204"/>
      <w:bookmarkStart w:id="202" w:name="_Toc21946"/>
      <w:bookmarkStart w:id="203" w:name="_Toc27133"/>
      <w:bookmarkStart w:id="204" w:name="_Toc12563"/>
      <w:bookmarkStart w:id="205" w:name="_Toc20005"/>
      <w:bookmarkStart w:id="206" w:name="_Toc6719"/>
      <w:bookmarkStart w:id="207" w:name="_Toc7802"/>
      <w:bookmarkStart w:id="208" w:name="_Toc6956"/>
      <w:bookmarkStart w:id="209" w:name="_Toc23533"/>
      <w:bookmarkStart w:id="210" w:name="_Toc10461"/>
      <w:r>
        <w:rPr>
          <w:rFonts w:hint="eastAsia" w:ascii="方正仿宋_GBK" w:hAnsi="仿宋" w:eastAsia="方正仿宋_GBK" w:cs="仿宋"/>
          <w:b/>
          <w:sz w:val="24"/>
          <w:szCs w:val="24"/>
          <w:highlight w:val="none"/>
        </w:rPr>
        <w:t>五、废标条款</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spacing w:line="312" w:lineRule="auto"/>
        <w:ind w:right="-126" w:rightChars="-60" w:firstLine="480" w:firstLineChars="200"/>
        <w:rPr>
          <w:rFonts w:hint="eastAsia" w:ascii="宋体" w:hAnsi="宋体" w:cs="宋体"/>
          <w:sz w:val="24"/>
        </w:rPr>
      </w:pPr>
      <w:r>
        <w:rPr>
          <w:rFonts w:hint="eastAsia" w:ascii="宋体" w:hAnsi="宋体" w:cs="宋体"/>
          <w:sz w:val="24"/>
        </w:rPr>
        <w:t>在比选中，出现下列情形之一的，应予废标：</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（一）符合专业条件的</w:t>
      </w:r>
      <w:r>
        <w:rPr>
          <w:rFonts w:hint="eastAsia" w:ascii="宋体" w:hAnsi="宋体" w:cs="宋体"/>
          <w:sz w:val="24"/>
          <w:lang w:val="en-US" w:eastAsia="zh-CN"/>
        </w:rPr>
        <w:t>竞</w:t>
      </w:r>
      <w:r>
        <w:rPr>
          <w:rFonts w:hint="eastAsia" w:ascii="宋体" w:hAnsi="宋体" w:cs="宋体"/>
          <w:sz w:val="24"/>
          <w:lang w:eastAsia="zh-CN"/>
        </w:rPr>
        <w:t>选人</w:t>
      </w:r>
      <w:r>
        <w:rPr>
          <w:rFonts w:hint="eastAsia" w:ascii="宋体" w:hAnsi="宋体" w:cs="宋体"/>
          <w:sz w:val="24"/>
        </w:rPr>
        <w:t>或者对竞争性比选文件作实质响应的</w:t>
      </w:r>
      <w:r>
        <w:rPr>
          <w:rFonts w:hint="eastAsia" w:ascii="宋体" w:hAnsi="宋体" w:cs="宋体"/>
          <w:sz w:val="24"/>
          <w:lang w:val="en-US" w:eastAsia="zh-CN"/>
        </w:rPr>
        <w:t>竞</w:t>
      </w:r>
      <w:r>
        <w:rPr>
          <w:rFonts w:hint="eastAsia" w:ascii="宋体" w:hAnsi="宋体" w:cs="宋体"/>
          <w:sz w:val="24"/>
          <w:lang w:eastAsia="zh-CN"/>
        </w:rPr>
        <w:t>选人</w:t>
      </w:r>
      <w:r>
        <w:rPr>
          <w:rFonts w:hint="eastAsia" w:ascii="宋体" w:hAnsi="宋体" w:cs="宋体"/>
          <w:sz w:val="24"/>
        </w:rPr>
        <w:t>不足三家的；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lang w:val="en-US" w:eastAsia="zh-CN"/>
        </w:rPr>
        <w:t>竞</w:t>
      </w:r>
      <w:r>
        <w:rPr>
          <w:rFonts w:hint="eastAsia" w:ascii="宋体" w:hAnsi="宋体" w:cs="宋体"/>
          <w:sz w:val="24"/>
          <w:lang w:eastAsia="zh-CN"/>
        </w:rPr>
        <w:t>选人</w:t>
      </w:r>
      <w:r>
        <w:rPr>
          <w:rFonts w:hint="eastAsia" w:ascii="宋体" w:hAnsi="宋体" w:cs="宋体"/>
          <w:sz w:val="24"/>
        </w:rPr>
        <w:t>的报价均超过了采购预算，比选人不能支付的；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（三）出现影响采购公正的违法、违规行为的；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（四）因重大变故，比选任务取消的。</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废标后，除比选任务取消情形外，应当重新组织比选。</w:t>
      </w:r>
    </w:p>
    <w:p>
      <w:pPr>
        <w:pStyle w:val="4"/>
        <w:spacing w:line="240" w:lineRule="auto"/>
        <w:jc w:val="center"/>
        <w:rPr>
          <w:rFonts w:hAnsi="宋体" w:cs="宋体"/>
          <w:sz w:val="36"/>
          <w:szCs w:val="30"/>
        </w:rPr>
      </w:pPr>
      <w:bookmarkStart w:id="211" w:name="_Toc16953"/>
      <w:bookmarkStart w:id="212" w:name="_Toc5450"/>
      <w:bookmarkStart w:id="213" w:name="_Toc16546"/>
      <w:bookmarkStart w:id="214" w:name="_Toc102227313"/>
      <w:bookmarkStart w:id="215" w:name="_Toc29553"/>
      <w:bookmarkStart w:id="216" w:name="_Toc30477"/>
      <w:bookmarkStart w:id="217" w:name="_Toc12291"/>
      <w:bookmarkStart w:id="218" w:name="_Toc3645"/>
      <w:bookmarkStart w:id="219" w:name="_Toc27938"/>
      <w:r>
        <w:rPr>
          <w:rFonts w:hint="eastAsia" w:hAnsi="宋体" w:cs="宋体"/>
          <w:sz w:val="36"/>
          <w:szCs w:val="30"/>
        </w:rPr>
        <w:t xml:space="preserve">第五篇  </w:t>
      </w:r>
      <w:r>
        <w:rPr>
          <w:rFonts w:hint="eastAsia" w:hAnsi="宋体" w:cs="宋体"/>
          <w:sz w:val="36"/>
          <w:szCs w:val="30"/>
          <w:lang w:val="en-US" w:eastAsia="zh-CN"/>
        </w:rPr>
        <w:t>竞选人</w:t>
      </w:r>
      <w:r>
        <w:rPr>
          <w:rFonts w:hint="eastAsia" w:hAnsi="宋体" w:cs="宋体"/>
          <w:sz w:val="36"/>
          <w:szCs w:val="30"/>
        </w:rPr>
        <w:t>须知</w:t>
      </w:r>
      <w:bookmarkEnd w:id="211"/>
      <w:bookmarkEnd w:id="212"/>
      <w:bookmarkEnd w:id="213"/>
      <w:bookmarkEnd w:id="214"/>
      <w:bookmarkEnd w:id="215"/>
      <w:bookmarkEnd w:id="216"/>
      <w:bookmarkEnd w:id="217"/>
      <w:bookmarkEnd w:id="218"/>
      <w:bookmarkEnd w:id="219"/>
    </w:p>
    <w:p>
      <w:pPr>
        <w:pStyle w:val="105"/>
        <w:tabs>
          <w:tab w:val="clear" w:pos="3360"/>
        </w:tabs>
        <w:spacing w:before="0" w:after="0" w:line="500" w:lineRule="exact"/>
        <w:ind w:firstLine="480" w:firstLineChars="200"/>
        <w:jc w:val="both"/>
        <w:rPr>
          <w:rFonts w:hint="eastAsia" w:eastAsia="方正仿宋_GBK"/>
          <w:b/>
          <w:sz w:val="24"/>
          <w:szCs w:val="24"/>
          <w:highlight w:val="none"/>
          <w:lang w:eastAsia="zh-CN"/>
        </w:rPr>
      </w:pPr>
      <w:bookmarkStart w:id="220" w:name="_Toc342913389"/>
      <w:bookmarkStart w:id="221" w:name="_Toc28979"/>
      <w:bookmarkStart w:id="222" w:name="_Toc9716"/>
      <w:bookmarkStart w:id="223" w:name="_Toc15380"/>
      <w:bookmarkStart w:id="224" w:name="_Toc1389"/>
      <w:bookmarkStart w:id="225" w:name="_Toc1189"/>
      <w:bookmarkStart w:id="226" w:name="_Toc14750"/>
      <w:bookmarkStart w:id="227" w:name="_Toc9462"/>
      <w:bookmarkStart w:id="228" w:name="_Toc29968"/>
      <w:bookmarkStart w:id="229" w:name="_Toc6373"/>
      <w:bookmarkStart w:id="230" w:name="_Toc655"/>
      <w:r>
        <w:rPr>
          <w:rFonts w:hint="eastAsia" w:ascii="宋体" w:hAnsi="宋体" w:eastAsia="宋体" w:cs="宋体"/>
          <w:color w:val="auto"/>
          <w:kern w:val="0"/>
          <w:sz w:val="24"/>
          <w:szCs w:val="24"/>
          <w:lang w:val="zh-CN" w:eastAsia="zh-CN"/>
        </w:rPr>
        <w:t>一、</w:t>
      </w:r>
      <w:r>
        <w:rPr>
          <w:rFonts w:hint="eastAsia" w:eastAsia="方正仿宋_GBK"/>
          <w:b/>
          <w:sz w:val="24"/>
          <w:szCs w:val="24"/>
          <w:highlight w:val="none"/>
          <w:lang w:val="en-US" w:eastAsia="zh-CN"/>
        </w:rPr>
        <w:t>竞</w:t>
      </w:r>
      <w:r>
        <w:rPr>
          <w:rFonts w:hint="eastAsia" w:eastAsia="方正仿宋_GBK"/>
          <w:b/>
          <w:sz w:val="24"/>
          <w:szCs w:val="24"/>
          <w:highlight w:val="none"/>
          <w:lang w:eastAsia="zh-CN"/>
        </w:rPr>
        <w:t>选人</w:t>
      </w:r>
    </w:p>
    <w:p>
      <w:pPr>
        <w:spacing w:line="312" w:lineRule="auto"/>
        <w:ind w:right="-126" w:rightChars="-60" w:firstLine="480" w:firstLineChars="200"/>
        <w:rPr>
          <w:rFonts w:hint="eastAsia" w:ascii="方正仿宋_GBK" w:hAnsi="方正仿宋_GBK" w:eastAsia="方正仿宋_GBK" w:cs="方正仿宋_GBK"/>
          <w:sz w:val="24"/>
          <w:highlight w:val="none"/>
          <w:lang w:val="en-US" w:eastAsia="zh-CN"/>
        </w:rPr>
      </w:pPr>
      <w:r>
        <w:rPr>
          <w:rFonts w:hint="eastAsia" w:ascii="宋体" w:hAnsi="宋体" w:cs="宋体"/>
          <w:sz w:val="24"/>
        </w:rPr>
        <w:t>（</w:t>
      </w:r>
      <w:r>
        <w:rPr>
          <w:rFonts w:hint="eastAsia" w:ascii="方正仿宋_GBK" w:hAnsi="方正仿宋_GBK" w:eastAsia="方正仿宋_GBK" w:cs="方正仿宋_GBK"/>
          <w:sz w:val="24"/>
          <w:highlight w:val="none"/>
          <w:lang w:val="en-US" w:eastAsia="zh-CN"/>
        </w:rPr>
        <w:t>一）竞选人</w:t>
      </w:r>
    </w:p>
    <w:p>
      <w:pPr>
        <w:spacing w:line="312" w:lineRule="auto"/>
        <w:ind w:right="-126" w:rightChars="-60" w:firstLine="480" w:firstLineChars="200"/>
        <w:rPr>
          <w:rFonts w:hint="eastAsia" w:ascii="宋体" w:hAnsi="宋体" w:cs="宋体"/>
          <w:sz w:val="24"/>
        </w:rPr>
      </w:pPr>
      <w:r>
        <w:rPr>
          <w:rFonts w:hint="eastAsia" w:ascii="宋体" w:hAnsi="宋体" w:cs="宋体"/>
          <w:sz w:val="24"/>
        </w:rPr>
        <w:t>竞选人是指响应比选、参加竞选竞争的法人、其他组织或者自然人。</w:t>
      </w:r>
    </w:p>
    <w:p>
      <w:pPr>
        <w:spacing w:line="312" w:lineRule="auto"/>
        <w:ind w:right="-126" w:rightChars="-60"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（二）合格竞选人条件</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合格竞选人应完全符合竞争性比选文件第一篇中规定的竞选人资格条件，并对竞争性比选文件作出实质性响应。</w:t>
      </w:r>
    </w:p>
    <w:p>
      <w:pPr>
        <w:spacing w:line="312" w:lineRule="auto"/>
        <w:ind w:right="-126" w:rightChars="-60"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（三）竞选人的风险</w:t>
      </w:r>
    </w:p>
    <w:p>
      <w:pPr>
        <w:spacing w:line="312" w:lineRule="auto"/>
        <w:ind w:right="-126" w:rightChars="-60" w:firstLine="480" w:firstLineChars="200"/>
        <w:rPr>
          <w:rFonts w:hint="eastAsia" w:ascii="宋体" w:hAnsi="宋体" w:cs="宋体"/>
          <w:sz w:val="24"/>
        </w:rPr>
      </w:pPr>
      <w:r>
        <w:rPr>
          <w:rFonts w:hint="eastAsia" w:ascii="宋体" w:hAnsi="宋体" w:cs="宋体"/>
          <w:sz w:val="24"/>
        </w:rPr>
        <w:t>竞选人没有按照竞争性比选文件要求提供全部资料，或者竞选人没有对竞争性比选文件在各方面作出实质性响应，可能导致竞选被拒绝或评定为无效竞选。</w:t>
      </w:r>
    </w:p>
    <w:p>
      <w:pPr>
        <w:pStyle w:val="5"/>
        <w:spacing w:line="360" w:lineRule="auto"/>
        <w:ind w:firstLine="482" w:firstLineChars="200"/>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lang w:val="zh-CN" w:eastAsia="zh-CN"/>
        </w:rPr>
        <w:t>比选费用</w:t>
      </w:r>
      <w:bookmarkEnd w:id="220"/>
      <w:bookmarkEnd w:id="221"/>
      <w:bookmarkEnd w:id="222"/>
      <w:bookmarkEnd w:id="223"/>
      <w:bookmarkEnd w:id="224"/>
      <w:bookmarkEnd w:id="225"/>
      <w:bookmarkEnd w:id="226"/>
      <w:bookmarkEnd w:id="227"/>
      <w:bookmarkEnd w:id="228"/>
      <w:bookmarkEnd w:id="229"/>
      <w:bookmarkEnd w:id="230"/>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参与投标的竞选人应承担其编制响应文件所涉及的一切费用，不论比选结果如何，采购人在任何情况下无义务也无责任承担这些费用。</w:t>
      </w:r>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231" w:name="_Toc8393"/>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val="zh-CN" w:eastAsia="zh-CN"/>
        </w:rPr>
        <w:t>、竞争性比选文件</w:t>
      </w:r>
      <w:bookmarkEnd w:id="231"/>
    </w:p>
    <w:p>
      <w:pPr>
        <w:spacing w:line="312" w:lineRule="auto"/>
        <w:ind w:right="-126" w:rightChars="-60" w:firstLine="480" w:firstLineChars="200"/>
        <w:rPr>
          <w:rFonts w:hint="eastAsia" w:ascii="宋体" w:hAnsi="宋体" w:cs="宋体"/>
          <w:sz w:val="24"/>
          <w:lang w:eastAsia="zh-CN"/>
        </w:rPr>
      </w:pPr>
      <w:bookmarkStart w:id="232" w:name="_Toc318166429"/>
      <w:bookmarkStart w:id="233" w:name="_Toc318159349"/>
      <w:bookmarkStart w:id="234" w:name="_Toc318159160"/>
      <w:bookmarkStart w:id="235" w:name="_Toc318159780"/>
      <w:r>
        <w:rPr>
          <w:rFonts w:hint="eastAsia" w:ascii="宋体" w:hAnsi="宋体" w:cs="宋体"/>
          <w:sz w:val="24"/>
          <w:highlight w:val="none"/>
        </w:rPr>
        <w:t>（</w:t>
      </w:r>
      <w:r>
        <w:rPr>
          <w:rFonts w:hint="eastAsia" w:ascii="宋体" w:hAnsi="宋体" w:cs="宋体"/>
          <w:sz w:val="24"/>
          <w:lang w:eastAsia="zh-CN"/>
        </w:rPr>
        <w:t>一）竞争性比选文件由比选邀请书、</w:t>
      </w:r>
      <w:r>
        <w:rPr>
          <w:rFonts w:hint="eastAsia" w:ascii="宋体" w:hAnsi="宋体" w:cs="宋体"/>
          <w:sz w:val="24"/>
          <w:lang w:val="en-US" w:eastAsia="zh-CN"/>
        </w:rPr>
        <w:t>项目服务需求</w:t>
      </w:r>
      <w:r>
        <w:rPr>
          <w:rFonts w:hint="eastAsia" w:ascii="宋体" w:hAnsi="宋体" w:cs="宋体"/>
          <w:sz w:val="24"/>
          <w:lang w:eastAsia="zh-CN"/>
        </w:rPr>
        <w:t>、</w:t>
      </w:r>
      <w:r>
        <w:rPr>
          <w:rFonts w:hint="eastAsia" w:ascii="宋体" w:hAnsi="宋体" w:cs="宋体"/>
          <w:sz w:val="24"/>
          <w:lang w:val="en-US" w:eastAsia="zh-CN"/>
        </w:rPr>
        <w:t>项目商务要求</w:t>
      </w:r>
      <w:r>
        <w:rPr>
          <w:rFonts w:hint="eastAsia" w:ascii="宋体" w:hAnsi="宋体" w:cs="宋体"/>
          <w:sz w:val="24"/>
          <w:lang w:eastAsia="zh-CN"/>
        </w:rPr>
        <w:t>、</w:t>
      </w:r>
      <w:r>
        <w:rPr>
          <w:rFonts w:hint="eastAsia" w:ascii="宋体" w:hAnsi="宋体" w:cs="宋体"/>
          <w:sz w:val="24"/>
          <w:lang w:val="en-US" w:eastAsia="zh-CN"/>
        </w:rPr>
        <w:t>比选</w:t>
      </w:r>
      <w:r>
        <w:rPr>
          <w:rFonts w:hint="eastAsia" w:ascii="宋体" w:hAnsi="宋体" w:cs="宋体"/>
          <w:sz w:val="24"/>
          <w:lang w:eastAsia="zh-CN"/>
        </w:rPr>
        <w:t>程序及方法、评审标准、无效响应和采购终止、竞选人须知、合同条款及格式、响应文件编制要求七部分组成。</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（二）采购人所作的一切有效的书面通知、修改及补充，都是竞争性比选文件不可分割的部分。</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（三）竞争性比选文件的解释</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竞选人如对竞争性比选文件有疑问，必须以书面形式在提交响应文件截止时间3个工作日前向采购人要求澄清，采购人可视具体情况做出处理或答复。如竞选人未提出疑问，视为完全理解并同意本竞争性比选文件。一经进入</w:t>
      </w:r>
      <w:r>
        <w:rPr>
          <w:rFonts w:hint="eastAsia" w:ascii="宋体" w:hAnsi="宋体" w:cs="宋体"/>
          <w:sz w:val="24"/>
          <w:lang w:val="en-US" w:eastAsia="zh-CN"/>
        </w:rPr>
        <w:t>比选</w:t>
      </w:r>
      <w:r>
        <w:rPr>
          <w:rFonts w:hint="eastAsia" w:ascii="宋体" w:hAnsi="宋体" w:cs="宋体"/>
          <w:sz w:val="24"/>
          <w:lang w:eastAsia="zh-CN"/>
        </w:rPr>
        <w:t>程序，即视为竞选人已详细阅读全部文件资料，完全理解竞争性比选文件所有条款内容并同意放弃对这方面有不明白及误解的权利。</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（四）评审的依据为竞争性比选文件和响应文件（含有效的书面承诺）。评审小组判断响应文件对竞争性比选文件的响应，仅基于响应文件本身而不靠外部证据。</w:t>
      </w:r>
    </w:p>
    <w:bookmarkEnd w:id="232"/>
    <w:bookmarkEnd w:id="233"/>
    <w:bookmarkEnd w:id="234"/>
    <w:bookmarkEnd w:id="235"/>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236" w:name="_Toc179714297"/>
      <w:bookmarkStart w:id="237" w:name="_Toc7567"/>
      <w:bookmarkStart w:id="238" w:name="_Toc6441"/>
      <w:bookmarkStart w:id="239" w:name="_Toc7180"/>
      <w:bookmarkStart w:id="240" w:name="_Toc102227318"/>
      <w:bookmarkStart w:id="241" w:name="_Toc12964"/>
      <w:bookmarkStart w:id="242" w:name="_Toc22250"/>
      <w:bookmarkStart w:id="243" w:name="_Toc8245"/>
      <w:bookmarkStart w:id="244" w:name="_Toc342913392"/>
      <w:bookmarkStart w:id="245" w:name="_Toc14224"/>
      <w:bookmarkStart w:id="246" w:name="_Toc15947"/>
      <w:bookmarkStart w:id="247" w:name="_Toc5137"/>
      <w:bookmarkStart w:id="248" w:name="_Toc22797"/>
      <w:r>
        <w:rPr>
          <w:rFonts w:hint="eastAsia" w:ascii="宋体" w:hAnsi="宋体" w:eastAsia="宋体" w:cs="宋体"/>
          <w:color w:val="auto"/>
          <w:kern w:val="0"/>
          <w:sz w:val="24"/>
          <w:szCs w:val="24"/>
          <w:lang w:val="en-US" w:eastAsia="zh-CN"/>
        </w:rPr>
        <w:t>四</w:t>
      </w:r>
      <w:r>
        <w:rPr>
          <w:rFonts w:hint="eastAsia" w:ascii="宋体" w:hAnsi="宋体" w:eastAsia="宋体" w:cs="宋体"/>
          <w:color w:val="auto"/>
          <w:kern w:val="0"/>
          <w:sz w:val="24"/>
          <w:szCs w:val="24"/>
          <w:lang w:val="zh-CN" w:eastAsia="zh-CN"/>
        </w:rPr>
        <w:t>、比选要求</w:t>
      </w:r>
      <w:bookmarkEnd w:id="236"/>
      <w:bookmarkEnd w:id="237"/>
      <w:bookmarkEnd w:id="238"/>
      <w:bookmarkEnd w:id="239"/>
      <w:bookmarkEnd w:id="240"/>
      <w:bookmarkEnd w:id="241"/>
      <w:bookmarkEnd w:id="242"/>
      <w:bookmarkEnd w:id="243"/>
      <w:bookmarkEnd w:id="244"/>
      <w:bookmarkEnd w:id="245"/>
      <w:bookmarkEnd w:id="246"/>
      <w:bookmarkEnd w:id="247"/>
      <w:bookmarkEnd w:id="248"/>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（一）响应文件</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1.竞选人应当按照竞争性比选文件的要求编制响应文件，并对竞争性比选文件提出的要求和条件作出实质性响应，响应文件原则上采用软面订本，同时应编制完整的页码、目录。</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2.响应文件组成</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响应文件由第七篇“响应文件编制要求”规定的部分和竞选人所作的一切有效补充、修改和承诺等文件组成，竞选人应按照第七篇“响应文件编制要求”规定的目录顺序组织编写和装订，也可在基本格式基础上对表格进行扩展，未规定格式的由竞选人自定格式。</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（二）联合体</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本项目不接受联合体形式参与投标。</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（三）比选有效期：响应文件及有关承诺文件有效期为提交响应文件截止时间起90天。</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（四）修正错误</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1.若竞选人所递交的响应文件或投标报价中的价格出现大写金额和小写金额不一致的错误，以大写金额修正为准。</w:t>
      </w:r>
    </w:p>
    <w:p>
      <w:pPr>
        <w:spacing w:line="312" w:lineRule="auto"/>
        <w:ind w:right="-126" w:rightChars="-60" w:firstLine="480" w:firstLineChars="200"/>
        <w:rPr>
          <w:rFonts w:hint="eastAsia" w:ascii="宋体" w:hAnsi="宋体" w:cs="宋体"/>
          <w:sz w:val="24"/>
          <w:lang w:eastAsia="zh-CN"/>
        </w:rPr>
      </w:pPr>
      <w:r>
        <w:rPr>
          <w:rFonts w:hint="eastAsia" w:ascii="宋体" w:hAnsi="宋体" w:cs="宋体"/>
          <w:sz w:val="24"/>
          <w:lang w:eastAsia="zh-CN"/>
        </w:rPr>
        <w:t>2.评审小组按上述修正错误的原则及方法修正竞选人的报价，竞选人同意并签字确认后，修正后的报价对竞选人具有约束作用。如果竞选人不接受修正后的价格，将失去成为中选人的资格。</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（五）提交响应文件的份数和签署</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1.响应文件一式</w:t>
      </w:r>
      <w:r>
        <w:rPr>
          <w:rFonts w:hint="eastAsia" w:ascii="宋体" w:hAnsi="宋体" w:cs="宋体"/>
          <w:sz w:val="24"/>
          <w:highlight w:val="none"/>
          <w:lang w:val="en-US" w:eastAsia="zh-CN"/>
        </w:rPr>
        <w:t>贰</w:t>
      </w:r>
      <w:r>
        <w:rPr>
          <w:rFonts w:hint="eastAsia" w:ascii="宋体" w:hAnsi="宋体" w:cs="宋体"/>
          <w:sz w:val="24"/>
          <w:highlight w:val="none"/>
          <w:lang w:eastAsia="zh-CN"/>
        </w:rPr>
        <w:t>份，其中正本一份，副本</w:t>
      </w:r>
      <w:r>
        <w:rPr>
          <w:rFonts w:hint="eastAsia" w:ascii="宋体" w:hAnsi="宋体" w:cs="宋体"/>
          <w:sz w:val="24"/>
          <w:highlight w:val="none"/>
          <w:lang w:val="en-US" w:eastAsia="zh-CN"/>
        </w:rPr>
        <w:t>一</w:t>
      </w:r>
      <w:r>
        <w:rPr>
          <w:rFonts w:hint="eastAsia" w:ascii="宋体" w:hAnsi="宋体" w:cs="宋体"/>
          <w:sz w:val="24"/>
          <w:highlight w:val="none"/>
          <w:lang w:eastAsia="zh-CN"/>
        </w:rPr>
        <w:t>份；副本可为正本的复印件，应与正本一致，如出现不一致情况以正本为准。</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2.在纸质响应文件中，竞争性比选文</w:t>
      </w:r>
      <w:r>
        <w:rPr>
          <w:rFonts w:hint="eastAsia" w:ascii="宋体" w:hAnsi="宋体" w:cs="宋体"/>
          <w:sz w:val="24"/>
          <w:highlight w:val="none"/>
        </w:rPr>
        <w:t>件第七篇</w:t>
      </w:r>
      <w:r>
        <w:rPr>
          <w:rFonts w:hint="eastAsia" w:ascii="宋体" w:hAnsi="宋体" w:cs="宋体"/>
          <w:sz w:val="24"/>
          <w:highlight w:val="none"/>
          <w:lang w:eastAsia="zh-CN"/>
        </w:rPr>
        <w:t>响应文件</w:t>
      </w:r>
      <w:r>
        <w:rPr>
          <w:rFonts w:hint="eastAsia" w:ascii="宋体" w:hAnsi="宋体" w:cs="宋体"/>
          <w:sz w:val="24"/>
          <w:highlight w:val="none"/>
        </w:rPr>
        <w:t>编制要求中规定签字</w:t>
      </w:r>
      <w:r>
        <w:rPr>
          <w:rFonts w:hint="eastAsia" w:ascii="宋体" w:hAnsi="宋体" w:cs="宋体"/>
          <w:sz w:val="24"/>
          <w:highlight w:val="none"/>
          <w:lang w:eastAsia="zh-CN"/>
        </w:rPr>
        <w:t>、</w:t>
      </w:r>
      <w:r>
        <w:rPr>
          <w:rFonts w:hint="eastAsia" w:ascii="宋体" w:hAnsi="宋体" w:cs="宋体"/>
          <w:sz w:val="24"/>
          <w:highlight w:val="none"/>
        </w:rPr>
        <w:t>盖章的地方必须按其规定签字</w:t>
      </w:r>
      <w:r>
        <w:rPr>
          <w:rFonts w:hint="eastAsia" w:ascii="宋体" w:hAnsi="宋体" w:cs="宋体"/>
          <w:sz w:val="24"/>
          <w:highlight w:val="none"/>
          <w:lang w:eastAsia="zh-CN"/>
        </w:rPr>
        <w:t>、</w:t>
      </w:r>
      <w:r>
        <w:rPr>
          <w:rFonts w:hint="eastAsia" w:ascii="宋体" w:hAnsi="宋体" w:cs="宋体"/>
          <w:sz w:val="24"/>
          <w:highlight w:val="none"/>
        </w:rPr>
        <w:t>盖章。</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2.副本应为正本的完整复印件，副本与正本不一致时以正本为准。</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3.竞选文件应按竞争性比选文件第七篇竞选文件格式中规定签字、盖章的地方必须按其规定签字、盖章。</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4.若</w:t>
      </w:r>
      <w:r>
        <w:rPr>
          <w:rFonts w:hint="eastAsia" w:ascii="宋体" w:hAnsi="宋体" w:cs="宋体"/>
          <w:sz w:val="24"/>
          <w:highlight w:val="none"/>
          <w:lang w:val="en-US" w:eastAsia="zh-CN"/>
        </w:rPr>
        <w:t>竞</w:t>
      </w:r>
      <w:r>
        <w:rPr>
          <w:rFonts w:hint="eastAsia" w:ascii="宋体" w:hAnsi="宋体" w:cs="宋体"/>
          <w:sz w:val="24"/>
          <w:highlight w:val="none"/>
          <w:lang w:eastAsia="zh-CN"/>
        </w:rPr>
        <w:t>选人对竞选文件的错处做必要修改，则应在修改处加盖</w:t>
      </w:r>
      <w:r>
        <w:rPr>
          <w:rFonts w:hint="eastAsia" w:ascii="宋体" w:hAnsi="宋体" w:cs="宋体"/>
          <w:sz w:val="24"/>
          <w:highlight w:val="none"/>
          <w:lang w:val="en-US" w:eastAsia="zh-CN"/>
        </w:rPr>
        <w:t>竞</w:t>
      </w:r>
      <w:r>
        <w:rPr>
          <w:rFonts w:hint="eastAsia" w:ascii="宋体" w:hAnsi="宋体" w:cs="宋体"/>
          <w:sz w:val="24"/>
          <w:highlight w:val="none"/>
          <w:lang w:eastAsia="zh-CN"/>
        </w:rPr>
        <w:t>选人公章或由法定代表人或法定代表人授权代表签字确认。</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5.如果</w:t>
      </w:r>
      <w:r>
        <w:rPr>
          <w:rFonts w:hint="eastAsia" w:ascii="宋体" w:hAnsi="宋体" w:cs="宋体"/>
          <w:sz w:val="24"/>
          <w:highlight w:val="none"/>
          <w:lang w:val="en-US" w:eastAsia="zh-CN"/>
        </w:rPr>
        <w:t>竞</w:t>
      </w:r>
      <w:r>
        <w:rPr>
          <w:rFonts w:hint="eastAsia" w:ascii="宋体" w:hAnsi="宋体" w:cs="宋体"/>
          <w:sz w:val="24"/>
          <w:highlight w:val="none"/>
          <w:lang w:eastAsia="zh-CN"/>
        </w:rPr>
        <w:t>选人未按上述规定进行密封和标记，对竞选文件误投、丢失或提前拆封不负责任。</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6.电报、电话、传真形式的竞选文件概不接受。</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（六）竞选报价</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1.</w:t>
      </w:r>
      <w:r>
        <w:rPr>
          <w:rFonts w:hint="eastAsia" w:ascii="宋体" w:hAnsi="宋体" w:cs="宋体"/>
          <w:sz w:val="24"/>
          <w:highlight w:val="none"/>
          <w:lang w:val="en-US" w:eastAsia="zh-CN"/>
        </w:rPr>
        <w:t>竞</w:t>
      </w:r>
      <w:r>
        <w:rPr>
          <w:rFonts w:hint="eastAsia" w:ascii="宋体" w:hAnsi="宋体" w:cs="宋体"/>
          <w:sz w:val="24"/>
          <w:highlight w:val="none"/>
          <w:lang w:eastAsia="zh-CN"/>
        </w:rPr>
        <w:t>选人应严格按照“竞选文件格式”中“开标一览表”和“分项报价明细表”的格式填写报价。</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2.</w:t>
      </w:r>
      <w:r>
        <w:rPr>
          <w:rFonts w:hint="eastAsia" w:ascii="宋体" w:hAnsi="宋体" w:cs="宋体"/>
          <w:sz w:val="24"/>
          <w:highlight w:val="none"/>
          <w:lang w:val="en-US" w:eastAsia="zh-CN"/>
        </w:rPr>
        <w:t>竞</w:t>
      </w:r>
      <w:r>
        <w:rPr>
          <w:rFonts w:hint="eastAsia" w:ascii="宋体" w:hAnsi="宋体" w:cs="宋体"/>
          <w:sz w:val="24"/>
          <w:highlight w:val="none"/>
          <w:lang w:eastAsia="zh-CN"/>
        </w:rPr>
        <w:t>选人的报价为一次性报价，即在竞选有效期内竞选价格固定不变。</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3.本项目只接受一个竞选报价，有选择的或有条件的报价将不予接受。</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（七）修正错误</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若竞选文件出现计算或表达上的错误，修正错误的原则如下：</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1.竞选文件中开标一览表（报价表）内容与竞选文件中相应内容不一致的，以开标一览表（报价表）为准；</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2.大写金额和小写金额不一致的，以大写金额为准；</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3.单价金额小数点或者百分比有明显错位的，以开标一览表的总价为准，并修改单价；</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4.总价金额与按单价汇总金额不一致的，以单价金额计算结果为准。</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评标委员会按上述修正错误的原则及方法调整或修正比</w:t>
      </w:r>
      <w:r>
        <w:rPr>
          <w:rFonts w:hint="eastAsia" w:ascii="宋体" w:hAnsi="宋体" w:cs="宋体"/>
          <w:sz w:val="24"/>
          <w:highlight w:val="none"/>
          <w:lang w:val="en-US" w:eastAsia="zh-CN"/>
        </w:rPr>
        <w:t>竞</w:t>
      </w:r>
      <w:r>
        <w:rPr>
          <w:rFonts w:hint="eastAsia" w:ascii="宋体" w:hAnsi="宋体" w:cs="宋体"/>
          <w:sz w:val="24"/>
          <w:highlight w:val="none"/>
          <w:lang w:eastAsia="zh-CN"/>
        </w:rPr>
        <w:t>选人竞选报价，若同时出现两种以上不一致的，按照前款规定的顺序修正，</w:t>
      </w:r>
      <w:r>
        <w:rPr>
          <w:rFonts w:hint="eastAsia" w:ascii="宋体" w:hAnsi="宋体" w:cs="宋体"/>
          <w:sz w:val="24"/>
          <w:highlight w:val="none"/>
          <w:lang w:val="en-US" w:eastAsia="zh-CN"/>
        </w:rPr>
        <w:t>竞</w:t>
      </w:r>
      <w:r>
        <w:rPr>
          <w:rFonts w:hint="eastAsia" w:ascii="宋体" w:hAnsi="宋体" w:cs="宋体"/>
          <w:sz w:val="24"/>
          <w:highlight w:val="none"/>
          <w:lang w:eastAsia="zh-CN"/>
        </w:rPr>
        <w:t>选人同意并签字确认后，调整后的竞选报价对</w:t>
      </w:r>
      <w:r>
        <w:rPr>
          <w:rFonts w:hint="eastAsia" w:ascii="宋体" w:hAnsi="宋体" w:cs="宋体"/>
          <w:sz w:val="24"/>
          <w:highlight w:val="none"/>
          <w:lang w:val="en-US" w:eastAsia="zh-CN"/>
        </w:rPr>
        <w:t>竞</w:t>
      </w:r>
      <w:r>
        <w:rPr>
          <w:rFonts w:hint="eastAsia" w:ascii="宋体" w:hAnsi="宋体" w:cs="宋体"/>
          <w:sz w:val="24"/>
          <w:highlight w:val="none"/>
          <w:lang w:eastAsia="zh-CN"/>
        </w:rPr>
        <w:t>选人具有约束作用。如果</w:t>
      </w:r>
      <w:r>
        <w:rPr>
          <w:rFonts w:hint="eastAsia" w:ascii="宋体" w:hAnsi="宋体" w:cs="宋体"/>
          <w:sz w:val="24"/>
          <w:highlight w:val="none"/>
          <w:lang w:val="en-US" w:eastAsia="zh-CN"/>
        </w:rPr>
        <w:t>竞</w:t>
      </w:r>
      <w:r>
        <w:rPr>
          <w:rFonts w:hint="eastAsia" w:ascii="宋体" w:hAnsi="宋体" w:cs="宋体"/>
          <w:sz w:val="24"/>
          <w:highlight w:val="none"/>
          <w:lang w:eastAsia="zh-CN"/>
        </w:rPr>
        <w:t>选人不接受修正后的报价，则其竞选将作为无效竞选处理。</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（八）竞选文件的递交</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竞选文件装入文件袋密封送达竞选地点，应完整封装，并在封套上注明项目名称、</w:t>
      </w:r>
      <w:r>
        <w:rPr>
          <w:rFonts w:hint="eastAsia" w:ascii="宋体" w:hAnsi="宋体" w:cs="宋体"/>
          <w:sz w:val="24"/>
          <w:highlight w:val="none"/>
          <w:lang w:val="en-US" w:eastAsia="zh-CN"/>
        </w:rPr>
        <w:t>竞</w:t>
      </w:r>
      <w:r>
        <w:rPr>
          <w:rFonts w:hint="eastAsia" w:ascii="宋体" w:hAnsi="宋体" w:cs="宋体"/>
          <w:sz w:val="24"/>
          <w:highlight w:val="none"/>
          <w:lang w:eastAsia="zh-CN"/>
        </w:rPr>
        <w:t>选人名称、项目名称。</w:t>
      </w:r>
    </w:p>
    <w:p>
      <w:pPr>
        <w:pStyle w:val="104"/>
        <w:spacing w:line="500" w:lineRule="exact"/>
        <w:ind w:firstLine="482" w:firstLineChars="200"/>
        <w:rPr>
          <w:rFonts w:ascii="Times New Roman" w:hAnsi="Times New Roman" w:eastAsia="方正仿宋_GBK"/>
          <w:b/>
          <w:sz w:val="24"/>
          <w:szCs w:val="24"/>
          <w:highlight w:val="none"/>
        </w:rPr>
      </w:pPr>
      <w:bookmarkStart w:id="249" w:name="_Toc22407"/>
      <w:bookmarkEnd w:id="249"/>
      <w:bookmarkStart w:id="250" w:name="_Toc23080"/>
      <w:bookmarkEnd w:id="250"/>
      <w:bookmarkStart w:id="251" w:name="_Toc661"/>
      <w:bookmarkEnd w:id="251"/>
      <w:bookmarkStart w:id="252" w:name="_Toc12657"/>
      <w:bookmarkEnd w:id="252"/>
      <w:bookmarkStart w:id="253" w:name="_Toc106030403"/>
      <w:bookmarkEnd w:id="253"/>
      <w:bookmarkStart w:id="254" w:name="_Toc17836"/>
      <w:bookmarkEnd w:id="254"/>
      <w:bookmarkStart w:id="255" w:name="_Toc26616"/>
      <w:bookmarkEnd w:id="255"/>
      <w:bookmarkStart w:id="256" w:name="_Toc28759"/>
      <w:bookmarkEnd w:id="256"/>
      <w:bookmarkStart w:id="257" w:name="_Toc17096"/>
      <w:bookmarkEnd w:id="257"/>
      <w:bookmarkStart w:id="258" w:name="_Toc4765"/>
      <w:bookmarkEnd w:id="258"/>
      <w:bookmarkStart w:id="259" w:name="_Toc2597"/>
      <w:bookmarkEnd w:id="259"/>
      <w:bookmarkStart w:id="260" w:name="_Toc12661"/>
      <w:bookmarkEnd w:id="260"/>
      <w:bookmarkStart w:id="261" w:name="_Toc29335"/>
      <w:bookmarkEnd w:id="261"/>
      <w:bookmarkStart w:id="262" w:name="_Toc2517"/>
      <w:bookmarkEnd w:id="262"/>
      <w:bookmarkStart w:id="263" w:name="_Toc1820"/>
      <w:bookmarkEnd w:id="263"/>
      <w:bookmarkStart w:id="264" w:name="_Toc13756"/>
      <w:bookmarkEnd w:id="264"/>
      <w:bookmarkStart w:id="265" w:name="_Toc75793527"/>
      <w:bookmarkEnd w:id="265"/>
      <w:bookmarkStart w:id="266" w:name="_Toc9031"/>
      <w:bookmarkEnd w:id="266"/>
      <w:bookmarkStart w:id="267" w:name="_Toc13013"/>
      <w:bookmarkEnd w:id="267"/>
      <w:bookmarkStart w:id="268" w:name="_Toc174478300"/>
      <w:bookmarkStart w:id="269" w:name="_Toc28002"/>
      <w:r>
        <w:rPr>
          <w:rFonts w:hint="eastAsia" w:ascii="Times New Roman" w:hAnsi="Times New Roman" w:eastAsia="方正仿宋_GBK"/>
          <w:b/>
          <w:sz w:val="24"/>
          <w:szCs w:val="24"/>
          <w:highlight w:val="none"/>
          <w:lang w:val="en-US" w:eastAsia="zh-CN"/>
        </w:rPr>
        <w:t>五</w:t>
      </w:r>
      <w:r>
        <w:rPr>
          <w:rFonts w:ascii="Times New Roman" w:hAnsi="Times New Roman" w:eastAsia="方正仿宋_GBK"/>
          <w:b/>
          <w:sz w:val="24"/>
          <w:szCs w:val="24"/>
          <w:highlight w:val="none"/>
        </w:rPr>
        <w:t>、开标</w:t>
      </w:r>
      <w:bookmarkEnd w:id="268"/>
      <w:bookmarkEnd w:id="269"/>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（一）开标应当在竞争性比选文件中“</w:t>
      </w:r>
      <w:r>
        <w:rPr>
          <w:rFonts w:hint="eastAsia" w:ascii="宋体" w:hAnsi="宋体" w:cs="宋体"/>
          <w:sz w:val="24"/>
          <w:highlight w:val="none"/>
          <w:lang w:val="en-US" w:eastAsia="zh-CN"/>
        </w:rPr>
        <w:t>比</w:t>
      </w:r>
      <w:r>
        <w:rPr>
          <w:rFonts w:hint="eastAsia" w:ascii="宋体" w:hAnsi="宋体" w:cs="宋体"/>
          <w:sz w:val="24"/>
          <w:highlight w:val="none"/>
          <w:lang w:eastAsia="zh-CN"/>
        </w:rPr>
        <w:t>选邀请书”确定的时间和地点公开进行。</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（二）比选人可视采购具体情况，延长竞选截止时间和开标时间，并将变更时间书面通知所有竞争性比选文件收受人。</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（三）开标时，由</w:t>
      </w:r>
      <w:r>
        <w:rPr>
          <w:rFonts w:hint="eastAsia" w:ascii="宋体" w:hAnsi="宋体" w:cs="宋体"/>
          <w:sz w:val="24"/>
          <w:highlight w:val="none"/>
          <w:lang w:val="en-US" w:eastAsia="zh-CN"/>
        </w:rPr>
        <w:t>竞</w:t>
      </w:r>
      <w:r>
        <w:rPr>
          <w:rFonts w:hint="eastAsia" w:ascii="宋体" w:hAnsi="宋体" w:cs="宋体"/>
          <w:sz w:val="24"/>
          <w:highlight w:val="none"/>
          <w:lang w:eastAsia="zh-CN"/>
        </w:rPr>
        <w:t>选人或者其推选的代表检查竞选文件的密封情况；经确认无误后，由</w:t>
      </w:r>
      <w:r>
        <w:rPr>
          <w:rFonts w:hint="eastAsia" w:ascii="宋体" w:hAnsi="宋体" w:cs="宋体"/>
          <w:sz w:val="24"/>
          <w:highlight w:val="none"/>
          <w:lang w:val="en-US" w:eastAsia="zh-CN"/>
        </w:rPr>
        <w:t>比</w:t>
      </w:r>
      <w:r>
        <w:rPr>
          <w:rFonts w:hint="eastAsia" w:ascii="宋体" w:hAnsi="宋体" w:cs="宋体"/>
          <w:sz w:val="24"/>
          <w:highlight w:val="none"/>
          <w:lang w:eastAsia="zh-CN"/>
        </w:rPr>
        <w:t>选人工作人员当场拆封，宣布</w:t>
      </w:r>
      <w:r>
        <w:rPr>
          <w:rFonts w:hint="eastAsia" w:ascii="宋体" w:hAnsi="宋体" w:cs="宋体"/>
          <w:sz w:val="24"/>
          <w:highlight w:val="none"/>
          <w:lang w:val="en-US" w:eastAsia="zh-CN"/>
        </w:rPr>
        <w:t>竞</w:t>
      </w:r>
      <w:r>
        <w:rPr>
          <w:rFonts w:hint="eastAsia" w:ascii="宋体" w:hAnsi="宋体" w:cs="宋体"/>
          <w:sz w:val="24"/>
          <w:highlight w:val="none"/>
          <w:lang w:eastAsia="zh-CN"/>
        </w:rPr>
        <w:t>选人名称、竞选价格和《开标一览表》规定的需要宣布的其他内容。</w:t>
      </w:r>
      <w:r>
        <w:rPr>
          <w:rFonts w:hint="eastAsia" w:ascii="宋体" w:hAnsi="宋体" w:cs="宋体"/>
          <w:sz w:val="24"/>
          <w:highlight w:val="none"/>
          <w:lang w:val="en-US" w:eastAsia="zh-CN"/>
        </w:rPr>
        <w:t>竞</w:t>
      </w:r>
      <w:r>
        <w:rPr>
          <w:rFonts w:hint="eastAsia" w:ascii="宋体" w:hAnsi="宋体" w:cs="宋体"/>
          <w:sz w:val="24"/>
          <w:highlight w:val="none"/>
          <w:lang w:eastAsia="zh-CN"/>
        </w:rPr>
        <w:t>选人不足3家的，不得开标。</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）未宣读的竞选价格、价格折扣和竞争性比选文件允许提供的备选竞选方案等实质性内容等，评标时不予承认。</w:t>
      </w:r>
    </w:p>
    <w:p>
      <w:pPr>
        <w:pStyle w:val="104"/>
        <w:spacing w:line="500" w:lineRule="exact"/>
        <w:ind w:firstLine="482" w:firstLineChars="200"/>
        <w:rPr>
          <w:rFonts w:ascii="Times New Roman" w:hAnsi="Times New Roman" w:eastAsia="方正仿宋_GBK"/>
          <w:b/>
          <w:sz w:val="24"/>
          <w:szCs w:val="24"/>
          <w:highlight w:val="none"/>
        </w:rPr>
      </w:pPr>
      <w:bookmarkStart w:id="270" w:name="_Toc24485"/>
      <w:bookmarkEnd w:id="270"/>
      <w:bookmarkStart w:id="271" w:name="_Toc179"/>
      <w:bookmarkEnd w:id="271"/>
      <w:bookmarkStart w:id="272" w:name="_Toc13976"/>
      <w:bookmarkEnd w:id="272"/>
      <w:bookmarkStart w:id="273" w:name="_Toc17837"/>
      <w:bookmarkEnd w:id="273"/>
      <w:bookmarkStart w:id="274" w:name="_Toc868"/>
      <w:bookmarkEnd w:id="274"/>
      <w:bookmarkStart w:id="275" w:name="_Toc8319"/>
      <w:bookmarkEnd w:id="275"/>
      <w:bookmarkStart w:id="276" w:name="_Toc8659"/>
      <w:bookmarkEnd w:id="276"/>
      <w:bookmarkStart w:id="277" w:name="_Toc12882"/>
      <w:bookmarkEnd w:id="277"/>
      <w:bookmarkStart w:id="278" w:name="_Toc31031"/>
      <w:bookmarkEnd w:id="278"/>
      <w:bookmarkStart w:id="279" w:name="_Toc75793528"/>
      <w:bookmarkEnd w:id="279"/>
      <w:bookmarkStart w:id="280" w:name="_Toc26506"/>
      <w:bookmarkEnd w:id="280"/>
      <w:bookmarkStart w:id="281" w:name="_Toc15031"/>
      <w:bookmarkEnd w:id="281"/>
      <w:bookmarkStart w:id="282" w:name="_Toc20739"/>
      <w:bookmarkEnd w:id="282"/>
      <w:bookmarkStart w:id="283" w:name="_Toc20022"/>
      <w:bookmarkEnd w:id="283"/>
      <w:bookmarkStart w:id="284" w:name="_Toc106030404"/>
      <w:bookmarkEnd w:id="284"/>
      <w:bookmarkStart w:id="285" w:name="_Toc8469"/>
      <w:bookmarkEnd w:id="285"/>
      <w:bookmarkStart w:id="286" w:name="_Toc25586"/>
      <w:bookmarkEnd w:id="286"/>
      <w:bookmarkStart w:id="287" w:name="_Toc9134"/>
      <w:bookmarkEnd w:id="287"/>
      <w:bookmarkStart w:id="288" w:name="_Toc5409"/>
      <w:bookmarkEnd w:id="288"/>
      <w:bookmarkStart w:id="289" w:name="_Toc174478301"/>
      <w:bookmarkStart w:id="290" w:name="_Toc18895"/>
      <w:r>
        <w:rPr>
          <w:rFonts w:hint="eastAsia" w:ascii="Times New Roman" w:hAnsi="Times New Roman" w:eastAsia="方正仿宋_GBK"/>
          <w:b/>
          <w:sz w:val="24"/>
          <w:szCs w:val="24"/>
          <w:highlight w:val="none"/>
          <w:lang w:val="en-US" w:eastAsia="zh-CN"/>
        </w:rPr>
        <w:t>六</w:t>
      </w:r>
      <w:r>
        <w:rPr>
          <w:rFonts w:ascii="Times New Roman" w:hAnsi="Times New Roman" w:eastAsia="方正仿宋_GBK"/>
          <w:b/>
          <w:sz w:val="24"/>
          <w:szCs w:val="24"/>
          <w:highlight w:val="none"/>
        </w:rPr>
        <w:t>、评标</w:t>
      </w:r>
      <w:bookmarkEnd w:id="289"/>
      <w:bookmarkEnd w:id="290"/>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见第四篇“评标”内容。</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291" w:name="_Toc15461"/>
      <w:bookmarkStart w:id="292" w:name="_Toc23688"/>
      <w:bookmarkStart w:id="293" w:name="_Toc28474"/>
      <w:bookmarkStart w:id="294" w:name="_Toc19895"/>
      <w:bookmarkStart w:id="295" w:name="_Toc5132"/>
      <w:bookmarkStart w:id="296" w:name="_Toc24430"/>
      <w:bookmarkStart w:id="297" w:name="_Toc32632"/>
      <w:bookmarkStart w:id="298" w:name="_Toc3760"/>
      <w:bookmarkStart w:id="299" w:name="_Toc25555"/>
      <w:bookmarkStart w:id="300" w:name="_Toc14349"/>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val="zh-CN" w:eastAsia="zh-CN"/>
        </w:rPr>
        <w:t>、中标竞选人的确认和变更</w:t>
      </w:r>
      <w:bookmarkEnd w:id="291"/>
      <w:bookmarkEnd w:id="292"/>
      <w:bookmarkEnd w:id="293"/>
      <w:bookmarkEnd w:id="294"/>
      <w:bookmarkEnd w:id="295"/>
      <w:bookmarkEnd w:id="296"/>
      <w:bookmarkEnd w:id="297"/>
      <w:bookmarkEnd w:id="298"/>
      <w:bookmarkEnd w:id="299"/>
      <w:bookmarkEnd w:id="300"/>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（一）中选人的确定</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采购人或其授权的评标委员会应按照评标报告中推荐的中标候选人排名顺序确定中标人。</w:t>
      </w:r>
      <w:r>
        <w:rPr>
          <w:rFonts w:hint="eastAsia" w:ascii="宋体" w:hAnsi="宋体" w:cs="宋体"/>
          <w:sz w:val="24"/>
          <w:highlight w:val="none"/>
          <w:lang w:eastAsia="zh-CN"/>
        </w:rPr>
        <w:t>采购人</w:t>
      </w:r>
      <w:r>
        <w:rPr>
          <w:rFonts w:hint="eastAsia" w:ascii="宋体" w:hAnsi="宋体" w:cs="宋体"/>
          <w:sz w:val="24"/>
          <w:highlight w:val="none"/>
        </w:rPr>
        <w:t>逾期未确定中选人且不提出异议的，视为确定评审报告提出的排序第一的</w:t>
      </w:r>
      <w:r>
        <w:rPr>
          <w:rFonts w:hint="eastAsia" w:ascii="宋体" w:hAnsi="宋体" w:cs="宋体"/>
          <w:sz w:val="24"/>
          <w:highlight w:val="none"/>
          <w:lang w:eastAsia="zh-CN"/>
        </w:rPr>
        <w:t>竞选人</w:t>
      </w:r>
      <w:r>
        <w:rPr>
          <w:rFonts w:hint="eastAsia" w:ascii="宋体" w:hAnsi="宋体" w:cs="宋体"/>
          <w:sz w:val="24"/>
          <w:highlight w:val="none"/>
        </w:rPr>
        <w:t>为中选人。</w:t>
      </w:r>
    </w:p>
    <w:p>
      <w:pPr>
        <w:spacing w:line="56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（二）中选人的变更</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中选人拒绝与</w:t>
      </w:r>
      <w:r>
        <w:rPr>
          <w:rFonts w:hint="eastAsia" w:ascii="宋体" w:hAnsi="宋体" w:cs="宋体"/>
          <w:sz w:val="24"/>
          <w:highlight w:val="none"/>
          <w:lang w:eastAsia="zh-CN"/>
        </w:rPr>
        <w:t>采购人</w:t>
      </w:r>
      <w:r>
        <w:rPr>
          <w:rFonts w:hint="eastAsia" w:ascii="宋体" w:hAnsi="宋体" w:cs="宋体"/>
          <w:sz w:val="24"/>
          <w:highlight w:val="none"/>
        </w:rPr>
        <w:t>签订合同的，</w:t>
      </w:r>
      <w:r>
        <w:rPr>
          <w:rFonts w:hint="eastAsia" w:ascii="宋体" w:hAnsi="宋体" w:cs="宋体"/>
          <w:sz w:val="24"/>
          <w:highlight w:val="none"/>
          <w:lang w:eastAsia="zh-CN"/>
        </w:rPr>
        <w:t>采购人</w:t>
      </w:r>
      <w:r>
        <w:rPr>
          <w:rFonts w:hint="eastAsia" w:ascii="宋体" w:hAnsi="宋体" w:cs="宋体"/>
          <w:sz w:val="24"/>
          <w:highlight w:val="none"/>
        </w:rPr>
        <w:t>可以按照评标报告推荐的成交候选</w:t>
      </w:r>
      <w:r>
        <w:rPr>
          <w:rFonts w:hint="eastAsia" w:ascii="宋体" w:hAnsi="宋体" w:cs="宋体"/>
          <w:sz w:val="24"/>
          <w:highlight w:val="none"/>
          <w:lang w:eastAsia="zh-CN"/>
        </w:rPr>
        <w:t>竞选人</w:t>
      </w:r>
      <w:r>
        <w:rPr>
          <w:rFonts w:hint="eastAsia" w:ascii="宋体" w:hAnsi="宋体" w:cs="宋体"/>
          <w:sz w:val="24"/>
          <w:highlight w:val="none"/>
        </w:rPr>
        <w:t>顺序，确定排名下一位的候选人为中选人，也可以重新开展采购活动。</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301" w:name="_Toc102227321"/>
      <w:bookmarkStart w:id="302" w:name="_Toc3676"/>
      <w:bookmarkStart w:id="303" w:name="_Toc23396"/>
      <w:bookmarkStart w:id="304" w:name="_Toc23694"/>
      <w:bookmarkStart w:id="305" w:name="_Toc9807"/>
      <w:bookmarkStart w:id="306" w:name="_Toc13340"/>
      <w:bookmarkStart w:id="307" w:name="_Toc27533"/>
      <w:bookmarkStart w:id="308" w:name="_Toc892"/>
      <w:bookmarkStart w:id="309" w:name="_Toc24425"/>
      <w:bookmarkStart w:id="310" w:name="_Toc112"/>
      <w:bookmarkStart w:id="311" w:name="_Toc19735"/>
      <w:bookmarkStart w:id="312" w:name="_Toc342913395"/>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lang w:val="zh-CN" w:eastAsia="zh-CN"/>
        </w:rPr>
        <w:t>、成交通知</w:t>
      </w:r>
      <w:bookmarkEnd w:id="301"/>
      <w:bookmarkEnd w:id="302"/>
      <w:bookmarkEnd w:id="303"/>
      <w:bookmarkEnd w:id="304"/>
      <w:bookmarkEnd w:id="305"/>
      <w:bookmarkEnd w:id="306"/>
      <w:bookmarkEnd w:id="307"/>
      <w:bookmarkEnd w:id="308"/>
      <w:bookmarkEnd w:id="309"/>
      <w:bookmarkEnd w:id="310"/>
      <w:bookmarkEnd w:id="311"/>
      <w:bookmarkEnd w:id="312"/>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（一）中选人确定后，采购人应当自中标人确定之日起</w:t>
      </w:r>
      <w:r>
        <w:rPr>
          <w:rFonts w:hint="eastAsia" w:ascii="宋体" w:hAnsi="宋体" w:cs="宋体"/>
          <w:sz w:val="24"/>
          <w:highlight w:val="none"/>
          <w:lang w:val="en-US" w:eastAsia="zh-CN"/>
        </w:rPr>
        <w:t>1</w:t>
      </w:r>
      <w:r>
        <w:rPr>
          <w:rFonts w:hint="eastAsia" w:ascii="宋体" w:hAnsi="宋体" w:cs="宋体"/>
          <w:sz w:val="24"/>
          <w:highlight w:val="none"/>
          <w:lang w:eastAsia="zh-CN"/>
        </w:rPr>
        <w:t>个工作日内，在重庆市垫江县人民政府官网(http://www.cqsdj.gov.cn)政府采购栏目上对中标结果进行公示。中标公示期限为</w:t>
      </w:r>
      <w:r>
        <w:rPr>
          <w:rFonts w:hint="eastAsia" w:ascii="宋体" w:hAnsi="宋体" w:cs="宋体"/>
          <w:sz w:val="24"/>
          <w:highlight w:val="none"/>
          <w:lang w:val="en-US" w:eastAsia="zh-CN"/>
        </w:rPr>
        <w:t>1个工作日</w:t>
      </w:r>
      <w:r>
        <w:rPr>
          <w:rFonts w:hint="eastAsia" w:ascii="宋体" w:hAnsi="宋体" w:cs="宋体"/>
          <w:sz w:val="24"/>
          <w:highlight w:val="none"/>
          <w:lang w:eastAsia="zh-CN"/>
        </w:rPr>
        <w:t>。</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（二）如有投标人对评标结果提出质疑的，在质疑处理完毕后发出中标通知书。</w:t>
      </w:r>
      <w:r>
        <w:rPr>
          <w:rFonts w:hint="eastAsia" w:ascii="宋体" w:hAnsi="宋体" w:cs="宋体"/>
          <w:sz w:val="24"/>
          <w:highlight w:val="none"/>
          <w:lang w:val="en-US" w:eastAsia="zh-CN"/>
        </w:rPr>
        <w:t>采购人</w:t>
      </w:r>
      <w:r>
        <w:rPr>
          <w:rFonts w:hint="eastAsia" w:ascii="宋体" w:hAnsi="宋体" w:cs="宋体"/>
          <w:sz w:val="24"/>
          <w:highlight w:val="none"/>
          <w:lang w:eastAsia="zh-CN"/>
        </w:rPr>
        <w:t>将以书面形式发出《中标通知书》。《中标通知书》一经发出即发生法律效力。中标通知书发出后，采购人改变中标结果，或者中标人放弃中标，应当承担相应的法律责任。</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（三）《中标通知书》将作为签订合同的依据。</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）中标人无权向他人转让中标项目</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313" w:name="_Toc102227322"/>
      <w:bookmarkStart w:id="314" w:name="_Toc27101"/>
      <w:bookmarkStart w:id="315" w:name="_Toc3104"/>
      <w:bookmarkStart w:id="316" w:name="_Toc30150"/>
      <w:bookmarkStart w:id="317" w:name="_Toc9378"/>
      <w:bookmarkStart w:id="318" w:name="_Toc7079"/>
      <w:bookmarkStart w:id="319" w:name="_Toc342913396"/>
      <w:bookmarkStart w:id="320" w:name="_Toc6044"/>
      <w:bookmarkStart w:id="321" w:name="_Toc30080"/>
      <w:bookmarkStart w:id="322" w:name="_Toc16944"/>
      <w:bookmarkStart w:id="323" w:name="_Toc32069"/>
      <w:bookmarkStart w:id="324" w:name="_Toc23358"/>
      <w:bookmarkStart w:id="325" w:name="_Toc11641055"/>
      <w:bookmarkStart w:id="326" w:name="_Toc12789059"/>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lang w:val="zh-CN" w:eastAsia="zh-CN"/>
        </w:rPr>
        <w:t>、签订</w:t>
      </w:r>
      <w:bookmarkEnd w:id="313"/>
      <w:r>
        <w:rPr>
          <w:rFonts w:hint="eastAsia" w:ascii="宋体" w:hAnsi="宋体" w:eastAsia="宋体" w:cs="宋体"/>
          <w:color w:val="auto"/>
          <w:kern w:val="0"/>
          <w:sz w:val="24"/>
          <w:szCs w:val="24"/>
          <w:highlight w:val="none"/>
          <w:lang w:val="zh-CN" w:eastAsia="zh-CN"/>
        </w:rPr>
        <w:t>合同</w:t>
      </w:r>
      <w:bookmarkEnd w:id="314"/>
      <w:bookmarkEnd w:id="315"/>
      <w:bookmarkEnd w:id="316"/>
      <w:bookmarkEnd w:id="317"/>
      <w:bookmarkEnd w:id="318"/>
      <w:bookmarkEnd w:id="319"/>
      <w:bookmarkEnd w:id="320"/>
      <w:bookmarkEnd w:id="321"/>
      <w:bookmarkEnd w:id="322"/>
      <w:bookmarkEnd w:id="323"/>
      <w:bookmarkEnd w:id="324"/>
    </w:p>
    <w:p>
      <w:pPr>
        <w:spacing w:line="440" w:lineRule="exact"/>
        <w:ind w:firstLine="360" w:firstLineChars="150"/>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lang w:eastAsia="zh-CN"/>
        </w:rPr>
        <w:t>采购人</w:t>
      </w:r>
      <w:r>
        <w:rPr>
          <w:rFonts w:hint="eastAsia" w:ascii="宋体" w:hAnsi="宋体" w:cs="宋体"/>
          <w:color w:val="auto"/>
          <w:sz w:val="24"/>
        </w:rPr>
        <w:t>自</w:t>
      </w:r>
      <w:r>
        <w:rPr>
          <w:rFonts w:hint="eastAsia" w:ascii="宋体" w:hAnsi="宋体" w:cs="宋体"/>
          <w:color w:val="auto"/>
          <w:sz w:val="24"/>
          <w:highlight w:val="none"/>
          <w:lang w:eastAsia="zh-CN"/>
        </w:rPr>
        <w:t>中标通知书</w:t>
      </w:r>
      <w:r>
        <w:rPr>
          <w:rFonts w:hint="eastAsia" w:ascii="宋体" w:hAnsi="宋体" w:cs="宋体"/>
          <w:color w:val="auto"/>
          <w:sz w:val="24"/>
          <w:highlight w:val="none"/>
          <w:lang w:val="en-US" w:eastAsia="zh-CN"/>
        </w:rPr>
        <w:t>发出</w:t>
      </w:r>
      <w:r>
        <w:rPr>
          <w:rFonts w:hint="eastAsia" w:ascii="宋体" w:hAnsi="宋体" w:cs="宋体"/>
          <w:color w:val="auto"/>
          <w:sz w:val="24"/>
          <w:lang w:val="en-US" w:eastAsia="zh-CN"/>
        </w:rPr>
        <w:t>之日起10日内，</w:t>
      </w:r>
      <w:r>
        <w:rPr>
          <w:rFonts w:hint="eastAsia" w:ascii="宋体" w:hAnsi="宋体" w:cs="宋体"/>
          <w:color w:val="auto"/>
          <w:sz w:val="24"/>
        </w:rPr>
        <w:t>按照</w:t>
      </w:r>
      <w:r>
        <w:rPr>
          <w:rFonts w:hint="eastAsia" w:ascii="宋体" w:hAnsi="宋体" w:cs="宋体"/>
          <w:color w:val="auto"/>
          <w:sz w:val="24"/>
          <w:lang w:eastAsia="zh-CN"/>
        </w:rPr>
        <w:t>竞争性比选文件</w:t>
      </w:r>
      <w:r>
        <w:rPr>
          <w:rFonts w:hint="eastAsia" w:ascii="宋体" w:hAnsi="宋体" w:cs="宋体"/>
          <w:color w:val="auto"/>
          <w:sz w:val="24"/>
        </w:rPr>
        <w:t>和</w:t>
      </w:r>
      <w:r>
        <w:rPr>
          <w:rFonts w:hint="eastAsia" w:ascii="宋体" w:hAnsi="宋体" w:cs="宋体"/>
          <w:color w:val="auto"/>
          <w:sz w:val="24"/>
          <w:lang w:eastAsia="zh-CN"/>
        </w:rPr>
        <w:t>中标竞选人</w:t>
      </w:r>
      <w:r>
        <w:rPr>
          <w:rFonts w:hint="eastAsia" w:ascii="宋体" w:hAnsi="宋体" w:cs="宋体"/>
          <w:color w:val="auto"/>
          <w:sz w:val="24"/>
        </w:rPr>
        <w:t>响应文件的约定，与</w:t>
      </w:r>
      <w:r>
        <w:rPr>
          <w:rFonts w:hint="eastAsia" w:ascii="宋体" w:hAnsi="宋体" w:cs="宋体"/>
          <w:color w:val="auto"/>
          <w:sz w:val="24"/>
          <w:lang w:eastAsia="zh-CN"/>
        </w:rPr>
        <w:t>中标竞选人</w:t>
      </w:r>
      <w:r>
        <w:rPr>
          <w:rFonts w:hint="eastAsia" w:ascii="宋体" w:hAnsi="宋体" w:cs="宋体"/>
          <w:color w:val="auto"/>
          <w:sz w:val="24"/>
        </w:rPr>
        <w:t>签订书面合同。所签订的合同不得对</w:t>
      </w:r>
      <w:r>
        <w:rPr>
          <w:rFonts w:hint="eastAsia" w:ascii="宋体" w:hAnsi="宋体" w:cs="宋体"/>
          <w:color w:val="auto"/>
          <w:sz w:val="24"/>
          <w:lang w:eastAsia="zh-CN"/>
        </w:rPr>
        <w:t>竞争性比选文件</w:t>
      </w:r>
      <w:r>
        <w:rPr>
          <w:rFonts w:hint="eastAsia" w:ascii="宋体" w:hAnsi="宋体" w:cs="宋体"/>
          <w:color w:val="auto"/>
          <w:sz w:val="24"/>
        </w:rPr>
        <w:t>和</w:t>
      </w:r>
      <w:r>
        <w:rPr>
          <w:rFonts w:hint="eastAsia" w:ascii="宋体" w:hAnsi="宋体" w:cs="宋体"/>
          <w:color w:val="auto"/>
          <w:sz w:val="24"/>
          <w:lang w:eastAsia="zh-CN"/>
        </w:rPr>
        <w:t>竞选人</w:t>
      </w:r>
      <w:r>
        <w:rPr>
          <w:rFonts w:hint="eastAsia" w:ascii="宋体" w:hAnsi="宋体" w:cs="宋体"/>
          <w:color w:val="auto"/>
          <w:sz w:val="24"/>
        </w:rPr>
        <w:t>的响应文件作实质性修改。</w:t>
      </w:r>
    </w:p>
    <w:p>
      <w:pPr>
        <w:spacing w:line="440" w:lineRule="exact"/>
        <w:ind w:firstLine="360" w:firstLineChars="150"/>
        <w:rPr>
          <w:rFonts w:ascii="宋体" w:hAnsi="宋体" w:cs="宋体"/>
          <w:sz w:val="24"/>
        </w:rPr>
      </w:pPr>
      <w:r>
        <w:rPr>
          <w:rFonts w:hint="eastAsia" w:ascii="宋体" w:hAnsi="宋体" w:cs="宋体"/>
          <w:sz w:val="24"/>
        </w:rPr>
        <w:t>（二）</w:t>
      </w:r>
      <w:r>
        <w:rPr>
          <w:rFonts w:hint="eastAsia" w:ascii="宋体" w:hAnsi="宋体" w:cs="宋体"/>
          <w:sz w:val="24"/>
          <w:lang w:eastAsia="zh-CN"/>
        </w:rPr>
        <w:t>竞争性比选文件、竞选人</w:t>
      </w:r>
      <w:r>
        <w:rPr>
          <w:rFonts w:hint="eastAsia" w:ascii="宋体" w:hAnsi="宋体" w:cs="宋体"/>
          <w:sz w:val="24"/>
        </w:rPr>
        <w:t>的响应文件及澄清文件等，均为签订采购合同的依据。</w:t>
      </w:r>
    </w:p>
    <w:p>
      <w:pPr>
        <w:spacing w:line="440" w:lineRule="exact"/>
        <w:ind w:firstLine="360" w:firstLineChars="150"/>
        <w:rPr>
          <w:rFonts w:ascii="宋体" w:hAnsi="宋体" w:cs="宋体"/>
          <w:sz w:val="24"/>
        </w:rPr>
      </w:pPr>
      <w:r>
        <w:rPr>
          <w:rFonts w:hint="eastAsia" w:ascii="宋体" w:hAnsi="宋体" w:cs="宋体"/>
          <w:sz w:val="24"/>
        </w:rPr>
        <w:t>（三）合同生效条款由供需双方约定，法律</w:t>
      </w:r>
      <w:r>
        <w:rPr>
          <w:rFonts w:hint="eastAsia" w:ascii="宋体" w:hAnsi="宋体" w:cs="宋体"/>
          <w:sz w:val="24"/>
          <w:lang w:eastAsia="zh-CN"/>
        </w:rPr>
        <w:t>、</w:t>
      </w:r>
      <w:r>
        <w:rPr>
          <w:rFonts w:hint="eastAsia" w:ascii="宋体" w:hAnsi="宋体" w:cs="宋体"/>
          <w:sz w:val="24"/>
        </w:rPr>
        <w:t>行政法规规定应当办理批准</w:t>
      </w:r>
      <w:r>
        <w:rPr>
          <w:rFonts w:hint="eastAsia" w:ascii="宋体" w:hAnsi="宋体" w:cs="宋体"/>
          <w:sz w:val="24"/>
          <w:lang w:eastAsia="zh-CN"/>
        </w:rPr>
        <w:t>、</w:t>
      </w:r>
      <w:r>
        <w:rPr>
          <w:rFonts w:hint="eastAsia" w:ascii="宋体" w:hAnsi="宋体" w:cs="宋体"/>
          <w:sz w:val="24"/>
        </w:rPr>
        <w:t>登记等手续后生效的合同，依照其规定。</w:t>
      </w:r>
    </w:p>
    <w:p>
      <w:pPr>
        <w:spacing w:line="360" w:lineRule="auto"/>
        <w:ind w:firstLine="360" w:firstLineChars="150"/>
        <w:rPr>
          <w:rFonts w:ascii="宋体" w:hAnsi="宋体" w:cs="宋体"/>
          <w:sz w:val="24"/>
        </w:rPr>
      </w:pPr>
    </w:p>
    <w:p>
      <w:pPr>
        <w:pStyle w:val="46"/>
        <w:ind w:left="-765"/>
        <w:rPr>
          <w:rFonts w:hint="eastAsia" w:ascii="宋体" w:hAnsi="宋体" w:cs="宋体"/>
          <w:sz w:val="36"/>
          <w:szCs w:val="30"/>
        </w:rPr>
      </w:pPr>
      <w:r>
        <w:rPr>
          <w:rFonts w:hint="eastAsia" w:ascii="宋体" w:hAnsi="宋体" w:cs="宋体"/>
          <w:sz w:val="36"/>
          <w:szCs w:val="30"/>
        </w:rPr>
        <w:br w:type="page"/>
      </w:r>
      <w:bookmarkStart w:id="327" w:name="_Toc27951"/>
      <w:bookmarkStart w:id="328" w:name="_Toc16093"/>
      <w:bookmarkStart w:id="329" w:name="_Toc24955"/>
      <w:bookmarkStart w:id="330" w:name="_Toc23904"/>
      <w:bookmarkStart w:id="331" w:name="_Toc29688"/>
      <w:bookmarkStart w:id="332" w:name="_Toc32008"/>
    </w:p>
    <w:p>
      <w:pPr>
        <w:pStyle w:val="46"/>
        <w:outlineLvl w:val="0"/>
        <w:rPr>
          <w:rStyle w:val="49"/>
          <w:rFonts w:hint="eastAsia" w:ascii="宋体" w:hAnsi="宋体" w:eastAsia="宋体" w:cs="宋体"/>
          <w:b/>
          <w:kern w:val="0"/>
        </w:rPr>
      </w:pPr>
      <w:bookmarkStart w:id="333" w:name="_Toc3956"/>
      <w:r>
        <w:rPr>
          <w:rStyle w:val="49"/>
          <w:rFonts w:hint="eastAsia" w:ascii="宋体" w:hAnsi="宋体" w:eastAsia="宋体" w:cs="宋体"/>
          <w:b/>
          <w:kern w:val="0"/>
        </w:rPr>
        <w:t xml:space="preserve">第六篇  </w:t>
      </w:r>
      <w:bookmarkEnd w:id="325"/>
      <w:bookmarkEnd w:id="326"/>
      <w:bookmarkEnd w:id="327"/>
      <w:bookmarkEnd w:id="328"/>
      <w:bookmarkEnd w:id="329"/>
      <w:bookmarkEnd w:id="330"/>
      <w:bookmarkEnd w:id="331"/>
      <w:bookmarkEnd w:id="332"/>
      <w:r>
        <w:rPr>
          <w:rStyle w:val="49"/>
          <w:rFonts w:hint="eastAsia" w:ascii="宋体" w:hAnsi="宋体" w:eastAsia="宋体" w:cs="宋体"/>
          <w:b/>
          <w:kern w:val="0"/>
          <w:lang w:val="en-US" w:eastAsia="zh-CN"/>
        </w:rPr>
        <w:t>合同条款及格式</w:t>
      </w:r>
      <w:bookmarkEnd w:id="333"/>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本合同为参考版本。</w:t>
      </w:r>
    </w:p>
    <w:p>
      <w:pPr>
        <w:snapToGrid w:val="0"/>
        <w:spacing w:line="380" w:lineRule="exact"/>
        <w:jc w:val="center"/>
        <w:rPr>
          <w:rFonts w:hint="eastAsia" w:ascii="宋体" w:hAnsi="宋体" w:eastAsia="宋体" w:cs="宋体"/>
          <w:b/>
          <w:bCs/>
          <w:color w:val="auto"/>
          <w:spacing w:val="-14"/>
          <w:sz w:val="24"/>
          <w:szCs w:val="24"/>
        </w:rPr>
      </w:pPr>
      <w:bookmarkStart w:id="334" w:name="_Hlt41879464"/>
      <w:bookmarkEnd w:id="334"/>
      <w:r>
        <w:rPr>
          <w:rFonts w:hint="eastAsia" w:ascii="宋体" w:hAnsi="宋体" w:eastAsia="宋体" w:cs="宋体"/>
          <w:b/>
          <w:bCs/>
          <w:color w:val="auto"/>
          <w:spacing w:val="-14"/>
          <w:sz w:val="24"/>
          <w:szCs w:val="24"/>
        </w:rPr>
        <w:t>采购合同（参考格式）</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甲方（需方）：___________________________      计价单位：____________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乙方（供方）：___________________________      计量单位：_____________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经双方协商一致，达成以下购销合同：</w:t>
      </w:r>
    </w:p>
    <w:tbl>
      <w:tblPr>
        <w:tblStyle w:val="2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047"/>
        <w:gridCol w:w="904"/>
        <w:gridCol w:w="352"/>
        <w:gridCol w:w="777"/>
        <w:gridCol w:w="1537"/>
        <w:gridCol w:w="215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5"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047"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04"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537"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交货时间</w:t>
            </w:r>
          </w:p>
        </w:tc>
        <w:tc>
          <w:tcPr>
            <w:tcW w:w="215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0"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p>
        </w:tc>
        <w:tc>
          <w:tcPr>
            <w:tcW w:w="1047" w:type="dxa"/>
            <w:noWrap w:val="0"/>
            <w:vAlign w:val="center"/>
          </w:tcPr>
          <w:p>
            <w:pPr>
              <w:spacing w:line="240" w:lineRule="auto"/>
              <w:jc w:val="center"/>
              <w:rPr>
                <w:rFonts w:hint="eastAsia" w:ascii="宋体" w:hAnsi="宋体" w:eastAsia="宋体" w:cs="宋体"/>
                <w:color w:val="auto"/>
                <w:sz w:val="24"/>
                <w:szCs w:val="24"/>
              </w:rPr>
            </w:pPr>
          </w:p>
        </w:tc>
        <w:tc>
          <w:tcPr>
            <w:tcW w:w="904" w:type="dxa"/>
            <w:noWrap w:val="0"/>
            <w:vAlign w:val="center"/>
          </w:tcPr>
          <w:p>
            <w:pPr>
              <w:spacing w:line="240" w:lineRule="auto"/>
              <w:jc w:val="center"/>
              <w:rPr>
                <w:rFonts w:hint="eastAsia" w:ascii="宋体" w:hAnsi="宋体" w:eastAsia="宋体" w:cs="宋体"/>
                <w:color w:val="auto"/>
                <w:sz w:val="24"/>
                <w:szCs w:val="24"/>
              </w:rPr>
            </w:pP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p>
        </w:tc>
        <w:tc>
          <w:tcPr>
            <w:tcW w:w="1537" w:type="dxa"/>
            <w:noWrap w:val="0"/>
            <w:vAlign w:val="center"/>
          </w:tcPr>
          <w:p>
            <w:pPr>
              <w:spacing w:line="240" w:lineRule="auto"/>
              <w:jc w:val="center"/>
              <w:rPr>
                <w:rFonts w:hint="eastAsia" w:ascii="宋体" w:hAnsi="宋体" w:eastAsia="宋体" w:cs="宋体"/>
                <w:color w:val="auto"/>
                <w:sz w:val="24"/>
                <w:szCs w:val="24"/>
              </w:rPr>
            </w:pPr>
          </w:p>
        </w:tc>
        <w:tc>
          <w:tcPr>
            <w:tcW w:w="2158" w:type="dxa"/>
            <w:noWrap w:val="0"/>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0"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p>
        </w:tc>
        <w:tc>
          <w:tcPr>
            <w:tcW w:w="1047" w:type="dxa"/>
            <w:noWrap w:val="0"/>
            <w:vAlign w:val="center"/>
          </w:tcPr>
          <w:p>
            <w:pPr>
              <w:spacing w:line="240" w:lineRule="auto"/>
              <w:jc w:val="center"/>
              <w:rPr>
                <w:rFonts w:hint="eastAsia" w:ascii="宋体" w:hAnsi="宋体" w:eastAsia="宋体" w:cs="宋体"/>
                <w:color w:val="auto"/>
                <w:sz w:val="24"/>
                <w:szCs w:val="24"/>
              </w:rPr>
            </w:pPr>
          </w:p>
        </w:tc>
        <w:tc>
          <w:tcPr>
            <w:tcW w:w="904" w:type="dxa"/>
            <w:noWrap w:val="0"/>
            <w:vAlign w:val="center"/>
          </w:tcPr>
          <w:p>
            <w:pPr>
              <w:spacing w:line="240" w:lineRule="auto"/>
              <w:jc w:val="center"/>
              <w:rPr>
                <w:rFonts w:hint="eastAsia" w:ascii="宋体" w:hAnsi="宋体" w:eastAsia="宋体" w:cs="宋体"/>
                <w:color w:val="auto"/>
                <w:sz w:val="24"/>
                <w:szCs w:val="24"/>
              </w:rPr>
            </w:pP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p>
        </w:tc>
        <w:tc>
          <w:tcPr>
            <w:tcW w:w="1537" w:type="dxa"/>
            <w:noWrap w:val="0"/>
            <w:vAlign w:val="center"/>
          </w:tcPr>
          <w:p>
            <w:pPr>
              <w:spacing w:line="240" w:lineRule="auto"/>
              <w:jc w:val="center"/>
              <w:rPr>
                <w:rFonts w:hint="eastAsia" w:ascii="宋体" w:hAnsi="宋体" w:eastAsia="宋体" w:cs="宋体"/>
                <w:color w:val="auto"/>
                <w:sz w:val="24"/>
                <w:szCs w:val="24"/>
              </w:rPr>
            </w:pPr>
          </w:p>
        </w:tc>
        <w:tc>
          <w:tcPr>
            <w:tcW w:w="2158" w:type="dxa"/>
            <w:noWrap w:val="0"/>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74" w:hRule="atLeast"/>
          <w:jc w:val="center"/>
        </w:trPr>
        <w:tc>
          <w:tcPr>
            <w:tcW w:w="9381" w:type="dxa"/>
            <w:gridSpan w:val="7"/>
            <w:noWrap w:val="0"/>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47" w:hRule="atLeast"/>
          <w:jc w:val="center"/>
        </w:trPr>
        <w:tc>
          <w:tcPr>
            <w:tcW w:w="9381" w:type="dxa"/>
            <w:gridSpan w:val="7"/>
            <w:noWrap w:val="0"/>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86"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96"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610"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付款方式：</w:t>
            </w:r>
          </w:p>
          <w:p>
            <w:pP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违约责任：</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w:t>
            </w:r>
            <w:r>
              <w:rPr>
                <w:rFonts w:hint="eastAsia" w:ascii="宋体" w:hAnsi="宋体" w:eastAsia="宋体" w:cs="宋体"/>
                <w:bCs/>
                <w:color w:val="auto"/>
                <w:spacing w:val="-14"/>
                <w:sz w:val="24"/>
                <w:szCs w:val="24"/>
              </w:rPr>
              <w:t>中华人民共和国民法典</w:t>
            </w:r>
            <w:r>
              <w:rPr>
                <w:rFonts w:hint="eastAsia" w:ascii="宋体" w:hAnsi="宋体" w:eastAsia="宋体" w:cs="宋体"/>
                <w:color w:val="auto"/>
                <w:sz w:val="24"/>
                <w:szCs w:val="24"/>
              </w:rPr>
              <w:t>》执行，或按双方约定。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其他约定事项：</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竞争性比选文件</w:t>
            </w:r>
            <w:r>
              <w:rPr>
                <w:rFonts w:hint="eastAsia" w:ascii="宋体" w:hAnsi="宋体" w:eastAsia="宋体" w:cs="宋体"/>
                <w:color w:val="auto"/>
                <w:sz w:val="24"/>
                <w:szCs w:val="24"/>
              </w:rPr>
              <w:t>及其补遗文件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和承诺是本合同不可分割的部分。</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2.本合同如发生争议由双方协商解决，协商不成向需方所在人民法院提请诉讼。</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3.本合同一式__份， 需方__份，供方__份，具同等法律效力。</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4909" w:type="dxa"/>
            <w:gridSpan w:val="4"/>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需方：</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4491" w:type="dxa"/>
            <w:gridSpan w:val="4"/>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供方：</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传真：</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spacing w:line="240" w:lineRule="auto"/>
              <w:rPr>
                <w:rFonts w:hint="eastAsia" w:ascii="宋体" w:hAnsi="宋体" w:eastAsia="宋体" w:cs="宋体"/>
                <w:color w:val="auto"/>
                <w:sz w:val="24"/>
                <w:szCs w:val="24"/>
              </w:rPr>
            </w:pPr>
          </w:p>
        </w:tc>
      </w:tr>
    </w:tbl>
    <w:p>
      <w:pPr>
        <w:rPr>
          <w:rFonts w:hint="eastAsia" w:ascii="宋体" w:hAnsi="宋体" w:eastAsia="宋体" w:cs="宋体"/>
          <w:sz w:val="24"/>
          <w:szCs w:val="24"/>
        </w:rPr>
      </w:pPr>
      <w:r>
        <w:rPr>
          <w:rFonts w:hint="eastAsia" w:ascii="宋体" w:hAnsi="宋体" w:eastAsia="宋体" w:cs="宋体"/>
          <w:color w:val="auto"/>
          <w:sz w:val="24"/>
          <w:szCs w:val="24"/>
        </w:rPr>
        <w:t>签约时间：           年   月   日      签约地点</w:t>
      </w:r>
      <w:r>
        <w:rPr>
          <w:rFonts w:hint="eastAsia" w:ascii="宋体" w:hAnsi="宋体" w:eastAsia="宋体" w:cs="宋体"/>
          <w:sz w:val="24"/>
          <w:szCs w:val="24"/>
        </w:rPr>
        <w:t>：</w:t>
      </w:r>
    </w:p>
    <w:p>
      <w:pPr>
        <w:rPr>
          <w:rStyle w:val="49"/>
          <w:rFonts w:ascii="宋体" w:hAnsi="宋体" w:cs="宋体"/>
          <w:b/>
          <w:kern w:val="0"/>
        </w:rPr>
      </w:pPr>
    </w:p>
    <w:p>
      <w:pPr>
        <w:rPr>
          <w:rStyle w:val="49"/>
          <w:rFonts w:ascii="宋体" w:hAnsi="宋体" w:cs="宋体"/>
          <w:b/>
          <w:kern w:val="0"/>
        </w:rPr>
      </w:pPr>
      <w:r>
        <w:rPr>
          <w:rStyle w:val="49"/>
          <w:rFonts w:hint="eastAsia" w:ascii="宋体" w:hAnsi="宋体" w:cs="宋体"/>
          <w:b/>
          <w:kern w:val="0"/>
        </w:rPr>
        <w:br w:type="page"/>
      </w:r>
    </w:p>
    <w:p>
      <w:pPr>
        <w:pStyle w:val="105"/>
        <w:tabs>
          <w:tab w:val="clear" w:pos="3360"/>
        </w:tabs>
        <w:spacing w:before="0" w:after="0" w:line="360" w:lineRule="auto"/>
        <w:rPr>
          <w:rFonts w:hint="eastAsia" w:ascii="方正小标宋_GBK" w:hAnsi="仿宋" w:eastAsia="方正小标宋_GBK" w:cs="宋体"/>
          <w:szCs w:val="44"/>
          <w:highlight w:val="none"/>
        </w:rPr>
      </w:pPr>
      <w:bookmarkStart w:id="335" w:name="_Toc5519"/>
      <w:r>
        <w:rPr>
          <w:rStyle w:val="49"/>
          <w:rFonts w:hint="eastAsia" w:ascii="宋体" w:hAnsi="宋体" w:eastAsia="宋体" w:cs="宋体"/>
          <w:b/>
          <w:kern w:val="0"/>
        </w:rPr>
        <w:t xml:space="preserve">第七篇 </w:t>
      </w:r>
      <w:bookmarkEnd w:id="335"/>
      <w:r>
        <w:rPr>
          <w:rFonts w:hint="eastAsia" w:ascii="方正小标宋_GBK" w:hAnsi="仿宋" w:eastAsia="方正小标宋_GBK" w:cs="宋体"/>
          <w:szCs w:val="44"/>
          <w:highlight w:val="none"/>
        </w:rPr>
        <w:t>竞选文件格式</w:t>
      </w:r>
    </w:p>
    <w:p>
      <w:pPr>
        <w:spacing w:line="500" w:lineRule="exact"/>
        <w:ind w:firstLine="482" w:firstLineChars="200"/>
        <w:rPr>
          <w:rFonts w:hint="eastAsia" w:ascii="方正仿宋_GBK" w:hAnsi="仿宋" w:eastAsia="方正仿宋_GBK" w:cs="宋体"/>
          <w:b/>
          <w:bCs/>
          <w:sz w:val="24"/>
          <w:highlight w:val="none"/>
        </w:rPr>
      </w:pPr>
      <w:r>
        <w:rPr>
          <w:rFonts w:hint="eastAsia" w:ascii="方正仿宋_GBK" w:hAnsi="仿宋" w:eastAsia="方正仿宋_GBK" w:cs="宋体"/>
          <w:b/>
          <w:bCs/>
          <w:sz w:val="24"/>
          <w:highlight w:val="none"/>
        </w:rPr>
        <w:t>一、经济文件</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（一）开标一览表</w:t>
      </w:r>
    </w:p>
    <w:p>
      <w:pPr>
        <w:spacing w:line="500" w:lineRule="exact"/>
        <w:ind w:firstLine="482" w:firstLineChars="200"/>
        <w:rPr>
          <w:rFonts w:hint="eastAsia" w:ascii="方正仿宋_GBK" w:hAnsi="仿宋" w:eastAsia="方正仿宋_GBK" w:cs="宋体"/>
          <w:b/>
          <w:bCs/>
          <w:sz w:val="24"/>
          <w:highlight w:val="none"/>
        </w:rPr>
      </w:pPr>
      <w:r>
        <w:rPr>
          <w:rFonts w:hint="eastAsia" w:ascii="方正仿宋_GBK" w:hAnsi="仿宋" w:eastAsia="方正仿宋_GBK" w:cs="宋体"/>
          <w:b/>
          <w:bCs/>
          <w:sz w:val="24"/>
          <w:highlight w:val="none"/>
        </w:rPr>
        <w:t>二、服务文件</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（一）服务条款差异表</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（二）第二篇要求的方案或证明材料（如果有）</w:t>
      </w:r>
    </w:p>
    <w:p>
      <w:pPr>
        <w:spacing w:line="500" w:lineRule="exact"/>
        <w:ind w:firstLine="482" w:firstLineChars="200"/>
        <w:rPr>
          <w:rFonts w:hint="eastAsia" w:ascii="方正仿宋_GBK" w:hAnsi="仿宋" w:eastAsia="方正仿宋_GBK" w:cs="宋体"/>
          <w:b/>
          <w:bCs/>
          <w:sz w:val="24"/>
          <w:highlight w:val="none"/>
        </w:rPr>
      </w:pPr>
      <w:r>
        <w:rPr>
          <w:rFonts w:hint="eastAsia" w:ascii="方正仿宋_GBK" w:hAnsi="仿宋" w:eastAsia="方正仿宋_GBK" w:cs="宋体"/>
          <w:b/>
          <w:bCs/>
          <w:sz w:val="24"/>
          <w:highlight w:val="none"/>
        </w:rPr>
        <w:t>三、商务文件</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（一）竞选函（格式）</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（二）商务条款差异表</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（三）第三篇要求的证明材料（如果有）</w:t>
      </w:r>
    </w:p>
    <w:p>
      <w:pPr>
        <w:spacing w:line="500" w:lineRule="exact"/>
        <w:ind w:firstLine="482" w:firstLineChars="200"/>
        <w:rPr>
          <w:rFonts w:hint="eastAsia" w:ascii="方正仿宋_GBK" w:hAnsi="仿宋" w:eastAsia="方正仿宋_GBK" w:cs="宋体"/>
          <w:b/>
          <w:bCs/>
          <w:sz w:val="24"/>
          <w:highlight w:val="none"/>
        </w:rPr>
      </w:pPr>
      <w:r>
        <w:rPr>
          <w:rFonts w:hint="eastAsia" w:ascii="方正仿宋_GBK" w:hAnsi="仿宋" w:eastAsia="方正仿宋_GBK" w:cs="宋体"/>
          <w:b/>
          <w:bCs/>
          <w:sz w:val="24"/>
          <w:highlight w:val="none"/>
        </w:rPr>
        <w:t>四、其他</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（一）其他与项目有关的资料（自附）</w:t>
      </w:r>
    </w:p>
    <w:p>
      <w:pPr>
        <w:spacing w:line="500" w:lineRule="exact"/>
        <w:ind w:firstLine="482" w:firstLineChars="200"/>
        <w:rPr>
          <w:rFonts w:hint="eastAsia" w:ascii="方正仿宋_GBK" w:hAnsi="仿宋" w:eastAsia="方正仿宋_GBK" w:cs="宋体"/>
          <w:b/>
          <w:bCs/>
          <w:sz w:val="24"/>
          <w:highlight w:val="none"/>
        </w:rPr>
      </w:pPr>
      <w:r>
        <w:rPr>
          <w:rFonts w:hint="eastAsia" w:ascii="方正仿宋_GBK" w:hAnsi="仿宋" w:eastAsia="方正仿宋_GBK" w:cs="宋体"/>
          <w:b/>
          <w:bCs/>
          <w:sz w:val="24"/>
          <w:highlight w:val="none"/>
        </w:rPr>
        <w:t>五、资格文件</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方正仿宋_GBK" w:hAnsi="仿宋" w:eastAsia="方正仿宋_GBK" w:cs="宋体"/>
          <w:sz w:val="24"/>
          <w:highlight w:val="none"/>
        </w:rPr>
        <w:t>（</w:t>
      </w: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（四）基本资格条件承诺函（格式）</w:t>
      </w:r>
    </w:p>
    <w:p>
      <w:pPr>
        <w:tabs>
          <w:tab w:val="left" w:pos="36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（五）特定资格条件证书或证明文件</w:t>
      </w:r>
    </w:p>
    <w:p>
      <w:pPr>
        <w:tabs>
          <w:tab w:val="left" w:pos="360"/>
        </w:tabs>
        <w:spacing w:line="240" w:lineRule="auto"/>
        <w:ind w:firstLine="480" w:firstLineChars="200"/>
        <w:rPr>
          <w:rFonts w:hint="eastAsia" w:ascii="宋体" w:hAnsi="宋体" w:eastAsia="宋体" w:cs="宋体"/>
          <w:color w:val="auto"/>
          <w:sz w:val="24"/>
          <w:szCs w:val="24"/>
        </w:rPr>
      </w:pPr>
    </w:p>
    <w:p>
      <w:pPr>
        <w:snapToGrid w:val="0"/>
        <w:spacing w:line="400" w:lineRule="exact"/>
        <w:ind w:firstLine="482" w:firstLineChars="200"/>
        <w:rPr>
          <w:rFonts w:hint="eastAsia" w:ascii="方正仿宋_GBK" w:hAnsi="仿宋" w:eastAsia="方正仿宋_GBK"/>
          <w:b/>
          <w:bCs/>
          <w:sz w:val="24"/>
          <w:highlight w:val="none"/>
        </w:rPr>
      </w:pPr>
    </w:p>
    <w:p>
      <w:pPr>
        <w:pStyle w:val="40"/>
        <w:ind w:firstLine="643"/>
        <w:rPr>
          <w:rFonts w:hint="eastAsia" w:ascii="方正仿宋_GBK" w:hAnsi="仿宋" w:eastAsia="方正仿宋_GBK"/>
          <w:b/>
          <w:bCs/>
          <w:highlight w:val="none"/>
        </w:rPr>
      </w:pPr>
    </w:p>
    <w:p>
      <w:pPr>
        <w:pStyle w:val="40"/>
        <w:ind w:firstLine="643"/>
        <w:rPr>
          <w:rFonts w:hint="eastAsia" w:ascii="方正仿宋_GBK" w:hAnsi="仿宋" w:eastAsia="方正仿宋_GBK"/>
          <w:b/>
          <w:bCs/>
          <w:highlight w:val="none"/>
        </w:rPr>
      </w:pPr>
    </w:p>
    <w:p>
      <w:pPr>
        <w:snapToGrid w:val="0"/>
        <w:spacing w:line="400" w:lineRule="exact"/>
        <w:ind w:firstLine="482" w:firstLineChars="200"/>
        <w:rPr>
          <w:rFonts w:hint="eastAsia" w:ascii="方正仿宋_GBK" w:hAnsi="仿宋" w:eastAsia="方正仿宋_GBK"/>
          <w:b/>
          <w:bCs/>
          <w:sz w:val="24"/>
          <w:szCs w:val="28"/>
          <w:highlight w:val="none"/>
        </w:rPr>
      </w:pPr>
    </w:p>
    <w:p>
      <w:pPr>
        <w:pStyle w:val="5"/>
        <w:pageBreakBefore/>
        <w:spacing w:before="0" w:after="0" w:line="400" w:lineRule="exact"/>
        <w:ind w:firstLine="482" w:firstLineChars="200"/>
        <w:rPr>
          <w:rFonts w:hint="eastAsia" w:ascii="方正仿宋_GBK" w:hAnsi="仿宋" w:eastAsia="方正仿宋_GBK" w:cs="宋体"/>
          <w:b w:val="0"/>
          <w:sz w:val="24"/>
          <w:szCs w:val="24"/>
          <w:highlight w:val="none"/>
        </w:rPr>
      </w:pPr>
      <w:bookmarkStart w:id="336" w:name="_Toc24492"/>
      <w:bookmarkEnd w:id="336"/>
      <w:bookmarkStart w:id="337" w:name="_Toc19186"/>
      <w:bookmarkEnd w:id="337"/>
      <w:bookmarkStart w:id="338" w:name="_Toc76373908"/>
      <w:bookmarkStart w:id="339" w:name="_Toc4248"/>
      <w:bookmarkStart w:id="340" w:name="_Toc165992782"/>
      <w:bookmarkStart w:id="341" w:name="_Toc1215"/>
      <w:bookmarkStart w:id="342" w:name="_Toc24423"/>
      <w:bookmarkStart w:id="343" w:name="_Toc3080"/>
      <w:bookmarkStart w:id="344" w:name="_Toc429584884"/>
      <w:bookmarkStart w:id="345" w:name="_Toc11154"/>
      <w:bookmarkStart w:id="346" w:name="_Toc5264"/>
      <w:r>
        <w:rPr>
          <w:rFonts w:hint="eastAsia" w:ascii="方正仿宋_GBK" w:hAnsi="仿宋" w:eastAsia="方正仿宋_GBK" w:cs="宋体"/>
          <w:sz w:val="24"/>
          <w:szCs w:val="24"/>
          <w:highlight w:val="none"/>
        </w:rPr>
        <w:t>一、经济文件</w:t>
      </w:r>
      <w:bookmarkEnd w:id="338"/>
      <w:bookmarkEnd w:id="339"/>
      <w:bookmarkEnd w:id="340"/>
      <w:bookmarkEnd w:id="341"/>
      <w:bookmarkEnd w:id="342"/>
      <w:bookmarkEnd w:id="343"/>
      <w:bookmarkEnd w:id="344"/>
      <w:bookmarkEnd w:id="345"/>
      <w:bookmarkEnd w:id="346"/>
    </w:p>
    <w:p>
      <w:pPr>
        <w:snapToGrid w:val="0"/>
        <w:spacing w:line="500" w:lineRule="exact"/>
        <w:jc w:val="center"/>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（一）开标一览表</w:t>
      </w:r>
    </w:p>
    <w:p>
      <w:pPr>
        <w:snapToGrid w:val="0"/>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项目号：</w:t>
      </w:r>
    </w:p>
    <w:p>
      <w:pPr>
        <w:snapToGrid w:val="0"/>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招标项目名称：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54"/>
        <w:gridCol w:w="1676"/>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sz w:val="24"/>
                <w:highlight w:val="none"/>
              </w:rPr>
            </w:pPr>
            <w:r>
              <w:rPr>
                <w:rFonts w:hint="eastAsia" w:ascii="方正仿宋_GBK" w:hAnsi="仿宋" w:eastAsia="方正仿宋_GBK" w:cs="宋体"/>
                <w:sz w:val="24"/>
                <w:highlight w:val="none"/>
              </w:rPr>
              <w:t>竞选人</w:t>
            </w:r>
            <w:r>
              <w:rPr>
                <w:rFonts w:ascii="方正仿宋_GBK" w:hAnsi="仿宋" w:eastAsia="方正仿宋_GBK" w:cs="宋体"/>
                <w:sz w:val="24"/>
                <w:highlight w:val="none"/>
              </w:rPr>
              <w:t>名称</w:t>
            </w:r>
          </w:p>
        </w:tc>
        <w:tc>
          <w:tcPr>
            <w:tcW w:w="784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394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sz w:val="24"/>
                <w:highlight w:val="none"/>
              </w:rPr>
            </w:pPr>
            <w:r>
              <w:rPr>
                <w:rFonts w:hint="eastAsia" w:ascii="方正仿宋_GBK" w:hAnsi="仿宋" w:eastAsia="方正仿宋_GBK" w:cs="宋体"/>
                <w:sz w:val="24"/>
                <w:highlight w:val="none"/>
              </w:rPr>
              <w:t>项目名称</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sz w:val="24"/>
                <w:highlight w:val="none"/>
              </w:rPr>
            </w:pPr>
          </w:p>
        </w:tc>
        <w:tc>
          <w:tcPr>
            <w:tcW w:w="40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394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sz w:val="24"/>
                <w:highlight w:val="none"/>
              </w:rPr>
            </w:pPr>
            <w:r>
              <w:rPr>
                <w:rFonts w:hint="eastAsia" w:ascii="方正仿宋_GBK" w:hAnsi="仿宋" w:eastAsia="方正仿宋_GBK" w:cs="宋体"/>
                <w:sz w:val="24"/>
                <w:highlight w:val="none"/>
              </w:rPr>
              <w:t>垫江县精神卫生中心食堂劳务外包（第五次）</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b/>
                <w:sz w:val="24"/>
                <w:highlight w:val="none"/>
              </w:rPr>
            </w:pPr>
          </w:p>
        </w:tc>
        <w:tc>
          <w:tcPr>
            <w:tcW w:w="40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仿宋" w:eastAsia="方正仿宋_GBK"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方正仿宋_GBK" w:hAnsi="仿宋" w:eastAsia="方正仿宋_GBK" w:cs="宋体"/>
                <w:sz w:val="24"/>
                <w:highlight w:val="none"/>
              </w:rPr>
            </w:pPr>
            <w:r>
              <w:rPr>
                <w:rFonts w:hint="eastAsia" w:ascii="方正仿宋_GBK" w:hAnsi="宋体" w:eastAsia="方正仿宋_GBK"/>
                <w:szCs w:val="28"/>
                <w:highlight w:val="none"/>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500" w:lineRule="exact"/>
              <w:ind w:left="0" w:leftChars="0"/>
              <w:rPr>
                <w:rFonts w:ascii="方正仿宋_GBK" w:hAnsi="仿宋" w:eastAsia="方正仿宋_GBK" w:cs="宋体"/>
                <w:sz w:val="24"/>
                <w:highlight w:val="none"/>
              </w:rPr>
            </w:pPr>
            <w:r>
              <w:rPr>
                <w:rFonts w:hint="eastAsia" w:ascii="方正仿宋_GBK" w:hAnsi="仿宋" w:eastAsia="方正仿宋_GBK"/>
                <w:szCs w:val="28"/>
                <w:highlight w:val="none"/>
              </w:rPr>
              <w:t>备注：</w:t>
            </w:r>
          </w:p>
        </w:tc>
      </w:tr>
    </w:tbl>
    <w:p>
      <w:pPr>
        <w:pStyle w:val="13"/>
        <w:spacing w:line="400" w:lineRule="exact"/>
        <w:ind w:left="5250" w:firstLine="241"/>
        <w:rPr>
          <w:rFonts w:hint="eastAsia" w:ascii="方正仿宋_GBK" w:hAnsi="仿宋" w:eastAsia="方正仿宋_GBK" w:cs="宋体"/>
          <w:sz w:val="24"/>
          <w:highlight w:val="none"/>
        </w:rPr>
      </w:pPr>
    </w:p>
    <w:p>
      <w:pPr>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竞选人：                   法定代表人（或法定代表人授权代表）或自然人：</w:t>
      </w:r>
    </w:p>
    <w:p>
      <w:pPr>
        <w:spacing w:line="400" w:lineRule="exact"/>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 xml:space="preserve">  （竞选人公章）                               （签署或盖章）</w:t>
      </w:r>
    </w:p>
    <w:p>
      <w:pPr>
        <w:spacing w:line="400" w:lineRule="exact"/>
        <w:rPr>
          <w:rFonts w:hint="eastAsia" w:ascii="方正仿宋_GBK" w:hAnsi="仿宋" w:eastAsia="方正仿宋_GBK" w:cs="宋体"/>
          <w:sz w:val="24"/>
          <w:highlight w:val="none"/>
        </w:rPr>
      </w:pPr>
    </w:p>
    <w:p>
      <w:pPr>
        <w:spacing w:line="400" w:lineRule="exact"/>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 xml:space="preserve">                                            年     月     日</w:t>
      </w:r>
    </w:p>
    <w:p>
      <w:pPr>
        <w:snapToGrid w:val="0"/>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说明：</w:t>
      </w:r>
    </w:p>
    <w:p>
      <w:pPr>
        <w:snapToGrid w:val="0"/>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1.开标一览表按格式填列；</w:t>
      </w:r>
    </w:p>
    <w:p>
      <w:pPr>
        <w:snapToGrid w:val="0"/>
        <w:spacing w:line="400" w:lineRule="exact"/>
        <w:ind w:firstLine="480" w:firstLineChars="200"/>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t>2.开标一览表在开标大会上当众宣读，务必填写清楚，准确无误。</w:t>
      </w:r>
    </w:p>
    <w:p>
      <w:pPr>
        <w:pStyle w:val="5"/>
        <w:pageBreakBefore/>
        <w:spacing w:before="0" w:after="0" w:line="400" w:lineRule="exact"/>
        <w:rPr>
          <w:rFonts w:hint="eastAsia" w:ascii="方正仿宋_GBK" w:hAnsi="仿宋" w:eastAsia="方正仿宋_GBK" w:cs="宋体"/>
          <w:sz w:val="24"/>
          <w:szCs w:val="24"/>
          <w:highlight w:val="none"/>
        </w:rPr>
      </w:pPr>
      <w:bookmarkStart w:id="347" w:name="_Toc15573"/>
      <w:bookmarkStart w:id="348" w:name="_Toc14980"/>
      <w:bookmarkStart w:id="349" w:name="_Toc29441"/>
      <w:bookmarkStart w:id="350" w:name="_Toc31344"/>
      <w:bookmarkStart w:id="351" w:name="_Toc1842"/>
      <w:bookmarkStart w:id="352" w:name="_Toc21779"/>
      <w:bookmarkStart w:id="353" w:name="_Toc5166"/>
      <w:bookmarkStart w:id="354" w:name="_Toc2784"/>
      <w:bookmarkStart w:id="355" w:name="_Toc23774"/>
      <w:bookmarkStart w:id="356" w:name="_Toc20052"/>
      <w:bookmarkStart w:id="357" w:name="_Toc26723"/>
      <w:bookmarkStart w:id="358" w:name="_Toc493178790"/>
      <w:bookmarkStart w:id="359" w:name="_Toc3836"/>
      <w:bookmarkStart w:id="360" w:name="_Toc116915313"/>
      <w:bookmarkStart w:id="361" w:name="_Toc3224"/>
      <w:bookmarkStart w:id="362" w:name="_Toc15891"/>
      <w:bookmarkStart w:id="363" w:name="_Toc75793541"/>
      <w:bookmarkStart w:id="364" w:name="_Toc7244"/>
      <w:bookmarkStart w:id="365" w:name="_Toc13820"/>
      <w:bookmarkStart w:id="366" w:name="_Toc2386"/>
      <w:bookmarkStart w:id="367" w:name="_Toc21203"/>
      <w:bookmarkStart w:id="368" w:name="_Toc11188"/>
      <w:r>
        <w:rPr>
          <w:rFonts w:hint="eastAsia" w:ascii="方正仿宋_GBK" w:hAnsi="仿宋" w:eastAsia="方正仿宋_GBK" w:cs="宋体"/>
          <w:sz w:val="24"/>
          <w:szCs w:val="24"/>
          <w:highlight w:val="none"/>
        </w:rPr>
        <w:t>二、服务文件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snapToGrid w:val="0"/>
        <w:spacing w:line="400" w:lineRule="exact"/>
        <w:ind w:firstLine="480" w:firstLineChars="200"/>
        <w:outlineLvl w:val="1"/>
        <w:rPr>
          <w:rFonts w:hint="eastAsia" w:ascii="方正仿宋_GBK" w:hAnsi="仿宋" w:eastAsia="方正仿宋_GBK" w:cs="仿宋"/>
          <w:sz w:val="24"/>
          <w:highlight w:val="none"/>
        </w:rPr>
      </w:pPr>
      <w:bookmarkStart w:id="369" w:name="_Toc32751"/>
      <w:bookmarkStart w:id="370" w:name="_Toc176445675"/>
      <w:bookmarkStart w:id="371" w:name="_Toc174480448"/>
      <w:bookmarkStart w:id="372" w:name="_Toc174478616"/>
      <w:bookmarkStart w:id="373" w:name="_Toc175129948"/>
      <w:bookmarkStart w:id="374" w:name="_Toc8779"/>
      <w:bookmarkStart w:id="375" w:name="_Toc174479299"/>
      <w:r>
        <w:rPr>
          <w:rFonts w:hint="eastAsia" w:ascii="方正仿宋_GBK" w:hAnsi="仿宋" w:eastAsia="方正仿宋_GBK" w:cs="仿宋"/>
          <w:sz w:val="24"/>
          <w:highlight w:val="none"/>
        </w:rPr>
        <w:t>（一）服务条款差异表</w:t>
      </w:r>
      <w:bookmarkEnd w:id="369"/>
      <w:bookmarkEnd w:id="370"/>
      <w:bookmarkEnd w:id="371"/>
      <w:bookmarkEnd w:id="372"/>
      <w:bookmarkEnd w:id="373"/>
      <w:bookmarkEnd w:id="374"/>
      <w:bookmarkEnd w:id="375"/>
    </w:p>
    <w:p>
      <w:pPr>
        <w:snapToGrid w:val="0"/>
        <w:spacing w:line="4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项目号：</w:t>
      </w:r>
    </w:p>
    <w:p>
      <w:pPr>
        <w:snapToGrid w:val="0"/>
        <w:spacing w:line="4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招标项目名称：</w:t>
      </w:r>
    </w:p>
    <w:tbl>
      <w:tblPr>
        <w:tblStyle w:val="24"/>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957"/>
        <w:gridCol w:w="306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outlineLvl w:val="0"/>
              <w:rPr>
                <w:rFonts w:ascii="方正仿宋_GBK" w:hAnsi="仿宋" w:eastAsia="方正仿宋_GBK" w:cs="仿宋"/>
                <w:sz w:val="24"/>
                <w:highlight w:val="none"/>
              </w:rPr>
            </w:pPr>
            <w:bookmarkStart w:id="376" w:name="_Toc174478617"/>
            <w:bookmarkStart w:id="377" w:name="_Toc174479300"/>
            <w:bookmarkStart w:id="378" w:name="_Toc175129949"/>
            <w:bookmarkStart w:id="379" w:name="_Toc18273"/>
            <w:bookmarkStart w:id="380" w:name="_Toc908"/>
            <w:bookmarkStart w:id="381" w:name="_Toc176445676"/>
            <w:bookmarkStart w:id="382" w:name="_Toc174480449"/>
            <w:r>
              <w:rPr>
                <w:rFonts w:ascii="方正仿宋_GBK" w:hAnsi="仿宋" w:eastAsia="方正仿宋_GBK" w:cs="仿宋"/>
                <w:sz w:val="24"/>
                <w:highlight w:val="none"/>
              </w:rPr>
              <w:t>序号</w:t>
            </w:r>
            <w:bookmarkEnd w:id="376"/>
            <w:bookmarkEnd w:id="377"/>
            <w:bookmarkEnd w:id="378"/>
            <w:bookmarkEnd w:id="379"/>
            <w:bookmarkEnd w:id="380"/>
            <w:bookmarkEnd w:id="381"/>
            <w:bookmarkEnd w:id="382"/>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outlineLvl w:val="0"/>
              <w:rPr>
                <w:rFonts w:ascii="方正仿宋_GBK" w:hAnsi="仿宋" w:eastAsia="方正仿宋_GBK" w:cs="仿宋"/>
                <w:sz w:val="24"/>
                <w:highlight w:val="none"/>
              </w:rPr>
            </w:pPr>
            <w:bookmarkStart w:id="383" w:name="_Toc174480450"/>
            <w:bookmarkStart w:id="384" w:name="_Toc25994"/>
            <w:bookmarkStart w:id="385" w:name="_Toc1642"/>
            <w:bookmarkStart w:id="386" w:name="_Toc174479301"/>
            <w:bookmarkStart w:id="387" w:name="_Toc175129950"/>
            <w:bookmarkStart w:id="388" w:name="_Toc174478618"/>
            <w:bookmarkStart w:id="389" w:name="_Toc176445677"/>
            <w:r>
              <w:rPr>
                <w:rFonts w:hint="eastAsia" w:ascii="方正仿宋_GBK" w:hAnsi="仿宋" w:eastAsia="方正仿宋_GBK" w:cs="仿宋"/>
                <w:sz w:val="24"/>
                <w:highlight w:val="none"/>
              </w:rPr>
              <w:t>比选</w:t>
            </w:r>
            <w:r>
              <w:rPr>
                <w:rFonts w:ascii="方正仿宋_GBK" w:hAnsi="仿宋" w:eastAsia="方正仿宋_GBK" w:cs="仿宋"/>
                <w:sz w:val="24"/>
                <w:highlight w:val="none"/>
              </w:rPr>
              <w:t>要求</w:t>
            </w:r>
            <w:bookmarkEnd w:id="383"/>
            <w:bookmarkEnd w:id="384"/>
            <w:bookmarkEnd w:id="385"/>
            <w:bookmarkEnd w:id="386"/>
            <w:bookmarkEnd w:id="387"/>
            <w:bookmarkEnd w:id="388"/>
            <w:bookmarkEnd w:id="389"/>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outlineLvl w:val="0"/>
              <w:rPr>
                <w:rFonts w:ascii="方正仿宋_GBK" w:hAnsi="仿宋" w:eastAsia="方正仿宋_GBK" w:cs="仿宋"/>
                <w:sz w:val="24"/>
                <w:highlight w:val="none"/>
              </w:rPr>
            </w:pPr>
            <w:bookmarkStart w:id="390" w:name="_Toc174478619"/>
            <w:bookmarkStart w:id="391" w:name="_Toc174479302"/>
            <w:bookmarkStart w:id="392" w:name="_Toc174480451"/>
            <w:bookmarkStart w:id="393" w:name="_Toc175129951"/>
            <w:bookmarkStart w:id="394" w:name="_Toc26403"/>
            <w:bookmarkStart w:id="395" w:name="_Toc176445678"/>
            <w:bookmarkStart w:id="396" w:name="_Toc5825"/>
            <w:r>
              <w:rPr>
                <w:rFonts w:hint="eastAsia" w:ascii="方正仿宋_GBK" w:hAnsi="仿宋" w:eastAsia="方正仿宋_GBK" w:cs="仿宋"/>
                <w:sz w:val="24"/>
                <w:highlight w:val="none"/>
              </w:rPr>
              <w:t>竞选</w:t>
            </w:r>
            <w:r>
              <w:rPr>
                <w:rFonts w:ascii="方正仿宋_GBK" w:hAnsi="仿宋" w:eastAsia="方正仿宋_GBK" w:cs="仿宋"/>
                <w:sz w:val="24"/>
                <w:highlight w:val="none"/>
              </w:rPr>
              <w:t>应答</w:t>
            </w:r>
            <w:bookmarkEnd w:id="390"/>
            <w:bookmarkEnd w:id="391"/>
            <w:bookmarkEnd w:id="392"/>
            <w:bookmarkEnd w:id="393"/>
            <w:bookmarkEnd w:id="394"/>
            <w:bookmarkEnd w:id="395"/>
            <w:bookmarkEnd w:id="396"/>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outlineLvl w:val="0"/>
              <w:rPr>
                <w:rFonts w:ascii="方正仿宋_GBK" w:hAnsi="仿宋" w:eastAsia="方正仿宋_GBK" w:cs="仿宋"/>
                <w:sz w:val="24"/>
                <w:highlight w:val="none"/>
              </w:rPr>
            </w:pPr>
            <w:bookmarkStart w:id="397" w:name="_Toc1079"/>
            <w:bookmarkStart w:id="398" w:name="_Toc174480452"/>
            <w:bookmarkStart w:id="399" w:name="_Toc175129952"/>
            <w:bookmarkStart w:id="400" w:name="_Toc174478620"/>
            <w:bookmarkStart w:id="401" w:name="_Toc176445679"/>
            <w:bookmarkStart w:id="402" w:name="_Toc4524"/>
            <w:bookmarkStart w:id="403" w:name="_Toc174479303"/>
            <w:r>
              <w:rPr>
                <w:rFonts w:ascii="方正仿宋_GBK" w:hAnsi="仿宋" w:eastAsia="方正仿宋_GBK" w:cs="仿宋"/>
                <w:sz w:val="24"/>
                <w:highlight w:val="none"/>
              </w:rPr>
              <w:t>差异说明</w:t>
            </w:r>
            <w:bookmarkEnd w:id="397"/>
            <w:bookmarkEnd w:id="398"/>
            <w:bookmarkEnd w:id="399"/>
            <w:bookmarkEnd w:id="400"/>
            <w:bookmarkEnd w:id="401"/>
            <w:bookmarkEnd w:id="402"/>
            <w:bookmarkEnd w:id="4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306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400" w:lineRule="exact"/>
              <w:jc w:val="center"/>
              <w:rPr>
                <w:rFonts w:ascii="方正仿宋_GBK" w:hAnsi="仿宋" w:eastAsia="方正仿宋_GBK" w:cs="仿宋"/>
                <w:szCs w:val="21"/>
                <w:highlight w:val="none"/>
              </w:rPr>
            </w:pPr>
          </w:p>
        </w:tc>
      </w:tr>
    </w:tbl>
    <w:p>
      <w:pPr>
        <w:spacing w:line="400" w:lineRule="exact"/>
        <w:ind w:firstLine="600" w:firstLineChars="25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                      法定代表人（或法定代表人授权代表）：</w:t>
      </w:r>
    </w:p>
    <w:p>
      <w:pPr>
        <w:spacing w:line="400" w:lineRule="exact"/>
        <w:rPr>
          <w:rFonts w:hint="eastAsia" w:ascii="方正仿宋_GBK" w:hAnsi="仿宋" w:eastAsia="方正仿宋_GBK" w:cs="仿宋"/>
          <w:sz w:val="24"/>
          <w:highlight w:val="none"/>
        </w:rPr>
      </w:pPr>
    </w:p>
    <w:p>
      <w:pPr>
        <w:spacing w:line="400" w:lineRule="exact"/>
        <w:ind w:firstLine="720" w:firstLineChars="3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（竞选人公章）                               （签字或盖章）</w:t>
      </w:r>
    </w:p>
    <w:p>
      <w:pPr>
        <w:tabs>
          <w:tab w:val="left" w:pos="6300"/>
        </w:tabs>
        <w:snapToGrid w:val="0"/>
        <w:spacing w:line="4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                                              年     月     日</w:t>
      </w:r>
    </w:p>
    <w:p>
      <w:pPr>
        <w:tabs>
          <w:tab w:val="left" w:pos="6300"/>
        </w:tabs>
        <w:snapToGrid w:val="0"/>
        <w:spacing w:line="4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注：</w:t>
      </w:r>
    </w:p>
    <w:p>
      <w:pPr>
        <w:tabs>
          <w:tab w:val="left" w:pos="6300"/>
        </w:tabs>
        <w:snapToGrid w:val="0"/>
        <w:spacing w:line="4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1.本表即为对本项目“第二篇  项目服务需求”中所有条款进行比较和响应；</w:t>
      </w:r>
    </w:p>
    <w:p>
      <w:pPr>
        <w:tabs>
          <w:tab w:val="left" w:pos="6300"/>
        </w:tabs>
        <w:snapToGrid w:val="0"/>
        <w:spacing w:line="4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2.本表可扩展；</w:t>
      </w:r>
    </w:p>
    <w:p>
      <w:pPr>
        <w:tabs>
          <w:tab w:val="left" w:pos="6300"/>
        </w:tabs>
        <w:snapToGrid w:val="0"/>
        <w:spacing w:line="4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3.可附相关（服务）支撑材料。（格式自定）</w:t>
      </w:r>
    </w:p>
    <w:p>
      <w:pPr>
        <w:tabs>
          <w:tab w:val="left" w:pos="6300"/>
        </w:tabs>
        <w:snapToGrid w:val="0"/>
        <w:spacing w:line="400" w:lineRule="exact"/>
        <w:ind w:firstLine="570"/>
        <w:outlineLvl w:val="1"/>
        <w:rPr>
          <w:rFonts w:hint="eastAsia" w:ascii="方正仿宋_GBK" w:hAnsi="仿宋" w:eastAsia="方正仿宋_GBK" w:cs="仿宋"/>
          <w:sz w:val="24"/>
          <w:highlight w:val="none"/>
        </w:rPr>
      </w:pPr>
      <w:bookmarkStart w:id="404" w:name="_Toc31074"/>
      <w:bookmarkStart w:id="405" w:name="_Toc174480453"/>
      <w:bookmarkStart w:id="406" w:name="_Toc176445680"/>
      <w:bookmarkStart w:id="407" w:name="_Toc174478621"/>
      <w:bookmarkStart w:id="408" w:name="_Toc174479304"/>
      <w:bookmarkStart w:id="409" w:name="_Toc175129953"/>
      <w:r>
        <w:rPr>
          <w:rFonts w:hint="eastAsia" w:ascii="方正仿宋_GBK" w:hAnsi="仿宋" w:eastAsia="方正仿宋_GBK" w:cs="仿宋"/>
          <w:sz w:val="24"/>
          <w:highlight w:val="none"/>
        </w:rPr>
        <w:br w:type="page"/>
      </w:r>
      <w:bookmarkStart w:id="410" w:name="_Toc25718"/>
      <w:r>
        <w:rPr>
          <w:rFonts w:hint="eastAsia" w:ascii="方正仿宋_GBK" w:hAnsi="仿宋" w:eastAsia="方正仿宋_GBK" w:cs="仿宋"/>
          <w:sz w:val="24"/>
          <w:highlight w:val="none"/>
        </w:rPr>
        <w:t>（二）</w:t>
      </w:r>
      <w:bookmarkEnd w:id="404"/>
      <w:r>
        <w:rPr>
          <w:rFonts w:hint="eastAsia" w:ascii="方正仿宋_GBK" w:hAnsi="仿宋" w:eastAsia="方正仿宋_GBK" w:cs="仿宋"/>
          <w:sz w:val="24"/>
          <w:highlight w:val="none"/>
        </w:rPr>
        <w:t>第二篇要求的方案或证明材料（如果有）</w:t>
      </w:r>
      <w:bookmarkEnd w:id="405"/>
      <w:bookmarkEnd w:id="406"/>
      <w:bookmarkEnd w:id="407"/>
      <w:bookmarkEnd w:id="408"/>
      <w:bookmarkEnd w:id="409"/>
      <w:bookmarkEnd w:id="410"/>
    </w:p>
    <w:p>
      <w:pPr>
        <w:pStyle w:val="5"/>
        <w:pageBreakBefore/>
        <w:spacing w:before="0" w:after="0" w:line="480" w:lineRule="exact"/>
        <w:ind w:firstLine="482" w:firstLineChars="200"/>
        <w:rPr>
          <w:rFonts w:hint="eastAsia" w:ascii="方正仿宋_GBK" w:hAnsi="仿宋" w:eastAsia="方正仿宋_GBK" w:cs="仿宋"/>
          <w:b w:val="0"/>
          <w:sz w:val="24"/>
          <w:highlight w:val="none"/>
        </w:rPr>
      </w:pPr>
      <w:bookmarkStart w:id="411" w:name="_Toc493178791"/>
      <w:bookmarkStart w:id="412" w:name="_Toc23523"/>
      <w:bookmarkStart w:id="413" w:name="_Toc7069"/>
      <w:bookmarkStart w:id="414" w:name="_Toc5573"/>
      <w:bookmarkStart w:id="415" w:name="_Toc6786"/>
      <w:bookmarkStart w:id="416" w:name="_Toc4362"/>
      <w:bookmarkStart w:id="417" w:name="_Toc1542"/>
      <w:bookmarkStart w:id="418" w:name="_Toc8958"/>
      <w:bookmarkStart w:id="419" w:name="_Toc492721039"/>
      <w:bookmarkStart w:id="420" w:name="_Toc32670"/>
      <w:bookmarkStart w:id="421" w:name="_Toc14954"/>
      <w:bookmarkStart w:id="422" w:name="_Toc75793542"/>
      <w:bookmarkStart w:id="423" w:name="_Toc116915314"/>
      <w:bookmarkStart w:id="424" w:name="_Toc28242"/>
      <w:bookmarkStart w:id="425" w:name="_Toc17290"/>
      <w:bookmarkStart w:id="426" w:name="_Toc9483"/>
      <w:bookmarkStart w:id="427" w:name="_Toc31831"/>
      <w:bookmarkStart w:id="428" w:name="_Toc26494"/>
      <w:bookmarkStart w:id="429" w:name="_Toc22113"/>
      <w:bookmarkStart w:id="430" w:name="_Toc10372"/>
      <w:bookmarkStart w:id="431" w:name="_Toc30496"/>
      <w:r>
        <w:rPr>
          <w:rFonts w:hint="eastAsia" w:ascii="方正仿宋_GBK" w:hAnsi="仿宋" w:eastAsia="方正仿宋_GBK" w:cs="仿宋"/>
          <w:sz w:val="24"/>
          <w:highlight w:val="none"/>
        </w:rPr>
        <w:t>三、商务文件</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snapToGrid w:val="0"/>
        <w:spacing w:before="156" w:beforeLines="50" w:line="500" w:lineRule="exact"/>
        <w:jc w:val="center"/>
        <w:outlineLvl w:val="1"/>
        <w:rPr>
          <w:rFonts w:hint="eastAsia" w:ascii="方正仿宋_GBK" w:hAnsi="仿宋" w:eastAsia="方正仿宋_GBK" w:cs="仿宋"/>
          <w:sz w:val="24"/>
          <w:highlight w:val="none"/>
        </w:rPr>
      </w:pPr>
      <w:bookmarkStart w:id="432" w:name="_Toc174478624"/>
      <w:bookmarkStart w:id="433" w:name="_Toc176445682"/>
      <w:bookmarkStart w:id="434" w:name="_Toc26080"/>
      <w:bookmarkStart w:id="435" w:name="_Toc175129955"/>
      <w:bookmarkStart w:id="436" w:name="_Toc30709"/>
      <w:bookmarkStart w:id="437" w:name="_Toc174480456"/>
      <w:bookmarkStart w:id="438" w:name="_Toc174479307"/>
      <w:r>
        <w:rPr>
          <w:rFonts w:hint="eastAsia" w:ascii="方正仿宋_GBK" w:hAnsi="仿宋" w:eastAsia="方正仿宋_GBK" w:cs="仿宋"/>
          <w:sz w:val="24"/>
          <w:highlight w:val="none"/>
        </w:rPr>
        <w:t>（一）竞选函（格式）</w:t>
      </w:r>
      <w:bookmarkEnd w:id="432"/>
      <w:bookmarkEnd w:id="433"/>
      <w:bookmarkEnd w:id="434"/>
      <w:bookmarkEnd w:id="435"/>
      <w:bookmarkEnd w:id="436"/>
      <w:bookmarkEnd w:id="437"/>
      <w:bookmarkEnd w:id="438"/>
    </w:p>
    <w:p>
      <w:pPr>
        <w:spacing w:line="500" w:lineRule="exact"/>
        <w:rPr>
          <w:rFonts w:hint="eastAsia" w:ascii="方正仿宋_GBK" w:hAnsi="仿宋" w:eastAsia="方正仿宋_GBK" w:cs="仿宋"/>
          <w:sz w:val="24"/>
          <w:szCs w:val="28"/>
          <w:highlight w:val="none"/>
        </w:rPr>
      </w:pP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招标项目名称：垫江县精神卫生中心食堂劳务外包（第五次）</w:t>
      </w:r>
    </w:p>
    <w:p>
      <w:pPr>
        <w:snapToGrid w:val="0"/>
        <w:spacing w:line="420" w:lineRule="exact"/>
        <w:ind w:firstLine="480" w:firstLineChars="200"/>
        <w:rPr>
          <w:rFonts w:hint="eastAsia" w:ascii="宋体" w:hAnsi="宋体" w:cs="宋体"/>
          <w:color w:val="auto"/>
          <w:sz w:val="24"/>
          <w:highlight w:val="none"/>
          <w:lang w:val="en-US" w:eastAsia="zh-CN"/>
        </w:rPr>
      </w:pP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致：（比选人名称）</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（竞选人名称）系中华人民共和国合法企业，注册地址：我方就参加本次竞选有关事项郑重声明如下：</w:t>
      </w:r>
    </w:p>
    <w:p>
      <w:pPr>
        <w:snapToGrid w:val="0"/>
        <w:spacing w:line="420" w:lineRule="exact"/>
        <w:ind w:firstLine="480" w:firstLineChars="200"/>
        <w:rPr>
          <w:rFonts w:hint="eastAsia" w:ascii="宋体" w:hAnsi="宋体" w:cs="宋体"/>
          <w:color w:val="auto"/>
          <w:sz w:val="24"/>
          <w:highlight w:val="none"/>
          <w:lang w:val="en-US" w:eastAsia="zh-CN"/>
        </w:rPr>
      </w:pPr>
      <w:bookmarkStart w:id="439" w:name="_Toc175129956"/>
      <w:bookmarkStart w:id="440" w:name="_Toc174478625"/>
      <w:bookmarkStart w:id="441" w:name="_Toc176445683"/>
      <w:bookmarkStart w:id="442" w:name="_Toc174479308"/>
      <w:bookmarkStart w:id="443" w:name="_Toc21993"/>
      <w:bookmarkStart w:id="444" w:name="_Toc174480457"/>
      <w:r>
        <w:rPr>
          <w:rFonts w:hint="eastAsia" w:ascii="宋体" w:hAnsi="宋体" w:cs="宋体"/>
          <w:color w:val="auto"/>
          <w:sz w:val="24"/>
          <w:highlight w:val="none"/>
          <w:lang w:val="en-US" w:eastAsia="zh-CN"/>
        </w:rPr>
        <w:t>一、我方完全理解并接受该项目竞争性比选文件所有要求。</w:t>
      </w:r>
      <w:bookmarkEnd w:id="439"/>
      <w:bookmarkEnd w:id="440"/>
      <w:bookmarkEnd w:id="441"/>
      <w:bookmarkEnd w:id="442"/>
      <w:bookmarkEnd w:id="443"/>
      <w:bookmarkEnd w:id="444"/>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二、我方提交的所有竞选文件、资料都是准确和真实的，如有虚假或隐瞒，我方愿意承担一切法律责任。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三、我方承诺按照竞争性比选文件要求，提供招标项目的技术（质量）服务。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四、我方按竞争性比选文件要求提交的竞选文件为：竞选文件正本  份，副本 份。</w:t>
      </w:r>
    </w:p>
    <w:p>
      <w:pPr>
        <w:snapToGrid w:val="0"/>
        <w:spacing w:line="420" w:lineRule="exact"/>
        <w:ind w:firstLine="480" w:firstLineChars="200"/>
        <w:rPr>
          <w:rFonts w:hint="eastAsia" w:ascii="宋体" w:hAnsi="宋体" w:cs="宋体"/>
          <w:color w:val="auto"/>
          <w:sz w:val="24"/>
          <w:highlight w:val="none"/>
          <w:lang w:val="en-US" w:eastAsia="zh-CN"/>
        </w:rPr>
      </w:pPr>
      <w:bookmarkStart w:id="445" w:name="_Toc28365"/>
      <w:bookmarkStart w:id="446" w:name="_Toc174478626"/>
      <w:bookmarkStart w:id="447" w:name="_Toc174480458"/>
      <w:bookmarkStart w:id="448" w:name="_Toc174479309"/>
      <w:bookmarkStart w:id="449" w:name="_Toc176445684"/>
      <w:bookmarkStart w:id="450" w:name="_Toc175129957"/>
      <w:r>
        <w:rPr>
          <w:rFonts w:hint="eastAsia" w:ascii="宋体" w:hAnsi="宋体" w:cs="宋体"/>
          <w:color w:val="auto"/>
          <w:sz w:val="24"/>
          <w:highlight w:val="none"/>
          <w:lang w:val="en-US" w:eastAsia="zh-CN"/>
        </w:rPr>
        <w:t>五、我方承诺：本次竞选的竞选有效期为竞选截止时间起90天。</w:t>
      </w:r>
      <w:bookmarkEnd w:id="445"/>
      <w:bookmarkEnd w:id="446"/>
      <w:bookmarkEnd w:id="447"/>
      <w:bookmarkEnd w:id="448"/>
      <w:bookmarkEnd w:id="449"/>
      <w:bookmarkEnd w:id="450"/>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六、我方竞选报价为闭口价。即在竞选有效期和合同有效期内，该报价固定不变。</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七、如果我方中选，我方将履行竞争性比选文件中规定的各项要求以及我方竞选文件的各项承诺，按《中华人民共和国政府采购法》《中华人民共和国民法典》及合同约定条款承担我方责任。</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八、我方未为比选项目提供整体设计、规范编制或者项目管理、监理、检测等服务。</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九、我方理解，最低报价不是中选的唯一条件。</w:t>
      </w:r>
    </w:p>
    <w:p>
      <w:pPr>
        <w:tabs>
          <w:tab w:val="left" w:pos="6300"/>
        </w:tabs>
        <w:snapToGrid w:val="0"/>
        <w:spacing w:line="500" w:lineRule="exact"/>
        <w:ind w:firstLine="570"/>
        <w:rPr>
          <w:rFonts w:hint="eastAsia" w:ascii="方正仿宋_GBK" w:hAnsi="仿宋" w:eastAsia="方正仿宋_GBK" w:cs="仿宋"/>
          <w:sz w:val="24"/>
          <w:szCs w:val="28"/>
          <w:highlight w:val="none"/>
        </w:rPr>
      </w:pPr>
    </w:p>
    <w:p>
      <w:pPr>
        <w:snapToGrid w:val="0"/>
        <w:spacing w:line="420" w:lineRule="exact"/>
        <w:ind w:firstLine="480" w:firstLineChars="200"/>
        <w:jc w:val="righ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（竞选人公章或自然人签署）</w:t>
      </w:r>
    </w:p>
    <w:p>
      <w:pPr>
        <w:snapToGrid w:val="0"/>
        <w:spacing w:line="420" w:lineRule="exact"/>
        <w:ind w:firstLine="480" w:firstLineChars="200"/>
        <w:jc w:val="righ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年    月   日</w:t>
      </w:r>
    </w:p>
    <w:p>
      <w:pPr>
        <w:snapToGrid w:val="0"/>
        <w:spacing w:line="400" w:lineRule="exact"/>
        <w:ind w:firstLine="480" w:firstLineChars="200"/>
        <w:outlineLvl w:val="1"/>
        <w:rPr>
          <w:rFonts w:hint="eastAsia" w:ascii="方正仿宋_GBK" w:hAnsi="仿宋" w:eastAsia="方正仿宋_GBK" w:cs="仿宋"/>
          <w:sz w:val="24"/>
          <w:highlight w:val="none"/>
        </w:rPr>
      </w:pPr>
      <w:bookmarkStart w:id="451" w:name="_Toc174480459"/>
      <w:bookmarkStart w:id="452" w:name="_Toc19090"/>
      <w:bookmarkStart w:id="453" w:name="_Toc174479310"/>
      <w:bookmarkStart w:id="454" w:name="_Toc176445685"/>
      <w:bookmarkStart w:id="455" w:name="_Toc175129958"/>
      <w:bookmarkStart w:id="456" w:name="_Toc174478627"/>
      <w:r>
        <w:rPr>
          <w:rFonts w:hint="eastAsia" w:ascii="方正仿宋_GBK" w:hAnsi="仿宋" w:eastAsia="方正仿宋_GBK" w:cs="仿宋"/>
          <w:sz w:val="24"/>
          <w:highlight w:val="none"/>
        </w:rPr>
        <w:br w:type="page"/>
      </w:r>
      <w:bookmarkStart w:id="457" w:name="_Toc5727"/>
      <w:r>
        <w:rPr>
          <w:rFonts w:hint="eastAsia" w:ascii="方正仿宋_GBK" w:hAnsi="仿宋" w:eastAsia="方正仿宋_GBK" w:cs="仿宋"/>
          <w:sz w:val="24"/>
          <w:highlight w:val="none"/>
        </w:rPr>
        <w:t>（二）商务条款差异表</w:t>
      </w:r>
      <w:bookmarkEnd w:id="451"/>
      <w:bookmarkEnd w:id="452"/>
      <w:bookmarkEnd w:id="453"/>
      <w:bookmarkEnd w:id="454"/>
      <w:bookmarkEnd w:id="455"/>
      <w:bookmarkEnd w:id="456"/>
      <w:bookmarkEnd w:id="457"/>
    </w:p>
    <w:p>
      <w:pPr>
        <w:snapToGrid w:val="0"/>
        <w:spacing w:line="4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项目号：</w:t>
      </w:r>
    </w:p>
    <w:p>
      <w:pPr>
        <w:snapToGrid w:val="0"/>
        <w:spacing w:line="4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招标项目名称：</w:t>
      </w:r>
    </w:p>
    <w:tbl>
      <w:tblPr>
        <w:tblStyle w:val="2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3013"/>
        <w:gridCol w:w="3126"/>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outlineLvl w:val="0"/>
              <w:rPr>
                <w:rFonts w:ascii="方正仿宋_GBK" w:hAnsi="仿宋" w:eastAsia="方正仿宋_GBK" w:cs="仿宋"/>
                <w:sz w:val="24"/>
                <w:highlight w:val="none"/>
              </w:rPr>
            </w:pPr>
            <w:bookmarkStart w:id="458" w:name="_Toc174478628"/>
            <w:bookmarkStart w:id="459" w:name="_Toc31661"/>
            <w:bookmarkStart w:id="460" w:name="_Toc176445686"/>
            <w:bookmarkStart w:id="461" w:name="_Toc175129959"/>
            <w:bookmarkStart w:id="462" w:name="_Toc174479311"/>
            <w:bookmarkStart w:id="463" w:name="_Toc18404"/>
            <w:bookmarkStart w:id="464" w:name="_Toc174480460"/>
            <w:r>
              <w:rPr>
                <w:rFonts w:ascii="方正仿宋_GBK" w:hAnsi="仿宋" w:eastAsia="方正仿宋_GBK" w:cs="仿宋"/>
                <w:sz w:val="24"/>
                <w:highlight w:val="none"/>
              </w:rPr>
              <w:t>序号</w:t>
            </w:r>
            <w:bookmarkEnd w:id="458"/>
            <w:bookmarkEnd w:id="459"/>
            <w:bookmarkEnd w:id="460"/>
            <w:bookmarkEnd w:id="461"/>
            <w:bookmarkEnd w:id="462"/>
            <w:bookmarkEnd w:id="463"/>
            <w:bookmarkEnd w:id="464"/>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outlineLvl w:val="0"/>
              <w:rPr>
                <w:rFonts w:ascii="方正仿宋_GBK" w:hAnsi="仿宋" w:eastAsia="方正仿宋_GBK" w:cs="仿宋"/>
                <w:sz w:val="24"/>
                <w:highlight w:val="none"/>
              </w:rPr>
            </w:pPr>
            <w:bookmarkStart w:id="465" w:name="_Toc21054"/>
            <w:bookmarkStart w:id="466" w:name="_Toc29334"/>
            <w:bookmarkStart w:id="467" w:name="_Toc175129960"/>
            <w:bookmarkStart w:id="468" w:name="_Toc174480461"/>
            <w:bookmarkStart w:id="469" w:name="_Toc174479312"/>
            <w:bookmarkStart w:id="470" w:name="_Toc176445687"/>
            <w:bookmarkStart w:id="471" w:name="_Toc174478629"/>
            <w:r>
              <w:rPr>
                <w:rFonts w:ascii="方正仿宋_GBK" w:hAnsi="仿宋" w:eastAsia="方正仿宋_GBK" w:cs="仿宋"/>
                <w:sz w:val="24"/>
                <w:highlight w:val="none"/>
              </w:rPr>
              <w:t>招标商务要求</w:t>
            </w:r>
            <w:bookmarkEnd w:id="465"/>
            <w:bookmarkEnd w:id="466"/>
            <w:bookmarkEnd w:id="467"/>
            <w:bookmarkEnd w:id="468"/>
            <w:bookmarkEnd w:id="469"/>
            <w:bookmarkEnd w:id="470"/>
            <w:bookmarkEnd w:id="471"/>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outlineLvl w:val="0"/>
              <w:rPr>
                <w:rFonts w:ascii="方正仿宋_GBK" w:hAnsi="仿宋" w:eastAsia="方正仿宋_GBK" w:cs="仿宋"/>
                <w:sz w:val="24"/>
                <w:highlight w:val="none"/>
              </w:rPr>
            </w:pPr>
            <w:bookmarkStart w:id="472" w:name="_Toc174479313"/>
            <w:bookmarkStart w:id="473" w:name="_Toc14284"/>
            <w:bookmarkStart w:id="474" w:name="_Toc20395"/>
            <w:bookmarkStart w:id="475" w:name="_Toc174480462"/>
            <w:bookmarkStart w:id="476" w:name="_Toc174478630"/>
            <w:bookmarkStart w:id="477" w:name="_Toc176445688"/>
            <w:bookmarkStart w:id="478" w:name="_Toc175129961"/>
            <w:r>
              <w:rPr>
                <w:rFonts w:hint="eastAsia" w:ascii="方正仿宋_GBK" w:hAnsi="仿宋" w:eastAsia="方正仿宋_GBK" w:cs="仿宋"/>
                <w:sz w:val="24"/>
                <w:highlight w:val="none"/>
              </w:rPr>
              <w:t>竞选</w:t>
            </w:r>
            <w:r>
              <w:rPr>
                <w:rFonts w:ascii="方正仿宋_GBK" w:hAnsi="仿宋" w:eastAsia="方正仿宋_GBK" w:cs="仿宋"/>
                <w:sz w:val="24"/>
                <w:highlight w:val="none"/>
              </w:rPr>
              <w:t>商务应答</w:t>
            </w:r>
            <w:bookmarkEnd w:id="472"/>
            <w:bookmarkEnd w:id="473"/>
            <w:bookmarkEnd w:id="474"/>
            <w:bookmarkEnd w:id="475"/>
            <w:bookmarkEnd w:id="476"/>
            <w:bookmarkEnd w:id="477"/>
            <w:bookmarkEnd w:id="478"/>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outlineLvl w:val="0"/>
              <w:rPr>
                <w:rFonts w:ascii="方正仿宋_GBK" w:hAnsi="仿宋" w:eastAsia="方正仿宋_GBK" w:cs="仿宋"/>
                <w:sz w:val="24"/>
                <w:highlight w:val="none"/>
              </w:rPr>
            </w:pPr>
            <w:bookmarkStart w:id="479" w:name="_Toc176445689"/>
            <w:bookmarkStart w:id="480" w:name="_Toc174480463"/>
            <w:bookmarkStart w:id="481" w:name="_Toc174478631"/>
            <w:bookmarkStart w:id="482" w:name="_Toc174479314"/>
            <w:bookmarkStart w:id="483" w:name="_Toc20230"/>
            <w:bookmarkStart w:id="484" w:name="_Toc22439"/>
            <w:bookmarkStart w:id="485" w:name="_Toc175129962"/>
            <w:r>
              <w:rPr>
                <w:rFonts w:ascii="方正仿宋_GBK" w:hAnsi="仿宋" w:eastAsia="方正仿宋_GBK" w:cs="仿宋"/>
                <w:sz w:val="24"/>
                <w:highlight w:val="none"/>
              </w:rPr>
              <w:t>差异说明</w:t>
            </w:r>
            <w:bookmarkEnd w:id="479"/>
            <w:bookmarkEnd w:id="480"/>
            <w:bookmarkEnd w:id="481"/>
            <w:bookmarkEnd w:id="482"/>
            <w:bookmarkEnd w:id="483"/>
            <w:bookmarkEnd w:id="484"/>
            <w:bookmarkEnd w:id="4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013"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3126"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500" w:lineRule="exact"/>
              <w:jc w:val="center"/>
              <w:rPr>
                <w:rFonts w:ascii="方正仿宋_GBK" w:hAnsi="仿宋" w:eastAsia="方正仿宋_GBK" w:cs="仿宋"/>
                <w:szCs w:val="21"/>
                <w:highlight w:val="none"/>
              </w:rPr>
            </w:pPr>
          </w:p>
        </w:tc>
      </w:tr>
    </w:tbl>
    <w:p>
      <w:pPr>
        <w:spacing w:line="500" w:lineRule="exact"/>
        <w:ind w:firstLine="600" w:firstLineChars="250"/>
        <w:rPr>
          <w:rFonts w:hint="eastAsia" w:ascii="方正仿宋_GBK" w:hAnsi="仿宋" w:eastAsia="方正仿宋_GBK" w:cs="仿宋"/>
          <w:sz w:val="24"/>
          <w:szCs w:val="28"/>
          <w:highlight w:val="none"/>
        </w:rPr>
      </w:pP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                     法定代表人（或法定代表人授权代表）：</w:t>
      </w: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（竞选人公章）                             （签署或盖章）</w:t>
      </w: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                                            年     月     日</w:t>
      </w: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注：</w:t>
      </w: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1.本表即为对本项目“第三篇 项目商务需求”中所有条款进行比较和响应；</w:t>
      </w:r>
    </w:p>
    <w:p>
      <w:pPr>
        <w:snapToGrid w:val="0"/>
        <w:spacing w:line="360" w:lineRule="auto"/>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2.本表可扩展。</w:t>
      </w:r>
    </w:p>
    <w:p>
      <w:pPr>
        <w:spacing w:line="400" w:lineRule="exact"/>
        <w:outlineLvl w:val="1"/>
        <w:rPr>
          <w:rFonts w:hint="eastAsia" w:ascii="方正仿宋_GBK" w:hAnsi="仿宋" w:eastAsia="方正仿宋_GBK" w:cs="宋体"/>
          <w:sz w:val="24"/>
          <w:highlight w:val="none"/>
        </w:rPr>
      </w:pPr>
      <w:r>
        <w:rPr>
          <w:rFonts w:hint="eastAsia" w:ascii="方正仿宋_GBK" w:hAnsi="仿宋" w:eastAsia="方正仿宋_GBK" w:cs="宋体"/>
          <w:sz w:val="24"/>
          <w:highlight w:val="none"/>
        </w:rPr>
        <w:br w:type="page"/>
      </w:r>
      <w:bookmarkStart w:id="486" w:name="_Toc26295"/>
      <w:r>
        <w:rPr>
          <w:rFonts w:hint="eastAsia" w:ascii="方正仿宋_GBK" w:hAnsi="仿宋" w:eastAsia="方正仿宋_GBK" w:cs="宋体"/>
          <w:sz w:val="24"/>
          <w:highlight w:val="none"/>
        </w:rPr>
        <w:t>（三）第三篇要求的证明材料（如果有）</w:t>
      </w:r>
      <w:bookmarkEnd w:id="486"/>
    </w:p>
    <w:p>
      <w:pPr>
        <w:snapToGrid w:val="0"/>
        <w:spacing w:line="400" w:lineRule="exact"/>
        <w:ind w:firstLine="480" w:firstLineChars="200"/>
        <w:rPr>
          <w:rFonts w:hint="eastAsia" w:ascii="方正仿宋_GBK" w:hAnsi="仿宋" w:eastAsia="方正仿宋_GBK" w:cs="仿宋"/>
          <w:sz w:val="24"/>
          <w:szCs w:val="28"/>
          <w:highlight w:val="none"/>
        </w:rPr>
      </w:pPr>
    </w:p>
    <w:p>
      <w:pPr>
        <w:widowControl/>
        <w:jc w:val="left"/>
        <w:rPr>
          <w:rFonts w:hint="eastAsia" w:ascii="方正仿宋_GBK" w:hAnsi="仿宋" w:eastAsia="方正仿宋_GBK" w:cs="仿宋"/>
          <w:szCs w:val="28"/>
          <w:highlight w:val="none"/>
        </w:rPr>
      </w:pPr>
    </w:p>
    <w:p>
      <w:pPr>
        <w:pStyle w:val="5"/>
        <w:pageBreakBefore/>
        <w:spacing w:before="0" w:after="0" w:line="480" w:lineRule="exact"/>
        <w:ind w:firstLine="482" w:firstLineChars="200"/>
        <w:rPr>
          <w:rFonts w:hint="eastAsia" w:ascii="方正仿宋_GBK" w:hAnsi="仿宋" w:eastAsia="方正仿宋_GBK" w:cs="仿宋"/>
          <w:b w:val="0"/>
          <w:sz w:val="24"/>
          <w:highlight w:val="none"/>
        </w:rPr>
      </w:pPr>
      <w:bookmarkStart w:id="487" w:name="_Toc24540"/>
      <w:bookmarkStart w:id="488" w:name="_Toc29932"/>
      <w:bookmarkStart w:id="489" w:name="_Toc30376"/>
      <w:bookmarkStart w:id="490" w:name="_Toc320"/>
      <w:bookmarkStart w:id="491" w:name="_Toc23915"/>
      <w:bookmarkStart w:id="492" w:name="_Toc23569"/>
      <w:bookmarkStart w:id="493" w:name="_Toc75793543"/>
      <w:bookmarkStart w:id="494" w:name="_Toc4624"/>
      <w:bookmarkStart w:id="495" w:name="_Toc29543"/>
      <w:bookmarkStart w:id="496" w:name="_Toc27849"/>
      <w:bookmarkStart w:id="497" w:name="_Toc3199"/>
      <w:bookmarkStart w:id="498" w:name="_Toc19687"/>
      <w:bookmarkStart w:id="499" w:name="_Toc5854"/>
      <w:bookmarkStart w:id="500" w:name="_Toc4541"/>
      <w:bookmarkStart w:id="501" w:name="_Toc492721041"/>
      <w:bookmarkStart w:id="502" w:name="_Toc2395"/>
      <w:bookmarkStart w:id="503" w:name="_Toc116915315"/>
      <w:bookmarkStart w:id="504" w:name="_Toc7042"/>
      <w:bookmarkStart w:id="505" w:name="_Toc493178792"/>
      <w:bookmarkStart w:id="506" w:name="_Toc6978"/>
      <w:bookmarkStart w:id="507" w:name="_Toc11165"/>
      <w:r>
        <w:rPr>
          <w:rFonts w:hint="eastAsia" w:ascii="方正仿宋_GBK" w:hAnsi="仿宋" w:eastAsia="方正仿宋_GBK" w:cs="仿宋"/>
          <w:sz w:val="24"/>
          <w:highlight w:val="none"/>
        </w:rPr>
        <w:t>四、其他</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tabs>
          <w:tab w:val="left" w:pos="6300"/>
        </w:tabs>
        <w:snapToGrid w:val="0"/>
        <w:spacing w:line="500" w:lineRule="exact"/>
        <w:ind w:firstLine="480" w:firstLineChars="200"/>
        <w:jc w:val="left"/>
        <w:outlineLvl w:val="1"/>
        <w:rPr>
          <w:rFonts w:hint="eastAsia" w:ascii="方正仿宋_GBK" w:hAnsi="仿宋" w:eastAsia="方正仿宋_GBK" w:cs="仿宋"/>
          <w:kern w:val="0"/>
          <w:sz w:val="24"/>
          <w:highlight w:val="none"/>
        </w:rPr>
      </w:pPr>
      <w:bookmarkStart w:id="508" w:name="_Toc174480466"/>
      <w:bookmarkStart w:id="509" w:name="_Toc10321"/>
      <w:bookmarkStart w:id="510" w:name="_Toc174478634"/>
      <w:bookmarkStart w:id="511" w:name="_Toc30690"/>
      <w:bookmarkStart w:id="512" w:name="_Toc175129964"/>
      <w:bookmarkStart w:id="513" w:name="_Toc174479317"/>
      <w:bookmarkStart w:id="514" w:name="_Toc176445691"/>
      <w:r>
        <w:rPr>
          <w:rFonts w:hint="eastAsia" w:ascii="方正仿宋_GBK" w:hAnsi="仿宋" w:eastAsia="方正仿宋_GBK" w:cs="仿宋"/>
          <w:sz w:val="24"/>
          <w:highlight w:val="none"/>
        </w:rPr>
        <w:t>（一）其他与项目有关的资料（自附</w:t>
      </w:r>
      <w:r>
        <w:rPr>
          <w:rFonts w:hint="eastAsia" w:ascii="方正仿宋_GBK" w:hAnsi="仿宋" w:eastAsia="方正仿宋_GBK" w:cs="仿宋"/>
          <w:kern w:val="0"/>
          <w:sz w:val="24"/>
          <w:highlight w:val="none"/>
        </w:rPr>
        <w:t>）</w:t>
      </w:r>
      <w:bookmarkEnd w:id="508"/>
      <w:bookmarkEnd w:id="509"/>
      <w:bookmarkEnd w:id="510"/>
      <w:bookmarkEnd w:id="511"/>
      <w:bookmarkEnd w:id="512"/>
      <w:bookmarkEnd w:id="513"/>
      <w:bookmarkEnd w:id="514"/>
    </w:p>
    <w:p>
      <w:pPr>
        <w:widowControl/>
        <w:jc w:val="left"/>
        <w:rPr>
          <w:rFonts w:hint="eastAsia" w:ascii="方正仿宋_GBK" w:hAnsi="仿宋" w:eastAsia="方正仿宋_GBK" w:cs="仿宋"/>
          <w:sz w:val="24"/>
          <w:szCs w:val="28"/>
          <w:highlight w:val="none"/>
        </w:rPr>
      </w:pPr>
    </w:p>
    <w:p>
      <w:pPr>
        <w:pStyle w:val="5"/>
        <w:pageBreakBefore/>
        <w:spacing w:before="0" w:after="0" w:line="480" w:lineRule="exact"/>
        <w:ind w:firstLine="482" w:firstLineChars="200"/>
        <w:rPr>
          <w:rFonts w:hint="eastAsia" w:ascii="方正仿宋_GBK" w:hAnsi="仿宋" w:eastAsia="方正仿宋_GBK" w:cs="仿宋"/>
          <w:b w:val="0"/>
          <w:szCs w:val="28"/>
          <w:highlight w:val="none"/>
        </w:rPr>
      </w:pPr>
      <w:bookmarkStart w:id="515" w:name="_Toc21121"/>
      <w:bookmarkStart w:id="516" w:name="_Toc26381"/>
      <w:bookmarkStart w:id="517" w:name="_Toc26866"/>
      <w:bookmarkStart w:id="518" w:name="_Toc493178793"/>
      <w:bookmarkStart w:id="519" w:name="_Toc12509"/>
      <w:bookmarkStart w:id="520" w:name="_Toc30818"/>
      <w:bookmarkStart w:id="521" w:name="_Toc25024"/>
      <w:bookmarkStart w:id="522" w:name="_Toc17829"/>
      <w:bookmarkStart w:id="523" w:name="_Toc6108"/>
      <w:bookmarkStart w:id="524" w:name="_Toc4000"/>
      <w:bookmarkStart w:id="525" w:name="_Toc28432"/>
      <w:bookmarkStart w:id="526" w:name="_Toc13249"/>
      <w:bookmarkStart w:id="527" w:name="_Toc116915316"/>
      <w:bookmarkStart w:id="528" w:name="_Toc16577"/>
      <w:bookmarkStart w:id="529" w:name="_Toc11324"/>
      <w:bookmarkStart w:id="530" w:name="_Toc11127"/>
      <w:bookmarkStart w:id="531" w:name="_Toc17848"/>
      <w:bookmarkStart w:id="532" w:name="_Toc75793544"/>
      <w:bookmarkStart w:id="533" w:name="_Toc492721038"/>
      <w:bookmarkStart w:id="534" w:name="_Toc23187"/>
      <w:bookmarkStart w:id="535" w:name="_Toc30988"/>
      <w:r>
        <w:rPr>
          <w:rFonts w:hint="eastAsia" w:ascii="方正仿宋_GBK" w:hAnsi="仿宋" w:eastAsia="方正仿宋_GBK" w:cs="仿宋"/>
          <w:sz w:val="24"/>
          <w:highlight w:val="none"/>
        </w:rPr>
        <w:t>五、资格文件</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snapToGrid w:val="0"/>
        <w:spacing w:line="420" w:lineRule="exact"/>
        <w:ind w:firstLine="480" w:firstLineChars="200"/>
        <w:rPr>
          <w:rFonts w:hint="eastAsia" w:ascii="宋体" w:hAnsi="宋体" w:cs="宋体"/>
          <w:color w:val="auto"/>
          <w:sz w:val="24"/>
          <w:highlight w:val="none"/>
          <w:lang w:val="en-US" w:eastAsia="zh-CN"/>
        </w:rPr>
      </w:pPr>
      <w:bookmarkStart w:id="536" w:name="_Toc8961"/>
      <w:r>
        <w:rPr>
          <w:rFonts w:hint="eastAsia" w:ascii="宋体" w:hAnsi="宋体" w:cs="宋体"/>
          <w:color w:val="auto"/>
          <w:sz w:val="24"/>
          <w:highlight w:val="none"/>
          <w:lang w:val="en-US" w:eastAsia="zh-CN"/>
        </w:rPr>
        <w:t>（一）法人营业执照（副本）或事业单位法人证书（副本）或个体工商户营业执照或有效的自然人身份证明或社会团体法人登记证书复印件</w:t>
      </w:r>
      <w:bookmarkEnd w:id="536"/>
    </w:p>
    <w:p>
      <w:pPr>
        <w:tabs>
          <w:tab w:val="left" w:pos="6300"/>
        </w:tabs>
        <w:snapToGrid w:val="0"/>
        <w:spacing w:line="500" w:lineRule="exact"/>
        <w:ind w:firstLine="570"/>
        <w:rPr>
          <w:rFonts w:hint="eastAsia" w:ascii="方正仿宋_GBK" w:hAnsi="仿宋" w:eastAsia="方正仿宋_GBK" w:cs="仿宋"/>
          <w:highlight w:val="none"/>
        </w:rPr>
      </w:pPr>
    </w:p>
    <w:p>
      <w:pPr>
        <w:tabs>
          <w:tab w:val="left" w:pos="6300"/>
        </w:tabs>
        <w:snapToGrid w:val="0"/>
        <w:spacing w:line="500" w:lineRule="exact"/>
        <w:ind w:firstLine="570"/>
        <w:rPr>
          <w:rFonts w:hint="eastAsia" w:ascii="方正仿宋_GBK" w:hAnsi="仿宋" w:eastAsia="方正仿宋_GBK" w:cs="仿宋"/>
          <w:highlight w:val="none"/>
        </w:rPr>
      </w:pPr>
    </w:p>
    <w:p>
      <w:pPr>
        <w:tabs>
          <w:tab w:val="left" w:pos="6300"/>
        </w:tabs>
        <w:snapToGrid w:val="0"/>
        <w:spacing w:line="500" w:lineRule="exact"/>
        <w:ind w:firstLine="570"/>
        <w:rPr>
          <w:rFonts w:hint="eastAsia" w:ascii="方正仿宋_GBK" w:hAnsi="仿宋" w:eastAsia="方正仿宋_GBK" w:cs="仿宋"/>
          <w:highlight w:val="none"/>
        </w:rPr>
      </w:pPr>
    </w:p>
    <w:p>
      <w:pPr>
        <w:tabs>
          <w:tab w:val="left" w:pos="6300"/>
        </w:tabs>
        <w:snapToGrid w:val="0"/>
        <w:spacing w:line="500" w:lineRule="exact"/>
        <w:ind w:firstLine="570"/>
        <w:rPr>
          <w:rFonts w:hint="eastAsia" w:ascii="方正仿宋_GBK" w:hAnsi="仿宋" w:eastAsia="方正仿宋_GBK" w:cs="仿宋"/>
          <w:highlight w:val="none"/>
        </w:rPr>
      </w:pPr>
    </w:p>
    <w:p>
      <w:pPr>
        <w:tabs>
          <w:tab w:val="left" w:pos="6300"/>
        </w:tabs>
        <w:snapToGrid w:val="0"/>
        <w:spacing w:line="500" w:lineRule="exact"/>
        <w:ind w:firstLine="570"/>
        <w:outlineLvl w:val="1"/>
        <w:rPr>
          <w:rFonts w:hint="eastAsia" w:ascii="方正仿宋_GBK" w:hAnsi="仿宋" w:eastAsia="方正仿宋_GBK" w:cs="仿宋"/>
          <w:sz w:val="24"/>
          <w:szCs w:val="28"/>
          <w:highlight w:val="none"/>
        </w:rPr>
      </w:pPr>
      <w:bookmarkStart w:id="537" w:name="_Toc28431"/>
      <w:bookmarkStart w:id="538" w:name="_Toc174480468"/>
      <w:bookmarkStart w:id="539" w:name="_Toc175129966"/>
      <w:bookmarkStart w:id="540" w:name="_Toc174479319"/>
      <w:bookmarkStart w:id="541" w:name="_Toc174478636"/>
      <w:bookmarkStart w:id="542" w:name="_Toc176445693"/>
      <w:r>
        <w:rPr>
          <w:rFonts w:hint="eastAsia" w:ascii="方正仿宋_GBK" w:hAnsi="仿宋" w:eastAsia="方正仿宋_GBK" w:cs="仿宋"/>
          <w:sz w:val="24"/>
          <w:highlight w:val="none"/>
        </w:rPr>
        <w:br w:type="page"/>
      </w:r>
      <w:bookmarkStart w:id="543" w:name="_Toc13777"/>
      <w:r>
        <w:rPr>
          <w:rFonts w:hint="eastAsia" w:ascii="方正仿宋_GBK" w:hAnsi="仿宋" w:eastAsia="方正仿宋_GBK" w:cs="仿宋"/>
          <w:sz w:val="24"/>
          <w:highlight w:val="none"/>
        </w:rPr>
        <w:t>（二）法定代表人身份证明书（格式）</w:t>
      </w:r>
      <w:bookmarkEnd w:id="537"/>
      <w:bookmarkEnd w:id="538"/>
      <w:bookmarkEnd w:id="539"/>
      <w:bookmarkEnd w:id="540"/>
      <w:bookmarkEnd w:id="541"/>
      <w:bookmarkEnd w:id="542"/>
      <w:bookmarkEnd w:id="543"/>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招标项目名称：</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致：（比选人名称）：</w:t>
      </w: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（法定代表人姓名）在（竞选人名称）任（职务名称）职务，是（竞选人名称） 的法定代表人。</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特此证明。</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                                             竞选人：</w:t>
      </w:r>
    </w:p>
    <w:p>
      <w:pPr>
        <w:tabs>
          <w:tab w:val="left" w:pos="6300"/>
        </w:tabs>
        <w:snapToGrid w:val="0"/>
        <w:spacing w:line="500" w:lineRule="exact"/>
        <w:ind w:firstLine="5848" w:firstLineChars="2437"/>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（竞选人公章）</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                                             年   月   日</w:t>
      </w: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法定代表人电话：XXXXXXX      电子邮箱：XXXXXX@XXXXX（若授权他人办理并签署竞选文件的可不填写）</w:t>
      </w:r>
    </w:p>
    <w:p>
      <w:pPr>
        <w:tabs>
          <w:tab w:val="left" w:pos="6300"/>
        </w:tabs>
        <w:snapToGrid w:val="0"/>
        <w:spacing w:line="500" w:lineRule="exact"/>
        <w:ind w:firstLine="57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（附：法定代表人身份证正反面复印件）</w:t>
      </w:r>
    </w:p>
    <w:p>
      <w:pPr>
        <w:spacing w:line="400" w:lineRule="exact"/>
        <w:ind w:firstLine="480" w:firstLineChars="200"/>
        <w:rPr>
          <w:rFonts w:hint="eastAsia" w:ascii="方正仿宋_GBK" w:hAnsi="仿宋" w:eastAsia="方正仿宋_GBK" w:cs="仿宋"/>
          <w:sz w:val="24"/>
          <w:highlight w:val="none"/>
        </w:rPr>
      </w:pPr>
      <w:bookmarkStart w:id="544" w:name="_Toc174478637"/>
      <w:bookmarkStart w:id="545" w:name="_Toc22617"/>
      <w:bookmarkStart w:id="546" w:name="_Toc174480469"/>
      <w:bookmarkStart w:id="547" w:name="_Toc176445694"/>
      <w:bookmarkStart w:id="548" w:name="_Toc175129967"/>
      <w:bookmarkStart w:id="549" w:name="_Toc174479320"/>
    </w:p>
    <w:p>
      <w:pPr>
        <w:spacing w:line="400" w:lineRule="exact"/>
        <w:ind w:firstLine="480" w:firstLineChars="200"/>
        <w:outlineLvl w:val="1"/>
        <w:rPr>
          <w:rFonts w:hint="eastAsia" w:ascii="方正仿宋_GBK" w:hAnsi="仿宋" w:eastAsia="方正仿宋_GBK" w:cs="仿宋"/>
          <w:sz w:val="24"/>
          <w:szCs w:val="28"/>
          <w:highlight w:val="none"/>
        </w:rPr>
      </w:pPr>
      <w:r>
        <w:rPr>
          <w:rFonts w:hint="eastAsia" w:ascii="方正仿宋_GBK" w:hAnsi="仿宋" w:eastAsia="方正仿宋_GBK" w:cs="仿宋"/>
          <w:sz w:val="24"/>
          <w:highlight w:val="none"/>
        </w:rPr>
        <w:br w:type="page"/>
      </w:r>
      <w:bookmarkStart w:id="550" w:name="_Toc133"/>
      <w:r>
        <w:rPr>
          <w:rFonts w:hint="eastAsia" w:ascii="方正仿宋_GBK" w:hAnsi="仿宋" w:eastAsia="方正仿宋_GBK" w:cs="仿宋"/>
          <w:sz w:val="24"/>
          <w:highlight w:val="none"/>
        </w:rPr>
        <w:t>（三）法定代表人授权委托书（格式）</w:t>
      </w:r>
      <w:bookmarkEnd w:id="544"/>
      <w:bookmarkEnd w:id="545"/>
      <w:bookmarkEnd w:id="546"/>
      <w:bookmarkEnd w:id="547"/>
      <w:bookmarkEnd w:id="548"/>
      <w:bookmarkEnd w:id="549"/>
      <w:bookmarkEnd w:id="550"/>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招标项目名称：垫江县精神卫生中心食堂劳务外包</w:t>
      </w:r>
      <w:r>
        <w:rPr>
          <w:rFonts w:hint="eastAsia" w:ascii="方正仿宋_GBK" w:hAnsi="宋体" w:eastAsia="方正仿宋_GBK"/>
          <w:sz w:val="24"/>
          <w:highlight w:val="none"/>
          <w:lang w:eastAsia="zh-CN"/>
        </w:rPr>
        <w:t>（</w:t>
      </w:r>
      <w:r>
        <w:rPr>
          <w:rFonts w:hint="eastAsia" w:ascii="方正仿宋_GBK" w:hAnsi="宋体" w:eastAsia="方正仿宋_GBK"/>
          <w:sz w:val="24"/>
          <w:highlight w:val="none"/>
          <w:lang w:val="en-US" w:eastAsia="zh-CN"/>
        </w:rPr>
        <w:t>第五次）</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致：（比选人名称）：</w:t>
      </w:r>
    </w:p>
    <w:p>
      <w:pPr>
        <w:tabs>
          <w:tab w:val="left" w:pos="6300"/>
        </w:tabs>
        <w:snapToGrid w:val="0"/>
        <w:spacing w:line="500" w:lineRule="exact"/>
        <w:ind w:firstLine="573"/>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（竞选人法定代表人名称）是（竞选人名称）的法定代表人，特授权（被授权人姓名及身份证代码）代表我单位全权办理上述项目的竞选、签约等具体工作，并签署全部有关文件、协议及合同。</w:t>
      </w:r>
    </w:p>
    <w:p>
      <w:pPr>
        <w:tabs>
          <w:tab w:val="left" w:pos="6300"/>
        </w:tabs>
        <w:snapToGrid w:val="0"/>
        <w:spacing w:line="500" w:lineRule="exact"/>
        <w:ind w:firstLine="573"/>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我单位对被授权人的签署负全部责任。</w:t>
      </w:r>
    </w:p>
    <w:p>
      <w:pPr>
        <w:tabs>
          <w:tab w:val="left" w:pos="6300"/>
        </w:tabs>
        <w:snapToGrid w:val="0"/>
        <w:spacing w:line="500" w:lineRule="exact"/>
        <w:ind w:firstLine="573"/>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仿宋" w:eastAsia="方正仿宋_GBK" w:cs="仿宋"/>
          <w:sz w:val="24"/>
          <w:highlight w:val="none"/>
        </w:rPr>
      </w:pP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被授权人：                                 竞选人法定代表人：</w:t>
      </w: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（签署或盖章）                                （签署或盖章）</w:t>
      </w: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（附：被授权人身份证正反面复印件）</w:t>
      </w:r>
    </w:p>
    <w:p>
      <w:pPr>
        <w:tabs>
          <w:tab w:val="left" w:pos="6300"/>
        </w:tabs>
        <w:snapToGrid w:val="0"/>
        <w:spacing w:line="500" w:lineRule="exact"/>
        <w:ind w:right="480" w:firstLine="6720" w:firstLineChars="280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（竞选人公章）</w:t>
      </w:r>
    </w:p>
    <w:p>
      <w:pPr>
        <w:tabs>
          <w:tab w:val="left" w:pos="6300"/>
        </w:tabs>
        <w:snapToGrid w:val="0"/>
        <w:spacing w:line="500" w:lineRule="exact"/>
        <w:ind w:right="480"/>
        <w:jc w:val="righ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年   月   日</w:t>
      </w:r>
    </w:p>
    <w:p>
      <w:pPr>
        <w:tabs>
          <w:tab w:val="left" w:pos="6300"/>
        </w:tabs>
        <w:snapToGrid w:val="0"/>
        <w:spacing w:line="500" w:lineRule="exact"/>
        <w:ind w:firstLine="573"/>
        <w:jc w:val="left"/>
        <w:rPr>
          <w:rFonts w:hint="eastAsia" w:ascii="方正仿宋_GBK" w:hAnsi="仿宋" w:eastAsia="方正仿宋_GBK" w:cs="仿宋"/>
          <w:sz w:val="24"/>
          <w:highlight w:val="none"/>
        </w:rPr>
      </w:pPr>
    </w:p>
    <w:p>
      <w:pPr>
        <w:tabs>
          <w:tab w:val="left" w:pos="6300"/>
        </w:tabs>
        <w:snapToGrid w:val="0"/>
        <w:spacing w:line="500" w:lineRule="exact"/>
        <w:ind w:firstLine="573"/>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被授权人电话：XXXXXXX     电子邮箱：XXXXXX@XXXXX（若法定代表人办理并签署竞选文件的可不填写）</w:t>
      </w: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注：</w:t>
      </w:r>
    </w:p>
    <w:p>
      <w:pPr>
        <w:tabs>
          <w:tab w:val="left" w:pos="6300"/>
        </w:tabs>
        <w:snapToGrid w:val="0"/>
        <w:spacing w:line="500" w:lineRule="exact"/>
        <w:ind w:right="480" w:firstLine="570"/>
        <w:jc w:val="lef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1.若为法定代表人办理并签署竞选文件的，不提供此文件。</w:t>
      </w:r>
    </w:p>
    <w:p>
      <w:pPr>
        <w:spacing w:line="400" w:lineRule="exact"/>
        <w:ind w:firstLine="480" w:firstLineChars="200"/>
        <w:jc w:val="left"/>
        <w:rPr>
          <w:rFonts w:hint="eastAsia" w:ascii="方正仿宋_GBK" w:hAnsi="仿宋" w:eastAsia="方正仿宋_GBK" w:cs="仿宋"/>
          <w:sz w:val="24"/>
          <w:highlight w:val="none"/>
        </w:rPr>
      </w:pPr>
      <w:bookmarkStart w:id="551" w:name="_Toc176445695"/>
      <w:bookmarkStart w:id="552" w:name="_Toc174480470"/>
      <w:bookmarkStart w:id="553" w:name="_Toc28344"/>
      <w:bookmarkStart w:id="554" w:name="_Toc174478638"/>
      <w:bookmarkStart w:id="555" w:name="_Toc175129968"/>
      <w:bookmarkStart w:id="556" w:name="_Toc174479321"/>
    </w:p>
    <w:p>
      <w:pPr>
        <w:spacing w:line="400" w:lineRule="exact"/>
        <w:ind w:firstLine="480" w:firstLineChars="200"/>
        <w:jc w:val="left"/>
        <w:rPr>
          <w:rFonts w:hint="eastAsia" w:ascii="方正仿宋_GBK" w:hAnsi="仿宋" w:eastAsia="方正仿宋_GBK" w:cs="仿宋"/>
          <w:sz w:val="24"/>
          <w:highlight w:val="none"/>
        </w:rPr>
      </w:pPr>
    </w:p>
    <w:p>
      <w:pPr>
        <w:spacing w:line="400" w:lineRule="exact"/>
        <w:ind w:firstLine="480" w:firstLineChars="200"/>
        <w:jc w:val="left"/>
        <w:outlineLvl w:val="1"/>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br w:type="page"/>
      </w:r>
      <w:bookmarkStart w:id="557" w:name="_Toc9281"/>
      <w:r>
        <w:rPr>
          <w:rFonts w:hint="eastAsia" w:ascii="方正仿宋_GBK" w:hAnsi="仿宋" w:eastAsia="方正仿宋_GBK" w:cs="仿宋"/>
          <w:sz w:val="24"/>
          <w:highlight w:val="none"/>
        </w:rPr>
        <w:t>（四）基本资格条件承诺函</w:t>
      </w:r>
      <w:bookmarkEnd w:id="551"/>
      <w:bookmarkEnd w:id="552"/>
      <w:bookmarkEnd w:id="553"/>
      <w:bookmarkEnd w:id="554"/>
      <w:bookmarkEnd w:id="555"/>
      <w:bookmarkEnd w:id="556"/>
      <w:bookmarkEnd w:id="557"/>
    </w:p>
    <w:p>
      <w:pPr>
        <w:tabs>
          <w:tab w:val="left" w:pos="6300"/>
        </w:tabs>
        <w:snapToGrid w:val="0"/>
        <w:spacing w:line="500" w:lineRule="exact"/>
        <w:ind w:firstLine="643" w:firstLineChars="200"/>
        <w:jc w:val="center"/>
        <w:rPr>
          <w:rFonts w:hint="eastAsia" w:ascii="方正仿宋_GBK" w:hAnsi="仿宋" w:eastAsia="方正仿宋_GBK" w:cs="仿宋"/>
          <w:b/>
          <w:bCs/>
          <w:sz w:val="32"/>
          <w:szCs w:val="32"/>
          <w:highlight w:val="none"/>
        </w:rPr>
      </w:pPr>
      <w:bookmarkStart w:id="558" w:name="_Toc176445696"/>
      <w:bookmarkStart w:id="559" w:name="_Toc174480471"/>
      <w:bookmarkStart w:id="560" w:name="_Toc174479322"/>
      <w:bookmarkStart w:id="561" w:name="_Toc174478639"/>
      <w:bookmarkStart w:id="562" w:name="_Toc175129969"/>
      <w:bookmarkStart w:id="563" w:name="_Toc14807"/>
      <w:r>
        <w:rPr>
          <w:rFonts w:hint="eastAsia" w:ascii="方正仿宋_GBK" w:hAnsi="仿宋" w:eastAsia="方正仿宋_GBK" w:cs="仿宋"/>
          <w:b/>
          <w:bCs/>
          <w:sz w:val="32"/>
          <w:szCs w:val="32"/>
          <w:highlight w:val="none"/>
        </w:rPr>
        <w:t>基本资格条件承诺函</w:t>
      </w:r>
      <w:bookmarkEnd w:id="558"/>
      <w:bookmarkEnd w:id="559"/>
      <w:bookmarkEnd w:id="560"/>
      <w:bookmarkEnd w:id="561"/>
      <w:bookmarkEnd w:id="562"/>
      <w:bookmarkEnd w:id="563"/>
    </w:p>
    <w:p>
      <w:pPr>
        <w:tabs>
          <w:tab w:val="left" w:pos="6300"/>
        </w:tabs>
        <w:snapToGrid w:val="0"/>
        <w:spacing w:line="530" w:lineRule="exact"/>
        <w:rPr>
          <w:rFonts w:hint="eastAsia" w:ascii="方正仿宋_GBK" w:hAnsi="仿宋" w:eastAsia="方正仿宋_GBK" w:cs="仿宋"/>
          <w:sz w:val="24"/>
          <w:highlight w:val="none"/>
        </w:rPr>
      </w:pP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致（比选人名称）：</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（竞选人名称）郑重承诺：</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1.我方具有良好的商业信誉和健全的财务会计制度，具有履行合同</w:t>
      </w:r>
      <w:r>
        <w:rPr>
          <w:rFonts w:hint="eastAsia" w:ascii="方正仿宋_GBK" w:hAnsi="仿宋" w:eastAsia="方正仿宋_GBK" w:cs="仿宋"/>
          <w:sz w:val="24"/>
          <w:highlight w:val="none"/>
          <w:lang w:eastAsia="zh-CN"/>
        </w:rPr>
        <w:t>所必需的</w:t>
      </w:r>
      <w:r>
        <w:rPr>
          <w:rFonts w:hint="eastAsia" w:ascii="方正仿宋_GBK" w:hAnsi="仿宋" w:eastAsia="方正仿宋_GBK" w:cs="仿宋"/>
          <w:sz w:val="24"/>
          <w:highlight w:val="none"/>
        </w:rPr>
        <w:t>设备和专业技术能力，具有依法缴纳税收和社会保障金的良好记录，参加本项目采购活动前三年内无重大违法活动记录。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3.我方在采购项目评审（评标）环节结束后，随时接受比选人检查验证，配合提供相关证明材料，证明符合《中华人民共和国政府采购法》规定的竞选人基本资格条件。</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特此承诺。</w:t>
      </w:r>
    </w:p>
    <w:p>
      <w:pPr>
        <w:tabs>
          <w:tab w:val="left" w:pos="6300"/>
        </w:tabs>
        <w:snapToGrid w:val="0"/>
        <w:spacing w:line="500" w:lineRule="exact"/>
        <w:ind w:firstLine="480" w:firstLineChars="200"/>
        <w:rPr>
          <w:rFonts w:hint="eastAsia" w:ascii="方正仿宋_GBK" w:hAnsi="仿宋" w:eastAsia="方正仿宋_GBK" w:cs="仿宋"/>
          <w:sz w:val="24"/>
          <w:highlight w:val="none"/>
        </w:rPr>
      </w:pPr>
    </w:p>
    <w:p>
      <w:pPr>
        <w:tabs>
          <w:tab w:val="left" w:pos="6300"/>
        </w:tabs>
        <w:wordWrap w:val="0"/>
        <w:snapToGrid w:val="0"/>
        <w:spacing w:line="500" w:lineRule="exact"/>
        <w:ind w:firstLine="480" w:firstLineChars="200"/>
        <w:jc w:val="righ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（竞选人公章）    </w:t>
      </w:r>
    </w:p>
    <w:p>
      <w:pPr>
        <w:tabs>
          <w:tab w:val="left" w:pos="6300"/>
        </w:tabs>
        <w:wordWrap w:val="0"/>
        <w:snapToGrid w:val="0"/>
        <w:spacing w:line="500" w:lineRule="exact"/>
        <w:ind w:firstLine="480" w:firstLineChars="200"/>
        <w:jc w:val="right"/>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 xml:space="preserve">年   月   日      </w:t>
      </w:r>
    </w:p>
    <w:p>
      <w:pPr>
        <w:snapToGrid w:val="0"/>
        <w:spacing w:line="440" w:lineRule="exact"/>
        <w:ind w:firstLine="480" w:firstLineChars="200"/>
        <w:rPr>
          <w:rFonts w:hint="eastAsia" w:ascii="方正仿宋_GBK" w:hAnsi="仿宋" w:eastAsia="方正仿宋_GBK" w:cs="仿宋"/>
          <w:sz w:val="24"/>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spacing w:line="400" w:lineRule="exact"/>
        <w:rPr>
          <w:rFonts w:hint="eastAsia" w:ascii="方正仿宋_GBK" w:hAnsi="仿宋" w:eastAsia="方正仿宋_GBK" w:cs="仿宋"/>
          <w:highlight w:val="none"/>
        </w:rPr>
      </w:pPr>
    </w:p>
    <w:p>
      <w:pPr>
        <w:tabs>
          <w:tab w:val="left" w:pos="6300"/>
        </w:tabs>
        <w:snapToGrid w:val="0"/>
        <w:spacing w:line="500" w:lineRule="exact"/>
        <w:outlineLvl w:val="1"/>
        <w:rPr>
          <w:rFonts w:hint="eastAsia" w:ascii="方正仿宋_GBK" w:hAnsi="仿宋" w:eastAsia="方正仿宋_GBK" w:cs="仿宋"/>
          <w:sz w:val="24"/>
          <w:szCs w:val="28"/>
          <w:highlight w:val="none"/>
        </w:rPr>
      </w:pPr>
      <w:bookmarkStart w:id="564" w:name="_Toc24313"/>
      <w:bookmarkStart w:id="565" w:name="_Toc174478640"/>
      <w:bookmarkStart w:id="566" w:name="_Toc174479323"/>
      <w:bookmarkStart w:id="567" w:name="_Toc175129970"/>
      <w:bookmarkStart w:id="568" w:name="_Toc176445697"/>
      <w:bookmarkStart w:id="569" w:name="_Toc174480472"/>
      <w:r>
        <w:rPr>
          <w:rFonts w:hint="eastAsia" w:ascii="方正仿宋_GBK" w:hAnsi="仿宋" w:eastAsia="方正仿宋_GBK" w:cs="仿宋"/>
          <w:sz w:val="24"/>
          <w:highlight w:val="none"/>
        </w:rPr>
        <w:br w:type="page"/>
      </w:r>
      <w:r>
        <w:rPr>
          <w:rFonts w:hint="eastAsia" w:ascii="方正仿宋_GBK" w:hAnsi="仿宋" w:eastAsia="方正仿宋_GBK" w:cs="仿宋"/>
          <w:sz w:val="24"/>
          <w:highlight w:val="none"/>
        </w:rPr>
        <w:t>（五）特定资格条件证书或证明文件</w:t>
      </w:r>
      <w:bookmarkEnd w:id="564"/>
      <w:bookmarkEnd w:id="565"/>
      <w:bookmarkEnd w:id="566"/>
      <w:bookmarkEnd w:id="567"/>
      <w:bookmarkEnd w:id="568"/>
      <w:bookmarkEnd w:id="569"/>
    </w:p>
    <w:p>
      <w:pPr>
        <w:tabs>
          <w:tab w:val="left" w:pos="6300"/>
        </w:tabs>
        <w:snapToGrid w:val="0"/>
        <w:spacing w:line="500" w:lineRule="exact"/>
        <w:ind w:firstLine="570"/>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bookmarkStart w:id="570" w:name="_Toc176445698"/>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p>
      <w:pPr>
        <w:tabs>
          <w:tab w:val="left" w:pos="6300"/>
        </w:tabs>
        <w:snapToGrid w:val="0"/>
        <w:spacing w:line="500" w:lineRule="exact"/>
        <w:jc w:val="left"/>
        <w:rPr>
          <w:rFonts w:hint="eastAsia" w:ascii="方正仿宋_GBK" w:hAnsi="仿宋" w:eastAsia="方正仿宋_GBK" w:cs="仿宋"/>
          <w:sz w:val="24"/>
          <w:highlight w:val="none"/>
        </w:rPr>
      </w:pPr>
    </w:p>
    <w:bookmarkEnd w:id="570"/>
    <w:p>
      <w:pPr>
        <w:rPr>
          <w:rFonts w:hint="eastAsia" w:ascii="宋体" w:hAnsi="宋体" w:eastAsia="宋体" w:cs="宋体"/>
          <w:color w:val="auto"/>
          <w:kern w:val="0"/>
          <w:sz w:val="24"/>
          <w:szCs w:val="24"/>
          <w:highlight w:val="none"/>
          <w:lang w:eastAsia="zh-CN"/>
        </w:rPr>
      </w:pPr>
    </w:p>
    <w:sectPr>
      <w:footerReference r:id="rId4" w:type="default"/>
      <w:type w:val="continuous"/>
      <w:pgSz w:w="11906" w:h="16838"/>
      <w:pgMar w:top="1134" w:right="1021" w:bottom="1134" w:left="1134" w:header="397" w:footer="397"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0000000000000000000"/>
    <w:charset w:val="00"/>
    <w:family w:val="auto"/>
    <w:pitch w:val="default"/>
    <w:sig w:usb0="00000000" w:usb1="00000000" w:usb2="00000010" w:usb3="00000000" w:csb0="00000001" w:csb1="00000000"/>
  </w:font>
  <w:font w:name="方正仿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4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FA19F"/>
    <w:multiLevelType w:val="singleLevel"/>
    <w:tmpl w:val="E01FA19F"/>
    <w:lvl w:ilvl="0" w:tentative="0">
      <w:start w:val="4"/>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26D9A3"/>
    <w:multiLevelType w:val="singleLevel"/>
    <w:tmpl w:val="1C26D9A3"/>
    <w:lvl w:ilvl="0" w:tentative="0">
      <w:start w:val="5"/>
      <w:numFmt w:val="decimal"/>
      <w:lvlText w:val="%1."/>
      <w:lvlJc w:val="left"/>
      <w:pPr>
        <w:tabs>
          <w:tab w:val="left" w:pos="312"/>
        </w:tabs>
      </w:pPr>
    </w:lvl>
  </w:abstractNum>
  <w:abstractNum w:abstractNumId="3">
    <w:nsid w:val="405A7F6F"/>
    <w:multiLevelType w:val="singleLevel"/>
    <w:tmpl w:val="405A7F6F"/>
    <w:lvl w:ilvl="0" w:tentative="0">
      <w:start w:val="17"/>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30082"/>
    <w:rsid w:val="00035381"/>
    <w:rsid w:val="00042BE5"/>
    <w:rsid w:val="00051B0A"/>
    <w:rsid w:val="000B07F0"/>
    <w:rsid w:val="000C328E"/>
    <w:rsid w:val="000E2CE2"/>
    <w:rsid w:val="000F1D2C"/>
    <w:rsid w:val="00100B50"/>
    <w:rsid w:val="00136ED9"/>
    <w:rsid w:val="00172A27"/>
    <w:rsid w:val="0019493E"/>
    <w:rsid w:val="001A7F16"/>
    <w:rsid w:val="001D7336"/>
    <w:rsid w:val="001E08BC"/>
    <w:rsid w:val="00281C6C"/>
    <w:rsid w:val="00297630"/>
    <w:rsid w:val="002B62AD"/>
    <w:rsid w:val="00311156"/>
    <w:rsid w:val="0031524B"/>
    <w:rsid w:val="00327CB1"/>
    <w:rsid w:val="0033000E"/>
    <w:rsid w:val="003503A2"/>
    <w:rsid w:val="0037509F"/>
    <w:rsid w:val="00414F71"/>
    <w:rsid w:val="00416711"/>
    <w:rsid w:val="00480928"/>
    <w:rsid w:val="004868CD"/>
    <w:rsid w:val="004B6AD5"/>
    <w:rsid w:val="004B6BCD"/>
    <w:rsid w:val="004E5F8B"/>
    <w:rsid w:val="00615200"/>
    <w:rsid w:val="00694164"/>
    <w:rsid w:val="006B193D"/>
    <w:rsid w:val="006C1250"/>
    <w:rsid w:val="006C3AF1"/>
    <w:rsid w:val="006E1E36"/>
    <w:rsid w:val="006E255A"/>
    <w:rsid w:val="00717C66"/>
    <w:rsid w:val="00777C29"/>
    <w:rsid w:val="007C1427"/>
    <w:rsid w:val="007E2E5B"/>
    <w:rsid w:val="007E3A38"/>
    <w:rsid w:val="007F3DC5"/>
    <w:rsid w:val="008054E8"/>
    <w:rsid w:val="0082030C"/>
    <w:rsid w:val="0086753F"/>
    <w:rsid w:val="008E0F39"/>
    <w:rsid w:val="008E1F23"/>
    <w:rsid w:val="008E2DB4"/>
    <w:rsid w:val="008E6564"/>
    <w:rsid w:val="008F00E2"/>
    <w:rsid w:val="00933805"/>
    <w:rsid w:val="00936525"/>
    <w:rsid w:val="009522F1"/>
    <w:rsid w:val="00973539"/>
    <w:rsid w:val="009833A2"/>
    <w:rsid w:val="009A66E8"/>
    <w:rsid w:val="009F04CB"/>
    <w:rsid w:val="00A562E7"/>
    <w:rsid w:val="00A75499"/>
    <w:rsid w:val="00AA0D3A"/>
    <w:rsid w:val="00AA6407"/>
    <w:rsid w:val="00AB71CC"/>
    <w:rsid w:val="00AF4FAB"/>
    <w:rsid w:val="00AF5772"/>
    <w:rsid w:val="00B47DAA"/>
    <w:rsid w:val="00B502DB"/>
    <w:rsid w:val="00B658A2"/>
    <w:rsid w:val="00B74AA5"/>
    <w:rsid w:val="00B76DF4"/>
    <w:rsid w:val="00B83DFE"/>
    <w:rsid w:val="00B94D63"/>
    <w:rsid w:val="00BA3954"/>
    <w:rsid w:val="00BA4C6A"/>
    <w:rsid w:val="00BB177E"/>
    <w:rsid w:val="00BC57CD"/>
    <w:rsid w:val="00BD709B"/>
    <w:rsid w:val="00BF245F"/>
    <w:rsid w:val="00BF6FF0"/>
    <w:rsid w:val="00C2519B"/>
    <w:rsid w:val="00C92F0D"/>
    <w:rsid w:val="00CA2B84"/>
    <w:rsid w:val="00CD64AC"/>
    <w:rsid w:val="00CE0B77"/>
    <w:rsid w:val="00D005DE"/>
    <w:rsid w:val="00D20B4D"/>
    <w:rsid w:val="00D84736"/>
    <w:rsid w:val="00DB553A"/>
    <w:rsid w:val="00DB55FA"/>
    <w:rsid w:val="00DF7456"/>
    <w:rsid w:val="00E13783"/>
    <w:rsid w:val="00E4030E"/>
    <w:rsid w:val="00E9698F"/>
    <w:rsid w:val="00EB6E87"/>
    <w:rsid w:val="00ED0DA3"/>
    <w:rsid w:val="00FC5708"/>
    <w:rsid w:val="00FC7D67"/>
    <w:rsid w:val="00FD1066"/>
    <w:rsid w:val="00FD39C1"/>
    <w:rsid w:val="00FD76B9"/>
    <w:rsid w:val="00FE065B"/>
    <w:rsid w:val="00FF4F21"/>
    <w:rsid w:val="010B22B0"/>
    <w:rsid w:val="012D66CB"/>
    <w:rsid w:val="013105DF"/>
    <w:rsid w:val="01384146"/>
    <w:rsid w:val="013B4944"/>
    <w:rsid w:val="0183453D"/>
    <w:rsid w:val="019422A6"/>
    <w:rsid w:val="01F01BD2"/>
    <w:rsid w:val="021C7293"/>
    <w:rsid w:val="02263B8B"/>
    <w:rsid w:val="02672D95"/>
    <w:rsid w:val="027D7528"/>
    <w:rsid w:val="02877805"/>
    <w:rsid w:val="02A037F9"/>
    <w:rsid w:val="02A35AD5"/>
    <w:rsid w:val="02C27B7F"/>
    <w:rsid w:val="02C62933"/>
    <w:rsid w:val="03056082"/>
    <w:rsid w:val="033545BF"/>
    <w:rsid w:val="0353474B"/>
    <w:rsid w:val="03726190"/>
    <w:rsid w:val="037E4697"/>
    <w:rsid w:val="04060138"/>
    <w:rsid w:val="045437FD"/>
    <w:rsid w:val="045A77D7"/>
    <w:rsid w:val="046248DD"/>
    <w:rsid w:val="049C11EB"/>
    <w:rsid w:val="04E83035"/>
    <w:rsid w:val="04F23609"/>
    <w:rsid w:val="059565ED"/>
    <w:rsid w:val="059705B7"/>
    <w:rsid w:val="05CA4001"/>
    <w:rsid w:val="06450013"/>
    <w:rsid w:val="064E1524"/>
    <w:rsid w:val="067A4160"/>
    <w:rsid w:val="06823015"/>
    <w:rsid w:val="06CA0469"/>
    <w:rsid w:val="071A324D"/>
    <w:rsid w:val="073E5845"/>
    <w:rsid w:val="074107DA"/>
    <w:rsid w:val="079F3753"/>
    <w:rsid w:val="07AA637F"/>
    <w:rsid w:val="07BA7D28"/>
    <w:rsid w:val="07DE2409"/>
    <w:rsid w:val="07EE6482"/>
    <w:rsid w:val="07F7358F"/>
    <w:rsid w:val="07F817E1"/>
    <w:rsid w:val="08074274"/>
    <w:rsid w:val="081163FE"/>
    <w:rsid w:val="08387E2F"/>
    <w:rsid w:val="083F4BF5"/>
    <w:rsid w:val="08420CAE"/>
    <w:rsid w:val="08567811"/>
    <w:rsid w:val="08AA4E14"/>
    <w:rsid w:val="08C848A1"/>
    <w:rsid w:val="08D6778A"/>
    <w:rsid w:val="08EB6C4F"/>
    <w:rsid w:val="09205D5F"/>
    <w:rsid w:val="094E5430"/>
    <w:rsid w:val="09795E36"/>
    <w:rsid w:val="097A6225"/>
    <w:rsid w:val="09CE3ED7"/>
    <w:rsid w:val="09D96DB9"/>
    <w:rsid w:val="09FD7F5E"/>
    <w:rsid w:val="0A3A2515"/>
    <w:rsid w:val="0A4A209B"/>
    <w:rsid w:val="0A586D46"/>
    <w:rsid w:val="0A5B477D"/>
    <w:rsid w:val="0A671C2E"/>
    <w:rsid w:val="0A6C26BE"/>
    <w:rsid w:val="0A7A0BFE"/>
    <w:rsid w:val="0AA9231F"/>
    <w:rsid w:val="0B09160F"/>
    <w:rsid w:val="0B224DC6"/>
    <w:rsid w:val="0B2B77D7"/>
    <w:rsid w:val="0B653250"/>
    <w:rsid w:val="0B6727D9"/>
    <w:rsid w:val="0B9F01C5"/>
    <w:rsid w:val="0BC44C03"/>
    <w:rsid w:val="0BE81659"/>
    <w:rsid w:val="0C0B6E2E"/>
    <w:rsid w:val="0C22477D"/>
    <w:rsid w:val="0C3D7852"/>
    <w:rsid w:val="0C607CAF"/>
    <w:rsid w:val="0C944572"/>
    <w:rsid w:val="0CCD3E9E"/>
    <w:rsid w:val="0CE33205"/>
    <w:rsid w:val="0CEC066E"/>
    <w:rsid w:val="0CF839A0"/>
    <w:rsid w:val="0CF91064"/>
    <w:rsid w:val="0D18022F"/>
    <w:rsid w:val="0D4F14FB"/>
    <w:rsid w:val="0D7F205C"/>
    <w:rsid w:val="0D972117"/>
    <w:rsid w:val="0DF30354"/>
    <w:rsid w:val="0E0A5DCA"/>
    <w:rsid w:val="0E0F1CCC"/>
    <w:rsid w:val="0E2463DB"/>
    <w:rsid w:val="0E252C04"/>
    <w:rsid w:val="0E4806A0"/>
    <w:rsid w:val="0E55232D"/>
    <w:rsid w:val="0E616AE8"/>
    <w:rsid w:val="0E6D3FCA"/>
    <w:rsid w:val="0F00448B"/>
    <w:rsid w:val="0F1A5F55"/>
    <w:rsid w:val="0F1C1228"/>
    <w:rsid w:val="0F383941"/>
    <w:rsid w:val="0F8E2A2A"/>
    <w:rsid w:val="0F912F86"/>
    <w:rsid w:val="0F9F36BB"/>
    <w:rsid w:val="0FB053D6"/>
    <w:rsid w:val="0FB104C7"/>
    <w:rsid w:val="101A5FD3"/>
    <w:rsid w:val="103C2486"/>
    <w:rsid w:val="103E0D17"/>
    <w:rsid w:val="104906FF"/>
    <w:rsid w:val="104C4BDC"/>
    <w:rsid w:val="105D7FFC"/>
    <w:rsid w:val="10667503"/>
    <w:rsid w:val="107C6D27"/>
    <w:rsid w:val="10B21DA5"/>
    <w:rsid w:val="111D2922"/>
    <w:rsid w:val="1131366D"/>
    <w:rsid w:val="11951B26"/>
    <w:rsid w:val="11BD13A5"/>
    <w:rsid w:val="11CB5870"/>
    <w:rsid w:val="11D230A2"/>
    <w:rsid w:val="11F63824"/>
    <w:rsid w:val="12154D3D"/>
    <w:rsid w:val="121F4EBE"/>
    <w:rsid w:val="1226519C"/>
    <w:rsid w:val="123C676E"/>
    <w:rsid w:val="123D0A65"/>
    <w:rsid w:val="123F000C"/>
    <w:rsid w:val="125E4936"/>
    <w:rsid w:val="12D1335A"/>
    <w:rsid w:val="13426006"/>
    <w:rsid w:val="13862548"/>
    <w:rsid w:val="13A60EB1"/>
    <w:rsid w:val="13C10018"/>
    <w:rsid w:val="13CA0C09"/>
    <w:rsid w:val="14156F3E"/>
    <w:rsid w:val="142F3057"/>
    <w:rsid w:val="14636905"/>
    <w:rsid w:val="149D101A"/>
    <w:rsid w:val="15046A4F"/>
    <w:rsid w:val="1514752E"/>
    <w:rsid w:val="1534372C"/>
    <w:rsid w:val="15350CFB"/>
    <w:rsid w:val="154A73F4"/>
    <w:rsid w:val="156A1844"/>
    <w:rsid w:val="156D4E90"/>
    <w:rsid w:val="15730510"/>
    <w:rsid w:val="15AA1C40"/>
    <w:rsid w:val="162B2D81"/>
    <w:rsid w:val="163E4FD8"/>
    <w:rsid w:val="16511C16"/>
    <w:rsid w:val="16AD7321"/>
    <w:rsid w:val="16BA5EB3"/>
    <w:rsid w:val="16EA28EC"/>
    <w:rsid w:val="16FB6BF7"/>
    <w:rsid w:val="17254D7D"/>
    <w:rsid w:val="176D1177"/>
    <w:rsid w:val="17800EAB"/>
    <w:rsid w:val="17D47448"/>
    <w:rsid w:val="18037057"/>
    <w:rsid w:val="18151DAE"/>
    <w:rsid w:val="18574301"/>
    <w:rsid w:val="18700F1F"/>
    <w:rsid w:val="18C33745"/>
    <w:rsid w:val="18F5111C"/>
    <w:rsid w:val="195B397D"/>
    <w:rsid w:val="19704F4F"/>
    <w:rsid w:val="19A221AC"/>
    <w:rsid w:val="19B54F56"/>
    <w:rsid w:val="19B97302"/>
    <w:rsid w:val="19E443D3"/>
    <w:rsid w:val="19F94F44"/>
    <w:rsid w:val="1A006EF3"/>
    <w:rsid w:val="1A3B0976"/>
    <w:rsid w:val="1A4F0AFA"/>
    <w:rsid w:val="1A6026C2"/>
    <w:rsid w:val="1A6B6059"/>
    <w:rsid w:val="1A7840BB"/>
    <w:rsid w:val="1A7C004F"/>
    <w:rsid w:val="1A974E38"/>
    <w:rsid w:val="1AA62264"/>
    <w:rsid w:val="1AA7706A"/>
    <w:rsid w:val="1AAB623F"/>
    <w:rsid w:val="1AE259D8"/>
    <w:rsid w:val="1AFA71C6"/>
    <w:rsid w:val="1B025502"/>
    <w:rsid w:val="1B1D4936"/>
    <w:rsid w:val="1B1F48FB"/>
    <w:rsid w:val="1B2D2159"/>
    <w:rsid w:val="1B5A1A13"/>
    <w:rsid w:val="1B5E413C"/>
    <w:rsid w:val="1B60023C"/>
    <w:rsid w:val="1B810BAF"/>
    <w:rsid w:val="1B833C5F"/>
    <w:rsid w:val="1BA470C6"/>
    <w:rsid w:val="1BC76BAC"/>
    <w:rsid w:val="1BDF412A"/>
    <w:rsid w:val="1BE136FF"/>
    <w:rsid w:val="1BF306EA"/>
    <w:rsid w:val="1C122BFA"/>
    <w:rsid w:val="1C370D59"/>
    <w:rsid w:val="1C4E54F3"/>
    <w:rsid w:val="1C530B76"/>
    <w:rsid w:val="1C6A3A03"/>
    <w:rsid w:val="1C7921C7"/>
    <w:rsid w:val="1C8B27CB"/>
    <w:rsid w:val="1CD35F20"/>
    <w:rsid w:val="1CD44247"/>
    <w:rsid w:val="1CEB3A4F"/>
    <w:rsid w:val="1CFF6D16"/>
    <w:rsid w:val="1D0F7137"/>
    <w:rsid w:val="1D2D1932"/>
    <w:rsid w:val="1D31335B"/>
    <w:rsid w:val="1D6D3C7F"/>
    <w:rsid w:val="1D9A259A"/>
    <w:rsid w:val="1D9F5E03"/>
    <w:rsid w:val="1DA15674"/>
    <w:rsid w:val="1E430E84"/>
    <w:rsid w:val="1E4E5EA2"/>
    <w:rsid w:val="1EBC117E"/>
    <w:rsid w:val="1EF721A8"/>
    <w:rsid w:val="1F2E5763"/>
    <w:rsid w:val="1F415634"/>
    <w:rsid w:val="1F5A7DB5"/>
    <w:rsid w:val="1F6A2B6C"/>
    <w:rsid w:val="1F9A2D26"/>
    <w:rsid w:val="1FBF5490"/>
    <w:rsid w:val="1FC74AC1"/>
    <w:rsid w:val="201062C1"/>
    <w:rsid w:val="207277FE"/>
    <w:rsid w:val="208714FC"/>
    <w:rsid w:val="208F63A9"/>
    <w:rsid w:val="20B120D5"/>
    <w:rsid w:val="20F36B91"/>
    <w:rsid w:val="20FC5251"/>
    <w:rsid w:val="21040C2B"/>
    <w:rsid w:val="21076665"/>
    <w:rsid w:val="21134B3E"/>
    <w:rsid w:val="213E72BE"/>
    <w:rsid w:val="21453DE1"/>
    <w:rsid w:val="217952E8"/>
    <w:rsid w:val="2181419D"/>
    <w:rsid w:val="21855461"/>
    <w:rsid w:val="21941E2D"/>
    <w:rsid w:val="21A34113"/>
    <w:rsid w:val="21D4251F"/>
    <w:rsid w:val="21D62D16"/>
    <w:rsid w:val="22437F2D"/>
    <w:rsid w:val="226D0CCB"/>
    <w:rsid w:val="227512CF"/>
    <w:rsid w:val="22794E74"/>
    <w:rsid w:val="22A61760"/>
    <w:rsid w:val="23136BB1"/>
    <w:rsid w:val="23411E36"/>
    <w:rsid w:val="23751ADF"/>
    <w:rsid w:val="237B69CA"/>
    <w:rsid w:val="237F470C"/>
    <w:rsid w:val="238D2E29"/>
    <w:rsid w:val="239D29F0"/>
    <w:rsid w:val="23AD20A6"/>
    <w:rsid w:val="24293726"/>
    <w:rsid w:val="24561A0D"/>
    <w:rsid w:val="249D7540"/>
    <w:rsid w:val="24A002D5"/>
    <w:rsid w:val="24C20D54"/>
    <w:rsid w:val="24CD3E0B"/>
    <w:rsid w:val="24D65C75"/>
    <w:rsid w:val="24DA68EE"/>
    <w:rsid w:val="24F17E6B"/>
    <w:rsid w:val="24F4121E"/>
    <w:rsid w:val="253A672A"/>
    <w:rsid w:val="25CB5ADE"/>
    <w:rsid w:val="25E46AA9"/>
    <w:rsid w:val="25EE5B79"/>
    <w:rsid w:val="2617270D"/>
    <w:rsid w:val="26797714"/>
    <w:rsid w:val="269E134D"/>
    <w:rsid w:val="26BD1172"/>
    <w:rsid w:val="26D44D6F"/>
    <w:rsid w:val="2723785B"/>
    <w:rsid w:val="272555CB"/>
    <w:rsid w:val="274517C9"/>
    <w:rsid w:val="2782139E"/>
    <w:rsid w:val="278D3841"/>
    <w:rsid w:val="279924B1"/>
    <w:rsid w:val="27F06E8E"/>
    <w:rsid w:val="28057B64"/>
    <w:rsid w:val="28125B4F"/>
    <w:rsid w:val="28596D8D"/>
    <w:rsid w:val="28787B62"/>
    <w:rsid w:val="28815875"/>
    <w:rsid w:val="28983B19"/>
    <w:rsid w:val="28D01566"/>
    <w:rsid w:val="28D70B46"/>
    <w:rsid w:val="28EA087A"/>
    <w:rsid w:val="29060F9C"/>
    <w:rsid w:val="29064F88"/>
    <w:rsid w:val="292C4690"/>
    <w:rsid w:val="29657E86"/>
    <w:rsid w:val="29694DFA"/>
    <w:rsid w:val="297C0898"/>
    <w:rsid w:val="299971FA"/>
    <w:rsid w:val="299B1B74"/>
    <w:rsid w:val="29A200B1"/>
    <w:rsid w:val="29B21156"/>
    <w:rsid w:val="29DA6AA1"/>
    <w:rsid w:val="29EC5ACC"/>
    <w:rsid w:val="29FD282F"/>
    <w:rsid w:val="2A081E58"/>
    <w:rsid w:val="2A892860"/>
    <w:rsid w:val="2ADB1FD5"/>
    <w:rsid w:val="2AED4651"/>
    <w:rsid w:val="2AFC4894"/>
    <w:rsid w:val="2B033E75"/>
    <w:rsid w:val="2B0A6FB1"/>
    <w:rsid w:val="2B34402E"/>
    <w:rsid w:val="2B351D2A"/>
    <w:rsid w:val="2B3772CE"/>
    <w:rsid w:val="2B6E5792"/>
    <w:rsid w:val="2B77216D"/>
    <w:rsid w:val="2B7C70D6"/>
    <w:rsid w:val="2BB1567F"/>
    <w:rsid w:val="2BEE0681"/>
    <w:rsid w:val="2BF867A3"/>
    <w:rsid w:val="2BFE7608"/>
    <w:rsid w:val="2C1C3440"/>
    <w:rsid w:val="2C3A5572"/>
    <w:rsid w:val="2C4B7881"/>
    <w:rsid w:val="2C8B5ED0"/>
    <w:rsid w:val="2CB01DDA"/>
    <w:rsid w:val="2CB216AE"/>
    <w:rsid w:val="2CB27900"/>
    <w:rsid w:val="2CFB12A7"/>
    <w:rsid w:val="2D216834"/>
    <w:rsid w:val="2D687FBF"/>
    <w:rsid w:val="2DA90599"/>
    <w:rsid w:val="2DD35D80"/>
    <w:rsid w:val="2DD428E1"/>
    <w:rsid w:val="2E1E5E33"/>
    <w:rsid w:val="2E544E76"/>
    <w:rsid w:val="2E644C2A"/>
    <w:rsid w:val="2EBC4A66"/>
    <w:rsid w:val="2ED753FC"/>
    <w:rsid w:val="2ED83379"/>
    <w:rsid w:val="2EE713B8"/>
    <w:rsid w:val="2EFF5468"/>
    <w:rsid w:val="2F176141"/>
    <w:rsid w:val="2F524B2E"/>
    <w:rsid w:val="2F7013AD"/>
    <w:rsid w:val="2F712264"/>
    <w:rsid w:val="2F9C6646"/>
    <w:rsid w:val="2FB41BE1"/>
    <w:rsid w:val="30057D3D"/>
    <w:rsid w:val="300C774C"/>
    <w:rsid w:val="301D7787"/>
    <w:rsid w:val="301E003D"/>
    <w:rsid w:val="304D528B"/>
    <w:rsid w:val="305D4027"/>
    <w:rsid w:val="30711881"/>
    <w:rsid w:val="30A43A04"/>
    <w:rsid w:val="30A70C8B"/>
    <w:rsid w:val="30EB6F8A"/>
    <w:rsid w:val="310B7B23"/>
    <w:rsid w:val="310E5DFD"/>
    <w:rsid w:val="310F6E0F"/>
    <w:rsid w:val="313405A1"/>
    <w:rsid w:val="314E2C27"/>
    <w:rsid w:val="31754028"/>
    <w:rsid w:val="317E6003"/>
    <w:rsid w:val="318D0DFF"/>
    <w:rsid w:val="31955A7B"/>
    <w:rsid w:val="31963CA7"/>
    <w:rsid w:val="31C9380E"/>
    <w:rsid w:val="31CC7E3C"/>
    <w:rsid w:val="327A0EC0"/>
    <w:rsid w:val="328062EB"/>
    <w:rsid w:val="32A40559"/>
    <w:rsid w:val="32F80627"/>
    <w:rsid w:val="32FD2EB8"/>
    <w:rsid w:val="3341553A"/>
    <w:rsid w:val="337A6C9E"/>
    <w:rsid w:val="338673F1"/>
    <w:rsid w:val="33B026C0"/>
    <w:rsid w:val="33C50296"/>
    <w:rsid w:val="33EE2824"/>
    <w:rsid w:val="344E0ECB"/>
    <w:rsid w:val="34712165"/>
    <w:rsid w:val="34D80120"/>
    <w:rsid w:val="34EA7266"/>
    <w:rsid w:val="34FA64A9"/>
    <w:rsid w:val="35263A8D"/>
    <w:rsid w:val="354B26A0"/>
    <w:rsid w:val="356814A4"/>
    <w:rsid w:val="358801C8"/>
    <w:rsid w:val="35951B6D"/>
    <w:rsid w:val="35A26EC5"/>
    <w:rsid w:val="35A66D8A"/>
    <w:rsid w:val="35B46497"/>
    <w:rsid w:val="35C33889"/>
    <w:rsid w:val="35C91817"/>
    <w:rsid w:val="3643781B"/>
    <w:rsid w:val="3654423D"/>
    <w:rsid w:val="36585E2C"/>
    <w:rsid w:val="36631C6B"/>
    <w:rsid w:val="36721CAA"/>
    <w:rsid w:val="3687718E"/>
    <w:rsid w:val="368F0CB2"/>
    <w:rsid w:val="36A302BA"/>
    <w:rsid w:val="36AE738B"/>
    <w:rsid w:val="370A7EC4"/>
    <w:rsid w:val="371C280A"/>
    <w:rsid w:val="371D3BDA"/>
    <w:rsid w:val="374B4BD9"/>
    <w:rsid w:val="37BC715F"/>
    <w:rsid w:val="37C130EE"/>
    <w:rsid w:val="37DB4F0C"/>
    <w:rsid w:val="37E34BD0"/>
    <w:rsid w:val="380354B4"/>
    <w:rsid w:val="38194CD8"/>
    <w:rsid w:val="384B29B7"/>
    <w:rsid w:val="385B7894"/>
    <w:rsid w:val="387B504A"/>
    <w:rsid w:val="388C54AA"/>
    <w:rsid w:val="38B56BEB"/>
    <w:rsid w:val="391536F1"/>
    <w:rsid w:val="391D25A6"/>
    <w:rsid w:val="3934562A"/>
    <w:rsid w:val="393C4C41"/>
    <w:rsid w:val="394967A2"/>
    <w:rsid w:val="398C3287"/>
    <w:rsid w:val="39A05096"/>
    <w:rsid w:val="39D021BF"/>
    <w:rsid w:val="39D52E80"/>
    <w:rsid w:val="39DF297C"/>
    <w:rsid w:val="3A032508"/>
    <w:rsid w:val="3A1A0928"/>
    <w:rsid w:val="3A6A6102"/>
    <w:rsid w:val="3AC80259"/>
    <w:rsid w:val="3AC802EF"/>
    <w:rsid w:val="3AD46181"/>
    <w:rsid w:val="3B0357CB"/>
    <w:rsid w:val="3B1E51EE"/>
    <w:rsid w:val="3B221DD1"/>
    <w:rsid w:val="3B392F9B"/>
    <w:rsid w:val="3B4E2EEA"/>
    <w:rsid w:val="3B61077B"/>
    <w:rsid w:val="3BF05D4F"/>
    <w:rsid w:val="3BFD6611"/>
    <w:rsid w:val="3C77771A"/>
    <w:rsid w:val="3C8A21B7"/>
    <w:rsid w:val="3C996D94"/>
    <w:rsid w:val="3CD45671"/>
    <w:rsid w:val="3CF47AC1"/>
    <w:rsid w:val="3D244CB3"/>
    <w:rsid w:val="3D65311A"/>
    <w:rsid w:val="3D6562C9"/>
    <w:rsid w:val="3D7D3613"/>
    <w:rsid w:val="3D90657F"/>
    <w:rsid w:val="3DA27C22"/>
    <w:rsid w:val="3DAC3EF8"/>
    <w:rsid w:val="3DBF3C2B"/>
    <w:rsid w:val="3DC47494"/>
    <w:rsid w:val="3DD2167B"/>
    <w:rsid w:val="3DF560D2"/>
    <w:rsid w:val="3E2E4451"/>
    <w:rsid w:val="3E7679EE"/>
    <w:rsid w:val="3E843E94"/>
    <w:rsid w:val="3EAB2953"/>
    <w:rsid w:val="3EAC7ED0"/>
    <w:rsid w:val="3EED17D0"/>
    <w:rsid w:val="3EFD6405"/>
    <w:rsid w:val="3F073B4E"/>
    <w:rsid w:val="3F0A7128"/>
    <w:rsid w:val="3F1D404C"/>
    <w:rsid w:val="3F5534BF"/>
    <w:rsid w:val="3F5D194E"/>
    <w:rsid w:val="3FF74EFF"/>
    <w:rsid w:val="400124C8"/>
    <w:rsid w:val="400242A3"/>
    <w:rsid w:val="401B6629"/>
    <w:rsid w:val="40463FD3"/>
    <w:rsid w:val="404D19C2"/>
    <w:rsid w:val="407D392A"/>
    <w:rsid w:val="40860A30"/>
    <w:rsid w:val="40897379"/>
    <w:rsid w:val="40A614D2"/>
    <w:rsid w:val="40AC4616"/>
    <w:rsid w:val="40E90FBF"/>
    <w:rsid w:val="412169AB"/>
    <w:rsid w:val="412932F2"/>
    <w:rsid w:val="412F2E76"/>
    <w:rsid w:val="41432DC5"/>
    <w:rsid w:val="41456B3D"/>
    <w:rsid w:val="416256F8"/>
    <w:rsid w:val="41681144"/>
    <w:rsid w:val="416A65A4"/>
    <w:rsid w:val="41977AC8"/>
    <w:rsid w:val="41991C09"/>
    <w:rsid w:val="41C15304"/>
    <w:rsid w:val="420327C0"/>
    <w:rsid w:val="42322F7E"/>
    <w:rsid w:val="424E43DF"/>
    <w:rsid w:val="425E3192"/>
    <w:rsid w:val="426A68D4"/>
    <w:rsid w:val="42707BEA"/>
    <w:rsid w:val="42834F1E"/>
    <w:rsid w:val="428617AE"/>
    <w:rsid w:val="42BD1F9A"/>
    <w:rsid w:val="43101409"/>
    <w:rsid w:val="437E00E5"/>
    <w:rsid w:val="438559E1"/>
    <w:rsid w:val="438F5D12"/>
    <w:rsid w:val="43B8400B"/>
    <w:rsid w:val="44023EF2"/>
    <w:rsid w:val="440305EA"/>
    <w:rsid w:val="444C1F91"/>
    <w:rsid w:val="44A63851"/>
    <w:rsid w:val="44A65B45"/>
    <w:rsid w:val="44C07A22"/>
    <w:rsid w:val="44D45C32"/>
    <w:rsid w:val="450D7972"/>
    <w:rsid w:val="4517434D"/>
    <w:rsid w:val="45211135"/>
    <w:rsid w:val="455669CE"/>
    <w:rsid w:val="457335BA"/>
    <w:rsid w:val="459235B1"/>
    <w:rsid w:val="459D68A0"/>
    <w:rsid w:val="45B147A1"/>
    <w:rsid w:val="460C19D8"/>
    <w:rsid w:val="462839AF"/>
    <w:rsid w:val="46C557DB"/>
    <w:rsid w:val="471E7FD6"/>
    <w:rsid w:val="472B2331"/>
    <w:rsid w:val="47376F28"/>
    <w:rsid w:val="477E4B57"/>
    <w:rsid w:val="477F0E83"/>
    <w:rsid w:val="478E0C92"/>
    <w:rsid w:val="478F29C8"/>
    <w:rsid w:val="47CB2DAB"/>
    <w:rsid w:val="48071A55"/>
    <w:rsid w:val="48205C0E"/>
    <w:rsid w:val="48253225"/>
    <w:rsid w:val="4847319B"/>
    <w:rsid w:val="488D7248"/>
    <w:rsid w:val="48AA7310"/>
    <w:rsid w:val="48B44301"/>
    <w:rsid w:val="48BF7446"/>
    <w:rsid w:val="492E6109"/>
    <w:rsid w:val="492E7EB7"/>
    <w:rsid w:val="49301E81"/>
    <w:rsid w:val="49C83ABC"/>
    <w:rsid w:val="49D00F6E"/>
    <w:rsid w:val="49E71CDD"/>
    <w:rsid w:val="49F925B1"/>
    <w:rsid w:val="49FD166D"/>
    <w:rsid w:val="4A0330F2"/>
    <w:rsid w:val="4A525E27"/>
    <w:rsid w:val="4AAA7ED3"/>
    <w:rsid w:val="4ADE2B90"/>
    <w:rsid w:val="4B082411"/>
    <w:rsid w:val="4B896B89"/>
    <w:rsid w:val="4B9F32EE"/>
    <w:rsid w:val="4BB80918"/>
    <w:rsid w:val="4BD44D46"/>
    <w:rsid w:val="4C2A0CD0"/>
    <w:rsid w:val="4CAC181F"/>
    <w:rsid w:val="4D0A35C0"/>
    <w:rsid w:val="4D1613AC"/>
    <w:rsid w:val="4D2314F5"/>
    <w:rsid w:val="4D6F6172"/>
    <w:rsid w:val="4D7E765F"/>
    <w:rsid w:val="4D896004"/>
    <w:rsid w:val="4D930591"/>
    <w:rsid w:val="4DEE6198"/>
    <w:rsid w:val="4E113636"/>
    <w:rsid w:val="4E12786B"/>
    <w:rsid w:val="4E1C6E78"/>
    <w:rsid w:val="4E361CE8"/>
    <w:rsid w:val="4E45007C"/>
    <w:rsid w:val="4E6266EF"/>
    <w:rsid w:val="4E661EA1"/>
    <w:rsid w:val="4E8C59EE"/>
    <w:rsid w:val="4E952D37"/>
    <w:rsid w:val="4E9702AC"/>
    <w:rsid w:val="4EDB2E75"/>
    <w:rsid w:val="4EDD03B5"/>
    <w:rsid w:val="4EDE4FAD"/>
    <w:rsid w:val="4EF92D15"/>
    <w:rsid w:val="4F1D6483"/>
    <w:rsid w:val="4F2139B0"/>
    <w:rsid w:val="4F2C00B8"/>
    <w:rsid w:val="4F457D08"/>
    <w:rsid w:val="4F5543EF"/>
    <w:rsid w:val="4F9D6F64"/>
    <w:rsid w:val="4FE62753"/>
    <w:rsid w:val="4FE81D17"/>
    <w:rsid w:val="500A19B4"/>
    <w:rsid w:val="50CD4459"/>
    <w:rsid w:val="50E33C7D"/>
    <w:rsid w:val="51122D2C"/>
    <w:rsid w:val="512B6180"/>
    <w:rsid w:val="51402E7D"/>
    <w:rsid w:val="51453FF0"/>
    <w:rsid w:val="515C1131"/>
    <w:rsid w:val="519F2D25"/>
    <w:rsid w:val="51AC5C98"/>
    <w:rsid w:val="51C51AAA"/>
    <w:rsid w:val="5211195B"/>
    <w:rsid w:val="52326C6A"/>
    <w:rsid w:val="528754F0"/>
    <w:rsid w:val="529F2FF6"/>
    <w:rsid w:val="52A336C4"/>
    <w:rsid w:val="52E16484"/>
    <w:rsid w:val="52E30C07"/>
    <w:rsid w:val="52F41A82"/>
    <w:rsid w:val="5341454F"/>
    <w:rsid w:val="537961D3"/>
    <w:rsid w:val="53805F4C"/>
    <w:rsid w:val="53966EC0"/>
    <w:rsid w:val="53982AFD"/>
    <w:rsid w:val="53EC4876"/>
    <w:rsid w:val="53FA66F5"/>
    <w:rsid w:val="54077C82"/>
    <w:rsid w:val="541D3002"/>
    <w:rsid w:val="543E6D73"/>
    <w:rsid w:val="54555CAF"/>
    <w:rsid w:val="5458228C"/>
    <w:rsid w:val="549303D1"/>
    <w:rsid w:val="54DC110F"/>
    <w:rsid w:val="54F412D0"/>
    <w:rsid w:val="55044293"/>
    <w:rsid w:val="550B54F3"/>
    <w:rsid w:val="55172147"/>
    <w:rsid w:val="551F5926"/>
    <w:rsid w:val="554025E9"/>
    <w:rsid w:val="55424DB3"/>
    <w:rsid w:val="55676C2B"/>
    <w:rsid w:val="55733821"/>
    <w:rsid w:val="557F0623"/>
    <w:rsid w:val="55974E94"/>
    <w:rsid w:val="55AC6D33"/>
    <w:rsid w:val="55C0458D"/>
    <w:rsid w:val="55E41E4E"/>
    <w:rsid w:val="5607452B"/>
    <w:rsid w:val="56385D3E"/>
    <w:rsid w:val="5648732D"/>
    <w:rsid w:val="565151E5"/>
    <w:rsid w:val="568D5DEA"/>
    <w:rsid w:val="569630A9"/>
    <w:rsid w:val="56CB2E52"/>
    <w:rsid w:val="56D848CE"/>
    <w:rsid w:val="56DE116E"/>
    <w:rsid w:val="571346A1"/>
    <w:rsid w:val="57256D9D"/>
    <w:rsid w:val="572F28F4"/>
    <w:rsid w:val="574B60D8"/>
    <w:rsid w:val="576F626A"/>
    <w:rsid w:val="5785380D"/>
    <w:rsid w:val="57AA72A2"/>
    <w:rsid w:val="57DA7B88"/>
    <w:rsid w:val="57F4740D"/>
    <w:rsid w:val="580469B3"/>
    <w:rsid w:val="582D6F77"/>
    <w:rsid w:val="5833286F"/>
    <w:rsid w:val="58385019"/>
    <w:rsid w:val="583B723F"/>
    <w:rsid w:val="58460E03"/>
    <w:rsid w:val="585657FF"/>
    <w:rsid w:val="585A6F86"/>
    <w:rsid w:val="585D4A62"/>
    <w:rsid w:val="58694A68"/>
    <w:rsid w:val="587402CD"/>
    <w:rsid w:val="588E44CE"/>
    <w:rsid w:val="58A054FF"/>
    <w:rsid w:val="58F702C5"/>
    <w:rsid w:val="58F920E8"/>
    <w:rsid w:val="59284923"/>
    <w:rsid w:val="59883613"/>
    <w:rsid w:val="599D70BF"/>
    <w:rsid w:val="59C060CB"/>
    <w:rsid w:val="59CA7788"/>
    <w:rsid w:val="59DC01EA"/>
    <w:rsid w:val="59E854F3"/>
    <w:rsid w:val="59FB2037"/>
    <w:rsid w:val="5A584D94"/>
    <w:rsid w:val="5A6B0F6B"/>
    <w:rsid w:val="5A8D7133"/>
    <w:rsid w:val="5A955DC6"/>
    <w:rsid w:val="5AF12927"/>
    <w:rsid w:val="5AF251E8"/>
    <w:rsid w:val="5B0E7B48"/>
    <w:rsid w:val="5B1F0DC7"/>
    <w:rsid w:val="5B4377F2"/>
    <w:rsid w:val="5B5F4B57"/>
    <w:rsid w:val="5B7E0F08"/>
    <w:rsid w:val="5B8C497B"/>
    <w:rsid w:val="5BBB382C"/>
    <w:rsid w:val="5C1B30EF"/>
    <w:rsid w:val="5C57406F"/>
    <w:rsid w:val="5C61644A"/>
    <w:rsid w:val="5C6F4617"/>
    <w:rsid w:val="5C8252A5"/>
    <w:rsid w:val="5C8A7378"/>
    <w:rsid w:val="5CD55154"/>
    <w:rsid w:val="5CDC7EFE"/>
    <w:rsid w:val="5CE7604F"/>
    <w:rsid w:val="5CE943C9"/>
    <w:rsid w:val="5CFE5E59"/>
    <w:rsid w:val="5D1C3AC7"/>
    <w:rsid w:val="5D521F6E"/>
    <w:rsid w:val="5D5F6EFE"/>
    <w:rsid w:val="5DB034D2"/>
    <w:rsid w:val="5DB94316"/>
    <w:rsid w:val="5E6E45FD"/>
    <w:rsid w:val="5E725B0C"/>
    <w:rsid w:val="5E78376F"/>
    <w:rsid w:val="5E8F3152"/>
    <w:rsid w:val="5EF56650"/>
    <w:rsid w:val="5F061262"/>
    <w:rsid w:val="5F1746B0"/>
    <w:rsid w:val="5F1D3F91"/>
    <w:rsid w:val="5F4F0E5B"/>
    <w:rsid w:val="5F582CF2"/>
    <w:rsid w:val="5F5C4E6C"/>
    <w:rsid w:val="5F6441DB"/>
    <w:rsid w:val="5F9A6229"/>
    <w:rsid w:val="5F9F2289"/>
    <w:rsid w:val="5FC37153"/>
    <w:rsid w:val="5FC825BB"/>
    <w:rsid w:val="5FCB6008"/>
    <w:rsid w:val="5FF4548D"/>
    <w:rsid w:val="6005776C"/>
    <w:rsid w:val="60576EED"/>
    <w:rsid w:val="605A0DEE"/>
    <w:rsid w:val="607F5012"/>
    <w:rsid w:val="60801391"/>
    <w:rsid w:val="6094614B"/>
    <w:rsid w:val="60BE6C38"/>
    <w:rsid w:val="60C12DC9"/>
    <w:rsid w:val="60D575DA"/>
    <w:rsid w:val="60DB671F"/>
    <w:rsid w:val="60E60DAF"/>
    <w:rsid w:val="61086C89"/>
    <w:rsid w:val="61164F72"/>
    <w:rsid w:val="616368A3"/>
    <w:rsid w:val="6167770A"/>
    <w:rsid w:val="61907509"/>
    <w:rsid w:val="61A41561"/>
    <w:rsid w:val="61AD62F2"/>
    <w:rsid w:val="61B64C24"/>
    <w:rsid w:val="61BE4076"/>
    <w:rsid w:val="61C764D2"/>
    <w:rsid w:val="61E00186"/>
    <w:rsid w:val="61FC006A"/>
    <w:rsid w:val="62061579"/>
    <w:rsid w:val="62565641"/>
    <w:rsid w:val="625D3358"/>
    <w:rsid w:val="62606EDB"/>
    <w:rsid w:val="62775FD3"/>
    <w:rsid w:val="628872B7"/>
    <w:rsid w:val="628D3A49"/>
    <w:rsid w:val="628F5A13"/>
    <w:rsid w:val="6298421A"/>
    <w:rsid w:val="62D774EF"/>
    <w:rsid w:val="62F31AFE"/>
    <w:rsid w:val="62FF2B86"/>
    <w:rsid w:val="631A52DC"/>
    <w:rsid w:val="633A597E"/>
    <w:rsid w:val="63645805"/>
    <w:rsid w:val="637644DD"/>
    <w:rsid w:val="63981C78"/>
    <w:rsid w:val="63D156BB"/>
    <w:rsid w:val="63E47954"/>
    <w:rsid w:val="63F867F3"/>
    <w:rsid w:val="640C6D28"/>
    <w:rsid w:val="640F7046"/>
    <w:rsid w:val="64356063"/>
    <w:rsid w:val="64391D7F"/>
    <w:rsid w:val="64510628"/>
    <w:rsid w:val="6459439B"/>
    <w:rsid w:val="647A07CD"/>
    <w:rsid w:val="64926E05"/>
    <w:rsid w:val="650E70C3"/>
    <w:rsid w:val="652B4DF6"/>
    <w:rsid w:val="653B6349"/>
    <w:rsid w:val="65601419"/>
    <w:rsid w:val="65654809"/>
    <w:rsid w:val="6570474F"/>
    <w:rsid w:val="65823127"/>
    <w:rsid w:val="65A33670"/>
    <w:rsid w:val="65B55F9D"/>
    <w:rsid w:val="65F21108"/>
    <w:rsid w:val="65F53DDF"/>
    <w:rsid w:val="66061B48"/>
    <w:rsid w:val="660A7682"/>
    <w:rsid w:val="66506C34"/>
    <w:rsid w:val="66794666"/>
    <w:rsid w:val="66B16FE3"/>
    <w:rsid w:val="673F49AE"/>
    <w:rsid w:val="676525C7"/>
    <w:rsid w:val="676E3E49"/>
    <w:rsid w:val="678C42CF"/>
    <w:rsid w:val="67917B37"/>
    <w:rsid w:val="67E81E4D"/>
    <w:rsid w:val="67EC2FBF"/>
    <w:rsid w:val="68107FF1"/>
    <w:rsid w:val="68422626"/>
    <w:rsid w:val="68621F93"/>
    <w:rsid w:val="68762DC1"/>
    <w:rsid w:val="68A35D74"/>
    <w:rsid w:val="68A452E5"/>
    <w:rsid w:val="68CF6B69"/>
    <w:rsid w:val="68D20407"/>
    <w:rsid w:val="691240E0"/>
    <w:rsid w:val="693E784B"/>
    <w:rsid w:val="6948796F"/>
    <w:rsid w:val="694F4082"/>
    <w:rsid w:val="695664EF"/>
    <w:rsid w:val="695C3057"/>
    <w:rsid w:val="69670B4F"/>
    <w:rsid w:val="69845BA5"/>
    <w:rsid w:val="699D01AE"/>
    <w:rsid w:val="69B7143A"/>
    <w:rsid w:val="69E46644"/>
    <w:rsid w:val="69E55F18"/>
    <w:rsid w:val="6A0D49E5"/>
    <w:rsid w:val="6A270365"/>
    <w:rsid w:val="6A4B0D46"/>
    <w:rsid w:val="6A933BC6"/>
    <w:rsid w:val="6A9A5DBE"/>
    <w:rsid w:val="6AA638F9"/>
    <w:rsid w:val="6AC36259"/>
    <w:rsid w:val="6ACB15B2"/>
    <w:rsid w:val="6ADA6544"/>
    <w:rsid w:val="6AE310D9"/>
    <w:rsid w:val="6B0B50DB"/>
    <w:rsid w:val="6B2A452A"/>
    <w:rsid w:val="6B2A6C04"/>
    <w:rsid w:val="6BEE5558"/>
    <w:rsid w:val="6C2211F6"/>
    <w:rsid w:val="6C7344C7"/>
    <w:rsid w:val="6C7A5F81"/>
    <w:rsid w:val="6C8A236B"/>
    <w:rsid w:val="6CD24E7A"/>
    <w:rsid w:val="6CE06343"/>
    <w:rsid w:val="6D0A63C2"/>
    <w:rsid w:val="6D4009FB"/>
    <w:rsid w:val="6D51777A"/>
    <w:rsid w:val="6D9269D9"/>
    <w:rsid w:val="6D942CE8"/>
    <w:rsid w:val="6DB77697"/>
    <w:rsid w:val="6DBD1686"/>
    <w:rsid w:val="6DCF0265"/>
    <w:rsid w:val="6DE33741"/>
    <w:rsid w:val="6DFA0796"/>
    <w:rsid w:val="6E0E3C8F"/>
    <w:rsid w:val="6E16381A"/>
    <w:rsid w:val="6E2E60E0"/>
    <w:rsid w:val="6EE176B6"/>
    <w:rsid w:val="6F0D3F47"/>
    <w:rsid w:val="6F296E61"/>
    <w:rsid w:val="6F611BE2"/>
    <w:rsid w:val="6F63625D"/>
    <w:rsid w:val="6F6849D9"/>
    <w:rsid w:val="6FA86E36"/>
    <w:rsid w:val="6FB95C48"/>
    <w:rsid w:val="6FCA4634"/>
    <w:rsid w:val="6FE3513A"/>
    <w:rsid w:val="6FE43B33"/>
    <w:rsid w:val="6FEF7AF1"/>
    <w:rsid w:val="701D01BA"/>
    <w:rsid w:val="70223A22"/>
    <w:rsid w:val="703674CE"/>
    <w:rsid w:val="704B11CB"/>
    <w:rsid w:val="70A6694B"/>
    <w:rsid w:val="71155335"/>
    <w:rsid w:val="712253B0"/>
    <w:rsid w:val="712A59E8"/>
    <w:rsid w:val="7196732B"/>
    <w:rsid w:val="71BC699A"/>
    <w:rsid w:val="71D8462F"/>
    <w:rsid w:val="71E52F59"/>
    <w:rsid w:val="72250CCF"/>
    <w:rsid w:val="726E73F3"/>
    <w:rsid w:val="727D3192"/>
    <w:rsid w:val="72B97E38"/>
    <w:rsid w:val="72C65FB9"/>
    <w:rsid w:val="72E459BC"/>
    <w:rsid w:val="72E66DA3"/>
    <w:rsid w:val="73076EFF"/>
    <w:rsid w:val="73293F7D"/>
    <w:rsid w:val="73542964"/>
    <w:rsid w:val="73621BD8"/>
    <w:rsid w:val="73832A2A"/>
    <w:rsid w:val="738C32BA"/>
    <w:rsid w:val="73964909"/>
    <w:rsid w:val="73BE2C1E"/>
    <w:rsid w:val="73DA3EB9"/>
    <w:rsid w:val="73F81CE1"/>
    <w:rsid w:val="74365CEE"/>
    <w:rsid w:val="744A79EB"/>
    <w:rsid w:val="745B2306"/>
    <w:rsid w:val="746740F9"/>
    <w:rsid w:val="747C477F"/>
    <w:rsid w:val="749F7D37"/>
    <w:rsid w:val="74A54F5A"/>
    <w:rsid w:val="74EB6AD9"/>
    <w:rsid w:val="74F42921"/>
    <w:rsid w:val="74F85FB9"/>
    <w:rsid w:val="74FD0BB0"/>
    <w:rsid w:val="75115F8D"/>
    <w:rsid w:val="75157E76"/>
    <w:rsid w:val="751A538A"/>
    <w:rsid w:val="75220020"/>
    <w:rsid w:val="75466405"/>
    <w:rsid w:val="754B7577"/>
    <w:rsid w:val="757A1C0A"/>
    <w:rsid w:val="75B96BD7"/>
    <w:rsid w:val="75BA294F"/>
    <w:rsid w:val="76147D8F"/>
    <w:rsid w:val="761A519B"/>
    <w:rsid w:val="762A3631"/>
    <w:rsid w:val="763E532E"/>
    <w:rsid w:val="76452218"/>
    <w:rsid w:val="769A2538"/>
    <w:rsid w:val="769C605A"/>
    <w:rsid w:val="76C53359"/>
    <w:rsid w:val="76D60EED"/>
    <w:rsid w:val="76DD2EB8"/>
    <w:rsid w:val="76E20749"/>
    <w:rsid w:val="76F16902"/>
    <w:rsid w:val="771064A4"/>
    <w:rsid w:val="772F0AE0"/>
    <w:rsid w:val="773F4EBA"/>
    <w:rsid w:val="775C0A91"/>
    <w:rsid w:val="77A43209"/>
    <w:rsid w:val="77C40DCA"/>
    <w:rsid w:val="77CB0E43"/>
    <w:rsid w:val="77F4117B"/>
    <w:rsid w:val="78054355"/>
    <w:rsid w:val="78054C6E"/>
    <w:rsid w:val="7808186C"/>
    <w:rsid w:val="780C20E7"/>
    <w:rsid w:val="78250553"/>
    <w:rsid w:val="784B57E6"/>
    <w:rsid w:val="785E5813"/>
    <w:rsid w:val="78663EDB"/>
    <w:rsid w:val="7879106D"/>
    <w:rsid w:val="78875731"/>
    <w:rsid w:val="78951550"/>
    <w:rsid w:val="78A51694"/>
    <w:rsid w:val="78C935D5"/>
    <w:rsid w:val="78CA10FB"/>
    <w:rsid w:val="78CE2999"/>
    <w:rsid w:val="79570BE0"/>
    <w:rsid w:val="7961380D"/>
    <w:rsid w:val="796651B0"/>
    <w:rsid w:val="798D25F9"/>
    <w:rsid w:val="798E188D"/>
    <w:rsid w:val="79A06ACC"/>
    <w:rsid w:val="79EB45D1"/>
    <w:rsid w:val="7A2F2AAB"/>
    <w:rsid w:val="7A8D2E7D"/>
    <w:rsid w:val="7ABB2AC0"/>
    <w:rsid w:val="7AC15A8F"/>
    <w:rsid w:val="7AC63D70"/>
    <w:rsid w:val="7ACC115A"/>
    <w:rsid w:val="7AD739F1"/>
    <w:rsid w:val="7AFB320C"/>
    <w:rsid w:val="7B09667C"/>
    <w:rsid w:val="7BB53956"/>
    <w:rsid w:val="7C014E34"/>
    <w:rsid w:val="7C146169"/>
    <w:rsid w:val="7C183F2B"/>
    <w:rsid w:val="7C232FFC"/>
    <w:rsid w:val="7C424D70"/>
    <w:rsid w:val="7C6D6A47"/>
    <w:rsid w:val="7C7462EC"/>
    <w:rsid w:val="7C7F5D65"/>
    <w:rsid w:val="7C943EFA"/>
    <w:rsid w:val="7C9A0308"/>
    <w:rsid w:val="7CC278CF"/>
    <w:rsid w:val="7CCF7DCC"/>
    <w:rsid w:val="7CD15FE2"/>
    <w:rsid w:val="7CD460A4"/>
    <w:rsid w:val="7CE107C1"/>
    <w:rsid w:val="7CEA0082"/>
    <w:rsid w:val="7CF77FE5"/>
    <w:rsid w:val="7D0746CC"/>
    <w:rsid w:val="7D153C32"/>
    <w:rsid w:val="7D331A3B"/>
    <w:rsid w:val="7D3E05EA"/>
    <w:rsid w:val="7D4F2E89"/>
    <w:rsid w:val="7D803B1F"/>
    <w:rsid w:val="7D831878"/>
    <w:rsid w:val="7DAC03B0"/>
    <w:rsid w:val="7DCC5182"/>
    <w:rsid w:val="7DD32800"/>
    <w:rsid w:val="7DD42E2F"/>
    <w:rsid w:val="7E074257"/>
    <w:rsid w:val="7E132BFC"/>
    <w:rsid w:val="7E1C41A7"/>
    <w:rsid w:val="7E392313"/>
    <w:rsid w:val="7E532897"/>
    <w:rsid w:val="7EBB6C59"/>
    <w:rsid w:val="7EC21F19"/>
    <w:rsid w:val="7EE17D2D"/>
    <w:rsid w:val="7EEC1E59"/>
    <w:rsid w:val="7F126886"/>
    <w:rsid w:val="7F1B118E"/>
    <w:rsid w:val="7F490541"/>
    <w:rsid w:val="7F761695"/>
    <w:rsid w:val="7F9D4E73"/>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4">
    <w:name w:val="heading 1"/>
    <w:basedOn w:val="1"/>
    <w:next w:val="1"/>
    <w:link w:val="84"/>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widowControl w:val="0"/>
      <w:spacing w:line="413" w:lineRule="auto"/>
      <w:outlineLvl w:val="1"/>
    </w:pPr>
    <w:rPr>
      <w:rFonts w:ascii="Arial" w:hAnsi="Arial" w:eastAsia="Arial" w:cs="Arial"/>
      <w:b/>
      <w:bCs/>
      <w:color w:val="000000"/>
      <w:sz w:val="32"/>
      <w:szCs w:val="32"/>
      <w:u w:color="000000"/>
    </w:rPr>
  </w:style>
  <w:style w:type="paragraph" w:styleId="6">
    <w:name w:val="heading 3"/>
    <w:basedOn w:val="1"/>
    <w:next w:val="1"/>
    <w:autoRedefine/>
    <w:qFormat/>
    <w:uiPriority w:val="0"/>
    <w:pPr>
      <w:keepNext/>
      <w:keepLines/>
      <w:widowControl w:val="0"/>
      <w:spacing w:line="413" w:lineRule="auto"/>
      <w:outlineLvl w:val="2"/>
    </w:pPr>
    <w:rPr>
      <w:rFonts w:eastAsia="Times New Roman"/>
      <w:b/>
      <w:bCs/>
      <w:color w:val="000000"/>
      <w:sz w:val="32"/>
      <w:szCs w:val="32"/>
      <w:u w:color="000000"/>
    </w:rPr>
  </w:style>
  <w:style w:type="paragraph" w:styleId="7">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ind w:firstLine="420" w:firstLineChars="100"/>
    </w:pPr>
  </w:style>
  <w:style w:type="paragraph" w:styleId="3">
    <w:name w:val="Body Text"/>
    <w:basedOn w:val="1"/>
    <w:next w:val="1"/>
    <w:autoRedefine/>
    <w:unhideWhenUsed/>
    <w:qFormat/>
    <w:uiPriority w:val="99"/>
    <w:pPr>
      <w:spacing w:after="120"/>
    </w:pPr>
  </w:style>
  <w:style w:type="paragraph" w:styleId="8">
    <w:name w:val="Normal Indent"/>
    <w:basedOn w:val="1"/>
    <w:autoRedefine/>
    <w:qFormat/>
    <w:uiPriority w:val="0"/>
    <w:pPr>
      <w:widowControl w:val="0"/>
      <w:adjustRightInd w:val="0"/>
      <w:ind w:firstLine="420"/>
      <w:jc w:val="left"/>
    </w:pPr>
    <w:rPr>
      <w:sz w:val="24"/>
      <w:szCs w:val="20"/>
    </w:rPr>
  </w:style>
  <w:style w:type="paragraph" w:styleId="9">
    <w:name w:val="Body Text Indent"/>
    <w:basedOn w:val="1"/>
    <w:next w:val="10"/>
    <w:link w:val="83"/>
    <w:autoRedefine/>
    <w:qFormat/>
    <w:uiPriority w:val="0"/>
    <w:pPr>
      <w:widowControl w:val="0"/>
      <w:spacing w:line="400" w:lineRule="exact"/>
      <w:ind w:firstLine="560" w:firstLineChars="200"/>
      <w:textAlignment w:val="auto"/>
    </w:pPr>
    <w:rPr>
      <w:rFonts w:ascii="仿宋_GB2312" w:eastAsia="仿宋_GB2312"/>
      <w:sz w:val="28"/>
    </w:rPr>
  </w:style>
  <w:style w:type="paragraph" w:customStyle="1" w:styleId="10">
    <w:name w:val="样式 宋体 五号 行距: 单倍行距"/>
    <w:basedOn w:val="1"/>
    <w:autoRedefine/>
    <w:qFormat/>
    <w:uiPriority w:val="0"/>
    <w:pPr>
      <w:adjustRightInd w:val="0"/>
      <w:jc w:val="left"/>
    </w:pPr>
    <w:rPr>
      <w:rFonts w:ascii="宋体" w:hAnsi="宋体" w:eastAsia="宋体" w:cs="Times New Roman"/>
      <w:kern w:val="0"/>
      <w:sz w:val="21"/>
    </w:rPr>
  </w:style>
  <w:style w:type="paragraph" w:styleId="11">
    <w:name w:val="toc 3"/>
    <w:basedOn w:val="1"/>
    <w:next w:val="1"/>
    <w:autoRedefine/>
    <w:semiHidden/>
    <w:unhideWhenUsed/>
    <w:qFormat/>
    <w:uiPriority w:val="39"/>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Date"/>
    <w:basedOn w:val="1"/>
    <w:next w:val="1"/>
    <w:link w:val="82"/>
    <w:autoRedefine/>
    <w:qFormat/>
    <w:uiPriority w:val="0"/>
    <w:pPr>
      <w:jc w:val="left"/>
    </w:pPr>
    <w:rPr>
      <w:rFonts w:eastAsia="仿宋_GB2312"/>
      <w:kern w:val="0"/>
      <w:sz w:val="28"/>
    </w:rPr>
  </w:style>
  <w:style w:type="paragraph" w:styleId="14">
    <w:name w:val="Balloon Text"/>
    <w:basedOn w:val="1"/>
    <w:link w:val="88"/>
    <w:autoRedefine/>
    <w:semiHidden/>
    <w:unhideWhenUsed/>
    <w:qFormat/>
    <w:uiPriority w:val="99"/>
    <w:rPr>
      <w:sz w:val="18"/>
      <w:szCs w:val="18"/>
    </w:rPr>
  </w:style>
  <w:style w:type="paragraph" w:styleId="15">
    <w:name w:val="footer"/>
    <w:basedOn w:val="1"/>
    <w:link w:val="59"/>
    <w:autoRedefine/>
    <w:qFormat/>
    <w:uiPriority w:val="99"/>
    <w:pPr>
      <w:tabs>
        <w:tab w:val="center" w:pos="4153"/>
        <w:tab w:val="right" w:pos="8306"/>
      </w:tabs>
      <w:snapToGrid w:val="0"/>
      <w:jc w:val="left"/>
    </w:pPr>
    <w:rPr>
      <w:sz w:val="18"/>
      <w:szCs w:val="18"/>
    </w:rPr>
  </w:style>
  <w:style w:type="paragraph" w:styleId="16">
    <w:name w:val="header"/>
    <w:basedOn w:val="1"/>
    <w:link w:val="60"/>
    <w:autoRedefine/>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autoRedefine/>
    <w:qFormat/>
    <w:uiPriority w:val="0"/>
    <w:pPr>
      <w:spacing w:before="240" w:after="60" w:line="312" w:lineRule="auto"/>
      <w:jc w:val="center"/>
      <w:outlineLvl w:val="1"/>
    </w:pPr>
    <w:rPr>
      <w:b/>
      <w:bCs/>
      <w:kern w:val="28"/>
      <w:sz w:val="32"/>
      <w:szCs w:val="32"/>
    </w:rPr>
  </w:style>
  <w:style w:type="paragraph" w:styleId="19">
    <w:name w:val="index 7"/>
    <w:basedOn w:val="1"/>
    <w:next w:val="1"/>
    <w:autoRedefine/>
    <w:qFormat/>
    <w:uiPriority w:val="0"/>
    <w:pPr>
      <w:ind w:left="2520"/>
    </w:pPr>
  </w:style>
  <w:style w:type="paragraph" w:styleId="20">
    <w:name w:val="toc 2"/>
    <w:basedOn w:val="1"/>
    <w:next w:val="1"/>
    <w:autoRedefine/>
    <w:semiHidden/>
    <w:unhideWhenUsed/>
    <w:qFormat/>
    <w:uiPriority w:val="39"/>
    <w:pPr>
      <w:ind w:left="420" w:leftChars="200"/>
    </w:pPr>
  </w:style>
  <w:style w:type="paragraph" w:styleId="21">
    <w:name w:val="Body Text 2"/>
    <w:basedOn w:val="1"/>
    <w:autoRedefine/>
    <w:qFormat/>
    <w:uiPriority w:val="0"/>
    <w:pPr>
      <w:adjustRightInd w:val="0"/>
      <w:snapToGrid w:val="0"/>
      <w:spacing w:after="120" w:afterLines="0" w:afterAutospacing="0" w:line="480" w:lineRule="auto"/>
    </w:pPr>
    <w:rPr>
      <w:sz w:val="24"/>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2"/>
    <w:basedOn w:val="9"/>
    <w:autoRedefine/>
    <w:qFormat/>
    <w:uiPriority w:val="0"/>
    <w:pPr>
      <w:ind w:firstLine="420" w:firstLineChars="200"/>
    </w:pPr>
    <w:rPr>
      <w:szCs w:val="24"/>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style>
  <w:style w:type="character" w:styleId="28">
    <w:name w:val="page number"/>
    <w:qFormat/>
    <w:uiPriority w:val="0"/>
  </w:style>
  <w:style w:type="character" w:styleId="29">
    <w:name w:val="FollowedHyperlink"/>
    <w:basedOn w:val="26"/>
    <w:autoRedefine/>
    <w:semiHidden/>
    <w:unhideWhenUsed/>
    <w:qFormat/>
    <w:uiPriority w:val="99"/>
    <w:rPr>
      <w:color w:val="800080"/>
      <w:u w:val="none"/>
    </w:rPr>
  </w:style>
  <w:style w:type="character" w:styleId="30">
    <w:name w:val="Emphasis"/>
    <w:basedOn w:val="26"/>
    <w:autoRedefine/>
    <w:qFormat/>
    <w:uiPriority w:val="20"/>
  </w:style>
  <w:style w:type="character" w:styleId="31">
    <w:name w:val="HTML Definition"/>
    <w:basedOn w:val="26"/>
    <w:autoRedefine/>
    <w:semiHidden/>
    <w:unhideWhenUsed/>
    <w:qFormat/>
    <w:uiPriority w:val="99"/>
  </w:style>
  <w:style w:type="character" w:styleId="32">
    <w:name w:val="HTML Typewriter"/>
    <w:basedOn w:val="26"/>
    <w:autoRedefine/>
    <w:semiHidden/>
    <w:unhideWhenUsed/>
    <w:qFormat/>
    <w:uiPriority w:val="99"/>
    <w:rPr>
      <w:rFonts w:ascii="monospace" w:hAnsi="monospace" w:eastAsia="monospace" w:cs="monospace"/>
      <w:sz w:val="20"/>
    </w:rPr>
  </w:style>
  <w:style w:type="character" w:styleId="33">
    <w:name w:val="HTML Acronym"/>
    <w:basedOn w:val="26"/>
    <w:autoRedefine/>
    <w:semiHidden/>
    <w:unhideWhenUsed/>
    <w:qFormat/>
    <w:uiPriority w:val="99"/>
  </w:style>
  <w:style w:type="character" w:styleId="34">
    <w:name w:val="HTML Variable"/>
    <w:basedOn w:val="26"/>
    <w:autoRedefine/>
    <w:semiHidden/>
    <w:unhideWhenUsed/>
    <w:qFormat/>
    <w:uiPriority w:val="99"/>
  </w:style>
  <w:style w:type="character" w:styleId="35">
    <w:name w:val="Hyperlink"/>
    <w:autoRedefine/>
    <w:qFormat/>
    <w:uiPriority w:val="99"/>
    <w:rPr>
      <w:color w:val="4E3509"/>
    </w:rPr>
  </w:style>
  <w:style w:type="character" w:styleId="36">
    <w:name w:val="HTML Code"/>
    <w:basedOn w:val="26"/>
    <w:autoRedefine/>
    <w:semiHidden/>
    <w:unhideWhenUsed/>
    <w:qFormat/>
    <w:uiPriority w:val="99"/>
    <w:rPr>
      <w:rFonts w:hint="default" w:ascii="monospace" w:hAnsi="monospace" w:eastAsia="monospace" w:cs="monospace"/>
      <w:sz w:val="20"/>
    </w:rPr>
  </w:style>
  <w:style w:type="character" w:styleId="37">
    <w:name w:val="HTML Cite"/>
    <w:basedOn w:val="26"/>
    <w:autoRedefine/>
    <w:semiHidden/>
    <w:unhideWhenUsed/>
    <w:qFormat/>
    <w:uiPriority w:val="99"/>
  </w:style>
  <w:style w:type="character" w:styleId="38">
    <w:name w:val="HTML Keyboard"/>
    <w:basedOn w:val="26"/>
    <w:autoRedefine/>
    <w:semiHidden/>
    <w:unhideWhenUsed/>
    <w:qFormat/>
    <w:uiPriority w:val="99"/>
    <w:rPr>
      <w:rFonts w:hint="default" w:ascii="monospace" w:hAnsi="monospace" w:eastAsia="monospace" w:cs="monospace"/>
      <w:sz w:val="20"/>
    </w:rPr>
  </w:style>
  <w:style w:type="character" w:styleId="39">
    <w:name w:val="HTML Sample"/>
    <w:basedOn w:val="26"/>
    <w:autoRedefine/>
    <w:semiHidden/>
    <w:unhideWhenUsed/>
    <w:qFormat/>
    <w:uiPriority w:val="99"/>
    <w:rPr>
      <w:rFonts w:hint="default" w:ascii="monospace" w:hAnsi="monospace" w:eastAsia="monospace" w:cs="monospace"/>
    </w:rPr>
  </w:style>
  <w:style w:type="paragraph" w:customStyle="1" w:styleId="4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
    <w:name w:val="标题 5（有编号）（绿盟科技）"/>
    <w:basedOn w:val="1"/>
    <w:next w:val="43"/>
    <w:autoRedefine/>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4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4">
    <w:name w:val="_Style 6"/>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5">
    <w:name w:val="TOC1"/>
    <w:basedOn w:val="1"/>
    <w:next w:val="1"/>
    <w:autoRedefine/>
    <w:qFormat/>
    <w:uiPriority w:val="0"/>
    <w:pPr>
      <w:tabs>
        <w:tab w:val="right" w:leader="dot" w:pos="9117"/>
      </w:tabs>
      <w:spacing w:before="120" w:after="120"/>
      <w:jc w:val="left"/>
    </w:pPr>
    <w:rPr>
      <w:szCs w:val="21"/>
    </w:rPr>
  </w:style>
  <w:style w:type="paragraph" w:customStyle="1" w:styleId="46">
    <w:name w:val="Heading1"/>
    <w:basedOn w:val="1"/>
    <w:next w:val="1"/>
    <w:autoRedefine/>
    <w:qFormat/>
    <w:uiPriority w:val="0"/>
    <w:pPr>
      <w:snapToGrid w:val="0"/>
      <w:spacing w:line="360" w:lineRule="auto"/>
      <w:jc w:val="center"/>
    </w:pPr>
    <w:rPr>
      <w:rFonts w:eastAsia="黑体"/>
      <w:sz w:val="44"/>
      <w:szCs w:val="44"/>
    </w:rPr>
  </w:style>
  <w:style w:type="paragraph" w:customStyle="1" w:styleId="47">
    <w:name w:val="Heading2"/>
    <w:basedOn w:val="1"/>
    <w:next w:val="1"/>
    <w:autoRedefine/>
    <w:qFormat/>
    <w:uiPriority w:val="0"/>
    <w:pPr>
      <w:keepNext/>
      <w:keepLines/>
      <w:spacing w:before="260" w:after="260" w:line="416" w:lineRule="auto"/>
    </w:pPr>
    <w:rPr>
      <w:rFonts w:ascii="Arial" w:hAnsi="Arial" w:eastAsia="黑体"/>
      <w:sz w:val="32"/>
      <w:szCs w:val="32"/>
    </w:rPr>
  </w:style>
  <w:style w:type="paragraph" w:customStyle="1" w:styleId="48">
    <w:name w:val="Heading3"/>
    <w:basedOn w:val="1"/>
    <w:next w:val="1"/>
    <w:autoRedefine/>
    <w:qFormat/>
    <w:uiPriority w:val="0"/>
    <w:pPr>
      <w:keepNext/>
      <w:keepLines/>
      <w:tabs>
        <w:tab w:val="left" w:pos="1418"/>
      </w:tabs>
      <w:spacing w:before="260" w:after="260" w:line="413" w:lineRule="auto"/>
      <w:ind w:left="1260" w:hanging="420"/>
    </w:pPr>
    <w:rPr>
      <w:sz w:val="32"/>
      <w:szCs w:val="20"/>
    </w:rPr>
  </w:style>
  <w:style w:type="character" w:customStyle="1" w:styleId="49">
    <w:name w:val="NormalCharacter"/>
    <w:autoRedefine/>
    <w:semiHidden/>
    <w:qFormat/>
    <w:uiPriority w:val="0"/>
  </w:style>
  <w:style w:type="table" w:customStyle="1" w:styleId="50">
    <w:name w:val="TableNormal"/>
    <w:autoRedefine/>
    <w:qFormat/>
    <w:uiPriority w:val="0"/>
    <w:tblPr>
      <w:tblCellMar>
        <w:top w:w="0" w:type="dxa"/>
        <w:left w:w="0" w:type="dxa"/>
        <w:bottom w:w="0" w:type="dxa"/>
        <w:right w:w="0" w:type="dxa"/>
      </w:tblCellMar>
    </w:tblPr>
  </w:style>
  <w:style w:type="paragraph" w:customStyle="1" w:styleId="51">
    <w:name w:val="NormalIndent"/>
    <w:basedOn w:val="1"/>
    <w:autoRedefine/>
    <w:qFormat/>
    <w:uiPriority w:val="0"/>
    <w:pPr>
      <w:ind w:firstLine="420"/>
      <w:jc w:val="left"/>
    </w:pPr>
    <w:rPr>
      <w:sz w:val="24"/>
      <w:szCs w:val="20"/>
    </w:rPr>
  </w:style>
  <w:style w:type="paragraph" w:customStyle="1" w:styleId="52">
    <w:name w:val="AnnotationText"/>
    <w:basedOn w:val="1"/>
    <w:autoRedefine/>
    <w:semiHidden/>
    <w:qFormat/>
    <w:uiPriority w:val="0"/>
    <w:pPr>
      <w:jc w:val="left"/>
    </w:pPr>
    <w:rPr>
      <w:szCs w:val="20"/>
    </w:rPr>
  </w:style>
  <w:style w:type="paragraph" w:customStyle="1" w:styleId="53">
    <w:name w:val="BodyText"/>
    <w:basedOn w:val="1"/>
    <w:next w:val="1"/>
    <w:link w:val="54"/>
    <w:autoRedefine/>
    <w:qFormat/>
    <w:uiPriority w:val="0"/>
    <w:pPr>
      <w:spacing w:after="120"/>
    </w:pPr>
  </w:style>
  <w:style w:type="character" w:customStyle="1" w:styleId="54">
    <w:name w:val="UserStyle_0"/>
    <w:link w:val="53"/>
    <w:autoRedefine/>
    <w:qFormat/>
    <w:uiPriority w:val="0"/>
    <w:rPr>
      <w:kern w:val="2"/>
      <w:sz w:val="21"/>
      <w:szCs w:val="24"/>
    </w:rPr>
  </w:style>
  <w:style w:type="paragraph" w:customStyle="1" w:styleId="55">
    <w:name w:val="BodyTextIndent"/>
    <w:basedOn w:val="1"/>
    <w:autoRedefine/>
    <w:qFormat/>
    <w:uiPriority w:val="0"/>
    <w:pPr>
      <w:spacing w:line="400" w:lineRule="exact"/>
      <w:ind w:firstLine="560" w:firstLineChars="200"/>
    </w:pPr>
    <w:rPr>
      <w:rFonts w:ascii="仿宋_GB2312" w:eastAsia="仿宋_GB2312"/>
      <w:sz w:val="28"/>
    </w:rPr>
  </w:style>
  <w:style w:type="paragraph" w:customStyle="1" w:styleId="56">
    <w:name w:val="PlainText"/>
    <w:basedOn w:val="1"/>
    <w:autoRedefine/>
    <w:qFormat/>
    <w:uiPriority w:val="0"/>
    <w:pPr>
      <w:snapToGrid w:val="0"/>
      <w:spacing w:line="360" w:lineRule="auto"/>
    </w:pPr>
    <w:rPr>
      <w:rFonts w:ascii="宋体" w:hAnsi="宋体"/>
      <w:kern w:val="0"/>
      <w:sz w:val="20"/>
    </w:rPr>
  </w:style>
  <w:style w:type="paragraph" w:customStyle="1" w:styleId="57">
    <w:name w:val="BodyTextIndent2"/>
    <w:basedOn w:val="1"/>
    <w:autoRedefine/>
    <w:qFormat/>
    <w:uiPriority w:val="0"/>
    <w:pPr>
      <w:tabs>
        <w:tab w:val="left" w:pos="540"/>
      </w:tabs>
      <w:spacing w:line="580" w:lineRule="exact"/>
      <w:ind w:firstLine="560" w:firstLineChars="200"/>
    </w:pPr>
    <w:rPr>
      <w:rFonts w:ascii="仿宋_GB2312" w:eastAsia="仿宋_GB2312"/>
      <w:kern w:val="0"/>
      <w:sz w:val="28"/>
    </w:rPr>
  </w:style>
  <w:style w:type="paragraph" w:customStyle="1" w:styleId="58">
    <w:name w:val="Acetate"/>
    <w:basedOn w:val="1"/>
    <w:autoRedefine/>
    <w:semiHidden/>
    <w:qFormat/>
    <w:uiPriority w:val="0"/>
    <w:rPr>
      <w:sz w:val="18"/>
      <w:szCs w:val="18"/>
    </w:rPr>
  </w:style>
  <w:style w:type="character" w:customStyle="1" w:styleId="59">
    <w:name w:val="页脚 Char"/>
    <w:link w:val="15"/>
    <w:autoRedefine/>
    <w:qFormat/>
    <w:uiPriority w:val="99"/>
    <w:rPr>
      <w:kern w:val="2"/>
      <w:sz w:val="18"/>
      <w:szCs w:val="18"/>
    </w:rPr>
  </w:style>
  <w:style w:type="character" w:customStyle="1" w:styleId="60">
    <w:name w:val="页眉 Char"/>
    <w:link w:val="16"/>
    <w:autoRedefine/>
    <w:qFormat/>
    <w:uiPriority w:val="0"/>
    <w:rPr>
      <w:rFonts w:eastAsia="宋体"/>
      <w:kern w:val="2"/>
      <w:sz w:val="18"/>
      <w:szCs w:val="18"/>
      <w:lang w:val="en-US" w:eastAsia="zh-CN" w:bidi="ar-SA"/>
    </w:rPr>
  </w:style>
  <w:style w:type="paragraph" w:customStyle="1" w:styleId="61">
    <w:name w:val="FootnoteText"/>
    <w:basedOn w:val="1"/>
    <w:autoRedefine/>
    <w:qFormat/>
    <w:uiPriority w:val="0"/>
    <w:pPr>
      <w:snapToGrid w:val="0"/>
      <w:jc w:val="left"/>
    </w:pPr>
    <w:rPr>
      <w:sz w:val="18"/>
      <w:szCs w:val="18"/>
    </w:rPr>
  </w:style>
  <w:style w:type="paragraph" w:customStyle="1" w:styleId="62">
    <w:name w:val="HtmlNormal"/>
    <w:basedOn w:val="1"/>
    <w:autoRedefine/>
    <w:qFormat/>
    <w:uiPriority w:val="0"/>
    <w:pPr>
      <w:spacing w:beforeAutospacing="1" w:afterAutospacing="1"/>
      <w:jc w:val="left"/>
    </w:pPr>
    <w:rPr>
      <w:kern w:val="0"/>
      <w:sz w:val="24"/>
    </w:rPr>
  </w:style>
  <w:style w:type="paragraph" w:customStyle="1" w:styleId="63">
    <w:name w:val="BodyText1I"/>
    <w:basedOn w:val="53"/>
    <w:autoRedefine/>
    <w:qFormat/>
    <w:uiPriority w:val="0"/>
    <w:pPr>
      <w:spacing w:line="275" w:lineRule="atLeast"/>
      <w:ind w:firstLine="420"/>
    </w:pPr>
    <w:rPr>
      <w:rFonts w:ascii="宋体" w:eastAsia="楷体_GB2312"/>
    </w:rPr>
  </w:style>
  <w:style w:type="character" w:customStyle="1" w:styleId="64">
    <w:name w:val="PageNumber"/>
    <w:autoRedefine/>
    <w:qFormat/>
    <w:uiPriority w:val="0"/>
  </w:style>
  <w:style w:type="character" w:customStyle="1" w:styleId="65">
    <w:name w:val="AnnotationReference"/>
    <w:autoRedefine/>
    <w:semiHidden/>
    <w:qFormat/>
    <w:uiPriority w:val="0"/>
    <w:rPr>
      <w:sz w:val="21"/>
      <w:szCs w:val="21"/>
    </w:rPr>
  </w:style>
  <w:style w:type="character" w:customStyle="1" w:styleId="66">
    <w:name w:val="FootnoteReference"/>
    <w:autoRedefine/>
    <w:qFormat/>
    <w:uiPriority w:val="0"/>
    <w:rPr>
      <w:vertAlign w:val="superscript"/>
    </w:rPr>
  </w:style>
  <w:style w:type="character" w:customStyle="1" w:styleId="67">
    <w:name w:val="UserStyle_3"/>
    <w:autoRedefine/>
    <w:qFormat/>
    <w:uiPriority w:val="0"/>
    <w:rPr>
      <w:kern w:val="2"/>
      <w:sz w:val="21"/>
      <w:szCs w:val="24"/>
    </w:rPr>
  </w:style>
  <w:style w:type="character" w:customStyle="1" w:styleId="68">
    <w:name w:val="UserStyle_4"/>
    <w:autoRedefine/>
    <w:qFormat/>
    <w:uiPriority w:val="0"/>
    <w:rPr>
      <w:rFonts w:ascii="宋体" w:hAnsi="宋体" w:eastAsia="宋体"/>
      <w:color w:val="000000"/>
      <w:sz w:val="18"/>
      <w:szCs w:val="18"/>
    </w:rPr>
  </w:style>
  <w:style w:type="character" w:customStyle="1" w:styleId="69">
    <w:name w:val="UserStyle_5"/>
    <w:autoRedefine/>
    <w:qFormat/>
    <w:uiPriority w:val="0"/>
    <w:rPr>
      <w:rFonts w:ascii="宋体" w:hAnsi="宋体" w:eastAsia="宋体"/>
      <w:color w:val="000000"/>
      <w:sz w:val="18"/>
      <w:szCs w:val="18"/>
    </w:rPr>
  </w:style>
  <w:style w:type="character" w:customStyle="1" w:styleId="70">
    <w:name w:val="UserStyle_6"/>
    <w:autoRedefine/>
    <w:qFormat/>
    <w:uiPriority w:val="0"/>
  </w:style>
  <w:style w:type="character" w:customStyle="1" w:styleId="71">
    <w:name w:val="UserStyle_7"/>
    <w:autoRedefine/>
    <w:qFormat/>
    <w:uiPriority w:val="0"/>
    <w:rPr>
      <w:rFonts w:ascii="宋体" w:hAnsi="宋体" w:eastAsia="宋体"/>
      <w:color w:val="000000"/>
      <w:sz w:val="20"/>
      <w:szCs w:val="20"/>
    </w:rPr>
  </w:style>
  <w:style w:type="paragraph" w:customStyle="1" w:styleId="72">
    <w:name w:val="UserStyle_8"/>
    <w:basedOn w:val="1"/>
    <w:autoRedefine/>
    <w:qFormat/>
    <w:uiPriority w:val="0"/>
    <w:rPr>
      <w:kern w:val="0"/>
      <w:szCs w:val="21"/>
    </w:rPr>
  </w:style>
  <w:style w:type="paragraph" w:customStyle="1" w:styleId="73">
    <w:name w:val="UserStyle_9"/>
    <w:basedOn w:val="1"/>
    <w:autoRedefine/>
    <w:qFormat/>
    <w:uiPriority w:val="0"/>
    <w:pPr>
      <w:spacing w:after="160" w:line="240" w:lineRule="exact"/>
      <w:jc w:val="left"/>
    </w:pPr>
    <w:rPr>
      <w:rFonts w:ascii="Verdana" w:hAnsi="Verdana" w:eastAsia="仿宋_GB2312"/>
      <w:kern w:val="0"/>
      <w:sz w:val="24"/>
      <w:lang w:eastAsia="en-US"/>
    </w:rPr>
  </w:style>
  <w:style w:type="paragraph" w:customStyle="1" w:styleId="74">
    <w:name w:val="UserStyle_10"/>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75">
    <w:name w:val="UserStyle_11"/>
    <w:basedOn w:val="1"/>
    <w:autoRedefine/>
    <w:qFormat/>
    <w:uiPriority w:val="0"/>
    <w:rPr>
      <w:kern w:val="0"/>
      <w:szCs w:val="20"/>
    </w:rPr>
  </w:style>
  <w:style w:type="paragraph" w:customStyle="1" w:styleId="76">
    <w:name w:val="UserStyle_12"/>
    <w:basedOn w:val="1"/>
    <w:autoRedefine/>
    <w:qFormat/>
    <w:uiPriority w:val="0"/>
    <w:rPr>
      <w:sz w:val="28"/>
      <w:szCs w:val="20"/>
    </w:rPr>
  </w:style>
  <w:style w:type="paragraph" w:customStyle="1" w:styleId="77">
    <w:name w:val="UserStyle_13"/>
    <w:basedOn w:val="1"/>
    <w:autoRedefine/>
    <w:qFormat/>
    <w:uiPriority w:val="0"/>
    <w:pPr>
      <w:spacing w:before="50" w:after="50"/>
      <w:jc w:val="center"/>
    </w:pPr>
    <w:rPr>
      <w:rFonts w:eastAsia="黑体"/>
      <w:sz w:val="32"/>
      <w:szCs w:val="20"/>
    </w:rPr>
  </w:style>
  <w:style w:type="paragraph" w:customStyle="1" w:styleId="78">
    <w:name w:val="UserStyle_14"/>
    <w:basedOn w:val="1"/>
    <w:autoRedefine/>
    <w:qFormat/>
    <w:uiPriority w:val="0"/>
    <w:pPr>
      <w:spacing w:before="120" w:after="120" w:line="360" w:lineRule="auto"/>
      <w:jc w:val="center"/>
    </w:pPr>
    <w:rPr>
      <w:rFonts w:eastAsia="仿宋_GB2312"/>
      <w:sz w:val="24"/>
      <w:szCs w:val="20"/>
    </w:rPr>
  </w:style>
  <w:style w:type="paragraph" w:customStyle="1" w:styleId="79">
    <w:name w:val="266"/>
    <w:basedOn w:val="46"/>
    <w:next w:val="1"/>
    <w:autoRedefine/>
    <w:qFormat/>
    <w:uiPriority w:val="0"/>
    <w:pPr>
      <w:keepNext/>
      <w:keepLines/>
      <w:spacing w:before="480" w:line="276" w:lineRule="auto"/>
      <w:jc w:val="left"/>
    </w:pPr>
    <w:rPr>
      <w:rFonts w:ascii="Cambria" w:hAnsi="Cambria" w:eastAsia="宋体"/>
      <w:color w:val="365F91"/>
      <w:kern w:val="0"/>
      <w:sz w:val="28"/>
      <w:szCs w:val="28"/>
    </w:rPr>
  </w:style>
  <w:style w:type="paragraph" w:customStyle="1" w:styleId="80">
    <w:name w:val="UserStyle_15"/>
    <w:basedOn w:val="1"/>
    <w:autoRedefine/>
    <w:qFormat/>
    <w:uiPriority w:val="0"/>
    <w:rPr>
      <w:szCs w:val="21"/>
    </w:rPr>
  </w:style>
  <w:style w:type="paragraph" w:customStyle="1" w:styleId="81">
    <w:name w:val="UserStyle_16"/>
    <w:basedOn w:val="1"/>
    <w:autoRedefine/>
    <w:qFormat/>
    <w:uiPriority w:val="0"/>
    <w:pPr>
      <w:jc w:val="left"/>
    </w:pPr>
    <w:rPr>
      <w:kern w:val="0"/>
      <w:sz w:val="18"/>
      <w:szCs w:val="18"/>
    </w:rPr>
  </w:style>
  <w:style w:type="character" w:customStyle="1" w:styleId="82">
    <w:name w:val="日期 Char"/>
    <w:basedOn w:val="26"/>
    <w:link w:val="13"/>
    <w:autoRedefine/>
    <w:qFormat/>
    <w:uiPriority w:val="0"/>
    <w:rPr>
      <w:rFonts w:eastAsia="仿宋_GB2312"/>
      <w:sz w:val="28"/>
      <w:szCs w:val="24"/>
    </w:rPr>
  </w:style>
  <w:style w:type="character" w:customStyle="1" w:styleId="83">
    <w:name w:val="正文文本缩进 Char"/>
    <w:basedOn w:val="26"/>
    <w:link w:val="9"/>
    <w:autoRedefine/>
    <w:qFormat/>
    <w:uiPriority w:val="0"/>
    <w:rPr>
      <w:rFonts w:ascii="仿宋_GB2312" w:eastAsia="仿宋_GB2312"/>
      <w:kern w:val="2"/>
      <w:sz w:val="28"/>
      <w:szCs w:val="24"/>
    </w:rPr>
  </w:style>
  <w:style w:type="character" w:customStyle="1" w:styleId="84">
    <w:name w:val="标题 1 Char"/>
    <w:basedOn w:val="26"/>
    <w:link w:val="4"/>
    <w:autoRedefine/>
    <w:qFormat/>
    <w:uiPriority w:val="9"/>
    <w:rPr>
      <w:b/>
      <w:bCs/>
      <w:kern w:val="44"/>
      <w:sz w:val="44"/>
      <w:szCs w:val="44"/>
    </w:rPr>
  </w:style>
  <w:style w:type="paragraph" w:customStyle="1" w:styleId="85">
    <w:name w:val="TOC 标题1"/>
    <w:basedOn w:val="4"/>
    <w:next w:val="1"/>
    <w:autoRedefine/>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87">
    <w:name w:val="页眉与页脚"/>
    <w:autoRedefine/>
    <w:qFormat/>
    <w:uiPriority w:val="0"/>
    <w:pPr>
      <w:tabs>
        <w:tab w:val="right" w:pos="9020"/>
      </w:tabs>
    </w:pPr>
    <w:rPr>
      <w:rFonts w:ascii="Helvetica Neue" w:hAnsi="Helvetica Neue" w:eastAsia="Helvetica Neue" w:cs="Helvetica Neue"/>
      <w:color w:val="000000"/>
      <w:sz w:val="24"/>
      <w:szCs w:val="24"/>
      <w:lang w:val="en-US" w:eastAsia="zh-CN" w:bidi="ar-SA"/>
    </w:rPr>
  </w:style>
  <w:style w:type="character" w:customStyle="1" w:styleId="88">
    <w:name w:val="批注框文本 Char"/>
    <w:basedOn w:val="26"/>
    <w:link w:val="14"/>
    <w:autoRedefine/>
    <w:semiHidden/>
    <w:qFormat/>
    <w:uiPriority w:val="99"/>
    <w:rPr>
      <w:kern w:val="2"/>
      <w:sz w:val="18"/>
      <w:szCs w:val="18"/>
    </w:rPr>
  </w:style>
  <w:style w:type="paragraph" w:customStyle="1" w:styleId="89">
    <w:name w:val="1"/>
    <w:basedOn w:val="1"/>
    <w:next w:val="12"/>
    <w:autoRedefine/>
    <w:qFormat/>
    <w:uiPriority w:val="0"/>
    <w:rPr>
      <w:rFonts w:ascii="宋体" w:hAnsi="Courier New"/>
    </w:rPr>
  </w:style>
  <w:style w:type="paragraph" w:customStyle="1" w:styleId="9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91">
    <w:name w:val="正文文本1"/>
    <w:basedOn w:val="1"/>
    <w:autoRedefine/>
    <w:qFormat/>
    <w:uiPriority w:val="0"/>
    <w:rPr>
      <w:rFonts w:ascii="仿宋_GB2312" w:hAnsi="Times New Roman" w:eastAsia="仿宋_GB2312"/>
      <w:sz w:val="32"/>
    </w:rPr>
  </w:style>
  <w:style w:type="paragraph" w:customStyle="1" w:styleId="92">
    <w:name w:val="正文文本缩进1"/>
    <w:basedOn w:val="1"/>
    <w:autoRedefine/>
    <w:qFormat/>
    <w:uiPriority w:val="0"/>
    <w:pPr>
      <w:spacing w:line="700" w:lineRule="exact"/>
      <w:ind w:left="960"/>
    </w:pPr>
    <w:rPr>
      <w:rFonts w:ascii="Times New Roman" w:hAnsi="Times New Roman" w:eastAsia="宋体"/>
      <w:sz w:val="44"/>
    </w:rPr>
  </w:style>
  <w:style w:type="paragraph" w:customStyle="1" w:styleId="93">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94">
    <w:name w:val="UserStyle_1"/>
    <w:basedOn w:val="1"/>
    <w:autoRedefine/>
    <w:qFormat/>
    <w:uiPriority w:val="0"/>
    <w:pPr>
      <w:ind w:firstLine="200" w:firstLineChars="200"/>
      <w:textAlignment w:val="baseline"/>
    </w:pPr>
    <w:rPr>
      <w:rFonts w:ascii="宋体" w:hAnsi="宋体"/>
      <w:sz w:val="21"/>
      <w:szCs w:val="22"/>
    </w:rPr>
  </w:style>
  <w:style w:type="paragraph" w:customStyle="1" w:styleId="95">
    <w:name w:val="Table Text"/>
    <w:qFormat/>
    <w:uiPriority w:val="0"/>
    <w:pPr>
      <w:snapToGrid w:val="0"/>
      <w:spacing w:before="80" w:after="80"/>
    </w:pPr>
    <w:rPr>
      <w:rFonts w:ascii="Arial" w:hAnsi="Arial" w:eastAsia="宋体" w:cs="Times New Roman"/>
      <w:kern w:val="2"/>
      <w:sz w:val="18"/>
      <w:lang w:val="en-US" w:eastAsia="zh-CN" w:bidi="ar-SA"/>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TOC Heading"/>
    <w:basedOn w:val="4"/>
    <w:next w:val="1"/>
    <w:qFormat/>
    <w:uiPriority w:val="0"/>
    <w:pPr>
      <w:keepLines/>
      <w:widowControl/>
      <w:snapToGrid/>
      <w:spacing w:before="240" w:line="259" w:lineRule="auto"/>
      <w:jc w:val="left"/>
      <w:outlineLvl w:val="9"/>
    </w:pPr>
    <w:rPr>
      <w:rFonts w:ascii="Cambria" w:hAnsi="Cambria"/>
      <w:color w:val="365F91"/>
      <w:kern w:val="0"/>
      <w:sz w:val="32"/>
      <w:szCs w:val="32"/>
    </w:rPr>
  </w:style>
  <w:style w:type="paragraph" w:customStyle="1" w:styleId="98">
    <w:name w:val="p16"/>
    <w:basedOn w:val="1"/>
    <w:autoRedefine/>
    <w:qFormat/>
    <w:uiPriority w:val="0"/>
    <w:pPr>
      <w:widowControl/>
    </w:pPr>
    <w:rPr>
      <w:kern w:val="0"/>
      <w:szCs w:val="21"/>
    </w:rPr>
  </w:style>
  <w:style w:type="character" w:customStyle="1" w:styleId="99">
    <w:name w:val="font41"/>
    <w:basedOn w:val="26"/>
    <w:qFormat/>
    <w:uiPriority w:val="0"/>
    <w:rPr>
      <w:rFonts w:hint="eastAsia" w:ascii="宋体" w:hAnsi="宋体" w:eastAsia="宋体" w:cs="宋体"/>
      <w:b/>
      <w:color w:val="000000"/>
      <w:sz w:val="24"/>
      <w:szCs w:val="24"/>
    </w:rPr>
  </w:style>
  <w:style w:type="character" w:customStyle="1" w:styleId="100">
    <w:name w:val="font91"/>
    <w:basedOn w:val="26"/>
    <w:qFormat/>
    <w:uiPriority w:val="0"/>
    <w:rPr>
      <w:rFonts w:hint="eastAsia" w:ascii="方正仿宋_GBK" w:hAnsi="方正仿宋_GBK" w:eastAsia="方正仿宋_GBK" w:cs="方正仿宋_GBK"/>
      <w:b/>
      <w:bCs/>
      <w:color w:val="000000"/>
      <w:sz w:val="28"/>
      <w:szCs w:val="28"/>
      <w:u w:val="none"/>
    </w:rPr>
  </w:style>
  <w:style w:type="character" w:customStyle="1" w:styleId="101">
    <w:name w:val="font11"/>
    <w:basedOn w:val="26"/>
    <w:qFormat/>
    <w:uiPriority w:val="0"/>
    <w:rPr>
      <w:rFonts w:hint="eastAsia" w:ascii="宋体" w:hAnsi="宋体" w:eastAsia="宋体" w:cs="宋体"/>
      <w:color w:val="000000"/>
      <w:sz w:val="24"/>
      <w:szCs w:val="24"/>
    </w:rPr>
  </w:style>
  <w:style w:type="character" w:customStyle="1" w:styleId="102">
    <w:name w:val="font101"/>
    <w:basedOn w:val="26"/>
    <w:qFormat/>
    <w:uiPriority w:val="0"/>
    <w:rPr>
      <w:rFonts w:hint="eastAsia" w:ascii="方正仿宋_GBK" w:hAnsi="方正仿宋_GBK" w:eastAsia="方正仿宋_GBK" w:cs="方正仿宋_GBK"/>
      <w:color w:val="000000"/>
      <w:sz w:val="24"/>
      <w:szCs w:val="24"/>
      <w:u w:val="none"/>
    </w:rPr>
  </w:style>
  <w:style w:type="paragraph" w:customStyle="1" w:styleId="103">
    <w:name w:val="table of authorities"/>
    <w:basedOn w:val="1"/>
    <w:next w:val="1"/>
    <w:qFormat/>
    <w:uiPriority w:val="0"/>
    <w:pPr>
      <w:ind w:left="420" w:leftChars="200"/>
    </w:pPr>
  </w:style>
  <w:style w:type="paragraph" w:customStyle="1" w:styleId="104">
    <w:name w:val="标题 21"/>
    <w:basedOn w:val="1"/>
    <w:qFormat/>
    <w:uiPriority w:val="0"/>
    <w:pPr>
      <w:keepNext/>
      <w:keepLines/>
      <w:snapToGrid w:val="0"/>
      <w:spacing w:line="360" w:lineRule="auto"/>
      <w:outlineLvl w:val="1"/>
    </w:pPr>
    <w:rPr>
      <w:rFonts w:ascii="宋体" w:hAnsi="宋体" w:eastAsia="等线" w:cs="等线"/>
      <w:sz w:val="28"/>
      <w:szCs w:val="20"/>
    </w:rPr>
  </w:style>
  <w:style w:type="paragraph" w:customStyle="1" w:styleId="105">
    <w:name w:val="标题 11"/>
    <w:basedOn w:val="1"/>
    <w:uiPriority w:val="0"/>
    <w:pPr>
      <w:keepNext/>
      <w:tabs>
        <w:tab w:val="left" w:pos="3360"/>
      </w:tabs>
      <w:snapToGrid w:val="0"/>
      <w:spacing w:before="312" w:after="156" w:line="800" w:lineRule="atLeast"/>
      <w:jc w:val="center"/>
      <w:outlineLvl w:val="0"/>
    </w:pPr>
    <w:rPr>
      <w:rFonts w:eastAsia="黑体" w:cs="等线"/>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6DDD2-E104-4E91-93F2-D217CAF410F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36</Pages>
  <Words>17038</Words>
  <Characters>17649</Characters>
  <Lines>88</Lines>
  <Paragraphs>24</Paragraphs>
  <TotalTime>2</TotalTime>
  <ScaleCrop>false</ScaleCrop>
  <LinksUpToDate>false</LinksUpToDate>
  <CharactersWithSpaces>18390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2021-12-13T02:06:00Z</dcterms:created>
  <dc:creator>Administrator</dc:creator>
  <cp:lastModifiedBy>WPS_1664260647</cp:lastModifiedBy>
  <cp:lastPrinted>2025-09-08T03:20:00Z</cp:lastPrinted>
  <dcterms:modified xsi:type="dcterms:W3CDTF">2025-09-24T09:23:22Z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ED4B6F64AB4D45A3A4E907879C0ECF96_13</vt:lpwstr>
  </property>
  <property fmtid="{D5CDD505-2E9C-101B-9397-08002B2CF9AE}" pid="4" name="KSOTemplateDocerSaveRecord">
    <vt:lpwstr>eyJoZGlkIjoiZDNlYmU0NWQzOWQzNDVhOGE1YWI5YmY3MzRlNzNhZGUiLCJ1c2VySWQiOiI1NDg4NjcxOTEifQ==</vt:lpwstr>
  </property>
</Properties>
</file>