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垫江县县城新型城镇化建设示范项目（垫江县创意产业园）生化池、隔油池分包合同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垫江县县城新型城镇化建设示范项目（垫江县创意产业园）生化池、隔油池分包合同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垫江县县城新型城镇化建设示范项目（垫江县创意产业园）生化池、隔油池分包。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详见施工图及施工图集</w:t>
      </w:r>
      <w:bookmarkStart w:id="0" w:name="_GoBack"/>
      <w:bookmarkEnd w:id="0"/>
      <w:r>
        <w:rPr>
          <w:rFonts w:hint="eastAsia" w:ascii="方正仿宋_GBK" w:hAnsi="方正仿宋_GBK" w:eastAsia="方正仿宋_GBK" w:cs="方正仿宋_GBK"/>
          <w:sz w:val="28"/>
          <w:u w:val="single"/>
          <w:lang w:eastAsia="zh-CN"/>
        </w:rPr>
        <w:t>、清单、《垫江县县城新型城镇化建设示范项目（垫江县创意产业园）生化池、隔油池分包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35FBF2F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土石方开挖回填、余方弃置（采购人不提供渣场，渣场费用包含在内）、混凝土浇筑、管道安装等。</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具体工作内容详见工程量清单。</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含上下车及运输费用）、设备费、施工机具使用费、企业管理费、利润、一般风险费、措施项目费（含临时设施费）、施工技术措施项目费、施工组织措施项目费、甲供材料转运费及上下车费、安全文明施工费等、保险费（含意外伤害保险及第三者责任险等）、多次转运费、吊装费、多次进出场费（若涉及）、施工配合费（若需与其他班组配合）、其他项目费、验收费、规费、税金（增值税专用发票税率为9%）、项目资料费、招标文件及合同约定的相关费用、政策性文件规定的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49F398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（1）全费用综合单价包干，工程量按实际完成的合格工程量结算，结算总价=成交全费用综合单价×实际合格工程量+变更（签证）部分价款。</w:t>
      </w:r>
    </w:p>
    <w:p w14:paraId="6F814D7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或合同外的新增工程，工程内容与采购工程量清单中有相同或相似的子项清单，则按成交全费用综合单价的价格执行，若变更工程内容与采购工程量清单中无相同项目亦无类似项目的，按相关的重庆2018计价定额组价后总价（措施费不计算）下浮（下浮率以成交总价与总价最高限价的下浮率同比例下浮，若计算后的下浮比例小于15%的，按总价下浮15%后的价格进行结算）后进行结算。其中：人材机按成交当月重庆信息价执行，信息价中没有的材料价双方认质认价共同确定（认质认价材料不参与下浮）。</w:t>
      </w:r>
    </w:p>
    <w:p w14:paraId="62F14FC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成交供应商必须实事求是编制结算，严禁高估冒算。如结算审减率超过5%（审减金额与送审金额之比）的，采购人对成交供应商实施处罚，处罚金额为审减率5%以外的审减额的30%，采购人在支付工程款时直接扣除。</w:t>
      </w:r>
    </w:p>
    <w:p w14:paraId="51CBB2F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p>
    <w:p w14:paraId="5143EF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sz w:val="28"/>
          <w:u w:val="none"/>
          <w:lang w:val="en-US" w:eastAsia="zh-CN"/>
        </w:rPr>
        <w:t>（5）清单内生物填料一项为暂估价，施工完毕后据实结算。</w:t>
      </w:r>
      <w:r>
        <w:rPr>
          <w:rFonts w:hint="eastAsia" w:ascii="方正仿宋_GBK" w:hAnsi="方正仿宋_GBK" w:eastAsia="方正仿宋_GBK" w:cs="方正仿宋_GBK"/>
          <w:b w:val="0"/>
          <w:bCs w:val="0"/>
          <w:sz w:val="28"/>
          <w:u w:val="none"/>
          <w:lang w:val="en-US" w:eastAsia="zh-CN"/>
        </w:rPr>
        <w:t>。</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eastAsia="zh-CN"/>
        </w:rPr>
        <w:t>完工验收合格</w:t>
      </w:r>
      <w:r>
        <w:rPr>
          <w:rFonts w:hint="eastAsia" w:ascii="方正仿宋_GBK" w:hAnsi="方正仿宋_GBK" w:eastAsia="方正仿宋_GBK" w:cs="方正仿宋_GBK"/>
          <w:sz w:val="28"/>
          <w:u w:val="none"/>
          <w:lang w:val="en-US" w:eastAsia="zh-CN"/>
        </w:rPr>
        <w:t>并办理结算后</w:t>
      </w:r>
      <w:r>
        <w:rPr>
          <w:rFonts w:hint="eastAsia" w:ascii="方正仿宋_GBK" w:hAnsi="方正仿宋_GBK" w:eastAsia="方正仿宋_GBK" w:cs="方正仿宋_GBK"/>
          <w:sz w:val="28"/>
          <w:u w:val="none"/>
          <w:lang w:eastAsia="zh-CN"/>
        </w:rPr>
        <w:t>支付至结算金额的97%。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non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non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60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《垫江县县城新型城镇化建设示范项目（垫江县创意产业园）生化池、隔油池分包竞争性比选公告》；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乙方对《垫江县县城新型城镇化建设示范项目（垫江县创意产业园）生化池、隔油池分包竞争性比选公告》的响应文件。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垫江县县城新型城镇化建设示范项目（垫江县创意产业园）生化池、隔油池分包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4650FA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60E265E"/>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529</Words>
  <Characters>538</Characters>
  <Lines>191</Lines>
  <Paragraphs>108</Paragraphs>
  <TotalTime>1</TotalTime>
  <ScaleCrop>false</ScaleCrop>
  <LinksUpToDate>false</LinksUpToDate>
  <CharactersWithSpaces>594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2025-09-19T06:21:06Z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2052-12.1.0.22529</vt:lpwstr>
  </property>
  <property fmtid="{D5CDD505-2E9C-101B-9397-08002B2CF9AE}" pid="4" name="KSOTemplateDocerSaveRecord">
    <vt:lpwstr>eyJoZGlkIjoiNTVkZTIyYTQ0ZDUzMGU3MjA1N2FmYmNkYmM4YThkZDQiLCJ1c2VySWQiOiIyNjQwMDM1OTQifQ==</vt:lpwstr>
  </property>
</Properties>
</file>