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1"/>
        </w:tabs>
        <w:jc w:val="center"/>
        <w:rPr>
          <w:rFonts w:hint="eastAsia" w:ascii="宋体" w:hAnsi="宋体" w:eastAsia="宋体" w:cs="Times New Roman"/>
          <w:bCs/>
          <w:color w:val="000000"/>
          <w:sz w:val="52"/>
          <w:szCs w:val="52"/>
          <w:lang w:val="en-US" w:eastAsia="zh-CN"/>
        </w:rPr>
      </w:pPr>
    </w:p>
    <w:p>
      <w:pPr>
        <w:pStyle w:val="6"/>
        <w:rPr>
          <w:rFonts w:hint="eastAsia"/>
          <w:lang w:val="en-US" w:eastAsia="zh-CN"/>
        </w:rPr>
      </w:pPr>
    </w:p>
    <w:p>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w:t>
      </w:r>
      <w:bookmarkStart w:id="3" w:name="_GoBack"/>
      <w:bookmarkEnd w:id="3"/>
      <w:r>
        <w:rPr>
          <w:rFonts w:hint="eastAsia" w:asciiTheme="majorEastAsia" w:hAnsiTheme="majorEastAsia" w:eastAsiaTheme="majorEastAsia" w:cstheme="majorEastAsia"/>
          <w:b/>
          <w:bCs w:val="0"/>
          <w:color w:val="auto"/>
          <w:sz w:val="52"/>
          <w:szCs w:val="52"/>
          <w:lang w:val="en-US" w:eastAsia="zh-CN"/>
        </w:rPr>
        <w:t>28套住宅</w:t>
      </w:r>
      <w:bookmarkEnd w:id="0"/>
      <w:r>
        <w:rPr>
          <w:rFonts w:hint="eastAsia" w:asciiTheme="majorEastAsia" w:hAnsiTheme="majorEastAsia" w:eastAsiaTheme="majorEastAsia" w:cstheme="majorEastAsia"/>
          <w:b/>
          <w:bCs w:val="0"/>
          <w:color w:val="auto"/>
          <w:sz w:val="52"/>
          <w:szCs w:val="52"/>
          <w:lang w:val="en-US" w:eastAsia="zh-CN"/>
        </w:rPr>
        <w:t>窗帘采购项目</w:t>
      </w:r>
    </w:p>
    <w:p>
      <w:pPr>
        <w:pStyle w:val="3"/>
        <w:rPr>
          <w:rFonts w:hint="eastAsia"/>
          <w:lang w:val="en-US" w:eastAsia="zh-CN"/>
        </w:rPr>
      </w:pPr>
    </w:p>
    <w:p>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center"/>
        <w:rPr>
          <w:rFonts w:hint="eastAsia" w:ascii="宋体" w:hAnsi="宋体" w:eastAsia="宋体" w:cs="Times New Roman"/>
          <w:bCs/>
          <w:color w:val="000000"/>
          <w:sz w:val="36"/>
          <w:lang w:val="en-US" w:eastAsia="zh-CN"/>
        </w:rPr>
      </w:pPr>
    </w:p>
    <w:p>
      <w:pPr>
        <w:tabs>
          <w:tab w:val="left" w:pos="6201"/>
        </w:tabs>
        <w:ind w:left="720" w:hanging="720" w:hangingChars="200"/>
        <w:jc w:val="right"/>
        <w:rPr>
          <w:rFonts w:hint="eastAsia" w:ascii="宋体" w:hAnsi="宋体" w:eastAsia="宋体" w:cs="Times New Roman"/>
          <w:bCs/>
          <w:color w:val="000000"/>
          <w:sz w:val="36"/>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shd w:val="clear" w:color="auto" w:fill="FFFFFF"/>
        <w:spacing w:line="720" w:lineRule="auto"/>
        <w:rPr>
          <w:rFonts w:ascii="宋体" w:hAnsi="宋体"/>
          <w:color w:val="000000"/>
          <w:sz w:val="44"/>
        </w:rPr>
      </w:pPr>
    </w:p>
    <w:p>
      <w:pPr>
        <w:tabs>
          <w:tab w:val="left" w:pos="6201"/>
        </w:tabs>
        <w:rPr>
          <w:rFonts w:hint="eastAsia" w:ascii="宋体" w:hAnsi="宋体"/>
          <w:b/>
          <w:color w:val="000000"/>
          <w:sz w:val="36"/>
        </w:rPr>
      </w:pPr>
      <w:r>
        <w:rPr>
          <w:rFonts w:hint="eastAsia" w:ascii="宋体" w:hAnsi="宋体"/>
          <w:b/>
          <w:color w:val="000000"/>
          <w:sz w:val="36"/>
        </w:rPr>
        <w:t xml:space="preserve">           </w:t>
      </w:r>
    </w:p>
    <w:p>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pPr>
        <w:spacing w:line="360" w:lineRule="auto"/>
        <w:jc w:val="center"/>
        <w:rPr>
          <w:rFonts w:hint="eastAsia"/>
          <w:b/>
          <w:sz w:val="44"/>
          <w:szCs w:val="44"/>
          <w:lang w:eastAsia="zh-CN"/>
        </w:rPr>
      </w:pPr>
    </w:p>
    <w:p>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cs="宋体"/>
                <w:sz w:val="24"/>
                <w:szCs w:val="24"/>
                <w:lang w:eastAsia="zh-CN"/>
              </w:rPr>
              <w:t>窗帘</w:t>
            </w:r>
            <w:r>
              <w:rPr>
                <w:rFonts w:hint="eastAsia" w:ascii="宋体" w:hAnsi="宋体" w:eastAsia="宋体" w:cs="宋体"/>
                <w:sz w:val="24"/>
                <w:szCs w:val="24"/>
                <w:lang w:val="en-US" w:eastAsia="zh-CN"/>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布帘（折褶率1：1.5）约950m²、纱帘（折褶率1：1.5）约950m²、罗马杆（挂钩式）约225*2m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布帘最高限价（包干单价）11.00元/m²</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default"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纱帘最高限价（包干单价）6.00元/m²</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罗马杆最高限价（包干单价）23.00元/m</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单项合同估算金额：26500.00元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w:t>
            </w:r>
            <w:r>
              <w:rPr>
                <w:rFonts w:hint="eastAsia" w:ascii="宋体" w:hAnsi="宋体" w:eastAsia="宋体" w:cs="宋体"/>
                <w:color w:val="auto"/>
                <w:kern w:val="0"/>
                <w:sz w:val="24"/>
                <w:szCs w:val="24"/>
                <w:highlight w:val="none"/>
                <w:u w:val="none"/>
                <w:lang w:val="en-US" w:eastAsia="zh-CN"/>
              </w:rPr>
              <w:t>在垫江县人民政府网、重庆渝垫国有资产经营集团有限公司</w:t>
            </w:r>
            <w:r>
              <w:rPr>
                <w:rFonts w:hint="eastAsia" w:ascii="宋体" w:hAnsi="宋体" w:cs="宋体"/>
                <w:color w:val="auto"/>
                <w:kern w:val="0"/>
                <w:sz w:val="24"/>
                <w:szCs w:val="24"/>
                <w:highlight w:val="none"/>
                <w:u w:val="none"/>
                <w:lang w:val="en-US" w:eastAsia="zh-CN"/>
              </w:rPr>
              <w:t>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参与竞争性谈判的报价应包含但不限于完成谈判范围内项目的安装调试人工费、设施设备及主辅材料（包含但不限于挂钩、支座、堵头、卷边、衬带等）、打孔及恢复、涨跌价风险、措施费（含安全文明施工费）、场地清洁及除渣费、运输卸车转运费、税费等费用及完成全部工作内容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14</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cs="宋体"/>
                <w:sz w:val="24"/>
                <w:szCs w:val="24"/>
                <w:lang w:val="en-US" w:eastAsia="zh-CN"/>
              </w:rPr>
              <w:t>窗帘</w:t>
            </w:r>
            <w:r>
              <w:rPr>
                <w:rFonts w:hint="eastAsia" w:ascii="宋体" w:hAnsi="宋体" w:cs="宋体"/>
                <w:color w:val="auto"/>
                <w:kern w:val="0"/>
                <w:sz w:val="24"/>
                <w:szCs w:val="24"/>
                <w:highlight w:val="none"/>
                <w:u w:val="none"/>
                <w:lang w:val="en-US" w:eastAsia="zh-CN"/>
              </w:rPr>
              <w:t>竞争性谈判响应文件”。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14</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，邮件名称“西湖小区人才公寓6栋窗帘竞争谈判响应文件”。</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14</w:t>
            </w:r>
            <w:r>
              <w:rPr>
                <w:rFonts w:hint="eastAsia" w:ascii="宋体" w:hAnsi="宋体" w:cs="宋体"/>
                <w:color w:val="auto"/>
                <w:kern w:val="0"/>
                <w:sz w:val="24"/>
                <w:szCs w:val="24"/>
                <w:highlight w:val="yellow"/>
                <w:u w:val="none"/>
                <w:lang w:val="en-US" w:eastAsia="zh-CN"/>
              </w:rPr>
              <w:t>日15：30谈判小组在财富大厦1611会议室随机、逐一与有效响应文件的供应商谈判。谈判中，谈判的任何一方不得透露与谈判有关的其他供应商的技术资料、价格和其他信息。（供应商参加谈判时须提供样品，样品满足采购人要求。）</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5" w:type="dxa"/>
            <w:vAlign w:val="center"/>
          </w:tcPr>
          <w:p>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pPr>
              <w:numPr>
                <w:ilvl w:val="0"/>
                <w:numId w:val="2"/>
              </w:numPr>
              <w:shd w:val="clear" w:color="auto" w:fill="auto"/>
              <w:kinsoku/>
              <w:wordWrap/>
              <w:overflowPunct/>
              <w:topLinePunct w:val="0"/>
              <w:bidi w:val="0"/>
              <w:adjustRightInd w:val="0"/>
              <w:spacing w:line="380" w:lineRule="atLeast"/>
              <w:ind w:firstLine="420" w:firstLineChars="200"/>
              <w:jc w:val="both"/>
              <w:rPr>
                <w:rFonts w:hint="eastAsia"/>
                <w:lang w:val="en-US" w:eastAsia="zh-CN"/>
              </w:rPr>
            </w:pPr>
            <w:r>
              <w:rPr>
                <w:rFonts w:hint="eastAsia"/>
                <w:lang w:val="en-US" w:eastAsia="zh-CN"/>
              </w:rPr>
              <w:t>因完成工作内容损毁原有设施设备由成交人负责恢复原貌或照价赔偿。</w:t>
            </w:r>
          </w:p>
          <w:p>
            <w:pPr>
              <w:pStyle w:val="2"/>
              <w:numPr>
                <w:ilvl w:val="0"/>
                <w:numId w:val="0"/>
              </w:numPr>
              <w:ind w:firstLine="420" w:firstLineChars="200"/>
              <w:rPr>
                <w:rFonts w:hint="eastAsia"/>
                <w:lang w:val="en-US" w:eastAsia="zh-CN"/>
              </w:rPr>
            </w:pPr>
            <w:r>
              <w:rPr>
                <w:rFonts w:hint="eastAsia" w:eastAsia="宋体" w:cs="Times New Roman"/>
                <w:kern w:val="2"/>
                <w:sz w:val="21"/>
                <w:szCs w:val="24"/>
                <w:lang w:val="en-US" w:eastAsia="zh-CN" w:bidi="ar-SA"/>
              </w:rPr>
              <w:t>2、供应商参加谈判时须提供样品，</w:t>
            </w:r>
            <w:r>
              <w:rPr>
                <w:rFonts w:hint="eastAsia" w:ascii="Times New Roman" w:hAnsi="Times New Roman" w:eastAsia="宋体" w:cs="Times New Roman"/>
                <w:kern w:val="2"/>
                <w:sz w:val="21"/>
                <w:szCs w:val="24"/>
                <w:lang w:val="en-US" w:eastAsia="zh-CN" w:bidi="ar-SA"/>
              </w:rPr>
              <w:t>样品满足采购人要求。</w:t>
            </w:r>
          </w:p>
        </w:tc>
      </w:tr>
    </w:tbl>
    <w:p>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pPr>
        <w:rPr>
          <w:rFonts w:hint="eastAsia"/>
          <w:lang w:val="en-US" w:eastAsia="zh-CN"/>
        </w:rPr>
      </w:pPr>
    </w:p>
    <w:p>
      <w:pPr>
        <w:rPr>
          <w:rFonts w:hint="eastAsia"/>
          <w:lang w:val="en-US" w:eastAsia="zh-CN"/>
        </w:rPr>
      </w:pPr>
    </w:p>
    <w:p>
      <w:pPr>
        <w:pStyle w:val="18"/>
        <w:rPr>
          <w:rFonts w:hint="eastAsia"/>
          <w:lang w:val="en-US" w:eastAsia="zh-CN"/>
        </w:rPr>
      </w:pPr>
    </w:p>
    <w:p>
      <w:pPr>
        <w:rPr>
          <w:rFonts w:hint="eastAsia"/>
          <w:lang w:val="en-US" w:eastAsia="zh-CN"/>
        </w:rPr>
      </w:pPr>
    </w:p>
    <w:p>
      <w:pPr>
        <w:pStyle w:val="18"/>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6"/>
        <w:rPr>
          <w:rFonts w:ascii="微软雅黑" w:hAnsi="微软雅黑" w:eastAsia="微软雅黑" w:cs="微软雅黑"/>
          <w:i w:val="0"/>
          <w:iCs w:val="0"/>
          <w:caps w:val="0"/>
          <w:color w:val="000000"/>
          <w:spacing w:val="0"/>
          <w:sz w:val="20"/>
          <w:szCs w:val="20"/>
          <w:shd w:val="clear" w:color="auto" w:fill="FFFFFF"/>
        </w:rPr>
      </w:pPr>
    </w:p>
    <w:p>
      <w:pPr>
        <w:rPr>
          <w:rFonts w:ascii="微软雅黑" w:hAnsi="微软雅黑" w:eastAsia="微软雅黑" w:cs="微软雅黑"/>
          <w:i w:val="0"/>
          <w:iCs w:val="0"/>
          <w:caps w:val="0"/>
          <w:color w:val="000000"/>
          <w:spacing w:val="0"/>
          <w:sz w:val="20"/>
          <w:szCs w:val="20"/>
          <w:shd w:val="clear" w:color="auto" w:fill="FFFFFF"/>
        </w:rPr>
      </w:pPr>
    </w:p>
    <w:p>
      <w:pPr>
        <w:pStyle w:val="18"/>
        <w:kinsoku/>
        <w:wordWrap/>
        <w:overflowPunct/>
        <w:topLinePunct w:val="0"/>
        <w:bidi w:val="0"/>
        <w:spacing w:before="0" w:line="380" w:lineRule="atLeast"/>
        <w:ind w:left="0" w:leftChars="0"/>
        <w:rPr>
          <w:rFonts w:hint="default"/>
          <w:lang w:val="en-US" w:eastAsia="zh-CN"/>
        </w:rPr>
      </w:pPr>
    </w:p>
    <w:p>
      <w:pPr>
        <w:rPr>
          <w:rFonts w:hint="default"/>
          <w:lang w:val="en-US" w:eastAsia="zh-CN"/>
        </w:rPr>
      </w:pPr>
    </w:p>
    <w:p>
      <w:pPr>
        <w:pStyle w:val="3"/>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jc w:val="center"/>
        <w:rPr>
          <w:rFonts w:hint="eastAsia" w:ascii="方正小标宋_GBK" w:hAnsi="方正小标宋_GBK" w:eastAsia="方正小标宋_GBK" w:cs="方正小标宋_GBK"/>
          <w:sz w:val="44"/>
          <w:szCs w:val="44"/>
          <w:lang w:eastAsia="zh-CN"/>
        </w:rPr>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pPr>
        <w:pStyle w:val="18"/>
        <w:rPr>
          <w:rFonts w:hint="eastAsia"/>
        </w:rPr>
      </w:pPr>
    </w:p>
    <w:p>
      <w:pPr>
        <w:jc w:val="center"/>
        <w:rPr>
          <w:rFonts w:hint="eastAsia" w:eastAsia="宋体"/>
          <w:lang w:eastAsia="zh-CN"/>
        </w:rPr>
      </w:pPr>
      <w:r>
        <w:rPr>
          <w:rFonts w:hint="eastAsia"/>
          <w:lang w:eastAsia="zh-CN"/>
        </w:rPr>
        <w:t>（封面）</w:t>
      </w: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rPr>
          <w:rFonts w:hint="eastAsia"/>
        </w:rPr>
      </w:pPr>
    </w:p>
    <w:p>
      <w:pPr>
        <w:pStyle w:val="18"/>
        <w:rPr>
          <w:rFonts w:hint="eastAsia"/>
        </w:rPr>
      </w:pPr>
    </w:p>
    <w:p>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垫江县西湖小区人才公寓6栋28套住宅窗帘采购</w:t>
      </w:r>
    </w:p>
    <w:p>
      <w:pPr>
        <w:pStyle w:val="18"/>
        <w:rPr>
          <w:rFonts w:hint="eastAsia"/>
          <w:b w:val="0"/>
          <w:bCs w:val="0"/>
          <w:lang w:eastAsia="zh-CN"/>
        </w:rPr>
      </w:pPr>
    </w:p>
    <w:p>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pPr>
        <w:pStyle w:val="18"/>
        <w:rPr>
          <w:rFonts w:hint="eastAsia"/>
          <w:b w:val="0"/>
          <w:bCs w:val="0"/>
          <w:lang w:eastAsia="zh-CN"/>
        </w:rPr>
      </w:pPr>
    </w:p>
    <w:p>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pPr>
        <w:rPr>
          <w:rFonts w:hint="eastAsia" w:ascii="Times New Roman" w:hAnsi="Times New Roman" w:eastAsia="宋体" w:cs="Times New Roman"/>
          <w:b w:val="0"/>
          <w:bCs w:val="0"/>
          <w:kern w:val="2"/>
          <w:sz w:val="30"/>
          <w:szCs w:val="30"/>
          <w:lang w:val="en-US" w:eastAsia="zh-CN" w:bidi="ar-SA"/>
        </w:rPr>
      </w:pPr>
    </w:p>
    <w:p>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pPr>
        <w:pStyle w:val="18"/>
        <w:rPr>
          <w:rFonts w:hint="eastAsia"/>
          <w:lang w:eastAsia="zh-CN"/>
        </w:rPr>
      </w:pPr>
    </w:p>
    <w:p>
      <w:pPr>
        <w:pStyle w:val="18"/>
        <w:rPr>
          <w:rFonts w:hint="eastAsia"/>
        </w:rPr>
      </w:pPr>
    </w:p>
    <w:p>
      <w:pPr>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2"/>
        <w:ind w:left="0" w:leftChars="0" w:firstLine="0" w:firstLineChars="0"/>
        <w:rPr>
          <w:rFonts w:hint="eastAsia"/>
        </w:rPr>
      </w:pPr>
    </w:p>
    <w:p>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pPr>
        <w:tabs>
          <w:tab w:val="left" w:pos="5565"/>
        </w:tabs>
        <w:autoSpaceDE w:val="0"/>
        <w:autoSpaceDN w:val="0"/>
        <w:adjustRightInd w:val="0"/>
        <w:snapToGrid w:val="0"/>
        <w:rPr>
          <w:rFonts w:hint="eastAsia" w:ascii="宋体" w:hAnsi="宋体" w:eastAsia="宋体" w:cs="宋体"/>
          <w:color w:val="000000"/>
          <w:kern w:val="0"/>
          <w:sz w:val="30"/>
          <w:szCs w:val="30"/>
        </w:rPr>
      </w:pPr>
    </w:p>
    <w:p>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pPr>
                        <w:rPr>
                          <w:rFonts w:hint="default" w:eastAsia="宋体"/>
                          <w:lang w:val="en-US" w:eastAsia="zh-CN"/>
                        </w:rPr>
                      </w:pPr>
                      <w:r>
                        <w:rPr>
                          <w:rFonts w:hint="eastAsia"/>
                          <w:lang w:val="en-US" w:eastAsia="zh-CN"/>
                        </w:rPr>
                        <w:t xml:space="preserve">   </w:t>
                      </w:r>
                    </w:p>
                  </w:txbxContent>
                </v:textbox>
              </v:rect>
            </w:pict>
          </mc:Fallback>
        </mc:AlternateContent>
      </w:r>
    </w:p>
    <w:p>
      <w:pPr>
        <w:tabs>
          <w:tab w:val="left" w:pos="142"/>
        </w:tabs>
        <w:rPr>
          <w:rFonts w:hint="eastAsia" w:ascii="宋体" w:hAnsi="宋体" w:eastAsia="宋体" w:cs="宋体"/>
          <w:color w:val="000000"/>
          <w:sz w:val="28"/>
          <w:szCs w:val="28"/>
        </w:rPr>
      </w:pPr>
    </w:p>
    <w:p>
      <w:pPr>
        <w:tabs>
          <w:tab w:val="left" w:pos="142"/>
        </w:tabs>
        <w:rPr>
          <w:rFonts w:hint="eastAsia" w:ascii="宋体" w:hAnsi="宋体" w:eastAsia="宋体" w:cs="宋体"/>
          <w:color w:val="000000"/>
          <w:sz w:val="28"/>
          <w:szCs w:val="28"/>
        </w:rPr>
      </w:pPr>
    </w:p>
    <w:p>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pPr>
        <w:pStyle w:val="18"/>
        <w:rPr>
          <w:rFonts w:hint="eastAsia" w:ascii="宋体" w:hAnsi="宋体" w:eastAsia="宋体" w:cs="宋体"/>
          <w:color w:val="000000"/>
          <w:sz w:val="28"/>
          <w:szCs w:val="28"/>
        </w:rPr>
      </w:pPr>
    </w:p>
    <w:p>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pPr>
        <w:rPr>
          <w:rFonts w:hint="eastAsia"/>
          <w:sz w:val="10"/>
          <w:szCs w:val="10"/>
        </w:rPr>
      </w:pPr>
    </w:p>
    <w:p>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pPr>
        <w:autoSpaceDE w:val="0"/>
        <w:autoSpaceDN w:val="0"/>
        <w:adjustRightInd w:val="0"/>
        <w:snapToGrid w:val="0"/>
        <w:ind w:firstLine="600" w:firstLineChars="200"/>
        <w:rPr>
          <w:rFonts w:hint="eastAsia" w:ascii="宋体" w:hAnsi="宋体" w:eastAsia="宋体" w:cs="宋体"/>
          <w:color w:val="000000"/>
          <w:kern w:val="0"/>
          <w:sz w:val="30"/>
          <w:szCs w:val="30"/>
        </w:rPr>
      </w:pPr>
    </w:p>
    <w:p>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为我方代理人。代理人根据授权，以我方名义签署、澄清、说明、补正、递交、撤回、修改垫江县西湖小区人才公寓6栋28套住宅窗帘采购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p>
                      <w:pPr>
                        <w:pStyle w:val="18"/>
                      </w:pPr>
                    </w:p>
                    <w:p/>
                    <w:p>
                      <w:pPr>
                        <w:pStyle w:val="18"/>
                      </w:pPr>
                    </w:p>
                    <w:p>
                      <w:pPr>
                        <w:pStyle w:val="18"/>
                        <w:rPr>
                          <w:rFonts w:hint="eastAsia" w:eastAsia="宋体"/>
                          <w:lang w:val="en-US" w:eastAsia="zh-CN"/>
                        </w:rPr>
                      </w:pPr>
                    </w:p>
                    <w:p>
                      <w:pPr>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pPr>
                        <w:rPr>
                          <w:sz w:val="18"/>
                          <w:szCs w:val="18"/>
                        </w:rPr>
                      </w:pPr>
                    </w:p>
                  </w:txbxContent>
                </v:textbox>
              </v:rect>
            </w:pict>
          </mc:Fallback>
        </mc:AlternateContent>
      </w:r>
    </w:p>
    <w:p>
      <w:pPr>
        <w:ind w:firstLine="560" w:firstLineChars="200"/>
        <w:rPr>
          <w:rFonts w:hint="eastAsia" w:ascii="宋体" w:hAnsi="宋体" w:eastAsia="宋体" w:cs="宋体"/>
          <w:color w:val="000000"/>
          <w:sz w:val="28"/>
          <w:szCs w:val="28"/>
        </w:rPr>
      </w:pPr>
    </w:p>
    <w:p>
      <w:pPr>
        <w:ind w:firstLine="560" w:firstLineChars="200"/>
        <w:rPr>
          <w:rFonts w:hint="eastAsia" w:ascii="宋体" w:hAnsi="宋体" w:eastAsia="宋体" w:cs="宋体"/>
          <w:color w:val="000000"/>
          <w:sz w:val="28"/>
          <w:szCs w:val="28"/>
        </w:rPr>
      </w:pPr>
    </w:p>
    <w:p>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pPr>
        <w:pStyle w:val="2"/>
        <w:rPr>
          <w:rFonts w:hint="eastAsia" w:ascii="宋体" w:hAnsi="宋体" w:eastAsia="宋体" w:cs="宋体"/>
          <w:color w:val="000000"/>
          <w:sz w:val="21"/>
          <w:szCs w:val="21"/>
        </w:rPr>
      </w:pPr>
    </w:p>
    <w:p>
      <w:pPr>
        <w:pStyle w:val="2"/>
        <w:rPr>
          <w:rFonts w:hint="eastAsia" w:ascii="宋体" w:hAnsi="宋体" w:eastAsia="宋体" w:cs="宋体"/>
          <w:color w:val="000000"/>
          <w:sz w:val="21"/>
          <w:szCs w:val="21"/>
        </w:rPr>
      </w:pPr>
    </w:p>
    <w:p>
      <w:pPr>
        <w:pStyle w:val="18"/>
        <w:rPr>
          <w:rFonts w:hint="eastAsia"/>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pPr>
        <w:pStyle w:val="2"/>
        <w:rPr>
          <w:rFonts w:hint="eastAsia"/>
          <w:sz w:val="18"/>
          <w:szCs w:val="18"/>
        </w:rPr>
      </w:pPr>
    </w:p>
    <w:p>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pPr>
        <w:pStyle w:val="18"/>
        <w:rPr>
          <w:rFonts w:hint="eastAsia"/>
          <w:sz w:val="10"/>
          <w:szCs w:val="10"/>
        </w:rPr>
      </w:pPr>
    </w:p>
    <w:p>
      <w:pPr>
        <w:rPr>
          <w:rFonts w:hint="eastAsia"/>
          <w:sz w:val="10"/>
          <w:szCs w:val="10"/>
        </w:rPr>
      </w:pPr>
    </w:p>
    <w:p>
      <w:pPr>
        <w:rPr>
          <w:rFonts w:hint="eastAsia"/>
        </w:rPr>
      </w:pPr>
    </w:p>
    <w:p>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pPr>
        <w:rPr>
          <w:rFonts w:hint="eastAsia"/>
        </w:rPr>
      </w:pPr>
    </w:p>
    <w:p>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pPr>
        <w:rPr>
          <w:rFonts w:hint="eastAsia" w:ascii="宋体" w:hAnsi="宋体" w:eastAsia="宋体" w:cs="宋体"/>
          <w:b/>
          <w:color w:val="000000"/>
          <w:sz w:val="10"/>
          <w:szCs w:val="10"/>
        </w:rPr>
      </w:pPr>
    </w:p>
    <w:p>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pPr>
        <w:rPr>
          <w:rFonts w:hint="eastAsia" w:ascii="宋体" w:hAnsi="宋体" w:eastAsia="宋体" w:cs="宋体"/>
          <w:bCs/>
          <w:color w:val="000000"/>
          <w:sz w:val="28"/>
          <w:szCs w:val="28"/>
        </w:rPr>
      </w:pPr>
    </w:p>
    <w:p>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pPr>
        <w:pStyle w:val="18"/>
        <w:rPr>
          <w:rFonts w:hint="eastAsia" w:ascii="宋体" w:hAnsi="宋体" w:eastAsia="宋体" w:cs="宋体"/>
          <w:color w:val="000000"/>
          <w:sz w:val="28"/>
          <w:szCs w:val="28"/>
        </w:rPr>
      </w:pPr>
    </w:p>
    <w:p>
      <w:pPr>
        <w:rPr>
          <w:rFonts w:hint="eastAsia" w:ascii="宋体" w:hAnsi="宋体" w:eastAsia="宋体" w:cs="宋体"/>
          <w:bCs/>
          <w:color w:val="000000"/>
          <w:sz w:val="28"/>
          <w:szCs w:val="28"/>
        </w:rPr>
      </w:pPr>
    </w:p>
    <w:p>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pPr>
        <w:pStyle w:val="2"/>
        <w:ind w:left="0" w:leftChars="0" w:firstLine="0" w:firstLineChars="0"/>
        <w:rPr>
          <w:rFonts w:hint="eastAsia"/>
        </w:rPr>
      </w:pPr>
    </w:p>
    <w:p>
      <w:pPr>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年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月 </w:t>
      </w:r>
    </w:p>
    <w:p>
      <w:pPr>
        <w:jc w:val="center"/>
        <w:rPr>
          <w:rFonts w:hint="eastAsia" w:ascii="宋体" w:hAnsi="宋体" w:eastAsia="宋体" w:cs="宋体"/>
          <w:bCs/>
          <w:color w:val="000000"/>
          <w:sz w:val="28"/>
          <w:szCs w:val="28"/>
        </w:rPr>
      </w:pPr>
    </w:p>
    <w:p>
      <w:pPr>
        <w:jc w:val="center"/>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 </w:t>
      </w:r>
    </w:p>
    <w:p>
      <w:pPr>
        <w:rPr>
          <w:rFonts w:hint="eastAsia"/>
          <w:lang w:eastAsia="zh-CN"/>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窗帘采购项目报价函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000"/>
        <w:gridCol w:w="1050"/>
        <w:gridCol w:w="1155"/>
        <w:gridCol w:w="2355"/>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6"/>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垫江县西湖小区人才公寓6栋28套住宅窗帘采购项目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单位</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23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68" w:type="dxa"/>
            <w:vMerge w:val="restart"/>
            <w:vAlign w:val="center"/>
          </w:tcPr>
          <w:p>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罗马杆</w:t>
            </w:r>
            <w:r>
              <w:rPr>
                <w:rFonts w:hint="eastAsia" w:asciiTheme="minorEastAsia" w:hAnsiTheme="minorEastAsia" w:eastAsiaTheme="minorEastAsia" w:cstheme="minorEastAsia"/>
                <w:i w:val="0"/>
                <w:iCs w:val="0"/>
                <w:caps w:val="0"/>
                <w:color w:val="000000"/>
                <w:spacing w:val="0"/>
                <w:sz w:val="18"/>
                <w:szCs w:val="18"/>
                <w:shd w:val="clear" w:fill="FFFFFF"/>
              </w:rPr>
              <w:t>（挂钩式）</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约225*2</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228" w:type="dxa"/>
            <w:gridSpan w:val="5"/>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228" w:type="dxa"/>
            <w:gridSpan w:val="5"/>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228" w:type="dxa"/>
            <w:gridSpan w:val="5"/>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人工费、设施设备及主辅材料（包含但不限于挂钩、支座、堵头、卷边、衬带等）、打孔及恢复、涨跌价风险、措施费（含安全文明施工费）、场地清洁及除渣费、运输卸车转运费、税费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rPr>
          <w:rFonts w:hint="eastAsia"/>
          <w:lang w:eastAsia="zh-CN"/>
        </w:rPr>
      </w:pPr>
    </w:p>
    <w:p>
      <w:pPr>
        <w:rPr>
          <w:rFonts w:hint="eastAsia"/>
          <w:lang w:eastAsia="zh-CN"/>
        </w:rPr>
      </w:pPr>
    </w:p>
    <w:p>
      <w:pPr>
        <w:pStyle w:val="18"/>
        <w:jc w:val="center"/>
        <w:rPr>
          <w:rFonts w:hint="eastAsia" w:ascii="宋体" w:hAnsi="宋体" w:cs="宋体"/>
          <w:color w:val="000000"/>
          <w:sz w:val="36"/>
          <w:szCs w:val="36"/>
          <w:lang w:val="en-US" w:eastAsia="zh-CN"/>
        </w:rPr>
      </w:pPr>
    </w:p>
    <w:p>
      <w:pPr>
        <w:jc w:val="center"/>
        <w:rPr>
          <w:rFonts w:hint="eastAsia" w:ascii="宋体" w:hAnsi="宋体" w:cs="宋体"/>
          <w:color w:val="000000"/>
          <w:sz w:val="36"/>
          <w:szCs w:val="36"/>
          <w:lang w:val="en-US" w:eastAsia="zh-CN"/>
        </w:rPr>
      </w:pPr>
    </w:p>
    <w:p>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pPr>
        <w:pStyle w:val="18"/>
        <w:rPr>
          <w:rFonts w:hint="eastAsia"/>
          <w:lang w:val="en-US" w:eastAsia="zh-CN"/>
        </w:rPr>
      </w:pPr>
    </w:p>
    <w:p>
      <w:pPr>
        <w:spacing w:line="360" w:lineRule="auto"/>
        <w:jc w:val="center"/>
        <w:rPr>
          <w:rFonts w:hint="eastAsia" w:ascii="宋体" w:hAnsi="宋体" w:cs="宋体"/>
          <w:color w:val="000000"/>
          <w:sz w:val="36"/>
          <w:szCs w:val="36"/>
          <w:lang w:val="en-US" w:eastAsia="zh-CN"/>
        </w:rPr>
      </w:pPr>
    </w:p>
    <w:p>
      <w:pPr>
        <w:spacing w:line="360" w:lineRule="auto"/>
        <w:ind w:firstLine="3990" w:firstLineChars="1900"/>
        <w:rPr>
          <w:rFonts w:hint="eastAsia" w:ascii="宋体" w:hAnsi="宋体" w:cs="宋体"/>
          <w:color w:val="000000"/>
          <w:sz w:val="21"/>
          <w:szCs w:val="21"/>
          <w:lang w:val="en-US" w:eastAsia="zh-CN"/>
        </w:rPr>
      </w:pPr>
    </w:p>
    <w:p>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pPr>
        <w:spacing w:line="360" w:lineRule="auto"/>
        <w:ind w:firstLine="3990" w:firstLineChars="1900"/>
        <w:rPr>
          <w:rFonts w:hint="eastAsia" w:ascii="宋体" w:hAnsi="宋体" w:cs="宋体"/>
          <w:color w:val="000000"/>
          <w:sz w:val="21"/>
          <w:szCs w:val="21"/>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pStyle w:val="2"/>
        <w:rPr>
          <w:rFonts w:hint="eastAsia" w:ascii="宋体" w:hAnsi="宋体" w:eastAsia="宋体" w:cs="宋体"/>
          <w:b/>
          <w:sz w:val="48"/>
          <w:szCs w:val="48"/>
          <w:lang w:val="en-US" w:eastAsia="zh-CN"/>
        </w:rPr>
      </w:pPr>
    </w:p>
    <w:p>
      <w:pPr>
        <w:jc w:val="both"/>
        <w:rPr>
          <w:rFonts w:hint="eastAsia" w:ascii="宋体" w:hAnsi="宋体" w:eastAsia="宋体" w:cs="宋体"/>
          <w:b/>
          <w:bCs/>
          <w:sz w:val="44"/>
          <w:szCs w:val="44"/>
        </w:rPr>
      </w:pPr>
    </w:p>
    <w:p>
      <w:pPr>
        <w:pStyle w:val="18"/>
        <w:rPr>
          <w:rFonts w:hint="eastAsia" w:ascii="宋体" w:hAnsi="宋体" w:eastAsia="宋体" w:cs="宋体"/>
          <w:b/>
          <w:bCs/>
          <w:sz w:val="44"/>
          <w:szCs w:val="44"/>
        </w:rPr>
      </w:pPr>
    </w:p>
    <w:p>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窗帘采购项目最终报价函</w:t>
      </w:r>
    </w:p>
    <w:p>
      <w:pPr>
        <w:pStyle w:val="2"/>
        <w:ind w:left="0" w:leftChars="0" w:firstLine="0" w:firstLineChars="0"/>
        <w:rPr>
          <w:rFonts w:hint="eastAsia"/>
          <w:sz w:val="10"/>
          <w:szCs w:val="10"/>
        </w:rPr>
      </w:pPr>
    </w:p>
    <w:p>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000"/>
        <w:gridCol w:w="1050"/>
        <w:gridCol w:w="1155"/>
        <w:gridCol w:w="2355"/>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6"/>
            <w:tcBorders>
              <w:top w:val="nil"/>
              <w:left w:val="nil"/>
              <w:right w:val="nil"/>
            </w:tcBorders>
            <w:vAlign w:val="center"/>
          </w:tcPr>
          <w:p>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垫江县西湖小区人才公寓6栋28套住宅窗帘采购项目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单位</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23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68" w:type="dxa"/>
            <w:vMerge w:val="restart"/>
            <w:vAlign w:val="center"/>
          </w:tcPr>
          <w:p>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2</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约950</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b w:val="0"/>
                <w:bCs w:val="0"/>
                <w:i w:val="0"/>
                <w:iCs w:val="0"/>
                <w:color w:val="000000"/>
                <w:sz w:val="21"/>
                <w:szCs w:val="21"/>
                <w:u w:val="none"/>
                <w:lang w:val="en-US" w:eastAsia="zh-CN"/>
              </w:rPr>
            </w:pPr>
            <w:r>
              <w:rPr>
                <w:rFonts w:hint="eastAsia" w:ascii="楷体" w:hAnsi="楷体" w:eastAsia="楷体" w:cs="楷体"/>
                <w:b w:val="0"/>
                <w:bCs w:val="0"/>
                <w:i w:val="0"/>
                <w:iCs w:val="0"/>
                <w:color w:val="000000"/>
                <w:sz w:val="21"/>
                <w:szCs w:val="21"/>
                <w:u w:val="none"/>
                <w:lang w:val="en-US" w:eastAsia="zh-CN"/>
              </w:rPr>
              <w:t>3</w:t>
            </w:r>
          </w:p>
        </w:tc>
        <w:tc>
          <w:tcPr>
            <w:tcW w:w="30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罗马杆</w:t>
            </w:r>
            <w:r>
              <w:rPr>
                <w:rFonts w:hint="eastAsia" w:asciiTheme="minorEastAsia" w:hAnsiTheme="minorEastAsia" w:eastAsiaTheme="minorEastAsia" w:cstheme="minorEastAsia"/>
                <w:i w:val="0"/>
                <w:iCs w:val="0"/>
                <w:caps w:val="0"/>
                <w:color w:val="000000"/>
                <w:spacing w:val="0"/>
                <w:sz w:val="18"/>
                <w:szCs w:val="18"/>
                <w:shd w:val="clear" w:fill="FFFFFF"/>
              </w:rPr>
              <w:t>（挂钩式）</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FF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约225*2</w:t>
            </w:r>
          </w:p>
        </w:tc>
        <w:tc>
          <w:tcPr>
            <w:tcW w:w="2355"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c>
          <w:tcPr>
            <w:tcW w:w="1668"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228" w:type="dxa"/>
            <w:gridSpan w:val="5"/>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228" w:type="dxa"/>
            <w:gridSpan w:val="5"/>
            <w:vAlign w:val="center"/>
          </w:tcPr>
          <w:p>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228" w:type="dxa"/>
            <w:gridSpan w:val="5"/>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人工费、设施设备及主辅材料（包含但不限于挂钩、支座、堵头、卷边、衬带等）、打孔及恢复、涨跌价风险、措施费（含安全文明施工费）、场地清洁及除渣费、运输卸车转运费、税费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77" w:type="dxa"/>
            <w:vMerge w:val="continue"/>
            <w:vAlign w:val="center"/>
          </w:tcPr>
          <w:p>
            <w:pPr>
              <w:jc w:val="center"/>
              <w:rPr>
                <w:rFonts w:hint="eastAsia" w:ascii="宋体" w:hAnsi="宋体" w:eastAsia="宋体" w:cs="宋体"/>
                <w:i w:val="0"/>
                <w:iCs w:val="0"/>
                <w:color w:val="000000"/>
                <w:sz w:val="18"/>
                <w:szCs w:val="18"/>
                <w:u w:val="none"/>
              </w:rPr>
            </w:pPr>
          </w:p>
        </w:tc>
        <w:tc>
          <w:tcPr>
            <w:tcW w:w="9228" w:type="dxa"/>
            <w:gridSpan w:val="5"/>
            <w:vMerge w:val="continue"/>
            <w:vAlign w:val="center"/>
          </w:tcPr>
          <w:p>
            <w:pPr>
              <w:jc w:val="both"/>
              <w:rPr>
                <w:rFonts w:hint="eastAsia" w:ascii="宋体" w:hAnsi="宋体" w:eastAsia="宋体" w:cs="宋体"/>
                <w:i w:val="0"/>
                <w:iCs w:val="0"/>
                <w:color w:val="000000"/>
                <w:sz w:val="18"/>
                <w:szCs w:val="18"/>
                <w:u w:val="none"/>
              </w:rPr>
            </w:pPr>
          </w:p>
        </w:tc>
      </w:tr>
    </w:tbl>
    <w:p>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p>
      <w:pPr>
        <w:pStyle w:val="2"/>
        <w:rPr>
          <w:rFonts w:hint="eastAsia"/>
        </w:rPr>
      </w:pPr>
    </w:p>
    <w:p>
      <w:pPr>
        <w:pStyle w:val="18"/>
        <w:rPr>
          <w:rFonts w:hint="eastAsia"/>
        </w:rPr>
      </w:pPr>
    </w:p>
    <w:p>
      <w:pPr>
        <w:rPr>
          <w:rFonts w:hint="eastAsia"/>
        </w:rPr>
      </w:pPr>
    </w:p>
    <w:p>
      <w:pPr>
        <w:pStyle w:val="18"/>
        <w:rPr>
          <w:rFonts w:hint="eastAsia"/>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pPr>
        <w:jc w:val="cente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ascii="方正小标宋_GBK" w:hAnsi="方正小标宋_GBK" w:eastAsia="方正小标宋_GBK" w:cs="方正小标宋_GBK"/>
          <w:sz w:val="44"/>
          <w:szCs w:val="44"/>
          <w:lang w:eastAsia="zh-CN"/>
        </w:rPr>
      </w:pPr>
    </w:p>
    <w:p>
      <w:pPr>
        <w:pStyle w:val="6"/>
        <w:rPr>
          <w:rFonts w:hint="eastAsia" w:ascii="方正小标宋_GBK" w:hAnsi="方正小标宋_GBK" w:eastAsia="方正小标宋_GBK" w:cs="方正小标宋_GBK"/>
          <w:sz w:val="44"/>
          <w:szCs w:val="44"/>
          <w:lang w:eastAsia="zh-CN"/>
        </w:rPr>
      </w:pPr>
    </w:p>
    <w:p>
      <w:pPr>
        <w:rPr>
          <w:rFonts w:hint="eastAsia"/>
          <w:lang w:eastAsia="zh-CN"/>
        </w:rPr>
      </w:pPr>
    </w:p>
    <w:p>
      <w:pPr>
        <w:pStyle w:val="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6"/>
        <w:ind w:firstLine="4622"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窗帘</w:t>
      </w:r>
      <w:r>
        <w:rPr>
          <w:rFonts w:hint="eastAsia" w:ascii="宋体" w:hAnsi="宋体" w:eastAsia="宋体" w:cs="宋体"/>
          <w:b/>
          <w:bCs/>
          <w:kern w:val="2"/>
          <w:sz w:val="36"/>
          <w:szCs w:val="36"/>
          <w:u w:val="none"/>
          <w:lang w:val="en-US" w:eastAsia="zh-CN" w:bidi="ar-SA"/>
        </w:rPr>
        <w:t>采购合同</w:t>
      </w:r>
    </w:p>
    <w:p>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pPr>
        <w:pStyle w:val="6"/>
        <w:rPr>
          <w:rFonts w:hint="eastAsia"/>
          <w:lang w:val="en-US" w:eastAsia="zh-CN"/>
        </w:rPr>
      </w:pPr>
    </w:p>
    <w:p>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pPr>
        <w:kinsoku/>
        <w:wordWrap/>
        <w:overflowPunct/>
        <w:topLinePunct w:val="0"/>
        <w:bidi w:val="0"/>
        <w:spacing w:line="380" w:lineRule="atLeast"/>
        <w:ind w:left="0" w:leftChars="0"/>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窗帘采购合同</w:t>
      </w:r>
    </w:p>
    <w:p>
      <w:pPr>
        <w:jc w:val="both"/>
        <w:rPr>
          <w:rFonts w:hint="eastAsia" w:ascii="宋体" w:hAnsi="宋体" w:eastAsia="宋体" w:cs="宋体"/>
          <w:b/>
          <w:sz w:val="18"/>
          <w:szCs w:val="1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eastAsia="zh-CN"/>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lang w:eastAsia="zh-CN"/>
        </w:rPr>
        <w:t>概况</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项目所涉及的窗帘设施设备、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922" w:type="dxa"/>
        <w:tblInd w:w="108" w:type="dxa"/>
        <w:tblLayout w:type="fixed"/>
        <w:tblCellMar>
          <w:top w:w="0" w:type="dxa"/>
          <w:left w:w="108" w:type="dxa"/>
          <w:bottom w:w="0" w:type="dxa"/>
          <w:right w:w="108" w:type="dxa"/>
        </w:tblCellMar>
      </w:tblPr>
      <w:tblGrid>
        <w:gridCol w:w="630"/>
        <w:gridCol w:w="2250"/>
        <w:gridCol w:w="795"/>
        <w:gridCol w:w="1365"/>
        <w:gridCol w:w="1605"/>
        <w:gridCol w:w="3277"/>
      </w:tblGrid>
      <w:tr>
        <w:tblPrEx>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lang w:eastAsia="zh-CN"/>
              </w:rPr>
            </w:pPr>
            <w:r>
              <w:rPr>
                <w:rFonts w:hint="eastAsia" w:ascii="宋体" w:hAnsi="宋体" w:eastAsia="宋体" w:cs="宋体"/>
                <w:bCs/>
                <w:color w:val="000000"/>
                <w:kern w:val="0"/>
                <w:sz w:val="18"/>
                <w:szCs w:val="18"/>
                <w:lang w:val="en-US" w:eastAsia="zh-CN"/>
              </w:rPr>
              <w:t>设施</w:t>
            </w:r>
            <w:r>
              <w:rPr>
                <w:rFonts w:hint="eastAsia" w:ascii="宋体" w:hAnsi="宋体" w:eastAsia="宋体" w:cs="宋体"/>
                <w:bCs/>
                <w:color w:val="000000"/>
                <w:kern w:val="0"/>
                <w:sz w:val="18"/>
                <w:szCs w:val="18"/>
              </w:rPr>
              <w:t>名称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cs="宋体"/>
                <w:bCs/>
                <w:color w:val="000000"/>
                <w:kern w:val="0"/>
                <w:sz w:val="18"/>
                <w:szCs w:val="18"/>
                <w:lang w:val="en-US" w:eastAsia="zh-CN"/>
              </w:rPr>
              <w:t xml:space="preserve"> </w:t>
            </w:r>
            <w:r>
              <w:rPr>
                <w:rFonts w:hint="eastAsia" w:ascii="宋体" w:hAnsi="宋体" w:eastAsia="宋体" w:cs="宋体"/>
                <w:bCs/>
                <w:color w:val="000000"/>
                <w:kern w:val="0"/>
                <w:sz w:val="18"/>
                <w:szCs w:val="18"/>
              </w:rPr>
              <w:t>单位</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数量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综合单价</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备  注</w:t>
            </w:r>
          </w:p>
        </w:tc>
      </w:tr>
      <w:tr>
        <w:tblPrEx>
          <w:tblCellMar>
            <w:top w:w="0" w:type="dxa"/>
            <w:left w:w="108" w:type="dxa"/>
            <w:bottom w:w="0" w:type="dxa"/>
            <w:right w:w="108" w:type="dxa"/>
          </w:tblCellMar>
        </w:tblPrEx>
        <w:trPr>
          <w:trHeight w:val="417"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spacing w:line="480" w:lineRule="auto"/>
              <w:jc w:val="center"/>
              <w:rPr>
                <w:rFonts w:hint="eastAsia" w:ascii="宋体" w:hAnsi="宋体" w:eastAsia="宋体" w:cs="宋体"/>
                <w:bCs/>
                <w:color w:val="000000"/>
                <w:kern w:val="0"/>
                <w:sz w:val="18"/>
                <w:szCs w:val="18"/>
              </w:rPr>
            </w:pPr>
            <w:r>
              <w:rPr>
                <w:rFonts w:hint="eastAsia" w:ascii="楷体" w:hAnsi="楷体" w:eastAsia="楷体" w:cs="楷体"/>
                <w:bCs/>
                <w:color w:val="000000"/>
                <w:kern w:val="0"/>
                <w:sz w:val="18"/>
                <w:szCs w:val="18"/>
              </w:rPr>
              <w:t>1</w:t>
            </w:r>
          </w:p>
        </w:tc>
        <w:tc>
          <w:tcPr>
            <w:tcW w:w="22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布帘（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微软雅黑" w:cs="宋体"/>
                <w:i w:val="0"/>
                <w:iCs w:val="0"/>
                <w:color w:val="000000"/>
                <w:kern w:val="0"/>
                <w:sz w:val="18"/>
                <w:szCs w:val="18"/>
                <w:u w:val="none"/>
                <w:lang w:val="en-US" w:eastAsia="zh-CN" w:bidi="ar"/>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3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000000" w:sz="4" w:space="0"/>
              <w:left w:val="single" w:color="000000" w:sz="4" w:space="0"/>
              <w:bottom w:val="single" w:color="auto" w:sz="4" w:space="0"/>
              <w:right w:val="single" w:color="000000" w:sz="4" w:space="0"/>
            </w:tcBorders>
            <w:noWrap/>
            <w:vAlign w:val="center"/>
          </w:tcPr>
          <w:p>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restart"/>
            <w:tcBorders>
              <w:top w:val="single" w:color="000000" w:sz="4" w:space="0"/>
              <w:left w:val="single" w:color="000000" w:sz="4" w:space="0"/>
              <w:right w:val="single" w:color="000000" w:sz="4" w:space="0"/>
            </w:tcBorders>
            <w:noWrap w:val="0"/>
            <w:vAlign w:val="center"/>
          </w:tcPr>
          <w:p>
            <w:pPr>
              <w:widowControl/>
              <w:spacing w:line="240" w:lineRule="auto"/>
              <w:jc w:val="center"/>
              <w:rPr>
                <w:rFonts w:hint="eastAsia" w:ascii="宋体" w:hAnsi="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FF0000"/>
                <w:kern w:val="0"/>
                <w:sz w:val="18"/>
                <w:szCs w:val="18"/>
                <w:u w:val="none"/>
                <w:lang w:val="en-US" w:eastAsia="zh-CN" w:bidi="ar"/>
              </w:rPr>
              <w:t>提供样品</w:t>
            </w:r>
          </w:p>
          <w:p>
            <w:pPr>
              <w:widowControl/>
              <w:spacing w:line="240" w:lineRule="auto"/>
              <w:jc w:val="center"/>
              <w:rPr>
                <w:rFonts w:hint="default"/>
                <w:color w:val="000000"/>
                <w:sz w:val="18"/>
                <w:szCs w:val="18"/>
                <w:lang w:val="en-US" w:eastAsia="zh-CN"/>
              </w:rPr>
            </w:pPr>
            <w:r>
              <w:rPr>
                <w:rFonts w:hint="eastAsia" w:ascii="宋体" w:hAnsi="宋体" w:cs="宋体"/>
                <w:b w:val="0"/>
                <w:bCs w:val="0"/>
                <w:i w:val="0"/>
                <w:iCs w:val="0"/>
                <w:color w:val="FF0000"/>
                <w:kern w:val="0"/>
                <w:sz w:val="18"/>
                <w:szCs w:val="18"/>
                <w:u w:val="none"/>
                <w:lang w:val="en-US" w:eastAsia="zh-CN" w:bidi="ar"/>
              </w:rPr>
              <w:t>布（</w:t>
            </w:r>
            <w:r>
              <w:rPr>
                <w:rFonts w:hint="eastAsia" w:ascii="宋体" w:hAnsi="宋体" w:cs="宋体"/>
                <w:i w:val="0"/>
                <w:iCs w:val="0"/>
                <w:color w:val="FF0000"/>
                <w:sz w:val="18"/>
                <w:szCs w:val="18"/>
                <w:u w:val="none"/>
                <w:lang w:val="en-US" w:eastAsia="zh-CN"/>
              </w:rPr>
              <w:t>纱</w:t>
            </w:r>
            <w:r>
              <w:rPr>
                <w:rFonts w:hint="eastAsia" w:ascii="宋体" w:hAnsi="宋体" w:cs="宋体"/>
                <w:b w:val="0"/>
                <w:bCs w:val="0"/>
                <w:i w:val="0"/>
                <w:iCs w:val="0"/>
                <w:color w:val="FF0000"/>
                <w:kern w:val="0"/>
                <w:sz w:val="18"/>
                <w:szCs w:val="18"/>
                <w:u w:val="none"/>
                <w:lang w:val="en-US" w:eastAsia="zh-CN" w:bidi="ar"/>
              </w:rPr>
              <w:t>）帘均按展开面积计算采购量</w:t>
            </w:r>
          </w:p>
        </w:tc>
      </w:tr>
      <w:tr>
        <w:tblPrEx>
          <w:tblCellMar>
            <w:top w:w="0" w:type="dxa"/>
            <w:left w:w="108" w:type="dxa"/>
            <w:bottom w:w="0" w:type="dxa"/>
            <w:right w:w="108" w:type="dxa"/>
          </w:tblCellMar>
        </w:tblPrEx>
        <w:trPr>
          <w:trHeight w:val="449"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480" w:lineRule="auto"/>
              <w:jc w:val="center"/>
              <w:rPr>
                <w:rFonts w:hint="default" w:ascii="楷体" w:hAnsi="楷体" w:eastAsia="楷体" w:cs="楷体"/>
                <w:bCs/>
                <w:color w:val="000000"/>
                <w:kern w:val="0"/>
                <w:sz w:val="18"/>
                <w:szCs w:val="18"/>
                <w:lang w:val="en-US" w:eastAsia="zh-CN"/>
              </w:rPr>
            </w:pPr>
            <w:r>
              <w:rPr>
                <w:rFonts w:hint="eastAsia" w:ascii="楷体" w:hAnsi="楷体" w:eastAsia="楷体" w:cs="楷体"/>
                <w:bCs/>
                <w:color w:val="000000"/>
                <w:kern w:val="0"/>
                <w:sz w:val="18"/>
                <w:szCs w:val="18"/>
                <w:lang w:val="en-US" w:eastAsia="zh-CN"/>
              </w:rPr>
              <w:t>2</w:t>
            </w:r>
          </w:p>
        </w:tc>
        <w:tc>
          <w:tcPr>
            <w:tcW w:w="225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sz w:val="18"/>
                <w:szCs w:val="18"/>
                <w:u w:val="none"/>
                <w:lang w:val="en-US" w:eastAsia="zh-CN"/>
              </w:rPr>
              <w:t>纱</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帘（</w:t>
            </w:r>
            <w:r>
              <w:rPr>
                <w:rFonts w:hint="eastAsia" w:asciiTheme="minorEastAsia" w:hAnsiTheme="minorEastAsia" w:eastAsiaTheme="minorEastAsia" w:cstheme="minorEastAsia"/>
                <w:i w:val="0"/>
                <w:iCs w:val="0"/>
                <w:caps w:val="0"/>
                <w:color w:val="000000"/>
                <w:spacing w:val="0"/>
                <w:sz w:val="18"/>
                <w:szCs w:val="18"/>
                <w:shd w:val="clear" w:fill="FFFFFF"/>
              </w:rPr>
              <w:t>折褶率1：</w:t>
            </w:r>
            <w:r>
              <w:rPr>
                <w:rFonts w:hint="eastAsia" w:asciiTheme="minorEastAsia" w:hAnsiTheme="minorEastAsia" w:eastAsiaTheme="minorEastAsia" w:cstheme="minorEastAsia"/>
                <w:i w:val="0"/>
                <w:iCs w:val="0"/>
                <w:caps w:val="0"/>
                <w:color w:val="000000"/>
                <w:spacing w:val="0"/>
                <w:sz w:val="18"/>
                <w:szCs w:val="18"/>
                <w:shd w:val="clear" w:fill="FFFFFF"/>
                <w:lang w:val="en-US" w:eastAsia="zh-CN"/>
              </w:rPr>
              <w:t>1.5</w:t>
            </w: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w:t>
            </w:r>
          </w:p>
        </w:tc>
        <w:tc>
          <w:tcPr>
            <w:tcW w:w="795"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微软雅黑" w:cs="宋体"/>
                <w:i w:val="0"/>
                <w:iCs w:val="0"/>
                <w:color w:val="00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r>
              <w:rPr>
                <w:rFonts w:hint="eastAsia" w:ascii="微软雅黑" w:hAnsi="微软雅黑" w:eastAsia="微软雅黑" w:cs="微软雅黑"/>
                <w:i w:val="0"/>
                <w:iCs w:val="0"/>
                <w:caps w:val="0"/>
                <w:color w:val="000000"/>
                <w:spacing w:val="0"/>
                <w:sz w:val="18"/>
                <w:szCs w:val="18"/>
                <w:shd w:val="clear" w:fill="FFFFFF"/>
                <w:lang w:val="en-US" w:eastAsia="zh-CN"/>
              </w:rPr>
              <w:t>²</w:t>
            </w:r>
          </w:p>
        </w:tc>
        <w:tc>
          <w:tcPr>
            <w:tcW w:w="136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auto" w:sz="4" w:space="0"/>
              <w:left w:val="single" w:color="000000" w:sz="4" w:space="0"/>
              <w:bottom w:val="single" w:color="auto" w:sz="4" w:space="0"/>
              <w:right w:val="single" w:color="000000" w:sz="4" w:space="0"/>
            </w:tcBorders>
            <w:noWrap/>
            <w:vAlign w:val="center"/>
          </w:tcPr>
          <w:p>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continue"/>
            <w:tcBorders>
              <w:left w:val="single" w:color="000000" w:sz="4" w:space="0"/>
              <w:bottom w:val="single" w:color="auto" w:sz="4" w:space="0"/>
              <w:right w:val="single" w:color="000000" w:sz="4" w:space="0"/>
            </w:tcBorders>
            <w:noWrap w:val="0"/>
            <w:vAlign w:val="center"/>
          </w:tcPr>
          <w:p>
            <w:pPr>
              <w:widowControl/>
              <w:spacing w:line="240" w:lineRule="auto"/>
              <w:jc w:val="center"/>
              <w:rPr>
                <w:rFonts w:hint="default"/>
                <w:color w:val="000000"/>
                <w:lang w:val="en-US" w:eastAsia="zh-CN"/>
              </w:rPr>
            </w:pPr>
          </w:p>
        </w:tc>
      </w:tr>
      <w:tr>
        <w:tblPrEx>
          <w:tblCellMar>
            <w:top w:w="0" w:type="dxa"/>
            <w:left w:w="108" w:type="dxa"/>
            <w:bottom w:w="0" w:type="dxa"/>
            <w:right w:w="108" w:type="dxa"/>
          </w:tblCellMar>
        </w:tblPrEx>
        <w:trPr>
          <w:trHeight w:val="185"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pacing w:line="480" w:lineRule="auto"/>
              <w:jc w:val="center"/>
              <w:rPr>
                <w:rFonts w:hint="default" w:ascii="楷体" w:hAnsi="楷体" w:eastAsia="楷体" w:cs="楷体"/>
                <w:bCs/>
                <w:color w:val="000000"/>
                <w:kern w:val="0"/>
                <w:sz w:val="18"/>
                <w:szCs w:val="18"/>
                <w:lang w:val="en-US" w:eastAsia="zh-CN"/>
              </w:rPr>
            </w:pPr>
            <w:r>
              <w:rPr>
                <w:rFonts w:hint="eastAsia" w:ascii="楷体" w:hAnsi="楷体" w:eastAsia="楷体" w:cs="楷体"/>
                <w:bCs/>
                <w:color w:val="000000"/>
                <w:kern w:val="0"/>
                <w:sz w:val="18"/>
                <w:szCs w:val="18"/>
                <w:lang w:val="en-US" w:eastAsia="zh-CN"/>
              </w:rPr>
              <w:t>3</w:t>
            </w:r>
          </w:p>
        </w:tc>
        <w:tc>
          <w:tcPr>
            <w:tcW w:w="225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罗马杆</w:t>
            </w:r>
            <w:r>
              <w:rPr>
                <w:rFonts w:ascii="微软雅黑" w:hAnsi="微软雅黑" w:eastAsia="微软雅黑" w:cs="微软雅黑"/>
                <w:i w:val="0"/>
                <w:iCs w:val="0"/>
                <w:caps w:val="0"/>
                <w:color w:val="000000"/>
                <w:spacing w:val="0"/>
                <w:sz w:val="18"/>
                <w:szCs w:val="18"/>
                <w:shd w:val="clear" w:fill="FFFFFF"/>
              </w:rPr>
              <w:t>（挂钩式）</w:t>
            </w:r>
          </w:p>
        </w:tc>
        <w:tc>
          <w:tcPr>
            <w:tcW w:w="795" w:type="dxa"/>
            <w:tcBorders>
              <w:top w:val="single" w:color="auto"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ascii="微软雅黑" w:hAnsi="微软雅黑" w:eastAsia="微软雅黑" w:cs="微软雅黑"/>
                <w:i w:val="0"/>
                <w:iCs w:val="0"/>
                <w:caps w:val="0"/>
                <w:color w:val="000000"/>
                <w:spacing w:val="0"/>
                <w:sz w:val="18"/>
                <w:szCs w:val="18"/>
                <w:shd w:val="clear" w:fill="FFFFFF"/>
              </w:rPr>
              <w:t>m</w:t>
            </w:r>
          </w:p>
        </w:tc>
        <w:tc>
          <w:tcPr>
            <w:tcW w:w="136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约</w:t>
            </w:r>
          </w:p>
        </w:tc>
        <w:tc>
          <w:tcPr>
            <w:tcW w:w="1605" w:type="dxa"/>
            <w:tcBorders>
              <w:top w:val="single" w:color="auto" w:sz="4" w:space="0"/>
              <w:left w:val="single" w:color="000000" w:sz="4" w:space="0"/>
              <w:bottom w:val="single" w:color="auto" w:sz="4" w:space="0"/>
              <w:right w:val="single" w:color="000000" w:sz="4" w:space="0"/>
            </w:tcBorders>
            <w:noWrap/>
            <w:vAlign w:val="center"/>
          </w:tcPr>
          <w:p>
            <w:pPr>
              <w:widowControl/>
              <w:spacing w:line="480" w:lineRule="auto"/>
              <w:jc w:val="center"/>
              <w:rPr>
                <w:rFonts w:hint="eastAsia" w:ascii="宋体" w:hAnsi="宋体" w:eastAsia="宋体" w:cs="宋体"/>
                <w:color w:val="000000"/>
                <w:kern w:val="0"/>
                <w:sz w:val="18"/>
                <w:szCs w:val="18"/>
                <w:lang w:val="en-US" w:eastAsia="zh-CN"/>
              </w:rPr>
            </w:pPr>
          </w:p>
        </w:tc>
        <w:tc>
          <w:tcPr>
            <w:tcW w:w="3277" w:type="dxa"/>
            <w:vMerge w:val="continue"/>
            <w:tcBorders>
              <w:left w:val="single" w:color="000000" w:sz="4" w:space="0"/>
              <w:bottom w:val="single" w:color="auto" w:sz="4" w:space="0"/>
              <w:right w:val="single" w:color="000000" w:sz="4" w:space="0"/>
            </w:tcBorders>
            <w:noWrap w:val="0"/>
            <w:vAlign w:val="center"/>
          </w:tcPr>
          <w:p>
            <w:pPr>
              <w:widowControl/>
              <w:spacing w:line="240" w:lineRule="auto"/>
              <w:jc w:val="center"/>
              <w:rPr>
                <w:rFonts w:hint="default"/>
                <w:color w:val="000000"/>
                <w:lang w:val="en-US" w:eastAsia="zh-CN"/>
              </w:rPr>
            </w:pPr>
          </w:p>
        </w:tc>
      </w:tr>
      <w:tr>
        <w:tblPrEx>
          <w:tblCellMar>
            <w:top w:w="0" w:type="dxa"/>
            <w:left w:w="108" w:type="dxa"/>
            <w:bottom w:w="0" w:type="dxa"/>
            <w:right w:w="108" w:type="dxa"/>
          </w:tblCellMar>
        </w:tblPrEx>
        <w:trPr>
          <w:trHeight w:val="50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合计</w:t>
            </w:r>
          </w:p>
        </w:tc>
        <w:tc>
          <w:tcPr>
            <w:tcW w:w="929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kern w:val="0"/>
                <w:sz w:val="18"/>
                <w:szCs w:val="18"/>
                <w:lang w:val="en-US" w:eastAsia="zh-CN"/>
              </w:rPr>
            </w:pPr>
            <w:r>
              <w:rPr>
                <w:rFonts w:hint="default" w:ascii="Arial" w:hAnsi="Arial" w:eastAsia="楷体" w:cs="Arial"/>
                <w:color w:val="000000"/>
                <w:kern w:val="0"/>
                <w:sz w:val="18"/>
                <w:szCs w:val="18"/>
                <w:lang w:val="en-US" w:eastAsia="zh-CN"/>
              </w:rPr>
              <w:t>¥</w:t>
            </w:r>
            <w:r>
              <w:rPr>
                <w:rFonts w:hint="eastAsia" w:ascii="楷体" w:hAnsi="楷体" w:eastAsia="楷体" w:cs="楷体"/>
                <w:color w:val="000000"/>
                <w:kern w:val="0"/>
                <w:sz w:val="10"/>
                <w:szCs w:val="10"/>
                <w:lang w:val="en-US" w:eastAsia="zh-CN"/>
              </w:rPr>
              <w:t xml:space="preserve"> </w:t>
            </w:r>
            <w:r>
              <w:rPr>
                <w:rFonts w:hint="eastAsia" w:ascii="楷体" w:hAnsi="楷体" w:eastAsia="楷体" w:cs="楷体"/>
                <w:color w:val="000000"/>
                <w:kern w:val="0"/>
                <w:sz w:val="21"/>
                <w:szCs w:val="21"/>
                <w:lang w:val="en-US" w:eastAsia="zh-CN"/>
              </w:rPr>
              <w:t xml:space="preserve">              </w:t>
            </w:r>
            <w:r>
              <w:rPr>
                <w:rFonts w:hint="eastAsia" w:ascii="宋体" w:hAnsi="宋体" w:eastAsia="宋体" w:cs="宋体"/>
                <w:color w:val="000000"/>
                <w:kern w:val="0"/>
                <w:sz w:val="18"/>
                <w:szCs w:val="18"/>
                <w:lang w:val="en-US" w:eastAsia="zh-CN"/>
              </w:rPr>
              <w:t>元（大写：               元整）。</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right="0" w:rightChars="0"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bookmarkStart w:id="2" w:name="OLE_LINK2"/>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包干的</w:t>
      </w:r>
      <w:r>
        <w:rPr>
          <w:rFonts w:hint="eastAsia" w:ascii="方正仿宋_GBK" w:hAnsi="方正仿宋_GBK" w:eastAsia="方正仿宋_GBK" w:cs="方正仿宋_GBK"/>
          <w:b w:val="0"/>
          <w:bCs w:val="0"/>
          <w:kern w:val="2"/>
          <w:sz w:val="28"/>
          <w:szCs w:val="28"/>
          <w:lang w:val="en-US" w:eastAsia="zh-CN" w:bidi="ar-SA"/>
        </w:rPr>
        <w:t>清单计价</w:t>
      </w:r>
      <w:r>
        <w:rPr>
          <w:rFonts w:hint="eastAsia" w:ascii="方正仿宋_GBK" w:hAnsi="方正仿宋_GBK" w:eastAsia="方正仿宋_GBK" w:cs="方正仿宋_GBK"/>
          <w:b w:val="0"/>
          <w:bCs w:val="0"/>
          <w:kern w:val="2"/>
          <w:sz w:val="28"/>
          <w:szCs w:val="28"/>
          <w:lang w:val="zh-CN" w:eastAsia="zh-CN" w:bidi="ar-SA"/>
        </w:rPr>
        <w:t>方式</w:t>
      </w:r>
      <w:bookmarkEnd w:id="2"/>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highlight w:val="yellow"/>
          <w:lang w:val="en-US" w:eastAsia="zh-CN" w:bidi="ar-SA"/>
        </w:rPr>
        <w:t>此价格包含但不限于完成谈判范围内项目的安装调试人工费、设施设备及主辅材料（包含但不限于、挂钩、支座、堵头、卷边、衬带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含增值税专用票    %；</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 xml:space="preserve">等费用、后续的质保及完成全部工作内容的安全责任。 </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default" w:ascii="方正仿宋_GBK" w:hAnsi="方正仿宋_GBK" w:eastAsia="方正仿宋_GBK" w:cs="方正仿宋_GBK"/>
          <w:i w:val="0"/>
          <w:iCs w:val="0"/>
          <w:caps w:val="0"/>
          <w:color w:val="auto"/>
          <w:spacing w:val="0"/>
          <w:sz w:val="28"/>
          <w:szCs w:val="28"/>
          <w:lang w:val="en-US" w:eastAsia="zh-CN"/>
        </w:rPr>
      </w:pPr>
      <w:r>
        <w:rPr>
          <w:rFonts w:hint="eastAsia" w:ascii="方正仿宋_GBK" w:hAnsi="方正仿宋_GBK" w:eastAsia="方正仿宋_GBK" w:cs="方正仿宋_GBK"/>
          <w:i w:val="0"/>
          <w:iCs w:val="0"/>
          <w:caps w:val="0"/>
          <w:color w:val="auto"/>
          <w:spacing w:val="0"/>
          <w:sz w:val="28"/>
          <w:szCs w:val="28"/>
        </w:rPr>
        <w:t>本</w:t>
      </w:r>
      <w:r>
        <w:rPr>
          <w:rFonts w:hint="eastAsia" w:ascii="方正仿宋_GBK" w:hAnsi="方正仿宋_GBK" w:eastAsia="方正仿宋_GBK" w:cs="方正仿宋_GBK"/>
          <w:i w:val="0"/>
          <w:iCs w:val="0"/>
          <w:caps w:val="0"/>
          <w:color w:val="auto"/>
          <w:spacing w:val="0"/>
          <w:sz w:val="28"/>
          <w:szCs w:val="28"/>
          <w:lang w:val="en-US" w:eastAsia="zh-CN"/>
        </w:rPr>
        <w:t>项目窗帘质保期二年，自分项验收合格之日起计</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乙方承诺质保期内提供实时质保服务。</w:t>
      </w:r>
    </w:p>
    <w:p>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pPr>
        <w:pStyle w:val="2"/>
        <w:rPr>
          <w:rFonts w:hint="eastAsia"/>
        </w:rPr>
      </w:pPr>
    </w:p>
    <w:p>
      <w:pPr>
        <w:spacing w:line="360" w:lineRule="auto"/>
        <w:jc w:val="center"/>
        <w:rPr>
          <w:rFonts w:hint="eastAsia" w:ascii="宋体" w:hAnsi="宋体" w:eastAsia="宋体" w:cs="宋体"/>
          <w:b/>
          <w:i w:val="0"/>
          <w:caps w:val="0"/>
          <w:color w:val="000000"/>
          <w:spacing w:val="0"/>
          <w:sz w:val="21"/>
          <w:szCs w:val="21"/>
          <w:vertAlign w:val="baseline"/>
        </w:rPr>
      </w:pPr>
    </w:p>
    <w:p>
      <w:pPr>
        <w:pStyle w:val="2"/>
        <w:ind w:left="0" w:leftChars="0" w:firstLine="0" w:firstLineChars="0"/>
        <w:rPr>
          <w:rFonts w:hint="eastAsia" w:ascii="宋体" w:hAnsi="宋体" w:eastAsia="宋体" w:cs="宋体"/>
          <w:b/>
          <w:i w:val="0"/>
          <w:caps w:val="0"/>
          <w:color w:val="000000"/>
          <w:spacing w:val="0"/>
          <w:sz w:val="21"/>
          <w:szCs w:val="21"/>
          <w:vertAlign w:val="baseline"/>
        </w:rPr>
      </w:pPr>
    </w:p>
    <w:p>
      <w:pPr>
        <w:jc w:val="center"/>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rPr>
          <w:rFonts w:hint="eastAsia" w:ascii="宋体" w:hAnsi="宋体" w:eastAsia="宋体" w:cs="宋体"/>
          <w:b/>
          <w:sz w:val="24"/>
          <w:szCs w:val="24"/>
          <w:lang w:val="en-US" w:eastAsia="zh-CN"/>
        </w:rPr>
      </w:pPr>
    </w:p>
    <w:p>
      <w:pPr>
        <w:pStyle w:val="2"/>
        <w:ind w:left="0" w:leftChars="0" w:firstLine="0" w:firstLineChars="0"/>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pPr>
        <w:pStyle w:val="18"/>
        <w:kinsoku/>
        <w:wordWrap/>
        <w:overflowPunct/>
        <w:topLinePunct w:val="0"/>
        <w:bidi w:val="0"/>
        <w:spacing w:before="0" w:line="380" w:lineRule="atLeast"/>
        <w:ind w:left="0" w:leftChars="0"/>
        <w:rPr>
          <w:rFonts w:hint="default"/>
          <w:lang w:val="en-US"/>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pStyle w:val="18"/>
      </w:pPr>
    </w:p>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窗帘</w:t>
      </w:r>
      <w:r>
        <w:rPr>
          <w:rFonts w:hint="eastAsia" w:ascii="宋体" w:hAnsi="宋体" w:eastAsia="宋体" w:cs="宋体"/>
          <w:b/>
          <w:bCs/>
          <w:i w:val="0"/>
          <w:iCs w:val="0"/>
          <w:caps w:val="0"/>
          <w:color w:val="000000"/>
          <w:spacing w:val="0"/>
          <w:sz w:val="48"/>
          <w:szCs w:val="48"/>
          <w:shd w:val="clear" w:color="auto" w:fill="FFFFFF"/>
          <w:lang w:val="en-US" w:eastAsia="zh-CN"/>
        </w:rPr>
        <w:t>竞争谈判会</w:t>
      </w:r>
      <w:r>
        <w:rPr>
          <w:rFonts w:hint="eastAsia" w:ascii="宋体" w:hAnsi="宋体" w:eastAsia="宋体" w:cs="宋体"/>
          <w:b/>
          <w:bCs w:val="0"/>
          <w:color w:val="000000"/>
          <w:sz w:val="44"/>
          <w:szCs w:val="44"/>
          <w:shd w:val="clear" w:color="auto" w:fill="FFFFFF"/>
          <w:lang w:val="en-US" w:eastAsia="zh-CN"/>
        </w:rPr>
        <w:t>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窗帘</w:t>
      </w:r>
      <w:r>
        <w:rPr>
          <w:rFonts w:hint="eastAsia" w:ascii="宋体" w:hAnsi="宋体" w:eastAsia="宋体" w:cs="宋体"/>
          <w:b w:val="0"/>
          <w:bCs w:val="0"/>
          <w:color w:val="000000"/>
          <w:sz w:val="21"/>
          <w:szCs w:val="21"/>
          <w:lang w:val="en-US" w:eastAsia="zh-CN"/>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pPr>
        <w:pStyle w:val="18"/>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rPr>
          <w:rFonts w:hint="eastAsia" w:ascii="宋体" w:hAnsi="宋体" w:cs="宋体"/>
          <w:color w:val="auto"/>
          <w:sz w:val="10"/>
          <w:szCs w:val="10"/>
          <w:lang w:val="en-US" w:eastAsia="zh-CN"/>
        </w:rPr>
      </w:pPr>
    </w:p>
    <w:p>
      <w:pPr>
        <w:pStyle w:val="18"/>
        <w:jc w:val="center"/>
        <w:rPr>
          <w:rFonts w:hint="eastAsia" w:ascii="宋体" w:hAnsi="宋体" w:eastAsia="宋体" w:cs="宋体"/>
          <w:b/>
          <w:bCs w:val="0"/>
          <w:color w:val="000000"/>
          <w:sz w:val="10"/>
          <w:szCs w:val="10"/>
          <w:lang w:val="en-US" w:eastAsia="zh-CN"/>
        </w:rPr>
      </w:pPr>
    </w:p>
    <w:p>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窗帘</w:t>
      </w:r>
      <w:r>
        <w:rPr>
          <w:rFonts w:hint="eastAsia" w:ascii="宋体" w:hAnsi="宋体" w:eastAsia="宋体" w:cs="宋体"/>
          <w:b/>
          <w:bCs/>
          <w:i w:val="0"/>
          <w:iCs w:val="0"/>
          <w:caps w:val="0"/>
          <w:color w:val="000000"/>
          <w:spacing w:val="0"/>
          <w:sz w:val="48"/>
          <w:szCs w:val="48"/>
          <w:shd w:val="clear" w:color="auto" w:fill="FFFFFF"/>
          <w:lang w:val="en-US" w:eastAsia="zh-CN"/>
        </w:rPr>
        <w:t>竞争谈判</w:t>
      </w:r>
      <w:r>
        <w:rPr>
          <w:rFonts w:hint="eastAsia" w:ascii="宋体" w:hAnsi="宋体" w:eastAsia="宋体" w:cs="宋体"/>
          <w:b/>
          <w:bCs w:val="0"/>
          <w:color w:val="000000"/>
          <w:sz w:val="44"/>
          <w:szCs w:val="44"/>
          <w:shd w:val="clear" w:color="auto" w:fill="FFFFFF"/>
          <w:lang w:val="en-US" w:eastAsia="zh-CN"/>
        </w:rPr>
        <w:t>会议签到表</w:t>
      </w:r>
    </w:p>
    <w:p>
      <w:pPr>
        <w:pStyle w:val="1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窗帘</w:t>
      </w:r>
      <w:r>
        <w:rPr>
          <w:rFonts w:hint="eastAsia" w:ascii="宋体" w:hAnsi="宋体" w:eastAsia="宋体" w:cs="宋体"/>
          <w:b w:val="0"/>
          <w:bCs w:val="0"/>
          <w:color w:val="000000"/>
          <w:sz w:val="21"/>
          <w:szCs w:val="21"/>
          <w:lang w:val="en-US" w:eastAsia="zh-CN"/>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hint="default" w:ascii="楷体" w:hAnsi="楷体" w:eastAsia="楷体" w:cs="楷体"/>
                <w:color w:val="0C0C0C"/>
                <w:kern w:val="0"/>
                <w:sz w:val="21"/>
                <w:szCs w:val="21"/>
                <w:lang w:val="en-US" w:eastAsia="zh-CN"/>
              </w:rPr>
            </w:pPr>
          </w:p>
        </w:tc>
      </w:tr>
      <w:tr>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r>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pPr>
              <w:widowControl/>
              <w:spacing w:line="480" w:lineRule="auto"/>
              <w:jc w:val="center"/>
              <w:rPr>
                <w:rFonts w:hint="default" w:ascii="楷体" w:hAnsi="楷体" w:eastAsia="楷体" w:cs="楷体"/>
                <w:color w:val="0C0C0C"/>
                <w:kern w:val="0"/>
                <w:sz w:val="21"/>
                <w:szCs w:val="21"/>
                <w:lang w:val="en-US" w:eastAsia="zh-CN" w:bidi="ar-SA"/>
              </w:rPr>
            </w:pPr>
          </w:p>
        </w:tc>
      </w:tr>
    </w:tbl>
    <w:p>
      <w:pPr>
        <w:rPr>
          <w:rFonts w:hint="eastAsia" w:ascii="宋体" w:hAnsi="宋体" w:cs="宋体"/>
          <w:color w:val="FF0000"/>
          <w:sz w:val="24"/>
          <w:szCs w:val="24"/>
          <w:lang w:val="en-US" w:eastAsia="zh-CN"/>
        </w:rPr>
      </w:pPr>
    </w:p>
    <w:p>
      <w:pPr>
        <w:ind w:left="-25" w:leftChars="-95" w:hanging="174" w:hangingChars="83"/>
        <w:rPr>
          <w:rFonts w:hint="eastAsia" w:ascii="宋体" w:hAnsi="宋体" w:cs="宋体"/>
          <w:color w:val="auto"/>
          <w:sz w:val="21"/>
          <w:szCs w:val="21"/>
          <w:lang w:val="en-US" w:eastAsia="zh-CN"/>
        </w:rPr>
      </w:pPr>
    </w:p>
    <w:p>
      <w:pPr>
        <w:rPr>
          <w:rFonts w:hint="eastAsia" w:ascii="宋体" w:hAnsi="宋体" w:cs="宋体"/>
          <w:color w:val="auto"/>
          <w:sz w:val="21"/>
          <w:szCs w:val="21"/>
          <w:lang w:val="en-US" w:eastAsia="zh-CN"/>
        </w:rPr>
      </w:pPr>
    </w:p>
    <w:p>
      <w:pPr>
        <w:pStyle w:val="18"/>
        <w:rPr>
          <w:rFonts w:hint="eastAsia" w:ascii="宋体" w:hAnsi="宋体" w:cs="宋体"/>
          <w:color w:val="auto"/>
          <w:sz w:val="21"/>
          <w:szCs w:val="21"/>
          <w:lang w:val="en-US" w:eastAsia="zh-CN"/>
        </w:rPr>
      </w:pPr>
    </w:p>
    <w:p>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49465"/>
    <w:multiLevelType w:val="singleLevel"/>
    <w:tmpl w:val="C3749465"/>
    <w:lvl w:ilvl="0" w:tentative="0">
      <w:start w:val="1"/>
      <w:numFmt w:val="decimal"/>
      <w:suff w:val="nothing"/>
      <w:lvlText w:val="%1、"/>
      <w:lvlJc w:val="left"/>
    </w:lvl>
  </w:abstractNum>
  <w:abstractNum w:abstractNumId="1">
    <w:nsid w:val="68CCBBDC"/>
    <w:multiLevelType w:val="singleLevel"/>
    <w:tmpl w:val="68CCBBDC"/>
    <w:lvl w:ilvl="0" w:tentative="0">
      <w:start w:val="1"/>
      <w:numFmt w:val="decimal"/>
      <w:suff w:val="nothing"/>
      <w:lvlText w:val="%1、"/>
      <w:lvlJc w:val="left"/>
    </w:lvl>
  </w:abstractNum>
  <w:abstractNum w:abstractNumId="2">
    <w:nsid w:val="7ECFBF99"/>
    <w:multiLevelType w:val="singleLevel"/>
    <w:tmpl w:val="7ECFBF9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5AD94984"/>
    <w:rsid w:val="02DF7283"/>
    <w:rsid w:val="047F1C1C"/>
    <w:rsid w:val="05C35740"/>
    <w:rsid w:val="0627765D"/>
    <w:rsid w:val="0C5A1E1E"/>
    <w:rsid w:val="0DC42165"/>
    <w:rsid w:val="0E0A403D"/>
    <w:rsid w:val="107152EE"/>
    <w:rsid w:val="109E395E"/>
    <w:rsid w:val="11945B91"/>
    <w:rsid w:val="11E1154A"/>
    <w:rsid w:val="130A429A"/>
    <w:rsid w:val="146B380B"/>
    <w:rsid w:val="148B1FE4"/>
    <w:rsid w:val="15D363DA"/>
    <w:rsid w:val="179C1C13"/>
    <w:rsid w:val="17D26E63"/>
    <w:rsid w:val="18161B91"/>
    <w:rsid w:val="188B2F28"/>
    <w:rsid w:val="19490D77"/>
    <w:rsid w:val="196E578A"/>
    <w:rsid w:val="1A1513DA"/>
    <w:rsid w:val="1BE35609"/>
    <w:rsid w:val="1DC22129"/>
    <w:rsid w:val="1DD138F7"/>
    <w:rsid w:val="227D54AA"/>
    <w:rsid w:val="26075C20"/>
    <w:rsid w:val="27EA7E8B"/>
    <w:rsid w:val="29612829"/>
    <w:rsid w:val="29EE74CF"/>
    <w:rsid w:val="2B1F63EF"/>
    <w:rsid w:val="2D0211E6"/>
    <w:rsid w:val="2DBA38B3"/>
    <w:rsid w:val="34255A9B"/>
    <w:rsid w:val="349117DC"/>
    <w:rsid w:val="38DC3FB8"/>
    <w:rsid w:val="3936770C"/>
    <w:rsid w:val="3C1A6156"/>
    <w:rsid w:val="3D731800"/>
    <w:rsid w:val="3E5468CE"/>
    <w:rsid w:val="3E5C5D77"/>
    <w:rsid w:val="3FFB0761"/>
    <w:rsid w:val="405F6E88"/>
    <w:rsid w:val="43D71927"/>
    <w:rsid w:val="465D55E1"/>
    <w:rsid w:val="4EF4282F"/>
    <w:rsid w:val="50431B12"/>
    <w:rsid w:val="50A145CD"/>
    <w:rsid w:val="5394516E"/>
    <w:rsid w:val="55784E09"/>
    <w:rsid w:val="55DC5ED8"/>
    <w:rsid w:val="57570AE5"/>
    <w:rsid w:val="57F967EF"/>
    <w:rsid w:val="583D1540"/>
    <w:rsid w:val="58424959"/>
    <w:rsid w:val="592E0EB8"/>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ED829E8"/>
    <w:rsid w:val="6FA769E0"/>
    <w:rsid w:val="71790525"/>
    <w:rsid w:val="731221F8"/>
    <w:rsid w:val="74F770AE"/>
    <w:rsid w:val="758F3286"/>
    <w:rsid w:val="767D0226"/>
    <w:rsid w:val="7AB74CB0"/>
    <w:rsid w:val="7C6C4B19"/>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autoRedefine/>
    <w:qFormat/>
    <w:uiPriority w:val="0"/>
    <w:rPr>
      <w:rFonts w:ascii="仿宋_GB2312" w:eastAsia="仿宋_GB2312"/>
      <w:sz w:val="32"/>
    </w:rPr>
  </w:style>
  <w:style w:type="paragraph" w:customStyle="1" w:styleId="4">
    <w:name w:val="默认"/>
    <w:autoRedefine/>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autoRedefine/>
    <w:unhideWhenUsed/>
    <w:qFormat/>
    <w:uiPriority w:val="0"/>
    <w:rPr>
      <w:i/>
      <w:iCs/>
      <w:sz w:val="26"/>
    </w:rPr>
  </w:style>
  <w:style w:type="paragraph" w:styleId="12">
    <w:name w:val="Normal (Web)"/>
    <w:basedOn w:val="1"/>
    <w:autoRedefine/>
    <w:qFormat/>
    <w:uiPriority w:val="0"/>
    <w:rPr>
      <w:sz w:val="24"/>
    </w:rPr>
  </w:style>
  <w:style w:type="paragraph" w:styleId="13">
    <w:name w:val="Body Text First Indent 2"/>
    <w:basedOn w:val="8"/>
    <w:autoRedefine/>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6721</Words>
  <Characters>7004</Characters>
  <Lines>0</Lines>
  <Paragraphs>0</Paragraphs>
  <TotalTime>1</TotalTime>
  <ScaleCrop>false</ScaleCrop>
  <LinksUpToDate>false</LinksUpToDate>
  <CharactersWithSpaces>8182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WPS_1664260647</cp:lastModifiedBy>
  <cp:lastPrinted>2024-07-04T08:58:00Z</cp:lastPrinted>
  <dcterms:modified xsi:type="dcterms:W3CDTF">2025-09-30T01:56:15Z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6EA8F98F976B44108682A6B4BF87B137_13</vt:lpwstr>
  </property>
  <property fmtid="{D5CDD505-2E9C-101B-9397-08002B2CF9AE}" pid="4" name="KSOTemplateDocerSaveRecord">
    <vt:lpwstr>eyJoZGlkIjoiZjlmYWNiNmFlNmRiNGM2OWU4MDExZmViNzc3MWQ0YTYiLCJ1c2VySWQiOiIxNjczMzY4MzM2In0=</vt:lpwstr>
  </property>
</Properties>
</file>