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color w:val="auto"/>
          <w:kern w:val="0"/>
          <w:sz w:val="32"/>
          <w:szCs w:val="32"/>
          <w:highlight w:val="none"/>
          <w:u w:val="single"/>
        </w:rPr>
      </w:pPr>
      <w:bookmarkStart w:id="0" w:name="OLE_LINK35"/>
      <w:bookmarkStart w:id="1" w:name="_Toc536800622"/>
      <w:bookmarkStart w:id="2" w:name="_Toc43278824"/>
      <w:bookmarkStart w:id="3" w:name="_Toc536781693"/>
      <w:bookmarkStart w:id="4" w:name="_Toc536782092"/>
      <w:bookmarkStart w:id="5" w:name="_Toc536621766"/>
      <w:bookmarkStart w:id="6" w:name="_Toc536628229"/>
      <w:bookmarkStart w:id="7" w:name="_Toc28400"/>
      <w:bookmarkStart w:id="8" w:name="_Toc37531048"/>
      <w:bookmarkStart w:id="9" w:name="_Toc509218549"/>
      <w:bookmarkStart w:id="10" w:name="_Toc287620665"/>
      <w:r>
        <w:rPr>
          <w:rFonts w:hint="eastAsia" w:ascii="宋体" w:hAnsi="宋体" w:cs="宋体"/>
          <w:color w:val="auto"/>
          <w:kern w:val="0"/>
          <w:sz w:val="32"/>
          <w:szCs w:val="32"/>
          <w:highlight w:val="none"/>
          <w:u w:val="single"/>
          <w:lang w:eastAsia="zh-CN"/>
        </w:rPr>
        <w:t>垫江县普顺镇青龙村道路硬化工程</w:t>
      </w:r>
      <w:bookmarkEnd w:id="0"/>
      <w:r>
        <w:rPr>
          <w:rFonts w:hint="eastAsia" w:ascii="宋体" w:hAnsi="宋体" w:eastAsia="宋体" w:cs="宋体"/>
          <w:color w:val="auto"/>
          <w:kern w:val="0"/>
          <w:sz w:val="32"/>
          <w:szCs w:val="32"/>
          <w:highlight w:val="none"/>
          <w:u w:val="single"/>
        </w:rPr>
        <w:t>（项目名称）</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lang w:eastAsia="zh-CN"/>
        </w:rPr>
      </w:pPr>
    </w:p>
    <w:p>
      <w:pPr>
        <w:pStyle w:val="31"/>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lang w:val="en-US" w:eastAsia="zh-CN"/>
        </w:rPr>
        <w:t>竞争性比选</w:t>
      </w:r>
      <w:r>
        <w:rPr>
          <w:rFonts w:hint="eastAsia" w:ascii="宋体" w:hAnsi="宋体" w:eastAsia="宋体" w:cs="宋体"/>
          <w:color w:val="auto"/>
          <w:kern w:val="0"/>
          <w:sz w:val="72"/>
          <w:szCs w:val="72"/>
          <w:highlight w:val="none"/>
        </w:rPr>
        <w:t>文件</w:t>
      </w:r>
    </w:p>
    <w:p>
      <w:pPr>
        <w:autoSpaceDE w:val="0"/>
        <w:autoSpaceDN w:val="0"/>
        <w:adjustRightInd w:val="0"/>
        <w:snapToGrid w:val="0"/>
        <w:spacing w:line="360" w:lineRule="auto"/>
        <w:jc w:val="left"/>
        <w:rPr>
          <w:rFonts w:hint="eastAsia" w:ascii="宋体" w:hAnsi="宋体" w:eastAsia="宋体" w:cs="宋体"/>
          <w:color w:val="auto"/>
          <w:kern w:val="0"/>
          <w:sz w:val="10"/>
          <w:szCs w:val="1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2"/>
        <w:rPr>
          <w:rFonts w:hint="eastAsia"/>
          <w:color w:val="auto"/>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pStyle w:val="31"/>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pStyle w:val="2"/>
        <w:rPr>
          <w:rFonts w:hint="eastAsia" w:ascii="宋体" w:hAnsi="宋体" w:eastAsia="宋体" w:cs="宋体"/>
          <w:color w:val="auto"/>
          <w:kern w:val="0"/>
          <w:sz w:val="20"/>
          <w:szCs w:val="20"/>
          <w:highlight w:val="none"/>
        </w:rPr>
      </w:pPr>
    </w:p>
    <w:p>
      <w:pPr>
        <w:rPr>
          <w:rFonts w:hint="eastAsia"/>
          <w:color w:val="auto"/>
          <w:highlight w:val="none"/>
        </w:rPr>
      </w:pPr>
    </w:p>
    <w:p>
      <w:pPr>
        <w:autoSpaceDE w:val="0"/>
        <w:autoSpaceDN w:val="0"/>
        <w:adjustRightInd w:val="0"/>
        <w:snapToGrid w:val="0"/>
        <w:spacing w:line="360" w:lineRule="auto"/>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0"/>
          <w:szCs w:val="20"/>
          <w:highlight w:val="none"/>
        </w:rPr>
      </w:pPr>
    </w:p>
    <w:p>
      <w:pPr>
        <w:tabs>
          <w:tab w:val="left" w:pos="6219"/>
        </w:tabs>
        <w:autoSpaceDE w:val="0"/>
        <w:autoSpaceDN w:val="0"/>
        <w:adjustRightInd w:val="0"/>
        <w:snapToGrid w:val="0"/>
        <w:spacing w:line="360" w:lineRule="auto"/>
        <w:ind w:firstLine="278" w:firstLineChars="100"/>
        <w:jc w:val="distribute"/>
        <w:rPr>
          <w:rFonts w:hint="eastAsia" w:ascii="宋体" w:hAnsi="宋体" w:eastAsia="宋体" w:cs="宋体"/>
          <w:b/>
          <w:color w:val="auto"/>
          <w:w w:val="99"/>
          <w:kern w:val="0"/>
          <w:sz w:val="28"/>
          <w:szCs w:val="28"/>
          <w:highlight w:val="none"/>
        </w:rPr>
      </w:pPr>
      <w:r>
        <w:rPr>
          <w:rFonts w:hint="eastAsia" w:ascii="宋体" w:hAnsi="宋体" w:eastAsia="宋体" w:cs="宋体"/>
          <w:b/>
          <w:color w:val="auto"/>
          <w:w w:val="99"/>
          <w:kern w:val="0"/>
          <w:sz w:val="28"/>
          <w:szCs w:val="28"/>
          <w:highlight w:val="none"/>
          <w:lang w:val="en-US" w:eastAsia="zh-CN"/>
        </w:rPr>
        <w:t>比选人</w:t>
      </w:r>
      <w:r>
        <w:rPr>
          <w:rFonts w:hint="eastAsia" w:ascii="宋体" w:hAnsi="宋体" w:eastAsia="宋体" w:cs="宋体"/>
          <w:b/>
          <w:color w:val="auto"/>
          <w:w w:val="99"/>
          <w:kern w:val="0"/>
          <w:sz w:val="28"/>
          <w:szCs w:val="28"/>
          <w:highlight w:val="none"/>
        </w:rPr>
        <w:t>：</w:t>
      </w:r>
      <w:bookmarkStart w:id="11" w:name="OLE_LINK34"/>
      <w:r>
        <w:rPr>
          <w:rFonts w:hint="eastAsia" w:ascii="宋体" w:hAnsi="宋体" w:cs="宋体"/>
          <w:b/>
          <w:color w:val="auto"/>
          <w:spacing w:val="8"/>
          <w:kern w:val="0"/>
          <w:sz w:val="28"/>
          <w:szCs w:val="28"/>
          <w:highlight w:val="none"/>
          <w:u w:val="single"/>
          <w:lang w:val="en-US" w:eastAsia="zh-CN"/>
        </w:rPr>
        <w:t>垫江县普顺镇青龙村股份经济合作联合社</w:t>
      </w:r>
      <w:bookmarkEnd w:id="11"/>
      <w:r>
        <w:rPr>
          <w:rFonts w:hint="eastAsia" w:ascii="宋体" w:hAnsi="宋体" w:eastAsia="宋体" w:cs="宋体"/>
          <w:b/>
          <w:color w:val="auto"/>
          <w:w w:val="99"/>
          <w:kern w:val="0"/>
          <w:sz w:val="28"/>
          <w:szCs w:val="28"/>
          <w:highlight w:val="none"/>
        </w:rPr>
        <w:t>（盖单位法人章）</w:t>
      </w:r>
    </w:p>
    <w:p>
      <w:pPr>
        <w:tabs>
          <w:tab w:val="left" w:pos="6219"/>
        </w:tabs>
        <w:autoSpaceDE w:val="0"/>
        <w:autoSpaceDN w:val="0"/>
        <w:adjustRightInd w:val="0"/>
        <w:snapToGrid w:val="0"/>
        <w:spacing w:line="360" w:lineRule="auto"/>
        <w:ind w:firstLine="297" w:firstLineChars="100"/>
        <w:jc w:val="distribute"/>
        <w:rPr>
          <w:rFonts w:hint="eastAsia" w:ascii="宋体" w:hAnsi="宋体" w:eastAsia="宋体" w:cs="宋体"/>
          <w:b/>
          <w:color w:val="auto"/>
          <w:kern w:val="0"/>
          <w:sz w:val="28"/>
          <w:szCs w:val="28"/>
          <w:highlight w:val="none"/>
        </w:rPr>
      </w:pPr>
      <w:r>
        <w:rPr>
          <w:rFonts w:hint="eastAsia" w:ascii="宋体" w:hAnsi="宋体" w:eastAsia="宋体" w:cs="宋体"/>
          <w:b/>
          <w:color w:val="auto"/>
          <w:spacing w:val="8"/>
          <w:kern w:val="0"/>
          <w:sz w:val="28"/>
          <w:szCs w:val="28"/>
          <w:highlight w:val="none"/>
          <w:lang w:eastAsia="zh-CN"/>
        </w:rPr>
        <w:t>比选代理机构</w:t>
      </w:r>
      <w:r>
        <w:rPr>
          <w:rFonts w:hint="eastAsia" w:ascii="宋体" w:hAnsi="宋体" w:eastAsia="宋体" w:cs="宋体"/>
          <w:b/>
          <w:color w:val="auto"/>
          <w:spacing w:val="8"/>
          <w:kern w:val="0"/>
          <w:sz w:val="28"/>
          <w:szCs w:val="28"/>
          <w:highlight w:val="none"/>
        </w:rPr>
        <w:t>：</w:t>
      </w:r>
      <w:r>
        <w:rPr>
          <w:rFonts w:hint="eastAsia" w:ascii="宋体" w:hAnsi="宋体" w:eastAsia="宋体" w:cs="宋体"/>
          <w:b/>
          <w:color w:val="auto"/>
          <w:spacing w:val="8"/>
          <w:kern w:val="0"/>
          <w:sz w:val="28"/>
          <w:szCs w:val="28"/>
          <w:highlight w:val="none"/>
          <w:u w:val="single"/>
          <w:lang w:eastAsia="zh-CN"/>
        </w:rPr>
        <w:t>重庆大骐顺项目管理有限公司</w:t>
      </w:r>
      <w:r>
        <w:rPr>
          <w:rFonts w:hint="eastAsia" w:ascii="宋体" w:hAnsi="宋体" w:eastAsia="宋体" w:cs="宋体"/>
          <w:b/>
          <w:color w:val="auto"/>
          <w:spacing w:val="8"/>
          <w:kern w:val="0"/>
          <w:sz w:val="28"/>
          <w:szCs w:val="28"/>
          <w:highlight w:val="none"/>
          <w:u w:val="single"/>
          <w:lang w:val="en-US" w:eastAsia="zh-CN"/>
        </w:rPr>
        <w:t xml:space="preserve"> </w:t>
      </w:r>
      <w:r>
        <w:rPr>
          <w:rFonts w:hint="eastAsia" w:ascii="宋体" w:hAnsi="宋体" w:eastAsia="宋体" w:cs="宋体"/>
          <w:color w:val="auto"/>
          <w:kern w:val="0"/>
          <w:sz w:val="28"/>
          <w:szCs w:val="28"/>
          <w:highlight w:val="none"/>
          <w:u w:val="single"/>
          <w:lang w:val="en-US" w:eastAsia="zh-CN"/>
        </w:rPr>
        <w:t xml:space="preserve">  </w:t>
      </w:r>
      <w:r>
        <w:rPr>
          <w:rFonts w:hint="eastAsia" w:ascii="宋体" w:hAnsi="宋体" w:eastAsia="宋体" w:cs="宋体"/>
          <w:b/>
          <w:color w:val="auto"/>
          <w:w w:val="99"/>
          <w:kern w:val="0"/>
          <w:sz w:val="28"/>
          <w:szCs w:val="28"/>
          <w:highlight w:val="none"/>
        </w:rPr>
        <w:t>（盖单位法人章）</w:t>
      </w:r>
    </w:p>
    <w:p>
      <w:pPr>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p>
      <w:pPr>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u w:val="single"/>
          <w:lang w:val="en-US" w:eastAsia="zh-CN"/>
        </w:rPr>
        <w:t>2025</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rPr>
        <w:t>年</w:t>
      </w:r>
      <w:r>
        <w:rPr>
          <w:rFonts w:hint="eastAsia" w:ascii="宋体" w:hAnsi="宋体" w:eastAsia="宋体" w:cs="宋体"/>
          <w:b/>
          <w:bCs/>
          <w:color w:val="auto"/>
          <w:sz w:val="24"/>
          <w:highlight w:val="none"/>
          <w:u w:val="single"/>
        </w:rPr>
        <w:t>　</w:t>
      </w:r>
      <w:r>
        <w:rPr>
          <w:rFonts w:hint="eastAsia" w:ascii="宋体" w:hAnsi="宋体" w:eastAsia="宋体" w:cs="宋体"/>
          <w:b/>
          <w:bCs/>
          <w:color w:val="auto"/>
          <w:sz w:val="24"/>
          <w:highlight w:val="none"/>
          <w:u w:val="single"/>
          <w:lang w:val="en-US" w:eastAsia="zh-CN"/>
        </w:rPr>
        <w:t>10</w:t>
      </w:r>
      <w:r>
        <w:rPr>
          <w:rFonts w:hint="eastAsia" w:ascii="宋体" w:hAnsi="宋体" w:eastAsia="宋体" w:cs="宋体"/>
          <w:b/>
          <w:bCs/>
          <w:color w:val="auto"/>
          <w:sz w:val="24"/>
          <w:highlight w:val="none"/>
          <w:u w:val="single"/>
        </w:rPr>
        <w:t>　</w:t>
      </w:r>
      <w:bookmarkEnd w:id="1"/>
      <w:bookmarkEnd w:id="2"/>
      <w:bookmarkEnd w:id="3"/>
      <w:bookmarkEnd w:id="4"/>
      <w:bookmarkEnd w:id="5"/>
      <w:bookmarkEnd w:id="6"/>
      <w:bookmarkEnd w:id="7"/>
      <w:bookmarkEnd w:id="8"/>
      <w:bookmarkEnd w:id="9"/>
      <w:r>
        <w:rPr>
          <w:rFonts w:hint="eastAsia" w:ascii="宋体" w:hAnsi="宋体" w:eastAsia="宋体" w:cs="宋体"/>
          <w:b/>
          <w:bCs/>
          <w:color w:val="auto"/>
          <w:sz w:val="24"/>
          <w:highlight w:val="none"/>
          <w:u w:val="single"/>
          <w:lang w:val="en-US" w:eastAsia="zh-CN"/>
        </w:rPr>
        <w:t>月</w:t>
      </w:r>
    </w:p>
    <w:p>
      <w:pPr>
        <w:autoSpaceDE w:val="0"/>
        <w:autoSpaceDN w:val="0"/>
        <w:adjustRightInd w:val="0"/>
        <w:snapToGrid w:val="0"/>
        <w:spacing w:line="360" w:lineRule="auto"/>
        <w:jc w:val="center"/>
        <w:rPr>
          <w:rFonts w:hint="eastAsia" w:ascii="宋体" w:hAnsi="宋体" w:eastAsia="宋体" w:cs="宋体"/>
          <w:b/>
          <w:color w:val="auto"/>
          <w:kern w:val="0"/>
          <w:sz w:val="20"/>
          <w:szCs w:val="20"/>
          <w:highlight w:val="none"/>
        </w:rPr>
      </w:pPr>
    </w:p>
    <w:p>
      <w:pPr>
        <w:pStyle w:val="3"/>
        <w:spacing w:line="360" w:lineRule="auto"/>
        <w:rPr>
          <w:rFonts w:hint="eastAsia" w:ascii="宋体" w:hAnsi="宋体" w:eastAsia="宋体" w:cs="宋体"/>
          <w:color w:val="auto"/>
          <w:spacing w:val="8"/>
          <w:kern w:val="0"/>
          <w:sz w:val="28"/>
          <w:szCs w:val="28"/>
          <w:highlight w:val="none"/>
          <w:u w:val="single"/>
        </w:rPr>
        <w:sectPr>
          <w:headerReference r:id="rId3" w:type="default"/>
          <w:pgSz w:w="11907" w:h="16840"/>
          <w:pgMar w:top="1304" w:right="1134" w:bottom="1304" w:left="1304" w:header="851" w:footer="992" w:gutter="0"/>
          <w:pgNumType w:start="1"/>
          <w:cols w:space="720" w:num="1"/>
          <w:docGrid w:linePitch="312" w:charSpace="0"/>
        </w:sectPr>
      </w:pPr>
    </w:p>
    <w:bookmarkEnd w:id="10"/>
    <w:p>
      <w:pPr>
        <w:pStyle w:val="44"/>
        <w:jc w:val="center"/>
        <w:rPr>
          <w:rFonts w:hint="eastAsia" w:ascii="宋体" w:hAnsi="宋体" w:eastAsia="宋体" w:cs="宋体"/>
          <w:color w:val="auto"/>
          <w:sz w:val="44"/>
          <w:szCs w:val="44"/>
          <w:highlight w:val="none"/>
        </w:rPr>
      </w:pPr>
      <w:bookmarkStart w:id="12" w:name="_Toc430530414"/>
      <w:r>
        <w:rPr>
          <w:rFonts w:hint="eastAsia" w:ascii="宋体" w:hAnsi="宋体" w:eastAsia="宋体" w:cs="宋体"/>
          <w:color w:val="auto"/>
          <w:sz w:val="44"/>
          <w:szCs w:val="44"/>
          <w:highlight w:val="none"/>
          <w:lang w:val="zh-CN"/>
        </w:rPr>
        <w:t>目</w:t>
      </w:r>
      <w:r>
        <w:rPr>
          <w:rFonts w:hint="eastAsia" w:ascii="宋体" w:hAnsi="宋体" w:eastAsia="宋体" w:cs="宋体"/>
          <w:color w:val="auto"/>
          <w:sz w:val="44"/>
          <w:szCs w:val="44"/>
          <w:highlight w:val="none"/>
        </w:rPr>
        <w:t xml:space="preserve"> </w:t>
      </w:r>
      <w:r>
        <w:rPr>
          <w:rFonts w:hint="eastAsia" w:ascii="宋体" w:hAnsi="宋体" w:eastAsia="宋体" w:cs="宋体"/>
          <w:color w:val="auto"/>
          <w:sz w:val="44"/>
          <w:szCs w:val="44"/>
          <w:highlight w:val="none"/>
          <w:lang w:val="zh-CN"/>
        </w:rPr>
        <w:t>录</w:t>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TOC \o "1-3" \h \z \u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Cs w:val="21"/>
          <w:highlight w:val="none"/>
        </w:rPr>
        <w:fldChar w:fldCharType="begin"/>
      </w:r>
      <w:r>
        <w:rPr>
          <w:rFonts w:hint="eastAsia" w:ascii="宋体" w:hAnsi="宋体" w:eastAsia="宋体" w:cs="宋体"/>
          <w:color w:val="auto"/>
          <w:szCs w:val="21"/>
          <w:highlight w:val="none"/>
        </w:rPr>
        <w:instrText xml:space="preserve"> HYPERLINK \l _Toc4864 </w:instrText>
      </w:r>
      <w:r>
        <w:rPr>
          <w:rFonts w:hint="eastAsia" w:ascii="宋体" w:hAnsi="宋体" w:eastAsia="宋体" w:cs="宋体"/>
          <w:color w:val="auto"/>
          <w:szCs w:val="21"/>
          <w:highlight w:val="none"/>
        </w:rPr>
        <w:fldChar w:fldCharType="separate"/>
      </w:r>
      <w:r>
        <w:rPr>
          <w:rFonts w:hint="eastAsia" w:ascii="宋体" w:hAnsi="宋体" w:eastAsia="宋体" w:cs="宋体"/>
          <w:color w:val="auto"/>
          <w:szCs w:val="52"/>
          <w:highlight w:val="none"/>
        </w:rPr>
        <w:t>第 一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_Toc4864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w:t>
      </w:r>
      <w:r>
        <w:rPr>
          <w:rFonts w:hint="eastAsia" w:ascii="宋体" w:hAnsi="宋体" w:eastAsia="宋体" w:cs="宋体"/>
          <w:color w:val="auto"/>
          <w:highlight w:val="none"/>
        </w:rPr>
        <w:fldChar w:fldCharType="end"/>
      </w:r>
      <w:r>
        <w:rPr>
          <w:rFonts w:hint="eastAsia" w:ascii="宋体" w:hAnsi="宋体" w:eastAsia="宋体" w:cs="宋体"/>
          <w:color w:val="auto"/>
          <w:szCs w:val="21"/>
          <w:highlight w:val="none"/>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_Toc12918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snapToGrid w:val="0"/>
          <w:color w:val="auto"/>
          <w:kern w:val="0"/>
          <w:highlight w:val="none"/>
        </w:rPr>
        <w:t xml:space="preserve">第一章  </w:t>
      </w:r>
      <w:r>
        <w:rPr>
          <w:rFonts w:hint="eastAsia" w:ascii="宋体" w:hAnsi="宋体" w:eastAsia="宋体" w:cs="宋体"/>
          <w:snapToGrid w:val="0"/>
          <w:color w:val="auto"/>
          <w:kern w:val="0"/>
          <w:highlight w:val="none"/>
          <w:lang w:eastAsia="zh-CN"/>
        </w:rPr>
        <w:t>比选公告</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_Toc12918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_Toc23457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1. 招标条件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_Toc23457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_Toc23082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2. 项目概况与招标范围</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_Toc23082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_Toc32351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3. 投标人资格要求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_Toc32351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比选文件</w:t>
      </w:r>
      <w:r>
        <w:rPr>
          <w:rFonts w:hint="eastAsia" w:ascii="宋体" w:hAnsi="宋体" w:eastAsia="宋体" w:cs="宋体"/>
          <w:bCs w:val="0"/>
          <w:snapToGrid w:val="0"/>
          <w:color w:val="auto"/>
          <w:highlight w:val="none"/>
        </w:rPr>
        <w:t>的获取</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_Toc17220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5. 投标文件的递交</w:t>
      </w:r>
      <w:r>
        <w:rPr>
          <w:rFonts w:hint="eastAsia" w:ascii="宋体" w:hAnsi="宋体" w:eastAsia="宋体" w:cs="宋体"/>
          <w:color w:val="auto"/>
          <w:highlight w:val="none"/>
        </w:rPr>
        <w:tab/>
      </w:r>
      <w:r>
        <w:rPr>
          <w:rFonts w:hint="eastAsia" w:ascii="宋体" w:hAnsi="宋体" w:eastAsia="宋体" w:cs="宋体"/>
          <w:color w:val="auto"/>
          <w:highlight w:val="none"/>
          <w:lang w:val="en-US" w:eastAsia="zh-CN"/>
        </w:rPr>
        <w:t>5</w:t>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_Toc3877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6. 发布公告的媒介</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_Toc3877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_Toc24577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7. 联系方式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_Toc24577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_Toc21790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highlight w:val="none"/>
        </w:rPr>
        <w:t>第二章  投标人须知</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_Toc21790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_Toc28452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投标人须知前附表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_Toc28452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_Toc25520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总则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_Toc25520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_Toc7063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 xml:space="preserve">2. </w:t>
      </w:r>
      <w:r>
        <w:rPr>
          <w:rFonts w:hint="eastAsia" w:ascii="宋体" w:hAnsi="宋体" w:eastAsia="宋体" w:cs="宋体"/>
          <w:color w:val="auto"/>
          <w:szCs w:val="28"/>
          <w:highlight w:val="none"/>
          <w:lang w:eastAsia="zh-CN"/>
        </w:rPr>
        <w:t>比选文件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_Toc7063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_Toc6027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投标文件</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_Toc6027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_Toc12673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4. 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_Toc12673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_Toc20699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5. 开标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_Toc20699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_Toc32019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6. 评标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_Toc32019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29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_Toc14208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7. 合同授予</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_Toc14208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_Toc18581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8. 纪律和监督</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_Toc18581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_Toc30711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9. 是否采用电子招标投标</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_Toc30711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_Toc13252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10. 需要补充的其他内容</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_Toc13252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_Toc6532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snapToGrid w:val="0"/>
          <w:color w:val="auto"/>
          <w:kern w:val="0"/>
          <w:highlight w:val="none"/>
        </w:rPr>
        <w:t>第三章  评标办法（经评审的最低投标价法）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_Toc6532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_Toc25595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28"/>
          <w:highlight w:val="none"/>
        </w:rPr>
        <w:t>评标办法前附表</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_Toc25595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37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_Toc31712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1. 评标方法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_Toc31712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_Toc20232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2. 评审标准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_Toc20232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_Toc29316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28"/>
          <w:highlight w:val="none"/>
        </w:rPr>
        <w:t>3. 评标程序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_Toc29316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_Toc203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kern w:val="0"/>
          <w:highlight w:val="none"/>
        </w:rPr>
        <w:t>第四章  合同条款及格式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_Toc203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_Toc3115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第一</w:t>
      </w:r>
      <w:r>
        <w:rPr>
          <w:rFonts w:hint="eastAsia" w:ascii="宋体" w:hAnsi="宋体" w:eastAsia="宋体" w:cs="宋体"/>
          <w:bCs w:val="0"/>
          <w:snapToGrid w:val="0"/>
          <w:color w:val="auto"/>
          <w:highlight w:val="none"/>
        </w:rPr>
        <w:t>节 通用</w:t>
      </w:r>
      <w:r>
        <w:rPr>
          <w:rFonts w:hint="eastAsia" w:ascii="宋体" w:hAnsi="宋体" w:eastAsia="宋体" w:cs="宋体"/>
          <w:bCs/>
          <w:color w:val="auto"/>
          <w:highlight w:val="none"/>
        </w:rPr>
        <w:t>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_Toc3115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_Toc6292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color w:val="auto"/>
          <w:highlight w:val="none"/>
        </w:rPr>
        <w:t>第二节 专用合同条款</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_Toc6292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49</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6"/>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_Toc1053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highlight w:val="none"/>
        </w:rPr>
        <w:t>第三节 合同附件格式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_Toc1053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95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_Toc8989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第五章  工程量清单</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_Toc8989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111</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_Toc6749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二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_Toc6749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_Toc22661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第六章  图纸</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_Toc22661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113</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_Toc3091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三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_Toc3091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114</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_Toc28136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第七章  技术标准和要求</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_Toc28136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115</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_Toc27928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第八章  工程量清单计量规则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_Toc27928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116</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_Toc29424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color w:val="auto"/>
          <w:szCs w:val="52"/>
          <w:highlight w:val="none"/>
        </w:rPr>
        <w:t>第 四 卷</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_Toc29424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117</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_Toc17121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highlight w:val="none"/>
        </w:rPr>
        <w:t>第九章  投标文件格式</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_Toc17121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118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bookmarkStart w:id="13" w:name="OLE_LINK26"/>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_Toc3589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rPr>
        <w:t>一、投标函部分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_Toc3589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120</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_Toc6049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eastAsia="zh-CN"/>
        </w:rPr>
        <w:t>二</w:t>
      </w:r>
      <w:r>
        <w:rPr>
          <w:rFonts w:hint="eastAsia" w:ascii="宋体" w:hAnsi="宋体" w:eastAsia="宋体" w:cs="宋体"/>
          <w:color w:val="auto"/>
          <w:szCs w:val="44"/>
          <w:highlight w:val="none"/>
        </w:rPr>
        <w:t>、</w:t>
      </w:r>
      <w:r>
        <w:rPr>
          <w:rFonts w:hint="eastAsia" w:ascii="宋体" w:hAnsi="宋体" w:eastAsia="宋体" w:cs="宋体"/>
          <w:bCs w:val="0"/>
          <w:color w:val="auto"/>
          <w:szCs w:val="44"/>
          <w:highlight w:val="none"/>
        </w:rPr>
        <w:t>技术部分</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_Toc6049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128</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p>
      <w:pPr>
        <w:pStyle w:val="22"/>
        <w:tabs>
          <w:tab w:val="right" w:leader="dot" w:pos="9469"/>
        </w:tabs>
        <w:rPr>
          <w:rFonts w:hint="eastAsia" w:ascii="宋体" w:hAnsi="宋体" w:eastAsia="宋体" w:cs="宋体"/>
          <w:color w:val="auto"/>
          <w:highlight w:val="none"/>
        </w:rPr>
      </w:pPr>
      <w:r>
        <w:rPr>
          <w:rFonts w:hint="eastAsia" w:ascii="宋体" w:hAnsi="宋体" w:eastAsia="宋体" w:cs="宋体"/>
          <w:bCs/>
          <w:color w:val="auto"/>
          <w:szCs w:val="21"/>
          <w:highlight w:val="none"/>
          <w:lang w:val="zh-CN"/>
        </w:rPr>
        <w:fldChar w:fldCharType="begin"/>
      </w:r>
      <w:r>
        <w:rPr>
          <w:rFonts w:hint="eastAsia" w:ascii="宋体" w:hAnsi="宋体" w:eastAsia="宋体" w:cs="宋体"/>
          <w:bCs/>
          <w:color w:val="auto"/>
          <w:szCs w:val="21"/>
          <w:highlight w:val="none"/>
          <w:lang w:val="zh-CN"/>
        </w:rPr>
        <w:instrText xml:space="preserve"> HYPERLINK \l _Toc19489 </w:instrText>
      </w:r>
      <w:r>
        <w:rPr>
          <w:rFonts w:hint="eastAsia" w:ascii="宋体" w:hAnsi="宋体" w:eastAsia="宋体" w:cs="宋体"/>
          <w:bCs/>
          <w:color w:val="auto"/>
          <w:szCs w:val="21"/>
          <w:highlight w:val="none"/>
          <w:lang w:val="zh-CN"/>
        </w:rPr>
        <w:fldChar w:fldCharType="separate"/>
      </w:r>
      <w:r>
        <w:rPr>
          <w:rFonts w:hint="eastAsia" w:ascii="宋体" w:hAnsi="宋体" w:eastAsia="宋体" w:cs="宋体"/>
          <w:bCs w:val="0"/>
          <w:color w:val="auto"/>
          <w:szCs w:val="44"/>
          <w:highlight w:val="none"/>
          <w:lang w:val="en-US" w:eastAsia="zh-CN"/>
        </w:rPr>
        <w:t>三</w:t>
      </w:r>
      <w:r>
        <w:rPr>
          <w:rFonts w:hint="eastAsia" w:ascii="宋体" w:hAnsi="宋体" w:eastAsia="宋体" w:cs="宋体"/>
          <w:bCs w:val="0"/>
          <w:color w:val="auto"/>
          <w:szCs w:val="44"/>
          <w:highlight w:val="none"/>
        </w:rPr>
        <w:t>、资格审查资料</w:t>
      </w:r>
      <w:r>
        <w:rPr>
          <w:rFonts w:hint="eastAsia" w:ascii="宋体" w:hAnsi="宋体" w:eastAsia="宋体" w:cs="宋体"/>
          <w:color w:val="auto"/>
          <w:highlight w:val="none"/>
        </w:rPr>
        <w:tab/>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PAGEREF _Toc19489 \h </w:instrText>
      </w:r>
      <w:r>
        <w:rPr>
          <w:rFonts w:hint="eastAsia" w:ascii="宋体" w:hAnsi="宋体" w:eastAsia="宋体" w:cs="宋体"/>
          <w:color w:val="auto"/>
          <w:highlight w:val="none"/>
        </w:rPr>
        <w:fldChar w:fldCharType="separate"/>
      </w:r>
      <w:r>
        <w:rPr>
          <w:rFonts w:hint="eastAsia" w:ascii="宋体" w:hAnsi="宋体" w:eastAsia="宋体" w:cs="宋体"/>
          <w:color w:val="auto"/>
          <w:highlight w:val="none"/>
        </w:rPr>
        <w:t>132</w:t>
      </w:r>
      <w:r>
        <w:rPr>
          <w:rFonts w:hint="eastAsia" w:ascii="宋体" w:hAnsi="宋体" w:eastAsia="宋体" w:cs="宋体"/>
          <w:color w:val="auto"/>
          <w:highlight w:val="none"/>
        </w:rPr>
        <w:fldChar w:fldCharType="end"/>
      </w:r>
      <w:r>
        <w:rPr>
          <w:rFonts w:hint="eastAsia" w:ascii="宋体" w:hAnsi="宋体" w:eastAsia="宋体" w:cs="宋体"/>
          <w:bCs/>
          <w:color w:val="auto"/>
          <w:szCs w:val="21"/>
          <w:highlight w:val="none"/>
          <w:lang w:val="zh-CN"/>
        </w:rPr>
        <w:fldChar w:fldCharType="end"/>
      </w:r>
    </w:p>
    <w:bookmarkEnd w:id="13"/>
    <w:p>
      <w:pPr>
        <w:spacing w:line="400" w:lineRule="exact"/>
        <w:rPr>
          <w:rFonts w:hint="eastAsia" w:ascii="宋体" w:hAnsi="宋体" w:eastAsia="宋体" w:cs="宋体"/>
          <w:color w:val="auto"/>
          <w:highlight w:val="none"/>
        </w:rPr>
        <w:sectPr>
          <w:footerReference r:id="rId4" w:type="default"/>
          <w:pgSz w:w="11907" w:h="16840"/>
          <w:pgMar w:top="1304" w:right="1134" w:bottom="1304" w:left="1304" w:header="851" w:footer="992" w:gutter="0"/>
          <w:pgNumType w:start="1"/>
          <w:cols w:space="720" w:num="1"/>
          <w:docGrid w:linePitch="312" w:charSpace="0"/>
        </w:sectPr>
      </w:pPr>
      <w:r>
        <w:rPr>
          <w:rFonts w:hint="eastAsia" w:ascii="宋体" w:hAnsi="宋体" w:eastAsia="宋体" w:cs="宋体"/>
          <w:bCs/>
          <w:color w:val="auto"/>
          <w:szCs w:val="21"/>
          <w:highlight w:val="none"/>
          <w:lang w:val="zh-CN"/>
        </w:rPr>
        <w:fldChar w:fldCharType="end"/>
      </w:r>
    </w:p>
    <w:bookmarkEnd w:id="12"/>
    <w:p>
      <w:pPr>
        <w:rPr>
          <w:rFonts w:hint="eastAsia" w:ascii="宋体" w:hAnsi="宋体" w:eastAsia="宋体" w:cs="宋体"/>
          <w:color w:val="auto"/>
          <w:highlight w:val="none"/>
        </w:rPr>
      </w:pPr>
      <w:bookmarkStart w:id="14" w:name="_Toc509218690"/>
    </w:p>
    <w:p>
      <w:pPr>
        <w:pStyle w:val="3"/>
        <w:spacing w:before="0" w:after="0" w:line="480" w:lineRule="auto"/>
        <w:jc w:val="center"/>
        <w:rPr>
          <w:rFonts w:hint="eastAsia" w:ascii="宋体" w:hAnsi="宋体" w:eastAsia="宋体" w:cs="宋体"/>
          <w:b w:val="0"/>
          <w:bCs w:val="0"/>
          <w:color w:val="auto"/>
          <w:sz w:val="56"/>
          <w:szCs w:val="56"/>
          <w:highlight w:val="none"/>
        </w:rPr>
      </w:pPr>
      <w:bookmarkStart w:id="15" w:name="_Toc4864"/>
      <w:r>
        <w:rPr>
          <w:rFonts w:hint="eastAsia" w:ascii="宋体" w:hAnsi="宋体" w:eastAsia="宋体" w:cs="宋体"/>
          <w:color w:val="auto"/>
          <w:sz w:val="52"/>
          <w:szCs w:val="52"/>
          <w:highlight w:val="none"/>
        </w:rPr>
        <w:t>第 一 卷</w:t>
      </w:r>
      <w:bookmarkEnd w:id="14"/>
      <w:bookmarkEnd w:id="15"/>
    </w:p>
    <w:p>
      <w:pPr>
        <w:pStyle w:val="3"/>
        <w:spacing w:line="360" w:lineRule="auto"/>
        <w:jc w:val="center"/>
        <w:rPr>
          <w:rFonts w:hint="eastAsia" w:ascii="宋体" w:hAnsi="宋体" w:eastAsia="宋体" w:cs="宋体"/>
          <w:snapToGrid w:val="0"/>
          <w:color w:val="auto"/>
          <w:kern w:val="0"/>
          <w:highlight w:val="none"/>
        </w:rPr>
      </w:pPr>
      <w:bookmarkStart w:id="16" w:name="_Toc287620666"/>
      <w:bookmarkStart w:id="17" w:name="_Toc287607727"/>
      <w:bookmarkStart w:id="18" w:name="_Toc509218691"/>
      <w:bookmarkStart w:id="19" w:name="_Toc430530415"/>
      <w:bookmarkStart w:id="20" w:name="_Toc277082535"/>
      <w:bookmarkStart w:id="21" w:name="_Toc224103298"/>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rPr>
          <w:rFonts w:hint="eastAsia" w:ascii="宋体" w:hAnsi="宋体" w:eastAsia="宋体" w:cs="宋体"/>
          <w:snapToGrid w:val="0"/>
          <w:color w:val="auto"/>
          <w:kern w:val="0"/>
          <w:highlight w:val="none"/>
        </w:rPr>
      </w:pPr>
    </w:p>
    <w:p>
      <w:pPr>
        <w:bidi w:val="0"/>
        <w:jc w:val="center"/>
        <w:rPr>
          <w:rFonts w:hint="eastAsia" w:ascii="宋体" w:hAnsi="宋体" w:eastAsia="宋体" w:cs="宋体"/>
          <w:b/>
          <w:bCs w:val="0"/>
          <w:snapToGrid w:val="0"/>
          <w:color w:val="auto"/>
          <w:kern w:val="44"/>
          <w:sz w:val="44"/>
          <w:szCs w:val="44"/>
          <w:highlight w:val="none"/>
          <w:lang w:val="en-US" w:eastAsia="zh-CN" w:bidi="ar-SA"/>
        </w:rPr>
      </w:pPr>
      <w:r>
        <w:rPr>
          <w:rFonts w:hint="eastAsia" w:ascii="宋体" w:hAnsi="宋体" w:eastAsia="宋体" w:cs="宋体"/>
          <w:snapToGrid w:val="0"/>
          <w:color w:val="auto"/>
          <w:kern w:val="0"/>
          <w:highlight w:val="none"/>
        </w:rPr>
        <w:br w:type="page"/>
      </w:r>
      <w:bookmarkStart w:id="22" w:name="_Toc12918"/>
      <w:r>
        <w:rPr>
          <w:rFonts w:hint="eastAsia" w:ascii="宋体" w:hAnsi="宋体" w:eastAsia="宋体" w:cs="宋体"/>
          <w:b/>
          <w:bCs w:val="0"/>
          <w:snapToGrid w:val="0"/>
          <w:color w:val="auto"/>
          <w:kern w:val="44"/>
          <w:sz w:val="44"/>
          <w:szCs w:val="44"/>
          <w:highlight w:val="none"/>
          <w:lang w:val="en-US" w:eastAsia="zh-CN" w:bidi="ar-SA"/>
        </w:rPr>
        <w:t xml:space="preserve">第一章  </w:t>
      </w:r>
      <w:bookmarkEnd w:id="16"/>
      <w:bookmarkEnd w:id="17"/>
      <w:bookmarkEnd w:id="18"/>
      <w:bookmarkEnd w:id="19"/>
      <w:bookmarkEnd w:id="20"/>
      <w:bookmarkEnd w:id="21"/>
      <w:r>
        <w:rPr>
          <w:rFonts w:hint="eastAsia" w:ascii="宋体" w:hAnsi="宋体" w:eastAsia="宋体" w:cs="宋体"/>
          <w:b/>
          <w:bCs w:val="0"/>
          <w:snapToGrid w:val="0"/>
          <w:color w:val="auto"/>
          <w:kern w:val="44"/>
          <w:sz w:val="44"/>
          <w:szCs w:val="44"/>
          <w:highlight w:val="none"/>
          <w:lang w:val="en-US" w:eastAsia="zh-CN" w:bidi="ar-SA"/>
        </w:rPr>
        <w:t>比选公告</w:t>
      </w:r>
      <w:bookmarkEnd w:id="22"/>
    </w:p>
    <w:p>
      <w:pPr>
        <w:autoSpaceDE w:val="0"/>
        <w:autoSpaceDN w:val="0"/>
        <w:adjustRightInd w:val="0"/>
        <w:snapToGrid w:val="0"/>
        <w:spacing w:line="360" w:lineRule="auto"/>
        <w:jc w:val="center"/>
        <w:rPr>
          <w:rFonts w:hint="eastAsia" w:ascii="宋体" w:hAnsi="宋体" w:eastAsia="宋体" w:cs="宋体"/>
          <w:snapToGrid w:val="0"/>
          <w:color w:val="auto"/>
          <w:kern w:val="0"/>
          <w:sz w:val="10"/>
          <w:szCs w:val="10"/>
          <w:highlight w:val="none"/>
          <w:lang w:eastAsia="zh-CN"/>
        </w:rPr>
      </w:pPr>
      <w:r>
        <w:rPr>
          <w:rFonts w:hint="eastAsia" w:ascii="宋体" w:hAnsi="宋体" w:cs="宋体"/>
          <w:snapToGrid w:val="0"/>
          <w:color w:val="auto"/>
          <w:w w:val="99"/>
          <w:kern w:val="0"/>
          <w:sz w:val="28"/>
          <w:szCs w:val="28"/>
          <w:highlight w:val="none"/>
          <w:u w:val="single"/>
          <w:lang w:eastAsia="zh-CN"/>
        </w:rPr>
        <w:t>垫江县普顺镇青龙村道路硬化工程</w:t>
      </w:r>
      <w:r>
        <w:rPr>
          <w:rFonts w:hint="eastAsia" w:ascii="宋体" w:hAnsi="宋体" w:eastAsia="宋体" w:cs="宋体"/>
          <w:snapToGrid w:val="0"/>
          <w:color w:val="auto"/>
          <w:w w:val="99"/>
          <w:kern w:val="0"/>
          <w:sz w:val="28"/>
          <w:szCs w:val="28"/>
          <w:highlight w:val="none"/>
          <w:lang w:eastAsia="zh-CN"/>
        </w:rPr>
        <w:t>比选公告</w:t>
      </w:r>
    </w:p>
    <w:p>
      <w:pPr>
        <w:pStyle w:val="4"/>
        <w:spacing w:before="0" w:after="0" w:line="360" w:lineRule="auto"/>
        <w:rPr>
          <w:rFonts w:hint="eastAsia" w:ascii="宋体" w:hAnsi="宋体" w:eastAsia="宋体" w:cs="宋体"/>
          <w:bCs w:val="0"/>
          <w:snapToGrid w:val="0"/>
          <w:color w:val="auto"/>
          <w:highlight w:val="none"/>
        </w:rPr>
      </w:pPr>
      <w:bookmarkStart w:id="23" w:name="_Toc430530416"/>
      <w:bookmarkStart w:id="24" w:name="_Toc200359427"/>
      <w:bookmarkStart w:id="25" w:name="_Toc287620667"/>
      <w:bookmarkStart w:id="26" w:name="_Toc23457"/>
      <w:bookmarkStart w:id="27" w:name="_Toc224103299"/>
      <w:bookmarkStart w:id="28" w:name="_Toc277082536"/>
      <w:bookmarkStart w:id="29" w:name="_Toc509218692"/>
      <w:bookmarkStart w:id="30" w:name="_Toc287607728"/>
      <w:bookmarkStart w:id="31" w:name="_Toc200359238"/>
      <w:r>
        <w:rPr>
          <w:rFonts w:hint="eastAsia" w:ascii="宋体" w:hAnsi="宋体" w:eastAsia="宋体" w:cs="宋体"/>
          <w:bCs w:val="0"/>
          <w:snapToGrid w:val="0"/>
          <w:color w:val="auto"/>
          <w:highlight w:val="none"/>
        </w:rPr>
        <w:t>1. 招标条件</w:t>
      </w:r>
      <w:bookmarkEnd w:id="23"/>
      <w:bookmarkEnd w:id="24"/>
      <w:bookmarkEnd w:id="25"/>
      <w:bookmarkEnd w:id="26"/>
      <w:bookmarkEnd w:id="27"/>
      <w:bookmarkEnd w:id="28"/>
      <w:bookmarkEnd w:id="29"/>
      <w:bookmarkEnd w:id="30"/>
      <w:bookmarkEnd w:id="31"/>
    </w:p>
    <w:p>
      <w:pPr>
        <w:tabs>
          <w:tab w:val="left" w:pos="3315"/>
          <w:tab w:val="left" w:pos="3390"/>
          <w:tab w:val="left" w:pos="6120"/>
          <w:tab w:val="left" w:pos="8850"/>
        </w:tabs>
        <w:autoSpaceDE w:val="0"/>
        <w:autoSpaceDN w:val="0"/>
        <w:adjustRightInd w:val="0"/>
        <w:snapToGrid w:val="0"/>
        <w:spacing w:line="460" w:lineRule="exact"/>
        <w:ind w:firstLine="420"/>
        <w:jc w:val="left"/>
        <w:rPr>
          <w:rFonts w:hint="eastAsia" w:ascii="宋体" w:hAnsi="宋体" w:eastAsia="宋体" w:cs="宋体"/>
          <w:snapToGrid w:val="0"/>
          <w:color w:val="auto"/>
          <w:kern w:val="0"/>
          <w:szCs w:val="21"/>
          <w:highlight w:val="none"/>
        </w:rPr>
      </w:pPr>
      <w:bookmarkStart w:id="32" w:name="_Toc200359428"/>
      <w:bookmarkStart w:id="33" w:name="_Toc509218693"/>
      <w:bookmarkStart w:id="34" w:name="_Toc200359239"/>
      <w:bookmarkStart w:id="35" w:name="_Toc430530417"/>
      <w:bookmarkStart w:id="36" w:name="_Toc287620668"/>
      <w:bookmarkStart w:id="37" w:name="_Toc224103300"/>
      <w:bookmarkStart w:id="38" w:name="_Toc277082537"/>
      <w:bookmarkStart w:id="39" w:name="_Toc287607729"/>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垫江县普顺镇青龙村道路硬化工程</w:t>
      </w:r>
      <w:r>
        <w:rPr>
          <w:rFonts w:hint="eastAsia" w:ascii="宋体" w:hAnsi="宋体" w:eastAsia="宋体" w:cs="宋体"/>
          <w:snapToGrid w:val="0"/>
          <w:color w:val="auto"/>
          <w:kern w:val="0"/>
          <w:szCs w:val="21"/>
          <w:highlight w:val="none"/>
          <w:u w:val="single"/>
          <w:lang w:val="en-US" w:eastAsia="zh-CN"/>
        </w:rPr>
        <w:t>（</w:t>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已由</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垫江县发展和改革委员会</w:t>
      </w:r>
      <w:r>
        <w:rPr>
          <w:rFonts w:hint="eastAsia" w:ascii="宋体" w:hAnsi="宋体" w:eastAsia="宋体" w:cs="宋体"/>
          <w:snapToGrid w:val="0"/>
          <w:color w:val="auto"/>
          <w:kern w:val="0"/>
          <w:szCs w:val="21"/>
          <w:highlight w:val="none"/>
        </w:rPr>
        <w:t>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垫江发改委发[ 2023 ] </w:t>
      </w:r>
      <w:r>
        <w:rPr>
          <w:rFonts w:hint="eastAsia" w:ascii="宋体" w:hAnsi="宋体" w:cs="宋体"/>
          <w:snapToGrid w:val="0"/>
          <w:color w:val="auto"/>
          <w:kern w:val="0"/>
          <w:szCs w:val="21"/>
          <w:highlight w:val="none"/>
          <w:u w:val="single"/>
          <w:lang w:val="en-US" w:eastAsia="zh-CN"/>
        </w:rPr>
        <w:t>81</w:t>
      </w:r>
      <w:r>
        <w:rPr>
          <w:rFonts w:hint="eastAsia" w:ascii="宋体" w:hAnsi="宋体" w:eastAsia="宋体" w:cs="宋体"/>
          <w:snapToGrid w:val="0"/>
          <w:color w:val="auto"/>
          <w:kern w:val="0"/>
          <w:szCs w:val="21"/>
          <w:highlight w:val="none"/>
          <w:u w:val="single"/>
          <w:lang w:val="en-US" w:eastAsia="zh-CN"/>
        </w:rPr>
        <w:t xml:space="preserve">号文 </w:t>
      </w:r>
      <w:r>
        <w:rPr>
          <w:rFonts w:hint="eastAsia" w:ascii="宋体" w:hAnsi="宋体" w:eastAsia="宋体" w:cs="宋体"/>
          <w:snapToGrid w:val="0"/>
          <w:color w:val="auto"/>
          <w:kern w:val="0"/>
          <w:szCs w:val="21"/>
          <w:highlight w:val="none"/>
        </w:rPr>
        <w:t>批准建设，项目业主为</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szCs w:val="21"/>
          <w:highlight w:val="none"/>
        </w:rPr>
        <w:t>，建设资金来自</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建设资金来自上级交通补助资金、一事一议、群众自筹等 </w:t>
      </w:r>
      <w:r>
        <w:rPr>
          <w:rFonts w:hint="eastAsia" w:ascii="宋体" w:hAnsi="宋体" w:eastAsia="宋体" w:cs="宋体"/>
          <w:snapToGrid w:val="0"/>
          <w:color w:val="auto"/>
          <w:kern w:val="0"/>
          <w:szCs w:val="21"/>
          <w:highlight w:val="none"/>
        </w:rPr>
        <w:t>，项目出资比例为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100%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position w:val="-2"/>
          <w:szCs w:val="21"/>
          <w:highlight w:val="none"/>
        </w:rPr>
        <w:t>为</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position w:val="-2"/>
          <w:szCs w:val="21"/>
          <w:highlight w:val="none"/>
        </w:rPr>
        <w:t>。项目已具备招标条件，现对该项目的施工进行公开招标。</w:t>
      </w:r>
    </w:p>
    <w:p>
      <w:pPr>
        <w:pStyle w:val="4"/>
        <w:spacing w:before="0" w:after="0" w:line="360" w:lineRule="auto"/>
        <w:rPr>
          <w:rFonts w:hint="eastAsia" w:ascii="宋体" w:hAnsi="宋体" w:eastAsia="宋体" w:cs="宋体"/>
          <w:bCs w:val="0"/>
          <w:snapToGrid w:val="0"/>
          <w:color w:val="auto"/>
          <w:highlight w:val="none"/>
        </w:rPr>
      </w:pPr>
      <w:bookmarkStart w:id="40" w:name="_Toc23082"/>
      <w:r>
        <w:rPr>
          <w:rFonts w:hint="eastAsia" w:ascii="宋体" w:hAnsi="宋体" w:eastAsia="宋体" w:cs="宋体"/>
          <w:bCs w:val="0"/>
          <w:snapToGrid w:val="0"/>
          <w:color w:val="auto"/>
          <w:highlight w:val="none"/>
        </w:rPr>
        <w:t>2. 项目概况与招标范围</w:t>
      </w:r>
      <w:bookmarkEnd w:id="32"/>
      <w:bookmarkEnd w:id="33"/>
      <w:bookmarkEnd w:id="34"/>
      <w:bookmarkEnd w:id="35"/>
      <w:bookmarkEnd w:id="36"/>
      <w:bookmarkEnd w:id="37"/>
      <w:bookmarkEnd w:id="38"/>
      <w:bookmarkEnd w:id="39"/>
      <w:bookmarkEnd w:id="40"/>
      <w:bookmarkStart w:id="41" w:name="_Toc200359240"/>
      <w:bookmarkStart w:id="42" w:name="_Toc509218694"/>
      <w:bookmarkStart w:id="43" w:name="_Toc224103301"/>
      <w:bookmarkStart w:id="44" w:name="_Toc287607730"/>
      <w:bookmarkStart w:id="45" w:name="_Toc430530418"/>
      <w:bookmarkStart w:id="46" w:name="_Toc287620669"/>
      <w:bookmarkStart w:id="47" w:name="_Toc200359429"/>
      <w:bookmarkStart w:id="48" w:name="_Toc277082538"/>
    </w:p>
    <w:p>
      <w:pPr>
        <w:spacing w:line="360" w:lineRule="auto"/>
        <w:ind w:firstLine="420" w:firstLineChars="200"/>
        <w:rPr>
          <w:rFonts w:hint="eastAsia" w:ascii="宋体" w:hAnsi="宋体" w:eastAsia="宋体" w:cs="宋体"/>
          <w:snapToGrid w:val="0"/>
          <w:color w:val="auto"/>
          <w:kern w:val="0"/>
          <w:szCs w:val="21"/>
          <w:highlight w:val="none"/>
          <w:u w:val="single"/>
          <w:lang w:eastAsia="zh-CN"/>
        </w:rPr>
      </w:pPr>
      <w:bookmarkStart w:id="49" w:name="_Toc32351"/>
      <w:r>
        <w:rPr>
          <w:rFonts w:hint="eastAsia" w:ascii="宋体" w:hAnsi="宋体" w:eastAsia="宋体" w:cs="宋体"/>
          <w:snapToGrid w:val="0"/>
          <w:color w:val="auto"/>
          <w:kern w:val="0"/>
          <w:szCs w:val="21"/>
          <w:highlight w:val="none"/>
        </w:rPr>
        <w:t>2.1 建设地点：</w:t>
      </w:r>
      <w:r>
        <w:rPr>
          <w:rFonts w:hint="eastAsia" w:ascii="宋体" w:hAnsi="宋体" w:eastAsia="宋体" w:cs="宋体"/>
          <w:snapToGrid w:val="0"/>
          <w:color w:val="auto"/>
          <w:kern w:val="0"/>
          <w:szCs w:val="21"/>
          <w:highlight w:val="none"/>
          <w:u w:val="single"/>
          <w:lang w:eastAsia="zh-CN"/>
        </w:rPr>
        <w:t xml:space="preserve"> </w:t>
      </w:r>
      <w:r>
        <w:rPr>
          <w:rFonts w:hint="eastAsia" w:ascii="宋体" w:hAnsi="宋体" w:eastAsia="宋体" w:cs="宋体"/>
          <w:snapToGrid w:val="0"/>
          <w:color w:val="auto"/>
          <w:kern w:val="0"/>
          <w:szCs w:val="21"/>
          <w:highlight w:val="none"/>
          <w:u w:val="single"/>
          <w:lang w:val="en-US" w:eastAsia="zh-CN"/>
        </w:rPr>
        <w:t>普顺镇青龙村2、5组</w:t>
      </w:r>
      <w:r>
        <w:rPr>
          <w:rFonts w:hint="eastAsia" w:ascii="宋体" w:hAnsi="宋体" w:eastAsia="宋体" w:cs="宋体"/>
          <w:snapToGrid w:val="0"/>
          <w:color w:val="auto"/>
          <w:kern w:val="0"/>
          <w:szCs w:val="21"/>
          <w:highlight w:val="none"/>
          <w:u w:val="none"/>
          <w:lang w:val="en-US" w:eastAsia="zh-CN"/>
        </w:rPr>
        <w:t>。</w:t>
      </w:r>
    </w:p>
    <w:p>
      <w:pPr>
        <w:snapToGrid w:val="0"/>
        <w:spacing w:line="600" w:lineRule="atLeast"/>
        <w:ind w:firstLine="420" w:firstLineChars="200"/>
        <w:jc w:val="both"/>
        <w:textAlignment w:val="baseline"/>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2.2 项目概况与建设规模：</w:t>
      </w:r>
      <w:r>
        <w:rPr>
          <w:rFonts w:hint="eastAsia" w:ascii="宋体" w:hAnsi="宋体" w:eastAsia="宋体" w:cs="宋体"/>
          <w:snapToGrid w:val="0"/>
          <w:color w:val="auto"/>
          <w:kern w:val="0"/>
          <w:szCs w:val="21"/>
          <w:highlight w:val="none"/>
          <w:u w:val="single"/>
          <w:lang w:val="en-US" w:eastAsia="zh-CN"/>
        </w:rPr>
        <w:t>垫江县普顺镇青龙村道路硬化工程，全长约1025米，路基宽5.5米，路面宽4.5米，厚20cm，混凝土强度C25(结算时以实际验收长度为准)。包括路面硬化和所涉路基调平、涵管制作安装和护栏80米等安防设施安装相关工程。按图施工</w:t>
      </w:r>
      <w:r>
        <w:rPr>
          <w:rFonts w:hint="eastAsia" w:ascii="宋体" w:hAnsi="宋体" w:eastAsia="宋体" w:cs="宋体"/>
          <w:snapToGrid w:val="0"/>
          <w:color w:val="auto"/>
          <w:kern w:val="0"/>
          <w:szCs w:val="21"/>
          <w:highlight w:val="none"/>
          <w:u w:val="none"/>
          <w:lang w:val="en-US" w:eastAsia="zh-CN"/>
        </w:rPr>
        <w:t>。</w:t>
      </w:r>
    </w:p>
    <w:p>
      <w:pPr>
        <w:tabs>
          <w:tab w:val="left" w:pos="3840"/>
          <w:tab w:val="left" w:pos="5300"/>
        </w:tabs>
        <w:autoSpaceDE w:val="0"/>
        <w:autoSpaceDN w:val="0"/>
        <w:adjustRightInd w:val="0"/>
        <w:snapToGrid w:val="0"/>
        <w:spacing w:line="46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2.3 本次</w:t>
      </w:r>
      <w:r>
        <w:rPr>
          <w:rFonts w:hint="eastAsia" w:ascii="宋体" w:hAnsi="宋体" w:eastAsia="宋体" w:cs="宋体"/>
          <w:snapToGrid w:val="0"/>
          <w:color w:val="auto"/>
          <w:kern w:val="0"/>
          <w:szCs w:val="21"/>
          <w:highlight w:val="none"/>
          <w:lang w:eastAsia="zh-CN"/>
        </w:rPr>
        <w:t>比选项目</w:t>
      </w:r>
      <w:r>
        <w:rPr>
          <w:rFonts w:hint="eastAsia" w:ascii="宋体" w:hAnsi="宋体" w:eastAsia="宋体" w:cs="宋体"/>
          <w:snapToGrid w:val="0"/>
          <w:color w:val="auto"/>
          <w:kern w:val="0"/>
          <w:szCs w:val="21"/>
          <w:highlight w:val="none"/>
        </w:rPr>
        <w:t>工程总投资额：</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47.5万</w:t>
      </w:r>
      <w:r>
        <w:rPr>
          <w:rFonts w:hint="eastAsia" w:ascii="宋体" w:hAnsi="宋体" w:eastAsia="宋体" w:cs="宋体"/>
          <w:snapToGrid w:val="0"/>
          <w:color w:val="auto"/>
          <w:kern w:val="0"/>
          <w:szCs w:val="21"/>
          <w:highlight w:val="none"/>
          <w:u w:val="single"/>
          <w:lang w:val="en-US" w:eastAsia="zh-CN"/>
        </w:rPr>
        <w:t>元</w:t>
      </w:r>
      <w:r>
        <w:rPr>
          <w:rFonts w:hint="eastAsia" w:ascii="宋体" w:hAnsi="宋体" w:eastAsia="宋体" w:cs="宋体"/>
          <w:snapToGrid w:val="0"/>
          <w:color w:val="auto"/>
          <w:kern w:val="0"/>
          <w:szCs w:val="21"/>
          <w:highlight w:val="none"/>
          <w:u w:val="none"/>
          <w:lang w:val="en-US" w:eastAsia="zh-CN"/>
        </w:rPr>
        <w:t>。</w:t>
      </w:r>
      <w:r>
        <w:rPr>
          <w:rFonts w:hint="eastAsia" w:ascii="宋体" w:hAnsi="宋体" w:eastAsia="宋体" w:cs="宋体"/>
          <w:snapToGrid w:val="0"/>
          <w:color w:val="auto"/>
          <w:kern w:val="0"/>
          <w:szCs w:val="21"/>
          <w:highlight w:val="none"/>
          <w:u w:val="none"/>
        </w:rPr>
        <w:t xml:space="preserve"> </w:t>
      </w:r>
    </w:p>
    <w:p>
      <w:pPr>
        <w:snapToGrid/>
        <w:spacing w:line="500" w:lineRule="exact"/>
        <w:ind w:firstLine="420" w:firstLineChars="200"/>
        <w:jc w:val="left"/>
        <w:textAlignment w:val="auto"/>
        <w:rPr>
          <w:rStyle w:val="82"/>
          <w:rFonts w:hint="eastAsia" w:ascii="宋体" w:hAnsi="宋体" w:eastAsia="宋体" w:cs="宋体"/>
          <w:color w:val="auto"/>
          <w:kern w:val="2"/>
          <w:sz w:val="28"/>
          <w:szCs w:val="28"/>
          <w:highlight w:val="none"/>
          <w:lang w:val="en-US" w:eastAsia="zh-CN" w:bidi="ar-SA"/>
        </w:rPr>
      </w:pPr>
      <w:r>
        <w:rPr>
          <w:rFonts w:hint="eastAsia" w:ascii="宋体" w:hAnsi="宋体" w:eastAsia="宋体" w:cs="宋体"/>
          <w:snapToGrid w:val="0"/>
          <w:color w:val="auto"/>
          <w:kern w:val="0"/>
          <w:szCs w:val="21"/>
          <w:highlight w:val="none"/>
        </w:rPr>
        <w:t xml:space="preserve">2.4 </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范围：</w:t>
      </w:r>
      <w:r>
        <w:rPr>
          <w:rFonts w:hint="eastAsia" w:ascii="宋体" w:hAnsi="宋体" w:eastAsia="宋体" w:cs="宋体"/>
          <w:snapToGrid w:val="0"/>
          <w:color w:val="auto"/>
          <w:kern w:val="0"/>
          <w:szCs w:val="21"/>
          <w:highlight w:val="none"/>
          <w:u w:val="single"/>
        </w:rPr>
        <w:t xml:space="preserve"> </w:t>
      </w:r>
      <w:bookmarkStart w:id="50" w:name="OLE_LINK4"/>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bookmarkEnd w:id="50"/>
    <w:p>
      <w:pPr>
        <w:spacing w:line="360" w:lineRule="auto"/>
        <w:ind w:firstLine="420" w:firstLineChars="2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2.5 工期要求：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40</w:t>
      </w:r>
      <w:r>
        <w:rPr>
          <w:rFonts w:hint="eastAsia" w:ascii="宋体" w:hAnsi="宋体" w:eastAsia="宋体" w:cs="宋体"/>
          <w:snapToGrid w:val="0"/>
          <w:color w:val="auto"/>
          <w:kern w:val="0"/>
          <w:szCs w:val="21"/>
          <w:highlight w:val="none"/>
          <w:u w:val="single"/>
        </w:rPr>
        <w:t xml:space="preserve"> 日历天</w:t>
      </w:r>
      <w:r>
        <w:rPr>
          <w:rFonts w:hint="eastAsia" w:ascii="宋体" w:hAnsi="宋体" w:eastAsia="宋体" w:cs="宋体"/>
          <w:snapToGrid w:val="0"/>
          <w:color w:val="auto"/>
          <w:kern w:val="0"/>
          <w:szCs w:val="21"/>
          <w:highlight w:val="none"/>
          <w:u w:val="none"/>
          <w:lang w:eastAsia="zh-CN"/>
        </w:rPr>
        <w:t>。</w:t>
      </w:r>
    </w:p>
    <w:p>
      <w:pPr>
        <w:spacing w:line="360" w:lineRule="auto"/>
        <w:ind w:firstLine="840" w:firstLineChars="400"/>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rPr>
        <w:t>缺陷责任期要求：</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u w:val="single"/>
        </w:rPr>
        <w:t xml:space="preserve"> 个月</w:t>
      </w:r>
      <w:r>
        <w:rPr>
          <w:rFonts w:hint="eastAsia" w:ascii="宋体" w:hAnsi="宋体" w:eastAsia="宋体" w:cs="宋体"/>
          <w:snapToGrid w:val="0"/>
          <w:color w:val="auto"/>
          <w:kern w:val="0"/>
          <w:szCs w:val="21"/>
          <w:highlight w:val="none"/>
          <w:u w:val="none"/>
          <w:lang w:eastAsia="zh-CN"/>
        </w:rPr>
        <w:t>。</w:t>
      </w:r>
    </w:p>
    <w:p>
      <w:pPr>
        <w:pStyle w:val="4"/>
        <w:spacing w:before="100" w:after="100" w:line="360" w:lineRule="auto"/>
        <w:rPr>
          <w:rFonts w:hint="eastAsia" w:ascii="宋体" w:hAnsi="宋体"/>
          <w:snapToGrid w:val="0"/>
          <w:color w:val="auto"/>
          <w:sz w:val="28"/>
          <w:szCs w:val="28"/>
          <w:highlight w:val="none"/>
        </w:rPr>
      </w:pPr>
      <w:bookmarkStart w:id="51" w:name="_Toc30099"/>
      <w:r>
        <w:rPr>
          <w:rFonts w:hint="eastAsia" w:ascii="宋体" w:hAnsi="宋体"/>
          <w:snapToGrid w:val="0"/>
          <w:color w:val="auto"/>
          <w:sz w:val="28"/>
          <w:szCs w:val="28"/>
          <w:highlight w:val="none"/>
        </w:rPr>
        <w:t>3</w:t>
      </w:r>
      <w:r>
        <w:rPr>
          <w:rFonts w:ascii="宋体" w:hAnsi="宋体"/>
          <w:snapToGrid w:val="0"/>
          <w:color w:val="auto"/>
          <w:sz w:val="28"/>
          <w:szCs w:val="28"/>
          <w:highlight w:val="none"/>
        </w:rPr>
        <w:t xml:space="preserve">. </w:t>
      </w:r>
      <w:r>
        <w:rPr>
          <w:rFonts w:hint="eastAsia" w:ascii="宋体" w:hAnsi="宋体"/>
          <w:snapToGrid w:val="0"/>
          <w:color w:val="auto"/>
          <w:sz w:val="28"/>
          <w:szCs w:val="28"/>
          <w:highlight w:val="none"/>
        </w:rPr>
        <w:t>政府采购工程</w:t>
      </w:r>
      <w:bookmarkEnd w:id="51"/>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3.1 是否属于政府采购工程：</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 □否</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snapToGrid w:val="0"/>
          <w:color w:val="auto"/>
          <w:kern w:val="0"/>
          <w:szCs w:val="21"/>
          <w:highlight w:val="none"/>
        </w:rPr>
      </w:pPr>
      <w:r>
        <w:rPr>
          <w:rFonts w:hint="eastAsia" w:ascii="宋体" w:hAnsi="宋体"/>
          <w:snapToGrid w:val="0"/>
          <w:color w:val="auto"/>
          <w:kern w:val="0"/>
          <w:szCs w:val="21"/>
          <w:highlight w:val="none"/>
        </w:rPr>
        <w:t>3.2 是否专门面向中小企业预留：</w:t>
      </w:r>
      <w:r>
        <w:rPr>
          <w:rFonts w:hint="eastAsia" w:ascii="宋体" w:hAnsi="宋体"/>
          <w:snapToGrid w:val="0"/>
          <w:color w:val="auto"/>
          <w:kern w:val="0"/>
          <w:szCs w:val="21"/>
          <w:highlight w:val="none"/>
          <w:lang w:eastAsia="zh-CN"/>
        </w:rPr>
        <w:t>☑</w:t>
      </w:r>
      <w:r>
        <w:rPr>
          <w:rFonts w:hint="eastAsia" w:ascii="宋体" w:hAnsi="宋体"/>
          <w:snapToGrid w:val="0"/>
          <w:color w:val="auto"/>
          <w:kern w:val="0"/>
          <w:szCs w:val="21"/>
          <w:highlight w:val="none"/>
        </w:rPr>
        <w:t>是</w:t>
      </w:r>
    </w:p>
    <w:p>
      <w:pPr>
        <w:tabs>
          <w:tab w:val="left" w:pos="3840"/>
          <w:tab w:val="left" w:pos="5300"/>
        </w:tabs>
        <w:autoSpaceDE w:val="0"/>
        <w:autoSpaceDN w:val="0"/>
        <w:adjustRightInd w:val="0"/>
        <w:snapToGrid w:val="0"/>
        <w:spacing w:line="360" w:lineRule="auto"/>
        <w:ind w:firstLine="420" w:firstLineChars="200"/>
        <w:jc w:val="left"/>
        <w:rPr>
          <w:rFonts w:hint="eastAsia"/>
          <w:color w:val="auto"/>
          <w:highlight w:val="none"/>
          <w:lang w:eastAsia="zh-CN"/>
        </w:rPr>
      </w:pPr>
      <w:r>
        <w:rPr>
          <w:rFonts w:hint="eastAsia" w:ascii="宋体" w:hAnsi="宋体"/>
          <w:snapToGrid w:val="0"/>
          <w:color w:val="auto"/>
          <w:kern w:val="0"/>
          <w:szCs w:val="21"/>
          <w:highlight w:val="none"/>
        </w:rPr>
        <w:t>专门面向中小企业预留的实施方式：本项目整体面向中小企业</w:t>
      </w:r>
      <w:bookmarkStart w:id="52" w:name="OLE_LINK37"/>
      <w:r>
        <w:rPr>
          <w:rFonts w:hint="eastAsia" w:ascii="宋体" w:hAnsi="宋体"/>
          <w:snapToGrid w:val="0"/>
          <w:kern w:val="0"/>
          <w:szCs w:val="21"/>
          <w:highlight w:val="none"/>
          <w:lang w:val="en-US" w:eastAsia="zh-CN"/>
        </w:rPr>
        <w:t>,提供</w:t>
      </w:r>
      <w:r>
        <w:rPr>
          <w:rFonts w:hint="eastAsia" w:cs="宋体"/>
          <w:color w:val="auto"/>
          <w:sz w:val="24"/>
          <w:szCs w:val="24"/>
          <w:highlight w:val="none"/>
          <w:lang w:eastAsia="zh-CN"/>
        </w:rPr>
        <w:t>中小企业声明函</w:t>
      </w:r>
      <w:bookmarkEnd w:id="52"/>
      <w:bookmarkStart w:id="547" w:name="_GoBack"/>
      <w:bookmarkEnd w:id="547"/>
      <w:r>
        <w:rPr>
          <w:rFonts w:hint="eastAsia" w:ascii="宋体" w:hAnsi="宋体"/>
          <w:snapToGrid w:val="0"/>
          <w:color w:val="auto"/>
          <w:kern w:val="0"/>
          <w:szCs w:val="21"/>
          <w:highlight w:val="none"/>
        </w:rPr>
        <w:t>。</w:t>
      </w:r>
    </w:p>
    <w:p>
      <w:pPr>
        <w:pStyle w:val="4"/>
        <w:spacing w:before="0" w:after="0" w:line="360" w:lineRule="auto"/>
        <w:rPr>
          <w:rFonts w:hint="eastAsia" w:ascii="宋体" w:hAnsi="宋体" w:eastAsia="宋体" w:cs="宋体"/>
          <w:bCs w:val="0"/>
          <w:snapToGrid w:val="0"/>
          <w:color w:val="auto"/>
          <w:highlight w:val="none"/>
        </w:rPr>
      </w:pPr>
      <w:r>
        <w:rPr>
          <w:rFonts w:hint="eastAsia" w:ascii="宋体" w:hAnsi="宋体" w:cs="宋体"/>
          <w:bCs w:val="0"/>
          <w:snapToGrid w:val="0"/>
          <w:color w:val="auto"/>
          <w:highlight w:val="none"/>
          <w:lang w:val="en-US" w:eastAsia="zh-CN"/>
        </w:rPr>
        <w:t>4</w:t>
      </w:r>
      <w:r>
        <w:rPr>
          <w:rFonts w:hint="eastAsia" w:ascii="宋体" w:hAnsi="宋体" w:eastAsia="宋体" w:cs="宋体"/>
          <w:bCs w:val="0"/>
          <w:snapToGrid w:val="0"/>
          <w:color w:val="auto"/>
          <w:highlight w:val="none"/>
        </w:rPr>
        <w:t>. 投标人资格要求</w:t>
      </w:r>
      <w:bookmarkEnd w:id="41"/>
      <w:bookmarkEnd w:id="42"/>
      <w:bookmarkEnd w:id="43"/>
      <w:bookmarkEnd w:id="44"/>
      <w:bookmarkEnd w:id="45"/>
      <w:bookmarkEnd w:id="46"/>
      <w:bookmarkEnd w:id="47"/>
      <w:bookmarkEnd w:id="48"/>
      <w:bookmarkEnd w:id="49"/>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本次招标要求投标人须具备以下条件：</w:t>
      </w:r>
    </w:p>
    <w:p>
      <w:pPr>
        <w:tabs>
          <w:tab w:val="left" w:pos="3840"/>
          <w:tab w:val="left" w:pos="5300"/>
        </w:tabs>
        <w:autoSpaceDE w:val="0"/>
        <w:autoSpaceDN w:val="0"/>
        <w:adjustRightInd w:val="0"/>
        <w:snapToGrid w:val="0"/>
        <w:spacing w:line="360" w:lineRule="auto"/>
        <w:ind w:firstLine="420" w:firstLineChars="2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3.1.1 本次招标要求投标人具备的资质条件：</w:t>
      </w:r>
      <w:r>
        <w:rPr>
          <w:rFonts w:hint="eastAsia" w:ascii="宋体" w:hAnsi="宋体" w:eastAsia="宋体" w:cs="宋体"/>
          <w:snapToGrid w:val="0"/>
          <w:color w:val="auto"/>
          <w:kern w:val="0"/>
          <w:szCs w:val="21"/>
          <w:highlight w:val="none"/>
          <w:u w:val="single"/>
        </w:rPr>
        <w:t>公路工程施工总承包三级</w:t>
      </w:r>
      <w:r>
        <w:rPr>
          <w:rFonts w:hint="eastAsia" w:ascii="宋体" w:hAnsi="宋体" w:eastAsia="宋体" w:cs="宋体"/>
          <w:snapToGrid w:val="0"/>
          <w:color w:val="auto"/>
          <w:kern w:val="0"/>
          <w:szCs w:val="21"/>
          <w:highlight w:val="none"/>
          <w:u w:val="single"/>
          <w:lang w:val="en-US" w:eastAsia="zh-CN"/>
        </w:rPr>
        <w:t>及以上资质</w:t>
      </w:r>
      <w:r>
        <w:rPr>
          <w:rFonts w:hint="eastAsia" w:ascii="宋体" w:hAnsi="宋体" w:eastAsia="宋体" w:cs="宋体"/>
          <w:snapToGrid w:val="0"/>
          <w:color w:val="auto"/>
          <w:kern w:val="0"/>
          <w:szCs w:val="21"/>
          <w:highlight w:val="none"/>
          <w:u w:val="singl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3.1.2 本次招标要求投标人具备的业绩条件：</w:t>
      </w:r>
      <w:r>
        <w:rPr>
          <w:rFonts w:hint="eastAsia" w:ascii="宋体" w:hAnsi="宋体" w:eastAsia="宋体" w:cs="宋体"/>
          <w:snapToGrid w:val="0"/>
          <w:color w:val="auto"/>
          <w:kern w:val="0"/>
          <w:szCs w:val="21"/>
          <w:highlight w:val="none"/>
          <w:u w:val="single"/>
        </w:rPr>
        <w:t>详见</w:t>
      </w:r>
      <w:r>
        <w:rPr>
          <w:rFonts w:hint="eastAsia" w:ascii="宋体" w:hAnsi="宋体" w:eastAsia="宋体" w:cs="宋体"/>
          <w:snapToGrid w:val="0"/>
          <w:color w:val="auto"/>
          <w:kern w:val="0"/>
          <w:szCs w:val="21"/>
          <w:highlight w:val="none"/>
          <w:u w:val="single"/>
          <w:lang w:eastAsia="zh-CN"/>
        </w:rPr>
        <w:t>比选文件</w:t>
      </w:r>
      <w:r>
        <w:rPr>
          <w:rFonts w:hint="eastAsia" w:ascii="宋体" w:hAnsi="宋体" w:eastAsia="宋体" w:cs="宋体"/>
          <w:snapToGrid w:val="0"/>
          <w:color w:val="auto"/>
          <w:kern w:val="0"/>
          <w:szCs w:val="21"/>
          <w:highlight w:val="none"/>
          <w:u w:val="single"/>
        </w:rPr>
        <w:t>第二章投标人须知前附表第1.4.1项内容</w:t>
      </w:r>
      <w:r>
        <w:rPr>
          <w:rFonts w:hint="eastAsia" w:ascii="宋体" w:hAnsi="宋体" w:eastAsia="宋体" w:cs="宋体"/>
          <w:snapToGrid w:val="0"/>
          <w:color w:val="auto"/>
          <w:kern w:val="0"/>
          <w:szCs w:val="21"/>
          <w:highlight w:val="non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3.1.3 投标人还应在人员、设备、资金等方面具有相应的施工能力，详见</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第二章投标人须知前附表第1.4.1项内容。</w:t>
      </w:r>
    </w:p>
    <w:p>
      <w:pPr>
        <w:snapToGrid w:val="0"/>
        <w:spacing w:line="600" w:lineRule="atLeast"/>
        <w:ind w:firstLine="420" w:firstLineChars="200"/>
        <w:jc w:val="both"/>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Cs w:val="21"/>
          <w:highlight w:val="none"/>
        </w:rPr>
        <w:t xml:space="preserve">3.2 </w:t>
      </w:r>
      <w:r>
        <w:rPr>
          <w:rFonts w:hint="eastAsia" w:ascii="宋体" w:hAnsi="宋体" w:eastAsia="宋体" w:cs="宋体"/>
          <w:snapToGrid w:val="0"/>
          <w:color w:val="auto"/>
          <w:kern w:val="0"/>
          <w:sz w:val="21"/>
          <w:szCs w:val="21"/>
          <w:highlight w:val="none"/>
          <w:lang w:val="en-US" w:eastAsia="zh-CN" w:bidi="ar-SA"/>
        </w:rPr>
        <w:t>纳入普顺镇失信企业名单的不得参与本次投标</w:t>
      </w:r>
      <w:bookmarkStart w:id="53" w:name="OLE_LINK28"/>
      <w:r>
        <w:rPr>
          <w:rFonts w:hint="eastAsia" w:ascii="宋体" w:hAnsi="宋体" w:eastAsia="宋体" w:cs="宋体"/>
          <w:snapToGrid w:val="0"/>
          <w:color w:val="auto"/>
          <w:kern w:val="0"/>
          <w:sz w:val="21"/>
          <w:szCs w:val="21"/>
          <w:highlight w:val="none"/>
          <w:lang w:val="en-US" w:eastAsia="zh-CN" w:bidi="ar-SA"/>
        </w:rPr>
        <w:t>。</w:t>
      </w:r>
    </w:p>
    <w:bookmarkEnd w:id="53"/>
    <w:p>
      <w:pPr>
        <w:pStyle w:val="2"/>
        <w:spacing w:after="0"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3.3</w:t>
      </w:r>
      <w:r>
        <w:rPr>
          <w:rFonts w:hint="eastAsia" w:ascii="宋体" w:hAnsi="宋体" w:eastAsia="宋体" w:cs="宋体"/>
          <w:snapToGrid w:val="0"/>
          <w:color w:val="auto"/>
          <w:kern w:val="0"/>
          <w:szCs w:val="21"/>
          <w:highlight w:val="none"/>
        </w:rPr>
        <w:t>本次招标不接受联合体投标。</w:t>
      </w:r>
    </w:p>
    <w:p>
      <w:pPr>
        <w:ind w:firstLine="420" w:firstLineChars="200"/>
        <w:rPr>
          <w:rFonts w:hint="default" w:eastAsia="宋体"/>
          <w:color w:val="auto"/>
          <w:highlight w:val="none"/>
          <w:lang w:val="en-US" w:eastAsia="zh-CN"/>
        </w:rPr>
      </w:pPr>
      <w:r>
        <w:rPr>
          <w:rFonts w:hint="eastAsia" w:ascii="宋体" w:hAnsi="宋体" w:eastAsia="宋体" w:cs="宋体"/>
          <w:snapToGrid w:val="0"/>
          <w:color w:val="auto"/>
          <w:kern w:val="0"/>
          <w:szCs w:val="21"/>
          <w:highlight w:val="none"/>
          <w:lang w:val="en-US" w:eastAsia="zh-CN"/>
        </w:rPr>
        <w:t>3.4投标人自行踏勘现场。</w:t>
      </w:r>
    </w:p>
    <w:p>
      <w:pPr>
        <w:pStyle w:val="4"/>
        <w:spacing w:before="0" w:after="0" w:line="360" w:lineRule="auto"/>
        <w:rPr>
          <w:rFonts w:hint="eastAsia" w:ascii="宋体" w:hAnsi="宋体" w:eastAsia="宋体" w:cs="宋体"/>
          <w:bCs w:val="0"/>
          <w:snapToGrid w:val="0"/>
          <w:color w:val="auto"/>
          <w:highlight w:val="none"/>
        </w:rPr>
      </w:pPr>
      <w:bookmarkStart w:id="54" w:name="_Toc57795846"/>
      <w:bookmarkStart w:id="55" w:name="_Toc287620670"/>
      <w:bookmarkStart w:id="56" w:name="_Toc200359241"/>
      <w:bookmarkStart w:id="57" w:name="_Toc430530419"/>
      <w:bookmarkStart w:id="58" w:name="_Toc224103302"/>
      <w:bookmarkStart w:id="59" w:name="_Toc509218695"/>
      <w:bookmarkStart w:id="60" w:name="_Toc287607731"/>
      <w:bookmarkStart w:id="61" w:name="_Toc277082539"/>
      <w:bookmarkStart w:id="62" w:name="_Toc200359430"/>
      <w:bookmarkStart w:id="63" w:name="_Toc287620672"/>
      <w:bookmarkStart w:id="64" w:name="_Toc277082541"/>
      <w:bookmarkStart w:id="65" w:name="_Toc509218697"/>
      <w:bookmarkStart w:id="66" w:name="_Toc430530421"/>
      <w:bookmarkStart w:id="67" w:name="_Toc287607733"/>
      <w:bookmarkStart w:id="68" w:name="_Toc200359243"/>
      <w:bookmarkStart w:id="69" w:name="_Toc224103304"/>
      <w:bookmarkStart w:id="70" w:name="_Toc200359432"/>
      <w:bookmarkStart w:id="71" w:name="_Toc3877"/>
      <w:r>
        <w:rPr>
          <w:rFonts w:hint="eastAsia" w:ascii="宋体" w:hAnsi="宋体" w:eastAsia="宋体" w:cs="宋体"/>
          <w:bCs w:val="0"/>
          <w:snapToGrid w:val="0"/>
          <w:color w:val="auto"/>
          <w:highlight w:val="none"/>
        </w:rPr>
        <w:t xml:space="preserve">4. </w:t>
      </w:r>
      <w:r>
        <w:rPr>
          <w:rFonts w:hint="eastAsia" w:ascii="宋体" w:hAnsi="宋体" w:eastAsia="宋体" w:cs="宋体"/>
          <w:bCs w:val="0"/>
          <w:snapToGrid w:val="0"/>
          <w:color w:val="auto"/>
          <w:highlight w:val="none"/>
          <w:lang w:eastAsia="zh-CN"/>
        </w:rPr>
        <w:t>竞争性比选文件</w:t>
      </w:r>
      <w:r>
        <w:rPr>
          <w:rFonts w:hint="eastAsia" w:ascii="宋体" w:hAnsi="宋体" w:eastAsia="宋体" w:cs="宋体"/>
          <w:bCs w:val="0"/>
          <w:snapToGrid w:val="0"/>
          <w:color w:val="auto"/>
          <w:highlight w:val="none"/>
        </w:rPr>
        <w:t>的获取</w:t>
      </w:r>
      <w:bookmarkEnd w:id="54"/>
      <w:bookmarkEnd w:id="55"/>
      <w:bookmarkEnd w:id="56"/>
      <w:bookmarkEnd w:id="57"/>
      <w:bookmarkEnd w:id="58"/>
      <w:bookmarkEnd w:id="59"/>
      <w:bookmarkEnd w:id="60"/>
      <w:bookmarkEnd w:id="61"/>
      <w:bookmarkEnd w:id="62"/>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bookmarkStart w:id="72" w:name="_Toc287620671"/>
      <w:bookmarkStart w:id="73" w:name="_Toc277082540"/>
      <w:bookmarkStart w:id="74" w:name="_Toc287607732"/>
      <w:bookmarkStart w:id="75" w:name="_Toc224103303"/>
      <w:bookmarkStart w:id="76" w:name="_Toc200359242"/>
      <w:bookmarkStart w:id="77" w:name="_Toc509218696"/>
      <w:bookmarkStart w:id="78" w:name="_Toc430530420"/>
      <w:bookmarkStart w:id="79" w:name="_Toc200359431"/>
      <w:r>
        <w:rPr>
          <w:rFonts w:hint="eastAsia" w:ascii="宋体" w:hAnsi="宋体" w:eastAsia="宋体" w:cs="宋体"/>
          <w:snapToGrid w:val="0"/>
          <w:color w:val="auto"/>
          <w:kern w:val="0"/>
          <w:szCs w:val="21"/>
          <w:highlight w:val="none"/>
        </w:rPr>
        <w:t>4.1 凡有意参加投标者，请于202</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日起在垫江县人民政府（http://www.cqsdj.gov.cn/）下载比选文件、工程量清单、图纸、澄清、修改、补充通知、最高限价通知等全部内容。不管下载与否都视为潜在</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全部知晓有关</w:t>
      </w:r>
      <w:r>
        <w:rPr>
          <w:rFonts w:hint="eastAsia" w:ascii="宋体" w:hAnsi="宋体" w:eastAsia="宋体" w:cs="宋体"/>
          <w:color w:val="auto"/>
          <w:szCs w:val="21"/>
          <w:highlight w:val="none"/>
        </w:rPr>
        <w:t>比选</w:t>
      </w:r>
      <w:r>
        <w:rPr>
          <w:rFonts w:hint="eastAsia" w:ascii="宋体" w:hAnsi="宋体" w:eastAsia="宋体" w:cs="宋体"/>
          <w:snapToGrid w:val="0"/>
          <w:color w:val="auto"/>
          <w:kern w:val="0"/>
          <w:szCs w:val="21"/>
          <w:highlight w:val="none"/>
        </w:rPr>
        <w:t>过程和全部内容。</w:t>
      </w:r>
    </w:p>
    <w:p>
      <w:pPr>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.2本比选公告开始发布至比选截止时间止，各投标人应随时关注</w:t>
      </w:r>
      <w:r>
        <w:rPr>
          <w:rFonts w:hint="eastAsia" w:ascii="宋体" w:hAnsi="宋体" w:eastAsia="宋体" w:cs="宋体"/>
          <w:color w:val="auto"/>
          <w:kern w:val="0"/>
          <w:szCs w:val="21"/>
          <w:highlight w:val="none"/>
          <w:lang w:eastAsia="zh-CN"/>
        </w:rPr>
        <w:t>垫江县人民政府网(http://www.cqsdj.gov.cn/)</w:t>
      </w:r>
      <w:r>
        <w:rPr>
          <w:rFonts w:hint="eastAsia" w:ascii="宋体" w:hAnsi="宋体" w:eastAsia="宋体" w:cs="宋体"/>
          <w:color w:val="auto"/>
          <w:kern w:val="0"/>
          <w:szCs w:val="21"/>
          <w:highlight w:val="none"/>
        </w:rPr>
        <w:t>上关于本比选项目相关修改或补充内容。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4.</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报名</w:t>
      </w:r>
      <w:r>
        <w:rPr>
          <w:rFonts w:hint="eastAsia" w:ascii="宋体" w:hAnsi="宋体" w:eastAsia="宋体" w:cs="宋体"/>
          <w:snapToGrid w:val="0"/>
          <w:color w:val="auto"/>
          <w:kern w:val="0"/>
          <w:szCs w:val="21"/>
          <w:highlight w:val="none"/>
          <w:lang w:val="en-US" w:eastAsia="zh-CN"/>
        </w:rPr>
        <w:t>内容</w:t>
      </w:r>
    </w:p>
    <w:p>
      <w:pPr>
        <w:tabs>
          <w:tab w:val="left" w:pos="2420"/>
          <w:tab w:val="left" w:pos="5445"/>
        </w:tabs>
        <w:autoSpaceDE w:val="0"/>
        <w:autoSpaceDN w:val="0"/>
        <w:adjustRightInd w:val="0"/>
        <w:snapToGrid w:val="0"/>
        <w:spacing w:line="45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日至2025年</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10</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u w:val="single"/>
          <w:lang w:val="en-US" w:eastAsia="zh-CN"/>
        </w:rPr>
        <w:t>16</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lang w:val="en-US" w:eastAsia="zh-CN"/>
        </w:rPr>
        <w:t>日</w:t>
      </w: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val="en-US" w:eastAsia="zh-CN"/>
        </w:rPr>
        <w:t>7</w:t>
      </w:r>
      <w:r>
        <w:rPr>
          <w:rFonts w:hint="eastAsia" w:ascii="宋体" w:hAnsi="宋体" w:eastAsia="宋体" w:cs="宋体"/>
          <w:snapToGrid w:val="0"/>
          <w:color w:val="auto"/>
          <w:kern w:val="0"/>
          <w:szCs w:val="21"/>
          <w:highlight w:val="none"/>
        </w:rPr>
        <w:t>：00前</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将《</w:t>
      </w:r>
      <w:bookmarkStart w:id="80" w:name="OLE_LINK1"/>
      <w:r>
        <w:rPr>
          <w:rFonts w:hint="eastAsia" w:ascii="宋体" w:hAnsi="宋体" w:eastAsia="宋体" w:cs="宋体"/>
          <w:snapToGrid w:val="0"/>
          <w:color w:val="auto"/>
          <w:kern w:val="0"/>
          <w:szCs w:val="21"/>
          <w:highlight w:val="none"/>
          <w:lang w:eastAsia="zh-CN"/>
        </w:rPr>
        <w:t>比选</w:t>
      </w:r>
      <w:bookmarkEnd w:id="80"/>
      <w:r>
        <w:rPr>
          <w:rFonts w:hint="eastAsia" w:ascii="宋体" w:hAnsi="宋体" w:eastAsia="宋体" w:cs="宋体"/>
          <w:snapToGrid w:val="0"/>
          <w:color w:val="auto"/>
          <w:kern w:val="0"/>
          <w:szCs w:val="21"/>
          <w:highlight w:val="none"/>
        </w:rPr>
        <w:t>报名登记表》填写完整</w:t>
      </w:r>
      <w:r>
        <w:rPr>
          <w:rFonts w:hint="eastAsia" w:ascii="宋体" w:hAnsi="宋体" w:eastAsia="宋体" w:cs="宋体"/>
          <w:snapToGrid w:val="0"/>
          <w:color w:val="auto"/>
          <w:kern w:val="0"/>
          <w:szCs w:val="21"/>
          <w:highlight w:val="none"/>
          <w:lang w:val="en-US" w:eastAsia="zh-CN"/>
        </w:rPr>
        <w:t>并</w:t>
      </w:r>
      <w:r>
        <w:rPr>
          <w:rFonts w:hint="eastAsia" w:ascii="宋体" w:hAnsi="宋体" w:eastAsia="宋体" w:cs="宋体"/>
          <w:snapToGrid w:val="0"/>
          <w:color w:val="auto"/>
          <w:kern w:val="0"/>
          <w:szCs w:val="21"/>
          <w:highlight w:val="none"/>
        </w:rPr>
        <w:t>加盖</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公章</w:t>
      </w:r>
      <w:r>
        <w:rPr>
          <w:rFonts w:hint="eastAsia" w:ascii="宋体" w:hAnsi="宋体" w:eastAsia="宋体" w:cs="宋体"/>
          <w:snapToGrid w:val="0"/>
          <w:color w:val="auto"/>
          <w:kern w:val="0"/>
          <w:szCs w:val="21"/>
          <w:highlight w:val="none"/>
          <w:lang w:val="en-US" w:eastAsia="zh-CN"/>
        </w:rPr>
        <w:t>后</w:t>
      </w:r>
      <w:r>
        <w:rPr>
          <w:rFonts w:hint="eastAsia" w:ascii="宋体" w:hAnsi="宋体" w:eastAsia="宋体" w:cs="宋体"/>
          <w:snapToGrid w:val="0"/>
          <w:color w:val="auto"/>
          <w:kern w:val="0"/>
          <w:szCs w:val="21"/>
          <w:highlight w:val="none"/>
        </w:rPr>
        <w:t>扫描发送至</w:t>
      </w:r>
      <w:r>
        <w:rPr>
          <w:rFonts w:hint="eastAsia" w:ascii="宋体" w:hAnsi="宋体" w:eastAsia="宋体" w:cs="宋体"/>
          <w:snapToGrid w:val="0"/>
          <w:color w:val="auto"/>
          <w:kern w:val="0"/>
          <w:szCs w:val="21"/>
          <w:highlight w:val="none"/>
          <w:lang w:val="en-US" w:eastAsia="zh-CN"/>
        </w:rPr>
        <w:t>代理机构邮箱</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邮箱号：656258653@qq.com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投标人须满足以下条件其投标文件才会被接受：1、</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须按时将《</w:t>
      </w:r>
      <w:r>
        <w:rPr>
          <w:rFonts w:hint="eastAsia" w:ascii="宋体" w:hAnsi="宋体" w:eastAsia="宋体" w:cs="宋体"/>
          <w:snapToGrid w:val="0"/>
          <w:color w:val="auto"/>
          <w:kern w:val="0"/>
          <w:szCs w:val="21"/>
          <w:highlight w:val="none"/>
          <w:lang w:eastAsia="zh-CN"/>
        </w:rPr>
        <w:t>比选</w:t>
      </w:r>
      <w:r>
        <w:rPr>
          <w:rFonts w:hint="eastAsia" w:ascii="宋体" w:hAnsi="宋体" w:eastAsia="宋体" w:cs="宋体"/>
          <w:snapToGrid w:val="0"/>
          <w:color w:val="auto"/>
          <w:kern w:val="0"/>
          <w:szCs w:val="21"/>
          <w:highlight w:val="none"/>
        </w:rPr>
        <w:t>报名登记表》发送至指定</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；2、在</w:t>
      </w:r>
      <w:r>
        <w:rPr>
          <w:rFonts w:hint="eastAsia" w:ascii="宋体" w:hAnsi="宋体" w:eastAsia="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递交的截止时间（投标截止时间）前</w:t>
      </w:r>
      <w:r>
        <w:rPr>
          <w:rFonts w:hint="eastAsia" w:ascii="宋体" w:hAnsi="宋体" w:eastAsia="宋体" w:cs="宋体"/>
          <w:snapToGrid w:val="0"/>
          <w:color w:val="auto"/>
          <w:kern w:val="0"/>
          <w:szCs w:val="21"/>
          <w:highlight w:val="none"/>
          <w:lang w:val="en-US" w:eastAsia="zh-CN"/>
        </w:rPr>
        <w:t>按时足额缴纳投标保证金</w:t>
      </w:r>
      <w:r>
        <w:rPr>
          <w:rFonts w:hint="eastAsia" w:ascii="宋体" w:hAnsi="宋体" w:eastAsia="宋体" w:cs="宋体"/>
          <w:snapToGrid w:val="0"/>
          <w:color w:val="auto"/>
          <w:kern w:val="0"/>
          <w:szCs w:val="21"/>
          <w:highlight w:val="none"/>
        </w:rPr>
        <w:t>的</w:t>
      </w:r>
      <w:r>
        <w:rPr>
          <w:rFonts w:hint="eastAsia" w:ascii="宋体" w:hAnsi="宋体" w:eastAsia="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p>
    <w:p>
      <w:pPr>
        <w:pStyle w:val="4"/>
        <w:spacing w:before="0" w:after="0" w:line="360" w:lineRule="auto"/>
        <w:rPr>
          <w:rFonts w:hint="eastAsia" w:ascii="宋体" w:hAnsi="宋体" w:eastAsia="宋体" w:cs="宋体"/>
          <w:bCs w:val="0"/>
          <w:snapToGrid w:val="0"/>
          <w:color w:val="auto"/>
          <w:highlight w:val="none"/>
          <w:lang w:eastAsia="zh-CN"/>
        </w:rPr>
      </w:pPr>
      <w:bookmarkStart w:id="81" w:name="_Toc57795847"/>
      <w:r>
        <w:rPr>
          <w:rFonts w:hint="eastAsia" w:ascii="宋体" w:hAnsi="宋体" w:eastAsia="宋体" w:cs="宋体"/>
          <w:bCs w:val="0"/>
          <w:snapToGrid w:val="0"/>
          <w:color w:val="auto"/>
          <w:highlight w:val="none"/>
        </w:rPr>
        <w:t>5. 投标文件的递交</w:t>
      </w:r>
      <w:bookmarkEnd w:id="72"/>
      <w:bookmarkEnd w:id="73"/>
      <w:bookmarkEnd w:id="74"/>
      <w:bookmarkEnd w:id="75"/>
      <w:bookmarkEnd w:id="76"/>
      <w:bookmarkEnd w:id="77"/>
      <w:bookmarkEnd w:id="78"/>
      <w:bookmarkEnd w:id="79"/>
      <w:bookmarkEnd w:id="81"/>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5.1 递交</w:t>
      </w:r>
      <w:r>
        <w:rPr>
          <w:rFonts w:hint="eastAsia" w:ascii="宋体" w:hAnsi="宋体" w:eastAsia="宋体" w:cs="宋体"/>
          <w:snapToGrid w:val="0"/>
          <w:color w:val="auto"/>
          <w:kern w:val="0"/>
          <w:szCs w:val="21"/>
          <w:highlight w:val="none"/>
          <w:lang w:eastAsia="zh-CN"/>
        </w:rPr>
        <w:t>投标地址</w:t>
      </w:r>
      <w:r>
        <w:rPr>
          <w:rFonts w:hint="eastAsia" w:ascii="宋体" w:hAnsi="宋体" w:eastAsia="宋体" w:cs="宋体"/>
          <w:snapToGrid w:val="0"/>
          <w:color w:val="auto"/>
          <w:kern w:val="0"/>
          <w:szCs w:val="21"/>
          <w:highlight w:val="none"/>
        </w:rPr>
        <w:t>：</w:t>
      </w:r>
      <w:bookmarkStart w:id="82" w:name="OLE_LINK32"/>
      <w:r>
        <w:rPr>
          <w:rFonts w:hint="eastAsia" w:ascii="宋体" w:hAnsi="宋体" w:eastAsia="宋体" w:cs="宋体"/>
          <w:snapToGrid w:val="0"/>
          <w:color w:val="auto"/>
          <w:kern w:val="0"/>
          <w:szCs w:val="21"/>
          <w:highlight w:val="none"/>
          <w:u w:val="none"/>
          <w:lang w:eastAsia="zh-CN"/>
        </w:rPr>
        <w:t>垫江县普顺镇</w:t>
      </w:r>
      <w:r>
        <w:rPr>
          <w:rFonts w:hint="eastAsia" w:ascii="宋体" w:hAnsi="宋体" w:cs="宋体"/>
          <w:snapToGrid w:val="0"/>
          <w:color w:val="auto"/>
          <w:kern w:val="0"/>
          <w:szCs w:val="21"/>
          <w:highlight w:val="none"/>
          <w:u w:val="none"/>
          <w:lang w:val="en-US" w:eastAsia="zh-CN"/>
        </w:rPr>
        <w:t>迎凤</w:t>
      </w:r>
      <w:r>
        <w:rPr>
          <w:rFonts w:hint="eastAsia" w:ascii="宋体" w:hAnsi="宋体" w:eastAsia="宋体" w:cs="宋体"/>
          <w:snapToGrid w:val="0"/>
          <w:color w:val="auto"/>
          <w:kern w:val="0"/>
          <w:szCs w:val="21"/>
          <w:highlight w:val="none"/>
          <w:u w:val="none"/>
          <w:lang w:eastAsia="zh-CN"/>
        </w:rPr>
        <w:t>村</w:t>
      </w:r>
      <w:r>
        <w:rPr>
          <w:rFonts w:hint="eastAsia" w:ascii="宋体" w:hAnsi="宋体" w:cs="宋体"/>
          <w:snapToGrid w:val="0"/>
          <w:color w:val="auto"/>
          <w:kern w:val="0"/>
          <w:szCs w:val="21"/>
          <w:highlight w:val="none"/>
          <w:u w:val="none"/>
          <w:lang w:eastAsia="zh-CN"/>
        </w:rPr>
        <w:t>二</w:t>
      </w:r>
      <w:r>
        <w:rPr>
          <w:rFonts w:hint="eastAsia" w:ascii="宋体" w:hAnsi="宋体" w:eastAsia="宋体" w:cs="宋体"/>
          <w:snapToGrid w:val="0"/>
          <w:color w:val="auto"/>
          <w:kern w:val="0"/>
          <w:szCs w:val="21"/>
          <w:highlight w:val="none"/>
          <w:u w:val="none"/>
          <w:lang w:val="en-US" w:eastAsia="zh-CN"/>
        </w:rPr>
        <w:t>楼会议室</w:t>
      </w:r>
      <w:bookmarkEnd w:id="82"/>
      <w:r>
        <w:rPr>
          <w:rFonts w:hint="eastAsia" w:ascii="宋体" w:hAnsi="宋体" w:eastAsia="宋体" w:cs="宋体"/>
          <w:snapToGrid w:val="0"/>
          <w:color w:val="auto"/>
          <w:kern w:val="0"/>
          <w:szCs w:val="21"/>
          <w:highlight w:val="none"/>
          <w:u w:val="none"/>
          <w:lang w:val="en-US" w:eastAsia="zh-CN"/>
        </w:rPr>
        <w:t>。</w:t>
      </w:r>
    </w:p>
    <w:p>
      <w:pPr>
        <w:autoSpaceDE w:val="0"/>
        <w:autoSpaceDN w:val="0"/>
        <w:adjustRightInd w:val="0"/>
        <w:snapToGrid w:val="0"/>
        <w:spacing w:line="45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5.3 </w:t>
      </w:r>
      <w:r>
        <w:rPr>
          <w:rFonts w:hint="eastAsia" w:ascii="宋体" w:hAnsi="宋体" w:eastAsia="宋体" w:cs="宋体"/>
          <w:snapToGrid w:val="0"/>
          <w:color w:val="auto"/>
          <w:kern w:val="0"/>
          <w:szCs w:val="21"/>
          <w:highlight w:val="none"/>
        </w:rPr>
        <w:t>比选时间：202</w:t>
      </w:r>
      <w:r>
        <w:rPr>
          <w:rFonts w:hint="eastAsia" w:ascii="宋体" w:hAnsi="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lang w:val="en-US" w:eastAsia="zh-CN"/>
        </w:rPr>
        <w:t>21</w:t>
      </w:r>
      <w:r>
        <w:rPr>
          <w:rFonts w:hint="eastAsia" w:ascii="宋体" w:hAnsi="宋体" w:eastAsia="宋体" w:cs="宋体"/>
          <w:snapToGrid w:val="0"/>
          <w:color w:val="auto"/>
          <w:kern w:val="0"/>
          <w:szCs w:val="21"/>
          <w:highlight w:val="none"/>
        </w:rPr>
        <w:t>日</w:t>
      </w:r>
      <w:r>
        <w:rPr>
          <w:rFonts w:hint="eastAsia" w:ascii="宋体" w:hAnsi="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时</w:t>
      </w:r>
      <w:r>
        <w:rPr>
          <w:rFonts w:hint="eastAsia" w:ascii="宋体" w:hAnsi="宋体" w:eastAsia="宋体" w:cs="宋体"/>
          <w:snapToGrid w:val="0"/>
          <w:color w:val="auto"/>
          <w:kern w:val="0"/>
          <w:szCs w:val="21"/>
          <w:highlight w:val="none"/>
          <w:lang w:val="en-US" w:eastAsia="zh-CN"/>
        </w:rPr>
        <w:t>0</w:t>
      </w:r>
      <w:r>
        <w:rPr>
          <w:rFonts w:hint="eastAsia" w:ascii="宋体" w:hAnsi="宋体" w:eastAsia="宋体" w:cs="宋体"/>
          <w:snapToGrid w:val="0"/>
          <w:color w:val="auto"/>
          <w:kern w:val="0"/>
          <w:szCs w:val="21"/>
          <w:highlight w:val="none"/>
        </w:rPr>
        <w:t>0分（北京时间）。</w:t>
      </w:r>
    </w:p>
    <w:p>
      <w:pPr>
        <w:pStyle w:val="4"/>
        <w:spacing w:before="0" w:after="0" w:line="360" w:lineRule="auto"/>
        <w:rPr>
          <w:rFonts w:hint="eastAsia" w:ascii="宋体" w:hAnsi="宋体" w:eastAsia="宋体" w:cs="宋体"/>
          <w:bCs w:val="0"/>
          <w:snapToGrid w:val="0"/>
          <w:color w:val="auto"/>
          <w:highlight w:val="none"/>
        </w:rPr>
      </w:pPr>
      <w:r>
        <w:rPr>
          <w:rFonts w:hint="eastAsia" w:ascii="宋体" w:hAnsi="宋体" w:eastAsia="宋体" w:cs="宋体"/>
          <w:bCs w:val="0"/>
          <w:snapToGrid w:val="0"/>
          <w:color w:val="auto"/>
          <w:highlight w:val="none"/>
        </w:rPr>
        <w:t>6. 发布公告的媒介</w:t>
      </w:r>
      <w:bookmarkEnd w:id="63"/>
      <w:bookmarkEnd w:id="64"/>
      <w:bookmarkEnd w:id="65"/>
      <w:bookmarkEnd w:id="66"/>
      <w:bookmarkEnd w:id="67"/>
      <w:bookmarkEnd w:id="68"/>
      <w:bookmarkEnd w:id="69"/>
      <w:bookmarkEnd w:id="70"/>
      <w:bookmarkEnd w:id="71"/>
    </w:p>
    <w:p>
      <w:pPr>
        <w:tabs>
          <w:tab w:val="left" w:pos="4950"/>
        </w:tabs>
        <w:autoSpaceDE w:val="0"/>
        <w:autoSpaceDN w:val="0"/>
        <w:adjustRightInd w:val="0"/>
        <w:snapToGrid w:val="0"/>
        <w:spacing w:line="360" w:lineRule="auto"/>
        <w:ind w:firstLine="420" w:firstLineChars="200"/>
        <w:rPr>
          <w:rFonts w:hint="eastAsia" w:ascii="宋体" w:hAnsi="宋体" w:eastAsia="宋体" w:cs="宋体"/>
          <w:snapToGrid w:val="0"/>
          <w:color w:val="auto"/>
          <w:kern w:val="0"/>
          <w:szCs w:val="21"/>
          <w:highlight w:val="none"/>
        </w:rPr>
      </w:pPr>
      <w:bookmarkStart w:id="83" w:name="_Toc509218698"/>
      <w:bookmarkStart w:id="84" w:name="_Toc430530422"/>
      <w:bookmarkStart w:id="85" w:name="_Toc287607734"/>
      <w:bookmarkStart w:id="86" w:name="_Toc277082542"/>
      <w:bookmarkStart w:id="87" w:name="_Toc287620673"/>
      <w:bookmarkStart w:id="88" w:name="_Toc224103305"/>
      <w:r>
        <w:rPr>
          <w:rFonts w:hint="eastAsia" w:ascii="宋体" w:hAnsi="宋体" w:eastAsia="宋体" w:cs="宋体"/>
          <w:snapToGrid w:val="0"/>
          <w:color w:val="auto"/>
          <w:kern w:val="0"/>
          <w:szCs w:val="21"/>
          <w:highlight w:val="none"/>
        </w:rPr>
        <w:t>本次</w:t>
      </w:r>
      <w:r>
        <w:rPr>
          <w:rFonts w:hint="eastAsia" w:ascii="宋体" w:hAnsi="宋体" w:eastAsia="宋体" w:cs="宋体"/>
          <w:snapToGrid w:val="0"/>
          <w:color w:val="auto"/>
          <w:kern w:val="0"/>
          <w:szCs w:val="21"/>
          <w:highlight w:val="none"/>
          <w:lang w:eastAsia="zh-CN"/>
        </w:rPr>
        <w:t>比选公告</w:t>
      </w:r>
      <w:r>
        <w:rPr>
          <w:rFonts w:hint="eastAsia" w:ascii="宋体" w:hAnsi="宋体" w:eastAsia="宋体" w:cs="宋体"/>
          <w:snapToGrid w:val="0"/>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snapToGrid w:val="0"/>
          <w:color w:val="auto"/>
          <w:kern w:val="0"/>
          <w:szCs w:val="21"/>
          <w:highlight w:val="none"/>
        </w:rPr>
        <w:t>上发布。</w:t>
      </w:r>
    </w:p>
    <w:p>
      <w:pPr>
        <w:pStyle w:val="4"/>
        <w:spacing w:before="0" w:after="0" w:line="360" w:lineRule="auto"/>
        <w:rPr>
          <w:rFonts w:hint="eastAsia" w:ascii="宋体" w:hAnsi="宋体" w:eastAsia="宋体" w:cs="宋体"/>
          <w:bCs w:val="0"/>
          <w:snapToGrid w:val="0"/>
          <w:color w:val="auto"/>
          <w:highlight w:val="none"/>
        </w:rPr>
      </w:pPr>
      <w:bookmarkStart w:id="89" w:name="_Toc24577"/>
      <w:r>
        <w:rPr>
          <w:rFonts w:hint="eastAsia" w:ascii="宋体" w:hAnsi="宋体" w:eastAsia="宋体" w:cs="宋体"/>
          <w:bCs w:val="0"/>
          <w:snapToGrid w:val="0"/>
          <w:color w:val="auto"/>
          <w:highlight w:val="none"/>
        </w:rPr>
        <w:t xml:space="preserve">7. </w:t>
      </w:r>
      <w:bookmarkEnd w:id="83"/>
      <w:bookmarkEnd w:id="84"/>
      <w:bookmarkEnd w:id="85"/>
      <w:bookmarkEnd w:id="86"/>
      <w:bookmarkEnd w:id="87"/>
      <w:bookmarkEnd w:id="88"/>
      <w:bookmarkStart w:id="90" w:name="_Toc287620674"/>
      <w:bookmarkStart w:id="91" w:name="_Toc224103306"/>
      <w:bookmarkStart w:id="92" w:name="_Toc287607735"/>
      <w:bookmarkStart w:id="93" w:name="_Toc430530423"/>
      <w:r>
        <w:rPr>
          <w:rFonts w:hint="eastAsia" w:ascii="宋体" w:hAnsi="宋体" w:eastAsia="宋体" w:cs="宋体"/>
          <w:bCs w:val="0"/>
          <w:snapToGrid w:val="0"/>
          <w:color w:val="auto"/>
          <w:highlight w:val="none"/>
        </w:rPr>
        <w:t>联系方式</w:t>
      </w:r>
      <w:bookmarkEnd w:id="89"/>
    </w:p>
    <w:p>
      <w:pPr>
        <w:tabs>
          <w:tab w:val="left" w:pos="5140"/>
          <w:tab w:val="left" w:pos="85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lang w:val="en-US" w:eastAsia="zh-CN"/>
        </w:rPr>
        <w:t>比 选 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eastAsia="zh-CN"/>
        </w:rPr>
        <w:t>垫江县普顺镇青龙村股份经济合作联合社</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eastAsia="zh-CN"/>
        </w:rPr>
        <w:t>比选代理机构</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eastAsia="zh-CN"/>
        </w:rPr>
        <w:t>重庆大骐顺项目管理有限公司</w:t>
      </w:r>
    </w:p>
    <w:p>
      <w:pPr>
        <w:tabs>
          <w:tab w:val="left" w:pos="5140"/>
          <w:tab w:val="left" w:pos="8420"/>
        </w:tabs>
        <w:autoSpaceDE w:val="0"/>
        <w:autoSpaceDN w:val="0"/>
        <w:adjustRightInd w:val="0"/>
        <w:snapToGrid w:val="0"/>
        <w:spacing w:line="450" w:lineRule="exact"/>
        <w:ind w:left="5670" w:hanging="5670" w:hangingChars="27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eastAsia="zh-CN"/>
        </w:rPr>
        <w:t>垫江县正街017号</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地址：</w:t>
      </w:r>
      <w:r>
        <w:rPr>
          <w:rFonts w:hint="eastAsia" w:ascii="宋体" w:hAnsi="宋体" w:eastAsia="宋体" w:cs="宋体"/>
          <w:snapToGrid w:val="0"/>
          <w:color w:val="auto"/>
          <w:kern w:val="0"/>
          <w:szCs w:val="21"/>
          <w:highlight w:val="none"/>
          <w:u w:val="single"/>
        </w:rPr>
        <w:t>重庆市渝北区龙溪街道新牌坊二路136号路</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华苑小区1幢</w:t>
      </w:r>
    </w:p>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董老师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联 系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彭老师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p>
    <w:p>
      <w:pPr>
        <w:snapToGrid w:val="0"/>
        <w:spacing w:line="560" w:lineRule="atLeast"/>
        <w:jc w:val="both"/>
        <w:textAlignment w:val="baseline"/>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13996862577              </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15909301719</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Cs w:val="21"/>
          <w:highlight w:val="none"/>
          <w:u w:val="single"/>
        </w:rPr>
      </w:pPr>
    </w:p>
    <w:p>
      <w:pPr>
        <w:autoSpaceDE w:val="0"/>
        <w:autoSpaceDN w:val="0"/>
        <w:adjustRightInd w:val="0"/>
        <w:snapToGrid w:val="0"/>
        <w:spacing w:line="440" w:lineRule="exact"/>
        <w:ind w:firstLine="3906" w:firstLineChars="1860"/>
        <w:jc w:val="right"/>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2025</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日  </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90"/>
    <w:bookmarkEnd w:id="91"/>
    <w:bookmarkEnd w:id="92"/>
    <w:bookmarkEnd w:id="93"/>
    <w:p>
      <w:pPr>
        <w:pStyle w:val="3"/>
        <w:spacing w:line="360" w:lineRule="auto"/>
        <w:ind w:firstLine="883"/>
        <w:jc w:val="center"/>
        <w:rPr>
          <w:rFonts w:hint="eastAsia" w:ascii="宋体" w:hAnsi="宋体" w:eastAsia="宋体" w:cs="宋体"/>
          <w:bCs w:val="0"/>
          <w:snapToGrid w:val="0"/>
          <w:color w:val="auto"/>
          <w:kern w:val="0"/>
          <w:highlight w:val="none"/>
        </w:rPr>
      </w:pPr>
      <w:bookmarkStart w:id="94" w:name="_Toc287607744"/>
      <w:bookmarkStart w:id="95" w:name="_Toc287620683"/>
      <w:bookmarkStart w:id="96" w:name="_Toc224103315"/>
      <w:bookmarkStart w:id="97" w:name="_Toc430530432"/>
      <w:bookmarkStart w:id="98" w:name="_Toc21790"/>
      <w:r>
        <w:rPr>
          <w:rFonts w:hint="eastAsia" w:ascii="宋体" w:hAnsi="宋体" w:eastAsia="宋体" w:cs="宋体"/>
          <w:bCs w:val="0"/>
          <w:snapToGrid w:val="0"/>
          <w:color w:val="auto"/>
          <w:highlight w:val="none"/>
        </w:rPr>
        <w:t>第二章  投标人须知</w:t>
      </w:r>
      <w:bookmarkEnd w:id="94"/>
      <w:bookmarkEnd w:id="95"/>
      <w:bookmarkEnd w:id="96"/>
      <w:bookmarkEnd w:id="97"/>
      <w:bookmarkEnd w:id="98"/>
      <w:bookmarkStart w:id="99" w:name="_Toc277082551"/>
      <w:bookmarkStart w:id="100" w:name="_Toc224103316"/>
      <w:bookmarkStart w:id="101" w:name="_Toc287620684"/>
      <w:bookmarkStart w:id="102" w:name="_Toc287607745"/>
      <w:bookmarkStart w:id="103" w:name="_Toc430530433"/>
    </w:p>
    <w:p>
      <w:pPr>
        <w:pStyle w:val="4"/>
        <w:spacing w:before="100" w:after="100" w:line="360" w:lineRule="auto"/>
        <w:rPr>
          <w:rFonts w:hint="eastAsia" w:ascii="宋体" w:hAnsi="宋体" w:eastAsia="宋体" w:cs="宋体"/>
          <w:bCs w:val="0"/>
          <w:color w:val="auto"/>
          <w:sz w:val="28"/>
          <w:szCs w:val="28"/>
          <w:highlight w:val="none"/>
        </w:rPr>
      </w:pPr>
      <w:bookmarkStart w:id="104" w:name="_Toc509218708"/>
      <w:bookmarkStart w:id="105" w:name="_Toc28452"/>
      <w:r>
        <w:rPr>
          <w:rFonts w:hint="eastAsia" w:ascii="宋体" w:hAnsi="宋体" w:eastAsia="宋体" w:cs="宋体"/>
          <w:bCs w:val="0"/>
          <w:color w:val="auto"/>
          <w:sz w:val="28"/>
          <w:szCs w:val="28"/>
          <w:highlight w:val="none"/>
        </w:rPr>
        <w:t>投标人须知前附表</w:t>
      </w:r>
      <w:bookmarkEnd w:id="99"/>
      <w:bookmarkEnd w:id="100"/>
      <w:bookmarkEnd w:id="101"/>
      <w:bookmarkEnd w:id="102"/>
      <w:bookmarkEnd w:id="103"/>
      <w:bookmarkEnd w:id="104"/>
      <w:bookmarkEnd w:id="105"/>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正文内容不允许修改。若投标人须知前附表与正文不一致的地方，以投标人须知前附表为准。</w:t>
      </w:r>
    </w:p>
    <w:tbl>
      <w:tblPr>
        <w:tblStyle w:val="33"/>
        <w:tblW w:w="946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35"/>
        <w:gridCol w:w="1615"/>
        <w:gridCol w:w="65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33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 款 号</w:t>
            </w:r>
          </w:p>
        </w:tc>
        <w:tc>
          <w:tcPr>
            <w:tcW w:w="1615"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条款名称</w:t>
            </w:r>
          </w:p>
        </w:tc>
        <w:tc>
          <w:tcPr>
            <w:tcW w:w="6519" w:type="dxa"/>
            <w:vAlign w:val="center"/>
          </w:tcPr>
          <w:p>
            <w:pPr>
              <w:snapToGrid w:val="0"/>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b/>
                <w:color w:val="auto"/>
                <w:kern w:val="0"/>
                <w:szCs w:val="21"/>
                <w:highlight w:val="none"/>
              </w:rPr>
              <w:t>编  列  内  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比选人</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名称：</w:t>
            </w:r>
            <w:bookmarkStart w:id="106" w:name="OLE_LINK33"/>
            <w:r>
              <w:rPr>
                <w:rFonts w:hint="eastAsia" w:ascii="宋体" w:hAnsi="宋体" w:cs="宋体"/>
                <w:color w:val="auto"/>
                <w:kern w:val="0"/>
                <w:szCs w:val="21"/>
                <w:highlight w:val="none"/>
                <w:u w:val="none"/>
                <w:lang w:eastAsia="zh-CN"/>
              </w:rPr>
              <w:t>垫江县普顺镇青龙村股份经济合作联合社</w:t>
            </w:r>
          </w:p>
          <w:bookmarkEnd w:id="106"/>
          <w:p>
            <w:pPr>
              <w:snapToGrid w:val="0"/>
              <w:spacing w:line="400" w:lineRule="exac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rPr>
              <w:t xml:space="preserve"> </w:t>
            </w:r>
            <w:r>
              <w:rPr>
                <w:rFonts w:hint="eastAsia" w:ascii="宋体" w:hAnsi="宋体" w:eastAsia="宋体" w:cs="宋体"/>
                <w:snapToGrid w:val="0"/>
                <w:color w:val="auto"/>
                <w:kern w:val="0"/>
                <w:szCs w:val="21"/>
                <w:highlight w:val="none"/>
                <w:u w:val="none"/>
                <w:lang w:eastAsia="zh-CN"/>
              </w:rPr>
              <w:t>垫江县正街017号</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董老师</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snapToGrid w:val="0"/>
                <w:color w:val="auto"/>
                <w:kern w:val="0"/>
                <w:szCs w:val="21"/>
                <w:highlight w:val="none"/>
                <w:u w:val="none"/>
                <w:lang w:val="en-US" w:eastAsia="zh-CN"/>
              </w:rPr>
              <w:t>13996862577</w:t>
            </w:r>
            <w:r>
              <w:rPr>
                <w:rFonts w:hint="eastAsia" w:ascii="宋体" w:hAnsi="宋体" w:eastAsia="宋体" w:cs="宋体"/>
                <w:snapToGrid w:val="0"/>
                <w:color w:val="auto"/>
                <w:kern w:val="0"/>
                <w:szCs w:val="21"/>
                <w:highlight w:val="none"/>
                <w:u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lang w:eastAsia="zh-CN"/>
              </w:rPr>
              <w:t>比选代理机构</w:t>
            </w:r>
          </w:p>
        </w:tc>
        <w:tc>
          <w:tcPr>
            <w:tcW w:w="6519" w:type="dxa"/>
            <w:vAlign w:val="center"/>
          </w:tcPr>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名称：</w:t>
            </w:r>
            <w:r>
              <w:rPr>
                <w:rFonts w:hint="eastAsia" w:ascii="宋体" w:hAnsi="宋体" w:eastAsia="宋体" w:cs="宋体"/>
                <w:snapToGrid w:val="0"/>
                <w:color w:val="auto"/>
                <w:kern w:val="0"/>
                <w:szCs w:val="21"/>
                <w:highlight w:val="none"/>
                <w:u w:val="none"/>
                <w:lang w:eastAsia="zh-CN"/>
              </w:rPr>
              <w:t>重庆大骐顺项目管理有限公司</w:t>
            </w:r>
            <w:r>
              <w:rPr>
                <w:rFonts w:hint="eastAsia" w:ascii="宋体" w:hAnsi="宋体" w:eastAsia="宋体" w:cs="宋体"/>
                <w:snapToGrid w:val="0"/>
                <w:color w:val="auto"/>
                <w:kern w:val="0"/>
                <w:szCs w:val="21"/>
                <w:highlight w:val="none"/>
                <w:u w:val="none"/>
                <w:lang w:val="en-US" w:eastAsia="zh-CN"/>
              </w:rPr>
              <w:t xml:space="preserve">  </w:t>
            </w:r>
            <w:r>
              <w:rPr>
                <w:rFonts w:hint="eastAsia" w:ascii="宋体" w:hAnsi="宋体" w:eastAsia="宋体" w:cs="宋体"/>
                <w:snapToGrid w:val="0"/>
                <w:color w:val="auto"/>
                <w:kern w:val="0"/>
                <w:szCs w:val="21"/>
                <w:highlight w:val="none"/>
                <w:u w:val="none"/>
              </w:rPr>
              <w:t xml:space="preserve"> </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lang w:eastAsia="zh-CN"/>
              </w:rPr>
            </w:pPr>
            <w:r>
              <w:rPr>
                <w:rFonts w:hint="eastAsia" w:ascii="宋体" w:hAnsi="宋体" w:eastAsia="宋体" w:cs="宋体"/>
                <w:color w:val="auto"/>
                <w:kern w:val="0"/>
                <w:szCs w:val="21"/>
                <w:highlight w:val="none"/>
                <w:u w:val="none"/>
              </w:rPr>
              <w:t>地址：</w:t>
            </w:r>
            <w:r>
              <w:rPr>
                <w:rFonts w:hint="eastAsia" w:ascii="宋体" w:hAnsi="宋体" w:eastAsia="宋体" w:cs="宋体"/>
                <w:snapToGrid w:val="0"/>
                <w:color w:val="auto"/>
                <w:kern w:val="0"/>
                <w:szCs w:val="21"/>
                <w:highlight w:val="none"/>
                <w:u w:val="none"/>
                <w:lang w:eastAsia="zh-CN"/>
              </w:rPr>
              <w:t>重庆市渝北区财信城市国际3栋7-7</w:t>
            </w:r>
          </w:p>
          <w:p>
            <w:pPr>
              <w:snapToGrid w:val="0"/>
              <w:spacing w:line="400" w:lineRule="exac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联系人：</w:t>
            </w:r>
            <w:r>
              <w:rPr>
                <w:rFonts w:hint="eastAsia" w:ascii="宋体" w:hAnsi="宋体" w:eastAsia="宋体" w:cs="宋体"/>
                <w:snapToGrid w:val="0"/>
                <w:color w:val="auto"/>
                <w:kern w:val="0"/>
                <w:szCs w:val="21"/>
                <w:highlight w:val="none"/>
                <w:u w:val="none"/>
                <w:lang w:val="en-US" w:eastAsia="zh-CN"/>
              </w:rPr>
              <w:t>彭老师</w:t>
            </w:r>
          </w:p>
          <w:p>
            <w:pPr>
              <w:tabs>
                <w:tab w:val="left" w:pos="5140"/>
                <w:tab w:val="left" w:pos="8420"/>
              </w:tabs>
              <w:autoSpaceDE w:val="0"/>
              <w:autoSpaceDN w:val="0"/>
              <w:adjustRightInd w:val="0"/>
              <w:snapToGrid w:val="0"/>
              <w:spacing w:line="450" w:lineRule="exact"/>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电话</w:t>
            </w:r>
            <w:r>
              <w:rPr>
                <w:rFonts w:hint="eastAsia" w:ascii="宋体" w:hAnsi="宋体" w:eastAsia="宋体" w:cs="宋体"/>
                <w:color w:val="auto"/>
                <w:kern w:val="0"/>
                <w:szCs w:val="21"/>
                <w:highlight w:val="none"/>
                <w:u w:val="none"/>
                <w:lang w:eastAsia="zh-CN"/>
              </w:rPr>
              <w:t>：</w:t>
            </w:r>
            <w:r>
              <w:rPr>
                <w:rFonts w:hint="eastAsia" w:ascii="宋体" w:hAnsi="宋体" w:eastAsia="宋体" w:cs="宋体"/>
                <w:snapToGrid w:val="0"/>
                <w:color w:val="auto"/>
                <w:kern w:val="0"/>
                <w:szCs w:val="21"/>
                <w:highlight w:val="none"/>
                <w:u w:val="none"/>
                <w:lang w:val="en-US" w:eastAsia="zh-CN"/>
              </w:rPr>
              <w:t>15909301719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bidi="ar"/>
              </w:rPr>
              <w:t>比选项目</w:t>
            </w:r>
            <w:r>
              <w:rPr>
                <w:rFonts w:hint="eastAsia" w:ascii="宋体" w:hAnsi="宋体" w:eastAsia="宋体" w:cs="宋体"/>
                <w:color w:val="auto"/>
                <w:kern w:val="0"/>
                <w:szCs w:val="21"/>
                <w:highlight w:val="none"/>
                <w:lang w:bidi="ar"/>
              </w:rPr>
              <w:t>名称</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cs="宋体"/>
                <w:snapToGrid w:val="0"/>
                <w:color w:val="auto"/>
                <w:kern w:val="0"/>
                <w:szCs w:val="21"/>
                <w:highlight w:val="none"/>
                <w:u w:val="none"/>
                <w:lang w:eastAsia="zh-CN"/>
              </w:rPr>
              <w:t>垫江县普顺镇青龙村道路硬化工程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建设地点</w:t>
            </w:r>
          </w:p>
        </w:tc>
        <w:tc>
          <w:tcPr>
            <w:tcW w:w="6519" w:type="dxa"/>
            <w:vAlign w:val="center"/>
          </w:tcPr>
          <w:p>
            <w:pPr>
              <w:tabs>
                <w:tab w:val="left" w:pos="5140"/>
                <w:tab w:val="left" w:pos="8420"/>
              </w:tabs>
              <w:autoSpaceDE w:val="0"/>
              <w:autoSpaceDN w:val="0"/>
              <w:adjustRightInd w:val="0"/>
              <w:snapToGrid w:val="0"/>
              <w:spacing w:line="450" w:lineRule="exact"/>
              <w:jc w:val="left"/>
              <w:rPr>
                <w:rFonts w:hint="eastAsia" w:ascii="宋体" w:hAnsi="宋体" w:eastAsia="宋体" w:cs="宋体"/>
                <w:snapToGrid w:val="0"/>
                <w:color w:val="auto"/>
                <w:kern w:val="0"/>
                <w:szCs w:val="21"/>
                <w:highlight w:val="none"/>
                <w:u w:val="none"/>
                <w:lang w:eastAsia="zh-CN"/>
              </w:rPr>
            </w:pPr>
            <w:r>
              <w:rPr>
                <w:rFonts w:hint="eastAsia" w:ascii="宋体" w:hAnsi="宋体" w:eastAsia="宋体" w:cs="宋体"/>
                <w:snapToGrid w:val="0"/>
                <w:color w:val="auto"/>
                <w:kern w:val="0"/>
                <w:szCs w:val="21"/>
                <w:highlight w:val="none"/>
                <w:u w:val="none"/>
                <w:lang w:val="en-US" w:eastAsia="zh-CN"/>
              </w:rPr>
              <w:t>普顺镇红岩村1、4组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资金来源及比例</w:t>
            </w:r>
          </w:p>
        </w:tc>
        <w:tc>
          <w:tcPr>
            <w:tcW w:w="6519" w:type="dxa"/>
            <w:vAlign w:val="center"/>
          </w:tcPr>
          <w:p>
            <w:pPr>
              <w:snapToGrid w:val="0"/>
              <w:spacing w:line="400" w:lineRule="exact"/>
              <w:rPr>
                <w:rFonts w:hint="eastAsia" w:ascii="宋体" w:hAnsi="宋体" w:eastAsia="宋体" w:cs="宋体"/>
                <w:color w:val="auto"/>
                <w:szCs w:val="21"/>
                <w:highlight w:val="none"/>
                <w:lang w:eastAsia="zh-CN"/>
              </w:rPr>
            </w:pPr>
            <w:bookmarkStart w:id="107" w:name="OLE_LINK3"/>
            <w:r>
              <w:rPr>
                <w:rFonts w:hint="eastAsia" w:ascii="宋体" w:hAnsi="宋体" w:eastAsia="宋体" w:cs="宋体"/>
                <w:snapToGrid w:val="0"/>
                <w:color w:val="auto"/>
                <w:kern w:val="0"/>
                <w:szCs w:val="21"/>
                <w:highlight w:val="none"/>
                <w:u w:val="none"/>
                <w:lang w:val="en-US" w:eastAsia="zh-CN"/>
              </w:rPr>
              <w:t>上级交通补助资金、一事一议、群众自筹等，</w:t>
            </w:r>
            <w:r>
              <w:rPr>
                <w:rFonts w:hint="eastAsia" w:ascii="宋体" w:hAnsi="宋体" w:eastAsia="宋体" w:cs="宋体"/>
                <w:snapToGrid w:val="0"/>
                <w:color w:val="auto"/>
                <w:kern w:val="0"/>
                <w:szCs w:val="21"/>
                <w:highlight w:val="none"/>
                <w:u w:val="none"/>
                <w:lang w:eastAsia="zh-CN"/>
              </w:rPr>
              <w:t>项目出资比例为</w:t>
            </w:r>
            <w:r>
              <w:rPr>
                <w:rFonts w:hint="eastAsia" w:ascii="宋体" w:hAnsi="宋体" w:eastAsia="宋体" w:cs="宋体"/>
                <w:snapToGrid w:val="0"/>
                <w:color w:val="auto"/>
                <w:kern w:val="0"/>
                <w:szCs w:val="21"/>
                <w:highlight w:val="none"/>
                <w:u w:val="none"/>
                <w:lang w:val="en-US" w:eastAsia="zh-CN"/>
              </w:rPr>
              <w:t>100%</w:t>
            </w:r>
            <w:r>
              <w:rPr>
                <w:rFonts w:hint="eastAsia" w:ascii="宋体" w:hAnsi="宋体" w:eastAsia="宋体" w:cs="宋体"/>
                <w:snapToGrid w:val="0"/>
                <w:color w:val="auto"/>
                <w:kern w:val="0"/>
                <w:szCs w:val="21"/>
                <w:highlight w:val="none"/>
                <w:u w:val="none"/>
                <w:lang w:eastAsia="zh-CN"/>
              </w:rPr>
              <w:t>。</w:t>
            </w:r>
            <w:bookmarkEnd w:id="107"/>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资金落实情况</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已落实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招标范围</w:t>
            </w:r>
          </w:p>
        </w:tc>
        <w:tc>
          <w:tcPr>
            <w:tcW w:w="6519" w:type="dxa"/>
            <w:vAlign w:val="center"/>
          </w:tcPr>
          <w:p>
            <w:pPr>
              <w:snapToGrid/>
              <w:spacing w:line="500" w:lineRule="exact"/>
              <w:ind w:left="36" w:leftChars="17"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u w:val="single"/>
                <w:lang w:val="en-US" w:eastAsia="zh-CN"/>
              </w:rPr>
              <w:t>本项目施工图纸所示全部内容及比选过程中的答疑资料、其他补遗资料等相关内容</w:t>
            </w:r>
            <w:r>
              <w:rPr>
                <w:rFonts w:hint="eastAsia" w:ascii="宋体" w:hAnsi="宋体" w:eastAsia="宋体" w:cs="宋体"/>
                <w:color w:val="auto"/>
                <w:sz w:val="28"/>
                <w:szCs w:val="28"/>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计划工期</w:t>
            </w:r>
          </w:p>
          <w:p>
            <w:pPr>
              <w:snapToGrid w:val="0"/>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缺陷责任期</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40</w:t>
            </w:r>
            <w:r>
              <w:rPr>
                <w:rFonts w:hint="eastAsia" w:ascii="宋体" w:hAnsi="宋体" w:eastAsia="宋体" w:cs="宋体"/>
                <w:color w:val="auto"/>
                <w:kern w:val="0"/>
                <w:szCs w:val="21"/>
                <w:highlight w:val="none"/>
                <w:u w:val="single"/>
              </w:rPr>
              <w:t xml:space="preserve">  日历天</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缺陷责任期：</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12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质量要求</w:t>
            </w:r>
          </w:p>
        </w:tc>
        <w:tc>
          <w:tcPr>
            <w:tcW w:w="6519" w:type="dxa"/>
            <w:vAlign w:val="center"/>
          </w:tcPr>
          <w:p>
            <w:pPr>
              <w:spacing w:line="400" w:lineRule="exact"/>
              <w:ind w:left="420" w:leftChars="200"/>
              <w:rPr>
                <w:rFonts w:hint="eastAsia" w:ascii="宋体" w:hAnsi="宋体" w:eastAsia="宋体" w:cs="宋体"/>
                <w:i/>
                <w:color w:val="auto"/>
                <w:szCs w:val="21"/>
                <w:highlight w:val="none"/>
              </w:rPr>
            </w:pPr>
            <w:r>
              <w:rPr>
                <w:rFonts w:hint="eastAsia" w:ascii="宋体" w:hAnsi="宋体" w:eastAsia="宋体" w:cs="宋体"/>
                <w:color w:val="auto"/>
                <w:kern w:val="0"/>
                <w:szCs w:val="21"/>
                <w:highlight w:val="none"/>
                <w:lang w:val="en-US" w:eastAsia="zh-CN"/>
              </w:rPr>
              <w:t>混凝土厚度不低于20㎝，强度等级不低于C25，达到重庆市“四好农村路”（通组公路）质量验收规范标准，并达到合格标准。包括路面硬化和所涉路基调平、涵管制作安装和护栏等安防设施安装相关工程 ，新建波形护栏（Gr-C-4E）80米，按图施工《普顺镇青龙村道路硬化建设工程施工图》。以上质量达到重庆市“四好农村路”（通组公路）质量验收规范标准，并达到合格标准，项目竣工后由普顺镇人民政府组织综合验收，并委托有公路检测等级证书资质的第三方机构按《垫江县交通局关于“四好农村路”（通村通组通畅路面工程）交（竣）工验收质量检测实施细则的通知》（垫交发〔2019〕78号）的规定进行质量评定合格和县交通局抽查核验合格，波形护栏符合（Gr-C-4E）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1.3.4</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安全目标</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bookmarkStart w:id="108" w:name="OLE_LINK19"/>
            <w:bookmarkStart w:id="109" w:name="OLE_LINK5"/>
            <w:r>
              <w:rPr>
                <w:rFonts w:hint="eastAsia" w:ascii="宋体" w:hAnsi="宋体" w:eastAsia="宋体" w:cs="宋体"/>
                <w:color w:val="auto"/>
                <w:kern w:val="0"/>
                <w:szCs w:val="21"/>
                <w:highlight w:val="none"/>
                <w:lang w:val="en-US" w:eastAsia="zh-CN"/>
              </w:rPr>
              <w:t>项目</w:t>
            </w:r>
            <w:bookmarkEnd w:id="108"/>
            <w:r>
              <w:rPr>
                <w:rFonts w:hint="eastAsia" w:ascii="宋体" w:hAnsi="宋体" w:eastAsia="宋体" w:cs="宋体"/>
                <w:color w:val="auto"/>
                <w:kern w:val="0"/>
                <w:szCs w:val="21"/>
                <w:highlight w:val="none"/>
                <w:lang w:val="en-US" w:eastAsia="zh-CN"/>
              </w:rPr>
              <w:t>全过程无安全责任事故，重点安排管理人员。</w:t>
            </w:r>
            <w:bookmarkEnd w:id="109"/>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投标人资质条件、能力和信誉</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i/>
                <w:iCs/>
                <w:color w:val="auto"/>
                <w:highlight w:val="none"/>
              </w:rPr>
            </w:pPr>
            <w:r>
              <w:rPr>
                <w:rFonts w:hint="eastAsia" w:ascii="宋体" w:hAnsi="宋体" w:eastAsia="宋体" w:cs="宋体"/>
                <w:color w:val="auto"/>
                <w:highlight w:val="none"/>
              </w:rPr>
              <w:t>本工程施工招标实行资格后审，投标人应具备以下资格条件：</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1、资质条件、营业执照及安全生产条件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（1）具备建设行政主管部门颁发的有效的</w:t>
            </w:r>
            <w:r>
              <w:rPr>
                <w:rFonts w:hint="eastAsia" w:ascii="宋体" w:hAnsi="宋体" w:eastAsia="宋体" w:cs="宋体"/>
                <w:color w:val="auto"/>
                <w:szCs w:val="21"/>
                <w:highlight w:val="none"/>
                <w:u w:val="single"/>
              </w:rPr>
              <w:t>公路工程施工总承包三级</w:t>
            </w:r>
            <w:r>
              <w:rPr>
                <w:rFonts w:hint="eastAsia" w:ascii="宋体" w:hAnsi="宋体" w:eastAsia="宋体" w:cs="宋体"/>
                <w:color w:val="auto"/>
                <w:highlight w:val="none"/>
                <w:u w:val="single"/>
              </w:rPr>
              <w:t>及以上</w:t>
            </w:r>
            <w:r>
              <w:rPr>
                <w:rFonts w:hint="eastAsia" w:ascii="宋体" w:hAnsi="宋体" w:eastAsia="宋体" w:cs="宋体"/>
                <w:color w:val="auto"/>
                <w:highlight w:val="none"/>
              </w:rPr>
              <w:t>资质。</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投标人须在投标文件资格审查部分提供有效的资质证书。</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（2）具备有效的营业执照。</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投标人须在投标文件资格审查部分提供有效的营业执照。</w:t>
            </w:r>
            <w:r>
              <w:rPr>
                <w:rFonts w:hint="eastAsia" w:ascii="宋体" w:hAnsi="宋体" w:eastAsia="宋体" w:cs="宋体"/>
                <w:color w:val="auto"/>
                <w:szCs w:val="21"/>
                <w:highlight w:val="none"/>
              </w:rPr>
              <w:t>注：不得将投标人营业执照记载的经营范围作为评审因素</w:t>
            </w:r>
            <w:r>
              <w:rPr>
                <w:rFonts w:hint="eastAsia" w:ascii="宋体" w:hAnsi="宋体" w:eastAsia="宋体" w:cs="宋体"/>
                <w:color w:val="auto"/>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（3）具备建设行政主管部门颁发的安全生产许可证</w:t>
            </w:r>
            <w:r>
              <w:rPr>
                <w:rFonts w:hint="eastAsia" w:ascii="宋体" w:hAnsi="宋体" w:eastAsia="宋体" w:cs="宋体"/>
                <w:color w:val="auto"/>
                <w:spacing w:val="2"/>
                <w:szCs w:val="21"/>
                <w:highlight w:val="none"/>
              </w:rPr>
              <w:t>,</w:t>
            </w:r>
            <w:r>
              <w:rPr>
                <w:rFonts w:hint="eastAsia" w:ascii="宋体" w:hAnsi="宋体" w:eastAsia="宋体" w:cs="宋体"/>
                <w:color w:val="auto"/>
                <w:highlight w:val="none"/>
              </w:rPr>
              <w:t xml:space="preserve"> </w:t>
            </w:r>
            <w:r>
              <w:rPr>
                <w:rFonts w:hint="eastAsia" w:ascii="宋体" w:hAnsi="宋体" w:eastAsia="宋体" w:cs="宋体"/>
                <w:color w:val="auto"/>
                <w:spacing w:val="2"/>
                <w:szCs w:val="21"/>
                <w:highlight w:val="none"/>
              </w:rPr>
              <w:t>企业主要负责人具备相应的由交通行政主管部门颁发的有效的安全生产考核合格证书</w:t>
            </w:r>
            <w:r>
              <w:rPr>
                <w:rFonts w:hint="eastAsia" w:ascii="宋体" w:hAnsi="宋体" w:eastAsia="宋体" w:cs="宋体"/>
                <w:color w:val="auto"/>
                <w:highlight w:val="none"/>
              </w:rPr>
              <w:t>。</w:t>
            </w:r>
          </w:p>
          <w:p>
            <w:pPr>
              <w:autoSpaceDE w:val="0"/>
              <w:autoSpaceDN w:val="0"/>
              <w:adjustRightInd w:val="0"/>
              <w:snapToGrid w:val="0"/>
              <w:spacing w:line="400" w:lineRule="exact"/>
              <w:ind w:firstLine="428" w:firstLineChars="200"/>
              <w:rPr>
                <w:rFonts w:hint="eastAsia" w:ascii="宋体" w:hAnsi="宋体" w:eastAsia="宋体" w:cs="宋体"/>
                <w:color w:val="auto"/>
                <w:spacing w:val="2"/>
                <w:szCs w:val="21"/>
                <w:highlight w:val="none"/>
              </w:rPr>
            </w:pPr>
            <w:r>
              <w:rPr>
                <w:rFonts w:hint="eastAsia" w:ascii="宋体" w:hAnsi="宋体" w:eastAsia="宋体" w:cs="宋体"/>
                <w:color w:val="auto"/>
                <w:spacing w:val="2"/>
                <w:szCs w:val="21"/>
                <w:highlight w:val="none"/>
              </w:rPr>
              <w:t>投标人须在投标文件资格审查部分提供有效的安全生产许可证</w:t>
            </w:r>
            <w:r>
              <w:rPr>
                <w:rFonts w:hint="eastAsia" w:ascii="宋体" w:hAnsi="宋体" w:eastAsia="宋体" w:cs="宋体"/>
                <w:color w:val="auto"/>
                <w:szCs w:val="21"/>
                <w:highlight w:val="none"/>
              </w:rPr>
              <w:t>及安全生产考核合格证书</w:t>
            </w:r>
            <w:r>
              <w:rPr>
                <w:rFonts w:hint="eastAsia" w:ascii="宋体" w:hAnsi="宋体" w:eastAsia="宋体" w:cs="宋体"/>
                <w:color w:val="auto"/>
                <w:spacing w:val="2"/>
                <w:szCs w:val="21"/>
                <w:highlight w:val="none"/>
              </w:rPr>
              <w:t>。</w:t>
            </w:r>
          </w:p>
          <w:p>
            <w:pPr>
              <w:autoSpaceDE w:val="0"/>
              <w:autoSpaceDN w:val="0"/>
              <w:adjustRightInd w:val="0"/>
              <w:snapToGrid w:val="0"/>
              <w:spacing w:line="400" w:lineRule="exact"/>
              <w:ind w:firstLine="422" w:firstLineChars="200"/>
              <w:rPr>
                <w:rFonts w:hint="eastAsia" w:ascii="宋体" w:hAnsi="宋体" w:eastAsia="宋体" w:cs="宋体"/>
                <w:b/>
                <w:strike w:val="0"/>
                <w:dstrike w:val="0"/>
                <w:color w:val="auto"/>
                <w:kern w:val="0"/>
                <w:szCs w:val="21"/>
                <w:highlight w:val="none"/>
                <w:lang w:bidi="ar"/>
              </w:rPr>
            </w:pPr>
            <w:r>
              <w:rPr>
                <w:rFonts w:hint="eastAsia" w:ascii="宋体" w:hAnsi="宋体" w:eastAsia="宋体" w:cs="宋体"/>
                <w:b/>
                <w:strike w:val="0"/>
                <w:dstrike w:val="0"/>
                <w:color w:val="auto"/>
                <w:kern w:val="0"/>
                <w:szCs w:val="21"/>
                <w:highlight w:val="none"/>
                <w:lang w:bidi="ar"/>
              </w:rPr>
              <w:t>2、财务要求</w:t>
            </w:r>
          </w:p>
          <w:p>
            <w:pPr>
              <w:spacing w:line="400" w:lineRule="exact"/>
              <w:ind w:firstLine="420" w:firstLineChars="200"/>
              <w:rPr>
                <w:rFonts w:hint="eastAsia" w:ascii="宋体" w:hAnsi="宋体" w:eastAsia="宋体" w:cs="宋体"/>
                <w:strike w:val="0"/>
                <w:dstrike w:val="0"/>
                <w:color w:val="auto"/>
                <w:highlight w:val="none"/>
                <w:u w:val="none"/>
              </w:rPr>
            </w:pPr>
            <w:r>
              <w:rPr>
                <w:rFonts w:hint="eastAsia" w:ascii="宋体" w:hAnsi="宋体" w:eastAsia="宋体" w:cs="宋体"/>
                <w:strike w:val="0"/>
                <w:dstrike w:val="0"/>
                <w:color w:val="auto"/>
                <w:highlight w:val="none"/>
                <w:u w:val="none"/>
                <w:lang w:eastAsia="zh-CN"/>
              </w:rPr>
              <w:t>无</w:t>
            </w:r>
            <w:r>
              <w:rPr>
                <w:rFonts w:hint="eastAsia" w:ascii="宋体" w:hAnsi="宋体" w:eastAsia="宋体" w:cs="宋体"/>
                <w:strike w:val="0"/>
                <w:dstrike w:val="0"/>
                <w:color w:val="auto"/>
                <w:highlight w:val="none"/>
                <w:u w:val="none"/>
              </w:rPr>
              <w:t>。</w:t>
            </w:r>
          </w:p>
          <w:p>
            <w:pPr>
              <w:spacing w:line="400" w:lineRule="exact"/>
              <w:ind w:firstLine="422" w:firstLineChars="200"/>
              <w:rPr>
                <w:rFonts w:hint="eastAsia" w:ascii="宋体" w:hAnsi="宋体" w:eastAsia="宋体" w:cs="宋体"/>
                <w:b/>
                <w:strike w:val="0"/>
                <w:dstrike w:val="0"/>
                <w:color w:val="auto"/>
                <w:kern w:val="0"/>
                <w:szCs w:val="21"/>
                <w:highlight w:val="none"/>
                <w:lang w:bidi="ar"/>
              </w:rPr>
            </w:pPr>
            <w:bookmarkStart w:id="110" w:name="OLE_LINK6"/>
            <w:r>
              <w:rPr>
                <w:rFonts w:hint="eastAsia" w:ascii="宋体" w:hAnsi="宋体" w:eastAsia="宋体" w:cs="宋体"/>
                <w:b/>
                <w:strike w:val="0"/>
                <w:dstrike w:val="0"/>
                <w:color w:val="auto"/>
                <w:kern w:val="0"/>
                <w:szCs w:val="21"/>
                <w:highlight w:val="none"/>
                <w:lang w:bidi="ar"/>
              </w:rPr>
              <w:t>3、业绩要求</w:t>
            </w:r>
          </w:p>
          <w:p>
            <w:pPr>
              <w:snapToGrid w:val="0"/>
              <w:spacing w:line="400" w:lineRule="exact"/>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投标人2024年至今完成过质量达到合格的单项合同2km及以上的水泥混凝土公路施工业绩一个（提供合同协议书复印件）</w:t>
            </w:r>
            <w:r>
              <w:rPr>
                <w:rFonts w:hint="eastAsia" w:ascii="宋体" w:hAnsi="宋体" w:eastAsia="宋体" w:cs="宋体"/>
                <w:color w:val="auto"/>
                <w:szCs w:val="21"/>
                <w:highlight w:val="none"/>
                <w:lang w:eastAsia="zh-CN"/>
              </w:rPr>
              <w:t>。</w:t>
            </w:r>
          </w:p>
          <w:bookmarkEnd w:id="110"/>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4、投标截止日投标资格情况要求</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投标人自行承诺（格式见第九章投标文件格式）不得存在下列情形之一：</w:t>
            </w:r>
          </w:p>
          <w:p>
            <w:pPr>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主管部门暂停在渝承揽新业务且在暂停期内；</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投标人须在投标文件资格审查部分提供承诺。</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上述第（2）、（3）款信用情况</w:t>
            </w:r>
            <w:r>
              <w:rPr>
                <w:rFonts w:hint="eastAsia" w:ascii="宋体" w:hAnsi="宋体" w:eastAsia="宋体" w:cs="宋体"/>
                <w:color w:val="auto"/>
                <w:highlight w:val="none"/>
                <w:lang w:eastAsia="zh-CN"/>
              </w:rPr>
              <w:t>由投标人进行承诺</w:t>
            </w:r>
            <w:r>
              <w:rPr>
                <w:rFonts w:hint="eastAsia" w:ascii="宋体" w:hAnsi="宋体" w:eastAsia="宋体" w:cs="宋体"/>
                <w:color w:val="auto"/>
                <w:highlight w:val="none"/>
              </w:rPr>
              <w:t>，若投标人针对上述第（2）、（3）款的承诺内容与</w:t>
            </w:r>
            <w:r>
              <w:rPr>
                <w:rFonts w:hint="eastAsia" w:ascii="宋体" w:hAnsi="宋体" w:eastAsia="宋体" w:cs="宋体"/>
                <w:color w:val="auto"/>
                <w:highlight w:val="none"/>
                <w:lang w:eastAsia="zh-CN"/>
              </w:rPr>
              <w:t>中标后比选人</w:t>
            </w:r>
            <w:r>
              <w:rPr>
                <w:rFonts w:hint="eastAsia" w:ascii="宋体" w:hAnsi="宋体" w:eastAsia="宋体" w:cs="宋体"/>
                <w:color w:val="auto"/>
                <w:highlight w:val="none"/>
              </w:rPr>
              <w:t>查询结果不符，由评标委员会作否决投标处理。</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bidi="ar"/>
              </w:rPr>
              <w:t>5、项目经理和项目总工资格</w:t>
            </w:r>
          </w:p>
          <w:p>
            <w:pPr>
              <w:spacing w:line="400" w:lineRule="exact"/>
              <w:ind w:firstLine="420" w:firstLineChars="200"/>
              <w:rPr>
                <w:rFonts w:hint="eastAsia" w:ascii="宋体" w:hAnsi="宋体" w:eastAsia="宋体" w:cs="宋体"/>
                <w:bCs/>
                <w:snapToGrid w:val="0"/>
                <w:color w:val="auto"/>
                <w:highlight w:val="none"/>
              </w:rPr>
            </w:pPr>
            <w:r>
              <w:rPr>
                <w:rFonts w:hint="eastAsia" w:ascii="宋体" w:hAnsi="宋体" w:eastAsia="宋体" w:cs="宋体"/>
                <w:color w:val="auto"/>
                <w:szCs w:val="21"/>
                <w:highlight w:val="none"/>
              </w:rPr>
              <w:t>5.1</w:t>
            </w:r>
            <w:r>
              <w:rPr>
                <w:rFonts w:hint="eastAsia" w:ascii="宋体" w:hAnsi="宋体" w:eastAsia="宋体" w:cs="宋体"/>
                <w:bCs/>
                <w:snapToGrid w:val="0"/>
                <w:color w:val="auto"/>
                <w:highlight w:val="none"/>
              </w:rPr>
              <w:t>项目经理：1 人。</w:t>
            </w:r>
          </w:p>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5.1.1投标人拟派的项目经理必须已在投标人本单位注册并应具有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贰级及以上</w:t>
            </w:r>
            <w:r>
              <w:rPr>
                <w:rFonts w:hint="eastAsia" w:ascii="宋体" w:hAnsi="宋体" w:eastAsia="宋体" w:cs="宋体"/>
                <w:color w:val="auto"/>
                <w:szCs w:val="21"/>
                <w:highlight w:val="none"/>
              </w:rPr>
              <w:t>注册建造师执业资格，并具有省级及以上交通行政主管部门颁发的安全生产考核合格证书（B类）。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5.1.2项目经理承诺要求：投标人须承诺拟派项目经理按注册建造师的相关规定到岗履职和未被禁止参与投标。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5.1.2.1到岗履职承诺要求：承诺拟派项目经理中标后在本项目任职，签订合同时拟派的项目经理必须与投标文件中的项目经理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造成损失的，投标人依法承担违约赔偿责任。拟派项目经理中标后不得随意更换。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5.1.2.2未被禁止参与投标承诺要求：承诺拟派项目经理未被重庆市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5.1.2.3</w:t>
            </w:r>
            <w:r>
              <w:rPr>
                <w:rFonts w:hint="eastAsia" w:ascii="宋体" w:hAnsi="宋体" w:eastAsia="宋体" w:cs="宋体"/>
                <w:color w:val="auto"/>
                <w:highlight w:val="none"/>
              </w:rPr>
              <w:t>项目经理的其它承诺要求：为保证</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拟派的项目经理到本项目到岗履职，</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还需承诺：</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若</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拟派本项目的项目经理有在其他项目任职的情形的（或有在其他项目中标或拟中标的情形的），应在收到中标通知书后</w:t>
            </w:r>
            <w:r>
              <w:rPr>
                <w:rFonts w:hint="eastAsia" w:ascii="宋体" w:hAnsi="宋体" w:eastAsia="宋体" w:cs="宋体"/>
                <w:color w:val="auto"/>
                <w:highlight w:val="none"/>
                <w:u w:val="single"/>
              </w:rPr>
              <w:t xml:space="preserve"> 14 </w:t>
            </w:r>
            <w:r>
              <w:rPr>
                <w:rFonts w:hint="eastAsia" w:ascii="宋体" w:hAnsi="宋体" w:eastAsia="宋体" w:cs="宋体"/>
                <w:color w:val="auto"/>
                <w:highlight w:val="none"/>
              </w:rPr>
              <w:t>日内，办理完成放弃在其他项目任职的手续（或办理完成放弃在其他项目中标或拟中标的手续），</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在合同签订前有权对</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拟派项目经理在其他项目的任职情形（或在其他项目的中标或拟中标情形）进行核查，若与</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承诺内容不符或</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未在上述时间内按照</w:t>
            </w:r>
            <w:r>
              <w:rPr>
                <w:rFonts w:hint="eastAsia" w:ascii="宋体" w:hAnsi="宋体" w:eastAsia="宋体" w:cs="宋体"/>
                <w:color w:val="auto"/>
                <w:highlight w:val="none"/>
                <w:lang w:eastAsia="zh-CN"/>
              </w:rPr>
              <w:t>比选文件</w:t>
            </w:r>
            <w:r>
              <w:rPr>
                <w:rFonts w:hint="eastAsia" w:ascii="宋体" w:hAnsi="宋体" w:eastAsia="宋体" w:cs="宋体"/>
                <w:color w:val="auto"/>
                <w:highlight w:val="none"/>
              </w:rPr>
              <w:t>规定递交放弃在其他项目任职、中标或拟中标的相关资料，视为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不退还其投标保证金。在合同签订时，</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需确保拟派项目经理符合《建筑施工企业项目经理资质管理办法》规定的项目经理任职条件，否则视为</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放弃中标资格，</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不退还其投标保证金。</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放弃在其他项目任职的需提供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w:t>
            </w:r>
            <w:r>
              <w:rPr>
                <w:rFonts w:hint="eastAsia" w:ascii="宋体" w:hAnsi="宋体" w:eastAsia="宋体" w:cs="宋体"/>
                <w:color w:val="auto"/>
                <w:highlight w:val="none"/>
                <w:lang w:val="en-US" w:eastAsia="zh-CN"/>
              </w:rPr>
              <w:t>经</w:t>
            </w:r>
            <w:r>
              <w:rPr>
                <w:rFonts w:hint="eastAsia" w:ascii="宋体" w:hAnsi="宋体" w:eastAsia="宋体" w:cs="宋体"/>
                <w:color w:val="auto"/>
                <w:highlight w:val="none"/>
              </w:rPr>
              <w:t>业主或建设单位同意任职变更的文件；②负责项目监管的行业行政主管部门出具同意任职变更的证明材料。</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highlight w:val="none"/>
              </w:rPr>
              <w:t>放弃在其他项目中标或拟中标的需提供</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①经中标或拟中标的其他项目建设单位同意的放弃中标函</w:t>
            </w:r>
            <w:r>
              <w:rPr>
                <w:rFonts w:hint="eastAsia" w:ascii="宋体" w:hAnsi="宋体" w:eastAsia="宋体" w:cs="宋体"/>
                <w:color w:val="auto"/>
                <w:szCs w:val="21"/>
                <w:highlight w:val="none"/>
              </w:rPr>
              <w:t>。</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5.1.2.4未提供上述承诺或承诺内容不符合要求的</w:t>
            </w:r>
            <w:r>
              <w:rPr>
                <w:rFonts w:hint="eastAsia" w:ascii="宋体" w:hAnsi="宋体" w:eastAsia="宋体" w:cs="宋体"/>
                <w:color w:val="auto"/>
                <w:szCs w:val="21"/>
                <w:highlight w:val="none"/>
                <w:lang w:val="en-US" w:eastAsia="zh-CN"/>
              </w:rPr>
              <w:t>或承诺书上未有项目经理签字的（项目经理签字在承诺书上任意位置均可）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snapToGrid w:val="0"/>
              <w:spacing w:line="400" w:lineRule="exact"/>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rPr>
              <w:t>投标人</w:t>
            </w:r>
            <w:r>
              <w:rPr>
                <w:rFonts w:hint="eastAsia" w:ascii="宋体" w:hAnsi="宋体" w:eastAsia="宋体" w:cs="宋体"/>
                <w:color w:val="auto"/>
                <w:highlight w:val="none"/>
                <w:lang w:eastAsia="zh-CN"/>
              </w:rPr>
              <w:t>必</w:t>
            </w:r>
            <w:r>
              <w:rPr>
                <w:rFonts w:hint="eastAsia" w:ascii="宋体" w:hAnsi="宋体" w:eastAsia="宋体" w:cs="宋体"/>
                <w:color w:val="auto"/>
                <w:highlight w:val="none"/>
              </w:rPr>
              <w:t>须在投标文件资格审查部分提供有效的拟派项目经理身份证、建造师注册证、安全生产考核合格证书（B类）、投标人为其交纳的养老保险证明材料，拟派项目经理到岗履职和未被禁止参与投标的承诺（承诺格式见第九章投标文件格式）</w:t>
            </w:r>
            <w:r>
              <w:rPr>
                <w:rFonts w:hint="eastAsia" w:ascii="宋体" w:hAnsi="宋体" w:eastAsia="宋体" w:cs="宋体"/>
                <w:color w:val="auto"/>
                <w:highlight w:val="none"/>
                <w:lang w:eastAsia="zh-CN"/>
              </w:rPr>
              <w:t>。</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提供拟派的项目经理为一级建造师或重庆市二级建造师注册人员的，必须提供建造师电子注册证书，且该建造师电子注册证书须由建造师本人在个人签名处手写本人签名。</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重庆市以外的省级住房城乡建设主管部门对二级建造师电子注册证书使用有明确规定的，从其规定。未规定使用电子注册证书的，可提供纸质证书扫描件。</w:t>
            </w:r>
          </w:p>
          <w:p>
            <w:pPr>
              <w:autoSpaceDE w:val="0"/>
              <w:autoSpaceDN w:val="0"/>
              <w:adjustRightInd w:val="0"/>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建造师电子注册证书本人手写签名与签名图像笔迹是否一致不作为否决投标的情形。</w:t>
            </w:r>
          </w:p>
          <w:p>
            <w:pPr>
              <w:spacing w:line="400" w:lineRule="exact"/>
              <w:ind w:firstLine="420" w:firstLineChars="200"/>
              <w:rPr>
                <w:rFonts w:hint="eastAsia" w:ascii="宋体" w:hAnsi="宋体" w:eastAsia="宋体" w:cs="宋体"/>
                <w:i/>
                <w:color w:val="auto"/>
                <w:szCs w:val="21"/>
                <w:highlight w:val="none"/>
              </w:rPr>
            </w:pPr>
            <w:r>
              <w:rPr>
                <w:rFonts w:hint="eastAsia" w:ascii="宋体" w:hAnsi="宋体" w:eastAsia="宋体" w:cs="宋体"/>
                <w:bCs/>
                <w:snapToGrid w:val="0"/>
                <w:color w:val="auto"/>
                <w:highlight w:val="none"/>
              </w:rPr>
              <w:t>5.2项目总工：1人。</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5.2.1投标人拟派的项目总工应具有</w:t>
            </w:r>
            <w:r>
              <w:rPr>
                <w:rFonts w:hint="eastAsia" w:ascii="宋体" w:hAnsi="宋体" w:eastAsia="宋体" w:cs="宋体"/>
                <w:color w:val="auto"/>
                <w:szCs w:val="21"/>
                <w:highlight w:val="none"/>
                <w:u w:val="single"/>
              </w:rPr>
              <w:t>公路工程</w:t>
            </w:r>
            <w:r>
              <w:rPr>
                <w:rFonts w:hint="eastAsia" w:ascii="宋体" w:hAnsi="宋体" w:eastAsia="宋体" w:cs="宋体"/>
                <w:color w:val="auto"/>
                <w:szCs w:val="21"/>
                <w:highlight w:val="none"/>
              </w:rPr>
              <w:t>专业</w:t>
            </w:r>
            <w:r>
              <w:rPr>
                <w:rFonts w:hint="eastAsia" w:ascii="宋体" w:hAnsi="宋体" w:eastAsia="宋体" w:cs="宋体"/>
                <w:color w:val="auto"/>
                <w:szCs w:val="21"/>
                <w:highlight w:val="none"/>
                <w:u w:val="single"/>
              </w:rPr>
              <w:t>中级及以上</w:t>
            </w:r>
            <w:r>
              <w:rPr>
                <w:rFonts w:hint="eastAsia" w:ascii="宋体" w:hAnsi="宋体" w:eastAsia="宋体" w:cs="宋体"/>
                <w:color w:val="auto"/>
                <w:szCs w:val="21"/>
                <w:highlight w:val="none"/>
              </w:rPr>
              <w:t>职称，并具有省级及以上交通行政主管部门颁发的安全生产考核合格证书（B类）。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5.2.2项目总工承诺要求：投标人须承诺拟派项目总工按相关规定到岗履职和未被禁止参与投标。</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5.2.2.1到岗履职承诺要求：承诺拟派项目总工中标后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造成损失的，投标人依法承担违约赔偿责任。拟派项目总工中标后不得随意更换。</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5.2.2.2未被禁止参与投标承诺要求：承诺拟派项目总工未被重庆市交通主管部门暂停在渝承揽新业务。若被暂停在渝承揽新业务但仍参加投标，将被否决投标；已取得中标候选人资格或中标资格的，</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有权取消其中标候选人资格或中标资格；给</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造成损失的，投标人依法承担违约赔偿责任。</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未提供上述承诺或承诺内容不符合要求的</w:t>
            </w:r>
            <w:r>
              <w:rPr>
                <w:rFonts w:hint="eastAsia" w:ascii="宋体" w:hAnsi="宋体" w:eastAsia="宋体" w:cs="宋体"/>
                <w:color w:val="auto"/>
                <w:szCs w:val="21"/>
                <w:highlight w:val="none"/>
                <w:lang w:val="en-US" w:eastAsia="zh-CN"/>
              </w:rPr>
              <w:t>或承诺书上未有项目总工签字的（项目总工签字在承诺书上任意位置均可）</w:t>
            </w:r>
            <w:r>
              <w:rPr>
                <w:rFonts w:hint="eastAsia" w:ascii="宋体" w:hAnsi="宋体" w:eastAsia="宋体" w:cs="宋体"/>
                <w:color w:val="auto"/>
                <w:szCs w:val="21"/>
                <w:highlight w:val="none"/>
              </w:rPr>
              <w:t>，由评标委员会作否决投标处理</w:t>
            </w:r>
            <w:r>
              <w:rPr>
                <w:rFonts w:hint="eastAsia" w:ascii="宋体" w:hAnsi="宋体" w:eastAsia="宋体" w:cs="宋体"/>
                <w:color w:val="auto"/>
                <w:sz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szCs w:val="21"/>
                <w:highlight w:val="none"/>
                <w:lang w:eastAsia="zh-CN"/>
              </w:rPr>
              <w:t>必须</w:t>
            </w:r>
            <w:r>
              <w:rPr>
                <w:rFonts w:hint="eastAsia" w:ascii="宋体" w:hAnsi="宋体" w:eastAsia="宋体" w:cs="宋体"/>
                <w:color w:val="auto"/>
                <w:szCs w:val="21"/>
                <w:highlight w:val="none"/>
              </w:rPr>
              <w:t>在投标文件资格审查部分提供有效的拟派项目总工身份证、职称证、安全生产考核合格证书（B类）</w:t>
            </w:r>
            <w:r>
              <w:rPr>
                <w:rFonts w:hint="eastAsia" w:ascii="宋体" w:hAnsi="宋体" w:eastAsia="宋体" w:cs="宋体"/>
                <w:color w:val="auto"/>
                <w:highlight w:val="none"/>
              </w:rPr>
              <w:t>、投标人为其交纳的养老保险证明材料，拟派项目总工到岗履职和未被禁止参与投标的承诺（承诺格式见第九章投标文件格式）。</w:t>
            </w:r>
          </w:p>
          <w:p>
            <w:pPr>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szCs w:val="21"/>
                <w:highlight w:val="none"/>
                <w:lang w:val="en-US" w:eastAsia="zh-CN"/>
              </w:rPr>
              <w:t>6</w:t>
            </w:r>
            <w:r>
              <w:rPr>
                <w:rFonts w:hint="eastAsia" w:ascii="宋体" w:hAnsi="宋体" w:eastAsia="宋体" w:cs="宋体"/>
                <w:b/>
                <w:color w:val="auto"/>
                <w:kern w:val="0"/>
                <w:szCs w:val="21"/>
                <w:highlight w:val="none"/>
                <w:lang w:bidi="ar"/>
              </w:rPr>
              <w:t>、主要机械设备和试验检测设备要求</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投标时投标人须在投标文件资格审查部分提供拟投入主要机械设备和试验检测设备承诺</w:t>
            </w:r>
            <w:r>
              <w:rPr>
                <w:rFonts w:hint="eastAsia" w:ascii="宋体" w:hAnsi="宋体" w:cs="宋体"/>
                <w:color w:val="auto"/>
                <w:szCs w:val="21"/>
                <w:highlight w:val="none"/>
                <w:lang w:eastAsia="zh-CN"/>
              </w:rPr>
              <w:t>并</w:t>
            </w:r>
            <w:r>
              <w:rPr>
                <w:rFonts w:hint="eastAsia" w:ascii="宋体" w:hAnsi="宋体" w:eastAsia="宋体" w:cs="宋体"/>
                <w:color w:val="auto"/>
                <w:szCs w:val="21"/>
                <w:highlight w:val="none"/>
              </w:rPr>
              <w:t>提供设备的具体证明材料，具体设备由</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和中标人在合同谈判阶段确定。</w:t>
            </w:r>
          </w:p>
          <w:p>
            <w:pPr>
              <w:autoSpaceDE w:val="0"/>
              <w:autoSpaceDN w:val="0"/>
              <w:adjustRightInd w:val="0"/>
              <w:snapToGrid w:val="0"/>
              <w:spacing w:line="400" w:lineRule="exact"/>
              <w:ind w:firstLine="422" w:firstLineChars="200"/>
              <w:rPr>
                <w:rFonts w:hint="eastAsia" w:ascii="宋体" w:hAnsi="宋体" w:eastAsia="宋体" w:cs="宋体"/>
                <w:b/>
                <w:color w:val="auto"/>
                <w:kern w:val="0"/>
                <w:szCs w:val="21"/>
                <w:highlight w:val="none"/>
                <w:lang w:bidi="ar"/>
              </w:rPr>
            </w:pPr>
            <w:r>
              <w:rPr>
                <w:rFonts w:hint="eastAsia" w:ascii="宋体" w:hAnsi="宋体" w:eastAsia="宋体" w:cs="宋体"/>
                <w:b/>
                <w:color w:val="auto"/>
                <w:kern w:val="0"/>
                <w:szCs w:val="21"/>
                <w:highlight w:val="none"/>
                <w:lang w:val="en-US" w:eastAsia="zh-CN" w:bidi="ar"/>
              </w:rPr>
              <w:t>7</w:t>
            </w:r>
            <w:r>
              <w:rPr>
                <w:rFonts w:hint="eastAsia" w:ascii="宋体" w:hAnsi="宋体" w:eastAsia="宋体" w:cs="宋体"/>
                <w:b/>
                <w:color w:val="auto"/>
                <w:kern w:val="0"/>
                <w:szCs w:val="21"/>
                <w:highlight w:val="none"/>
                <w:lang w:bidi="ar"/>
              </w:rPr>
              <w:t>、委托代理人：</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委托代理人必须为投标人本单位人员。</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投标人须在投标文件资格审查部分提供投标人为该委托代理人缴纳的养老保险证明。否则，将由评标委员会作否决投标处理。</w:t>
            </w:r>
          </w:p>
          <w:p>
            <w:pPr>
              <w:autoSpaceDE w:val="0"/>
              <w:autoSpaceDN w:val="0"/>
              <w:adjustRightInd w:val="0"/>
              <w:snapToGrid w:val="0"/>
              <w:spacing w:line="400" w:lineRule="exact"/>
              <w:ind w:firstLine="417" w:firstLineChars="198"/>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特别说明：</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上述要求</w:t>
            </w:r>
            <w:r>
              <w:rPr>
                <w:rFonts w:hint="eastAsia" w:ascii="宋体" w:hAnsi="宋体" w:eastAsia="宋体" w:cs="宋体"/>
                <w:color w:val="auto"/>
                <w:szCs w:val="21"/>
                <w:highlight w:val="none"/>
              </w:rPr>
              <w:t>须提交的相关证明材料均为扫描件</w:t>
            </w:r>
            <w:r>
              <w:rPr>
                <w:rFonts w:hint="eastAsia" w:ascii="宋体" w:hAnsi="宋体" w:eastAsia="宋体" w:cs="宋体"/>
                <w:color w:val="auto"/>
                <w:szCs w:val="21"/>
                <w:highlight w:val="none"/>
                <w:lang w:eastAsia="zh-CN"/>
              </w:rPr>
              <w:t>（原件或复印件的扫描件均可），</w:t>
            </w:r>
            <w:r>
              <w:rPr>
                <w:rFonts w:hint="eastAsia" w:ascii="宋体" w:hAnsi="宋体" w:eastAsia="宋体" w:cs="宋体"/>
                <w:color w:val="auto"/>
                <w:szCs w:val="21"/>
                <w:highlight w:val="none"/>
              </w:rPr>
              <w:t>扫描件须清晰可辨，</w:t>
            </w:r>
            <w:r>
              <w:rPr>
                <w:rFonts w:hint="eastAsia" w:ascii="宋体" w:hAnsi="宋体" w:eastAsia="宋体" w:cs="宋体"/>
                <w:color w:val="auto"/>
                <w:kern w:val="0"/>
                <w:szCs w:val="21"/>
                <w:highlight w:val="none"/>
              </w:rPr>
              <w:t>有一条不满足</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则投标文件由评标委员会</w:t>
            </w:r>
            <w:r>
              <w:rPr>
                <w:rFonts w:hint="eastAsia" w:ascii="宋体" w:hAnsi="宋体" w:eastAsia="宋体" w:cs="宋体"/>
                <w:color w:val="auto"/>
                <w:szCs w:val="21"/>
                <w:highlight w:val="none"/>
              </w:rPr>
              <w:t>作否决投标处理</w:t>
            </w:r>
            <w:r>
              <w:rPr>
                <w:rFonts w:hint="eastAsia" w:ascii="宋体" w:hAnsi="宋体" w:eastAsia="宋体" w:cs="宋体"/>
                <w:color w:val="auto"/>
                <w:kern w:val="0"/>
                <w:szCs w:val="21"/>
                <w:highlight w:val="none"/>
              </w:rPr>
              <w:t>。</w:t>
            </w:r>
          </w:p>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（2）投标人须自行承诺其提供的上述相关证明材料真实有效，不存在弄虚作假情形（格式见第九章投标文件格式）。</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在合同签订前均有权对投标人提供的资料进行核实，若发现弄虚作假，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取消其中标资格，并按相关法律法规报招标投标监督部门，其投标保证金不予退还，投标人承担因此造成的相关责任并赔偿相应损失</w:t>
            </w:r>
            <w:r>
              <w:rPr>
                <w:rFonts w:hint="eastAsia" w:ascii="宋体" w:hAnsi="宋体" w:eastAsia="宋体" w:cs="宋体"/>
                <w:color w:val="auto"/>
                <w:szCs w:val="21"/>
                <w:highlight w:val="none"/>
              </w:rPr>
              <w:t>。</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（3）本招标文件中所要求的人员养老保险证明要求如下：</w:t>
            </w:r>
          </w:p>
          <w:p>
            <w:pPr>
              <w:spacing w:line="400" w:lineRule="exact"/>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①</w:t>
            </w:r>
            <w:r>
              <w:rPr>
                <w:rFonts w:hint="eastAsia" w:ascii="宋体" w:hAnsi="宋体" w:eastAsia="宋体" w:cs="宋体"/>
                <w:bCs/>
                <w:color w:val="auto"/>
                <w:kern w:val="0"/>
                <w:szCs w:val="21"/>
                <w:highlight w:val="none"/>
                <w:lang w:val="en-US" w:eastAsia="zh-CN"/>
              </w:rPr>
              <w:t>企业</w:t>
            </w:r>
            <w:r>
              <w:rPr>
                <w:rFonts w:hint="eastAsia" w:ascii="宋体" w:hAnsi="宋体" w:eastAsia="宋体" w:cs="宋体"/>
                <w:bCs/>
                <w:color w:val="auto"/>
                <w:kern w:val="0"/>
                <w:szCs w:val="21"/>
                <w:highlight w:val="none"/>
              </w:rPr>
              <w:t>提供养老保险证明，事业单位提供养老保险证明或行政主管部门在编证明。</w:t>
            </w:r>
          </w:p>
          <w:p>
            <w:pPr>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bCs/>
                <w:color w:val="auto"/>
                <w:kern w:val="0"/>
                <w:szCs w:val="21"/>
                <w:highlight w:val="none"/>
              </w:rPr>
              <w:t>②</w:t>
            </w:r>
            <w:r>
              <w:rPr>
                <w:rFonts w:hint="eastAsia" w:ascii="宋体" w:hAnsi="宋体" w:eastAsia="宋体" w:cs="宋体"/>
                <w:bCs/>
                <w:snapToGrid w:val="0"/>
                <w:color w:val="auto"/>
                <w:kern w:val="0"/>
                <w:szCs w:val="21"/>
                <w:highlight w:val="none"/>
              </w:rPr>
              <w:t>项目经理、项目总工和委托代理人的</w:t>
            </w:r>
            <w:r>
              <w:rPr>
                <w:rFonts w:hint="eastAsia" w:ascii="宋体" w:hAnsi="宋体" w:eastAsia="宋体" w:cs="宋体"/>
                <w:bCs/>
                <w:snapToGrid w:val="0"/>
                <w:color w:val="auto"/>
                <w:kern w:val="0"/>
                <w:szCs w:val="21"/>
                <w:highlight w:val="none"/>
                <w:lang w:val="en-US" w:eastAsia="zh-CN"/>
              </w:rPr>
              <w:t>连续</w:t>
            </w:r>
            <w:r>
              <w:rPr>
                <w:rFonts w:hint="eastAsia" w:ascii="宋体" w:hAnsi="宋体" w:eastAsia="宋体" w:cs="宋体"/>
                <w:bCs/>
                <w:snapToGrid w:val="0"/>
                <w:color w:val="auto"/>
                <w:kern w:val="0"/>
                <w:szCs w:val="21"/>
                <w:highlight w:val="none"/>
              </w:rPr>
              <w:t>养老保险证明期限</w:t>
            </w:r>
            <w:r>
              <w:rPr>
                <w:rFonts w:hint="eastAsia" w:ascii="宋体" w:hAnsi="宋体" w:eastAsia="宋体" w:cs="宋体"/>
                <w:bCs/>
                <w:snapToGrid w:val="0"/>
                <w:color w:val="auto"/>
                <w:kern w:val="0"/>
                <w:szCs w:val="21"/>
                <w:highlight w:val="none"/>
                <w:lang w:val="en-US" w:eastAsia="zh-CN"/>
              </w:rPr>
              <w:t>须包含</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4</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月至</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u w:val="single"/>
                <w:lang w:val="en-US" w:eastAsia="zh-CN"/>
              </w:rPr>
              <w:t>2025</w:t>
            </w:r>
            <w:r>
              <w:rPr>
                <w:rFonts w:hint="eastAsia" w:ascii="宋体" w:hAnsi="宋体" w:eastAsia="宋体" w:cs="宋体"/>
                <w:bCs/>
                <w:snapToGrid w:val="0"/>
                <w:color w:val="auto"/>
                <w:kern w:val="0"/>
                <w:szCs w:val="21"/>
                <w:highlight w:val="none"/>
                <w:u w:val="single"/>
              </w:rPr>
              <w:t xml:space="preserve"> </w:t>
            </w:r>
            <w:r>
              <w:rPr>
                <w:rFonts w:hint="eastAsia" w:ascii="宋体" w:hAnsi="宋体" w:eastAsia="宋体" w:cs="宋体"/>
                <w:bCs/>
                <w:snapToGrid w:val="0"/>
                <w:color w:val="auto"/>
                <w:kern w:val="0"/>
                <w:szCs w:val="21"/>
                <w:highlight w:val="none"/>
              </w:rPr>
              <w:t>年</w:t>
            </w:r>
            <w:r>
              <w:rPr>
                <w:rFonts w:hint="eastAsia" w:ascii="宋体" w:hAnsi="宋体" w:eastAsia="宋体" w:cs="宋体"/>
                <w:bCs/>
                <w:snapToGrid w:val="0"/>
                <w:color w:val="auto"/>
                <w:kern w:val="0"/>
                <w:szCs w:val="21"/>
                <w:highlight w:val="none"/>
                <w:u w:val="single"/>
              </w:rPr>
              <w:t xml:space="preserve"> </w:t>
            </w:r>
            <w:r>
              <w:rPr>
                <w:rFonts w:hint="eastAsia" w:ascii="宋体" w:hAnsi="宋体" w:cs="宋体"/>
                <w:bCs/>
                <w:snapToGrid w:val="0"/>
                <w:color w:val="auto"/>
                <w:kern w:val="0"/>
                <w:szCs w:val="21"/>
                <w:highlight w:val="none"/>
                <w:u w:val="single"/>
                <w:lang w:val="en-US" w:eastAsia="zh-CN"/>
              </w:rPr>
              <w:t>9</w:t>
            </w:r>
            <w:r>
              <w:rPr>
                <w:rFonts w:hint="eastAsia" w:ascii="宋体" w:hAnsi="宋体" w:eastAsia="宋体" w:cs="宋体"/>
                <w:bCs/>
                <w:snapToGrid w:val="0"/>
                <w:color w:val="auto"/>
                <w:kern w:val="0"/>
                <w:szCs w:val="21"/>
                <w:highlight w:val="none"/>
                <w:u w:val="single"/>
                <w:lang w:val="en-US" w:eastAsia="zh-CN"/>
              </w:rPr>
              <w:t xml:space="preserve"> </w:t>
            </w:r>
            <w:r>
              <w:rPr>
                <w:rFonts w:hint="eastAsia" w:ascii="宋体" w:hAnsi="宋体" w:eastAsia="宋体" w:cs="宋体"/>
                <w:bCs/>
                <w:snapToGrid w:val="0"/>
                <w:color w:val="auto"/>
                <w:kern w:val="0"/>
                <w:szCs w:val="21"/>
                <w:highlight w:val="none"/>
              </w:rPr>
              <w:t>月</w:t>
            </w:r>
            <w:r>
              <w:rPr>
                <w:rFonts w:hint="eastAsia" w:ascii="宋体" w:hAnsi="宋体" w:eastAsia="宋体" w:cs="宋体"/>
                <w:bCs/>
                <w:color w:val="auto"/>
                <w:szCs w:val="21"/>
                <w:highlight w:val="none"/>
              </w:rPr>
              <w:t>。提供的养老保险参保证明须体现上述人员的姓名、身份证号（或社保号）、单位名称、本单位参保时间（或起始参保时间），并带有社保部门公章或社保部门的有效电子印章。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是否接受联合体投标</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分包</w:t>
            </w:r>
          </w:p>
        </w:tc>
        <w:tc>
          <w:tcPr>
            <w:tcW w:w="6519" w:type="dxa"/>
            <w:vAlign w:val="center"/>
          </w:tcPr>
          <w:p>
            <w:pPr>
              <w:snapToGrid w:val="0"/>
              <w:spacing w:line="400" w:lineRule="exact"/>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构成</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的其他材料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发出的澄清及修改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提出疑问的截止时间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投标人应仔细阅读比选文件及附件的所有内容，如有文字表述不清，图纸尺寸标注不明以及存在错、漏、缺、概念模糊和有可能出现歧义或理解上的偏差的内容等应在202</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：00时前以书面形式向比选人提出质疑。</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未在规定时间内提出质疑，则视为</w:t>
            </w:r>
            <w:r>
              <w:rPr>
                <w:rFonts w:hint="eastAsia" w:ascii="宋体" w:hAnsi="宋体" w:eastAsia="宋体" w:cs="宋体"/>
                <w:color w:val="auto"/>
                <w:kern w:val="0"/>
                <w:szCs w:val="21"/>
                <w:highlight w:val="none"/>
                <w:lang w:val="en-US" w:eastAsia="zh-CN"/>
              </w:rPr>
              <w:t>投标人</w:t>
            </w:r>
            <w:r>
              <w:rPr>
                <w:rFonts w:hint="eastAsia" w:ascii="宋体" w:hAnsi="宋体" w:eastAsia="宋体" w:cs="宋体"/>
                <w:color w:val="auto"/>
                <w:kern w:val="0"/>
                <w:szCs w:val="21"/>
                <w:highlight w:val="none"/>
              </w:rPr>
              <w:t>已全面确认比选文件内容。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澄清的截止时间</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u w:val="singl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应在</w:t>
            </w:r>
            <w:r>
              <w:rPr>
                <w:rFonts w:hint="eastAsia" w:ascii="宋体" w:hAnsi="宋体" w:eastAsia="宋体" w:cs="宋体"/>
                <w:color w:val="auto"/>
                <w:kern w:val="0"/>
                <w:szCs w:val="21"/>
                <w:highlight w:val="none"/>
              </w:rPr>
              <w:t>20</w:t>
            </w:r>
            <w:r>
              <w:rPr>
                <w:rFonts w:hint="eastAsia" w:ascii="宋体" w:hAnsi="宋体" w:eastAsia="宋体" w:cs="宋体"/>
                <w:color w:val="auto"/>
                <w:kern w:val="0"/>
                <w:szCs w:val="21"/>
                <w:highlight w:val="none"/>
                <w:lang w:val="en-US" w:eastAsia="zh-CN"/>
              </w:rPr>
              <w:t>25</w:t>
            </w:r>
            <w:r>
              <w:rPr>
                <w:rFonts w:hint="eastAsia" w:ascii="宋体" w:hAnsi="宋体" w:eastAsia="宋体" w:cs="宋体"/>
                <w:color w:val="auto"/>
                <w:kern w:val="0"/>
                <w:szCs w:val="21"/>
                <w:highlight w:val="none"/>
              </w:rPr>
              <w:t>年</w:t>
            </w:r>
            <w:r>
              <w:rPr>
                <w:rFonts w:hint="eastAsia" w:ascii="宋体" w:hAnsi="宋体" w:cs="宋体"/>
                <w:color w:val="auto"/>
                <w:kern w:val="0"/>
                <w:szCs w:val="21"/>
                <w:highlight w:val="none"/>
                <w:lang w:val="en-US" w:eastAsia="zh-CN"/>
              </w:rPr>
              <w:t>10</w:t>
            </w:r>
            <w:r>
              <w:rPr>
                <w:rFonts w:hint="eastAsia" w:ascii="宋体" w:hAnsi="宋体" w:eastAsia="宋体" w:cs="宋体"/>
                <w:color w:val="auto"/>
                <w:kern w:val="0"/>
                <w:szCs w:val="21"/>
                <w:highlight w:val="none"/>
              </w:rPr>
              <w:t>月</w:t>
            </w:r>
            <w:r>
              <w:rPr>
                <w:rFonts w:hint="eastAsia" w:ascii="宋体" w:hAnsi="宋体" w:cs="宋体"/>
                <w:color w:val="auto"/>
                <w:kern w:val="0"/>
                <w:szCs w:val="21"/>
                <w:highlight w:val="none"/>
                <w:lang w:val="en-US" w:eastAsia="zh-CN"/>
              </w:rPr>
              <w:t>17</w:t>
            </w:r>
            <w:r>
              <w:rPr>
                <w:rFonts w:hint="eastAsia" w:ascii="宋体" w:hAnsi="宋体" w:eastAsia="宋体" w:cs="宋体"/>
                <w:color w:val="auto"/>
                <w:kern w:val="0"/>
                <w:szCs w:val="21"/>
                <w:highlight w:val="none"/>
              </w:rPr>
              <w:t>日17：00时前</w:t>
            </w:r>
            <w:r>
              <w:rPr>
                <w:rFonts w:hint="eastAsia" w:ascii="宋体" w:hAnsi="宋体" w:eastAsia="宋体" w:cs="宋体"/>
                <w:color w:val="auto"/>
                <w:szCs w:val="21"/>
                <w:highlight w:val="none"/>
              </w:rPr>
              <w:t>，</w:t>
            </w:r>
            <w:r>
              <w:rPr>
                <w:rFonts w:hint="eastAsia" w:ascii="宋体" w:hAnsi="宋体" w:eastAsia="宋体" w:cs="宋体"/>
                <w:color w:val="auto"/>
                <w:kern w:val="0"/>
                <w:szCs w:val="21"/>
                <w:highlight w:val="none"/>
              </w:rPr>
              <w:t>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发布澄清。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color w:val="auto"/>
                <w:kern w:val="0"/>
                <w:szCs w:val="21"/>
                <w:highlight w:val="none"/>
              </w:rPr>
            </w:pP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投标截止时间</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none"/>
              </w:rPr>
              <w:t>详见</w:t>
            </w:r>
            <w:r>
              <w:rPr>
                <w:rFonts w:hint="eastAsia" w:ascii="宋体" w:hAnsi="宋体" w:eastAsia="宋体" w:cs="宋体"/>
                <w:color w:val="auto"/>
                <w:szCs w:val="21"/>
                <w:highlight w:val="none"/>
                <w:u w:val="none"/>
                <w:lang w:eastAsia="zh-CN"/>
              </w:rPr>
              <w:t>比选公告</w:t>
            </w:r>
            <w:r>
              <w:rPr>
                <w:rFonts w:hint="eastAsia" w:ascii="宋体" w:hAnsi="宋体" w:eastAsia="宋体" w:cs="宋体"/>
                <w:color w:val="auto"/>
                <w:szCs w:val="21"/>
                <w:highlight w:val="none"/>
                <w:u w:val="none"/>
              </w:rPr>
              <w:t>规定的投标截止时间。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2.2.3</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进行修改的时间</w:t>
            </w:r>
          </w:p>
        </w:tc>
        <w:tc>
          <w:tcPr>
            <w:tcW w:w="6519" w:type="dxa"/>
            <w:vAlign w:val="center"/>
          </w:tcPr>
          <w:p>
            <w:pPr>
              <w:widowControl/>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修改</w:t>
            </w:r>
            <w:r>
              <w:rPr>
                <w:rFonts w:hint="eastAsia" w:ascii="宋体" w:hAnsi="宋体" w:eastAsia="宋体" w:cs="宋体"/>
                <w:snapToGrid w:val="0"/>
                <w:color w:val="auto"/>
                <w:kern w:val="0"/>
                <w:szCs w:val="21"/>
                <w:highlight w:val="none"/>
              </w:rPr>
              <w:t>内容可能影响投标文件编制的，须在投标截止时间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日前发布，发布时间至投标截止时间不足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2.2.4</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投标人对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及澄清修改提出异议的截止时间</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snapToGrid w:val="0"/>
                <w:color w:val="auto"/>
                <w:kern w:val="0"/>
                <w:szCs w:val="21"/>
                <w:highlight w:val="none"/>
              </w:rPr>
              <w:t>投标人对</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和澄清修改有异议的，应当在投标截止时间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w:t>
            </w:r>
            <w:r>
              <w:rPr>
                <w:rFonts w:hint="eastAsia" w:ascii="宋体" w:hAnsi="宋体" w:eastAsia="宋体" w:cs="宋体"/>
                <w:snapToGrid w:val="0"/>
                <w:color w:val="auto"/>
                <w:kern w:val="0"/>
                <w:szCs w:val="21"/>
                <w:highlight w:val="none"/>
                <w:lang w:val="en-US" w:eastAsia="zh-CN"/>
              </w:rPr>
              <w:t>向比选人书面提出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应当自收到异议之日起3日内做出答复，答复内容可能影响投标文件编制的，将以修改的形式于投标截止时间</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日前在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kern w:val="0"/>
                <w:szCs w:val="21"/>
                <w:highlight w:val="none"/>
              </w:rPr>
              <w:t>发布</w:t>
            </w:r>
            <w:r>
              <w:rPr>
                <w:rFonts w:hint="eastAsia" w:ascii="宋体" w:hAnsi="宋体" w:eastAsia="宋体" w:cs="宋体"/>
                <w:snapToGrid w:val="0"/>
                <w:color w:val="auto"/>
                <w:kern w:val="0"/>
                <w:szCs w:val="21"/>
                <w:highlight w:val="none"/>
              </w:rPr>
              <w:t>。发布时间至投标截止时间不足</w:t>
            </w: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日的，须相应延后投标截止时间。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3.1.1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spacing w:val="-1"/>
                <w:szCs w:val="21"/>
                <w:highlight w:val="none"/>
              </w:rPr>
              <w:t>构成投标文件的其他资料</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投标人的书面澄清、说明和补正（但不得改变投标文件的实质性内容）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restart"/>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3.2.1</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增值税税金的计算方法</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一般计税法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Merge w:val="continue"/>
            <w:vAlign w:val="center"/>
          </w:tcPr>
          <w:p>
            <w:pPr>
              <w:snapToGrid w:val="0"/>
              <w:spacing w:line="400" w:lineRule="exact"/>
              <w:jc w:val="center"/>
              <w:rPr>
                <w:rFonts w:hint="eastAsia" w:ascii="宋体" w:hAnsi="宋体" w:eastAsia="宋体" w:cs="宋体"/>
                <w:snapToGrid w:val="0"/>
                <w:color w:val="auto"/>
                <w:kern w:val="0"/>
                <w:szCs w:val="21"/>
                <w:highlight w:val="none"/>
              </w:rPr>
            </w:pP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工程量清单的填写方式</w:t>
            </w:r>
          </w:p>
        </w:tc>
        <w:tc>
          <w:tcPr>
            <w:tcW w:w="6519" w:type="dxa"/>
            <w:vAlign w:val="center"/>
          </w:tcPr>
          <w:p>
            <w:pPr>
              <w:pStyle w:val="43"/>
              <w:spacing w:line="400" w:lineRule="exact"/>
              <w:ind w:left="113" w:right="86" w:firstLine="420" w:firstLineChars="200"/>
              <w:jc w:val="lef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3.2.</w:t>
            </w:r>
            <w:r>
              <w:rPr>
                <w:rFonts w:hint="eastAsia" w:ascii="宋体" w:hAnsi="宋体" w:eastAsia="宋体" w:cs="宋体"/>
                <w:color w:val="auto"/>
                <w:highlight w:val="none"/>
                <w:lang w:val="en-US" w:eastAsia="zh-CN"/>
              </w:rPr>
              <w:t>2</w:t>
            </w:r>
          </w:p>
        </w:tc>
        <w:tc>
          <w:tcPr>
            <w:tcW w:w="1615" w:type="dxa"/>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安全生产费</w:t>
            </w:r>
          </w:p>
        </w:tc>
        <w:tc>
          <w:tcPr>
            <w:tcW w:w="6519" w:type="dxa"/>
            <w:vAlign w:val="top"/>
          </w:tcPr>
          <w:p>
            <w:pPr>
              <w:spacing w:line="400" w:lineRule="exact"/>
              <w:jc w:val="left"/>
              <w:rPr>
                <w:rFonts w:hint="eastAsia" w:ascii="宋体" w:hAnsi="宋体" w:eastAsia="宋体" w:cs="宋体"/>
                <w:color w:val="auto"/>
                <w:kern w:val="2"/>
                <w:sz w:val="21"/>
                <w:szCs w:val="21"/>
                <w:highlight w:val="none"/>
                <w:lang w:val="en-US" w:bidi="ar-SA"/>
              </w:rPr>
            </w:pPr>
            <w:r>
              <w:rPr>
                <w:rFonts w:hint="eastAsia" w:ascii="宋体" w:hAnsi="宋体" w:eastAsia="宋体" w:cs="宋体"/>
                <w:color w:val="auto"/>
                <w:highlight w:val="none"/>
                <w:lang w:val="en-US" w:eastAsia="zh-CN"/>
              </w:rPr>
              <w:t>承诺安全生产费专款专用，</w:t>
            </w:r>
            <w:r>
              <w:rPr>
                <w:rFonts w:hint="eastAsia" w:ascii="宋体" w:hAnsi="宋体" w:eastAsia="宋体" w:cs="宋体"/>
                <w:color w:val="auto"/>
                <w:highlight w:val="none"/>
              </w:rPr>
              <w:t>否则，其投标文件由评标委员会作否决投标处理。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3</w:t>
            </w:r>
          </w:p>
        </w:tc>
        <w:tc>
          <w:tcPr>
            <w:tcW w:w="1615" w:type="dxa"/>
            <w:vAlign w:val="center"/>
          </w:tcPr>
          <w:p>
            <w:pPr>
              <w:widowControl/>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是否接受调价函</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4</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eastAsia="zh-CN" w:bidi="ar"/>
              </w:rPr>
              <w:t>单价</w:t>
            </w:r>
            <w:r>
              <w:rPr>
                <w:rFonts w:hint="eastAsia" w:ascii="宋体" w:hAnsi="宋体" w:eastAsia="宋体" w:cs="宋体"/>
                <w:color w:val="auto"/>
                <w:kern w:val="0"/>
                <w:szCs w:val="21"/>
                <w:highlight w:val="none"/>
                <w:lang w:bidi="ar"/>
              </w:rPr>
              <w:t>最高投标限价</w:t>
            </w:r>
          </w:p>
        </w:tc>
        <w:tc>
          <w:tcPr>
            <w:tcW w:w="6519"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30" w:lineRule="atLeast"/>
              <w:ind w:left="0" w:right="0" w:firstLine="480"/>
              <w:jc w:val="both"/>
              <w:rPr>
                <w:rFonts w:hint="eastAsia" w:ascii="宋体" w:hAnsi="宋体" w:eastAsia="宋体" w:cs="宋体"/>
                <w:color w:val="auto"/>
                <w:kern w:val="0"/>
                <w:szCs w:val="21"/>
                <w:highlight w:val="none"/>
                <w:u w:val="single"/>
                <w:lang w:val="en-US" w:bidi="ar"/>
              </w:rPr>
            </w:pPr>
            <w:r>
              <w:rPr>
                <w:rFonts w:hint="eastAsia" w:ascii="宋体" w:hAnsi="宋体" w:eastAsia="宋体" w:cs="宋体"/>
                <w:color w:val="auto"/>
                <w:kern w:val="2"/>
                <w:sz w:val="21"/>
                <w:szCs w:val="21"/>
                <w:highlight w:val="none"/>
                <w:lang w:val="en-US" w:eastAsia="zh-CN" w:bidi="ar-SA"/>
              </w:rPr>
              <w:t>混凝土430元/立方；护栏12万元/公里。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5</w:t>
            </w:r>
          </w:p>
        </w:tc>
        <w:tc>
          <w:tcPr>
            <w:tcW w:w="1615" w:type="dxa"/>
            <w:vAlign w:val="center"/>
          </w:tcPr>
          <w:p>
            <w:pPr>
              <w:widowControl/>
              <w:spacing w:line="400" w:lineRule="exact"/>
              <w:jc w:val="center"/>
              <w:rPr>
                <w:rFonts w:hint="eastAsia" w:ascii="宋体" w:hAnsi="宋体" w:eastAsia="宋体" w:cs="宋体"/>
                <w:b/>
                <w:color w:val="auto"/>
                <w:kern w:val="0"/>
                <w:szCs w:val="21"/>
                <w:highlight w:val="none"/>
              </w:rPr>
            </w:pPr>
            <w:r>
              <w:rPr>
                <w:rFonts w:hint="eastAsia" w:ascii="宋体" w:hAnsi="宋体" w:eastAsia="宋体" w:cs="宋体"/>
                <w:color w:val="auto"/>
                <w:kern w:val="0"/>
                <w:szCs w:val="21"/>
                <w:highlight w:val="none"/>
                <w:lang w:bidi="ar"/>
              </w:rPr>
              <w:t>投标报价的其他要求</w:t>
            </w:r>
          </w:p>
        </w:tc>
        <w:tc>
          <w:tcPr>
            <w:tcW w:w="6519" w:type="dxa"/>
            <w:vAlign w:val="center"/>
          </w:tcPr>
          <w:p>
            <w:pPr>
              <w:pStyle w:val="2"/>
              <w:spacing w:after="0" w:line="400" w:lineRule="exact"/>
              <w:ind w:firstLine="420" w:firstLineChars="200"/>
              <w:rPr>
                <w:rFonts w:hint="eastAsia" w:ascii="宋体" w:hAnsi="宋体" w:eastAsia="宋体" w:cs="宋体"/>
                <w:color w:val="auto"/>
                <w:kern w:val="2"/>
                <w:sz w:val="21"/>
                <w:szCs w:val="21"/>
                <w:highlight w:val="none"/>
                <w:lang w:val="en-US" w:eastAsia="zh-CN" w:bidi="ar-SA"/>
              </w:rPr>
            </w:pPr>
            <w:bookmarkStart w:id="111" w:name="OLE_LINK22"/>
            <w:r>
              <w:rPr>
                <w:rFonts w:hint="eastAsia" w:ascii="宋体" w:hAnsi="宋体" w:eastAsia="宋体" w:cs="宋体"/>
                <w:color w:val="auto"/>
                <w:kern w:val="2"/>
                <w:sz w:val="21"/>
                <w:szCs w:val="21"/>
                <w:highlight w:val="none"/>
                <w:lang w:val="en-US" w:eastAsia="zh-CN" w:bidi="ar-SA"/>
              </w:rPr>
              <w:t>具体要求为：</w:t>
            </w:r>
          </w:p>
          <w:p>
            <w:pPr>
              <w:pStyle w:val="2"/>
              <w:numPr>
                <w:ilvl w:val="0"/>
                <w:numId w:val="1"/>
              </w:numPr>
              <w:spacing w:after="0" w:line="400" w:lineRule="exact"/>
              <w:ind w:left="425" w:leftChars="0" w:hanging="425" w:firstLineChars="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单价投标报价不得高于最高限价，否则按废标处理。</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本工程采用“固定单价合同承包”方式，由投标人根据招标文件给定的条款进行报价，合同价按投标人中标单价，除设计变更和不可抗力外的因素外，合同单价不予调整。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本工程属全额</w:t>
            </w:r>
            <w:bookmarkStart w:id="112" w:name="OLE_LINK2"/>
            <w:r>
              <w:rPr>
                <w:rFonts w:hint="eastAsia" w:ascii="宋体" w:hAnsi="宋体" w:eastAsia="宋体" w:cs="宋体"/>
                <w:color w:val="auto"/>
                <w:kern w:val="2"/>
                <w:sz w:val="21"/>
                <w:szCs w:val="21"/>
                <w:highlight w:val="none"/>
                <w:lang w:val="en-US" w:eastAsia="zh-CN" w:bidi="ar-SA"/>
              </w:rPr>
              <w:t>垫资</w:t>
            </w:r>
            <w:bookmarkEnd w:id="112"/>
            <w:r>
              <w:rPr>
                <w:rFonts w:hint="eastAsia" w:ascii="宋体" w:hAnsi="宋体" w:eastAsia="宋体" w:cs="宋体"/>
                <w:color w:val="auto"/>
                <w:kern w:val="2"/>
                <w:sz w:val="21"/>
                <w:szCs w:val="21"/>
                <w:highlight w:val="none"/>
                <w:lang w:val="en-US" w:eastAsia="zh-CN" w:bidi="ar-SA"/>
              </w:rPr>
              <w:t>工程，工程单价均已包括了为实施和完成合同工程所需的劳务、材料、机械、质检(自检)、安装、缺陷修复、管理、保险(含工程一切险及第三方责任险等)、税费、利润、资金利息、税金等费用，以及合同明示或暗示的所有责任、义务和风险且不因物价波动而变更。</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招标范围所包括的所有内容及全部费用应认为已被计入标价中，未列细目的其他工作，其费用也应视为已分摊在本招标工程的有关细目的单价或总额价之中，中标后业主不另行支付。</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承包人对用于本招标工程的各类装备的提供、运输、维护、拆卸、拼装等支付的费用，已包括在工程单价与总额价之中。</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工程所需的施工便道，电力线路、变压器，施工及生活用水，场地平整，场内施工便道的养护等均由承包商承担，并计入投标报价中，不另计价。投标时必须做好现场考察和详细调查。</w:t>
            </w:r>
          </w:p>
          <w:p>
            <w:pPr>
              <w:numPr>
                <w:ilvl w:val="0"/>
                <w:numId w:val="1"/>
              </w:numPr>
              <w:snapToGrid w:val="0"/>
              <w:spacing w:line="400" w:lineRule="atLeast"/>
              <w:ind w:left="425" w:leftChars="0" w:hanging="425" w:firstLineChars="0"/>
              <w:jc w:val="both"/>
              <w:textAlignment w:val="baseline"/>
              <w:rPr>
                <w:rFonts w:hint="eastAsia" w:ascii="宋体" w:hAnsi="宋体" w:eastAsia="宋体" w:cs="宋体"/>
                <w:color w:val="auto"/>
                <w:highlight w:val="none"/>
                <w:lang w:eastAsia="zh-CN"/>
              </w:rPr>
            </w:pPr>
            <w:r>
              <w:rPr>
                <w:rFonts w:hint="eastAsia" w:ascii="宋体" w:hAnsi="宋体" w:eastAsia="宋体" w:cs="宋体"/>
                <w:color w:val="auto"/>
                <w:kern w:val="2"/>
                <w:sz w:val="21"/>
                <w:szCs w:val="21"/>
                <w:highlight w:val="none"/>
                <w:lang w:val="en-US" w:eastAsia="zh-CN" w:bidi="ar-SA"/>
              </w:rPr>
              <w:t>“安全生产” 在施工期应严格按照渝交委路[2007]88号文及国家安全生产相关法律法规等规定执行，其费用按工程单价的1%计入投标总报价,发包人不另行支付。</w:t>
            </w:r>
            <w:bookmarkEnd w:id="1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3.3.1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投标有效期</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90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日历天（从提交投标文件截止日起计算）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3.4.1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投标保证金</w:t>
            </w:r>
          </w:p>
        </w:tc>
        <w:tc>
          <w:tcPr>
            <w:tcW w:w="6519" w:type="dxa"/>
            <w:vAlign w:val="center"/>
          </w:tcPr>
          <w:p>
            <w:pPr>
              <w:snapToGrid w:val="0"/>
              <w:spacing w:line="400" w:lineRule="exact"/>
              <w:ind w:firstLine="420" w:firstLineChars="200"/>
              <w:rPr>
                <w:rFonts w:hint="eastAsia" w:ascii="宋体" w:hAnsi="宋体" w:eastAsia="宋体" w:cs="宋体"/>
                <w:b w:val="0"/>
                <w:bCs w:val="0"/>
                <w:color w:val="auto"/>
                <w:kern w:val="0"/>
                <w:szCs w:val="21"/>
                <w:highlight w:val="none"/>
                <w:lang w:val="en-US" w:eastAsia="zh-CN"/>
              </w:rPr>
            </w:pPr>
            <w:r>
              <w:rPr>
                <w:rFonts w:hint="eastAsia" w:ascii="宋体" w:hAnsi="宋体" w:eastAsia="宋体" w:cs="宋体"/>
                <w:b w:val="0"/>
                <w:bCs w:val="0"/>
                <w:color w:val="auto"/>
                <w:kern w:val="0"/>
                <w:szCs w:val="21"/>
                <w:highlight w:val="none"/>
              </w:rPr>
              <w:t>投标保证金的缴纳</w:t>
            </w:r>
            <w:r>
              <w:rPr>
                <w:rFonts w:hint="eastAsia" w:ascii="宋体" w:hAnsi="宋体" w:eastAsia="宋体" w:cs="宋体"/>
                <w:b w:val="0"/>
                <w:bCs w:val="0"/>
                <w:color w:val="auto"/>
                <w:kern w:val="0"/>
                <w:szCs w:val="21"/>
                <w:highlight w:val="none"/>
                <w:lang w:val="en-US" w:eastAsia="zh-CN"/>
              </w:rPr>
              <w:t>和退还：</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（一）投标保证金缴纳方式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本项目</w:t>
            </w:r>
            <w:r>
              <w:rPr>
                <w:rFonts w:hint="eastAsia" w:ascii="宋体" w:hAnsi="宋体" w:eastAsia="宋体" w:cs="宋体"/>
                <w:b/>
                <w:bCs/>
                <w:color w:val="auto"/>
                <w:highlight w:val="none"/>
              </w:rPr>
              <w:t>保证金为人民</w:t>
            </w:r>
            <w:bookmarkStart w:id="113" w:name="OLE_LINK7"/>
            <w:r>
              <w:rPr>
                <w:rFonts w:hint="eastAsia" w:ascii="宋体" w:hAnsi="宋体" w:eastAsia="宋体" w:cs="宋体"/>
                <w:b/>
                <w:bCs/>
                <w:color w:val="auto"/>
                <w:highlight w:val="none"/>
              </w:rPr>
              <w:t>币</w:t>
            </w:r>
            <w:r>
              <w:rPr>
                <w:rFonts w:hint="eastAsia" w:ascii="宋体" w:hAnsi="宋体" w:eastAsia="宋体" w:cs="宋体"/>
                <w:b/>
                <w:bCs/>
                <w:color w:val="auto"/>
                <w:highlight w:val="none"/>
                <w:lang w:val="en-US" w:eastAsia="zh-CN"/>
              </w:rPr>
              <w:t>20000.00</w:t>
            </w:r>
            <w:r>
              <w:rPr>
                <w:rFonts w:hint="eastAsia" w:ascii="宋体" w:hAnsi="宋体" w:eastAsia="宋体" w:cs="宋体"/>
                <w:b/>
                <w:bCs/>
                <w:color w:val="auto"/>
                <w:highlight w:val="none"/>
              </w:rPr>
              <w:t>元（</w:t>
            </w:r>
            <w:bookmarkEnd w:id="113"/>
            <w:r>
              <w:rPr>
                <w:rFonts w:hint="eastAsia" w:ascii="宋体" w:hAnsi="宋体" w:eastAsia="宋体" w:cs="宋体"/>
                <w:b/>
                <w:bCs/>
                <w:color w:val="auto"/>
                <w:highlight w:val="none"/>
              </w:rPr>
              <w:t>大写：</w:t>
            </w:r>
            <w:r>
              <w:rPr>
                <w:rFonts w:hint="eastAsia" w:ascii="宋体" w:hAnsi="宋体" w:eastAsia="宋体" w:cs="宋体"/>
                <w:b/>
                <w:bCs/>
                <w:color w:val="auto"/>
                <w:highlight w:val="none"/>
                <w:lang w:val="en-US" w:eastAsia="zh-CN"/>
              </w:rPr>
              <w:t>贰万元整</w:t>
            </w:r>
            <w:r>
              <w:rPr>
                <w:rFonts w:hint="eastAsia" w:ascii="宋体" w:hAnsi="宋体" w:eastAsia="宋体" w:cs="宋体"/>
                <w:b/>
                <w:bCs/>
                <w:color w:val="auto"/>
                <w:highlight w:val="none"/>
              </w:rPr>
              <w:t>）</w:t>
            </w:r>
            <w:r>
              <w:rPr>
                <w:rFonts w:hint="eastAsia" w:ascii="宋体" w:hAnsi="宋体" w:eastAsia="宋体" w:cs="宋体"/>
                <w:color w:val="auto"/>
                <w:highlight w:val="none"/>
              </w:rPr>
              <w:t>，投标人以银行转账（电汇提交（需注明XX单位XX项目</w:t>
            </w:r>
            <w:r>
              <w:rPr>
                <w:rFonts w:hint="eastAsia" w:ascii="宋体" w:hAnsi="宋体" w:eastAsia="宋体" w:cs="宋体"/>
                <w:color w:val="auto"/>
                <w:highlight w:val="none"/>
                <w:lang w:eastAsia="zh-CN"/>
              </w:rPr>
              <w:t>保证金</w:t>
            </w:r>
            <w:r>
              <w:rPr>
                <w:rFonts w:hint="eastAsia" w:ascii="宋体" w:hAnsi="宋体" w:eastAsia="宋体" w:cs="宋体"/>
                <w:color w:val="auto"/>
                <w:highlight w:val="none"/>
              </w:rPr>
              <w:t>）。投标人应足额交纳保证金，并从基本帐户汇至以下账户。保证金的到账截止时间同投标截止时间。</w:t>
            </w:r>
          </w:p>
          <w:tbl>
            <w:tblPr>
              <w:tblStyle w:val="33"/>
              <w:tblW w:w="5853" w:type="dxa"/>
              <w:tblInd w:w="471" w:type="dxa"/>
              <w:tblLayout w:type="fixed"/>
              <w:tblCellMar>
                <w:top w:w="0" w:type="dxa"/>
                <w:left w:w="0" w:type="dxa"/>
                <w:bottom w:w="0" w:type="dxa"/>
                <w:right w:w="0" w:type="dxa"/>
              </w:tblCellMar>
            </w:tblPr>
            <w:tblGrid>
              <w:gridCol w:w="1491"/>
              <w:gridCol w:w="4362"/>
            </w:tblGrid>
            <w:tr>
              <w:tblPrEx>
                <w:tblCellMar>
                  <w:top w:w="0" w:type="dxa"/>
                  <w:left w:w="0" w:type="dxa"/>
                  <w:bottom w:w="0" w:type="dxa"/>
                  <w:right w:w="0" w:type="dxa"/>
                </w:tblCellMar>
              </w:tblPrEx>
              <w:trPr>
                <w:trHeight w:val="551" w:hRule="exact"/>
              </w:trPr>
              <w:tc>
                <w:tcPr>
                  <w:tcW w:w="1491" w:type="dxa"/>
                  <w:tcBorders>
                    <w:top w:val="single" w:color="696969" w:sz="4" w:space="0"/>
                    <w:left w:val="single" w:color="696969" w:sz="4" w:space="0"/>
                    <w:bottom w:val="single" w:color="auto"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bookmarkStart w:id="114" w:name="OLE_LINK8" w:colFirst="0" w:colLast="1"/>
                  <w:r>
                    <w:rPr>
                      <w:rFonts w:hint="eastAsia" w:ascii="宋体" w:hAnsi="宋体" w:eastAsia="宋体" w:cs="宋体"/>
                      <w:color w:val="auto"/>
                      <w:highlight w:val="none"/>
                    </w:rPr>
                    <w:t>开户名称：</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垫江县财政局—普顺人民镇政府</w:t>
                  </w:r>
                </w:p>
              </w:tc>
            </w:tr>
            <w:tr>
              <w:tblPrEx>
                <w:tblCellMar>
                  <w:top w:w="0" w:type="dxa"/>
                  <w:left w:w="0" w:type="dxa"/>
                  <w:bottom w:w="0" w:type="dxa"/>
                  <w:right w:w="0" w:type="dxa"/>
                </w:tblCellMar>
              </w:tblPrEx>
              <w:trPr>
                <w:trHeight w:val="546" w:hRule="exact"/>
              </w:trPr>
              <w:tc>
                <w:tcPr>
                  <w:tcW w:w="1491" w:type="dxa"/>
                  <w:tcBorders>
                    <w:top w:val="single" w:color="auto"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开户银行：</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重庆农村商业银行垫江支行</w:t>
                  </w:r>
                </w:p>
              </w:tc>
            </w:tr>
            <w:tr>
              <w:tblPrEx>
                <w:tblCellMar>
                  <w:top w:w="0" w:type="dxa"/>
                  <w:left w:w="0" w:type="dxa"/>
                  <w:bottom w:w="0" w:type="dxa"/>
                  <w:right w:w="0" w:type="dxa"/>
                </w:tblCellMar>
              </w:tblPrEx>
              <w:trPr>
                <w:trHeight w:val="1247" w:hRule="exact"/>
              </w:trPr>
              <w:tc>
                <w:tcPr>
                  <w:tcW w:w="1491"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银行账号：</w:t>
                  </w:r>
                </w:p>
              </w:tc>
              <w:tc>
                <w:tcPr>
                  <w:tcW w:w="4362" w:type="dxa"/>
                  <w:tcBorders>
                    <w:top w:val="single" w:color="696969" w:sz="4" w:space="0"/>
                    <w:left w:val="single" w:color="696969" w:sz="4" w:space="0"/>
                    <w:bottom w:val="single" w:color="696969" w:sz="4" w:space="0"/>
                    <w:right w:val="single" w:color="696969" w:sz="4" w:space="0"/>
                  </w:tcBorders>
                  <w:shd w:val="clear" w:color="auto" w:fill="FFFFFF"/>
                  <w:vAlign w:val="center"/>
                </w:tcPr>
                <w:p>
                  <w:pPr>
                    <w:snapToGrid w:val="0"/>
                    <w:spacing w:line="400" w:lineRule="exac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2501010120010007754—707001</w:t>
                  </w:r>
                </w:p>
                <w:p>
                  <w:pPr>
                    <w:snapToGrid w:val="0"/>
                    <w:spacing w:line="400" w:lineRule="exact"/>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（注意户名和账号中间有—小横杠（减号）</w:t>
                  </w:r>
                </w:p>
              </w:tc>
            </w:tr>
            <w:bookmarkEnd w:id="114"/>
          </w:tbl>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各投标人在银行转账（电汇）时，须充分考虑银行转账（电汇）的时间差风险，如同城转账、异地转账或汇款、跨行转账或电汇的时间要求;请投标人使用网银及柜台转账方式缴纳保证金，本项目不接受柜台现金存款，结算卡、刷POS机及通过第三方支付平台缴纳保证金（如：微信支付、支付宝支付等方式），如果由于投标人未按照以上约定方式缴纳保证金导致投标无效和无法退还保证金等后果由投标人自行承担。</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2.超过投标截止时间提交保证金的投标人，将视为无效报名，其造成的一切后果自负。</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（二）保证金退还方式</w:t>
            </w:r>
          </w:p>
          <w:p>
            <w:pPr>
              <w:snapToGrid w:val="0"/>
              <w:spacing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1.未中标的所有投标人交纳的保证金，由比选代理机构于本项目《中标通知书》发出后5个工作日内全额退还。</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2.本项目中标人交纳的保证金，在其与比选人签订项目合同后，由比选</w:t>
            </w:r>
            <w:r>
              <w:rPr>
                <w:rFonts w:hint="eastAsia" w:ascii="宋体" w:hAnsi="宋体" w:eastAsia="宋体" w:cs="宋体"/>
                <w:color w:val="auto"/>
                <w:highlight w:val="none"/>
                <w:lang w:eastAsia="zh-CN"/>
              </w:rPr>
              <w:t>人</w:t>
            </w:r>
            <w:r>
              <w:rPr>
                <w:rFonts w:hint="eastAsia" w:ascii="宋体" w:hAnsi="宋体" w:eastAsia="宋体" w:cs="宋体"/>
                <w:color w:val="auto"/>
                <w:highlight w:val="none"/>
              </w:rPr>
              <w:t>在5个工作日内全额退还。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3.4.4</w:t>
            </w:r>
          </w:p>
        </w:tc>
        <w:tc>
          <w:tcPr>
            <w:tcW w:w="1615" w:type="dxa"/>
            <w:vAlign w:val="center"/>
          </w:tcPr>
          <w:p>
            <w:pPr>
              <w:widowControl/>
              <w:spacing w:line="400" w:lineRule="exact"/>
              <w:jc w:val="center"/>
              <w:rPr>
                <w:rFonts w:hint="eastAsia" w:ascii="宋体" w:hAnsi="宋体" w:eastAsia="宋体" w:cs="宋体"/>
                <w:color w:val="auto"/>
                <w:spacing w:val="-1"/>
                <w:szCs w:val="21"/>
                <w:highlight w:val="none"/>
              </w:rPr>
            </w:pPr>
            <w:r>
              <w:rPr>
                <w:rFonts w:hint="eastAsia" w:ascii="宋体" w:hAnsi="宋体" w:eastAsia="宋体" w:cs="宋体"/>
                <w:color w:val="auto"/>
                <w:kern w:val="0"/>
                <w:szCs w:val="21"/>
                <w:highlight w:val="none"/>
                <w:lang w:bidi="ar"/>
              </w:rPr>
              <w:t>其他可以不予退还投标保证金的情形</w:t>
            </w:r>
          </w:p>
        </w:tc>
        <w:tc>
          <w:tcPr>
            <w:tcW w:w="6519" w:type="dxa"/>
            <w:vAlign w:val="center"/>
          </w:tcPr>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资格审查资料的特殊要求</w:t>
            </w:r>
          </w:p>
        </w:tc>
        <w:tc>
          <w:tcPr>
            <w:tcW w:w="6519" w:type="dxa"/>
            <w:vAlign w:val="center"/>
          </w:tcPr>
          <w:p>
            <w:pPr>
              <w:widowControl/>
              <w:spacing w:line="400" w:lineRule="exact"/>
              <w:ind w:firstLine="420" w:firstLineChars="200"/>
              <w:jc w:val="left"/>
              <w:rPr>
                <w:rFonts w:hint="eastAsia" w:ascii="宋体" w:hAnsi="宋体" w:eastAsia="宋体" w:cs="宋体"/>
                <w:color w:val="auto"/>
                <w:kern w:val="0"/>
                <w:szCs w:val="21"/>
                <w:highlight w:val="none"/>
              </w:rPr>
            </w:pPr>
            <w:bookmarkStart w:id="115" w:name="OLE_LINK9"/>
            <w:r>
              <w:rPr>
                <w:rFonts w:hint="eastAsia" w:ascii="宋体" w:hAnsi="宋体" w:eastAsia="宋体" w:cs="宋体"/>
                <w:color w:val="auto"/>
                <w:kern w:val="0"/>
                <w:sz w:val="21"/>
                <w:szCs w:val="21"/>
                <w:highlight w:val="none"/>
                <w:lang w:val="en-US" w:eastAsia="zh-CN" w:bidi="ar-SA"/>
              </w:rPr>
              <w:t>本</w:t>
            </w:r>
            <w:bookmarkEnd w:id="115"/>
            <w:r>
              <w:rPr>
                <w:rFonts w:hint="eastAsia" w:ascii="宋体" w:hAnsi="宋体" w:eastAsia="宋体" w:cs="宋体"/>
                <w:color w:val="auto"/>
                <w:kern w:val="0"/>
                <w:sz w:val="21"/>
                <w:szCs w:val="21"/>
                <w:highlight w:val="none"/>
                <w:lang w:val="en-US" w:eastAsia="zh-CN" w:bidi="ar-SA"/>
              </w:rPr>
              <w:t>工程所有资格审查资料原件备查，否则视为无效。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3.6.1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是否允许递交</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备选投标方案</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不允许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投标文件格式要求</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编制投标文件时不得对第九章“投标文件格式”的相应要素作实质性修改，否则视为重大偏差，由评标委员会作否决投标处理。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盖章要求</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3.7.4</w:t>
            </w:r>
          </w:p>
        </w:tc>
        <w:tc>
          <w:tcPr>
            <w:tcW w:w="1615" w:type="dxa"/>
            <w:vAlign w:val="center"/>
          </w:tcPr>
          <w:p>
            <w:pPr>
              <w:snapToGrid w:val="0"/>
              <w:spacing w:line="400" w:lineRule="exact"/>
              <w:rPr>
                <w:rFonts w:hint="eastAsia" w:ascii="宋体" w:hAnsi="宋体" w:eastAsia="宋体" w:cs="宋体"/>
                <w:color w:val="auto"/>
                <w:spacing w:val="-6"/>
                <w:kern w:val="0"/>
                <w:szCs w:val="21"/>
                <w:highlight w:val="none"/>
              </w:rPr>
            </w:pPr>
            <w:r>
              <w:rPr>
                <w:rFonts w:hint="eastAsia" w:ascii="宋体" w:hAnsi="宋体" w:eastAsia="宋体" w:cs="宋体"/>
                <w:color w:val="auto"/>
                <w:spacing w:val="-6"/>
                <w:kern w:val="0"/>
                <w:szCs w:val="21"/>
                <w:highlight w:val="none"/>
              </w:rPr>
              <w:t>投标文件的份数</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投标文件正本</w:t>
            </w:r>
            <w:r>
              <w:rPr>
                <w:rFonts w:hint="eastAsia" w:ascii="宋体" w:hAnsi="宋体" w:eastAsia="宋体" w:cs="宋体"/>
                <w:color w:val="auto"/>
                <w:kern w:val="0"/>
                <w:szCs w:val="21"/>
                <w:highlight w:val="none"/>
                <w:lang w:val="en-US" w:eastAsia="zh-CN"/>
              </w:rPr>
              <w:t>1份，副本2份，电子档（U盘）</w:t>
            </w:r>
            <w:r>
              <w:rPr>
                <w:rFonts w:hint="eastAsia" w:ascii="宋体" w:hAnsi="宋体" w:eastAsia="宋体" w:cs="宋体"/>
                <w:color w:val="auto"/>
                <w:kern w:val="0"/>
                <w:szCs w:val="21"/>
                <w:highlight w:val="none"/>
              </w:rPr>
              <w:t>1份</w:t>
            </w:r>
            <w:r>
              <w:rPr>
                <w:rFonts w:hint="eastAsia" w:ascii="宋体" w:hAnsi="宋体" w:eastAsia="宋体" w:cs="宋体"/>
                <w:color w:val="auto"/>
                <w:kern w:val="0"/>
                <w:szCs w:val="21"/>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编制要求</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（1）投标函部分的装订要求</w:t>
            </w:r>
          </w:p>
          <w:p>
            <w:pPr>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应按照第</w:t>
            </w: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2</w:t>
            </w:r>
            <w:r>
              <w:rPr>
                <w:rFonts w:hint="eastAsia" w:ascii="宋体" w:hAnsi="宋体" w:eastAsia="宋体" w:cs="宋体"/>
                <w:color w:val="auto"/>
                <w:kern w:val="0"/>
                <w:szCs w:val="21"/>
                <w:highlight w:val="none"/>
              </w:rPr>
              <w:t>）资格审查部分的装订要求</w:t>
            </w:r>
          </w:p>
          <w:p>
            <w:pPr>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章规定格式装订成册，并应编制目录，标注页码。</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（3）技术部分</w:t>
            </w:r>
            <w:bookmarkStart w:id="116" w:name="OLE_LINK10"/>
            <w:r>
              <w:rPr>
                <w:rFonts w:hint="eastAsia" w:ascii="宋体" w:hAnsi="宋体" w:eastAsia="宋体" w:cs="宋体"/>
                <w:color w:val="auto"/>
                <w:kern w:val="0"/>
                <w:szCs w:val="21"/>
                <w:highlight w:val="none"/>
                <w:lang w:val="en-US" w:eastAsia="zh-CN"/>
              </w:rPr>
              <w:t>（如有）</w:t>
            </w:r>
            <w:bookmarkEnd w:id="116"/>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应按照第九章规定格式排版，原则上应编制目录，但不得将目录编制作为评审因素。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经济部分的装订要求（如有）</w:t>
            </w:r>
          </w:p>
          <w:p>
            <w:pPr>
              <w:adjustRightInd w:val="0"/>
              <w:snapToGrid w:val="0"/>
              <w:spacing w:line="400" w:lineRule="exact"/>
              <w:ind w:firstLine="420" w:firstLineChars="200"/>
              <w:rPr>
                <w:rFonts w:hint="eastAsia" w:ascii="宋体" w:hAnsi="宋体" w:eastAsia="宋体" w:cs="宋体"/>
                <w:color w:val="auto"/>
                <w:highlight w:val="none"/>
                <w:lang w:val="en-US" w:eastAsia="zh-CN"/>
              </w:rPr>
            </w:pPr>
            <w:r>
              <w:rPr>
                <w:rFonts w:hint="eastAsia" w:ascii="宋体" w:hAnsi="宋体" w:eastAsia="宋体" w:cs="宋体"/>
                <w:color w:val="auto"/>
                <w:kern w:val="0"/>
                <w:szCs w:val="21"/>
                <w:highlight w:val="none"/>
              </w:rPr>
              <w:t>应按照第</w:t>
            </w:r>
            <w:r>
              <w:rPr>
                <w:rFonts w:hint="eastAsia" w:ascii="宋体" w:hAnsi="宋体" w:eastAsia="宋体" w:cs="宋体"/>
                <w:color w:val="auto"/>
                <w:kern w:val="0"/>
                <w:szCs w:val="21"/>
                <w:highlight w:val="none"/>
                <w:lang w:val="en-US" w:eastAsia="zh-CN"/>
              </w:rPr>
              <w:t>九</w:t>
            </w:r>
            <w:r>
              <w:rPr>
                <w:rFonts w:hint="eastAsia" w:ascii="宋体" w:hAnsi="宋体" w:eastAsia="宋体" w:cs="宋体"/>
                <w:color w:val="auto"/>
                <w:kern w:val="0"/>
                <w:szCs w:val="21"/>
                <w:highlight w:val="none"/>
              </w:rPr>
              <w:t>章规定格式装订成</w:t>
            </w:r>
            <w:r>
              <w:rPr>
                <w:rFonts w:hint="eastAsia" w:ascii="宋体" w:hAnsi="宋体" w:eastAsia="宋体" w:cs="宋体"/>
                <w:color w:val="auto"/>
                <w:szCs w:val="21"/>
                <w:highlight w:val="none"/>
              </w:rPr>
              <w:t>册，并应编制目录，标注页码。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17" w:name="OLE_LINK15" w:colFirst="1" w:colLast="1"/>
            <w:r>
              <w:rPr>
                <w:rFonts w:hint="eastAsia" w:ascii="宋体" w:hAnsi="宋体" w:eastAsia="宋体" w:cs="宋体"/>
                <w:color w:val="auto"/>
                <w:kern w:val="0"/>
                <w:szCs w:val="21"/>
                <w:highlight w:val="none"/>
                <w:lang w:val="en-US" w:eastAsia="zh-CN"/>
              </w:rPr>
              <w:t>3.7.6</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lang w:eastAsia="zh-CN"/>
              </w:rPr>
              <w:t>投标文件的密封</w:t>
            </w:r>
          </w:p>
        </w:tc>
        <w:tc>
          <w:tcPr>
            <w:tcW w:w="6519" w:type="dxa"/>
            <w:vAlign w:val="center"/>
          </w:tcPr>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18" w:name="OLE_LINK13"/>
            <w:r>
              <w:rPr>
                <w:rFonts w:hint="eastAsia" w:ascii="宋体" w:hAnsi="宋体" w:eastAsia="宋体" w:cs="宋体"/>
                <w:color w:val="auto"/>
                <w:kern w:val="0"/>
                <w:szCs w:val="21"/>
                <w:highlight w:val="none"/>
                <w:lang w:val="en-US" w:eastAsia="zh-CN"/>
              </w:rPr>
              <w:t>1.</w:t>
            </w:r>
            <w:bookmarkStart w:id="119" w:name="OLE_LINK27"/>
            <w:r>
              <w:rPr>
                <w:rFonts w:hint="eastAsia" w:ascii="宋体" w:hAnsi="宋体" w:eastAsia="宋体" w:cs="宋体"/>
                <w:color w:val="auto"/>
                <w:kern w:val="0"/>
                <w:szCs w:val="21"/>
                <w:highlight w:val="none"/>
                <w:lang w:val="en-US" w:eastAsia="zh-CN"/>
              </w:rPr>
              <w:t>投标文件袋统一使用牛皮纸信封袋</w:t>
            </w:r>
            <w:bookmarkEnd w:id="119"/>
            <w:r>
              <w:rPr>
                <w:rFonts w:hint="eastAsia" w:ascii="宋体" w:hAnsi="宋体" w:eastAsia="宋体" w:cs="宋体"/>
                <w:color w:val="auto"/>
                <w:kern w:val="0"/>
                <w:szCs w:val="21"/>
                <w:highlight w:val="none"/>
                <w:lang w:val="en-US" w:eastAsia="zh-CN"/>
              </w:rPr>
              <w:t>。</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2.投标函部分装入“投标函部分”袋中，密封并在封口处加盖投标人单位公章。封面按第九章投标文件格式中的封面格式贴在“投标函部分”并按要求签字或盖章。</w:t>
            </w:r>
          </w:p>
          <w:p>
            <w:pPr>
              <w:adjustRightInd w:val="0"/>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3.“资格审查部分”装入“资格审查资料部分”袋中，密封并在封口处加盖投标人单位公章。封面按第九章投标文件格式中的封面格式贴在“资格审查资料部分”上，并按要求签字或盖章。</w:t>
            </w:r>
          </w:p>
          <w:p>
            <w:pPr>
              <w:adjustRightInd w:val="0"/>
              <w:snapToGrid w:val="0"/>
              <w:spacing w:line="400" w:lineRule="exact"/>
              <w:ind w:firstLine="420" w:firstLineChars="200"/>
              <w:rPr>
                <w:rStyle w:val="82"/>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Cs w:val="21"/>
                <w:highlight w:val="none"/>
                <w:lang w:val="en-US" w:eastAsia="zh-CN"/>
              </w:rPr>
              <w:t>4.若投标人未按招标文件规定使用投标文件袋或密封、标识、签字和盖章不符合招标文件规定的，其投标文件将被拒收。</w:t>
            </w:r>
            <w:bookmarkEnd w:id="118"/>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bookmarkStart w:id="120" w:name="OLE_LINK14" w:colFirst="1" w:colLast="2"/>
            <w:r>
              <w:rPr>
                <w:rFonts w:hint="eastAsia" w:ascii="宋体" w:hAnsi="宋体" w:eastAsia="宋体" w:cs="宋体"/>
                <w:color w:val="auto"/>
                <w:kern w:val="0"/>
                <w:szCs w:val="21"/>
                <w:highlight w:val="none"/>
                <w:lang w:val="en-US" w:eastAsia="zh-CN"/>
              </w:rPr>
              <w:t>3.7.7</w:t>
            </w:r>
          </w:p>
        </w:tc>
        <w:tc>
          <w:tcPr>
            <w:tcW w:w="1615" w:type="dxa"/>
            <w:vAlign w:val="center"/>
          </w:tcPr>
          <w:p>
            <w:pPr>
              <w:snapToGrid w:val="0"/>
              <w:spacing w:line="400" w:lineRule="exact"/>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封套上写明</w:t>
            </w:r>
          </w:p>
        </w:tc>
        <w:tc>
          <w:tcPr>
            <w:tcW w:w="6519" w:type="dxa"/>
            <w:vAlign w:val="center"/>
          </w:tcPr>
          <w:p>
            <w:pPr>
              <w:snapToGrid w:val="0"/>
              <w:spacing w:line="400" w:lineRule="exact"/>
              <w:jc w:val="left"/>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应在“投标函部分”袋和“资格审查资料部分”袋封套上写明的内容：“按第九章投标文件格式中的封面格式”填写。</w:t>
            </w:r>
          </w:p>
        </w:tc>
      </w:tr>
      <w:bookmarkEnd w:id="117"/>
      <w:bookmarkEnd w:id="120"/>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szCs w:val="21"/>
                <w:highlight w:val="none"/>
              </w:rPr>
              <w:t>投标人递交投标文件的地点</w:t>
            </w:r>
          </w:p>
        </w:tc>
        <w:tc>
          <w:tcPr>
            <w:tcW w:w="6519" w:type="dxa"/>
            <w:vAlign w:val="center"/>
          </w:tcPr>
          <w:p>
            <w:pPr>
              <w:pStyle w:val="2"/>
              <w:ind w:firstLine="420" w:firstLineChars="200"/>
              <w:rPr>
                <w:rFonts w:hint="eastAsia" w:ascii="宋体" w:hAnsi="宋体" w:eastAsia="宋体" w:cs="宋体"/>
                <w:color w:val="auto"/>
                <w:szCs w:val="21"/>
                <w:highlight w:val="none"/>
              </w:rPr>
            </w:pPr>
            <w:bookmarkStart w:id="121" w:name="OLE_LINK11"/>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bookmarkEnd w:id="12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是否退还投标文件</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开标时间和</w:t>
            </w:r>
          </w:p>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地点</w:t>
            </w:r>
          </w:p>
        </w:tc>
        <w:tc>
          <w:tcPr>
            <w:tcW w:w="6519" w:type="dxa"/>
            <w:vAlign w:val="center"/>
          </w:tcPr>
          <w:p>
            <w:pPr>
              <w:snapToGrid w:val="0"/>
              <w:spacing w:line="400" w:lineRule="exact"/>
              <w:jc w:val="lef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开标时间：同投标截止时间</w:t>
            </w:r>
            <w:r>
              <w:rPr>
                <w:rFonts w:hint="eastAsia" w:ascii="宋体" w:hAnsi="宋体" w:eastAsia="宋体" w:cs="宋体"/>
                <w:color w:val="auto"/>
                <w:kern w:val="0"/>
                <w:szCs w:val="21"/>
                <w:highlight w:val="none"/>
                <w:lang w:eastAsia="zh-CN"/>
              </w:rPr>
              <w:t>。</w:t>
            </w:r>
          </w:p>
          <w:p>
            <w:pPr>
              <w:snapToGrid w:val="0"/>
              <w:spacing w:line="400" w:lineRule="exact"/>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开标地点：</w:t>
            </w:r>
            <w:r>
              <w:rPr>
                <w:rFonts w:hint="eastAsia" w:ascii="宋体" w:hAnsi="宋体" w:eastAsia="宋体" w:cs="宋体"/>
                <w:snapToGrid w:val="0"/>
                <w:color w:val="auto"/>
                <w:kern w:val="0"/>
                <w:szCs w:val="21"/>
                <w:highlight w:val="none"/>
                <w:u w:val="none"/>
                <w:lang w:val="en-US" w:eastAsia="zh-CN"/>
              </w:rPr>
              <w:t>垫江县普顺镇</w:t>
            </w:r>
            <w:r>
              <w:rPr>
                <w:rFonts w:hint="eastAsia" w:ascii="宋体" w:hAnsi="宋体" w:cs="宋体"/>
                <w:snapToGrid w:val="0"/>
                <w:color w:val="auto"/>
                <w:kern w:val="0"/>
                <w:szCs w:val="21"/>
                <w:highlight w:val="none"/>
                <w:u w:val="none"/>
                <w:lang w:val="en-US" w:eastAsia="zh-CN"/>
              </w:rPr>
              <w:t>迎凤村二</w:t>
            </w:r>
            <w:r>
              <w:rPr>
                <w:rFonts w:hint="eastAsia" w:ascii="宋体" w:hAnsi="宋体" w:eastAsia="宋体" w:cs="宋体"/>
                <w:snapToGrid w:val="0"/>
                <w:color w:val="auto"/>
                <w:kern w:val="0"/>
                <w:szCs w:val="21"/>
                <w:highlight w:val="none"/>
                <w:u w:val="none"/>
                <w:lang w:val="en-US" w:eastAsia="zh-CN"/>
              </w:rPr>
              <w:t>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5.2</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开标程序</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宣布比选纪律；</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宣布开标人、唱标人、记录人、监标人等有关人员姓名；</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公布在比选截止时间前递交投标文件的投标人名称，</w:t>
            </w:r>
            <w:r>
              <w:rPr>
                <w:rFonts w:hint="eastAsia" w:ascii="宋体" w:hAnsi="宋体" w:eastAsia="宋体" w:cs="宋体"/>
                <w:bCs/>
                <w:color w:val="auto"/>
                <w:kern w:val="0"/>
                <w:szCs w:val="21"/>
                <w:highlight w:val="none"/>
                <w:lang w:val="en-US" w:eastAsia="zh-CN"/>
              </w:rPr>
              <w:t>并点名确认投标人是否派人到场</w:t>
            </w:r>
            <w:r>
              <w:rPr>
                <w:rFonts w:hint="eastAsia" w:ascii="宋体" w:hAnsi="宋体" w:eastAsia="宋体" w:cs="宋体"/>
                <w:bCs/>
                <w:color w:val="auto"/>
                <w:kern w:val="0"/>
                <w:szCs w:val="21"/>
                <w:highlight w:val="none"/>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核验身份：监标人核验参加开标会议的投标人的法定代表人或委托代理人本人身份证（原件）、法定代表人身份证明原件、核验被授权代理人的授权委托书（原件）及投标保证金缴纳银行回单复印件以确认其身份合法有效，参会人未响应本项要求的，投标保证金未按规定递交的，均当众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val="en-US" w:eastAsia="zh-CN"/>
              </w:rPr>
            </w:pPr>
            <w:r>
              <w:rPr>
                <w:rFonts w:hint="eastAsia" w:ascii="宋体" w:hAnsi="宋体" w:eastAsia="宋体" w:cs="宋体"/>
                <w:bCs/>
                <w:color w:val="auto"/>
                <w:kern w:val="0"/>
                <w:szCs w:val="21"/>
                <w:highlight w:val="none"/>
                <w:lang w:val="en-US" w:eastAsia="zh-CN"/>
              </w:rPr>
              <w:t>由所有投标人或其推选的代表上前检查投标文件的密封情况，并签字确认；如发现投标文件没按本表3.7.7的规定密封，则当众原封退还其投标文件；</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核验投标保证金缴款情况，未在规定时间缴纳投标保证金的，其投标文件</w:t>
            </w:r>
            <w:r>
              <w:rPr>
                <w:rFonts w:hint="eastAsia" w:ascii="宋体" w:hAnsi="宋体" w:eastAsia="宋体" w:cs="宋体"/>
                <w:bCs/>
                <w:color w:val="auto"/>
                <w:kern w:val="0"/>
                <w:szCs w:val="21"/>
                <w:highlight w:val="none"/>
                <w:lang w:val="en-US" w:eastAsia="zh-CN"/>
              </w:rPr>
              <w:t>不进入下一步开标流程，不参与评标</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lang w:eastAsia="zh-CN"/>
              </w:rPr>
            </w:pPr>
            <w:r>
              <w:rPr>
                <w:rFonts w:hint="eastAsia" w:ascii="宋体" w:hAnsi="宋体" w:eastAsia="宋体" w:cs="宋体"/>
                <w:bCs/>
                <w:color w:val="auto"/>
                <w:kern w:val="0"/>
                <w:szCs w:val="21"/>
                <w:highlight w:val="none"/>
              </w:rPr>
              <w:t>公布投标人名称、投标报价、质量目标、工期及其他内容</w:t>
            </w:r>
            <w:r>
              <w:rPr>
                <w:rFonts w:hint="eastAsia" w:ascii="宋体" w:hAnsi="宋体" w:eastAsia="宋体" w:cs="宋体"/>
                <w:bCs/>
                <w:color w:val="auto"/>
                <w:kern w:val="0"/>
                <w:szCs w:val="21"/>
                <w:highlight w:val="none"/>
                <w:lang w:eastAsia="zh-CN"/>
              </w:rPr>
              <w:t>；</w:t>
            </w:r>
          </w:p>
          <w:p>
            <w:pPr>
              <w:numPr>
                <w:ilvl w:val="0"/>
                <w:numId w:val="2"/>
              </w:numPr>
              <w:snapToGrid w:val="0"/>
              <w:spacing w:line="400" w:lineRule="exact"/>
              <w:ind w:left="425" w:leftChars="0" w:hanging="425" w:firstLineChars="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投标人代表</w:t>
            </w:r>
            <w:r>
              <w:rPr>
                <w:rFonts w:hint="eastAsia" w:ascii="宋体" w:hAnsi="宋体" w:eastAsia="宋体" w:cs="宋体"/>
                <w:bCs/>
                <w:color w:val="auto"/>
                <w:kern w:val="0"/>
                <w:szCs w:val="21"/>
                <w:highlight w:val="none"/>
                <w:lang w:eastAsia="zh-CN"/>
              </w:rPr>
              <w:t>（</w:t>
            </w:r>
            <w:r>
              <w:rPr>
                <w:rFonts w:hint="eastAsia" w:ascii="宋体" w:hAnsi="宋体" w:eastAsia="宋体" w:cs="宋体"/>
                <w:bCs/>
                <w:color w:val="auto"/>
                <w:kern w:val="0"/>
                <w:szCs w:val="21"/>
                <w:highlight w:val="none"/>
                <w:lang w:val="en-US" w:eastAsia="zh-CN"/>
              </w:rPr>
              <w:t>若有）</w:t>
            </w:r>
            <w:r>
              <w:rPr>
                <w:rFonts w:hint="eastAsia" w:ascii="宋体" w:hAnsi="宋体" w:eastAsia="宋体" w:cs="宋体"/>
                <w:bCs/>
                <w:color w:val="auto"/>
                <w:kern w:val="0"/>
                <w:szCs w:val="21"/>
                <w:highlight w:val="none"/>
              </w:rPr>
              <w:t>、 比选人代表、监标人、记录人等有关人员在比选记录上签字确认；</w:t>
            </w:r>
          </w:p>
          <w:p>
            <w:pPr>
              <w:numPr>
                <w:ilvl w:val="0"/>
                <w:numId w:val="2"/>
              </w:numPr>
              <w:autoSpaceDE w:val="0"/>
              <w:autoSpaceDN w:val="0"/>
              <w:adjustRightInd w:val="0"/>
              <w:snapToGrid w:val="0"/>
              <w:spacing w:line="400" w:lineRule="exact"/>
              <w:ind w:left="425" w:leftChars="0" w:hanging="425" w:firstLineChars="0"/>
              <w:rPr>
                <w:rFonts w:hint="eastAsia" w:ascii="宋体" w:hAnsi="宋体" w:eastAsia="宋体" w:cs="宋体"/>
                <w:color w:val="auto"/>
                <w:szCs w:val="21"/>
                <w:highlight w:val="none"/>
              </w:rPr>
            </w:pPr>
            <w:r>
              <w:rPr>
                <w:rFonts w:hint="eastAsia" w:ascii="宋体" w:hAnsi="宋体" w:eastAsia="宋体" w:cs="宋体"/>
                <w:bCs/>
                <w:color w:val="auto"/>
                <w:kern w:val="0"/>
                <w:szCs w:val="21"/>
                <w:highlight w:val="none"/>
              </w:rPr>
              <w:t>比选</w:t>
            </w:r>
            <w:r>
              <w:rPr>
                <w:rFonts w:hint="eastAsia" w:ascii="宋体" w:hAnsi="宋体" w:eastAsia="宋体" w:cs="宋体"/>
                <w:bCs/>
                <w:color w:val="auto"/>
                <w:kern w:val="0"/>
                <w:szCs w:val="21"/>
                <w:highlight w:val="none"/>
                <w:lang w:val="en-US" w:eastAsia="zh-CN"/>
              </w:rPr>
              <w:t>开标</w:t>
            </w:r>
            <w:r>
              <w:rPr>
                <w:rFonts w:hint="eastAsia" w:ascii="宋体" w:hAnsi="宋体" w:eastAsia="宋体" w:cs="宋体"/>
                <w:bCs/>
                <w:color w:val="auto"/>
                <w:kern w:val="0"/>
                <w:szCs w:val="21"/>
                <w:highlight w:val="none"/>
              </w:rPr>
              <w:t>结束</w:t>
            </w:r>
            <w:r>
              <w:rPr>
                <w:rFonts w:hint="eastAsia" w:ascii="宋体" w:hAnsi="宋体" w:eastAsia="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6.1.1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评标委员会的组建</w:t>
            </w:r>
          </w:p>
        </w:tc>
        <w:tc>
          <w:tcPr>
            <w:tcW w:w="6519" w:type="dxa"/>
            <w:vAlign w:val="center"/>
          </w:tcPr>
          <w:p>
            <w:pPr>
              <w:snapToGrid w:val="0"/>
              <w:spacing w:line="400" w:lineRule="exact"/>
              <w:ind w:firstLine="436" w:firstLineChars="200"/>
              <w:rPr>
                <w:rFonts w:hint="eastAsia" w:ascii="宋体" w:hAnsi="宋体" w:eastAsia="宋体" w:cs="宋体"/>
                <w:color w:val="auto"/>
                <w:kern w:val="0"/>
                <w:szCs w:val="21"/>
                <w:highlight w:val="none"/>
              </w:rPr>
            </w:pPr>
            <w:r>
              <w:rPr>
                <w:rFonts w:hint="eastAsia" w:ascii="宋体" w:hAnsi="宋体" w:eastAsia="宋体" w:cs="宋体"/>
                <w:color w:val="auto"/>
                <w:spacing w:val="4"/>
                <w:kern w:val="0"/>
                <w:szCs w:val="21"/>
                <w:highlight w:val="none"/>
              </w:rPr>
              <w:t>由</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按法律法规及相关规定依法组建评标委员会</w:t>
            </w:r>
            <w:r>
              <w:rPr>
                <w:rFonts w:hint="eastAsia" w:ascii="宋体" w:hAnsi="宋体" w:eastAsia="宋体" w:cs="宋体"/>
                <w:color w:val="auto"/>
                <w:kern w:val="0"/>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6.3.2</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评标委员会推荐中标候选人的</w:t>
            </w:r>
            <w:r>
              <w:rPr>
                <w:rFonts w:hint="eastAsia" w:ascii="宋体" w:hAnsi="宋体" w:eastAsia="宋体" w:cs="宋体"/>
                <w:color w:val="auto"/>
                <w:kern w:val="0"/>
                <w:szCs w:val="21"/>
                <w:highlight w:val="none"/>
              </w:rPr>
              <w:t>人数</w:t>
            </w:r>
          </w:p>
        </w:tc>
        <w:tc>
          <w:tcPr>
            <w:tcW w:w="6519" w:type="dxa"/>
            <w:vAlign w:val="center"/>
          </w:tcPr>
          <w:p>
            <w:pPr>
              <w:snapToGrid w:val="0"/>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1至3名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7.1</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中标候选人公示</w:t>
            </w:r>
          </w:p>
        </w:tc>
        <w:tc>
          <w:tcPr>
            <w:tcW w:w="6519" w:type="dxa"/>
            <w:vAlign w:val="center"/>
          </w:tcPr>
          <w:p>
            <w:pPr>
              <w:ind w:firstLine="420"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在收到评标报告后3日内将评标结果在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上进行公示，公示期为3日。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是否授权评标委员会确定中标人</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否，推荐经评审合格的报价由低到高排名前三名为中标候选人。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7.5</w:t>
            </w:r>
          </w:p>
        </w:tc>
        <w:tc>
          <w:tcPr>
            <w:tcW w:w="1615" w:type="dxa"/>
            <w:vAlign w:val="center"/>
          </w:tcPr>
          <w:p>
            <w:pPr>
              <w:widowControl/>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中标通知书和中标结果通知发出的形式</w:t>
            </w:r>
          </w:p>
        </w:tc>
        <w:tc>
          <w:tcPr>
            <w:tcW w:w="6519" w:type="dxa"/>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以书面的形式发出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7.7.1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履约保证金</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1、中标人是否提供履约担保：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2、中标人提供履约担保的形式、金额及期限：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（2）履约担保的金额：</w:t>
            </w:r>
            <w:r>
              <w:rPr>
                <w:rFonts w:hint="eastAsia" w:ascii="宋体" w:hAnsi="宋体" w:eastAsia="宋体" w:cs="宋体"/>
                <w:color w:val="auto"/>
                <w:kern w:val="0"/>
                <w:szCs w:val="21"/>
                <w:highlight w:val="none"/>
                <w:u w:val="single"/>
              </w:rPr>
              <w:t>中标</w:t>
            </w:r>
            <w:r>
              <w:rPr>
                <w:rFonts w:hint="eastAsia" w:ascii="宋体" w:hAnsi="宋体" w:cs="宋体"/>
                <w:color w:val="auto"/>
                <w:kern w:val="0"/>
                <w:szCs w:val="21"/>
                <w:highlight w:val="none"/>
                <w:u w:val="single"/>
                <w:lang w:val="en-US" w:eastAsia="zh-CN"/>
              </w:rPr>
              <w:t>的总</w:t>
            </w:r>
            <w:r>
              <w:rPr>
                <w:rFonts w:hint="eastAsia" w:ascii="宋体" w:hAnsi="宋体" w:eastAsia="宋体" w:cs="宋体"/>
                <w:color w:val="auto"/>
                <w:kern w:val="0"/>
                <w:szCs w:val="21"/>
                <w:highlight w:val="none"/>
                <w:u w:val="single"/>
              </w:rPr>
              <w:t>金额的10%；</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bookmarkStart w:id="122" w:name="OLE_LINK25"/>
            <w:r>
              <w:rPr>
                <w:rFonts w:hint="eastAsia" w:ascii="宋体" w:hAnsi="宋体" w:eastAsia="宋体" w:cs="宋体"/>
                <w:color w:val="auto"/>
                <w:kern w:val="0"/>
                <w:szCs w:val="21"/>
                <w:highlight w:val="none"/>
              </w:rPr>
              <w:t xml:space="preserve">（3）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（4）履约担保的期限：自提交履约担保之日起至工程竣工合格之日止。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（5）履约</w:t>
            </w:r>
            <w:bookmarkStart w:id="123" w:name="OLE_LINK16"/>
            <w:r>
              <w:rPr>
                <w:rFonts w:hint="eastAsia" w:ascii="宋体" w:hAnsi="宋体" w:eastAsia="宋体" w:cs="宋体"/>
                <w:color w:val="auto"/>
                <w:kern w:val="0"/>
                <w:szCs w:val="21"/>
                <w:highlight w:val="none"/>
              </w:rPr>
              <w:t>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bookmarkEnd w:id="122"/>
            <w:bookmarkEnd w:id="12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7.7.2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bookmarkStart w:id="124" w:name="OLE_LINK18"/>
            <w:r>
              <w:rPr>
                <w:rFonts w:hint="eastAsia" w:ascii="宋体" w:hAnsi="宋体" w:eastAsia="宋体" w:cs="宋体"/>
                <w:color w:val="auto"/>
                <w:kern w:val="0"/>
                <w:szCs w:val="21"/>
                <w:highlight w:val="none"/>
                <w:lang w:val="en-US" w:eastAsia="zh-CN"/>
              </w:rPr>
              <w:t>农民工工资保障</w:t>
            </w:r>
            <w:bookmarkEnd w:id="124"/>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lang w:val="en-US" w:eastAsia="zh-CN"/>
              </w:rPr>
            </w:pPr>
            <w:bookmarkStart w:id="125" w:name="OLE_LINK17"/>
            <w:r>
              <w:rPr>
                <w:rFonts w:hint="eastAsia" w:ascii="宋体" w:hAnsi="宋体" w:eastAsia="宋体" w:cs="宋体"/>
                <w:color w:val="auto"/>
                <w:kern w:val="0"/>
                <w:szCs w:val="21"/>
                <w:highlight w:val="none"/>
                <w:lang w:val="en-US" w:eastAsia="zh-CN"/>
              </w:rPr>
              <w:t>1.落实农民工工资“一金三制”，设立该工程农民工工资专户。</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2.保证金金额：中标金额的2%（取百元整）缴入比选人账户，缴纳方式为现金。打款时必须备注：普顺镇红岩村道路硬化工程农民工工资保证金，留打款依据。</w:t>
            </w:r>
          </w:p>
          <w:p>
            <w:pPr>
              <w:snapToGrid w:val="0"/>
              <w:spacing w:line="400" w:lineRule="exact"/>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3.要求：（1）签定合同时需提交该工程农民工工资专户资料；（2）农民工工资保障情况须向项目主管部门备案；（3）划拨工程款时需提供农民工工资保障相关资料，工程款的25%（取百元整）划入此专户。</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4.退还：工程完工后退还（无息）。退还时中标人应提供单位名称、金额、开户银行和兑现农民工工资的证明依据。</w:t>
            </w:r>
            <w:bookmarkEnd w:id="125"/>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7.8.1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签订合同</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依法必须进行招标的项目，中标</w:t>
            </w:r>
            <w:r>
              <w:rPr>
                <w:rFonts w:hint="eastAsia" w:ascii="宋体" w:hAnsi="宋体" w:eastAsia="宋体" w:cs="宋体"/>
                <w:color w:val="auto"/>
                <w:kern w:val="0"/>
                <w:szCs w:val="21"/>
                <w:highlight w:val="none"/>
                <w:lang w:val="en-US" w:eastAsia="zh-CN"/>
              </w:rPr>
              <w:t>候选</w:t>
            </w:r>
            <w:r>
              <w:rPr>
                <w:rFonts w:hint="eastAsia" w:ascii="宋体" w:hAnsi="宋体" w:eastAsia="宋体" w:cs="宋体"/>
                <w:color w:val="auto"/>
                <w:kern w:val="0"/>
                <w:szCs w:val="21"/>
                <w:highlight w:val="none"/>
              </w:rPr>
              <w:t>人有《招标投标法实施条例》第七十四条规定行为的，视为特别严重信用不良行为且情节特别严重，按信用记分上限一次性记12分，纳入黑名单管理；中标人有《招标投标法实施条例》第七十四条规定行为的，按中标项目金额10‰罚款上限予以行政处罚，按信用记分上限一次性并处记12分，纳入黑名单管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8.5.1</w:t>
            </w:r>
          </w:p>
        </w:tc>
        <w:tc>
          <w:tcPr>
            <w:tcW w:w="1615"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p>
        </w:tc>
        <w:tc>
          <w:tcPr>
            <w:tcW w:w="6519" w:type="dxa"/>
            <w:vAlign w:val="center"/>
          </w:tcPr>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监督部门：</w:t>
            </w:r>
            <w:r>
              <w:rPr>
                <w:rFonts w:hint="eastAsia" w:ascii="宋体" w:hAnsi="宋体" w:eastAsia="宋体" w:cs="宋体"/>
                <w:color w:val="auto"/>
                <w:kern w:val="0"/>
                <w:szCs w:val="21"/>
                <w:highlight w:val="none"/>
                <w:lang w:val="en-US" w:eastAsia="zh-CN"/>
              </w:rPr>
              <w:t>交通局</w:t>
            </w:r>
            <w:r>
              <w:rPr>
                <w:rFonts w:hint="eastAsia" w:ascii="宋体" w:hAnsi="宋体" w:eastAsia="宋体" w:cs="宋体"/>
                <w:color w:val="auto"/>
                <w:kern w:val="0"/>
                <w:szCs w:val="21"/>
                <w:highlight w:val="none"/>
              </w:rPr>
              <w:t xml:space="preserve">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电 话：023-74512216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w:t>
            </w:r>
          </w:p>
        </w:tc>
        <w:tc>
          <w:tcPr>
            <w:tcW w:w="8134" w:type="dxa"/>
            <w:gridSpan w:val="2"/>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需要补充的其他内容</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1</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异议、投诉处理</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 投标人或者其他利害关系人就本项目的</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（含澄清修改）、开标情况、评标结果等事项提出投诉的，应当先向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提出异议；</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应当在规定时间内答复；对</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的答复不满意，可向行政监督部门投诉。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提出异议或投诉时应当包括下列内容：</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（2）被异议</w:t>
            </w:r>
            <w:r>
              <w:rPr>
                <w:rFonts w:hint="eastAsia" w:ascii="宋体" w:hAnsi="宋体" w:eastAsia="宋体" w:cs="宋体"/>
                <w:color w:val="auto"/>
                <w:kern w:val="0"/>
                <w:szCs w:val="21"/>
                <w:highlight w:val="none"/>
                <w:lang w:val="en-US" w:eastAsia="zh-CN"/>
              </w:rPr>
              <w:t>人</w:t>
            </w:r>
            <w:r>
              <w:rPr>
                <w:rFonts w:hint="eastAsia" w:ascii="宋体" w:hAnsi="宋体" w:eastAsia="宋体" w:cs="宋体"/>
                <w:color w:val="auto"/>
                <w:kern w:val="0"/>
                <w:szCs w:val="21"/>
                <w:highlight w:val="none"/>
              </w:rPr>
              <w:t>或</w:t>
            </w:r>
            <w:r>
              <w:rPr>
                <w:rFonts w:hint="eastAsia" w:ascii="宋体" w:hAnsi="宋体" w:eastAsia="宋体" w:cs="宋体"/>
                <w:color w:val="auto"/>
                <w:kern w:val="0"/>
                <w:szCs w:val="21"/>
                <w:highlight w:val="none"/>
                <w:lang w:val="en-US" w:eastAsia="zh-CN"/>
              </w:rPr>
              <w:t>被</w:t>
            </w:r>
            <w:r>
              <w:rPr>
                <w:rFonts w:hint="eastAsia" w:ascii="宋体" w:hAnsi="宋体" w:eastAsia="宋体" w:cs="宋体"/>
                <w:color w:val="auto"/>
                <w:kern w:val="0"/>
                <w:szCs w:val="21"/>
                <w:highlight w:val="none"/>
              </w:rPr>
              <w:t>投诉人的名称、地址及有效联系方式；</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（3）异议或投诉事项的基本事实；</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（4）请求及主张；</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（5）涉及事项的证据、证明材料。</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异议人或投诉人是法人的，异议书或投诉书必须由其法定代表人或者委托代理人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并加盖单位公章；异议人或投诉人是其他组织或者自然人的，异议书或投诉书必须由其主要负责人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或者异议人（或投诉人）本人</w:t>
            </w:r>
            <w:r>
              <w:rPr>
                <w:rFonts w:hint="eastAsia" w:ascii="宋体" w:hAnsi="宋体" w:eastAsia="宋体" w:cs="宋体"/>
                <w:color w:val="auto"/>
                <w:kern w:val="0"/>
                <w:szCs w:val="21"/>
                <w:highlight w:val="none"/>
                <w:lang w:val="en-US" w:eastAsia="zh-CN"/>
              </w:rPr>
              <w:t>签名</w:t>
            </w:r>
            <w:r>
              <w:rPr>
                <w:rFonts w:hint="eastAsia" w:ascii="宋体" w:hAnsi="宋体" w:eastAsia="宋体" w:cs="宋体"/>
                <w:color w:val="auto"/>
                <w:kern w:val="0"/>
                <w:szCs w:val="21"/>
                <w:highlight w:val="none"/>
              </w:rPr>
              <w:t>，并附有效身份证明。如有关材料是外文，应当同时提供中文译本。</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 行政监督部门依照《中华人民共和国招标投标法》、《中华人民共和国招标投标法实施条例》、《公路工程建设项目招标投标管理办法》、《重庆市招标投标条例》、《工程建设项目招标投标活动投诉处理办法》（七部委令第11号（根据九部门2013年第23号令修正））、《关于印发&lt;重庆市招标投标活动投诉处理实施细则（修订）&gt;的通知》（渝公管发〔2021〕54号）等法律法规文件处理投诉。</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 根据《重庆市工程建设领域招标投标信用管理暂行办法》的规定，投标人捏造事实、伪造材料，或者以非法手段获取证明材料进行质疑或者投诉的，将被列入黑名单管理；给他人造成损失的，依法承担赔偿责任。</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 异议受理单位：</w:t>
            </w:r>
            <w:r>
              <w:rPr>
                <w:rFonts w:hint="eastAsia" w:ascii="宋体" w:hAnsi="宋体" w:cs="宋体"/>
                <w:color w:val="auto"/>
                <w:kern w:val="0"/>
                <w:szCs w:val="21"/>
                <w:highlight w:val="none"/>
                <w:lang w:val="en-US" w:eastAsia="zh-CN"/>
              </w:rPr>
              <w:t>垫江县普顺镇青龙村股份经济合作联合社</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1399686257</w:t>
            </w:r>
          </w:p>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投诉受理部门：</w:t>
            </w:r>
            <w:r>
              <w:rPr>
                <w:rFonts w:hint="eastAsia" w:ascii="宋体" w:hAnsi="宋体" w:eastAsia="宋体" w:cs="宋体"/>
                <w:color w:val="auto"/>
                <w:kern w:val="0"/>
                <w:szCs w:val="21"/>
                <w:highlight w:val="none"/>
                <w:lang w:val="en-US" w:eastAsia="zh-CN"/>
              </w:rPr>
              <w:t>交通局</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联系电话：</w:t>
            </w:r>
            <w:r>
              <w:rPr>
                <w:rFonts w:hint="eastAsia" w:ascii="宋体" w:hAnsi="宋体" w:eastAsia="宋体" w:cs="宋体"/>
                <w:color w:val="auto"/>
                <w:kern w:val="0"/>
                <w:szCs w:val="21"/>
                <w:highlight w:val="none"/>
                <w:lang w:val="en-US" w:eastAsia="zh-CN"/>
              </w:rPr>
              <w:t>023-74512216</w:t>
            </w:r>
            <w:r>
              <w:rPr>
                <w:rFonts w:hint="eastAsia" w:ascii="宋体" w:hAnsi="宋体" w:eastAsia="宋体" w:cs="宋体"/>
                <w:color w:val="auto"/>
                <w:kern w:val="0"/>
                <w:szCs w:val="21"/>
                <w:highlight w:val="non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2</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建筑领域实施农民工工资专用账户相关要求</w:t>
            </w:r>
          </w:p>
        </w:tc>
        <w:tc>
          <w:tcPr>
            <w:tcW w:w="6519" w:type="dxa"/>
            <w:vAlign w:val="center"/>
          </w:tcPr>
          <w:p>
            <w:pPr>
              <w:widowControl/>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本项目在实施过程中，中标人必须执行</w:t>
            </w:r>
            <w:r>
              <w:rPr>
                <w:rFonts w:hint="eastAsia" w:ascii="宋体" w:hAnsi="宋体" w:eastAsia="宋体" w:cs="宋体"/>
                <w:color w:val="auto"/>
                <w:kern w:val="0"/>
                <w:szCs w:val="21"/>
                <w:highlight w:val="none"/>
                <w:u w:val="single"/>
              </w:rPr>
              <w:t>《保障农民工工资支付条例》（中华人民共和国国务院令第724号）、《交通运输部关于公路水运工程建设领域保障农民工工资支付的意见》（交公路规〔2020〕5号）、《重庆市人民政府办公厅关于全面治理拖欠农民工工资问题的实施意见》（渝府办发〔2016〕101号）</w:t>
            </w:r>
            <w:r>
              <w:rPr>
                <w:rFonts w:hint="eastAsia" w:ascii="宋体" w:hAnsi="宋体" w:eastAsia="宋体" w:cs="宋体"/>
                <w:color w:val="auto"/>
                <w:kern w:val="0"/>
                <w:szCs w:val="21"/>
                <w:highlight w:val="none"/>
              </w:rPr>
              <w:t>。</w:t>
            </w:r>
          </w:p>
          <w:p>
            <w:pPr>
              <w:widowControl/>
              <w:spacing w:line="400" w:lineRule="exact"/>
              <w:ind w:firstLine="420" w:firstLineChars="200"/>
              <w:rPr>
                <w:rFonts w:hint="eastAsia" w:ascii="宋体" w:hAnsi="宋体" w:eastAsia="宋体" w:cs="宋体"/>
                <w:i/>
                <w:color w:val="auto"/>
                <w:kern w:val="0"/>
                <w:szCs w:val="21"/>
                <w:highlight w:val="none"/>
              </w:rPr>
            </w:pPr>
            <w:r>
              <w:rPr>
                <w:rFonts w:hint="eastAsia" w:ascii="宋体" w:hAnsi="宋体" w:eastAsia="宋体" w:cs="宋体"/>
                <w:color w:val="auto"/>
                <w:kern w:val="0"/>
                <w:szCs w:val="21"/>
                <w:highlight w:val="none"/>
              </w:rPr>
              <w:t>投标人中标后，在与发包人签订的合同中，必须明确在重庆市的农民工工资专用账户信息、人工费（工资款）支付比例；在项目开工后，为农民工办理平安卡和工资卡，委托银行通过农民工工资专用账户直接将农民工工资发放至工资卡，并按照有关规定在“工资专户管理网络系统”中填报相关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.3</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cs="宋体"/>
                <w:color w:val="auto"/>
                <w:szCs w:val="21"/>
                <w:highlight w:val="none"/>
              </w:rPr>
              <w:t>异常低价警戒线</w:t>
            </w:r>
          </w:p>
        </w:tc>
        <w:tc>
          <w:tcPr>
            <w:tcW w:w="6519" w:type="dxa"/>
            <w:vAlign w:val="center"/>
          </w:tcPr>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异常低价警戒线要求：</w:t>
            </w:r>
            <w:r>
              <w:rPr>
                <w:rFonts w:hint="eastAsia" w:ascii="宋体" w:hAnsi="宋体" w:cs="宋体"/>
                <w:color w:val="auto"/>
                <w:szCs w:val="21"/>
                <w:highlight w:val="none"/>
                <w:lang w:eastAsia="zh-CN"/>
              </w:rPr>
              <w:t>单价</w:t>
            </w:r>
            <w:r>
              <w:rPr>
                <w:rFonts w:hint="eastAsia" w:ascii="宋体" w:hAnsi="宋体" w:cs="宋体"/>
                <w:color w:val="auto"/>
                <w:szCs w:val="21"/>
                <w:highlight w:val="none"/>
              </w:rPr>
              <w:t>最高限价的</w:t>
            </w:r>
            <w:r>
              <w:rPr>
                <w:rFonts w:hint="eastAsia" w:ascii="宋体" w:hAnsi="宋体" w:cs="宋体"/>
                <w:color w:val="auto"/>
                <w:szCs w:val="21"/>
                <w:highlight w:val="none"/>
                <w:u w:val="single"/>
                <w:lang w:val="en-US" w:eastAsia="zh-CN"/>
              </w:rPr>
              <w:t>85</w:t>
            </w:r>
            <w:r>
              <w:rPr>
                <w:rFonts w:hint="eastAsia" w:ascii="宋体" w:hAnsi="宋体" w:cs="宋体"/>
                <w:color w:val="auto"/>
                <w:szCs w:val="21"/>
                <w:highlight w:val="none"/>
                <w:u w:val="single"/>
              </w:rPr>
              <w:t>%</w:t>
            </w:r>
            <w:r>
              <w:rPr>
                <w:rFonts w:hint="eastAsia" w:ascii="宋体" w:hAnsi="宋体" w:cs="宋体"/>
                <w:color w:val="auto"/>
                <w:szCs w:val="21"/>
                <w:highlight w:val="none"/>
              </w:rPr>
              <w:t>。</w:t>
            </w:r>
          </w:p>
          <w:p>
            <w:pPr>
              <w:pStyle w:val="2"/>
              <w:spacing w:after="0" w:line="40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投标人</w:t>
            </w:r>
            <w:r>
              <w:rPr>
                <w:rFonts w:hint="eastAsia" w:ascii="宋体" w:hAnsi="宋体" w:cs="宋体"/>
                <w:color w:val="auto"/>
                <w:szCs w:val="21"/>
                <w:highlight w:val="none"/>
                <w:lang w:eastAsia="zh-CN"/>
              </w:rPr>
              <w:t>投标单价</w:t>
            </w:r>
            <w:r>
              <w:rPr>
                <w:rFonts w:hint="eastAsia" w:ascii="宋体" w:hAnsi="宋体" w:cs="宋体"/>
                <w:color w:val="auto"/>
                <w:szCs w:val="21"/>
                <w:highlight w:val="none"/>
              </w:rPr>
              <w:t>报价低于招标文件规定的对应的异常低价警戒线的，应提供报价合理性说明，并提供必要的证明材料。投标人提供的说明不得降低或者改变原设计方案、技术工艺、施工标准，不得影响项目的质量、安全、工期、结算等正常履约。</w:t>
            </w:r>
          </w:p>
          <w:p>
            <w:pPr>
              <w:widowControl/>
              <w:spacing w:line="400" w:lineRule="exact"/>
              <w:ind w:firstLine="420" w:firstLineChars="200"/>
              <w:rPr>
                <w:rFonts w:hint="eastAsia"/>
                <w:color w:val="auto"/>
                <w:highlight w:val="none"/>
              </w:rPr>
            </w:pPr>
            <w:r>
              <w:rPr>
                <w:rFonts w:hint="eastAsia" w:ascii="宋体" w:hAnsi="宋体" w:cs="宋体"/>
                <w:color w:val="auto"/>
                <w:szCs w:val="21"/>
                <w:highlight w:val="none"/>
              </w:rPr>
              <w:t>投标人投标总报价或者部分单项报价低于招标文件规定的对应的异常低价警戒线的，投标人未提供报价合理性说明或者提供的说明不能证明其报价合理性的，</w:t>
            </w:r>
            <w:r>
              <w:rPr>
                <w:rFonts w:hint="eastAsia"/>
                <w:color w:val="auto"/>
                <w:highlight w:val="none"/>
              </w:rPr>
              <w:t>由评标委员会作否决投标处理</w:t>
            </w:r>
            <w:r>
              <w:rPr>
                <w:rFonts w:hint="eastAsia" w:ascii="宋体" w:hAnsi="宋体" w:cs="宋体"/>
                <w:color w:val="auto"/>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4</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及投标争议的解释</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的评标标准和方法，以及资格审查和否决投标条款理解有争议的，应当作出不利于</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的解释，但违背国家利益、社会公共利益的除外。</w:t>
            </w:r>
          </w:p>
          <w:p>
            <w:pPr>
              <w:autoSpaceDE w:val="0"/>
              <w:autoSpaceDN w:val="0"/>
              <w:adjustRightInd w:val="0"/>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对投标文件理解有争议的，应当作出不利于提交该投标文件的投标人的解释。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5</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重新招标</w:t>
            </w:r>
            <w:r>
              <w:rPr>
                <w:rFonts w:hint="eastAsia" w:ascii="宋体" w:hAnsi="宋体" w:eastAsia="宋体" w:cs="宋体"/>
                <w:color w:val="auto"/>
                <w:kern w:val="0"/>
                <w:szCs w:val="21"/>
                <w:highlight w:val="none"/>
                <w:lang w:val="en-US" w:eastAsia="zh-CN"/>
              </w:rPr>
              <w:t>的情形</w:t>
            </w:r>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有下列情形之一的，</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将重新招标：</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（1）投标截止时间止，投标人少于 3 个的；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（2）经评标委员会评审后否决所有投标的；</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（3）经评标委员会评审后部分投标被否决，导致有效投标人不足三个的，评标委员会应当否决所有投标。但是有效投标人的经济、技术等指标仍然具有市场竞争力，能够满足</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要求的，评标委员会可以继续评标并确定中标候选人；</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注：本款只适用于首次招标。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6</w:t>
            </w:r>
          </w:p>
        </w:tc>
        <w:tc>
          <w:tcPr>
            <w:tcW w:w="1615" w:type="dxa"/>
            <w:vAlign w:val="center"/>
          </w:tcPr>
          <w:p>
            <w:pPr>
              <w:snapToGrid w:val="0"/>
              <w:spacing w:line="400" w:lineRule="exact"/>
              <w:jc w:val="center"/>
              <w:rPr>
                <w:rFonts w:hint="eastAsia" w:ascii="宋体" w:hAnsi="宋体" w:eastAsia="宋体" w:cs="宋体"/>
                <w:color w:val="auto"/>
                <w:szCs w:val="21"/>
                <w:highlight w:val="none"/>
              </w:rPr>
            </w:pPr>
            <w:bookmarkStart w:id="126" w:name="_Toc509218709"/>
            <w:bookmarkStart w:id="127" w:name="_Toc536628250"/>
            <w:bookmarkStart w:id="128" w:name="_Toc16930431"/>
            <w:bookmarkStart w:id="129" w:name="_Toc13210670"/>
            <w:bookmarkStart w:id="130" w:name="_Toc430530434"/>
            <w:r>
              <w:rPr>
                <w:rFonts w:hint="eastAsia" w:ascii="宋体" w:hAnsi="宋体" w:eastAsia="宋体" w:cs="宋体"/>
                <w:color w:val="auto"/>
                <w:kern w:val="0"/>
                <w:szCs w:val="21"/>
                <w:highlight w:val="none"/>
                <w:lang w:val="en-US" w:eastAsia="zh-CN"/>
              </w:rPr>
              <w:t>重新</w:t>
            </w:r>
            <w:r>
              <w:rPr>
                <w:rFonts w:hint="eastAsia" w:ascii="宋体" w:hAnsi="宋体" w:eastAsia="宋体" w:cs="宋体"/>
                <w:color w:val="auto"/>
                <w:kern w:val="0"/>
                <w:szCs w:val="21"/>
                <w:highlight w:val="none"/>
              </w:rPr>
              <w:t>招标和不再招标</w:t>
            </w:r>
            <w:bookmarkEnd w:id="126"/>
            <w:bookmarkEnd w:id="127"/>
            <w:bookmarkEnd w:id="128"/>
            <w:bookmarkEnd w:id="129"/>
            <w:bookmarkEnd w:id="130"/>
          </w:p>
        </w:tc>
        <w:tc>
          <w:tcPr>
            <w:tcW w:w="6519" w:type="dxa"/>
            <w:vAlign w:val="center"/>
          </w:tcPr>
          <w:p>
            <w:pPr>
              <w:autoSpaceDE w:val="0"/>
              <w:autoSpaceDN w:val="0"/>
              <w:adjustRightInd w:val="0"/>
              <w:snapToGri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重新招标的投标人仍然少于三个的，按照招标投标法律法规规定的程序开标和评标。重新招标经评审有有效投标人的，应当依法确定中标候选人；无有效投标人的，可以不再进行招标，但是按照国家有关规定需要履行审批、核准、备案手续的依法必须进行招标的项目，应当报原项目投资主管部门审批、核准、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10.</w:t>
            </w:r>
            <w:r>
              <w:rPr>
                <w:rFonts w:hint="eastAsia" w:ascii="宋体" w:hAnsi="宋体" w:cs="宋体"/>
                <w:color w:val="auto"/>
                <w:kern w:val="0"/>
                <w:szCs w:val="21"/>
                <w:highlight w:val="none"/>
                <w:lang w:val="en-US" w:eastAsia="zh-CN"/>
              </w:rPr>
              <w:t>7</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结算方式</w:t>
            </w:r>
          </w:p>
        </w:tc>
        <w:tc>
          <w:tcPr>
            <w:tcW w:w="6519" w:type="dxa"/>
            <w:vAlign w:val="center"/>
          </w:tcPr>
          <w:p>
            <w:pPr>
              <w:autoSpaceDE w:val="0"/>
              <w:autoSpaceDN w:val="0"/>
              <w:adjustRightInd w:val="0"/>
              <w:snapToGrid w:val="0"/>
              <w:spacing w:line="400" w:lineRule="exact"/>
              <w:ind w:firstLine="420" w:firstLineChars="200"/>
              <w:rPr>
                <w:rFonts w:hint="eastAsia"/>
                <w:color w:val="auto"/>
                <w:highlight w:val="none"/>
                <w:lang w:val="en-US" w:eastAsia="zh-CN"/>
              </w:rPr>
            </w:pPr>
            <w:bookmarkStart w:id="131" w:name="OLE_LINK12"/>
            <w:r>
              <w:rPr>
                <w:rFonts w:hint="eastAsia"/>
                <w:color w:val="auto"/>
                <w:highlight w:val="none"/>
                <w:lang w:val="en-US" w:eastAsia="zh-CN"/>
              </w:rPr>
              <w:t>本项目实行低价中标法（含安全生产费、税费等一切费用）的单价×实际验收里程＝结算价；护栏结算方式：护栏长度×12万元/公里</w:t>
            </w:r>
          </w:p>
          <w:p>
            <w:pPr>
              <w:autoSpaceDE w:val="0"/>
              <w:autoSpaceDN w:val="0"/>
              <w:adjustRightInd w:val="0"/>
              <w:snapToGrid w:val="0"/>
              <w:spacing w:line="400" w:lineRule="exact"/>
              <w:ind w:firstLine="420" w:firstLineChars="200"/>
              <w:rPr>
                <w:rFonts w:hint="eastAsia"/>
                <w:color w:val="auto"/>
                <w:highlight w:val="none"/>
                <w:lang w:val="en-US" w:eastAsia="zh-CN"/>
              </w:rPr>
            </w:pPr>
            <w:r>
              <w:rPr>
                <w:rFonts w:hint="eastAsia"/>
                <w:color w:val="auto"/>
                <w:highlight w:val="none"/>
                <w:lang w:val="en-US" w:eastAsia="zh-CN"/>
              </w:rPr>
              <w:t>注：1.包含但不限于工程直接费用、临时费、安全生产费、二次转运费、平场费、管理费、措施费、利润、税金、政策性文件规定的所有费用，以及施工中场地内的清洁及产生的废渣、弃土、垃圾等的清除处理费），按实际交工验收据实结算</w:t>
            </w:r>
            <w:bookmarkEnd w:id="131"/>
            <w:r>
              <w:rPr>
                <w:rFonts w:hint="eastAsia"/>
                <w:color w:val="auto"/>
                <w:highlight w:val="none"/>
                <w:lang w:val="en-US" w:eastAsia="zh-CN"/>
              </w:rPr>
              <w:t>；</w:t>
            </w:r>
          </w:p>
          <w:p>
            <w:pPr>
              <w:pStyle w:val="2"/>
              <w:ind w:firstLine="420" w:firstLineChars="200"/>
              <w:rPr>
                <w:rFonts w:hint="default"/>
                <w:color w:val="auto"/>
                <w:highlight w:val="none"/>
                <w:lang w:val="en-US"/>
              </w:rPr>
            </w:pPr>
            <w:r>
              <w:rPr>
                <w:rFonts w:hint="eastAsia" w:ascii="宋体" w:hAnsi="宋体" w:eastAsia="宋体" w:cs="宋体"/>
                <w:snapToGrid w:val="0"/>
                <w:color w:val="auto"/>
                <w:kern w:val="0"/>
                <w:szCs w:val="21"/>
                <w:highlight w:val="none"/>
                <w:lang w:val="en-US" w:eastAsia="zh-CN"/>
              </w:rPr>
              <w:t>2.追加或减少工程量必须征得比选人同意。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35" w:type="dxa"/>
            <w:vAlign w:val="center"/>
          </w:tcPr>
          <w:p>
            <w:pPr>
              <w:snapToGrid w:val="0"/>
              <w:spacing w:line="400" w:lineRule="exact"/>
              <w:jc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8</w:t>
            </w:r>
          </w:p>
        </w:tc>
        <w:tc>
          <w:tcPr>
            <w:tcW w:w="1615" w:type="dxa"/>
            <w:vAlign w:val="center"/>
          </w:tcPr>
          <w:p>
            <w:pPr>
              <w:snapToGrid w:val="0"/>
              <w:spacing w:line="400" w:lineRule="exact"/>
              <w:jc w:val="center"/>
              <w:rPr>
                <w:rFonts w:hint="eastAsia" w:ascii="宋体" w:hAnsi="宋体" w:eastAsia="宋体" w:cs="宋体"/>
                <w:b w:val="0"/>
                <w:bCs w:val="0"/>
                <w:color w:val="auto"/>
                <w:kern w:val="0"/>
                <w:sz w:val="21"/>
                <w:szCs w:val="21"/>
                <w:highlight w:val="none"/>
                <w:lang w:val="en-US" w:eastAsia="zh-CN" w:bidi="ar-SA"/>
              </w:rPr>
            </w:pPr>
            <w:r>
              <w:rPr>
                <w:rFonts w:hint="eastAsia" w:ascii="宋体" w:hAnsi="宋体" w:eastAsia="宋体" w:cs="宋体"/>
                <w:b w:val="0"/>
                <w:bCs w:val="0"/>
                <w:color w:val="auto"/>
                <w:kern w:val="0"/>
                <w:szCs w:val="21"/>
                <w:highlight w:val="none"/>
              </w:rPr>
              <w:t>工程款支付方式</w:t>
            </w:r>
          </w:p>
        </w:tc>
        <w:tc>
          <w:tcPr>
            <w:tcW w:w="6519" w:type="dxa"/>
            <w:vAlign w:val="center"/>
          </w:tcPr>
          <w:p>
            <w:pPr>
              <w:spacing w:line="360" w:lineRule="auto"/>
              <w:ind w:firstLine="420" w:firstLineChars="200"/>
              <w:rPr>
                <w:rFonts w:hint="eastAsia" w:ascii="宋体" w:hAnsi="宋体" w:eastAsia="宋体" w:cs="宋体"/>
                <w:b w:val="0"/>
                <w:bCs w:val="0"/>
                <w:snapToGrid w:val="0"/>
                <w:color w:val="auto"/>
                <w:kern w:val="0"/>
                <w:sz w:val="21"/>
                <w:szCs w:val="21"/>
                <w:highlight w:val="none"/>
                <w:lang w:val="en-US" w:eastAsia="zh-CN" w:bidi="ar-SA"/>
              </w:rPr>
            </w:pPr>
            <w:r>
              <w:rPr>
                <w:rFonts w:hint="eastAsia" w:ascii="宋体" w:hAnsi="宋体" w:eastAsia="宋体" w:cs="宋体"/>
                <w:color w:val="auto"/>
                <w:szCs w:val="21"/>
                <w:highlight w:val="none"/>
                <w:lang w:val="en-US" w:eastAsia="zh-CN"/>
              </w:rPr>
              <w:t>本工程为全垫资工程，工程经交通局验收合格后，由交通局下达资金计划后一次性付清。质量保证期满一年后无息退还质量保证金。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5" w:type="dxa"/>
            <w:vAlign w:val="center"/>
          </w:tcPr>
          <w:p>
            <w:pPr>
              <w:snapToGrid w:val="0"/>
              <w:spacing w:line="400" w:lineRule="exact"/>
              <w:jc w:val="center"/>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10.</w:t>
            </w:r>
            <w:r>
              <w:rPr>
                <w:rFonts w:hint="eastAsia" w:ascii="宋体" w:hAnsi="宋体" w:cs="宋体"/>
                <w:color w:val="auto"/>
                <w:kern w:val="0"/>
                <w:szCs w:val="21"/>
                <w:highlight w:val="none"/>
                <w:lang w:val="en-US" w:eastAsia="zh-CN"/>
              </w:rPr>
              <w:t>9</w:t>
            </w:r>
          </w:p>
        </w:tc>
        <w:tc>
          <w:tcPr>
            <w:tcW w:w="1615" w:type="dxa"/>
            <w:vAlign w:val="center"/>
          </w:tcPr>
          <w:p>
            <w:pPr>
              <w:snapToGrid w:val="0"/>
              <w:spacing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其他</w:t>
            </w:r>
          </w:p>
        </w:tc>
        <w:tc>
          <w:tcPr>
            <w:tcW w:w="6519" w:type="dxa"/>
            <w:vAlign w:val="center"/>
          </w:tcPr>
          <w:p>
            <w:pPr>
              <w:numPr>
                <w:ilvl w:val="0"/>
                <w:numId w:val="0"/>
              </w:numPr>
              <w:autoSpaceDE w:val="0"/>
              <w:autoSpaceDN w:val="0"/>
              <w:adjustRightInd w:val="0"/>
              <w:snapToGrid w:val="0"/>
              <w:spacing w:line="400" w:lineRule="exact"/>
              <w:ind w:firstLine="420" w:firstLineChars="200"/>
              <w:jc w:val="left"/>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1.</w:t>
            </w:r>
            <w:r>
              <w:rPr>
                <w:rFonts w:hint="eastAsia" w:ascii="宋体" w:hAnsi="宋体" w:eastAsia="宋体" w:cs="宋体"/>
                <w:color w:val="auto"/>
                <w:highlight w:val="none"/>
                <w:lang w:val="en-US" w:eastAsia="zh-CN"/>
              </w:rPr>
              <w:t>本项目比选代理服务费为2000.00元，由</w:t>
            </w:r>
            <w:r>
              <w:rPr>
                <w:rFonts w:hint="eastAsia" w:ascii="宋体" w:hAnsi="宋体" w:cs="宋体"/>
                <w:color w:val="auto"/>
                <w:highlight w:val="none"/>
                <w:lang w:val="en-US" w:eastAsia="zh-CN"/>
              </w:rPr>
              <w:t>比选人</w:t>
            </w:r>
            <w:r>
              <w:rPr>
                <w:rFonts w:hint="eastAsia" w:ascii="宋体" w:hAnsi="宋体" w:eastAsia="宋体" w:cs="宋体"/>
                <w:color w:val="auto"/>
                <w:highlight w:val="none"/>
                <w:lang w:val="en-US" w:eastAsia="zh-CN"/>
              </w:rPr>
              <w:t>向比选代理机构缴纳。</w:t>
            </w:r>
          </w:p>
          <w:p>
            <w:pPr>
              <w:pStyle w:val="2"/>
              <w:numPr>
                <w:ilvl w:val="0"/>
                <w:numId w:val="0"/>
              </w:numPr>
              <w:ind w:firstLine="420" w:firstLineChars="200"/>
              <w:rPr>
                <w:rFonts w:hint="eastAsia" w:ascii="宋体" w:hAnsi="宋体" w:eastAsia="宋体" w:cs="宋体"/>
                <w:color w:val="auto"/>
                <w:highlight w:val="none"/>
                <w:lang w:val="en-US" w:eastAsia="zh-CN"/>
              </w:rPr>
            </w:pPr>
            <w:bookmarkStart w:id="132" w:name="OLE_LINK20"/>
            <w:r>
              <w:rPr>
                <w:rFonts w:hint="eastAsia" w:ascii="宋体" w:hAnsi="宋体" w:eastAsia="宋体" w:cs="宋体"/>
                <w:color w:val="auto"/>
                <w:kern w:val="2"/>
                <w:sz w:val="21"/>
                <w:szCs w:val="24"/>
                <w:highlight w:val="none"/>
                <w:lang w:val="en-US" w:eastAsia="zh-CN" w:bidi="ar-SA"/>
              </w:rPr>
              <w:t>2.中标人不按招标文件规定的时间领取中标通知书、签订合同、进场施工的，将如实记录，根据情况纳入普顺镇失信企业，没收投标保证金，同时将征信情况上报县级有关主管部门</w:t>
            </w:r>
            <w:bookmarkEnd w:id="132"/>
          </w:p>
        </w:tc>
      </w:tr>
    </w:tbl>
    <w:p>
      <w:pPr>
        <w:spacing w:line="360" w:lineRule="auto"/>
        <w:jc w:val="left"/>
        <w:rPr>
          <w:rFonts w:hint="eastAsia" w:ascii="宋体" w:hAnsi="宋体" w:eastAsia="宋体" w:cs="宋体"/>
          <w:b/>
          <w:bCs/>
          <w:color w:val="auto"/>
          <w:sz w:val="28"/>
          <w:szCs w:val="28"/>
          <w:highlight w:val="none"/>
        </w:rPr>
      </w:pPr>
      <w:bookmarkStart w:id="133" w:name="_Toc287607746"/>
      <w:bookmarkStart w:id="134" w:name="_Toc200513126"/>
      <w:bookmarkStart w:id="135" w:name="_Toc224103317"/>
      <w:bookmarkStart w:id="136" w:name="_Toc430530435"/>
      <w:bookmarkStart w:id="137" w:name="_Toc277082552"/>
      <w:bookmarkStart w:id="138" w:name="_Toc287620685"/>
      <w:r>
        <w:rPr>
          <w:rFonts w:hint="eastAsia" w:ascii="宋体" w:hAnsi="宋体" w:eastAsia="宋体" w:cs="宋体"/>
          <w:b/>
          <w:bCs/>
          <w:color w:val="auto"/>
          <w:sz w:val="28"/>
          <w:szCs w:val="28"/>
          <w:highlight w:val="none"/>
        </w:rPr>
        <w:t xml:space="preserve"> </w:t>
      </w:r>
      <w:bookmarkEnd w:id="133"/>
      <w:bookmarkEnd w:id="134"/>
      <w:bookmarkEnd w:id="135"/>
      <w:bookmarkEnd w:id="136"/>
      <w:bookmarkEnd w:id="137"/>
      <w:bookmarkEnd w:id="138"/>
      <w:r>
        <w:rPr>
          <w:rFonts w:hint="eastAsia" w:ascii="宋体" w:hAnsi="宋体" w:eastAsia="宋体" w:cs="宋体"/>
          <w:b/>
          <w:bCs/>
          <w:color w:val="auto"/>
          <w:sz w:val="28"/>
          <w:szCs w:val="28"/>
          <w:highlight w:val="none"/>
        </w:rPr>
        <w:br w:type="page"/>
      </w:r>
    </w:p>
    <w:p>
      <w:pPr>
        <w:spacing w:line="360" w:lineRule="auto"/>
        <w:jc w:val="left"/>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以下部分为投标人须知正文。</w:t>
      </w:r>
    </w:p>
    <w:p>
      <w:pPr>
        <w:pStyle w:val="4"/>
        <w:spacing w:before="0" w:after="0" w:line="360" w:lineRule="auto"/>
        <w:rPr>
          <w:rFonts w:hint="eastAsia" w:ascii="宋体" w:hAnsi="宋体" w:eastAsia="宋体" w:cs="宋体"/>
          <w:color w:val="auto"/>
          <w:sz w:val="28"/>
          <w:szCs w:val="28"/>
          <w:highlight w:val="none"/>
        </w:rPr>
      </w:pPr>
      <w:bookmarkStart w:id="139" w:name="_Toc25520"/>
      <w:r>
        <w:rPr>
          <w:rFonts w:hint="eastAsia" w:ascii="宋体" w:hAnsi="宋体" w:eastAsia="宋体" w:cs="宋体"/>
          <w:color w:val="auto"/>
          <w:sz w:val="28"/>
          <w:szCs w:val="28"/>
          <w:highlight w:val="none"/>
        </w:rPr>
        <w:t>1. 总则</w:t>
      </w:r>
      <w:bookmarkEnd w:id="139"/>
    </w:p>
    <w:p>
      <w:pPr>
        <w:pStyle w:val="5"/>
        <w:spacing w:before="0" w:after="0" w:line="360" w:lineRule="auto"/>
        <w:rPr>
          <w:rFonts w:hint="eastAsia" w:ascii="宋体" w:hAnsi="宋体" w:eastAsia="宋体" w:cs="宋体"/>
          <w:color w:val="auto"/>
          <w:sz w:val="21"/>
          <w:szCs w:val="21"/>
          <w:highlight w:val="none"/>
        </w:rPr>
      </w:pPr>
      <w:bookmarkStart w:id="140" w:name="_Toc29221"/>
      <w:r>
        <w:rPr>
          <w:rFonts w:hint="eastAsia" w:ascii="宋体" w:hAnsi="宋体" w:eastAsia="宋体" w:cs="宋体"/>
          <w:color w:val="auto"/>
          <w:sz w:val="21"/>
          <w:szCs w:val="21"/>
          <w:highlight w:val="none"/>
        </w:rPr>
        <w:t>1.1 项目概况</w:t>
      </w:r>
      <w:bookmarkEnd w:id="14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1.1.1 </w:t>
      </w:r>
      <w:r>
        <w:rPr>
          <w:rFonts w:hint="eastAsia" w:ascii="宋体" w:hAnsi="宋体" w:eastAsia="宋体" w:cs="宋体"/>
          <w:color w:val="auto"/>
          <w:spacing w:val="-1"/>
          <w:sz w:val="21"/>
          <w:szCs w:val="21"/>
          <w:highlight w:val="none"/>
          <w:lang w:eastAsia="zh-CN"/>
        </w:rPr>
        <w:t>根据《中华人民</w:t>
      </w:r>
      <w:r>
        <w:rPr>
          <w:rFonts w:hint="eastAsia" w:ascii="宋体" w:hAnsi="宋体" w:eastAsia="宋体" w:cs="宋体"/>
          <w:color w:val="auto"/>
          <w:sz w:val="21"/>
          <w:szCs w:val="21"/>
          <w:highlight w:val="none"/>
          <w:lang w:eastAsia="zh-CN"/>
        </w:rPr>
        <w:t>共和国招标投标法》《中华人民共和国招标投标法实施条例》《公路工程建设项目招标投标管理办法》等有关法律、法规和规章的规定，本比选项目已具备的招标条件见投标人须知前附表，现对本标段施工进行招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 本比选项目比选人：见投标人须知前附表。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1.1.3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比选代理机构：见投标人须知前附表。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1.1.4 本比选项目名称：见投标人须知前附表。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1.1.5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建设地点：见投标人须知前附表。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1.1.6 本</w:t>
      </w:r>
      <w:r>
        <w:rPr>
          <w:rFonts w:hint="eastAsia" w:ascii="宋体" w:hAnsi="宋体" w:eastAsia="宋体" w:cs="宋体"/>
          <w:color w:val="auto"/>
          <w:sz w:val="21"/>
          <w:szCs w:val="21"/>
          <w:highlight w:val="none"/>
          <w:lang w:val="en-US" w:eastAsia="zh-CN"/>
        </w:rPr>
        <w:t>比选项目</w:t>
      </w:r>
      <w:r>
        <w:rPr>
          <w:rFonts w:hint="eastAsia" w:ascii="宋体" w:hAnsi="宋体" w:eastAsia="宋体" w:cs="宋体"/>
          <w:color w:val="auto"/>
          <w:sz w:val="21"/>
          <w:szCs w:val="21"/>
          <w:highlight w:val="none"/>
          <w:lang w:eastAsia="zh-CN"/>
        </w:rPr>
        <w:t>相关单位：见投标人须知前附表。</w:t>
      </w:r>
    </w:p>
    <w:p>
      <w:pPr>
        <w:pStyle w:val="5"/>
        <w:spacing w:before="0" w:after="0" w:line="360" w:lineRule="auto"/>
        <w:rPr>
          <w:rFonts w:hint="eastAsia" w:ascii="宋体" w:hAnsi="宋体" w:eastAsia="宋体" w:cs="宋体"/>
          <w:color w:val="auto"/>
          <w:sz w:val="21"/>
          <w:szCs w:val="21"/>
          <w:highlight w:val="none"/>
        </w:rPr>
      </w:pPr>
      <w:bookmarkStart w:id="141" w:name="_Toc9893"/>
      <w:r>
        <w:rPr>
          <w:rFonts w:hint="eastAsia" w:ascii="宋体" w:hAnsi="宋体" w:eastAsia="宋体" w:cs="宋体"/>
          <w:color w:val="auto"/>
          <w:sz w:val="21"/>
          <w:szCs w:val="21"/>
          <w:highlight w:val="none"/>
        </w:rPr>
        <w:t xml:space="preserve">1.2 </w:t>
      </w:r>
      <w:r>
        <w:rPr>
          <w:rFonts w:hint="eastAsia" w:ascii="宋体" w:hAnsi="宋体" w:eastAsia="宋体" w:cs="宋体"/>
          <w:color w:val="auto"/>
          <w:sz w:val="21"/>
          <w:szCs w:val="21"/>
          <w:highlight w:val="none"/>
          <w:lang w:eastAsia="zh-CN"/>
        </w:rPr>
        <w:t>比选项目</w:t>
      </w:r>
      <w:r>
        <w:rPr>
          <w:rFonts w:hint="eastAsia" w:ascii="宋体" w:hAnsi="宋体" w:eastAsia="宋体" w:cs="宋体"/>
          <w:color w:val="auto"/>
          <w:sz w:val="21"/>
          <w:szCs w:val="21"/>
          <w:highlight w:val="none"/>
        </w:rPr>
        <w:t>的资金来源和落实情况</w:t>
      </w:r>
      <w:bookmarkEnd w:id="14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1.2.1 资金来源及比例：见投标人须知前附表。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1.2.2 资金落实情况：见投标人须知前附表。</w:t>
      </w:r>
    </w:p>
    <w:p>
      <w:pPr>
        <w:pStyle w:val="5"/>
        <w:spacing w:before="0" w:after="0" w:line="360" w:lineRule="auto"/>
        <w:rPr>
          <w:rFonts w:hint="eastAsia" w:ascii="宋体" w:hAnsi="宋体" w:eastAsia="宋体" w:cs="宋体"/>
          <w:color w:val="auto"/>
          <w:sz w:val="21"/>
          <w:szCs w:val="21"/>
          <w:highlight w:val="none"/>
        </w:rPr>
      </w:pPr>
      <w:bookmarkStart w:id="142" w:name="_Toc15611"/>
      <w:r>
        <w:rPr>
          <w:rFonts w:hint="eastAsia" w:ascii="宋体" w:hAnsi="宋体" w:eastAsia="宋体" w:cs="宋体"/>
          <w:color w:val="auto"/>
          <w:sz w:val="21"/>
          <w:szCs w:val="21"/>
          <w:highlight w:val="none"/>
        </w:rPr>
        <w:t>1.3 招标范围、计划工期、质量要求和安全目标</w:t>
      </w:r>
      <w:bookmarkEnd w:id="14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1.3.1 招标范围：见投标人须知前附表。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1.3.2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计划工期：见投标人须知前附表。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1.3.3 质量要求：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1.3.4 安全目标：</w:t>
      </w:r>
      <w:r>
        <w:rPr>
          <w:rFonts w:hint="eastAsia" w:ascii="宋体" w:hAnsi="宋体" w:eastAsia="宋体" w:cs="宋体"/>
          <w:color w:val="auto"/>
          <w:sz w:val="21"/>
          <w:szCs w:val="21"/>
          <w:highlight w:val="none"/>
          <w:lang w:eastAsia="zh-CN"/>
        </w:rPr>
        <w:t>见投标人须知前附表。</w:t>
      </w:r>
    </w:p>
    <w:p>
      <w:pPr>
        <w:pStyle w:val="5"/>
        <w:spacing w:before="0" w:after="0" w:line="360" w:lineRule="auto"/>
        <w:rPr>
          <w:rFonts w:hint="eastAsia" w:ascii="宋体" w:hAnsi="宋体" w:eastAsia="宋体" w:cs="宋体"/>
          <w:color w:val="auto"/>
          <w:sz w:val="21"/>
          <w:szCs w:val="21"/>
          <w:highlight w:val="none"/>
        </w:rPr>
      </w:pPr>
      <w:bookmarkStart w:id="143" w:name="_Toc9255"/>
      <w:r>
        <w:rPr>
          <w:rFonts w:hint="eastAsia" w:ascii="宋体" w:hAnsi="宋体" w:eastAsia="宋体" w:cs="宋体"/>
          <w:color w:val="auto"/>
          <w:sz w:val="21"/>
          <w:szCs w:val="21"/>
          <w:highlight w:val="none"/>
        </w:rPr>
        <w:t>1.4 投标人资格要求</w:t>
      </w:r>
      <w:bookmarkEnd w:id="14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1.4.1 投标人应具备承担本项目施工的资质条件、能力和信誉。</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（1）资质条件、营业执照及安全生产条件：见投标人须知前附表；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（2）财务要求：见投标人须知前附表；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（3）业绩要求：见投标人须知前附表；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lang w:eastAsia="zh-CN" w:bidi="ar"/>
        </w:rPr>
        <w:t>投标截止日投标资格情况要求</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（5）项目经理和项目总工资格：见投标人须知前附表；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（6）其他管理和技术人员要求：见投标人须知前附表；</w:t>
      </w:r>
    </w:p>
    <w:p>
      <w:pPr>
        <w:pStyle w:val="62"/>
        <w:tabs>
          <w:tab w:val="left" w:pos="1647"/>
        </w:tabs>
        <w:spacing w:line="360" w:lineRule="auto"/>
        <w:ind w:left="0" w:firstLineChars="200"/>
        <w:rPr>
          <w:rFonts w:hint="eastAsia" w:ascii="宋体" w:hAnsi="宋体" w:eastAsia="宋体" w:cs="宋体"/>
          <w:color w:val="auto"/>
          <w:sz w:val="21"/>
          <w:szCs w:val="21"/>
          <w:highlight w:val="none"/>
          <w:lang w:val="ru-RU" w:bidi="ar-SA"/>
        </w:rPr>
      </w:pPr>
      <w:r>
        <w:rPr>
          <w:rFonts w:hint="eastAsia" w:ascii="宋体" w:hAnsi="宋体" w:eastAsia="宋体" w:cs="宋体"/>
          <w:color w:val="auto"/>
          <w:sz w:val="21"/>
          <w:szCs w:val="21"/>
          <w:highlight w:val="none"/>
          <w:lang w:val="ru-RU" w:bidi="ar-SA"/>
        </w:rPr>
        <w:t>（7）主要机械设备和试验检测设备要求：见投标人须知前附表；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（8）其他要求：见投标人须知前附表。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1.4.2 投标人须知前附表规定接受联合体投标的，联合体应当符合本</w:t>
      </w:r>
      <w:r>
        <w:rPr>
          <w:rFonts w:hint="eastAsia" w:ascii="宋体" w:hAnsi="宋体" w:eastAsia="宋体" w:cs="宋体"/>
          <w:color w:val="auto"/>
          <w:sz w:val="21"/>
          <w:szCs w:val="21"/>
          <w:highlight w:val="none"/>
          <w:lang w:val="en-US" w:eastAsia="zh-CN"/>
        </w:rPr>
        <w:t>章第</w:t>
      </w:r>
      <w:r>
        <w:rPr>
          <w:rFonts w:hint="eastAsia" w:ascii="宋体" w:hAnsi="宋体" w:eastAsia="宋体" w:cs="宋体"/>
          <w:color w:val="auto"/>
          <w:sz w:val="21"/>
          <w:szCs w:val="21"/>
          <w:highlight w:val="none"/>
          <w:lang w:eastAsia="zh-CN"/>
        </w:rPr>
        <w:t>1.4.1 项和投标人须知前附表的要求外，还应遵守以下规定：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（1）联合体各方应按比选文件提供的格式签订联合体协议书，明确联合体牵头人和各方权利义务 ，并承诺就中标项目向比选人承担连带责任；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（2）由同一专业的单位组成的联合体，按照资质等级较低的单位确定资质等级；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（3）联合体各方不得再以自己名义单独或参加其他联合体在同一标段中投标；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联合体各方应分别按照本比选文件的要求，填写投标文件中的相应表格，并由联合体牵头人负责对联合体各成员的资料进行统一汇总后一并提交给比选人；联合体牵头人所提交的投标文件应认为已代表了联合体各成员的真实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（5）尽管委任了联合体牵头人，但联合体各成员在投标、签约与履约合同过程中，仍负有连带的和各自的法律责任。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 xml:space="preserve">1.4.3 </w:t>
      </w:r>
      <w:r>
        <w:rPr>
          <w:rFonts w:hint="eastAsia" w:ascii="宋体" w:hAnsi="宋体" w:eastAsia="宋体" w:cs="宋体"/>
          <w:color w:val="auto"/>
          <w:sz w:val="21"/>
          <w:szCs w:val="21"/>
          <w:highlight w:val="none"/>
          <w:lang w:eastAsia="zh-CN"/>
        </w:rPr>
        <w:t>投标人（包括联合体各成员）不得与本标段相关单位存在下列关联关系：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（1）为比选人不具有独立法人资格的附属机构（单位）；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（2）与比选人存在利害关系且可能影响招标公正性；</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（3）与本标段的其他投标人同为一个单位负责人；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（4）与本标段的其他投标人存在控股、管理关系；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（5）为本标段前期准备提供设计或咨询服务的法人或其任何附属机构（单位）；</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（6）为本标段的监理人；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（7）为本标段的代建人；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（8）为本标段的比选代理机构；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lang w:eastAsia="zh-CN"/>
        </w:rPr>
        <w:t>）与本标段的监理人或代建人或比选代理机构同为一个法定代表人；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（10）与本标段的监理人或代建人或比选代理机构存在控股或参股关系；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11</w:t>
      </w:r>
      <w:r>
        <w:rPr>
          <w:rFonts w:hint="eastAsia" w:ascii="宋体" w:hAnsi="宋体" w:eastAsia="宋体" w:cs="宋体"/>
          <w:color w:val="auto"/>
          <w:sz w:val="21"/>
          <w:szCs w:val="21"/>
          <w:highlight w:val="none"/>
          <w:lang w:eastAsia="zh-CN"/>
        </w:rPr>
        <w:t>）法律法规或投标人须知前附表规定的其他情形。</w:t>
      </w:r>
    </w:p>
    <w:p>
      <w:pPr>
        <w:pStyle w:val="5"/>
        <w:spacing w:before="0" w:after="0" w:line="360" w:lineRule="auto"/>
        <w:rPr>
          <w:rFonts w:hint="eastAsia" w:ascii="宋体" w:hAnsi="宋体" w:eastAsia="宋体" w:cs="宋体"/>
          <w:color w:val="auto"/>
          <w:sz w:val="21"/>
          <w:szCs w:val="21"/>
          <w:highlight w:val="none"/>
        </w:rPr>
      </w:pPr>
      <w:bookmarkStart w:id="144" w:name="_Toc24327"/>
      <w:r>
        <w:rPr>
          <w:rFonts w:hint="eastAsia" w:ascii="宋体" w:hAnsi="宋体" w:eastAsia="宋体" w:cs="宋体"/>
          <w:color w:val="auto"/>
          <w:sz w:val="21"/>
          <w:szCs w:val="21"/>
          <w:highlight w:val="none"/>
        </w:rPr>
        <w:t>1.5 费用承担</w:t>
      </w:r>
      <w:bookmarkEnd w:id="14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投标人准备和参加投标活动发生的费用自理。</w:t>
      </w:r>
    </w:p>
    <w:p>
      <w:pPr>
        <w:pStyle w:val="5"/>
        <w:spacing w:before="0" w:after="0" w:line="360" w:lineRule="auto"/>
        <w:rPr>
          <w:rFonts w:hint="eastAsia" w:ascii="宋体" w:hAnsi="宋体" w:eastAsia="宋体" w:cs="宋体"/>
          <w:color w:val="auto"/>
          <w:sz w:val="21"/>
          <w:szCs w:val="21"/>
          <w:highlight w:val="none"/>
        </w:rPr>
      </w:pPr>
      <w:bookmarkStart w:id="145" w:name="_Toc20590"/>
      <w:r>
        <w:rPr>
          <w:rFonts w:hint="eastAsia" w:ascii="宋体" w:hAnsi="宋体" w:eastAsia="宋体" w:cs="宋体"/>
          <w:color w:val="auto"/>
          <w:sz w:val="21"/>
          <w:szCs w:val="21"/>
          <w:highlight w:val="none"/>
        </w:rPr>
        <w:t>1.6 保密</w:t>
      </w:r>
      <w:bookmarkEnd w:id="14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参与招标投标活动的各方应对比选文件和投标文件中的商业和技术等秘密保密，否则应承担相应的法律责任。</w:t>
      </w:r>
    </w:p>
    <w:p>
      <w:pPr>
        <w:pStyle w:val="5"/>
        <w:spacing w:before="0" w:after="0" w:line="360" w:lineRule="auto"/>
        <w:rPr>
          <w:rFonts w:hint="eastAsia" w:ascii="宋体" w:hAnsi="宋体" w:eastAsia="宋体" w:cs="宋体"/>
          <w:color w:val="auto"/>
          <w:sz w:val="21"/>
          <w:szCs w:val="21"/>
          <w:highlight w:val="none"/>
        </w:rPr>
      </w:pPr>
      <w:bookmarkStart w:id="146" w:name="_Toc31891"/>
      <w:r>
        <w:rPr>
          <w:rFonts w:hint="eastAsia" w:ascii="宋体" w:hAnsi="宋体" w:eastAsia="宋体" w:cs="宋体"/>
          <w:color w:val="auto"/>
          <w:sz w:val="21"/>
          <w:szCs w:val="21"/>
          <w:highlight w:val="none"/>
        </w:rPr>
        <w:t>1.7 语言文字</w:t>
      </w:r>
      <w:bookmarkEnd w:id="14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招标投标文件使用的语言文字为中文。专用术语使用外文的，应附有中文注释。</w:t>
      </w:r>
    </w:p>
    <w:p>
      <w:pPr>
        <w:pStyle w:val="5"/>
        <w:spacing w:before="0" w:after="0" w:line="360" w:lineRule="auto"/>
        <w:rPr>
          <w:rFonts w:hint="eastAsia" w:ascii="宋体" w:hAnsi="宋体" w:eastAsia="宋体" w:cs="宋体"/>
          <w:color w:val="auto"/>
          <w:sz w:val="21"/>
          <w:szCs w:val="21"/>
          <w:highlight w:val="none"/>
        </w:rPr>
      </w:pPr>
      <w:bookmarkStart w:id="147" w:name="_Toc963"/>
      <w:r>
        <w:rPr>
          <w:rFonts w:hint="eastAsia" w:ascii="宋体" w:hAnsi="宋体" w:eastAsia="宋体" w:cs="宋体"/>
          <w:color w:val="auto"/>
          <w:sz w:val="21"/>
          <w:szCs w:val="21"/>
          <w:highlight w:val="none"/>
        </w:rPr>
        <w:t>1.8 计量单位</w:t>
      </w:r>
      <w:bookmarkEnd w:id="14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所有计量均采用中华人民共和国法定计量单位。</w:t>
      </w:r>
    </w:p>
    <w:p>
      <w:pPr>
        <w:pStyle w:val="5"/>
        <w:spacing w:before="0" w:after="0" w:line="360" w:lineRule="auto"/>
        <w:rPr>
          <w:rFonts w:hint="eastAsia" w:ascii="宋体" w:hAnsi="宋体" w:eastAsia="宋体" w:cs="宋体"/>
          <w:color w:val="auto"/>
          <w:sz w:val="21"/>
          <w:szCs w:val="21"/>
          <w:highlight w:val="none"/>
        </w:rPr>
      </w:pPr>
      <w:bookmarkStart w:id="148" w:name="_Toc25929"/>
      <w:r>
        <w:rPr>
          <w:rFonts w:hint="eastAsia" w:ascii="宋体" w:hAnsi="宋体" w:eastAsia="宋体" w:cs="宋体"/>
          <w:color w:val="auto"/>
          <w:sz w:val="21"/>
          <w:szCs w:val="21"/>
          <w:highlight w:val="none"/>
        </w:rPr>
        <w:t>1.9 踏勘现场</w:t>
      </w:r>
      <w:bookmarkEnd w:id="14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1.9.1投标人须知前附表规定组织踏勘现场的，比选人按投标人须知前附表规定的时间、地点组织投标人踏勘项目现场，</w:t>
      </w:r>
      <w:r>
        <w:rPr>
          <w:rFonts w:hint="eastAsia" w:ascii="宋体" w:hAnsi="宋体" w:eastAsia="宋体" w:cs="宋体"/>
          <w:color w:val="auto"/>
          <w:sz w:val="21"/>
          <w:szCs w:val="21"/>
          <w:highlight w:val="none"/>
          <w:lang w:val="en-US" w:eastAsia="zh-CN"/>
        </w:rPr>
        <w:t>本次比选人不组织集中踏勘，由投标人自行踏勘且在资格审查中提供施工现场的踏勘图片，数量不少于3张，否则投标人的投标将被否决</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1.9.2投标人踏勘现场发生的费用自理。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1.9.3除比选人的原因外，投标人自行负责在踏勘现场中所发生的人员伤亡和财产损失。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1.9.4比选人提供的本合同工程的水文、地质、气象和料场分布、取土场、弃土场位置等参考资料，并不构成合同文件的组成部分，投标人应对自己就上述资料的解释、推论和应用负责，比选人不对投标人据此作出的判断和决策承担任何责任。</w:t>
      </w:r>
    </w:p>
    <w:p>
      <w:pPr>
        <w:pStyle w:val="5"/>
        <w:spacing w:before="0" w:after="0" w:line="360" w:lineRule="auto"/>
        <w:rPr>
          <w:rFonts w:hint="eastAsia" w:ascii="宋体" w:hAnsi="宋体" w:eastAsia="宋体" w:cs="宋体"/>
          <w:color w:val="auto"/>
          <w:sz w:val="21"/>
          <w:szCs w:val="21"/>
          <w:highlight w:val="none"/>
        </w:rPr>
      </w:pPr>
      <w:bookmarkStart w:id="149" w:name="_Toc19876"/>
      <w:r>
        <w:rPr>
          <w:rFonts w:hint="eastAsia" w:ascii="宋体" w:hAnsi="宋体" w:eastAsia="宋体" w:cs="宋体"/>
          <w:color w:val="auto"/>
          <w:sz w:val="21"/>
          <w:szCs w:val="21"/>
          <w:highlight w:val="none"/>
        </w:rPr>
        <w:t>1.10 投标预备会</w:t>
      </w:r>
      <w:bookmarkEnd w:id="14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1.10.1 投标人须知前附表规定召开投标预备会的，比选人按投标人须知前附表规定的时间和地点召开投标预备会，澄清投标人提出的问题。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1.10.2 投标人应在投标人须知前附表规定的时间前，以书面形式将提出的问题送达比选人，以便比选人在会议期间澄清。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1.10.3 投标预备会后，比选人在投标人须知前附表规定的时间内，将对投标人所提问题的澄清，以投标人须知前附表规定的形式通知所有投标人。该澄清内容为比选文件的组成部分。</w:t>
      </w:r>
    </w:p>
    <w:p>
      <w:pPr>
        <w:pStyle w:val="5"/>
        <w:spacing w:before="0" w:after="0" w:line="360" w:lineRule="auto"/>
        <w:rPr>
          <w:rFonts w:hint="eastAsia" w:ascii="宋体" w:hAnsi="宋体" w:eastAsia="宋体" w:cs="宋体"/>
          <w:color w:val="auto"/>
          <w:sz w:val="21"/>
          <w:szCs w:val="21"/>
          <w:highlight w:val="none"/>
        </w:rPr>
      </w:pPr>
      <w:bookmarkStart w:id="150" w:name="_Toc22337"/>
      <w:r>
        <w:rPr>
          <w:rFonts w:hint="eastAsia" w:ascii="宋体" w:hAnsi="宋体" w:eastAsia="宋体" w:cs="宋体"/>
          <w:color w:val="auto"/>
          <w:sz w:val="21"/>
          <w:szCs w:val="21"/>
          <w:highlight w:val="none"/>
        </w:rPr>
        <w:t>1.11 分包</w:t>
      </w:r>
      <w:bookmarkEnd w:id="15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1.11.1 投标人拟在中标后将中标项目的部分非主体、非关键性工作进行分包的，应符合以下规定：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（1）分包内容要求：允许分包的工程范围仅限于非关键性工程或适合专业化队伍施工的专项工程。比选人允许分包或不允许分包的专项工程（如有）应在投标人须知前附表中载明。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（2）接受分包的第三人资格要求：分包人的资格能力应与其分包工程的标准和规模相适应，且具备投标人须知前附表中规定的资格条件。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（3）其他要求：投标人如有分包计划，应按第九章“投标文件格式”的要求填写“拟分包项目情况表”，明确拟分包的工程及规模，且投标人中标后的分包应满足合同条款第 4.3 款的相关要求。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1.11.2 中标人不得向他人转让中标项目，接受分包的人不得再次分包。中标人应就分包项目向比选人负责，接受分包的人就分包项目承担连带责任。</w:t>
      </w:r>
    </w:p>
    <w:p>
      <w:pPr>
        <w:pStyle w:val="5"/>
        <w:spacing w:before="0" w:after="0" w:line="360" w:lineRule="auto"/>
        <w:rPr>
          <w:rFonts w:hint="eastAsia" w:ascii="宋体" w:hAnsi="宋体" w:eastAsia="宋体" w:cs="宋体"/>
          <w:color w:val="auto"/>
          <w:sz w:val="21"/>
          <w:szCs w:val="21"/>
          <w:highlight w:val="none"/>
        </w:rPr>
      </w:pPr>
      <w:bookmarkStart w:id="151" w:name="_Toc30225"/>
      <w:r>
        <w:rPr>
          <w:rFonts w:hint="eastAsia" w:ascii="宋体" w:hAnsi="宋体" w:eastAsia="宋体" w:cs="宋体"/>
          <w:color w:val="auto"/>
          <w:sz w:val="21"/>
          <w:szCs w:val="21"/>
          <w:highlight w:val="none"/>
        </w:rPr>
        <w:t>1.12 响应和偏差</w:t>
      </w:r>
      <w:bookmarkEnd w:id="15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1.12.1 投标文件偏离比选文件某些要求，视为投标文件存在偏差。偏差包括重大偏差和细微偏差。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1.12.2 投标文件应对比选文件的实质性要求和条件作出满足性或更有利于比选人的响应，否则，视为投标文件存在重大偏差，投标人的投标将被否决。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投标文件存在第三章“评标办法”中所列任一否决投标情形的，均属于存在重大偏差。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1.12.3 投标文件中的下列偏差为细微偏差：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在按照第三章“评标办法”的规定对投标价进行算术性错误修正及其他错误修正后，最终投标报价未超过最高投标限价（如有）的情况下，出现第三章“评标办法”规定的算术性错误和投标报价的其他错误；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1.12.4 评标委员会对投标文件中的细微偏差按如下规定处理：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对于本章第 1.12.3 项所述的细微偏差，按照第三章“评标办法”的规定予以修正并要求投标人进行澄清；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1.12.5 投标人应根据比选文件的要求提供施工组织设计等内容以对比选文件作出响应。</w:t>
      </w:r>
    </w:p>
    <w:p>
      <w:pPr>
        <w:pStyle w:val="4"/>
        <w:spacing w:before="0" w:after="0" w:line="360" w:lineRule="auto"/>
        <w:rPr>
          <w:rFonts w:hint="eastAsia" w:ascii="宋体" w:hAnsi="宋体" w:eastAsia="宋体" w:cs="宋体"/>
          <w:color w:val="auto"/>
          <w:sz w:val="28"/>
          <w:szCs w:val="28"/>
          <w:highlight w:val="none"/>
          <w:lang w:eastAsia="zh-CN"/>
        </w:rPr>
      </w:pPr>
      <w:bookmarkStart w:id="152" w:name="_Toc7063"/>
      <w:r>
        <w:rPr>
          <w:rFonts w:hint="eastAsia" w:ascii="宋体" w:hAnsi="宋体" w:eastAsia="宋体" w:cs="宋体"/>
          <w:color w:val="auto"/>
          <w:sz w:val="28"/>
          <w:szCs w:val="28"/>
          <w:highlight w:val="none"/>
        </w:rPr>
        <w:t xml:space="preserve">2. </w:t>
      </w:r>
      <w:r>
        <w:rPr>
          <w:rFonts w:hint="eastAsia" w:ascii="宋体" w:hAnsi="宋体" w:eastAsia="宋体" w:cs="宋体"/>
          <w:color w:val="auto"/>
          <w:sz w:val="28"/>
          <w:szCs w:val="28"/>
          <w:highlight w:val="none"/>
          <w:lang w:eastAsia="zh-CN"/>
        </w:rPr>
        <w:t>比选文件</w:t>
      </w:r>
      <w:bookmarkEnd w:id="152"/>
    </w:p>
    <w:p>
      <w:pPr>
        <w:pStyle w:val="5"/>
        <w:spacing w:before="0" w:after="0" w:line="360" w:lineRule="auto"/>
        <w:rPr>
          <w:rFonts w:hint="eastAsia" w:ascii="宋体" w:hAnsi="宋体" w:eastAsia="宋体" w:cs="宋体"/>
          <w:color w:val="auto"/>
          <w:sz w:val="21"/>
          <w:szCs w:val="21"/>
          <w:highlight w:val="none"/>
        </w:rPr>
      </w:pPr>
      <w:bookmarkStart w:id="153" w:name="_Toc18001"/>
      <w:r>
        <w:rPr>
          <w:rFonts w:hint="eastAsia" w:ascii="宋体" w:hAnsi="宋体" w:eastAsia="宋体" w:cs="宋体"/>
          <w:color w:val="auto"/>
          <w:sz w:val="21"/>
          <w:szCs w:val="21"/>
          <w:highlight w:val="none"/>
        </w:rPr>
        <w:t xml:space="preserve">2.1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的组成</w:t>
      </w:r>
      <w:bookmarkEnd w:id="15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本比选文件包括：</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（1）比选公告；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（2）投标人须知；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（3）评标办法；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（4）合同条款及格式；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（5）工程量清单；</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（6）图纸；</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（7）技术规范；</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（8）工程量清单计量规则；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（9）投标文件格式；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（10）投标人须知前附表规定的其他资料。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根据本章第1.10 款、第2.2 款和第2.3 款对比选文件所作的澄清、修改，构成比选文件的组成部分。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当比选文件、比选文件的澄清或修改等在同一内容的表述上不一致时，以最后发出的书面文件为准。当对比选文件的理解有争议的，应当作出不利于比选人的解释，但违背国家利益、社会公共利益的除外。</w:t>
      </w:r>
    </w:p>
    <w:p>
      <w:pPr>
        <w:pStyle w:val="5"/>
        <w:spacing w:before="0" w:after="0" w:line="360" w:lineRule="auto"/>
        <w:rPr>
          <w:rFonts w:hint="eastAsia" w:ascii="宋体" w:hAnsi="宋体" w:eastAsia="宋体" w:cs="宋体"/>
          <w:color w:val="auto"/>
          <w:sz w:val="21"/>
          <w:szCs w:val="21"/>
          <w:highlight w:val="none"/>
        </w:rPr>
      </w:pPr>
      <w:bookmarkStart w:id="154" w:name="_Toc20655"/>
      <w:r>
        <w:rPr>
          <w:rFonts w:hint="eastAsia" w:ascii="宋体" w:hAnsi="宋体" w:eastAsia="宋体" w:cs="宋体"/>
          <w:color w:val="auto"/>
          <w:sz w:val="21"/>
          <w:szCs w:val="21"/>
          <w:highlight w:val="none"/>
        </w:rPr>
        <w:t xml:space="preserve">2.2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的澄清</w:t>
      </w:r>
      <w:bookmarkEnd w:id="154"/>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2.2.1 投标人应仔细阅读和检查比选文件的全部内容。如发现缺页或附件不全，应及时向比选人提出，以便补齐。如有疑问，应在投标人须知前附表规定的时间前</w:t>
      </w:r>
      <w:r>
        <w:rPr>
          <w:rFonts w:hint="eastAsia" w:ascii="宋体" w:hAnsi="宋体" w:eastAsia="宋体" w:cs="宋体"/>
          <w:color w:val="auto"/>
          <w:sz w:val="21"/>
          <w:szCs w:val="21"/>
          <w:highlight w:val="none"/>
          <w:lang w:eastAsia="zh-CN"/>
        </w:rPr>
        <w:t>在相应法定网站提问</w:t>
      </w:r>
      <w:r>
        <w:rPr>
          <w:rFonts w:hint="eastAsia" w:ascii="宋体" w:hAnsi="宋体" w:eastAsia="宋体" w:cs="宋体"/>
          <w:snapToGrid w:val="0"/>
          <w:color w:val="auto"/>
          <w:sz w:val="21"/>
          <w:szCs w:val="21"/>
          <w:highlight w:val="none"/>
          <w:lang w:eastAsia="zh-CN"/>
        </w:rPr>
        <w:t>，要求比选人对比选文件予以澄清。</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2.2.2 比选文件的澄清将在投标人须知前附表规定的投标截止时间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天前</w:t>
      </w:r>
      <w:r>
        <w:rPr>
          <w:rFonts w:hint="eastAsia" w:ascii="宋体" w:hAnsi="宋体" w:eastAsia="宋体" w:cs="宋体"/>
          <w:color w:val="auto"/>
          <w:sz w:val="21"/>
          <w:szCs w:val="21"/>
          <w:highlight w:val="none"/>
          <w:lang w:eastAsia="zh-CN"/>
        </w:rPr>
        <w:t>在相应法定网站发布，</w:t>
      </w:r>
      <w:r>
        <w:rPr>
          <w:rFonts w:hint="eastAsia" w:ascii="宋体" w:hAnsi="宋体" w:eastAsia="宋体" w:cs="宋体"/>
          <w:snapToGrid w:val="0"/>
          <w:color w:val="auto"/>
          <w:sz w:val="21"/>
          <w:szCs w:val="21"/>
          <w:highlight w:val="none"/>
          <w:lang w:eastAsia="zh-CN"/>
        </w:rPr>
        <w:t>但不指明澄清问题的来源。如果澄清发出的时间距投标截止时间不足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天，相应延长投标截止时间。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sz w:val="21"/>
          <w:szCs w:val="21"/>
          <w:highlight w:val="none"/>
          <w:lang w:eastAsia="zh-CN"/>
        </w:rPr>
        <w:t xml:space="preserve">2.2.3 </w:t>
      </w:r>
      <w:r>
        <w:rPr>
          <w:rFonts w:hint="eastAsia" w:ascii="宋体" w:hAnsi="宋体" w:eastAsia="宋体" w:cs="宋体"/>
          <w:color w:val="auto"/>
          <w:sz w:val="21"/>
          <w:szCs w:val="21"/>
          <w:highlight w:val="none"/>
          <w:lang w:eastAsia="zh-CN"/>
        </w:rPr>
        <w:t>比选人对比选文件的</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63"/>
        <w:spacing w:before="0" w:after="0" w:line="360" w:lineRule="auto"/>
        <w:ind w:firstLine="420" w:firstLineChars="200"/>
        <w:jc w:val="left"/>
        <w:rPr>
          <w:rFonts w:hint="eastAsia" w:ascii="宋体" w:hAnsi="宋体" w:eastAsia="宋体" w:cs="宋体"/>
          <w:snapToGrid w:val="0"/>
          <w:color w:val="auto"/>
          <w:sz w:val="21"/>
          <w:szCs w:val="21"/>
          <w:highlight w:val="none"/>
          <w:lang w:eastAsia="zh-CN"/>
        </w:rPr>
      </w:pPr>
      <w:r>
        <w:rPr>
          <w:rFonts w:hint="eastAsia" w:ascii="宋体" w:hAnsi="宋体" w:eastAsia="宋体" w:cs="宋体"/>
          <w:snapToGrid w:val="0"/>
          <w:color w:val="auto"/>
          <w:position w:val="-2"/>
          <w:sz w:val="21"/>
          <w:szCs w:val="21"/>
          <w:highlight w:val="none"/>
          <w:lang w:eastAsia="zh-CN"/>
        </w:rPr>
        <w:t>2.2.4 投标人对比选文件和澄清修改仍有异议的，可于投标截止时间</w:t>
      </w:r>
      <w:r>
        <w:rPr>
          <w:rFonts w:hint="eastAsia" w:ascii="宋体" w:hAnsi="宋体" w:eastAsia="宋体" w:cs="宋体"/>
          <w:snapToGrid w:val="0"/>
          <w:color w:val="auto"/>
          <w:position w:val="-2"/>
          <w:sz w:val="21"/>
          <w:szCs w:val="21"/>
          <w:highlight w:val="none"/>
          <w:lang w:val="en-US" w:eastAsia="zh-CN"/>
        </w:rPr>
        <w:t>3</w:t>
      </w:r>
      <w:r>
        <w:rPr>
          <w:rFonts w:hint="eastAsia" w:ascii="宋体" w:hAnsi="宋体" w:eastAsia="宋体" w:cs="宋体"/>
          <w:snapToGrid w:val="0"/>
          <w:color w:val="auto"/>
          <w:position w:val="-2"/>
          <w:sz w:val="21"/>
          <w:szCs w:val="21"/>
          <w:highlight w:val="none"/>
          <w:lang w:eastAsia="zh-CN"/>
        </w:rPr>
        <w:t>日前，通过</w:t>
      </w:r>
      <w:r>
        <w:rPr>
          <w:rFonts w:hint="eastAsia" w:ascii="宋体" w:hAnsi="宋体" w:eastAsia="宋体" w:cs="宋体"/>
          <w:snapToGrid w:val="0"/>
          <w:color w:val="auto"/>
          <w:position w:val="-2"/>
          <w:sz w:val="21"/>
          <w:szCs w:val="21"/>
          <w:highlight w:val="none"/>
          <w:u w:val="none"/>
          <w:lang w:eastAsia="zh-CN"/>
        </w:rPr>
        <w:t>书面形式</w:t>
      </w:r>
      <w:r>
        <w:rPr>
          <w:rFonts w:hint="eastAsia" w:ascii="宋体" w:hAnsi="宋体" w:eastAsia="宋体" w:cs="宋体"/>
          <w:snapToGrid w:val="0"/>
          <w:color w:val="auto"/>
          <w:position w:val="-2"/>
          <w:sz w:val="21"/>
          <w:szCs w:val="21"/>
          <w:highlight w:val="none"/>
          <w:lang w:eastAsia="zh-CN"/>
        </w:rPr>
        <w:t>提出</w:t>
      </w:r>
      <w:r>
        <w:rPr>
          <w:rFonts w:hint="eastAsia" w:ascii="宋体" w:hAnsi="宋体" w:eastAsia="宋体" w:cs="宋体"/>
          <w:snapToGrid w:val="0"/>
          <w:color w:val="auto"/>
          <w:sz w:val="21"/>
          <w:szCs w:val="21"/>
          <w:highlight w:val="none"/>
          <w:lang w:eastAsia="zh-CN"/>
        </w:rPr>
        <w:t>。比选人应将答复以修改的形式在</w:t>
      </w:r>
      <w:r>
        <w:rPr>
          <w:rFonts w:hint="eastAsia" w:ascii="宋体" w:hAnsi="宋体" w:eastAsia="宋体" w:cs="宋体"/>
          <w:color w:val="auto"/>
          <w:sz w:val="21"/>
          <w:szCs w:val="21"/>
          <w:highlight w:val="none"/>
          <w:lang w:eastAsia="zh-CN"/>
        </w:rPr>
        <w:t>相应法定网站发布</w:t>
      </w:r>
      <w:r>
        <w:rPr>
          <w:rFonts w:hint="eastAsia" w:ascii="宋体" w:hAnsi="宋体" w:eastAsia="宋体" w:cs="宋体"/>
          <w:snapToGrid w:val="0"/>
          <w:color w:val="auto"/>
          <w:sz w:val="21"/>
          <w:szCs w:val="21"/>
          <w:highlight w:val="none"/>
          <w:lang w:eastAsia="zh-CN"/>
        </w:rPr>
        <w:t>。修改内容可能影响投标文件编制的，须在投标截止时间</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日前发布，发布时间至投标截止时间不足</w:t>
      </w:r>
      <w:r>
        <w:rPr>
          <w:rFonts w:hint="eastAsia" w:ascii="宋体" w:hAnsi="宋体" w:eastAsia="宋体" w:cs="宋体"/>
          <w:snapToGrid w:val="0"/>
          <w:color w:val="auto"/>
          <w:sz w:val="21"/>
          <w:szCs w:val="21"/>
          <w:highlight w:val="none"/>
          <w:lang w:val="en-US" w:eastAsia="zh-CN"/>
        </w:rPr>
        <w:t>3</w:t>
      </w:r>
      <w:r>
        <w:rPr>
          <w:rFonts w:hint="eastAsia" w:ascii="宋体" w:hAnsi="宋体" w:eastAsia="宋体" w:cs="宋体"/>
          <w:snapToGrid w:val="0"/>
          <w:color w:val="auto"/>
          <w:sz w:val="21"/>
          <w:szCs w:val="21"/>
          <w:highlight w:val="none"/>
          <w:lang w:eastAsia="zh-CN"/>
        </w:rPr>
        <w:t>日的，须相应延后投标截止时间。</w:t>
      </w:r>
    </w:p>
    <w:p>
      <w:pPr>
        <w:pStyle w:val="5"/>
        <w:spacing w:before="0" w:after="0" w:line="360" w:lineRule="auto"/>
        <w:rPr>
          <w:rFonts w:hint="eastAsia" w:ascii="宋体" w:hAnsi="宋体" w:eastAsia="宋体" w:cs="宋体"/>
          <w:color w:val="auto"/>
          <w:sz w:val="21"/>
          <w:szCs w:val="21"/>
          <w:highlight w:val="none"/>
        </w:rPr>
      </w:pPr>
      <w:bookmarkStart w:id="155" w:name="_Toc15523"/>
      <w:r>
        <w:rPr>
          <w:rFonts w:hint="eastAsia" w:ascii="宋体" w:hAnsi="宋体" w:eastAsia="宋体" w:cs="宋体"/>
          <w:color w:val="auto"/>
          <w:sz w:val="21"/>
          <w:szCs w:val="21"/>
          <w:highlight w:val="none"/>
        </w:rPr>
        <w:t xml:space="preserve">2.3 </w:t>
      </w:r>
      <w:r>
        <w:rPr>
          <w:rFonts w:hint="eastAsia" w:ascii="宋体" w:hAnsi="宋体" w:eastAsia="宋体" w:cs="宋体"/>
          <w:color w:val="auto"/>
          <w:sz w:val="21"/>
          <w:szCs w:val="21"/>
          <w:highlight w:val="none"/>
          <w:lang w:eastAsia="zh-CN"/>
        </w:rPr>
        <w:t>比选文件</w:t>
      </w:r>
      <w:r>
        <w:rPr>
          <w:rFonts w:hint="eastAsia" w:ascii="宋体" w:hAnsi="宋体" w:eastAsia="宋体" w:cs="宋体"/>
          <w:color w:val="auto"/>
          <w:sz w:val="21"/>
          <w:szCs w:val="21"/>
          <w:highlight w:val="none"/>
        </w:rPr>
        <w:t>的修改</w:t>
      </w:r>
      <w:bookmarkEnd w:id="15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按照本章第2.2款比选文件的澄清相关内容及方式执行。</w:t>
      </w:r>
    </w:p>
    <w:p>
      <w:pPr>
        <w:pStyle w:val="4"/>
        <w:spacing w:before="0" w:after="0" w:line="360" w:lineRule="auto"/>
        <w:rPr>
          <w:rFonts w:hint="eastAsia" w:ascii="宋体" w:hAnsi="宋体" w:eastAsia="宋体" w:cs="宋体"/>
          <w:color w:val="auto"/>
          <w:sz w:val="28"/>
          <w:szCs w:val="28"/>
          <w:highlight w:val="none"/>
        </w:rPr>
      </w:pPr>
      <w:bookmarkStart w:id="156" w:name="_Toc6027"/>
      <w:r>
        <w:rPr>
          <w:rFonts w:hint="eastAsia" w:ascii="宋体" w:hAnsi="宋体" w:eastAsia="宋体" w:cs="宋体"/>
          <w:color w:val="auto"/>
          <w:sz w:val="28"/>
          <w:szCs w:val="28"/>
          <w:highlight w:val="none"/>
        </w:rPr>
        <w:t>3. 投标文件</w:t>
      </w:r>
      <w:bookmarkEnd w:id="156"/>
    </w:p>
    <w:p>
      <w:pPr>
        <w:pStyle w:val="5"/>
        <w:spacing w:before="0" w:after="0" w:line="360" w:lineRule="auto"/>
        <w:rPr>
          <w:rFonts w:hint="eastAsia" w:ascii="宋体" w:hAnsi="宋体" w:eastAsia="宋体" w:cs="宋体"/>
          <w:color w:val="auto"/>
          <w:sz w:val="21"/>
          <w:szCs w:val="21"/>
          <w:highlight w:val="none"/>
        </w:rPr>
      </w:pPr>
      <w:bookmarkStart w:id="157" w:name="_Toc10939"/>
      <w:r>
        <w:rPr>
          <w:rFonts w:hint="eastAsia" w:ascii="宋体" w:hAnsi="宋体" w:eastAsia="宋体" w:cs="宋体"/>
          <w:color w:val="auto"/>
          <w:sz w:val="21"/>
          <w:szCs w:val="21"/>
          <w:highlight w:val="none"/>
        </w:rPr>
        <w:t>3.1投标文件的组成</w:t>
      </w:r>
      <w:bookmarkEnd w:id="15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3.1.1 投标文件应包括下列内容：</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3.1.1.1投标函部分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（1）投标函</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（2）投标函附录</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（4）低价风险担保</w:t>
      </w:r>
      <w:r>
        <w:rPr>
          <w:rFonts w:hint="eastAsia" w:ascii="宋体" w:hAnsi="宋体" w:eastAsia="宋体" w:cs="宋体"/>
          <w:color w:val="auto"/>
          <w:kern w:val="0"/>
          <w:szCs w:val="21"/>
          <w:highlight w:val="none"/>
          <w:lang w:val="en-US" w:eastAsia="zh-CN"/>
        </w:rPr>
        <w:t>提交</w:t>
      </w:r>
      <w:r>
        <w:rPr>
          <w:rFonts w:hint="eastAsia" w:ascii="宋体" w:hAnsi="宋体" w:eastAsia="宋体" w:cs="宋体"/>
          <w:color w:val="auto"/>
          <w:kern w:val="0"/>
          <w:szCs w:val="21"/>
          <w:highlight w:val="none"/>
          <w:lang w:val="ru-RU"/>
        </w:rPr>
        <w:t>承诺书（如有）</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2经济</w:t>
      </w:r>
      <w:r>
        <w:rPr>
          <w:rFonts w:hint="eastAsia" w:ascii="宋体" w:hAnsi="宋体" w:eastAsia="宋体" w:cs="宋体"/>
          <w:color w:val="auto"/>
          <w:kern w:val="0"/>
          <w:szCs w:val="21"/>
          <w:highlight w:val="none"/>
          <w:lang w:val="ru-RU"/>
        </w:rPr>
        <w:t>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w:t>
      </w: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lang w:val="ru-RU"/>
        </w:rPr>
        <w:t>）已标价工程量清单</w:t>
      </w:r>
    </w:p>
    <w:p>
      <w:pPr>
        <w:spacing w:line="360" w:lineRule="auto"/>
        <w:ind w:firstLine="420" w:firstLineChars="200"/>
        <w:rPr>
          <w:rFonts w:hint="eastAsia" w:ascii="宋体" w:hAnsi="宋体" w:eastAsia="宋体" w:cs="宋体"/>
          <w:color w:val="auto"/>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3商务</w:t>
      </w:r>
      <w:r>
        <w:rPr>
          <w:rFonts w:hint="eastAsia" w:ascii="宋体" w:hAnsi="宋体" w:eastAsia="宋体" w:cs="宋体"/>
          <w:color w:val="auto"/>
          <w:kern w:val="0"/>
          <w:szCs w:val="21"/>
          <w:highlight w:val="none"/>
          <w:lang w:val="ru-RU"/>
        </w:rPr>
        <w:t>部分（不设置商务部分评审的不设此部分）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lang w:val="ru-RU"/>
        </w:rPr>
        <w:t>技术部分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3.1.1.</w:t>
      </w: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lang w:val="ru-RU"/>
        </w:rPr>
        <w:t>资格审查部分</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（1）法定代表人身份证明或附有法定代表人身份证明的授权委托书</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（2）联合体协议书（如有）</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（3）投标人基本情况表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（4）项目管理机构</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（5）近年财务状况表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（6）类似项目情况表</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（7）</w:t>
      </w:r>
      <w:r>
        <w:rPr>
          <w:rFonts w:hint="eastAsia" w:ascii="宋体" w:hAnsi="宋体" w:eastAsia="宋体" w:cs="宋体"/>
          <w:color w:val="auto"/>
          <w:kern w:val="0"/>
          <w:szCs w:val="21"/>
          <w:highlight w:val="none"/>
        </w:rPr>
        <w:t>承诺</w:t>
      </w:r>
    </w:p>
    <w:p>
      <w:pPr>
        <w:spacing w:line="360" w:lineRule="auto"/>
        <w:ind w:firstLine="420" w:firstLineChars="200"/>
        <w:rPr>
          <w:rFonts w:hint="eastAsia" w:ascii="宋体" w:hAnsi="宋体" w:eastAsia="宋体" w:cs="宋体"/>
          <w:color w:val="auto"/>
          <w:kern w:val="0"/>
          <w:szCs w:val="21"/>
          <w:highlight w:val="none"/>
          <w:lang w:val="ru-RU"/>
        </w:rPr>
      </w:pPr>
      <w:r>
        <w:rPr>
          <w:rFonts w:hint="eastAsia" w:ascii="宋体" w:hAnsi="宋体" w:eastAsia="宋体" w:cs="宋体"/>
          <w:color w:val="auto"/>
          <w:kern w:val="0"/>
          <w:szCs w:val="21"/>
          <w:highlight w:val="none"/>
          <w:lang w:val="ru-RU"/>
        </w:rPr>
        <w:t>（8）其他资料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投标人在评标过程中作出的符合法律法规和比选文件规定的澄清确认，构成投标文件的组成部分。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3.1.2投标人须知前附表规定不接受联合体投标的，或投标人没有组成联合体的，投标文件不包括联合体协议书。</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3.1.3 投标人须知前附表未要求提交投标保证金的，投标文件不包括投标保证金。</w:t>
      </w:r>
    </w:p>
    <w:p>
      <w:pPr>
        <w:pStyle w:val="5"/>
        <w:spacing w:before="0" w:after="0" w:line="360" w:lineRule="auto"/>
        <w:rPr>
          <w:rFonts w:hint="eastAsia" w:ascii="宋体" w:hAnsi="宋体" w:eastAsia="宋体" w:cs="宋体"/>
          <w:color w:val="auto"/>
          <w:sz w:val="21"/>
          <w:szCs w:val="21"/>
          <w:highlight w:val="none"/>
        </w:rPr>
      </w:pPr>
      <w:bookmarkStart w:id="158" w:name="_Toc17631"/>
      <w:r>
        <w:rPr>
          <w:rFonts w:hint="eastAsia" w:ascii="宋体" w:hAnsi="宋体" w:eastAsia="宋体" w:cs="宋体"/>
          <w:color w:val="auto"/>
          <w:sz w:val="21"/>
          <w:szCs w:val="21"/>
          <w:highlight w:val="none"/>
        </w:rPr>
        <w:t>3.2 投标报价</w:t>
      </w:r>
      <w:bookmarkEnd w:id="15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3.2.1 投标报价应包括国家规定的增值税税金，除投标人须知前附表另有规定外，增值税税金按一般计税方法计算。投标人应按第九章“投标文件格式”的要求在投标函中进行报价并填写工程量清单相应表格。</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3.2.2 投标人应充分了解本项目的总体情况以及影响投标报价的其他要素。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3.2.3 本项目的报价方式见投标人须知前附表。此修改须符合本章第 4.3 款的有关要求。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3.2.4 投标人如果发现工程量清单中的数量与图纸中数量不一致时，应立即通知比选人核查，除非比选人按照本章第2.2 款或2.3 款的有关要求，以比选文件澄清或修改的方式予以更正，否则，应以工程量清单中列出的数量为准。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3.2.5 投标人应根据《公路水运工程安全生产监督管理办法》，在投标总价中计入安全生产费用，安全生产费用应符合合同条款第 9.2.5 项的规定。工程量清单第 100章内列有上述安全生产费的支付子目，由投标人按比选文件的规定填写总额价。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3.2.6 除投标人须知前附表另有规定外，比选人不接受调价函。</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3.2.7 在合同实施期间，投标人填写的单价、合价和总额价是否由于物价波动进行价格调整按照合同条款第 16.1 款的规定处理。如果按照合同条款第 16.1.1 项的规定采用价格调整公式进行价格调整，由比选人根据项目实际情况测算确定价格调整公式中的变值权重范围，并在投标函附录价格指数和权重表中约定范围；投标人在此范围内填写各可调因子的权重，合同实施期间将按此权重进行调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3.2.8 比选人设有最高投标限价的，投标人的投标报价不得超过最高投标限价，最高投标限价在投标人须知前附表中载明。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3.2.9 投标报价的其他要求见投标人须知前附表。</w:t>
      </w:r>
    </w:p>
    <w:p>
      <w:pPr>
        <w:pStyle w:val="5"/>
        <w:spacing w:before="0" w:after="0" w:line="360" w:lineRule="auto"/>
        <w:rPr>
          <w:rFonts w:hint="eastAsia" w:ascii="宋体" w:hAnsi="宋体" w:eastAsia="宋体" w:cs="宋体"/>
          <w:color w:val="auto"/>
          <w:sz w:val="21"/>
          <w:szCs w:val="21"/>
          <w:highlight w:val="none"/>
        </w:rPr>
      </w:pPr>
      <w:bookmarkStart w:id="159" w:name="_Toc32005"/>
      <w:r>
        <w:rPr>
          <w:rFonts w:hint="eastAsia" w:ascii="宋体" w:hAnsi="宋体" w:eastAsia="宋体" w:cs="宋体"/>
          <w:color w:val="auto"/>
          <w:sz w:val="21"/>
          <w:szCs w:val="21"/>
          <w:highlight w:val="none"/>
        </w:rPr>
        <w:t>3.3投标有效期</w:t>
      </w:r>
      <w:bookmarkEnd w:id="15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3.3.1 除投标人须知前附表另有规定外，投标有效期为 90 日。</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3.3.2 在投标有效期内，投标人撤销投标文件的，应承担比选文件和法律规定的责任。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3.3.3 出现特殊情况需要延长投标有效期的，比选人在投标人须知前附表载明的网站，以公告形式通知所有投标人延长投标有效期。在公告发布的 24 小时内， 若比选人未接到投标人拒绝延长的书面答复，就视为所有投标人都同意延长，投标人应当相应延长其投标保证金的有效期，但不得要求或被允许修改其投标文件；投标人拒绝延长的，其投标失效，但投标人有权收回其投标保证金及以现金或支票形式递交的投标保证金的银 行同期活期存款利息。</w:t>
      </w:r>
    </w:p>
    <w:p>
      <w:pPr>
        <w:pStyle w:val="5"/>
        <w:spacing w:before="0" w:after="0" w:line="360" w:lineRule="auto"/>
        <w:rPr>
          <w:rFonts w:hint="eastAsia" w:ascii="宋体" w:hAnsi="宋体" w:eastAsia="宋体" w:cs="宋体"/>
          <w:color w:val="auto"/>
          <w:sz w:val="21"/>
          <w:szCs w:val="21"/>
          <w:highlight w:val="none"/>
        </w:rPr>
      </w:pPr>
      <w:bookmarkStart w:id="160" w:name="_Toc31694"/>
      <w:r>
        <w:rPr>
          <w:rFonts w:hint="eastAsia" w:ascii="宋体" w:hAnsi="宋体" w:eastAsia="宋体" w:cs="宋体"/>
          <w:color w:val="auto"/>
          <w:sz w:val="21"/>
          <w:szCs w:val="21"/>
          <w:highlight w:val="none"/>
        </w:rPr>
        <w:t>3.4 投标保证金</w:t>
      </w:r>
      <w:bookmarkEnd w:id="16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3.4.1 投标人在递交投标文件的同时，应按投标人须知前附表规定的金额、形式和</w:t>
      </w:r>
      <w:r>
        <w:rPr>
          <w:rFonts w:hint="eastAsia" w:ascii="宋体" w:hAnsi="宋体" w:eastAsia="宋体" w:cs="宋体"/>
          <w:color w:val="auto"/>
          <w:sz w:val="21"/>
          <w:szCs w:val="21"/>
          <w:highlight w:val="none"/>
          <w:lang w:val="en-US" w:eastAsia="zh-CN"/>
        </w:rPr>
        <w:t>其他</w:t>
      </w:r>
      <w:r>
        <w:rPr>
          <w:rFonts w:hint="eastAsia" w:ascii="宋体" w:hAnsi="宋体" w:eastAsia="宋体" w:cs="宋体"/>
          <w:color w:val="auto"/>
          <w:sz w:val="21"/>
          <w:szCs w:val="21"/>
          <w:highlight w:val="none"/>
          <w:lang w:eastAsia="zh-CN"/>
        </w:rPr>
        <w:t>要求递交投标保证金，并作为其投标文件的组成部分。联合体投标的，其投标保证金由牵头人递交，并应符合投标人须知前附表的规定。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投标保证金应采用现金、支票、银行保函或比选人在投标人须知前附表规定的其他形式。</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无论采取何种形式的投标保证金，投标保证金有效期均应与投标有效期一致。比选人如果按本章第 3.3.3 项的规定延长了投标有效期，则投标保证金的有效期也相应延长。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3.4.2 投标人不按本章第 3.4.1 项要求提交投标保证金的，评标委员会将否决其投标。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3.4.3 比选人最迟将在中标通知书发出后 5 日内向中标候选人以外的其他投标人退还投标保证金，与中标人签订合同后 5 日内向中标人和其他中标候选人退还投标保证金。投标保证金以现金或支票形式递交的，比选人应同时退还投标保证金的银行同期活期存款利息，且退还至投标人的基本账户。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利息计算原则见投标人须知前附表。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3.4.4 有下列情形之一的，投标保证金将不予退还：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（1）投标人在投标有效期内撤销投标文件；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kern w:val="0"/>
          <w:sz w:val="21"/>
          <w:szCs w:val="21"/>
          <w:highlight w:val="none"/>
        </w:rPr>
        <w:t>中标人在收到中标通知书后，无正当理由不与</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订立合同，在签订合同时向</w:t>
      </w:r>
      <w:r>
        <w:rPr>
          <w:rFonts w:hint="eastAsia" w:ascii="宋体" w:hAnsi="宋体" w:eastAsia="宋体" w:cs="宋体"/>
          <w:color w:val="auto"/>
          <w:kern w:val="0"/>
          <w:sz w:val="21"/>
          <w:szCs w:val="21"/>
          <w:highlight w:val="none"/>
          <w:lang w:eastAsia="zh-CN"/>
        </w:rPr>
        <w:t>比选人</w:t>
      </w:r>
      <w:r>
        <w:rPr>
          <w:rFonts w:hint="eastAsia" w:ascii="宋体" w:hAnsi="宋体" w:eastAsia="宋体" w:cs="宋体"/>
          <w:color w:val="auto"/>
          <w:kern w:val="0"/>
          <w:sz w:val="21"/>
          <w:szCs w:val="21"/>
          <w:highlight w:val="none"/>
        </w:rPr>
        <w:t>提出附加条件，或者不按照</w:t>
      </w:r>
      <w:r>
        <w:rPr>
          <w:rFonts w:hint="eastAsia" w:ascii="宋体" w:hAnsi="宋体" w:eastAsia="宋体" w:cs="宋体"/>
          <w:color w:val="auto"/>
          <w:kern w:val="0"/>
          <w:sz w:val="21"/>
          <w:szCs w:val="21"/>
          <w:highlight w:val="none"/>
          <w:lang w:eastAsia="zh-CN"/>
        </w:rPr>
        <w:t>比选文件</w:t>
      </w:r>
      <w:r>
        <w:rPr>
          <w:rFonts w:hint="eastAsia" w:ascii="宋体" w:hAnsi="宋体" w:eastAsia="宋体" w:cs="宋体"/>
          <w:color w:val="auto"/>
          <w:kern w:val="0"/>
          <w:sz w:val="21"/>
          <w:szCs w:val="21"/>
          <w:highlight w:val="none"/>
        </w:rPr>
        <w:t>要求提交履约保证金</w:t>
      </w:r>
      <w:r>
        <w:rPr>
          <w:rFonts w:hint="eastAsia" w:ascii="宋体" w:hAnsi="宋体" w:eastAsia="宋体" w:cs="宋体"/>
          <w:color w:val="auto"/>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kern w:val="0"/>
          <w:sz w:val="21"/>
          <w:szCs w:val="21"/>
          <w:highlight w:val="none"/>
        </w:rPr>
        <w:t>中标人</w:t>
      </w:r>
      <w:r>
        <w:rPr>
          <w:rFonts w:hint="eastAsia" w:ascii="宋体" w:hAnsi="宋体" w:eastAsia="宋体" w:cs="宋体"/>
          <w:color w:val="auto"/>
          <w:kern w:val="0"/>
          <w:sz w:val="21"/>
          <w:szCs w:val="21"/>
          <w:highlight w:val="none"/>
          <w:lang w:eastAsia="zh-CN"/>
        </w:rPr>
        <w:t>（或拟中标人）</w:t>
      </w:r>
      <w:r>
        <w:rPr>
          <w:rFonts w:hint="eastAsia" w:ascii="宋体" w:hAnsi="宋体" w:eastAsia="宋体" w:cs="宋体"/>
          <w:color w:val="auto"/>
          <w:kern w:val="0"/>
          <w:sz w:val="21"/>
          <w:szCs w:val="21"/>
          <w:highlight w:val="none"/>
        </w:rPr>
        <w:t>拒不提供或者不按时提供低价风险担保（适用于经评审的最低投标价法）</w:t>
      </w:r>
      <w:r>
        <w:rPr>
          <w:rFonts w:hint="eastAsia" w:ascii="宋体" w:hAnsi="宋体" w:eastAsia="宋体" w:cs="宋体"/>
          <w:color w:val="auto"/>
          <w:kern w:val="0"/>
          <w:sz w:val="21"/>
          <w:szCs w:val="21"/>
          <w:highlight w:val="none"/>
          <w:lang w:eastAsia="zh-CN"/>
        </w:rPr>
        <w:t>；</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）投标人被发现</w:t>
      </w:r>
      <w:r>
        <w:rPr>
          <w:rFonts w:hint="eastAsia" w:ascii="宋体" w:hAnsi="宋体" w:eastAsia="宋体" w:cs="宋体"/>
          <w:color w:val="auto"/>
          <w:sz w:val="21"/>
          <w:szCs w:val="21"/>
          <w:highlight w:val="none"/>
          <w:lang w:val="en-US" w:eastAsia="zh-CN"/>
        </w:rPr>
        <w:t>本次投标</w:t>
      </w:r>
      <w:r>
        <w:rPr>
          <w:rFonts w:hint="eastAsia" w:ascii="宋体" w:hAnsi="宋体" w:eastAsia="宋体" w:cs="宋体"/>
          <w:color w:val="auto"/>
          <w:sz w:val="21"/>
          <w:szCs w:val="21"/>
          <w:highlight w:val="none"/>
          <w:lang w:eastAsia="zh-CN"/>
        </w:rPr>
        <w:t>存在串通投标、弄虚造假、行贿等违法行为的；</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）发生投标人须知前附表规定的其他可以不予退还投标保证金的情形。</w:t>
      </w:r>
    </w:p>
    <w:p>
      <w:pPr>
        <w:pStyle w:val="5"/>
        <w:spacing w:before="0" w:after="0" w:line="360" w:lineRule="auto"/>
        <w:rPr>
          <w:rFonts w:hint="eastAsia" w:ascii="宋体" w:hAnsi="宋体" w:eastAsia="宋体" w:cs="宋体"/>
          <w:color w:val="auto"/>
          <w:sz w:val="21"/>
          <w:szCs w:val="21"/>
          <w:highlight w:val="none"/>
        </w:rPr>
      </w:pPr>
      <w:bookmarkStart w:id="161" w:name="_Toc6388"/>
      <w:r>
        <w:rPr>
          <w:rFonts w:hint="eastAsia" w:ascii="宋体" w:hAnsi="宋体" w:eastAsia="宋体" w:cs="宋体"/>
          <w:color w:val="auto"/>
          <w:sz w:val="21"/>
          <w:szCs w:val="21"/>
          <w:highlight w:val="none"/>
        </w:rPr>
        <w:t>3.5资格审查资料</w:t>
      </w:r>
      <w:bookmarkEnd w:id="16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除投标人须知前附表另有规定外，投标人应按下列规定提供资格审查资料，以证明其满足本章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 1.4 款规定的资质、财务、业绩、信誉等要求。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3.5.1“投标人基本情况表”应附企业法人营业执照副本、施工资质证书副本（带二维码）、安全生产许可证副本的扫描件。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企业法人营业执照副本、施工资质证书副本、安全生产许可证副本的扫描件应提供全本（证书封面、封底、空白页除外），应包括投标人名称、投标人其他相关信息、颁发机构名称、投标人信息变更情况等关键页在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3.5.2“财务状况表”应附经会计师事务所或审计机构</w:t>
      </w:r>
      <w:r>
        <w:rPr>
          <w:rFonts w:hint="eastAsia" w:ascii="宋体" w:hAnsi="宋体" w:eastAsia="宋体" w:cs="宋体"/>
          <w:color w:val="auto"/>
          <w:sz w:val="21"/>
          <w:szCs w:val="21"/>
          <w:highlight w:val="none"/>
          <w:lang w:val="en-US" w:eastAsia="zh-CN"/>
        </w:rPr>
        <w:t>出具</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合法有效的</w:t>
      </w:r>
      <w:r>
        <w:rPr>
          <w:rFonts w:hint="eastAsia" w:ascii="宋体" w:hAnsi="宋体" w:eastAsia="宋体" w:cs="宋体"/>
          <w:color w:val="auto"/>
          <w:highlight w:val="none"/>
          <w:lang w:val="en-US" w:eastAsia="zh-CN"/>
        </w:rPr>
        <w:t>且签字完整的</w:t>
      </w:r>
      <w:r>
        <w:rPr>
          <w:rFonts w:hint="eastAsia" w:ascii="宋体" w:hAnsi="宋体" w:eastAsia="宋体" w:cs="宋体"/>
          <w:color w:val="auto"/>
          <w:sz w:val="21"/>
          <w:szCs w:val="21"/>
          <w:highlight w:val="none"/>
          <w:lang w:eastAsia="zh-CN"/>
        </w:rPr>
        <w:t>财务审计报表扫描件，包括资产负债表、现金流量表、利润表和财务情况说明书，具体年份要求见投标人须知前附表。投标人的成立时间少于投标人须知前附表规定年份的，应提供成立以来的财务状况表。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3.5.3 “类似项目”应是已列入交通运输主管部门“公路建设市场信用信息管理系统”并公开的主包已建业绩或分包已建业绩，具体时间要求见投标人须知前附表。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类似项目情况表”应附在交通运输部“全国公路建设市场信用信息管理系统”中查询到的企业“业绩信息”相关项目网页截图复印件，即包括“项目名称”“标段类型”“合同价”“主要工程量”“项目主要管理人员”等栏目在内的项目详细信息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外，投标人无须再提供任何业绩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如投标人未提供相关项目网页截图或相关项目网页截图中的信息无法证实投标人满足比选文件规定的资格审查条件（业绩最低要求），则该项目业绩不予认定。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3.5.4“投标人的信誉情况表”应附投标人在国家企业信用信息公示系统中未被列入严重违法失信企业名单，在“信用中国”网站未被列入失信惩戒对象名单的网页截图。</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3.5.5“拟委任的项目经理和项目总工资历表”应附项目经理和项目总工的身份证、职称资格证书以及资格审查条件所要求的其他相关证书扫描件，其中，建造师注册证书和安全生产考核合格证书如有要求，还应附其在政府相关部门网站上公开信息的网页截图，以及在社保系统打印的拟委任项目经理和项目总工的缴费明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委任的项目经理和项目总工资历表”还应附交通运输部“全国公路建设市场信用信息管理系统”中载明的、能够证明项目经理和项目总工具有相关业绩的网页截图。在交通运输部“全国公路建设市场信用信息管理系统”中无法查询，但可在省级交通运输主管部门“公路建设市场信用信息管理系统”中查询的，应附省级交通运输主管部门“公路建设市场信用信息管理系统”中查询到的网页截图。除网页截图复印件外，投标人无须再提供任何业绩证明材料。如投标人未提供相关业绩网页截图或相关业绩网页截图中的信息无法证实投标人满足比选文件规定的资格审查条件（项目经理和项目总工最低要求），则该业绩不予认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3.5.6“拟委任的其他管理和技术人员汇总表”（如有）应按前附表规定填报满足本章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1.4.1</w:t>
      </w:r>
      <w:r>
        <w:rPr>
          <w:rFonts w:hint="eastAsia" w:ascii="宋体" w:hAnsi="宋体" w:eastAsia="宋体" w:cs="宋体"/>
          <w:color w:val="auto"/>
          <w:sz w:val="21"/>
          <w:szCs w:val="21"/>
          <w:highlight w:val="none"/>
          <w:lang w:val="en-US" w:eastAsia="zh-CN"/>
        </w:rPr>
        <w:t xml:space="preserve"> 项</w:t>
      </w:r>
      <w:r>
        <w:rPr>
          <w:rFonts w:hint="eastAsia" w:ascii="宋体" w:hAnsi="宋体" w:eastAsia="宋体" w:cs="宋体"/>
          <w:color w:val="auto"/>
          <w:sz w:val="21"/>
          <w:szCs w:val="21"/>
          <w:highlight w:val="none"/>
          <w:lang w:eastAsia="zh-CN"/>
        </w:rPr>
        <w:t>规定的其他人员的相关信息。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3.5.7“拟投入本标段的主要施工机械表”“拟配备本标段的主要材料试验、测量、质检仪器设备表”（如有））应按前附表规定填报满足本章</w:t>
      </w:r>
      <w:r>
        <w:rPr>
          <w:rFonts w:hint="eastAsia" w:ascii="宋体" w:hAnsi="宋体" w:eastAsia="宋体" w:cs="宋体"/>
          <w:color w:val="auto"/>
          <w:sz w:val="21"/>
          <w:szCs w:val="21"/>
          <w:highlight w:val="none"/>
          <w:lang w:val="en-US" w:eastAsia="zh-CN"/>
        </w:rPr>
        <w:t>第</w:t>
      </w:r>
      <w:r>
        <w:rPr>
          <w:rFonts w:hint="eastAsia" w:ascii="宋体" w:hAnsi="宋体" w:eastAsia="宋体" w:cs="宋体"/>
          <w:color w:val="auto"/>
          <w:sz w:val="21"/>
          <w:szCs w:val="21"/>
          <w:highlight w:val="none"/>
          <w:lang w:eastAsia="zh-CN"/>
        </w:rPr>
        <w:t xml:space="preserve">1.4.1 </w:t>
      </w:r>
      <w:r>
        <w:rPr>
          <w:rFonts w:hint="eastAsia" w:ascii="宋体" w:hAnsi="宋体" w:eastAsia="宋体" w:cs="宋体"/>
          <w:color w:val="auto"/>
          <w:sz w:val="21"/>
          <w:szCs w:val="21"/>
          <w:highlight w:val="none"/>
          <w:lang w:val="en-US" w:eastAsia="zh-CN"/>
        </w:rPr>
        <w:t>项</w:t>
      </w:r>
      <w:r>
        <w:rPr>
          <w:rFonts w:hint="eastAsia" w:ascii="宋体" w:hAnsi="宋体" w:eastAsia="宋体" w:cs="宋体"/>
          <w:color w:val="auto"/>
          <w:sz w:val="21"/>
          <w:szCs w:val="21"/>
          <w:highlight w:val="none"/>
          <w:lang w:eastAsia="zh-CN"/>
        </w:rPr>
        <w:t>规定的机械设备和试验检测设备。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3.5.8 投标人须知前附表规定接受联合体投标的，本章第3.5.1 项至第3.5.7 项规定的表格和资料应包括联合体各方相关情况。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3.5.9 除合同条款约定的特殊情形外，投标人在投标文件中填报的项目经理和项目总工不允许更换，否则将按合同条款的约定予以处罚。</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3.5.10 投标人在投标文件中填报的资质、业绩、主要人员资历和目前在岗情况、信用等级等信息，应与其在交通运输部或</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交通行政主管部门“公路建设市场信用信息管理系统”上填报并发布的相关信息一致。投标人应根据本单位实际情况及时完成相关信息的申报、录入和动态更新，并对相关信息的真实性、完整性和准确性负责。</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3.5.11 比选人有权核查投标人在资格预审申请文件和投标文件中提供的材料，若在评标期间发现投标人提供了虚假资料，其投标将被否决；若在签订合同前发现作为中标候选人的投标人提供了虚假资料，比选人有权取消其中标资格；若在合同实施期间发现投标人提供了虚假资料，比选人有权从工程支付款或履约保证金中扣除不超过10％签约合同价的金额作为违约金。同时比选人将投标人上述弄虚作假行为上报</w:t>
      </w:r>
      <w:r>
        <w:rPr>
          <w:rFonts w:hint="eastAsia" w:ascii="宋体" w:hAnsi="宋体" w:eastAsia="宋体" w:cs="宋体"/>
          <w:color w:val="auto"/>
          <w:sz w:val="21"/>
          <w:szCs w:val="21"/>
          <w:highlight w:val="none"/>
          <w:lang w:val="en-US" w:eastAsia="zh-CN"/>
        </w:rPr>
        <w:t>省级</w:t>
      </w:r>
      <w:r>
        <w:rPr>
          <w:rFonts w:hint="eastAsia" w:ascii="宋体" w:hAnsi="宋体" w:eastAsia="宋体" w:cs="宋体"/>
          <w:color w:val="auto"/>
          <w:sz w:val="21"/>
          <w:szCs w:val="21"/>
          <w:highlight w:val="none"/>
          <w:lang w:eastAsia="zh-CN"/>
        </w:rPr>
        <w:t>交通行政主管部门，作为不良记录纳入公路建设市场信用信息管理系统。</w:t>
      </w:r>
    </w:p>
    <w:p>
      <w:pPr>
        <w:pStyle w:val="5"/>
        <w:spacing w:before="0" w:after="0" w:line="360" w:lineRule="auto"/>
        <w:rPr>
          <w:rFonts w:hint="eastAsia" w:ascii="宋体" w:hAnsi="宋体" w:eastAsia="宋体" w:cs="宋体"/>
          <w:color w:val="auto"/>
          <w:sz w:val="21"/>
          <w:szCs w:val="21"/>
          <w:highlight w:val="none"/>
        </w:rPr>
      </w:pPr>
      <w:bookmarkStart w:id="162" w:name="_Toc1901"/>
      <w:r>
        <w:rPr>
          <w:rFonts w:hint="eastAsia" w:ascii="宋体" w:hAnsi="宋体" w:eastAsia="宋体" w:cs="宋体"/>
          <w:color w:val="auto"/>
          <w:sz w:val="21"/>
          <w:szCs w:val="21"/>
          <w:highlight w:val="none"/>
        </w:rPr>
        <w:t>3.6 备选投标方案</w:t>
      </w:r>
      <w:bookmarkEnd w:id="16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3.6.1 除投标人须知前附表规定允许外，投标人不得递交备选投标方案，否则其投标将被否决。</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3.6.2 允许投标人递交备选投标方案的，只有中标人所递交的备选投标方案方可予以考虑。评标委员会认为中标人的备选投标方案优于其按照比选文件要求编制的投标方案的，比选人可以接受该备选投标方案。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3.6.3 投标人提供两个或两个以上投标报价，或在投标文件中提供一个报价，但同时提供两个或两个以上施工组织设计的，视为提供备选方案。</w:t>
      </w:r>
    </w:p>
    <w:p>
      <w:pPr>
        <w:pStyle w:val="5"/>
        <w:spacing w:before="0" w:after="0" w:line="360" w:lineRule="auto"/>
        <w:rPr>
          <w:rFonts w:hint="eastAsia" w:ascii="宋体" w:hAnsi="宋体" w:eastAsia="宋体" w:cs="宋体"/>
          <w:color w:val="auto"/>
          <w:sz w:val="21"/>
          <w:szCs w:val="21"/>
          <w:highlight w:val="none"/>
        </w:rPr>
      </w:pPr>
      <w:bookmarkStart w:id="163" w:name="_Toc29426"/>
      <w:r>
        <w:rPr>
          <w:rFonts w:hint="eastAsia" w:ascii="宋体" w:hAnsi="宋体" w:eastAsia="宋体" w:cs="宋体"/>
          <w:color w:val="auto"/>
          <w:sz w:val="21"/>
          <w:szCs w:val="21"/>
          <w:highlight w:val="none"/>
        </w:rPr>
        <w:t>3.7 投标文件的编制</w:t>
      </w:r>
      <w:bookmarkEnd w:id="16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3.7.1 投标文件应按第九章“投标文件格式”进行编写，如有必要，可以增加附页，作为投标文件的组成部分。其中，投标函附录在满足比选文件实质性要求的基础上，可以提出比比选文件要求更有利于比选人的承诺。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3.7.2 投标文件应对比选文件有关工期、投标有效期、质量要求、安全目标、技术标准和要求、招标范围等实质性内容作出响应。</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3.7.3 投标文件的签名盖章要求：按本章投标人须知前附表第3.7.3项执行。</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3.7.4 投标文件份数：投标文件正本1份、副本2份，电子版形式（U盘）1份。当副本和正本不一致时，以正本为准。电子版形式（U盘）包含所有投标资料且和纸质版文件一致。否则由评标委员会作否决投标处理。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3.7.5 投标文件应按规定格式排版，并编制目录，具体编制要求见投标人须知前附表规定。</w:t>
      </w:r>
    </w:p>
    <w:p>
      <w:pPr>
        <w:pStyle w:val="4"/>
        <w:spacing w:before="0" w:after="0" w:line="360" w:lineRule="auto"/>
        <w:rPr>
          <w:rFonts w:hint="eastAsia" w:ascii="宋体" w:hAnsi="宋体" w:eastAsia="宋体" w:cs="宋体"/>
          <w:color w:val="auto"/>
          <w:sz w:val="28"/>
          <w:szCs w:val="28"/>
          <w:highlight w:val="none"/>
        </w:rPr>
      </w:pPr>
      <w:bookmarkStart w:id="164" w:name="_Toc12673"/>
      <w:r>
        <w:rPr>
          <w:rFonts w:hint="eastAsia" w:ascii="宋体" w:hAnsi="宋体" w:eastAsia="宋体" w:cs="宋体"/>
          <w:color w:val="auto"/>
          <w:sz w:val="28"/>
          <w:szCs w:val="28"/>
          <w:highlight w:val="none"/>
        </w:rPr>
        <w:t>4. 投标</w:t>
      </w:r>
      <w:bookmarkEnd w:id="164"/>
    </w:p>
    <w:p>
      <w:pPr>
        <w:pStyle w:val="5"/>
        <w:spacing w:before="0" w:after="0" w:line="360" w:lineRule="auto"/>
        <w:rPr>
          <w:rFonts w:hint="eastAsia" w:ascii="宋体" w:hAnsi="宋体" w:eastAsia="宋体" w:cs="宋体"/>
          <w:color w:val="auto"/>
          <w:sz w:val="21"/>
          <w:szCs w:val="21"/>
          <w:highlight w:val="none"/>
        </w:rPr>
      </w:pPr>
      <w:bookmarkStart w:id="165" w:name="_Toc16557"/>
      <w:r>
        <w:rPr>
          <w:rFonts w:hint="eastAsia" w:ascii="宋体" w:hAnsi="宋体" w:eastAsia="宋体" w:cs="宋体"/>
          <w:color w:val="auto"/>
          <w:sz w:val="21"/>
          <w:szCs w:val="21"/>
          <w:highlight w:val="none"/>
        </w:rPr>
        <w:t>4.1 投标文件的密封和标识</w:t>
      </w:r>
      <w:bookmarkEnd w:id="16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4.1.1 投标文件的密封：见投标人须知前附表。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4.1.2 投标文件</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lang w:eastAsia="zh-CN"/>
        </w:rPr>
        <w:t>封套上应写明的内容：见投标人须知前附表。</w:t>
      </w:r>
    </w:p>
    <w:p>
      <w:pPr>
        <w:pStyle w:val="5"/>
        <w:spacing w:before="0" w:after="0" w:line="360" w:lineRule="auto"/>
        <w:rPr>
          <w:rFonts w:hint="eastAsia" w:ascii="宋体" w:hAnsi="宋体" w:eastAsia="宋体" w:cs="宋体"/>
          <w:color w:val="auto"/>
          <w:sz w:val="21"/>
          <w:szCs w:val="21"/>
          <w:highlight w:val="none"/>
        </w:rPr>
      </w:pPr>
      <w:bookmarkStart w:id="166" w:name="_Toc2069"/>
      <w:r>
        <w:rPr>
          <w:rFonts w:hint="eastAsia" w:ascii="宋体" w:hAnsi="宋体" w:eastAsia="宋体" w:cs="宋体"/>
          <w:color w:val="auto"/>
          <w:sz w:val="21"/>
          <w:szCs w:val="21"/>
          <w:highlight w:val="none"/>
        </w:rPr>
        <w:t>4.2投标文件的递交</w:t>
      </w:r>
      <w:bookmarkEnd w:id="16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4.2.1 投标人应在投标人须知前附表第 2.2.2 项规定的投标截止时间前递交投标文件。。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4.2.2 投标人递交投标文件的地点：见投标人须知前附表。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4.2.3 除投标人须知前附表另有规定外，投标人所递交的投标文件不予退还。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4.2.4 逾期送达的或者未送达指定地点的投标文件，比选人不予受理。</w:t>
      </w:r>
    </w:p>
    <w:p>
      <w:pPr>
        <w:pStyle w:val="5"/>
        <w:spacing w:before="0" w:after="0" w:line="360" w:lineRule="auto"/>
        <w:rPr>
          <w:rFonts w:hint="eastAsia" w:ascii="宋体" w:hAnsi="宋体" w:eastAsia="宋体" w:cs="宋体"/>
          <w:color w:val="auto"/>
          <w:sz w:val="21"/>
          <w:szCs w:val="21"/>
          <w:highlight w:val="none"/>
        </w:rPr>
      </w:pPr>
      <w:bookmarkStart w:id="167" w:name="_Toc4808"/>
      <w:r>
        <w:rPr>
          <w:rFonts w:hint="eastAsia" w:ascii="宋体" w:hAnsi="宋体" w:eastAsia="宋体" w:cs="宋体"/>
          <w:color w:val="auto"/>
          <w:sz w:val="21"/>
          <w:szCs w:val="21"/>
          <w:highlight w:val="none"/>
        </w:rPr>
        <w:t>4.3 投标文件的修改与撤回</w:t>
      </w:r>
      <w:bookmarkEnd w:id="16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xml:space="preserve">4.3.1 </w:t>
      </w:r>
      <w:r>
        <w:rPr>
          <w:rFonts w:hint="eastAsia" w:ascii="宋体" w:hAnsi="宋体" w:eastAsia="宋体" w:cs="宋体"/>
          <w:snapToGrid w:val="0"/>
          <w:color w:val="auto"/>
          <w:sz w:val="21"/>
          <w:szCs w:val="21"/>
          <w:highlight w:val="none"/>
          <w:lang w:eastAsia="zh-CN"/>
        </w:rPr>
        <w:t>在投标人须知前附表第2.2.2项规定的投标截止时间前</w:t>
      </w:r>
      <w:r>
        <w:rPr>
          <w:rFonts w:hint="eastAsia" w:ascii="宋体" w:hAnsi="宋体" w:eastAsia="宋体" w:cs="宋体"/>
          <w:color w:val="auto"/>
          <w:sz w:val="21"/>
          <w:szCs w:val="21"/>
          <w:highlight w:val="none"/>
          <w:lang w:eastAsia="zh-CN"/>
        </w:rPr>
        <w:t>，投标人可以修改或撤回已递交的投标文件。</w:t>
      </w:r>
    </w:p>
    <w:p>
      <w:pPr>
        <w:pStyle w:val="4"/>
        <w:spacing w:before="0" w:after="0" w:line="360" w:lineRule="auto"/>
        <w:rPr>
          <w:rFonts w:hint="eastAsia" w:ascii="宋体" w:hAnsi="宋体" w:eastAsia="宋体" w:cs="宋体"/>
          <w:color w:val="auto"/>
          <w:sz w:val="28"/>
          <w:szCs w:val="28"/>
          <w:highlight w:val="none"/>
        </w:rPr>
      </w:pPr>
      <w:bookmarkStart w:id="168" w:name="_Toc20699"/>
      <w:r>
        <w:rPr>
          <w:rFonts w:hint="eastAsia" w:ascii="宋体" w:hAnsi="宋体" w:eastAsia="宋体" w:cs="宋体"/>
          <w:color w:val="auto"/>
          <w:sz w:val="28"/>
          <w:szCs w:val="28"/>
          <w:highlight w:val="none"/>
        </w:rPr>
        <w:t>5. 开标</w:t>
      </w:r>
      <w:bookmarkEnd w:id="168"/>
    </w:p>
    <w:p>
      <w:pPr>
        <w:pStyle w:val="5"/>
        <w:spacing w:before="0" w:after="0" w:line="360" w:lineRule="auto"/>
        <w:rPr>
          <w:rFonts w:hint="eastAsia" w:ascii="宋体" w:hAnsi="宋体" w:eastAsia="宋体" w:cs="宋体"/>
          <w:color w:val="auto"/>
          <w:sz w:val="21"/>
          <w:szCs w:val="21"/>
          <w:highlight w:val="none"/>
        </w:rPr>
      </w:pPr>
      <w:bookmarkStart w:id="169" w:name="_Toc14667"/>
      <w:r>
        <w:rPr>
          <w:rFonts w:hint="eastAsia" w:ascii="宋体" w:hAnsi="宋体" w:eastAsia="宋体" w:cs="宋体"/>
          <w:color w:val="auto"/>
          <w:sz w:val="21"/>
          <w:szCs w:val="21"/>
          <w:highlight w:val="none"/>
        </w:rPr>
        <w:t>5.1 开标时间和地点</w:t>
      </w:r>
      <w:bookmarkEnd w:id="16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5.1.1</w:t>
      </w:r>
      <w:r>
        <w:rPr>
          <w:rFonts w:hint="eastAsia" w:ascii="宋体" w:hAnsi="宋体" w:eastAsia="宋体" w:cs="宋体"/>
          <w:color w:val="auto"/>
          <w:sz w:val="21"/>
          <w:szCs w:val="21"/>
          <w:highlight w:val="none"/>
          <w:lang w:eastAsia="zh-CN"/>
        </w:rPr>
        <w:t>比选人在本章第 4.2.1 项规定的投标截止时间（开标时间）和投标人须知前附表规定的地点对收到的投标文件公开开标，并邀请所有投标人的法定代表人或其委托代理人准时参加。</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投标人若未派法定代表人或委托代理人出席开标活动，视为该投标人默认开标结果。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5.1.2</w:t>
      </w:r>
      <w:r>
        <w:rPr>
          <w:rFonts w:hint="eastAsia" w:ascii="宋体" w:hAnsi="宋体" w:eastAsia="宋体" w:cs="宋体"/>
          <w:snapToGrid w:val="0"/>
          <w:color w:val="auto"/>
          <w:sz w:val="21"/>
          <w:szCs w:val="21"/>
          <w:highlight w:val="none"/>
          <w:lang w:eastAsia="zh-CN"/>
        </w:rPr>
        <w:t>投标人在投标人须知前附表第 5.1.2 项规定的解密时间内在线或到开标现场完成投标文件解密工作</w:t>
      </w:r>
      <w:r>
        <w:rPr>
          <w:rFonts w:hint="eastAsia" w:ascii="宋体" w:hAnsi="宋体" w:eastAsia="宋体" w:cs="宋体"/>
          <w:color w:val="auto"/>
          <w:sz w:val="21"/>
          <w:szCs w:val="21"/>
          <w:highlight w:val="none"/>
          <w:lang w:eastAsia="zh-CN"/>
        </w:rPr>
        <w:t>。</w:t>
      </w:r>
    </w:p>
    <w:p>
      <w:pPr>
        <w:pStyle w:val="5"/>
        <w:spacing w:before="0" w:after="0" w:line="360" w:lineRule="auto"/>
        <w:rPr>
          <w:rFonts w:hint="eastAsia" w:ascii="宋体" w:hAnsi="宋体" w:eastAsia="宋体" w:cs="宋体"/>
          <w:color w:val="auto"/>
          <w:sz w:val="21"/>
          <w:szCs w:val="21"/>
          <w:highlight w:val="none"/>
        </w:rPr>
      </w:pPr>
      <w:bookmarkStart w:id="170" w:name="_Toc8308"/>
      <w:r>
        <w:rPr>
          <w:rFonts w:hint="eastAsia" w:ascii="宋体" w:hAnsi="宋体" w:eastAsia="宋体" w:cs="宋体"/>
          <w:color w:val="auto"/>
          <w:sz w:val="21"/>
          <w:szCs w:val="21"/>
          <w:highlight w:val="none"/>
        </w:rPr>
        <w:t>5.2开标程序</w:t>
      </w:r>
      <w:bookmarkEnd w:id="17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详见投标人须知前附表第5.2款开标程序。</w:t>
      </w:r>
    </w:p>
    <w:p>
      <w:pPr>
        <w:pStyle w:val="5"/>
        <w:spacing w:before="0" w:after="0" w:line="360" w:lineRule="auto"/>
        <w:rPr>
          <w:rFonts w:hint="eastAsia" w:ascii="宋体" w:hAnsi="宋体" w:eastAsia="宋体" w:cs="宋体"/>
          <w:color w:val="auto"/>
          <w:sz w:val="21"/>
          <w:szCs w:val="21"/>
          <w:highlight w:val="none"/>
        </w:rPr>
      </w:pPr>
      <w:bookmarkStart w:id="171" w:name="_Toc12346"/>
      <w:r>
        <w:rPr>
          <w:rFonts w:hint="eastAsia" w:ascii="宋体" w:hAnsi="宋体" w:eastAsia="宋体" w:cs="宋体"/>
          <w:color w:val="auto"/>
          <w:sz w:val="21"/>
          <w:szCs w:val="21"/>
          <w:highlight w:val="none"/>
        </w:rPr>
        <w:t>5.3 开标异议</w:t>
      </w:r>
      <w:bookmarkEnd w:id="17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投标人对开标有异议的，应在开标现场</w:t>
      </w:r>
      <w:r>
        <w:rPr>
          <w:rFonts w:hint="eastAsia" w:ascii="宋体" w:hAnsi="宋体" w:eastAsia="宋体" w:cs="宋体"/>
          <w:color w:val="auto"/>
          <w:sz w:val="21"/>
          <w:szCs w:val="21"/>
          <w:highlight w:val="none"/>
          <w:lang w:val="en-US" w:eastAsia="zh-CN"/>
        </w:rPr>
        <w:t>或在线（不见面开标适用）</w:t>
      </w:r>
      <w:r>
        <w:rPr>
          <w:rFonts w:hint="eastAsia" w:ascii="宋体" w:hAnsi="宋体" w:eastAsia="宋体" w:cs="宋体"/>
          <w:color w:val="auto"/>
          <w:sz w:val="21"/>
          <w:szCs w:val="21"/>
          <w:highlight w:val="none"/>
          <w:lang w:eastAsia="zh-CN"/>
        </w:rPr>
        <w:t>提出，开标现场提出异议的，应出示法定代表人身份证明或附有法定代表人身份证明的授权委托书。比选人当场作出答复，并制作记录，有异议的投标人代表、比选人代表、记录人等有关人员在记录上签名确认。</w:t>
      </w:r>
    </w:p>
    <w:p>
      <w:pPr>
        <w:pStyle w:val="4"/>
        <w:spacing w:before="0" w:after="0" w:line="360" w:lineRule="auto"/>
        <w:rPr>
          <w:rFonts w:hint="eastAsia" w:ascii="宋体" w:hAnsi="宋体" w:eastAsia="宋体" w:cs="宋体"/>
          <w:color w:val="auto"/>
          <w:sz w:val="28"/>
          <w:szCs w:val="28"/>
          <w:highlight w:val="none"/>
        </w:rPr>
      </w:pPr>
      <w:bookmarkStart w:id="172" w:name="_Toc32019"/>
      <w:r>
        <w:rPr>
          <w:rFonts w:hint="eastAsia" w:ascii="宋体" w:hAnsi="宋体" w:eastAsia="宋体" w:cs="宋体"/>
          <w:color w:val="auto"/>
          <w:sz w:val="28"/>
          <w:szCs w:val="28"/>
          <w:highlight w:val="none"/>
        </w:rPr>
        <w:t>6. 评标</w:t>
      </w:r>
      <w:bookmarkEnd w:id="172"/>
    </w:p>
    <w:p>
      <w:pPr>
        <w:pStyle w:val="5"/>
        <w:spacing w:before="0" w:after="0" w:line="360" w:lineRule="auto"/>
        <w:rPr>
          <w:rFonts w:hint="eastAsia" w:ascii="宋体" w:hAnsi="宋体" w:eastAsia="宋体" w:cs="宋体"/>
          <w:color w:val="auto"/>
          <w:sz w:val="21"/>
          <w:szCs w:val="21"/>
          <w:highlight w:val="none"/>
        </w:rPr>
      </w:pPr>
      <w:bookmarkStart w:id="173" w:name="_Toc32317"/>
      <w:r>
        <w:rPr>
          <w:rFonts w:hint="eastAsia" w:ascii="宋体" w:hAnsi="宋体" w:eastAsia="宋体" w:cs="宋体"/>
          <w:color w:val="auto"/>
          <w:sz w:val="21"/>
          <w:szCs w:val="21"/>
          <w:highlight w:val="none"/>
        </w:rPr>
        <w:t>6.1 评标委员会</w:t>
      </w:r>
      <w:bookmarkEnd w:id="17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6.1.1</w:t>
      </w:r>
      <w:r>
        <w:rPr>
          <w:rFonts w:hint="eastAsia" w:ascii="宋体" w:hAnsi="宋体" w:eastAsia="宋体" w:cs="宋体"/>
          <w:color w:val="auto"/>
          <w:sz w:val="21"/>
          <w:szCs w:val="21"/>
          <w:highlight w:val="none"/>
          <w:lang w:val="en-US" w:eastAsia="zh-CN"/>
        </w:rPr>
        <w:t>评标委员会的组建：</w:t>
      </w:r>
      <w:r>
        <w:rPr>
          <w:rFonts w:hint="eastAsia" w:ascii="宋体" w:hAnsi="宋体" w:eastAsia="宋体" w:cs="宋体"/>
          <w:color w:val="auto"/>
          <w:sz w:val="21"/>
          <w:szCs w:val="21"/>
          <w:highlight w:val="none"/>
          <w:lang w:eastAsia="zh-CN"/>
        </w:rPr>
        <w:t>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6.1.2 评标委员会成员有下列情形之一的，应主动提出回避：</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（1）为负责</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监督管理的交通运输主管部门的工作人员，或</w:t>
      </w:r>
      <w:r>
        <w:rPr>
          <w:rFonts w:hint="eastAsia" w:ascii="宋体" w:hAnsi="宋体" w:eastAsia="宋体" w:cs="宋体"/>
          <w:color w:val="auto"/>
          <w:szCs w:val="21"/>
          <w:highlight w:val="none"/>
          <w:lang w:eastAsia="zh-CN"/>
        </w:rPr>
        <w:t>比选项目</w:t>
      </w:r>
      <w:r>
        <w:rPr>
          <w:rFonts w:hint="eastAsia" w:ascii="宋体" w:hAnsi="宋体" w:eastAsia="宋体" w:cs="宋体"/>
          <w:color w:val="auto"/>
          <w:szCs w:val="21"/>
          <w:highlight w:val="none"/>
        </w:rPr>
        <w:t>的主管部门的工作人员，或对该项目有监督职责的行政监督部门的工作人员；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主要负责人的近亲属，或与投标人法定代表人或其委托代理人有近亲属关系；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（3）为投标人的工作人员或退休人员；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（4）与投标人有其他利害关系，可能影响评标活动公正性；</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（5）在与招标投标有关的活动中有过违法违规行为、曾受过行政处罚或刑事处罚；</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及其子公司、</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的上级主管部门或者控股公司、</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的工作人员或者退休人员；</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（7）近3年在</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、投标人或</w:t>
      </w:r>
      <w:r>
        <w:rPr>
          <w:rFonts w:hint="eastAsia" w:ascii="宋体" w:hAnsi="宋体" w:eastAsia="宋体" w:cs="宋体"/>
          <w:color w:val="auto"/>
          <w:szCs w:val="21"/>
          <w:highlight w:val="none"/>
          <w:lang w:eastAsia="zh-CN"/>
        </w:rPr>
        <w:t>比选代理机构</w:t>
      </w:r>
      <w:r>
        <w:rPr>
          <w:rFonts w:hint="eastAsia" w:ascii="宋体" w:hAnsi="宋体" w:eastAsia="宋体" w:cs="宋体"/>
          <w:color w:val="auto"/>
          <w:szCs w:val="21"/>
          <w:highlight w:val="none"/>
        </w:rPr>
        <w:t>工作过的人员。</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6.1.3评标过程中，评标委员会成员有回避事由、擅离职守或者因健康等原因不能继续评标的，应当及时更换。被更换的评标委员会成员作出的评审结论无效，由更换后的评标委员会成员重新进行评审。</w:t>
      </w:r>
    </w:p>
    <w:p>
      <w:pPr>
        <w:pStyle w:val="5"/>
        <w:spacing w:before="0" w:after="0" w:line="360" w:lineRule="auto"/>
        <w:rPr>
          <w:rFonts w:hint="eastAsia" w:ascii="宋体" w:hAnsi="宋体" w:eastAsia="宋体" w:cs="宋体"/>
          <w:color w:val="auto"/>
          <w:sz w:val="21"/>
          <w:szCs w:val="21"/>
          <w:highlight w:val="none"/>
        </w:rPr>
      </w:pPr>
      <w:bookmarkStart w:id="174" w:name="_Toc28435"/>
      <w:r>
        <w:rPr>
          <w:rFonts w:hint="eastAsia" w:ascii="宋体" w:hAnsi="宋体" w:eastAsia="宋体" w:cs="宋体"/>
          <w:color w:val="auto"/>
          <w:sz w:val="21"/>
          <w:szCs w:val="21"/>
          <w:highlight w:val="none"/>
        </w:rPr>
        <w:t>6.2 评标原则</w:t>
      </w:r>
      <w:bookmarkEnd w:id="174"/>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评标活动遵循公平、公正、科学和择优的原则。</w:t>
      </w:r>
    </w:p>
    <w:p>
      <w:pPr>
        <w:pStyle w:val="5"/>
        <w:spacing w:before="0" w:after="0" w:line="360" w:lineRule="auto"/>
        <w:rPr>
          <w:rFonts w:hint="eastAsia" w:ascii="宋体" w:hAnsi="宋体" w:eastAsia="宋体" w:cs="宋体"/>
          <w:color w:val="auto"/>
          <w:sz w:val="21"/>
          <w:szCs w:val="21"/>
          <w:highlight w:val="none"/>
        </w:rPr>
      </w:pPr>
      <w:bookmarkStart w:id="175" w:name="_Toc32069"/>
      <w:r>
        <w:rPr>
          <w:rFonts w:hint="eastAsia" w:ascii="宋体" w:hAnsi="宋体" w:eastAsia="宋体" w:cs="宋体"/>
          <w:color w:val="auto"/>
          <w:sz w:val="21"/>
          <w:szCs w:val="21"/>
          <w:highlight w:val="none"/>
        </w:rPr>
        <w:t>6.3 评标</w:t>
      </w:r>
      <w:bookmarkEnd w:id="17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6.3.1</w:t>
      </w:r>
      <w:r>
        <w:rPr>
          <w:rFonts w:hint="eastAsia" w:ascii="宋体" w:hAnsi="宋体" w:eastAsia="宋体" w:cs="宋体"/>
          <w:color w:val="auto"/>
          <w:sz w:val="21"/>
          <w:szCs w:val="21"/>
          <w:highlight w:val="none"/>
          <w:lang w:eastAsia="zh-CN"/>
        </w:rPr>
        <w:t>评标委员会按照第三章“评标办法”规定的方法、评审因素、标准和程序对投标文件进行评审。第三章“评标办法”没有规定的方法、评审因素和标准，不作为评标依据。</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6.3.2</w:t>
      </w:r>
      <w:r>
        <w:rPr>
          <w:rFonts w:hint="eastAsia" w:ascii="宋体" w:hAnsi="宋体" w:eastAsia="宋体" w:cs="宋体"/>
          <w:color w:val="auto"/>
          <w:sz w:val="21"/>
          <w:szCs w:val="21"/>
          <w:highlight w:val="none"/>
          <w:lang w:eastAsia="zh-CN"/>
        </w:rPr>
        <w:t>评标完成后，评标委员会应向比选人提交书面评标报告和中标候选人名单。评标委员会推荐中标候选人的人数见投标人须知前附表。</w:t>
      </w:r>
    </w:p>
    <w:p>
      <w:pPr>
        <w:pStyle w:val="4"/>
        <w:spacing w:before="0" w:after="0" w:line="360" w:lineRule="auto"/>
        <w:rPr>
          <w:rFonts w:hint="eastAsia" w:ascii="宋体" w:hAnsi="宋体" w:eastAsia="宋体" w:cs="宋体"/>
          <w:color w:val="auto"/>
          <w:sz w:val="28"/>
          <w:szCs w:val="28"/>
          <w:highlight w:val="none"/>
        </w:rPr>
      </w:pPr>
      <w:bookmarkStart w:id="176" w:name="_Toc14208"/>
      <w:r>
        <w:rPr>
          <w:rFonts w:hint="eastAsia" w:ascii="宋体" w:hAnsi="宋体" w:eastAsia="宋体" w:cs="宋体"/>
          <w:color w:val="auto"/>
          <w:sz w:val="28"/>
          <w:szCs w:val="28"/>
          <w:highlight w:val="none"/>
        </w:rPr>
        <w:t>7. 合同授予</w:t>
      </w:r>
      <w:bookmarkEnd w:id="176"/>
    </w:p>
    <w:p>
      <w:pPr>
        <w:pStyle w:val="5"/>
        <w:spacing w:before="0" w:after="0" w:line="360" w:lineRule="auto"/>
        <w:rPr>
          <w:rFonts w:hint="eastAsia" w:ascii="宋体" w:hAnsi="宋体" w:eastAsia="宋体" w:cs="宋体"/>
          <w:color w:val="auto"/>
          <w:sz w:val="21"/>
          <w:szCs w:val="21"/>
          <w:highlight w:val="none"/>
        </w:rPr>
      </w:pPr>
      <w:bookmarkStart w:id="177" w:name="_Toc1420"/>
      <w:r>
        <w:rPr>
          <w:rFonts w:hint="eastAsia" w:ascii="宋体" w:hAnsi="宋体" w:eastAsia="宋体" w:cs="宋体"/>
          <w:color w:val="auto"/>
          <w:sz w:val="21"/>
          <w:szCs w:val="21"/>
          <w:highlight w:val="none"/>
        </w:rPr>
        <w:t>7.1 中标候选人公示</w:t>
      </w:r>
      <w:bookmarkEnd w:id="17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比选人在收到评标报告之日起 3 日内，按照投标人须知前附表规定的公示媒介和期限公示中标候选人，公示期不得少于 3 日。</w:t>
      </w:r>
    </w:p>
    <w:p>
      <w:pPr>
        <w:pStyle w:val="5"/>
        <w:spacing w:before="0" w:after="0" w:line="360" w:lineRule="auto"/>
        <w:rPr>
          <w:rFonts w:hint="eastAsia" w:ascii="宋体" w:hAnsi="宋体" w:eastAsia="宋体" w:cs="宋体"/>
          <w:color w:val="auto"/>
          <w:sz w:val="21"/>
          <w:szCs w:val="21"/>
          <w:highlight w:val="none"/>
        </w:rPr>
      </w:pPr>
      <w:bookmarkStart w:id="178" w:name="_Toc25505"/>
      <w:r>
        <w:rPr>
          <w:rFonts w:hint="eastAsia" w:ascii="宋体" w:hAnsi="宋体" w:eastAsia="宋体" w:cs="宋体"/>
          <w:color w:val="auto"/>
          <w:sz w:val="21"/>
          <w:szCs w:val="21"/>
          <w:highlight w:val="none"/>
        </w:rPr>
        <w:t>7.2 评标结果异议</w:t>
      </w:r>
      <w:bookmarkEnd w:id="17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投标人或其他利害关系人对依法必须进行招标的项目的评标结果有异议的，应在中标候选人公示期间提出。比选人将在收到异议之日起 3 日内作出答复；作出答复前，将暂停招标投标活动。</w:t>
      </w:r>
    </w:p>
    <w:p>
      <w:pPr>
        <w:pStyle w:val="5"/>
        <w:spacing w:before="0" w:after="0" w:line="360" w:lineRule="auto"/>
        <w:rPr>
          <w:rFonts w:hint="eastAsia" w:ascii="宋体" w:hAnsi="宋体" w:eastAsia="宋体" w:cs="宋体"/>
          <w:color w:val="auto"/>
          <w:sz w:val="21"/>
          <w:szCs w:val="21"/>
          <w:highlight w:val="none"/>
        </w:rPr>
      </w:pPr>
      <w:bookmarkStart w:id="179" w:name="_Toc30053"/>
      <w:r>
        <w:rPr>
          <w:rFonts w:hint="eastAsia" w:ascii="宋体" w:hAnsi="宋体" w:eastAsia="宋体" w:cs="宋体"/>
          <w:color w:val="auto"/>
          <w:sz w:val="21"/>
          <w:szCs w:val="21"/>
          <w:highlight w:val="none"/>
        </w:rPr>
        <w:t>7.3 中标候选人履约能力审查</w:t>
      </w:r>
      <w:bookmarkEnd w:id="17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中标候选人的经营、财务状况发生较大变化或存在违法行为，比选人认为可能影响其履约能力的，将在发出中标通知书前提请原评标委员会按照比选文件规定的标准和方法进行审查确认。</w:t>
      </w:r>
    </w:p>
    <w:p>
      <w:pPr>
        <w:pStyle w:val="5"/>
        <w:spacing w:before="0" w:after="0" w:line="360" w:lineRule="auto"/>
        <w:rPr>
          <w:rFonts w:hint="eastAsia" w:ascii="宋体" w:hAnsi="宋体" w:eastAsia="宋体" w:cs="宋体"/>
          <w:color w:val="auto"/>
          <w:sz w:val="21"/>
          <w:szCs w:val="21"/>
          <w:highlight w:val="none"/>
        </w:rPr>
      </w:pPr>
      <w:bookmarkStart w:id="180" w:name="_Toc28159"/>
      <w:r>
        <w:rPr>
          <w:rFonts w:hint="eastAsia" w:ascii="宋体" w:hAnsi="宋体" w:eastAsia="宋体" w:cs="宋体"/>
          <w:color w:val="auto"/>
          <w:sz w:val="21"/>
          <w:szCs w:val="21"/>
          <w:highlight w:val="none"/>
        </w:rPr>
        <w:t>7.4 定标</w:t>
      </w:r>
      <w:bookmarkEnd w:id="180"/>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按照投标人须知前附表的规定，比选人或比选人授权的评标委员会依法确定中标人。</w:t>
      </w:r>
    </w:p>
    <w:p>
      <w:pPr>
        <w:pStyle w:val="5"/>
        <w:spacing w:before="0" w:after="0" w:line="360" w:lineRule="auto"/>
        <w:rPr>
          <w:rFonts w:hint="eastAsia" w:ascii="宋体" w:hAnsi="宋体" w:eastAsia="宋体" w:cs="宋体"/>
          <w:color w:val="auto"/>
          <w:sz w:val="21"/>
          <w:szCs w:val="21"/>
          <w:highlight w:val="none"/>
        </w:rPr>
      </w:pPr>
      <w:bookmarkStart w:id="181" w:name="_Toc9395"/>
      <w:r>
        <w:rPr>
          <w:rFonts w:hint="eastAsia" w:ascii="宋体" w:hAnsi="宋体" w:eastAsia="宋体" w:cs="宋体"/>
          <w:color w:val="auto"/>
          <w:sz w:val="21"/>
          <w:szCs w:val="21"/>
          <w:highlight w:val="none"/>
        </w:rPr>
        <w:t>7.5 中标通知</w:t>
      </w:r>
      <w:bookmarkEnd w:id="18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在本章第 3.3 款规定的投标有效期内，比选人以投标人须知前附表规定的形式向中标人发出中标通知书，同时将中标结果通知未中标的投标人。</w:t>
      </w:r>
    </w:p>
    <w:p>
      <w:pPr>
        <w:pStyle w:val="5"/>
        <w:spacing w:before="0" w:after="0" w:line="360" w:lineRule="auto"/>
        <w:rPr>
          <w:rFonts w:hint="eastAsia" w:ascii="宋体" w:hAnsi="宋体" w:eastAsia="宋体" w:cs="宋体"/>
          <w:color w:val="auto"/>
          <w:sz w:val="21"/>
          <w:szCs w:val="21"/>
          <w:highlight w:val="none"/>
        </w:rPr>
      </w:pPr>
      <w:bookmarkStart w:id="182" w:name="_Toc24704"/>
      <w:r>
        <w:rPr>
          <w:rFonts w:hint="eastAsia" w:ascii="宋体" w:hAnsi="宋体" w:eastAsia="宋体" w:cs="宋体"/>
          <w:color w:val="auto"/>
          <w:sz w:val="21"/>
          <w:szCs w:val="21"/>
          <w:highlight w:val="none"/>
        </w:rPr>
        <w:t>7.7 履约保证金</w:t>
      </w:r>
      <w:bookmarkEnd w:id="182"/>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7.7.1 在签订合同前，中标人应按投标人须知前附表规定的形式、金额和比选文件第四章“合同条款及格式”规定的或事先经过比选人书面认可的履约保证金格式向比选人提交履约保证金。除投标人须知前附表另有规定外，履约保证金为签约合同价的</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lang w:eastAsia="zh-CN"/>
        </w:rPr>
        <w:t>%。联合体中标的，其履约保证金以联合体各方或联合体中牵头人的名义提交。</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采用银行保函时，应由符合投标人须知前附表规定级别的银行开具，所需的费用由中标人承担，中标人应保证银行保函有效。</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7.7.2 中标人不能按本章第 7.7.1 项要求提交履约保证金的，视为放弃中标，其投标保证金不予退还，给比选人造成的损失超过投标保证金数额的，中标人还应对超过部分予以赔偿。</w:t>
      </w:r>
    </w:p>
    <w:p>
      <w:pPr>
        <w:pStyle w:val="5"/>
        <w:spacing w:before="0" w:after="0" w:line="360" w:lineRule="auto"/>
        <w:rPr>
          <w:rFonts w:hint="eastAsia" w:ascii="宋体" w:hAnsi="宋体" w:eastAsia="宋体" w:cs="宋体"/>
          <w:color w:val="auto"/>
          <w:sz w:val="21"/>
          <w:szCs w:val="21"/>
          <w:highlight w:val="none"/>
        </w:rPr>
      </w:pPr>
      <w:bookmarkStart w:id="183" w:name="_Toc2312"/>
      <w:r>
        <w:rPr>
          <w:rFonts w:hint="eastAsia" w:ascii="宋体" w:hAnsi="宋体" w:eastAsia="宋体" w:cs="宋体"/>
          <w:color w:val="auto"/>
          <w:sz w:val="21"/>
          <w:szCs w:val="21"/>
          <w:highlight w:val="none"/>
        </w:rPr>
        <w:t>7.8 签订合同</w:t>
      </w:r>
      <w:bookmarkEnd w:id="183"/>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7.8.1 比选人和中标人应在中标通知书发出之日起 30 日内，根据比选文件和中标人的投标文件订立书面合同。中标人放弃中标项目，无正当理由拒签合同，在签订合同时向比选人提出附加条件或者更改合同实质性内容，或不按照比选文件要求提交低价风险担保（适用于经评审最低投标价法）或履约保证金的，比选人取消其中标资格，其投标保证金不予退还；给比选人造成的损失超过投标保证金数额的，中标人还应对超过部分予以赔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7.8.2 发出中标通知书后，比选人无正当理由拒签合同，或在签订合同时向中标人提出附加条件的，比选人向中标人退还投标保证金；给中标人造成损失的，还应赔偿损失。</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7.8.3 签约合同价的确定原则如下：</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（1）按照评标办法规定对投标报价进行修正后，若修正后的最终投标报价小于开标时的投标函大写金额报价，则签订合同时以修正后的最终投标报价为准；</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（2）按照评标办法规定对投标报价进行修正后，若修正后的最终投标报价大于开标时的投标函大写金额报价，则签订合同时以开标时的投标函大写金额报价为准，同时按比例修正相应子目的单价或合价。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7.8.4 联合体中标的，联合体各方应共同与比选人签订合同，就中标项目向比选人承担连带责任。</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7.8.5 比选人和中标人在签订合同协议书的同时，须按照本比选文件规定的格式和要求签订廉政合同及安全生产合同，明确双方在廉政建设和安全生产方面的权利和义务以及应承担的违约责任。</w:t>
      </w:r>
    </w:p>
    <w:p>
      <w:pPr>
        <w:pStyle w:val="4"/>
        <w:spacing w:before="0" w:after="0" w:line="360" w:lineRule="auto"/>
        <w:rPr>
          <w:rFonts w:hint="eastAsia" w:ascii="宋体" w:hAnsi="宋体" w:eastAsia="宋体" w:cs="宋体"/>
          <w:color w:val="auto"/>
          <w:sz w:val="28"/>
          <w:szCs w:val="28"/>
          <w:highlight w:val="none"/>
        </w:rPr>
      </w:pPr>
      <w:bookmarkStart w:id="184" w:name="_Toc18581"/>
      <w:r>
        <w:rPr>
          <w:rFonts w:hint="eastAsia" w:ascii="宋体" w:hAnsi="宋体" w:eastAsia="宋体" w:cs="宋体"/>
          <w:color w:val="auto"/>
          <w:sz w:val="28"/>
          <w:szCs w:val="28"/>
          <w:highlight w:val="none"/>
        </w:rPr>
        <w:t>8. 纪律和监督</w:t>
      </w:r>
      <w:bookmarkEnd w:id="184"/>
    </w:p>
    <w:p>
      <w:pPr>
        <w:pStyle w:val="5"/>
        <w:spacing w:before="0" w:after="0" w:line="360" w:lineRule="auto"/>
        <w:rPr>
          <w:rFonts w:hint="eastAsia" w:ascii="宋体" w:hAnsi="宋体" w:eastAsia="宋体" w:cs="宋体"/>
          <w:color w:val="auto"/>
          <w:sz w:val="21"/>
          <w:szCs w:val="21"/>
          <w:highlight w:val="none"/>
        </w:rPr>
      </w:pPr>
      <w:bookmarkStart w:id="185" w:name="_Toc14258"/>
      <w:r>
        <w:rPr>
          <w:rFonts w:hint="eastAsia" w:ascii="宋体" w:hAnsi="宋体" w:eastAsia="宋体" w:cs="宋体"/>
          <w:color w:val="auto"/>
          <w:sz w:val="21"/>
          <w:szCs w:val="21"/>
          <w:highlight w:val="none"/>
        </w:rPr>
        <w:t>8.1 对</w:t>
      </w:r>
      <w:r>
        <w:rPr>
          <w:rFonts w:hint="eastAsia" w:ascii="宋体" w:hAnsi="宋体" w:eastAsia="宋体" w:cs="宋体"/>
          <w:color w:val="auto"/>
          <w:sz w:val="21"/>
          <w:szCs w:val="21"/>
          <w:highlight w:val="none"/>
          <w:lang w:eastAsia="zh-CN"/>
        </w:rPr>
        <w:t>比选人</w:t>
      </w:r>
      <w:r>
        <w:rPr>
          <w:rFonts w:hint="eastAsia" w:ascii="宋体" w:hAnsi="宋体" w:eastAsia="宋体" w:cs="宋体"/>
          <w:color w:val="auto"/>
          <w:sz w:val="21"/>
          <w:szCs w:val="21"/>
          <w:highlight w:val="none"/>
        </w:rPr>
        <w:t>的纪律要求</w:t>
      </w:r>
      <w:bookmarkEnd w:id="185"/>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比选人不得泄露招标投标活动中应保密的情况和资料，不得与投标人串通损害国家利益、社会公共利益或他人合法权益。</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有下列情形之一的，属于比选人与投标人串通投标：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（1）比选人在开标前开启投标文件并将有关信息泄露给其他投标人；</w:t>
      </w:r>
      <w:r>
        <w:rPr>
          <w:rFonts w:hint="eastAsia" w:ascii="宋体" w:hAnsi="宋体" w:eastAsia="宋体" w:cs="宋体"/>
          <w:color w:val="auto"/>
          <w:sz w:val="21"/>
          <w:szCs w:val="21"/>
          <w:highlight w:val="none"/>
          <w:lang w:val="en-US" w:eastAsia="zh-CN"/>
        </w:rPr>
        <w:t xml:space="preserve">  </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（2）比选人直接或者间接向投标人泄露标底、评标委员会成员等信息；</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（3）比选人明示或者暗示投标人压低或者抬高投标报价；</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（4）比选人授意投标人撤换、修改投标文件；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（5）比选人明示或者暗示投标人为特定投标人中标提供方便；</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（6）比选人与投标人为谋求特定投标人中标而采取的其他串通行为。</w:t>
      </w:r>
    </w:p>
    <w:p>
      <w:pPr>
        <w:pStyle w:val="5"/>
        <w:spacing w:before="0" w:after="0" w:line="360" w:lineRule="auto"/>
        <w:rPr>
          <w:rFonts w:hint="eastAsia" w:ascii="宋体" w:hAnsi="宋体" w:eastAsia="宋体" w:cs="宋体"/>
          <w:color w:val="auto"/>
          <w:sz w:val="21"/>
          <w:szCs w:val="21"/>
          <w:highlight w:val="none"/>
        </w:rPr>
      </w:pPr>
      <w:bookmarkStart w:id="186" w:name="_Toc5508"/>
      <w:r>
        <w:rPr>
          <w:rFonts w:hint="eastAsia" w:ascii="宋体" w:hAnsi="宋体" w:eastAsia="宋体" w:cs="宋体"/>
          <w:color w:val="auto"/>
          <w:sz w:val="21"/>
          <w:szCs w:val="21"/>
          <w:highlight w:val="none"/>
        </w:rPr>
        <w:t>8.2 对投标人的纪律要求</w:t>
      </w:r>
      <w:bookmarkEnd w:id="186"/>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投标人不得相互串通投标或与比选人串通投标，不得向比选人或评标委员会成员行贿谋取中标，不得以他人名义投标或以其他方式弄虚作假骗取中标；投标人不得以任何方式干扰、影响评标工作。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8.2.1 有下列情形之一的，属于投标人相互串通投标：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（1）投标人之间协商投标报价等投标文件的实质性内容；</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（2）投标人之间约定中标人；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（3）投标人之间约定部分投标人放弃投标或者中标；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（4）属于同一集团、协会、商会等组织成员的投标人按照该组织要求协同投标；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（5）投标人之间为谋取中标或者排斥特定投标人而采取的其他联合行动。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8.2.2 有下列情形之一的，视为投标人相互串通投标：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（1）不同投标人的投标文件由同一单位或者个人编制；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（2）不同投标人委托同一单位或者个人办理投标事宜；</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（3）不同投标人的投标文件载明的项目管理成员为同一人；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（4）不同投标人的投标文件异常一致或者投标报价呈规律性差异；</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（5）不同投标人的投标文件相互混装；</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（6）不同投标人的投标保证金从同一单位或者个人的账户转出；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8.2.3 使用通过受让或者租借等方式获取的资格、资质证书投标的，属于以他人名义投标。</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8.2.4 投标人有下列情形之一的，属于以其他方式弄虚作假的行为：</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（1）使用伪造、变造的许可证件；</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（2）提供虚假的财务状况或者业绩；</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（3）提供虚假的项目负责人或者主要技术人员简历、劳动关系证明；</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（4）提供虚假的信用状况；</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（5）其他弄虚作假的行为。</w:t>
      </w:r>
    </w:p>
    <w:p>
      <w:pPr>
        <w:pStyle w:val="5"/>
        <w:spacing w:before="0" w:after="0" w:line="360" w:lineRule="auto"/>
        <w:rPr>
          <w:rFonts w:hint="eastAsia" w:ascii="宋体" w:hAnsi="宋体" w:eastAsia="宋体" w:cs="宋体"/>
          <w:color w:val="auto"/>
          <w:sz w:val="21"/>
          <w:szCs w:val="21"/>
          <w:highlight w:val="none"/>
        </w:rPr>
      </w:pPr>
      <w:bookmarkStart w:id="187" w:name="_Toc7491"/>
      <w:r>
        <w:rPr>
          <w:rFonts w:hint="eastAsia" w:ascii="宋体" w:hAnsi="宋体" w:eastAsia="宋体" w:cs="宋体"/>
          <w:color w:val="auto"/>
          <w:sz w:val="21"/>
          <w:szCs w:val="21"/>
          <w:highlight w:val="none"/>
        </w:rPr>
        <w:t>8.3 对评标委员会成员的纪律要求</w:t>
      </w:r>
      <w:bookmarkEnd w:id="187"/>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评标委员会成员不得收受他人的财物或其他好处，不得向他人透露对投标文件的评审和比较、中标候选人的推荐情况以及评标有关的其他情况。在评标活动中，评标委员会成员应客观、公正地履行职责，遵守职业道德，不得擅离职守，影响评标程序正常进行，不得使用第三章“评标办法”没有规定的评审因素和标准进行评标。不得对比选文件中《否决投标情况一览表》以外的内容予以否决投标，否则对评标委员会成员按《重庆市综合评标专家库和评标专家管理暂行办法》进行处理。</w:t>
      </w:r>
    </w:p>
    <w:p>
      <w:pPr>
        <w:pStyle w:val="5"/>
        <w:spacing w:before="0" w:after="0" w:line="360" w:lineRule="auto"/>
        <w:rPr>
          <w:rFonts w:hint="eastAsia" w:ascii="宋体" w:hAnsi="宋体" w:eastAsia="宋体" w:cs="宋体"/>
          <w:color w:val="auto"/>
          <w:sz w:val="21"/>
          <w:szCs w:val="21"/>
          <w:highlight w:val="none"/>
        </w:rPr>
      </w:pPr>
      <w:bookmarkStart w:id="188" w:name="_Toc31317"/>
      <w:r>
        <w:rPr>
          <w:rFonts w:hint="eastAsia" w:ascii="宋体" w:hAnsi="宋体" w:eastAsia="宋体" w:cs="宋体"/>
          <w:color w:val="auto"/>
          <w:sz w:val="21"/>
          <w:szCs w:val="21"/>
          <w:highlight w:val="none"/>
        </w:rPr>
        <w:t>8.4 对与评标活动有关的工作人员的纪律要求</w:t>
      </w:r>
      <w:bookmarkEnd w:id="188"/>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与评标活动有关的工作人员不得收受他人的财物或其他好处，不得向他人透露对投标文件的评审和比较、中标候选人的推荐情况以及评标有关的其他情况。在评标活动中，与评标活动有关的工作人员不得擅离职守，影响评标程序正常进行。</w:t>
      </w:r>
    </w:p>
    <w:p>
      <w:pPr>
        <w:pStyle w:val="5"/>
        <w:spacing w:before="0" w:after="0" w:line="360" w:lineRule="auto"/>
        <w:rPr>
          <w:rFonts w:hint="eastAsia" w:ascii="宋体" w:hAnsi="宋体" w:eastAsia="宋体" w:cs="宋体"/>
          <w:color w:val="auto"/>
          <w:sz w:val="21"/>
          <w:szCs w:val="21"/>
          <w:highlight w:val="none"/>
        </w:rPr>
      </w:pPr>
      <w:bookmarkStart w:id="189" w:name="_Toc15966"/>
      <w:r>
        <w:rPr>
          <w:rFonts w:hint="eastAsia" w:ascii="宋体" w:hAnsi="宋体" w:eastAsia="宋体" w:cs="宋体"/>
          <w:color w:val="auto"/>
          <w:sz w:val="21"/>
          <w:szCs w:val="21"/>
          <w:highlight w:val="none"/>
        </w:rPr>
        <w:t>8.5 投诉</w:t>
      </w:r>
      <w:bookmarkEnd w:id="189"/>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8.5.1 投标人或其他利害关系人认为招标投标活动不符合法律、行政法规规定的，可以自知道或应当知道之日起 10 日内向有关行政监督部门投诉。投诉应有明确的请求和必要的证明材料。</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监督部门的联系方式见投标人须知前附表。</w:t>
      </w:r>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8.5.2 投标人或其他利害关系人对比选文件、开标和评标结果提出投诉的，应按照本章第 2.2 款、第 5.3 款和第 7.2 款的规定先向比选人提出异议。异议答复期间不计算在第 8.5.1 项规定的期限内。</w:t>
      </w:r>
    </w:p>
    <w:p>
      <w:pPr>
        <w:pStyle w:val="4"/>
        <w:spacing w:before="0" w:after="0" w:line="360" w:lineRule="auto"/>
        <w:rPr>
          <w:rFonts w:hint="eastAsia" w:ascii="宋体" w:hAnsi="宋体" w:eastAsia="宋体" w:cs="宋体"/>
          <w:color w:val="auto"/>
          <w:sz w:val="28"/>
          <w:szCs w:val="28"/>
          <w:highlight w:val="none"/>
        </w:rPr>
      </w:pPr>
      <w:bookmarkStart w:id="190" w:name="_Toc30711"/>
      <w:r>
        <w:rPr>
          <w:rFonts w:hint="eastAsia" w:ascii="宋体" w:hAnsi="宋体" w:eastAsia="宋体" w:cs="宋体"/>
          <w:color w:val="auto"/>
          <w:sz w:val="28"/>
          <w:szCs w:val="28"/>
          <w:highlight w:val="none"/>
        </w:rPr>
        <w:t>9. 是否采用电子招标投标</w:t>
      </w:r>
      <w:bookmarkEnd w:id="190"/>
    </w:p>
    <w:p>
      <w:pPr>
        <w:pStyle w:val="4"/>
        <w:spacing w:before="0" w:after="0" w:line="360" w:lineRule="auto"/>
        <w:rPr>
          <w:rFonts w:hint="eastAsia" w:ascii="宋体" w:hAnsi="宋体" w:eastAsia="宋体" w:cs="宋体"/>
          <w:b w:val="0"/>
          <w:bCs w:val="0"/>
          <w:color w:val="auto"/>
          <w:kern w:val="0"/>
          <w:sz w:val="21"/>
          <w:szCs w:val="21"/>
          <w:highlight w:val="none"/>
          <w:lang w:val="ru-RU" w:eastAsia="zh-CN" w:bidi="ar-SA"/>
        </w:rPr>
      </w:pPr>
      <w:bookmarkStart w:id="191" w:name="_Toc13252"/>
      <w:r>
        <w:rPr>
          <w:rFonts w:hint="eastAsia" w:ascii="宋体" w:hAnsi="宋体" w:eastAsia="宋体" w:cs="宋体"/>
          <w:b w:val="0"/>
          <w:bCs w:val="0"/>
          <w:color w:val="auto"/>
          <w:kern w:val="0"/>
          <w:sz w:val="21"/>
          <w:szCs w:val="21"/>
          <w:highlight w:val="none"/>
          <w:lang w:val="ru-RU" w:eastAsia="zh-CN" w:bidi="ar-SA"/>
        </w:rPr>
        <w:t>不采用</w:t>
      </w:r>
      <w:r>
        <w:rPr>
          <w:rFonts w:hint="eastAsia" w:ascii="宋体" w:hAnsi="宋体" w:cs="宋体"/>
          <w:b w:val="0"/>
          <w:bCs w:val="0"/>
          <w:color w:val="auto"/>
          <w:kern w:val="0"/>
          <w:sz w:val="21"/>
          <w:szCs w:val="21"/>
          <w:highlight w:val="none"/>
          <w:lang w:val="ru-RU" w:eastAsia="zh-CN" w:bidi="ar-SA"/>
        </w:rPr>
        <w:t>。</w:t>
      </w:r>
    </w:p>
    <w:p>
      <w:pPr>
        <w:pStyle w:val="4"/>
        <w:spacing w:before="0" w:after="0"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10. 需要补充的其他内容</w:t>
      </w:r>
      <w:bookmarkEnd w:id="191"/>
    </w:p>
    <w:p>
      <w:pPr>
        <w:pStyle w:val="63"/>
        <w:spacing w:before="0" w:after="0" w:line="360" w:lineRule="auto"/>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需要补充的其他内容：见投标人须知前附表。</w:t>
      </w:r>
    </w:p>
    <w:p>
      <w:pPr>
        <w:autoSpaceDE w:val="0"/>
        <w:autoSpaceDN w:val="0"/>
        <w:adjustRightInd w:val="0"/>
        <w:snapToGrid w:val="0"/>
        <w:spacing w:line="360" w:lineRule="auto"/>
        <w:ind w:firstLine="420"/>
        <w:jc w:val="left"/>
        <w:rPr>
          <w:rFonts w:hint="eastAsia" w:ascii="宋体" w:hAnsi="宋体" w:eastAsia="宋体" w:cs="宋体"/>
          <w:snapToGrid w:val="0"/>
          <w:color w:val="auto"/>
          <w:kern w:val="0"/>
          <w:szCs w:val="21"/>
          <w:highlight w:val="none"/>
          <w:lang w:val="ru-RU"/>
        </w:rPr>
        <w:sectPr>
          <w:footerReference r:id="rId5" w:type="default"/>
          <w:pgSz w:w="11906" w:h="16838"/>
          <w:pgMar w:top="1304" w:right="1134" w:bottom="1304" w:left="1304" w:header="851" w:footer="992" w:gutter="0"/>
          <w:cols w:space="720" w:num="1"/>
          <w:docGrid w:type="lines" w:linePitch="312" w:charSpace="0"/>
        </w:sectPr>
      </w:pP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一</w:t>
      </w:r>
      <w:r>
        <w:rPr>
          <w:rFonts w:hint="eastAsia" w:ascii="宋体" w:hAnsi="宋体" w:eastAsia="宋体" w:cs="宋体"/>
          <w:b/>
          <w:snapToGrid w:val="0"/>
          <w:color w:val="auto"/>
          <w:kern w:val="0"/>
          <w:highlight w:val="none"/>
        </w:rPr>
        <w:t>：问题澄清通知</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问题澄清通知</w:t>
      </w: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 w:val="28"/>
          <w:szCs w:val="28"/>
          <w:highlight w:val="none"/>
        </w:rPr>
      </w:pPr>
    </w:p>
    <w:p>
      <w:pPr>
        <w:tabs>
          <w:tab w:val="left" w:pos="158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（投标人名称）</w:t>
      </w:r>
      <w:r>
        <w:rPr>
          <w:rFonts w:hint="eastAsia" w:ascii="宋体" w:hAnsi="宋体" w:eastAsia="宋体" w:cs="宋体"/>
          <w:snapToGrid w:val="0"/>
          <w:color w:val="auto"/>
          <w:kern w:val="0"/>
          <w:szCs w:val="21"/>
          <w:highlight w:val="none"/>
        </w:rPr>
        <w:t>：</w:t>
      </w:r>
    </w:p>
    <w:p>
      <w:pPr>
        <w:tabs>
          <w:tab w:val="left" w:pos="2320"/>
          <w:tab w:val="left" w:pos="4460"/>
        </w:tabs>
        <w:autoSpaceDE w:val="0"/>
        <w:autoSpaceDN w:val="0"/>
        <w:adjustRightInd w:val="0"/>
        <w:snapToGrid w:val="0"/>
        <w:spacing w:line="480" w:lineRule="auto"/>
        <w:ind w:firstLine="424" w:firstLineChars="10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招标的评标委员会，对你方的投标文件进行了仔细的审查，现需你方对下列问题予以澄清：</w:t>
      </w:r>
    </w:p>
    <w:p>
      <w:pPr>
        <w:autoSpaceDE w:val="0"/>
        <w:autoSpaceDN w:val="0"/>
        <w:adjustRightInd w:val="0"/>
        <w:snapToGrid w:val="0"/>
        <w:spacing w:line="360" w:lineRule="auto"/>
        <w:jc w:val="left"/>
        <w:rPr>
          <w:rFonts w:hint="eastAsia" w:ascii="宋体" w:hAnsi="宋体" w:eastAsia="宋体" w:cs="宋体"/>
          <w:snapToGrid w:val="0"/>
          <w:color w:val="auto"/>
          <w:kern w:val="0"/>
          <w:sz w:val="2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4"/>
          <w:szCs w:val="14"/>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2745"/>
          <w:tab w:val="left" w:pos="3360"/>
          <w:tab w:val="left" w:pos="4060"/>
          <w:tab w:val="left" w:pos="4760"/>
          <w:tab w:val="left" w:pos="5360"/>
          <w:tab w:val="left" w:pos="5800"/>
          <w:tab w:val="left" w:pos="6735"/>
          <w:tab w:val="left" w:pos="7260"/>
          <w:tab w:val="left" w:pos="8000"/>
        </w:tabs>
        <w:autoSpaceDE w:val="0"/>
        <w:autoSpaceDN w:val="0"/>
        <w:adjustRightInd w:val="0"/>
        <w:snapToGrid w:val="0"/>
        <w:spacing w:line="480" w:lineRule="auto"/>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请将上述问题的澄清于</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时前</w:t>
      </w:r>
      <w:r>
        <w:rPr>
          <w:rFonts w:hint="eastAsia" w:ascii="宋体" w:hAnsi="宋体" w:cs="宋体"/>
          <w:snapToGrid w:val="0"/>
          <w:color w:val="auto"/>
          <w:kern w:val="0"/>
          <w:szCs w:val="21"/>
          <w:highlight w:val="none"/>
          <w:lang w:eastAsia="zh-CN"/>
        </w:rPr>
        <w:t>书面</w:t>
      </w:r>
      <w:r>
        <w:rPr>
          <w:rFonts w:hint="eastAsia" w:ascii="宋体" w:hAnsi="宋体" w:eastAsia="宋体" w:cs="宋体"/>
          <w:snapToGrid w:val="0"/>
          <w:color w:val="auto"/>
          <w:kern w:val="0"/>
          <w:szCs w:val="21"/>
          <w:highlight w:val="none"/>
        </w:rPr>
        <w:t>提交。</w:t>
      </w:r>
    </w:p>
    <w:p>
      <w:pPr>
        <w:pStyle w:val="2"/>
        <w:rPr>
          <w:rFonts w:hint="eastAsia" w:ascii="宋体" w:hAnsi="宋体" w:eastAsia="宋体" w:cs="宋体"/>
          <w:color w:val="auto"/>
          <w:highlight w:val="none"/>
        </w:rPr>
      </w:pPr>
    </w:p>
    <w:p>
      <w:pPr>
        <w:tabs>
          <w:tab w:val="left" w:pos="6400"/>
        </w:tabs>
        <w:autoSpaceDE w:val="0"/>
        <w:autoSpaceDN w:val="0"/>
        <w:adjustRightInd w:val="0"/>
        <w:snapToGrid w:val="0"/>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评标委员会：</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p>
    <w:p>
      <w:pPr>
        <w:wordWrap w:val="0"/>
        <w:autoSpaceDE w:val="0"/>
        <w:autoSpaceDN w:val="0"/>
        <w:adjustRightInd w:val="0"/>
        <w:snapToGrid w:val="0"/>
        <w:spacing w:line="360" w:lineRule="auto"/>
        <w:ind w:firstLine="850" w:firstLineChars="40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b/>
          <w:snapToGrid w:val="0"/>
          <w:color w:val="auto"/>
          <w:kern w:val="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二</w:t>
      </w:r>
      <w:r>
        <w:rPr>
          <w:rFonts w:hint="eastAsia" w:ascii="宋体" w:hAnsi="宋体" w:eastAsia="宋体" w:cs="宋体"/>
          <w:b/>
          <w:snapToGrid w:val="0"/>
          <w:color w:val="auto"/>
          <w:kern w:val="0"/>
          <w:highlight w:val="none"/>
        </w:rPr>
        <w:t>：问题的澄清</w:t>
      </w:r>
    </w:p>
    <w:p>
      <w:pPr>
        <w:autoSpaceDE w:val="0"/>
        <w:autoSpaceDN w:val="0"/>
        <w:adjustRightInd w:val="0"/>
        <w:snapToGrid w:val="0"/>
        <w:spacing w:line="360" w:lineRule="auto"/>
        <w:jc w:val="left"/>
        <w:rPr>
          <w:rFonts w:hint="eastAsia" w:ascii="宋体" w:hAnsi="宋体" w:eastAsia="宋体" w:cs="宋体"/>
          <w:b/>
          <w:snapToGrid w:val="0"/>
          <w:color w:val="auto"/>
          <w:kern w:val="0"/>
          <w:sz w:val="10"/>
          <w:szCs w:val="10"/>
          <w:highlight w:val="none"/>
        </w:rPr>
      </w:pPr>
    </w:p>
    <w:p>
      <w:pPr>
        <w:autoSpaceDE w:val="0"/>
        <w:autoSpaceDN w:val="0"/>
        <w:adjustRightInd w:val="0"/>
        <w:snapToGrid w:val="0"/>
        <w:spacing w:line="360" w:lineRule="auto"/>
        <w:rPr>
          <w:rFonts w:hint="eastAsia" w:ascii="宋体" w:hAnsi="宋体" w:eastAsia="宋体" w:cs="宋体"/>
          <w:b/>
          <w:snapToGrid w:val="0"/>
          <w:color w:val="auto"/>
          <w:w w:val="99"/>
          <w:kern w:val="0"/>
          <w:sz w:val="32"/>
          <w:szCs w:val="32"/>
          <w:highlight w:val="none"/>
        </w:rPr>
      </w:pPr>
    </w:p>
    <w:p>
      <w:pPr>
        <w:autoSpaceDE w:val="0"/>
        <w:autoSpaceDN w:val="0"/>
        <w:adjustRightInd w:val="0"/>
        <w:snapToGrid w:val="0"/>
        <w:spacing w:line="360" w:lineRule="auto"/>
        <w:jc w:val="center"/>
        <w:rPr>
          <w:rFonts w:hint="eastAsia" w:ascii="宋体" w:hAnsi="宋体" w:eastAsia="宋体" w:cs="宋体"/>
          <w:b/>
          <w:snapToGrid w:val="0"/>
          <w:color w:val="auto"/>
          <w:kern w:val="0"/>
          <w:sz w:val="32"/>
          <w:szCs w:val="32"/>
          <w:highlight w:val="none"/>
        </w:rPr>
      </w:pPr>
      <w:r>
        <w:rPr>
          <w:rFonts w:hint="eastAsia" w:ascii="宋体" w:hAnsi="宋体" w:eastAsia="宋体" w:cs="宋体"/>
          <w:b/>
          <w:snapToGrid w:val="0"/>
          <w:color w:val="auto"/>
          <w:w w:val="99"/>
          <w:kern w:val="0"/>
          <w:sz w:val="32"/>
          <w:szCs w:val="32"/>
          <w:highlight w:val="none"/>
        </w:rPr>
        <w:t>问题的澄清</w:t>
      </w: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ind w:firstLine="3255" w:firstLineChars="155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编号：</w:t>
      </w:r>
      <w:r>
        <w:rPr>
          <w:rFonts w:hint="eastAsia" w:ascii="宋体" w:hAnsi="宋体" w:eastAsia="宋体" w:cs="宋体"/>
          <w:snapToGrid w:val="0"/>
          <w:color w:val="auto"/>
          <w:kern w:val="0"/>
          <w:szCs w:val="21"/>
          <w:highlight w:val="none"/>
          <w:u w:val="single"/>
        </w:rPr>
        <w:t xml:space="preserve">                     </w:t>
      </w: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rPr>
          <w:rFonts w:hint="eastAsia" w:ascii="宋体" w:hAnsi="宋体" w:eastAsia="宋体" w:cs="宋体"/>
          <w:snapToGrid w:val="0"/>
          <w:color w:val="auto"/>
          <w:kern w:val="0"/>
          <w:szCs w:val="21"/>
          <w:highlight w:val="none"/>
        </w:rPr>
      </w:pPr>
    </w:p>
    <w:p>
      <w:pPr>
        <w:tabs>
          <w:tab w:val="left" w:pos="2415"/>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（项目名称）   </w:t>
      </w:r>
      <w:r>
        <w:rPr>
          <w:rFonts w:hint="eastAsia" w:ascii="宋体" w:hAnsi="宋体" w:eastAsia="宋体" w:cs="宋体"/>
          <w:snapToGrid w:val="0"/>
          <w:color w:val="auto"/>
          <w:kern w:val="0"/>
          <w:szCs w:val="21"/>
          <w:highlight w:val="none"/>
        </w:rPr>
        <w:t>招标评标委员会：</w:t>
      </w:r>
    </w:p>
    <w:p>
      <w:pPr>
        <w:tabs>
          <w:tab w:val="left" w:pos="2000"/>
          <w:tab w:val="left" w:pos="3480"/>
          <w:tab w:val="left" w:pos="4200"/>
        </w:tabs>
        <w:autoSpaceDE w:val="0"/>
        <w:autoSpaceDN w:val="0"/>
        <w:adjustRightInd w:val="0"/>
        <w:snapToGrid w:val="0"/>
        <w:spacing w:line="48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问题澄清通知（编号：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）已收悉，现澄清如下：</w:t>
      </w: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tabs>
          <w:tab w:val="left" w:pos="2000"/>
          <w:tab w:val="left" w:pos="3480"/>
          <w:tab w:val="left" w:pos="4200"/>
        </w:tabs>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1. </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2. </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2"/>
          <w:szCs w:val="22"/>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p>
      <w:pPr>
        <w:autoSpaceDE w:val="0"/>
        <w:autoSpaceDN w:val="0"/>
        <w:adjustRightInd w:val="0"/>
        <w:snapToGrid w:val="0"/>
        <w:spacing w:line="360" w:lineRule="auto"/>
        <w:jc w:val="left"/>
        <w:rPr>
          <w:rFonts w:hint="eastAsia" w:ascii="宋体" w:hAnsi="宋体" w:eastAsia="宋体" w:cs="宋体"/>
          <w:snapToGrid w:val="0"/>
          <w:color w:val="auto"/>
          <w:kern w:val="0"/>
          <w:sz w:val="18"/>
          <w:szCs w:val="18"/>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p>
    <w:p>
      <w:pPr>
        <w:tabs>
          <w:tab w:val="left" w:pos="7035"/>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投标人：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tabs>
          <w:tab w:val="left" w:pos="6620"/>
          <w:tab w:val="left" w:pos="7040"/>
        </w:tabs>
        <w:autoSpaceDE w:val="0"/>
        <w:autoSpaceDN w:val="0"/>
        <w:adjustRightInd w:val="0"/>
        <w:snapToGrid w:val="0"/>
        <w:spacing w:line="480" w:lineRule="auto"/>
        <w:ind w:firstLine="2551" w:firstLineChars="1215"/>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autoSpaceDE w:val="0"/>
        <w:autoSpaceDN w:val="0"/>
        <w:adjustRightInd w:val="0"/>
        <w:snapToGrid w:val="0"/>
        <w:spacing w:line="360" w:lineRule="auto"/>
        <w:jc w:val="right"/>
        <w:rPr>
          <w:rFonts w:hint="eastAsia" w:ascii="宋体" w:hAnsi="宋体" w:eastAsia="宋体" w:cs="宋体"/>
          <w:snapToGrid w:val="0"/>
          <w:color w:val="auto"/>
          <w:kern w:val="0"/>
          <w:sz w:val="20"/>
          <w:szCs w:val="20"/>
          <w:highlight w:val="none"/>
        </w:rPr>
      </w:pPr>
    </w:p>
    <w:p>
      <w:pPr>
        <w:wordWrap w:val="0"/>
        <w:autoSpaceDE w:val="0"/>
        <w:autoSpaceDN w:val="0"/>
        <w:adjustRightInd w:val="0"/>
        <w:snapToGrid w:val="0"/>
        <w:spacing w:line="360" w:lineRule="auto"/>
        <w:ind w:firstLine="315" w:firstLineChars="15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autoSpaceDE w:val="0"/>
        <w:autoSpaceDN w:val="0"/>
        <w:adjustRightInd w:val="0"/>
        <w:snapToGrid w:val="0"/>
        <w:spacing w:line="360" w:lineRule="auto"/>
        <w:jc w:val="left"/>
        <w:rPr>
          <w:rFonts w:hint="eastAsia" w:ascii="宋体" w:hAnsi="宋体" w:eastAsia="宋体" w:cs="宋体"/>
          <w:snapToGrid w:val="0"/>
          <w:color w:val="auto"/>
          <w:kern w:val="0"/>
          <w:sz w:val="20"/>
          <w:szCs w:val="20"/>
          <w:highlight w:val="none"/>
        </w:rPr>
      </w:pPr>
      <w:r>
        <w:rPr>
          <w:rFonts w:hint="eastAsia" w:ascii="宋体" w:hAnsi="宋体" w:eastAsia="宋体" w:cs="宋体"/>
          <w:b/>
          <w:snapToGrid w:val="0"/>
          <w:color w:val="auto"/>
          <w:kern w:val="0"/>
          <w:highlight w:val="none"/>
        </w:rPr>
        <w:br w:type="page"/>
      </w:r>
      <w:r>
        <w:rPr>
          <w:rFonts w:hint="eastAsia" w:ascii="宋体" w:hAnsi="宋体" w:eastAsia="宋体" w:cs="宋体"/>
          <w:b/>
          <w:snapToGrid w:val="0"/>
          <w:color w:val="auto"/>
          <w:kern w:val="0"/>
          <w:highlight w:val="none"/>
        </w:rPr>
        <w:t>附表</w:t>
      </w:r>
      <w:r>
        <w:rPr>
          <w:rFonts w:hint="eastAsia" w:ascii="宋体" w:hAnsi="宋体" w:eastAsia="宋体" w:cs="宋体"/>
          <w:b/>
          <w:snapToGrid w:val="0"/>
          <w:color w:val="auto"/>
          <w:kern w:val="0"/>
          <w:highlight w:val="none"/>
          <w:lang w:val="en-US" w:eastAsia="zh-CN"/>
        </w:rPr>
        <w:t>三</w:t>
      </w:r>
      <w:r>
        <w:rPr>
          <w:rFonts w:hint="eastAsia" w:ascii="宋体" w:hAnsi="宋体" w:eastAsia="宋体" w:cs="宋体"/>
          <w:b/>
          <w:snapToGrid w:val="0"/>
          <w:color w:val="auto"/>
          <w:kern w:val="0"/>
          <w:highlight w:val="none"/>
        </w:rPr>
        <w:t>：中标通知书</w:t>
      </w:r>
    </w:p>
    <w:p>
      <w:pPr>
        <w:autoSpaceDE w:val="0"/>
        <w:autoSpaceDN w:val="0"/>
        <w:adjustRightInd w:val="0"/>
        <w:spacing w:line="360" w:lineRule="auto"/>
        <w:jc w:val="left"/>
        <w:rPr>
          <w:rFonts w:hint="eastAsia" w:ascii="宋体" w:hAnsi="宋体" w:eastAsia="宋体" w:cs="宋体"/>
          <w:snapToGrid w:val="0"/>
          <w:color w:val="auto"/>
          <w:kern w:val="0"/>
          <w:sz w:val="20"/>
          <w:szCs w:val="20"/>
          <w:highlight w:val="none"/>
        </w:rPr>
      </w:pPr>
    </w:p>
    <w:p>
      <w:pPr>
        <w:widowControl/>
        <w:spacing w:before="100" w:beforeAutospacing="1" w:after="100" w:afterAutospacing="1" w:line="360" w:lineRule="auto"/>
        <w:jc w:val="center"/>
        <w:rPr>
          <w:rFonts w:hint="eastAsia" w:ascii="宋体" w:hAnsi="宋体" w:eastAsia="宋体" w:cs="宋体"/>
          <w:b/>
          <w:color w:val="auto"/>
          <w:kern w:val="0"/>
          <w:sz w:val="32"/>
          <w:szCs w:val="32"/>
          <w:highlight w:val="none"/>
        </w:rPr>
      </w:pPr>
      <w:r>
        <w:rPr>
          <w:rFonts w:hint="eastAsia" w:ascii="宋体" w:hAnsi="宋体" w:eastAsia="宋体" w:cs="宋体"/>
          <w:b/>
          <w:bCs/>
          <w:color w:val="auto"/>
          <w:kern w:val="0"/>
          <w:sz w:val="32"/>
          <w:szCs w:val="32"/>
          <w:highlight w:val="none"/>
        </w:rPr>
        <w:t>重庆市公路工程中标通知书</w:t>
      </w:r>
    </w:p>
    <w:p>
      <w:pPr>
        <w:spacing w:line="360" w:lineRule="auto"/>
        <w:rPr>
          <w:rFonts w:hint="eastAsia" w:ascii="宋体" w:hAnsi="宋体" w:eastAsia="宋体" w:cs="宋体"/>
          <w:bCs/>
          <w:color w:val="auto"/>
          <w:kern w:val="0"/>
          <w:szCs w:val="21"/>
          <w:highlight w:val="none"/>
          <w:u w:val="single"/>
        </w:rPr>
      </w:pP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中标单位</w:t>
      </w:r>
      <w:r>
        <w:rPr>
          <w:rFonts w:hint="eastAsia" w:ascii="宋体" w:hAnsi="宋体" w:eastAsia="宋体" w:cs="宋体"/>
          <w:bCs/>
          <w:color w:val="auto"/>
          <w:kern w:val="0"/>
          <w:sz w:val="24"/>
          <w:highlight w:val="none"/>
          <w:u w:val="single"/>
        </w:rPr>
        <w:t xml:space="preserve">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bCs/>
          <w:color w:val="auto"/>
          <w:kern w:val="0"/>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我单位拟建的 </w:t>
      </w:r>
      <w:r>
        <w:rPr>
          <w:rFonts w:hint="eastAsia" w:ascii="宋体" w:hAnsi="宋体" w:eastAsia="宋体" w:cs="宋体"/>
          <w:bCs/>
          <w:color w:val="auto"/>
          <w:kern w:val="0"/>
          <w:szCs w:val="21"/>
          <w:highlight w:val="none"/>
          <w:u w:val="single"/>
        </w:rPr>
        <w:t xml:space="preserve">    （项目名称）    </w:t>
      </w:r>
      <w:r>
        <w:rPr>
          <w:rFonts w:hint="eastAsia" w:ascii="宋体" w:hAnsi="宋体" w:eastAsia="宋体" w:cs="宋体"/>
          <w:color w:val="auto"/>
          <w:kern w:val="0"/>
          <w:szCs w:val="21"/>
          <w:highlight w:val="none"/>
        </w:rPr>
        <w:t>于</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日开标，经评标委员会评定，确定你单位为中标人，中标额为（大写）</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。中标工程范围：</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，工程规模为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 xml:space="preserve">，中标工期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u w:val="single"/>
        </w:rPr>
        <w:t>日历天</w:t>
      </w:r>
      <w:r>
        <w:rPr>
          <w:rFonts w:hint="eastAsia" w:ascii="宋体" w:hAnsi="宋体" w:eastAsia="宋体" w:cs="宋体"/>
          <w:color w:val="auto"/>
          <w:kern w:val="0"/>
          <w:szCs w:val="21"/>
          <w:highlight w:val="none"/>
        </w:rPr>
        <w:t>，工程质量要求：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，工程安全目标：</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，项目经理由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担任，项目总工由</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担任。</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你单位收到中标通知书后，在 </w:t>
      </w:r>
      <w:r>
        <w:rPr>
          <w:rFonts w:hint="eastAsia" w:ascii="宋体" w:hAnsi="宋体" w:eastAsia="宋体" w:cs="宋体"/>
          <w:bCs/>
          <w:color w:val="auto"/>
          <w:kern w:val="0"/>
          <w:szCs w:val="21"/>
          <w:highlight w:val="none"/>
          <w:u w:val="single"/>
        </w:rPr>
        <w:t xml:space="preserve">          </w:t>
      </w:r>
      <w:r>
        <w:rPr>
          <w:rFonts w:hint="eastAsia" w:ascii="宋体" w:hAnsi="宋体" w:eastAsia="宋体" w:cs="宋体"/>
          <w:color w:val="auto"/>
          <w:kern w:val="0"/>
          <w:szCs w:val="21"/>
          <w:highlight w:val="none"/>
        </w:rPr>
        <w:t>日内到我单位签订承发包合同。</w:t>
      </w:r>
      <w:r>
        <w:rPr>
          <w:rFonts w:hint="eastAsia" w:ascii="宋体" w:hAnsi="宋体" w:eastAsia="宋体" w:cs="宋体"/>
          <w:color w:val="auto"/>
          <w:szCs w:val="21"/>
          <w:highlight w:val="none"/>
        </w:rPr>
        <w:t>在此之前按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第二章“投标人须知”第7.7款规定向我方提交履约担保。</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特此通知。</w:t>
      </w:r>
    </w:p>
    <w:p>
      <w:pPr>
        <w:spacing w:line="480" w:lineRule="auto"/>
        <w:rPr>
          <w:rFonts w:hint="eastAsia" w:ascii="宋体" w:hAnsi="宋体" w:eastAsia="宋体" w:cs="宋体"/>
          <w:color w:val="auto"/>
          <w:kern w:val="0"/>
          <w:szCs w:val="21"/>
          <w:highlight w:val="none"/>
        </w:rPr>
      </w:pPr>
    </w:p>
    <w:p>
      <w:pPr>
        <w:spacing w:line="480" w:lineRule="auto"/>
        <w:rPr>
          <w:rFonts w:hint="eastAsia" w:ascii="宋体" w:hAnsi="宋体" w:eastAsia="宋体" w:cs="宋体"/>
          <w:color w:val="auto"/>
          <w:kern w:val="0"/>
          <w:sz w:val="24"/>
          <w:highlight w:val="none"/>
        </w:rPr>
      </w:pPr>
    </w:p>
    <w:p>
      <w:pPr>
        <w:spacing w:line="480" w:lineRule="auto"/>
        <w:rPr>
          <w:rFonts w:hint="eastAsia" w:ascii="宋体" w:hAnsi="宋体" w:eastAsia="宋体" w:cs="宋体"/>
          <w:color w:val="auto"/>
          <w:kern w:val="0"/>
          <w:sz w:val="24"/>
          <w:highlight w:val="none"/>
        </w:rPr>
      </w:pP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Cs w:val="21"/>
          <w:highlight w:val="none"/>
          <w:lang w:eastAsia="zh-CN"/>
        </w:rPr>
        <w:t>比选人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snapToGrid w:val="0"/>
          <w:color w:val="auto"/>
          <w:kern w:val="0"/>
          <w:szCs w:val="21"/>
          <w:highlight w:val="none"/>
        </w:rPr>
        <w:t>盖单位法人章</w:t>
      </w:r>
      <w:r>
        <w:rPr>
          <w:rFonts w:hint="eastAsia" w:ascii="宋体" w:hAnsi="宋体" w:eastAsia="宋体" w:cs="宋体"/>
          <w:color w:val="auto"/>
          <w:kern w:val="0"/>
          <w:szCs w:val="21"/>
          <w:highlight w:val="none"/>
        </w:rPr>
        <w:t>）</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法定代表人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spacing w:line="480" w:lineRule="auto"/>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联系人</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联系电话</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p>
    <w:p>
      <w:pPr>
        <w:spacing w:line="480" w:lineRule="auto"/>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 xml:space="preserve">                   签发日期</w:t>
      </w:r>
      <w:r>
        <w:rPr>
          <w:rFonts w:hint="eastAsia" w:ascii="宋体" w:hAnsi="宋体" w:eastAsia="宋体" w:cs="宋体"/>
          <w:snapToGrid w:val="0"/>
          <w:color w:val="auto"/>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pacing w:line="200" w:lineRule="exact"/>
        <w:rPr>
          <w:rFonts w:hint="eastAsia" w:ascii="宋体" w:hAnsi="宋体" w:eastAsia="宋体" w:cs="宋体"/>
          <w:color w:val="auto"/>
          <w:kern w:val="0"/>
          <w:highlight w:val="none"/>
        </w:rPr>
      </w:pPr>
      <w:r>
        <w:rPr>
          <w:rFonts w:hint="eastAsia" w:ascii="宋体" w:hAnsi="宋体" w:eastAsia="宋体" w:cs="宋体"/>
          <w:snapToGrid w:val="0"/>
          <w:color w:val="auto"/>
          <w:kern w:val="0"/>
          <w:highlight w:val="none"/>
        </w:rPr>
        <w:br w:type="page"/>
      </w:r>
      <w:bookmarkStart w:id="192" w:name="_Toc224103370"/>
    </w:p>
    <w:bookmarkEnd w:id="192"/>
    <w:p>
      <w:pPr>
        <w:pStyle w:val="3"/>
        <w:spacing w:line="360" w:lineRule="auto"/>
        <w:jc w:val="center"/>
        <w:rPr>
          <w:rFonts w:hint="eastAsia" w:ascii="宋体" w:hAnsi="宋体" w:eastAsia="宋体" w:cs="宋体"/>
          <w:bCs w:val="0"/>
          <w:snapToGrid w:val="0"/>
          <w:color w:val="auto"/>
          <w:kern w:val="0"/>
          <w:highlight w:val="none"/>
        </w:rPr>
      </w:pPr>
      <w:bookmarkStart w:id="193" w:name="招标文件03章02评标办法综合评估法00"/>
      <w:bookmarkEnd w:id="193"/>
      <w:bookmarkStart w:id="194" w:name="招标文件03章02评标办法综合评估法"/>
      <w:bookmarkEnd w:id="194"/>
      <w:bookmarkStart w:id="195" w:name="_Toc509218763"/>
      <w:bookmarkStart w:id="196" w:name="_Toc6532"/>
      <w:bookmarkStart w:id="197" w:name="_Toc277082608"/>
      <w:bookmarkStart w:id="198" w:name="_Toc287620740"/>
      <w:bookmarkStart w:id="199" w:name="_Toc287607801"/>
      <w:bookmarkStart w:id="200" w:name="_Toc224103373"/>
      <w:bookmarkStart w:id="201" w:name="_Toc209605549"/>
      <w:bookmarkStart w:id="202" w:name="_Toc287607810"/>
      <w:bookmarkStart w:id="203" w:name="_Toc287620749"/>
      <w:r>
        <w:rPr>
          <w:rFonts w:hint="eastAsia" w:ascii="宋体" w:hAnsi="宋体" w:eastAsia="宋体" w:cs="宋体"/>
          <w:bCs w:val="0"/>
          <w:snapToGrid w:val="0"/>
          <w:color w:val="auto"/>
          <w:kern w:val="0"/>
          <w:highlight w:val="none"/>
        </w:rPr>
        <w:t>第三章  评标办法（经评审的最低投标价法）</w:t>
      </w:r>
      <w:bookmarkEnd w:id="195"/>
      <w:bookmarkEnd w:id="196"/>
    </w:p>
    <w:p>
      <w:pPr>
        <w:pStyle w:val="4"/>
        <w:spacing w:before="100" w:after="100" w:line="360" w:lineRule="auto"/>
        <w:rPr>
          <w:rFonts w:hint="eastAsia" w:ascii="宋体" w:hAnsi="宋体" w:eastAsia="宋体" w:cs="宋体"/>
          <w:bCs w:val="0"/>
          <w:color w:val="auto"/>
          <w:sz w:val="28"/>
          <w:szCs w:val="28"/>
          <w:highlight w:val="none"/>
        </w:rPr>
      </w:pPr>
      <w:bookmarkStart w:id="204" w:name="_Toc509218764"/>
      <w:bookmarkStart w:id="205" w:name="_Toc536800697"/>
      <w:bookmarkStart w:id="206" w:name="_Toc25595"/>
      <w:bookmarkStart w:id="207" w:name="_Toc536782033"/>
      <w:bookmarkStart w:id="208" w:name="_Toc287607800"/>
      <w:bookmarkStart w:id="209" w:name="_Toc224103371"/>
      <w:bookmarkStart w:id="210" w:name="_Toc287620739"/>
      <w:bookmarkStart w:id="211" w:name="_Toc277082606"/>
      <w:bookmarkStart w:id="212" w:name="_Toc430530489"/>
      <w:r>
        <w:rPr>
          <w:rFonts w:hint="eastAsia" w:ascii="宋体" w:hAnsi="宋体" w:eastAsia="宋体" w:cs="宋体"/>
          <w:bCs w:val="0"/>
          <w:color w:val="auto"/>
          <w:sz w:val="28"/>
          <w:szCs w:val="28"/>
          <w:highlight w:val="none"/>
        </w:rPr>
        <w:t>评标办法前附表</w:t>
      </w:r>
      <w:bookmarkEnd w:id="204"/>
      <w:bookmarkEnd w:id="205"/>
      <w:bookmarkEnd w:id="206"/>
      <w:bookmarkEnd w:id="207"/>
      <w:bookmarkStart w:id="213" w:name="_Toc13210726"/>
    </w:p>
    <w:p>
      <w:pPr>
        <w:spacing w:line="400" w:lineRule="exact"/>
        <w:ind w:firstLine="436" w:firstLineChars="200"/>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评标办法中的评审内容必须和投标人须知中的对应内容一致，若投标人须知中未作要求的内容，不得列入评标办法作为评定依据。</w:t>
      </w:r>
      <w:bookmarkEnd w:id="213"/>
    </w:p>
    <w:tbl>
      <w:tblPr>
        <w:tblStyle w:val="33"/>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2787"/>
        <w:gridCol w:w="18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条款号</w:t>
            </w:r>
          </w:p>
        </w:tc>
        <w:tc>
          <w:tcPr>
            <w:tcW w:w="1560" w:type="dxa"/>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评审因素</w:t>
            </w:r>
          </w:p>
        </w:tc>
        <w:tc>
          <w:tcPr>
            <w:tcW w:w="6882" w:type="dxa"/>
            <w:gridSpan w:val="3"/>
            <w:vAlign w:val="center"/>
          </w:tcPr>
          <w:p>
            <w:pPr>
              <w:spacing w:line="400" w:lineRule="exact"/>
              <w:jc w:val="center"/>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42" w:hRule="atLeast"/>
        </w:trPr>
        <w:tc>
          <w:tcPr>
            <w:tcW w:w="1243" w:type="dxa"/>
            <w:tcBorders>
              <w:right w:val="single" w:color="auto" w:sz="4" w:space="0"/>
            </w:tcBorders>
            <w:vAlign w:val="center"/>
          </w:tcPr>
          <w:p>
            <w:pPr>
              <w:pStyle w:val="60"/>
              <w:spacing w:line="40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60" w:type="dxa"/>
            <w:tcBorders>
              <w:left w:val="single" w:color="auto" w:sz="4" w:space="0"/>
            </w:tcBorders>
            <w:vAlign w:val="center"/>
          </w:tcPr>
          <w:p>
            <w:pPr>
              <w:pStyle w:val="60"/>
              <w:spacing w:line="400" w:lineRule="exact"/>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评标办法</w:t>
            </w:r>
          </w:p>
        </w:tc>
        <w:tc>
          <w:tcPr>
            <w:tcW w:w="6882" w:type="dxa"/>
            <w:gridSpan w:val="3"/>
            <w:vAlign w:val="center"/>
          </w:tcPr>
          <w:p>
            <w:pPr>
              <w:spacing w:line="400" w:lineRule="exact"/>
              <w:ind w:firstLine="427" w:firstLineChars="196"/>
              <w:rPr>
                <w:rFonts w:hint="eastAsia" w:ascii="宋体" w:hAnsi="宋体" w:eastAsia="宋体" w:cs="宋体"/>
                <w:color w:val="auto"/>
                <w:spacing w:val="4"/>
                <w:kern w:val="0"/>
                <w:szCs w:val="21"/>
                <w:highlight w:val="none"/>
              </w:rPr>
            </w:pPr>
            <w:r>
              <w:rPr>
                <w:rFonts w:hint="eastAsia" w:ascii="宋体" w:hAnsi="宋体" w:eastAsia="宋体" w:cs="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spacing w:val="4"/>
                <w:kern w:val="0"/>
                <w:szCs w:val="21"/>
                <w:highlight w:val="none"/>
                <w:lang w:eastAsia="zh-CN"/>
              </w:rPr>
              <w:t>比选人</w:t>
            </w:r>
            <w:r>
              <w:rPr>
                <w:rFonts w:hint="eastAsia" w:ascii="宋体" w:hAnsi="宋体" w:eastAsia="宋体" w:cs="宋体"/>
                <w:color w:val="auto"/>
                <w:spacing w:val="4"/>
                <w:kern w:val="0"/>
                <w:szCs w:val="21"/>
                <w:highlight w:val="none"/>
              </w:rPr>
              <w:t>授权直接确定中标人。若出现投标人投标报价相同的，以“投标人在红名单中优先”的原则排序（</w:t>
            </w:r>
            <w:r>
              <w:rPr>
                <w:rFonts w:hint="eastAsia" w:ascii="宋体" w:hAnsi="宋体" w:eastAsia="宋体" w:cs="宋体"/>
                <w:iCs/>
                <w:color w:val="auto"/>
                <w:spacing w:val="4"/>
                <w:kern w:val="0"/>
                <w:szCs w:val="21"/>
                <w:highlight w:val="none"/>
              </w:rPr>
              <w:t>其中非联合体投标的，须投标人所属红名单类别包含在招标范围内</w:t>
            </w:r>
            <w:r>
              <w:rPr>
                <w:rFonts w:hint="eastAsia" w:ascii="宋体" w:hAnsi="宋体" w:eastAsia="宋体" w:cs="宋体"/>
                <w:iCs/>
                <w:color w:val="auto"/>
                <w:kern w:val="0"/>
                <w:szCs w:val="21"/>
                <w:highlight w:val="none"/>
              </w:rPr>
              <w:t>。</w:t>
            </w:r>
            <w:r>
              <w:rPr>
                <w:rFonts w:hint="eastAsia" w:ascii="宋体" w:hAnsi="宋体" w:eastAsia="宋体" w:cs="宋体"/>
                <w:color w:val="auto"/>
                <w:spacing w:val="4"/>
                <w:kern w:val="0"/>
                <w:szCs w:val="21"/>
                <w:highlight w:val="none"/>
              </w:rPr>
              <w:t>），投标人是否属于红名单，以</w:t>
            </w:r>
            <w:r>
              <w:rPr>
                <w:rFonts w:hint="eastAsia" w:ascii="宋体" w:hAnsi="宋体" w:eastAsia="宋体" w:cs="宋体"/>
                <w:color w:val="auto"/>
                <w:spacing w:val="4"/>
                <w:kern w:val="0"/>
                <w:szCs w:val="21"/>
                <w:highlight w:val="none"/>
                <w:lang w:eastAsia="zh-CN"/>
              </w:rPr>
              <w:t>现场</w:t>
            </w:r>
            <w:r>
              <w:rPr>
                <w:rFonts w:hint="eastAsia" w:ascii="宋体" w:hAnsi="宋体" w:eastAsia="宋体" w:cs="宋体"/>
                <w:color w:val="auto"/>
                <w:spacing w:val="4"/>
                <w:kern w:val="0"/>
                <w:szCs w:val="21"/>
                <w:highlight w:val="none"/>
              </w:rPr>
              <w:t>信用状况查询结果为准；投标人均在红名单中或均不在红名单中的，由评标委员会按照</w:t>
            </w:r>
            <w:r>
              <w:rPr>
                <w:rFonts w:hint="eastAsia" w:ascii="宋体" w:hAnsi="宋体" w:eastAsia="宋体" w:cs="宋体"/>
                <w:color w:val="auto"/>
                <w:spacing w:val="4"/>
                <w:kern w:val="0"/>
                <w:szCs w:val="21"/>
                <w:highlight w:val="none"/>
                <w:u w:val="single"/>
              </w:rPr>
              <w:t xml:space="preserve">         投标人资质等级由高到低</w:t>
            </w:r>
            <w:r>
              <w:rPr>
                <w:rFonts w:hint="eastAsia" w:ascii="宋体" w:hAnsi="宋体" w:eastAsia="宋体" w:cs="宋体"/>
                <w:color w:val="auto"/>
                <w:spacing w:val="4"/>
                <w:kern w:val="0"/>
                <w:szCs w:val="21"/>
                <w:highlight w:val="none"/>
              </w:rPr>
              <w:t>原则排序。</w:t>
            </w:r>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报价排序</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对报价不高于最高限价的所有投标人的投标文件，按照报价由低到高的顺序排序。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符合性审查</w:t>
            </w:r>
          </w:p>
        </w:tc>
        <w:tc>
          <w:tcPr>
            <w:tcW w:w="6882" w:type="dxa"/>
            <w:gridSpan w:val="3"/>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取报价排序前5名（若实际投标人数量小于5名，</w:t>
            </w:r>
            <w:r>
              <w:rPr>
                <w:rFonts w:hint="eastAsia" w:ascii="宋体" w:hAnsi="宋体" w:eastAsia="宋体" w:cs="宋体"/>
                <w:color w:val="auto"/>
                <w:spacing w:val="4"/>
                <w:kern w:val="0"/>
                <w:szCs w:val="21"/>
                <w:highlight w:val="none"/>
              </w:rPr>
              <w:t>则全部纳入）进行符合性审查。符合性审查内容：技术方案评审、资格评审、形式评审、响应性评审、投标函部分及经济部分评审。符合性审查</w:t>
            </w:r>
            <w:r>
              <w:rPr>
                <w:rFonts w:hint="eastAsia" w:ascii="宋体" w:hAnsi="宋体" w:eastAsia="宋体" w:cs="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360" w:lineRule="auto"/>
              <w:ind w:firstLine="210" w:firstLineChars="100"/>
              <w:rPr>
                <w:rFonts w:hint="eastAsia" w:ascii="宋体" w:hAnsi="宋体" w:eastAsia="宋体" w:cs="宋体"/>
                <w:color w:val="auto"/>
                <w:kern w:val="0"/>
                <w:highlight w:val="none"/>
              </w:rPr>
            </w:pPr>
            <w:bookmarkStart w:id="214" w:name="OLE_LINK29" w:colFirst="0" w:colLast="2"/>
            <w:r>
              <w:rPr>
                <w:rFonts w:hint="eastAsia" w:ascii="宋体" w:hAnsi="宋体" w:eastAsia="宋体" w:cs="宋体"/>
                <w:color w:val="auto"/>
                <w:kern w:val="0"/>
                <w:highlight w:val="none"/>
              </w:rPr>
              <w:t>2.2.1</w:t>
            </w:r>
          </w:p>
        </w:tc>
        <w:tc>
          <w:tcPr>
            <w:tcW w:w="1560" w:type="dxa"/>
            <w:vMerge w:val="restart"/>
            <w:tcBorders>
              <w:left w:val="single" w:color="auto" w:sz="4" w:space="0"/>
              <w:right w:val="single" w:color="auto" w:sz="4" w:space="0"/>
            </w:tcBorders>
            <w:vAlign w:val="center"/>
          </w:tcPr>
          <w:p>
            <w:pPr>
              <w:spacing w:line="360" w:lineRule="auto"/>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技术方案评审标准</w:t>
            </w: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对工程施工重点、技术关键点的理解和认识</w:t>
            </w:r>
          </w:p>
        </w:tc>
        <w:tc>
          <w:tcPr>
            <w:tcW w:w="278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1、提供现场相关信息（包括但不限于照片、交通情况、周边环境等）； </w:t>
            </w:r>
          </w:p>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2、明确提出重难点或技术关键点，并提出解决方案</w:t>
            </w:r>
            <w:r>
              <w:rPr>
                <w:rFonts w:hint="eastAsia" w:ascii="宋体" w:hAnsi="宋体" w:eastAsia="宋体" w:cs="宋体"/>
                <w:color w:val="auto"/>
                <w:kern w:val="0"/>
                <w:szCs w:val="21"/>
                <w:highlight w:val="none"/>
                <w:lang w:eastAsia="zh-CN" w:bidi="ar"/>
              </w:rPr>
              <w:t>。</w:t>
            </w:r>
          </w:p>
        </w:tc>
        <w:tc>
          <w:tcPr>
            <w:tcW w:w="1828" w:type="dxa"/>
            <w:vMerge w:val="restart"/>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lang w:eastAsia="zh-CN"/>
              </w:rPr>
              <w:t>比选小组</w:t>
            </w:r>
            <w:r>
              <w:rPr>
                <w:rFonts w:hint="eastAsia" w:ascii="宋体" w:hAnsi="宋体" w:eastAsia="宋体" w:cs="宋体"/>
                <w:color w:val="auto"/>
                <w:kern w:val="0"/>
                <w:highlight w:val="none"/>
              </w:rPr>
              <w:t>对投标人递交的技术方案进行综合性评审，综合评判是否满足本工程需求：</w:t>
            </w:r>
            <w:r>
              <w:rPr>
                <w:rFonts w:hint="eastAsia" w:ascii="宋体" w:hAnsi="宋体" w:eastAsia="宋体" w:cs="宋体"/>
                <w:color w:val="auto"/>
                <w:kern w:val="0"/>
                <w:highlight w:val="none"/>
                <w:u w:val="none"/>
              </w:rPr>
              <w:t>满足/不满足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主要工程项目的施工方案、方法与技术措施</w:t>
            </w:r>
          </w:p>
        </w:tc>
        <w:tc>
          <w:tcPr>
            <w:tcW w:w="2787" w:type="dxa"/>
            <w:tcBorders>
              <w:left w:val="single" w:color="auto" w:sz="4" w:space="0"/>
              <w:right w:val="single" w:color="auto" w:sz="4" w:space="0"/>
            </w:tcBorders>
            <w:vAlign w:val="center"/>
          </w:tcPr>
          <w:p>
            <w:pPr>
              <w:widowControl/>
              <w:numPr>
                <w:ilvl w:val="0"/>
                <w:numId w:val="3"/>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根据各单位工程施工内容编制可实施方案与措施；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2、重难点工程须体现具体施工工序及技术、安全措施</w:t>
            </w:r>
            <w:r>
              <w:rPr>
                <w:rFonts w:hint="eastAsia" w:ascii="宋体" w:hAnsi="宋体" w:eastAsia="宋体" w:cs="宋体"/>
                <w:color w:val="auto"/>
                <w:kern w:val="0"/>
                <w:szCs w:val="21"/>
                <w:highlight w:val="none"/>
                <w:lang w:eastAsia="zh-CN" w:bidi="ar"/>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bookmarkEnd w:id="214"/>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工期保证体系及保证措施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1、以图表形式明确倒排工期计划，明确开、竣工日期；包含总施工进度计划；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2、提供工期保障具体措施；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3、提供赶工措施；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4、提供施工期间因无论何种原因工期滞后的解决方案。</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工程质量管理体系及保证措施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2、提供本项目质量管理制度，明确具体的、可行的质量管理制度，须至少包含质量目标、质量管理措施等具体要求；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安全生产管理体系及保证措施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2、提供本项目安全管理制度，明确具体的、可行的安全管理制度，须至少包含安全目标、劳动安全措施、交通安全措施； </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环境保护保证体系及保证措施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2、提供本项目环境保护管理制度，明确具体的、可行的环境保护管理制度；须至少包含环境保护目标、环境保护措施；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文明施工保证体系及保证措施</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1、明确本项目拟派人员的相关责任岗位； </w:t>
            </w:r>
          </w:p>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2、提供本项目文明施工管理制度，明确具体的、可行的文明施工管理制度；须至少包含文明施工目标、文明施工措施；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3、提供具体的工作流程及方法、措施。</w:t>
            </w:r>
            <w:r>
              <w:rPr>
                <w:rFonts w:hint="eastAsia" w:ascii="宋体" w:hAnsi="宋体" w:eastAsia="宋体" w:cs="宋体"/>
                <w:color w:val="auto"/>
                <w:kern w:val="0"/>
                <w:highlight w:val="none"/>
              </w:rPr>
              <w:t xml:space="preserve"> </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left w:val="single" w:color="auto" w:sz="4" w:space="0"/>
              <w:right w:val="single" w:color="auto" w:sz="4" w:space="0"/>
            </w:tcBorders>
            <w:vAlign w:val="center"/>
          </w:tcPr>
          <w:p>
            <w:pPr>
              <w:widowControl/>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bidi="ar"/>
              </w:rPr>
              <w:t>项目风险预测与防范，事故应急预案</w:t>
            </w:r>
          </w:p>
        </w:tc>
        <w:tc>
          <w:tcPr>
            <w:tcW w:w="2787" w:type="dxa"/>
            <w:tcBorders>
              <w:left w:val="single" w:color="auto" w:sz="4" w:space="0"/>
              <w:right w:val="single" w:color="auto" w:sz="4" w:space="0"/>
            </w:tcBorders>
            <w:vAlign w:val="center"/>
          </w:tcPr>
          <w:p>
            <w:pPr>
              <w:widowControl/>
              <w:numPr>
                <w:ilvl w:val="0"/>
                <w:numId w:val="0"/>
              </w:numPr>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1、</w:t>
            </w:r>
            <w:r>
              <w:rPr>
                <w:rFonts w:hint="eastAsia" w:ascii="宋体" w:hAnsi="宋体" w:eastAsia="宋体" w:cs="宋体"/>
                <w:color w:val="auto"/>
                <w:kern w:val="0"/>
                <w:szCs w:val="21"/>
                <w:highlight w:val="none"/>
                <w:lang w:bidi="ar"/>
              </w:rPr>
              <w:t>提供本项目项目风险预测与防范，事故应急预案</w:t>
            </w:r>
            <w:r>
              <w:rPr>
                <w:rFonts w:hint="eastAsia" w:ascii="宋体" w:hAnsi="宋体" w:eastAsia="宋体" w:cs="宋体"/>
                <w:color w:val="auto"/>
                <w:kern w:val="0"/>
                <w:szCs w:val="21"/>
                <w:highlight w:val="none"/>
                <w:lang w:eastAsia="zh-CN" w:bidi="ar"/>
              </w:rPr>
              <w:t>管理</w:t>
            </w:r>
            <w:r>
              <w:rPr>
                <w:rFonts w:hint="eastAsia" w:ascii="宋体" w:hAnsi="宋体" w:eastAsia="宋体" w:cs="宋体"/>
                <w:color w:val="auto"/>
                <w:kern w:val="0"/>
                <w:szCs w:val="21"/>
                <w:highlight w:val="none"/>
                <w:lang w:bidi="ar"/>
              </w:rPr>
              <w:t>制度，明确具体的、可行的措施；</w:t>
            </w:r>
          </w:p>
          <w:p>
            <w:pPr>
              <w:widowControl/>
              <w:numPr>
                <w:ilvl w:val="0"/>
                <w:numId w:val="0"/>
              </w:numPr>
              <w:ind w:left="0" w:leftChars="0" w:firstLine="0" w:firstLineChars="0"/>
              <w:jc w:val="lef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lang w:val="en-US" w:eastAsia="zh-CN" w:bidi="ar"/>
              </w:rPr>
              <w:t>2</w:t>
            </w:r>
            <w:r>
              <w:rPr>
                <w:rFonts w:hint="eastAsia" w:ascii="宋体" w:hAnsi="宋体" w:eastAsia="宋体" w:cs="宋体"/>
                <w:color w:val="auto"/>
                <w:kern w:val="0"/>
                <w:szCs w:val="21"/>
                <w:highlight w:val="none"/>
                <w:lang w:bidi="ar"/>
              </w:rPr>
              <w:t>、提供具体的工作流程及方法、措施</w:t>
            </w:r>
            <w:r>
              <w:rPr>
                <w:rFonts w:hint="eastAsia" w:ascii="宋体" w:hAnsi="宋体" w:eastAsia="宋体" w:cs="宋体"/>
                <w:color w:val="auto"/>
                <w:kern w:val="0"/>
                <w:highlight w:val="none"/>
              </w:rPr>
              <w:t>。</w:t>
            </w:r>
          </w:p>
        </w:tc>
        <w:tc>
          <w:tcPr>
            <w:tcW w:w="1828" w:type="dxa"/>
            <w:vMerge w:val="continue"/>
            <w:tcBorders>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资质条件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营业执照</w:t>
            </w:r>
          </w:p>
        </w:tc>
        <w:tc>
          <w:tcPr>
            <w:tcW w:w="4615" w:type="dxa"/>
            <w:gridSpan w:val="2"/>
            <w:tcBorders>
              <w:top w:val="single" w:color="auto" w:sz="4" w:space="0"/>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安全生产条件</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财务要求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业绩要求</w:t>
            </w:r>
            <w:r>
              <w:rPr>
                <w:rFonts w:hint="eastAsia" w:ascii="宋体" w:hAnsi="宋体" w:eastAsia="宋体" w:cs="宋体"/>
                <w:color w:val="auto"/>
                <w:kern w:val="0"/>
                <w:highlight w:val="none"/>
                <w:lang w:eastAsia="zh-CN"/>
              </w:rPr>
              <w:t>（如有）</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hint="eastAsia" w:ascii="宋体" w:hAnsi="宋体" w:eastAsia="宋体" w:cs="宋体"/>
                <w:color w:val="auto"/>
                <w:kern w:val="0"/>
                <w:highlight w:val="none"/>
              </w:rPr>
            </w:pPr>
            <w:r>
              <w:rPr>
                <w:rFonts w:hint="eastAsia" w:ascii="宋体" w:hAnsi="宋体" w:eastAsia="宋体" w:cs="宋体"/>
                <w:color w:val="auto"/>
                <w:szCs w:val="21"/>
                <w:highlight w:val="none"/>
              </w:rPr>
              <w:t>投标截止日投标资格情况</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项目经理资格要求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项目总工资格要求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top"/>
          </w:tcPr>
          <w:p>
            <w:pPr>
              <w:spacing w:line="400" w:lineRule="exact"/>
              <w:rPr>
                <w:rFonts w:hint="eastAsia" w:ascii="宋体" w:hAnsi="宋体" w:eastAsia="宋体" w:cs="宋体"/>
                <w:color w:val="auto"/>
                <w:kern w:val="0"/>
                <w:highlight w:val="none"/>
              </w:rPr>
            </w:pPr>
            <w:r>
              <w:rPr>
                <w:rFonts w:hint="eastAsia" w:ascii="宋体" w:hAnsi="宋体" w:eastAsia="宋体" w:cs="宋体"/>
                <w:color w:val="auto"/>
                <w:kern w:val="0"/>
                <w:highlight w:val="none"/>
              </w:rPr>
              <w:t>主要机械设备和试验检测设备最低要求</w:t>
            </w:r>
          </w:p>
        </w:tc>
        <w:tc>
          <w:tcPr>
            <w:tcW w:w="4615" w:type="dxa"/>
            <w:gridSpan w:val="2"/>
            <w:tcBorders>
              <w:top w:val="single" w:color="auto" w:sz="4" w:space="0"/>
              <w:left w:val="single" w:color="auto" w:sz="4" w:space="0"/>
            </w:tcBorders>
            <w:vAlign w:val="center"/>
          </w:tcPr>
          <w:p>
            <w:pPr>
              <w:spacing w:line="400" w:lineRule="exact"/>
              <w:ind w:firstLine="420" w:firstLineChars="200"/>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其他要求</w:t>
            </w:r>
          </w:p>
        </w:tc>
        <w:tc>
          <w:tcPr>
            <w:tcW w:w="4615" w:type="dxa"/>
            <w:gridSpan w:val="2"/>
            <w:tcBorders>
              <w:top w:val="single" w:color="auto" w:sz="4" w:space="0"/>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符合第二章“投标人须知”第1.4.1项规定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2.2.3</w:t>
            </w:r>
          </w:p>
        </w:tc>
        <w:tc>
          <w:tcPr>
            <w:tcW w:w="1560" w:type="dxa"/>
            <w:vMerge w:val="restart"/>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投标人名称</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投标文件格式</w:t>
            </w:r>
          </w:p>
        </w:tc>
        <w:tc>
          <w:tcPr>
            <w:tcW w:w="4615" w:type="dxa"/>
            <w:gridSpan w:val="2"/>
            <w:tcBorders>
              <w:left w:val="single" w:color="auto" w:sz="4" w:space="0"/>
            </w:tcBorders>
            <w:vAlign w:val="center"/>
          </w:tcPr>
          <w:p>
            <w:pPr>
              <w:snapToGrid w:val="0"/>
              <w:spacing w:line="400" w:lineRule="exact"/>
              <w:ind w:firstLine="380" w:firstLineChars="181"/>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符合第二章“投标人须知”第3.7款的要求（不含投标函部分）。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投标文件的签署</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投标文件应用不褪色的材料书写或打印，并由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委托代理人在比选文件规定的位置按比选文件要求签字或盖章、盖单位法人章。委托代理人签字的，投标文件应附法定代表人签署的授权委托书。投标文件应尽量避免涂改、行间插字或删除。如果出现上述情况，改动之处应加盖单位法人章或由</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的法定代表人或其授权的代理人签字确认。</w:t>
            </w:r>
          </w:p>
          <w:p>
            <w:pPr>
              <w:pStyle w:val="2"/>
              <w:spacing w:after="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b/>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委托代理人</w:t>
            </w:r>
          </w:p>
        </w:tc>
        <w:tc>
          <w:tcPr>
            <w:tcW w:w="4615" w:type="dxa"/>
            <w:gridSpan w:val="2"/>
            <w:tcBorders>
              <w:left w:val="single" w:color="auto" w:sz="4" w:space="0"/>
            </w:tcBorders>
            <w:vAlign w:val="center"/>
          </w:tcPr>
          <w:p>
            <w:pPr>
              <w:snapToGrid w:val="0"/>
              <w:spacing w:after="78" w:afterLines="25"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2.2.4</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投标内容</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投标函附录</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投标函附录的所有数据均符合</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规定</w:t>
            </w:r>
            <w:r>
              <w:rPr>
                <w:rFonts w:hint="eastAsia" w:ascii="宋体" w:hAnsi="宋体" w:eastAsia="宋体" w:cs="宋体"/>
                <w:color w:val="auto"/>
                <w:kern w:val="0"/>
                <w:highlight w:val="none"/>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投标保证金</w:t>
            </w:r>
          </w:p>
        </w:tc>
        <w:tc>
          <w:tcPr>
            <w:tcW w:w="4615" w:type="dxa"/>
            <w:gridSpan w:val="2"/>
            <w:tcBorders>
              <w:left w:val="single" w:color="auto" w:sz="4" w:space="0"/>
            </w:tcBorders>
            <w:vAlign w:val="center"/>
          </w:tcPr>
          <w:p>
            <w:pPr>
              <w:tabs>
                <w:tab w:val="left" w:pos="611"/>
                <w:tab w:val="left" w:pos="669"/>
              </w:tabs>
              <w:snapToGrid w:val="0"/>
              <w:spacing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符合第二章“投标人须知前附表”第3.4款规定。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权利义务</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符合第四章“合同条款及格式”规定，投标文件不应附有</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不能接受的条件。（由投标人承诺，承诺书格式详见第九章投标文件格式。）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技术标准和要求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符合第七章“技术标准和要求”规定。（由投标人承诺，承诺书格式详见第九章投标文件格式。）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bottom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bottom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实质性要求</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符合第二章“投标人须知”第1.4.3项规定。</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top w:val="single" w:color="auto" w:sz="4" w:space="0"/>
              <w:righ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2.2.5</w:t>
            </w:r>
          </w:p>
        </w:tc>
        <w:tc>
          <w:tcPr>
            <w:tcW w:w="1560" w:type="dxa"/>
            <w:vMerge w:val="restart"/>
            <w:tcBorders>
              <w:top w:val="single" w:color="auto" w:sz="4" w:space="0"/>
              <w:left w:val="single" w:color="auto" w:sz="4" w:space="0"/>
            </w:tcBorders>
            <w:vAlign w:val="center"/>
          </w:tcPr>
          <w:p>
            <w:pPr>
              <w:spacing w:line="400" w:lineRule="exact"/>
              <w:jc w:val="center"/>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投标函部分及经济部分评审标准</w:t>
            </w: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投标函部分的</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盖章</w:t>
            </w:r>
          </w:p>
        </w:tc>
        <w:tc>
          <w:tcPr>
            <w:tcW w:w="4615" w:type="dxa"/>
            <w:gridSpan w:val="2"/>
            <w:tcBorders>
              <w:left w:val="single" w:color="auto" w:sz="4" w:space="0"/>
            </w:tcBorders>
            <w:vAlign w:val="center"/>
          </w:tcPr>
          <w:p>
            <w:pPr>
              <w:snapToGrid w:val="0"/>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在比选文件规定的位置按比选文件要求签字或盖章、盖单位法人章。</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szCs w:val="21"/>
                <w:highlight w:val="none"/>
              </w:rPr>
              <w:t>未按上述规定执行的，交由评标委员会作否决投标处理。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工程质量</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投标有效期</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投标总报价</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1.投标总报价不得高于招标人公布的投标总报价最高限价。</w:t>
            </w:r>
          </w:p>
          <w:p>
            <w:pPr>
              <w:snapToGrid w:val="0"/>
              <w:spacing w:after="31" w:afterLines="10" w:line="400" w:lineRule="exact"/>
              <w:ind w:firstLine="420" w:firstLineChars="200"/>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kern w:val="0"/>
                <w:highlight w:val="none"/>
              </w:rPr>
              <w:t>2.投标人投标</w:t>
            </w:r>
            <w:r>
              <w:rPr>
                <w:rFonts w:hint="eastAsia" w:ascii="宋体" w:hAnsi="宋体" w:cs="宋体"/>
                <w:color w:val="auto"/>
                <w:kern w:val="0"/>
                <w:highlight w:val="none"/>
                <w:lang w:eastAsia="zh-CN"/>
              </w:rPr>
              <w:t>单价</w:t>
            </w:r>
            <w:r>
              <w:rPr>
                <w:rFonts w:hint="eastAsia" w:ascii="宋体" w:hAnsi="宋体" w:cs="宋体"/>
                <w:color w:val="auto"/>
                <w:kern w:val="0"/>
                <w:highlight w:val="none"/>
              </w:rPr>
              <w:t>报价低于招标文件规定的对应的异常低价警戒线的，应提供报价合理性说明，并提供必要的证明材料。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报价唯一</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只能有一个有效报价。在</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已标价工程量清单</w:t>
            </w:r>
          </w:p>
        </w:tc>
        <w:tc>
          <w:tcPr>
            <w:tcW w:w="4615" w:type="dxa"/>
            <w:gridSpan w:val="2"/>
            <w:tcBorders>
              <w:left w:val="single" w:color="auto" w:sz="4" w:space="0"/>
            </w:tcBorders>
            <w:vAlign w:val="center"/>
          </w:tcPr>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投标人承诺满足以下内容：</w:t>
            </w:r>
          </w:p>
          <w:p>
            <w:pPr>
              <w:spacing w:after="62" w:afterLines="2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1.按照第五章“工程量清单”、第八章“工程量清单计量规则”的规定进行报价。</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2.</w:t>
            </w:r>
            <w:r>
              <w:rPr>
                <w:rFonts w:hint="eastAsia" w:ascii="宋体" w:hAnsi="宋体" w:eastAsia="宋体" w:cs="宋体"/>
                <w:color w:val="auto"/>
                <w:kern w:val="0"/>
                <w:highlight w:val="none"/>
                <w:lang w:eastAsia="zh-CN"/>
              </w:rPr>
              <w:t>比选文件</w:t>
            </w:r>
            <w:r>
              <w:rPr>
                <w:rFonts w:hint="eastAsia" w:ascii="宋体" w:hAnsi="宋体" w:eastAsia="宋体" w:cs="宋体"/>
                <w:color w:val="auto"/>
                <w:kern w:val="0"/>
                <w:highlight w:val="none"/>
              </w:rPr>
              <w:t>中规定工程量清单不允许修改的内容不得修改。</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3.投标总报价不高于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公布的投标总报价最高限价。</w:t>
            </w:r>
          </w:p>
          <w:p>
            <w:pPr>
              <w:snapToGrid w:val="0"/>
              <w:spacing w:after="31" w:afterLines="10" w:line="400" w:lineRule="exact"/>
              <w:ind w:firstLine="420" w:firstLineChars="200"/>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rPr>
              <w:t>4.各清单子目单价不高于</w:t>
            </w:r>
            <w:r>
              <w:rPr>
                <w:rFonts w:hint="eastAsia" w:ascii="宋体" w:hAnsi="宋体" w:eastAsia="宋体" w:cs="宋体"/>
                <w:color w:val="auto"/>
                <w:kern w:val="0"/>
                <w:highlight w:val="none"/>
                <w:lang w:eastAsia="zh-CN"/>
              </w:rPr>
              <w:t>比选人</w:t>
            </w:r>
            <w:r>
              <w:rPr>
                <w:rFonts w:hint="eastAsia" w:ascii="宋体" w:hAnsi="宋体" w:eastAsia="宋体" w:cs="宋体"/>
                <w:color w:val="auto"/>
                <w:kern w:val="0"/>
                <w:highlight w:val="none"/>
              </w:rPr>
              <w:t>公布的各清单子目单价最高限价的。</w:t>
            </w:r>
          </w:p>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lang w:val="en-US"/>
              </w:rPr>
              <w:t>5</w:t>
            </w:r>
            <w:r>
              <w:rPr>
                <w:rFonts w:hint="eastAsia" w:ascii="宋体" w:hAnsi="宋体" w:eastAsia="宋体" w:cs="宋体"/>
                <w:color w:val="auto"/>
                <w:kern w:val="0"/>
                <w:highlight w:val="none"/>
              </w:rPr>
              <w:t>.</w:t>
            </w:r>
            <w:r>
              <w:rPr>
                <w:rFonts w:hint="eastAsia" w:ascii="宋体" w:hAnsi="宋体" w:eastAsia="宋体" w:cs="宋体"/>
                <w:color w:val="auto"/>
                <w:szCs w:val="21"/>
                <w:highlight w:val="none"/>
              </w:rPr>
              <w:t>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hint="eastAsia" w:ascii="宋体" w:hAnsi="宋体" w:eastAsia="宋体" w:cs="宋体"/>
                <w:color w:val="auto"/>
                <w:kern w:val="0"/>
                <w:highlight w:val="none"/>
              </w:rPr>
            </w:pPr>
          </w:p>
        </w:tc>
        <w:tc>
          <w:tcPr>
            <w:tcW w:w="2267" w:type="dxa"/>
            <w:tcBorders>
              <w:right w:val="single" w:color="auto" w:sz="4" w:space="0"/>
            </w:tcBorders>
            <w:vAlign w:val="center"/>
          </w:tcPr>
          <w:p>
            <w:pPr>
              <w:snapToGrid w:val="0"/>
              <w:spacing w:line="400" w:lineRule="exact"/>
              <w:jc w:val="left"/>
              <w:rPr>
                <w:rFonts w:hint="eastAsia" w:ascii="宋体" w:hAnsi="宋体" w:eastAsia="宋体" w:cs="宋体"/>
                <w:color w:val="auto"/>
                <w:kern w:val="0"/>
                <w:highlight w:val="none"/>
              </w:rPr>
            </w:pPr>
            <w:r>
              <w:rPr>
                <w:rFonts w:hint="eastAsia" w:ascii="宋体" w:hAnsi="宋体" w:eastAsia="宋体" w:cs="宋体"/>
                <w:color w:val="auto"/>
                <w:kern w:val="0"/>
                <w:highlight w:val="none"/>
              </w:rPr>
              <w:t>投标报价算术错误修正</w:t>
            </w:r>
          </w:p>
        </w:tc>
        <w:tc>
          <w:tcPr>
            <w:tcW w:w="4615" w:type="dxa"/>
            <w:gridSpan w:val="2"/>
            <w:tcBorders>
              <w:left w:val="single" w:color="auto" w:sz="4" w:space="0"/>
            </w:tcBorders>
            <w:vAlign w:val="center"/>
          </w:tcPr>
          <w:p>
            <w:pPr>
              <w:snapToGrid w:val="0"/>
              <w:spacing w:after="31" w:afterLines="10" w:line="400" w:lineRule="exact"/>
              <w:ind w:firstLine="420" w:firstLineChars="200"/>
              <w:rPr>
                <w:rFonts w:hint="eastAsia" w:ascii="宋体" w:hAnsi="宋体" w:eastAsia="宋体" w:cs="宋体"/>
                <w:color w:val="auto"/>
                <w:kern w:val="0"/>
                <w:highlight w:val="none"/>
              </w:rPr>
            </w:pPr>
            <w:r>
              <w:rPr>
                <w:rFonts w:hint="eastAsia" w:ascii="宋体" w:hAnsi="宋体" w:eastAsia="宋体" w:cs="宋体"/>
                <w:color w:val="auto"/>
                <w:kern w:val="0"/>
                <w:highlight w:val="none"/>
              </w:rPr>
              <w:t>符合第三章“评标办法”第3.2.3项规定。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评标程序</w:t>
            </w:r>
          </w:p>
        </w:tc>
        <w:tc>
          <w:tcPr>
            <w:tcW w:w="6882" w:type="dxa"/>
            <w:gridSpan w:val="3"/>
            <w:tcBorders>
              <w:left w:val="single" w:color="auto" w:sz="4" w:space="0"/>
            </w:tcBorders>
            <w:vAlign w:val="center"/>
          </w:tcPr>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1.对报价不高于最高限价的所有投标人的投标文件，按照报价由低到高的顺序排序。</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2.根据本章第2.2款约定进行符合性审查</w:t>
            </w:r>
            <w:r>
              <w:rPr>
                <w:rFonts w:hint="eastAsia" w:ascii="宋体" w:hAnsi="宋体" w:eastAsia="宋体" w:cs="宋体"/>
                <w:color w:val="auto"/>
                <w:spacing w:val="4"/>
                <w:kern w:val="0"/>
                <w:szCs w:val="21"/>
                <w:highlight w:val="none"/>
              </w:rPr>
              <w:t>。符合性审查</w:t>
            </w:r>
            <w:r>
              <w:rPr>
                <w:rFonts w:hint="eastAsia" w:ascii="宋体" w:hAnsi="宋体" w:eastAsia="宋体" w:cs="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4"/>
                <w:kern w:val="0"/>
                <w:szCs w:val="21"/>
                <w:highlight w:val="none"/>
              </w:rPr>
              <w:t>若上述程序未能评出三名中标候选人</w:t>
            </w:r>
            <w:r>
              <w:rPr>
                <w:rFonts w:hint="eastAsia" w:ascii="宋体" w:hAnsi="宋体" w:eastAsia="宋体" w:cs="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highlight w:val="none"/>
              </w:rPr>
              <w:t xml:space="preserve"> </w:t>
            </w:r>
            <w:r>
              <w:rPr>
                <w:rFonts w:hint="eastAsia" w:ascii="宋体" w:hAnsi="宋体" w:eastAsia="宋体" w:cs="宋体"/>
                <w:color w:val="auto"/>
                <w:kern w:val="0"/>
                <w:szCs w:val="21"/>
                <w:highlight w:val="none"/>
              </w:rPr>
              <w:t>因评标委员会作否决投标处理，导致有效投标人不足三个的，评标委员会应当否决所有投标。但是有效投标人的经济、技术等指标仍然具有市场竞争力，并满足</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要求的，评标委员会可以继续评标并确定中标候选人。</w:t>
            </w:r>
          </w:p>
          <w:p>
            <w:pPr>
              <w:spacing w:after="31" w:afterLines="10" w:line="40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注：若出现投标人投标报价相同的，以“投标人在红名单中优先”的原则排序</w:t>
            </w:r>
            <w:r>
              <w:rPr>
                <w:rFonts w:hint="eastAsia" w:ascii="宋体" w:hAnsi="宋体" w:eastAsia="宋体" w:cs="宋体"/>
                <w:color w:val="auto"/>
                <w:spacing w:val="4"/>
                <w:kern w:val="0"/>
                <w:szCs w:val="21"/>
                <w:highlight w:val="none"/>
              </w:rPr>
              <w:t>，投标人是否属于红名单，以开标环节信用状况查询结果为准</w:t>
            </w:r>
            <w:r>
              <w:rPr>
                <w:rFonts w:hint="eastAsia" w:ascii="宋体" w:hAnsi="宋体" w:eastAsia="宋体" w:cs="宋体"/>
                <w:color w:val="auto"/>
                <w:kern w:val="0"/>
                <w:szCs w:val="21"/>
                <w:highlight w:val="none"/>
              </w:rPr>
              <w:t>；投标人均在红名单中</w:t>
            </w:r>
            <w:r>
              <w:rPr>
                <w:rFonts w:hint="eastAsia" w:ascii="宋体" w:hAnsi="宋体" w:eastAsia="宋体" w:cs="宋体"/>
                <w:color w:val="auto"/>
                <w:spacing w:val="4"/>
                <w:kern w:val="0"/>
                <w:szCs w:val="21"/>
                <w:highlight w:val="none"/>
              </w:rPr>
              <w:t>或均不在红名单中的，由评标委员会按照</w:t>
            </w:r>
            <w:r>
              <w:rPr>
                <w:rFonts w:hint="eastAsia" w:ascii="宋体" w:hAnsi="宋体" w:eastAsia="宋体" w:cs="宋体"/>
                <w:color w:val="auto"/>
                <w:spacing w:val="4"/>
                <w:kern w:val="0"/>
                <w:szCs w:val="21"/>
                <w:highlight w:val="none"/>
                <w:u w:val="single"/>
              </w:rPr>
              <w:t>投标人资质等级由高到低</w:t>
            </w:r>
            <w:r>
              <w:rPr>
                <w:rFonts w:hint="eastAsia" w:ascii="宋体" w:hAnsi="宋体" w:eastAsia="宋体" w:cs="宋体"/>
                <w:color w:val="auto"/>
                <w:spacing w:val="4"/>
                <w:kern w:val="0"/>
                <w:szCs w:val="21"/>
                <w:highlight w:val="none"/>
              </w:rPr>
              <w:t>原则排序。</w:t>
            </w:r>
            <w:bookmarkStart w:id="215" w:name="OLE_LINK21"/>
            <w:r>
              <w:rPr>
                <w:rFonts w:hint="eastAsia" w:ascii="宋体" w:hAnsi="宋体" w:eastAsia="宋体" w:cs="宋体"/>
                <w:color w:val="auto"/>
                <w:szCs w:val="21"/>
                <w:highlight w:val="none"/>
              </w:rPr>
              <w:t>若再出现投标人资质等级相同时，</w:t>
            </w:r>
            <w:r>
              <w:rPr>
                <w:rFonts w:hint="eastAsia" w:ascii="宋体" w:hAnsi="宋体" w:eastAsia="宋体" w:cs="宋体"/>
                <w:color w:val="auto"/>
                <w:szCs w:val="21"/>
                <w:highlight w:val="none"/>
                <w:lang w:eastAsia="zh-CN"/>
              </w:rPr>
              <w:t>由比选人现场随机抽签选取中标人</w:t>
            </w:r>
            <w:r>
              <w:rPr>
                <w:rFonts w:hint="eastAsia" w:ascii="宋体" w:hAnsi="宋体" w:eastAsia="宋体" w:cs="宋体"/>
                <w:color w:val="auto"/>
                <w:spacing w:val="4"/>
                <w:kern w:val="0"/>
                <w:szCs w:val="21"/>
                <w:highlight w:val="none"/>
              </w:rPr>
              <w:t>。</w:t>
            </w:r>
            <w:bookmarkEnd w:id="21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评标结果</w:t>
            </w:r>
          </w:p>
        </w:tc>
        <w:tc>
          <w:tcPr>
            <w:tcW w:w="6882" w:type="dxa"/>
            <w:gridSpan w:val="3"/>
            <w:tcBorders>
              <w:left w:val="single" w:color="auto" w:sz="4" w:space="0"/>
            </w:tcBorders>
            <w:vAlign w:val="center"/>
          </w:tcPr>
          <w:p>
            <w:pPr>
              <w:autoSpaceDE w:val="0"/>
              <w:autoSpaceDN w:val="0"/>
              <w:adjustRightInd w:val="0"/>
              <w:snapToGrid w:val="0"/>
              <w:spacing w:line="400" w:lineRule="exact"/>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pacing w:val="-1"/>
                <w:kern w:val="0"/>
                <w:szCs w:val="21"/>
                <w:highlight w:val="none"/>
              </w:rPr>
              <w:t>4</w:t>
            </w:r>
            <w:r>
              <w:rPr>
                <w:rFonts w:hint="eastAsia" w:ascii="宋体" w:hAnsi="宋体" w:eastAsia="宋体" w:cs="宋体"/>
                <w:color w:val="auto"/>
                <w:kern w:val="0"/>
                <w:szCs w:val="21"/>
                <w:highlight w:val="none"/>
              </w:rPr>
              <w:t>.1 除第二章“投标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须知”前</w:t>
            </w:r>
            <w:r>
              <w:rPr>
                <w:rFonts w:hint="eastAsia" w:ascii="宋体" w:hAnsi="宋体" w:eastAsia="宋体" w:cs="宋体"/>
                <w:color w:val="auto"/>
                <w:spacing w:val="1"/>
                <w:kern w:val="0"/>
                <w:szCs w:val="21"/>
                <w:highlight w:val="none"/>
              </w:rPr>
              <w:t>附</w:t>
            </w:r>
            <w:r>
              <w:rPr>
                <w:rFonts w:hint="eastAsia" w:ascii="宋体" w:hAnsi="宋体" w:eastAsia="宋体" w:cs="宋体"/>
                <w:color w:val="auto"/>
                <w:kern w:val="0"/>
                <w:szCs w:val="21"/>
                <w:highlight w:val="none"/>
              </w:rPr>
              <w:t>表授权直</w:t>
            </w:r>
            <w:r>
              <w:rPr>
                <w:rFonts w:hint="eastAsia" w:ascii="宋体" w:hAnsi="宋体" w:eastAsia="宋体" w:cs="宋体"/>
                <w:color w:val="auto"/>
                <w:spacing w:val="1"/>
                <w:kern w:val="0"/>
                <w:szCs w:val="21"/>
                <w:highlight w:val="none"/>
              </w:rPr>
              <w:t>接</w:t>
            </w:r>
            <w:r>
              <w:rPr>
                <w:rFonts w:hint="eastAsia" w:ascii="宋体" w:hAnsi="宋体" w:eastAsia="宋体" w:cs="宋体"/>
                <w:color w:val="auto"/>
                <w:kern w:val="0"/>
                <w:szCs w:val="21"/>
                <w:highlight w:val="none"/>
              </w:rPr>
              <w:t>确定中标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外，评标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员会按经评审的最低投标价法推荐中标候选人。</w:t>
            </w:r>
          </w:p>
          <w:p>
            <w:pPr>
              <w:spacing w:line="400" w:lineRule="exact"/>
              <w:ind w:firstLine="424" w:firstLineChars="200"/>
              <w:rPr>
                <w:rFonts w:hint="eastAsia" w:ascii="宋体" w:hAnsi="宋体" w:eastAsia="宋体" w:cs="宋体"/>
                <w:color w:val="auto"/>
                <w:highlight w:val="none"/>
              </w:rPr>
            </w:pPr>
            <w:r>
              <w:rPr>
                <w:rFonts w:hint="eastAsia" w:ascii="宋体" w:hAnsi="宋体" w:eastAsia="宋体" w:cs="宋体"/>
                <w:color w:val="auto"/>
                <w:spacing w:val="1"/>
                <w:kern w:val="0"/>
                <w:szCs w:val="21"/>
                <w:highlight w:val="none"/>
              </w:rPr>
              <w:t>3</w:t>
            </w:r>
            <w:r>
              <w:rPr>
                <w:rFonts w:hint="eastAsia" w:ascii="宋体" w:hAnsi="宋体" w:eastAsia="宋体" w:cs="宋体"/>
                <w:color w:val="auto"/>
                <w:kern w:val="0"/>
                <w:szCs w:val="21"/>
                <w:highlight w:val="none"/>
              </w:rPr>
              <w:t>.4.2 评标</w:t>
            </w:r>
            <w:r>
              <w:rPr>
                <w:rFonts w:hint="eastAsia" w:ascii="宋体" w:hAnsi="宋体" w:eastAsia="宋体" w:cs="宋体"/>
                <w:color w:val="auto"/>
                <w:spacing w:val="-1"/>
                <w:kern w:val="0"/>
                <w:szCs w:val="21"/>
                <w:highlight w:val="none"/>
              </w:rPr>
              <w:t>委</w:t>
            </w:r>
            <w:r>
              <w:rPr>
                <w:rFonts w:hint="eastAsia" w:ascii="宋体" w:hAnsi="宋体" w:eastAsia="宋体" w:cs="宋体"/>
                <w:color w:val="auto"/>
                <w:kern w:val="0"/>
                <w:szCs w:val="21"/>
                <w:highlight w:val="none"/>
              </w:rPr>
              <w:t>员会完成评标后，应当向</w:t>
            </w:r>
            <w:r>
              <w:rPr>
                <w:rFonts w:hint="eastAsia" w:ascii="宋体" w:hAnsi="宋体" w:eastAsia="宋体" w:cs="宋体"/>
                <w:color w:val="auto"/>
                <w:kern w:val="0"/>
                <w:szCs w:val="21"/>
                <w:highlight w:val="none"/>
                <w:lang w:eastAsia="zh-CN"/>
              </w:rPr>
              <w:t>比选人</w:t>
            </w:r>
            <w:r>
              <w:rPr>
                <w:rFonts w:hint="eastAsia" w:ascii="宋体" w:hAnsi="宋体" w:eastAsia="宋体" w:cs="宋体"/>
                <w:color w:val="auto"/>
                <w:kern w:val="0"/>
                <w:szCs w:val="21"/>
                <w:highlight w:val="none"/>
              </w:rPr>
              <w:t>提交书面评标报告。</w:t>
            </w:r>
          </w:p>
        </w:tc>
      </w:tr>
      <w:bookmarkEnd w:id="208"/>
      <w:bookmarkEnd w:id="209"/>
      <w:bookmarkEnd w:id="210"/>
      <w:bookmarkEnd w:id="211"/>
      <w:bookmarkEnd w:id="212"/>
    </w:tbl>
    <w:p>
      <w:pPr>
        <w:pStyle w:val="2"/>
        <w:rPr>
          <w:rFonts w:hint="eastAsia" w:ascii="宋体" w:hAnsi="宋体" w:eastAsia="宋体" w:cs="宋体"/>
          <w:bCs/>
          <w:snapToGrid w:val="0"/>
          <w:color w:val="auto"/>
          <w:sz w:val="32"/>
          <w:szCs w:val="32"/>
          <w:highlight w:val="none"/>
        </w:rPr>
      </w:pPr>
    </w:p>
    <w:p>
      <w:pPr>
        <w:pStyle w:val="2"/>
        <w:rPr>
          <w:rFonts w:hint="eastAsia" w:ascii="宋体" w:hAnsi="宋体" w:eastAsia="宋体" w:cs="宋体"/>
          <w:bCs/>
          <w:snapToGrid w:val="0"/>
          <w:color w:val="auto"/>
          <w:sz w:val="32"/>
          <w:szCs w:val="32"/>
          <w:highlight w:val="none"/>
        </w:rPr>
      </w:pPr>
      <w:r>
        <w:rPr>
          <w:rFonts w:hint="eastAsia" w:ascii="宋体" w:hAnsi="宋体" w:eastAsia="宋体" w:cs="宋体"/>
          <w:bCs/>
          <w:snapToGrid w:val="0"/>
          <w:color w:val="auto"/>
          <w:sz w:val="32"/>
          <w:szCs w:val="32"/>
          <w:highlight w:val="none"/>
        </w:rPr>
        <w:br w:type="page"/>
      </w:r>
    </w:p>
    <w:bookmarkEnd w:id="197"/>
    <w:bookmarkEnd w:id="198"/>
    <w:bookmarkEnd w:id="199"/>
    <w:bookmarkEnd w:id="200"/>
    <w:bookmarkEnd w:id="201"/>
    <w:p>
      <w:pPr>
        <w:pStyle w:val="4"/>
        <w:spacing w:before="0" w:after="0" w:line="360" w:lineRule="auto"/>
        <w:rPr>
          <w:rFonts w:hint="eastAsia" w:ascii="宋体" w:hAnsi="宋体" w:eastAsia="宋体" w:cs="宋体"/>
          <w:color w:val="auto"/>
          <w:sz w:val="28"/>
          <w:szCs w:val="28"/>
          <w:highlight w:val="none"/>
        </w:rPr>
      </w:pPr>
      <w:bookmarkStart w:id="216" w:name="_Toc31712"/>
      <w:bookmarkStart w:id="217" w:name="_Toc33106441"/>
      <w:r>
        <w:rPr>
          <w:rFonts w:hint="eastAsia" w:ascii="宋体" w:hAnsi="宋体" w:eastAsia="宋体" w:cs="宋体"/>
          <w:color w:val="auto"/>
          <w:sz w:val="28"/>
          <w:szCs w:val="28"/>
          <w:highlight w:val="none"/>
        </w:rPr>
        <w:t>1. 评标方法</w:t>
      </w:r>
      <w:bookmarkEnd w:id="216"/>
      <w:bookmarkEnd w:id="21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w:t>
      </w:r>
      <w:r>
        <w:rPr>
          <w:rFonts w:hint="eastAsia" w:ascii="宋体" w:hAnsi="宋体" w:eastAsia="宋体" w:cs="宋体"/>
          <w:color w:val="auto"/>
          <w:highlight w:val="none"/>
          <w:lang w:eastAsia="zh-CN"/>
        </w:rPr>
        <w:t>比选人</w:t>
      </w:r>
      <w:r>
        <w:rPr>
          <w:rFonts w:hint="eastAsia" w:ascii="宋体" w:hAnsi="宋体" w:eastAsia="宋体" w:cs="宋体"/>
          <w:color w:val="auto"/>
          <w:highlight w:val="none"/>
        </w:rPr>
        <w:t>授权直接确定中标人。若出现投标人投标报价相同的，以评标办法前附表约定的原则确定排序。</w:t>
      </w:r>
    </w:p>
    <w:p>
      <w:pPr>
        <w:pStyle w:val="4"/>
        <w:spacing w:before="0" w:after="0" w:line="360" w:lineRule="auto"/>
        <w:rPr>
          <w:rFonts w:hint="eastAsia" w:ascii="宋体" w:hAnsi="宋体" w:eastAsia="宋体" w:cs="宋体"/>
          <w:color w:val="auto"/>
          <w:sz w:val="28"/>
          <w:szCs w:val="28"/>
          <w:highlight w:val="none"/>
        </w:rPr>
      </w:pPr>
      <w:bookmarkStart w:id="218" w:name="_Toc20232"/>
      <w:bookmarkStart w:id="219" w:name="_Toc33106442"/>
      <w:r>
        <w:rPr>
          <w:rFonts w:hint="eastAsia" w:ascii="宋体" w:hAnsi="宋体" w:eastAsia="宋体" w:cs="宋体"/>
          <w:color w:val="auto"/>
          <w:sz w:val="28"/>
          <w:szCs w:val="28"/>
          <w:highlight w:val="none"/>
        </w:rPr>
        <w:t>2. 评审标准</w:t>
      </w:r>
      <w:bookmarkEnd w:id="218"/>
      <w:bookmarkEnd w:id="219"/>
    </w:p>
    <w:p>
      <w:pPr>
        <w:pStyle w:val="5"/>
        <w:spacing w:before="0" w:after="0" w:line="360" w:lineRule="auto"/>
        <w:rPr>
          <w:rFonts w:hint="eastAsia" w:ascii="宋体" w:hAnsi="宋体" w:eastAsia="宋体" w:cs="宋体"/>
          <w:color w:val="auto"/>
          <w:sz w:val="21"/>
          <w:szCs w:val="21"/>
          <w:highlight w:val="none"/>
        </w:rPr>
      </w:pPr>
      <w:bookmarkStart w:id="220" w:name="_Toc33106443"/>
      <w:bookmarkStart w:id="221" w:name="_Toc17148"/>
      <w:r>
        <w:rPr>
          <w:rFonts w:hint="eastAsia" w:ascii="宋体" w:hAnsi="宋体" w:eastAsia="宋体" w:cs="宋体"/>
          <w:color w:val="auto"/>
          <w:sz w:val="21"/>
          <w:szCs w:val="21"/>
          <w:highlight w:val="none"/>
        </w:rPr>
        <w:t>2.1报价排序</w:t>
      </w:r>
      <w:bookmarkEnd w:id="220"/>
      <w:r>
        <w:rPr>
          <w:rFonts w:hint="eastAsia" w:ascii="宋体" w:hAnsi="宋体" w:eastAsia="宋体" w:cs="宋体"/>
          <w:color w:val="auto"/>
          <w:sz w:val="21"/>
          <w:szCs w:val="21"/>
          <w:highlight w:val="none"/>
        </w:rPr>
        <w:t>标准</w:t>
      </w:r>
      <w:bookmarkEnd w:id="221"/>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pStyle w:val="5"/>
        <w:spacing w:before="0" w:after="0" w:line="360" w:lineRule="auto"/>
        <w:rPr>
          <w:rFonts w:hint="eastAsia" w:ascii="宋体" w:hAnsi="宋体" w:eastAsia="宋体" w:cs="宋体"/>
          <w:color w:val="auto"/>
          <w:sz w:val="21"/>
          <w:szCs w:val="21"/>
          <w:highlight w:val="none"/>
        </w:rPr>
      </w:pPr>
      <w:bookmarkStart w:id="222" w:name="_Toc33106444"/>
      <w:bookmarkStart w:id="223" w:name="_Toc9484"/>
      <w:r>
        <w:rPr>
          <w:rFonts w:hint="eastAsia" w:ascii="宋体" w:hAnsi="宋体" w:eastAsia="宋体" w:cs="宋体"/>
          <w:color w:val="auto"/>
          <w:sz w:val="21"/>
          <w:szCs w:val="21"/>
          <w:highlight w:val="none"/>
        </w:rPr>
        <w:t>2.2符合性审查</w:t>
      </w:r>
      <w:bookmarkEnd w:id="222"/>
      <w:r>
        <w:rPr>
          <w:rFonts w:hint="eastAsia" w:ascii="宋体" w:hAnsi="宋体" w:eastAsia="宋体" w:cs="宋体"/>
          <w:color w:val="auto"/>
          <w:sz w:val="21"/>
          <w:szCs w:val="21"/>
          <w:highlight w:val="none"/>
        </w:rPr>
        <w:t>标准</w:t>
      </w:r>
      <w:bookmarkEnd w:id="223"/>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。符合性审查内容：技术方案评审、资格评审、形式评审、响应性、投标函部分及经济部分评审</w:t>
      </w:r>
      <w:r>
        <w:rPr>
          <w:rFonts w:hint="eastAsia" w:ascii="宋体" w:hAnsi="宋体" w:eastAsia="宋体" w:cs="宋体"/>
          <w:color w:val="auto"/>
          <w:szCs w:val="21"/>
          <w:highlight w:val="none"/>
        </w:rPr>
        <w:t>。</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2.2.1  技术方案评审标准：见评标办法前附表。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2.2.5  投标函部分及经济部分评审标准：见评标办法前附表。</w:t>
      </w:r>
    </w:p>
    <w:p>
      <w:pPr>
        <w:pStyle w:val="4"/>
        <w:spacing w:before="0" w:after="0" w:line="360" w:lineRule="auto"/>
        <w:rPr>
          <w:rFonts w:hint="eastAsia" w:ascii="宋体" w:hAnsi="宋体" w:eastAsia="宋体" w:cs="宋体"/>
          <w:color w:val="auto"/>
          <w:sz w:val="28"/>
          <w:szCs w:val="28"/>
          <w:highlight w:val="none"/>
        </w:rPr>
      </w:pPr>
      <w:bookmarkStart w:id="224" w:name="_Toc29316"/>
      <w:bookmarkStart w:id="225" w:name="_Toc33106445"/>
      <w:r>
        <w:rPr>
          <w:rFonts w:hint="eastAsia" w:ascii="宋体" w:hAnsi="宋体" w:eastAsia="宋体" w:cs="宋体"/>
          <w:color w:val="auto"/>
          <w:sz w:val="28"/>
          <w:szCs w:val="28"/>
          <w:highlight w:val="none"/>
        </w:rPr>
        <w:t>3. 评标程序</w:t>
      </w:r>
      <w:bookmarkEnd w:id="224"/>
      <w:bookmarkEnd w:id="225"/>
    </w:p>
    <w:p>
      <w:pPr>
        <w:pStyle w:val="5"/>
        <w:spacing w:before="0" w:after="0" w:line="360" w:lineRule="auto"/>
        <w:rPr>
          <w:rFonts w:hint="eastAsia" w:ascii="宋体" w:hAnsi="宋体" w:eastAsia="宋体" w:cs="宋体"/>
          <w:color w:val="auto"/>
          <w:sz w:val="21"/>
          <w:szCs w:val="21"/>
          <w:highlight w:val="none"/>
        </w:rPr>
      </w:pPr>
      <w:bookmarkStart w:id="226" w:name="_Toc33106446"/>
      <w:bookmarkStart w:id="227" w:name="_Toc26318"/>
      <w:r>
        <w:rPr>
          <w:rFonts w:hint="eastAsia" w:ascii="宋体" w:hAnsi="宋体" w:eastAsia="宋体" w:cs="宋体"/>
          <w:color w:val="auto"/>
          <w:sz w:val="21"/>
          <w:szCs w:val="21"/>
          <w:highlight w:val="none"/>
        </w:rPr>
        <w:t>3.1报价排序</w:t>
      </w:r>
      <w:bookmarkEnd w:id="226"/>
      <w:bookmarkEnd w:id="227"/>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pPr>
        <w:pStyle w:val="5"/>
        <w:spacing w:before="0" w:after="0" w:line="360" w:lineRule="auto"/>
        <w:rPr>
          <w:rFonts w:hint="eastAsia" w:ascii="宋体" w:hAnsi="宋体" w:eastAsia="宋体" w:cs="宋体"/>
          <w:color w:val="auto"/>
          <w:sz w:val="21"/>
          <w:szCs w:val="21"/>
          <w:highlight w:val="none"/>
        </w:rPr>
      </w:pPr>
      <w:bookmarkStart w:id="228" w:name="_Toc33106447"/>
      <w:bookmarkStart w:id="229" w:name="_Toc3278"/>
      <w:r>
        <w:rPr>
          <w:rFonts w:hint="eastAsia" w:ascii="宋体" w:hAnsi="宋体" w:eastAsia="宋体" w:cs="宋体"/>
          <w:color w:val="auto"/>
          <w:sz w:val="21"/>
          <w:szCs w:val="21"/>
          <w:highlight w:val="none"/>
        </w:rPr>
        <w:t>3.2符合性审查</w:t>
      </w:r>
      <w:bookmarkEnd w:id="228"/>
      <w:bookmarkEnd w:id="229"/>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款规定的标准对投标文件进行符合性审查。符合性审查顺序：技术方案评审（如有）、资格评审、形式评审、响应性、投标函部分及经济部分评审。</w:t>
      </w:r>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勾选技术方案评审的，符合性审查应首先进行技术方案审查，再按照资格、形式、响应性、投标函部分及经济部分的顺序进行评审。有一项不符合评审标准的，作否决投标处理。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pPr>
        <w:pStyle w:val="5"/>
        <w:spacing w:before="0" w:after="0" w:line="360" w:lineRule="auto"/>
        <w:rPr>
          <w:rFonts w:hint="eastAsia" w:ascii="宋体" w:hAnsi="宋体" w:eastAsia="宋体" w:cs="宋体"/>
          <w:color w:val="auto"/>
          <w:sz w:val="21"/>
          <w:szCs w:val="21"/>
          <w:highlight w:val="none"/>
        </w:rPr>
      </w:pPr>
      <w:bookmarkStart w:id="230" w:name="_Toc33106448"/>
      <w:bookmarkStart w:id="231" w:name="_Toc1898"/>
      <w:r>
        <w:rPr>
          <w:rFonts w:hint="eastAsia" w:ascii="宋体" w:hAnsi="宋体" w:eastAsia="宋体" w:cs="宋体"/>
          <w:color w:val="auto"/>
          <w:sz w:val="21"/>
          <w:szCs w:val="21"/>
          <w:highlight w:val="none"/>
        </w:rPr>
        <w:t>3.3 投标文件的澄清和补正</w:t>
      </w:r>
      <w:bookmarkEnd w:id="230"/>
      <w:bookmarkEnd w:id="231"/>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pPr>
        <w:pStyle w:val="5"/>
        <w:spacing w:before="0" w:after="0" w:line="360" w:lineRule="auto"/>
        <w:rPr>
          <w:rFonts w:hint="eastAsia" w:ascii="宋体" w:hAnsi="宋体" w:eastAsia="宋体" w:cs="宋体"/>
          <w:color w:val="auto"/>
          <w:sz w:val="21"/>
          <w:szCs w:val="21"/>
          <w:highlight w:val="none"/>
        </w:rPr>
      </w:pPr>
      <w:bookmarkStart w:id="232" w:name="_Toc33106449"/>
      <w:bookmarkStart w:id="233" w:name="_Toc484465184"/>
      <w:bookmarkStart w:id="234" w:name="_Toc479262406"/>
      <w:bookmarkStart w:id="235" w:name="_Toc12846"/>
      <w:r>
        <w:rPr>
          <w:rFonts w:hint="eastAsia" w:ascii="宋体" w:hAnsi="宋体" w:eastAsia="宋体" w:cs="宋体"/>
          <w:color w:val="auto"/>
          <w:sz w:val="21"/>
          <w:szCs w:val="21"/>
          <w:highlight w:val="none"/>
        </w:rPr>
        <w:t>3.4 评标结果</w:t>
      </w:r>
      <w:bookmarkEnd w:id="232"/>
      <w:bookmarkEnd w:id="233"/>
      <w:bookmarkEnd w:id="234"/>
      <w:bookmarkEnd w:id="235"/>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 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提交书面评标报告和中标候选人名单。</w:t>
      </w:r>
    </w:p>
    <w:p>
      <w:pPr>
        <w:pStyle w:val="2"/>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pStyle w:val="24"/>
        <w:spacing w:line="360" w:lineRule="auto"/>
        <w:rPr>
          <w:rFonts w:hint="eastAsia" w:ascii="宋体" w:hAnsi="宋体" w:eastAsia="宋体" w:cs="宋体"/>
          <w:b/>
          <w:color w:val="auto"/>
          <w:sz w:val="28"/>
          <w:szCs w:val="28"/>
          <w:highlight w:val="none"/>
          <w:u w:val="none"/>
          <w:lang w:eastAsia="zh-CN"/>
        </w:rPr>
      </w:pPr>
      <w:r>
        <w:rPr>
          <w:rFonts w:hint="eastAsia" w:ascii="宋体" w:hAnsi="宋体" w:eastAsia="宋体" w:cs="宋体"/>
          <w:b/>
          <w:color w:val="auto"/>
          <w:sz w:val="28"/>
          <w:szCs w:val="28"/>
          <w:highlight w:val="none"/>
          <w:u w:val="none"/>
          <w:lang w:eastAsia="zh-CN"/>
        </w:rPr>
        <w:t>附件A：经评审的最低投标价法否决投标情况一览表</w:t>
      </w:r>
    </w:p>
    <w:p>
      <w:pPr>
        <w:pStyle w:val="24"/>
        <w:spacing w:line="360" w:lineRule="auto"/>
        <w:ind w:firstLine="420" w:firstLineChars="200"/>
        <w:jc w:val="both"/>
        <w:rPr>
          <w:rFonts w:hint="eastAsia" w:ascii="宋体" w:hAnsi="宋体" w:eastAsia="宋体" w:cs="宋体"/>
          <w:color w:val="auto"/>
          <w:sz w:val="21"/>
          <w:szCs w:val="21"/>
          <w:highlight w:val="none"/>
          <w:u w:val="none"/>
          <w:lang w:eastAsia="zh-CN"/>
        </w:rPr>
      </w:pPr>
      <w:r>
        <w:rPr>
          <w:rFonts w:hint="eastAsia" w:ascii="宋体" w:hAnsi="宋体" w:eastAsia="宋体" w:cs="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p>
    <w:tbl>
      <w:tblPr>
        <w:tblStyle w:val="33"/>
        <w:tblW w:w="880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1515"/>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8" w:space="0"/>
              <w:left w:val="single" w:color="000000" w:sz="8"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章节号</w:t>
            </w:r>
          </w:p>
        </w:tc>
        <w:tc>
          <w:tcPr>
            <w:tcW w:w="1515" w:type="dxa"/>
            <w:tcBorders>
              <w:top w:val="single" w:color="000000" w:sz="8"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条款名称</w:t>
            </w:r>
          </w:p>
        </w:tc>
        <w:tc>
          <w:tcPr>
            <w:tcW w:w="6333" w:type="dxa"/>
            <w:tcBorders>
              <w:top w:val="single" w:color="000000" w:sz="8" w:space="0"/>
              <w:left w:val="single" w:color="000000" w:sz="4" w:space="0"/>
              <w:bottom w:val="single" w:color="000000" w:sz="4" w:space="0"/>
              <w:right w:val="single" w:color="000000" w:sz="8" w:space="0"/>
            </w:tcBorders>
            <w:vAlign w:val="center"/>
          </w:tcPr>
          <w:p>
            <w:pPr>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restart"/>
            <w:tcBorders>
              <w:top w:val="single" w:color="000000" w:sz="4" w:space="0"/>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tcBorders>
              <w:top w:val="single" w:color="auto" w:sz="4" w:space="0"/>
              <w:left w:val="single" w:color="000000" w:sz="4" w:space="0"/>
              <w:bottom w:val="single" w:color="auto"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技术方案评审</w:t>
            </w:r>
          </w:p>
        </w:tc>
        <w:tc>
          <w:tcPr>
            <w:tcW w:w="6333" w:type="dxa"/>
            <w:tcBorders>
              <w:top w:val="single" w:color="000000" w:sz="4" w:space="0"/>
              <w:left w:val="single" w:color="000000" w:sz="4" w:space="0"/>
              <w:bottom w:val="single" w:color="auto"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A-1投标人的技术方案综合性评审不合格，由评标委员会作否决投标处理。技术方案采用暗标评审时，其形式应符合第二章投标人须知前附表第3.7.5项（4）技术部分的要求，否则由评标委员会作否决投标处理。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left w:val="single" w:color="000000" w:sz="8"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auto" w:sz="4" w:space="0"/>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资格评审</w:t>
            </w:r>
          </w:p>
        </w:tc>
        <w:tc>
          <w:tcPr>
            <w:tcW w:w="6333" w:type="dxa"/>
            <w:tcBorders>
              <w:top w:val="single" w:color="auto"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A-2投标人的资质条件、营业执照及安全生产条件须满足投标人须知前附表第1.4.1项的要求，否则由评标委员会作否决投标处理。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A-3投标人的财务须满足投标人须知前附表第1.4.1项的要求，否则由评标委员会作否决投标处理（如有）。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A-4投标人的业绩须满足投标人须知前附表第1.4.1项的要求，否则由评标委员会作否决投标处理（如有）。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A-5投标人的投标截止日投标资格情况须满足投标人须知前附表第1.4.1项的要求，否则由评标委员会作否决投标处理。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A-6投标人的项目经理和项目总工资格须满足投标人须知前附表第1.4.1项的要求，否则由评标委员会作否决投标处理。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A-7投标人的</w:t>
            </w:r>
            <w:r>
              <w:rPr>
                <w:rFonts w:hint="eastAsia" w:ascii="宋体" w:hAnsi="宋体" w:eastAsia="宋体" w:cs="宋体"/>
                <w:color w:val="auto"/>
                <w:kern w:val="0"/>
                <w:highlight w:val="none"/>
              </w:rPr>
              <w:t>其他管理和技术人员最低要求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A-8投标人的</w:t>
            </w:r>
            <w:r>
              <w:rPr>
                <w:rFonts w:hint="eastAsia" w:ascii="宋体" w:hAnsi="宋体" w:eastAsia="宋体" w:cs="宋体"/>
                <w:color w:val="auto"/>
                <w:kern w:val="0"/>
                <w:highlight w:val="none"/>
              </w:rPr>
              <w:t>主要机械设备和试验检测设备最低要求</w:t>
            </w:r>
            <w:r>
              <w:rPr>
                <w:rFonts w:hint="eastAsia" w:ascii="宋体" w:hAnsi="宋体" w:eastAsia="宋体" w:cs="宋体"/>
                <w:color w:val="auto"/>
                <w:szCs w:val="21"/>
                <w:highlight w:val="none"/>
              </w:rPr>
              <w:t>须满足投标人须知前附表1.4.1项的要求，否则由评标委员会作否决投标处理（如有）。</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180" w:hRule="atLeast"/>
          <w:tblHeade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A-9投标人的其他要求须满足投标人须知前附表第1.4.1项的要求，否则由评标委员会作否决投标处理。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形式评审</w:t>
            </w: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A-11投标人名称必须与营业执照、资质证书、安全生产许可证一致，依法变更名称的应提交相应证明材料，否则由评标委员会作否决投标处理。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rHeight w:val="1980" w:hRule="atLeast"/>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A-12投标文件格式（不含投标函部分）符合第二章“投标人须知”第3.7款的要求，否则由评标委员会作否决投标处理。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编制投标文件时不得对第九章“投标文件格式”的相应要素作实质性修改，否则</w:t>
            </w:r>
            <w:r>
              <w:rPr>
                <w:rFonts w:hint="eastAsia" w:ascii="宋体" w:hAnsi="宋体" w:eastAsia="宋体" w:cs="宋体"/>
                <w:color w:val="auto"/>
                <w:szCs w:val="21"/>
                <w:highlight w:val="none"/>
              </w:rPr>
              <w:t>视为重大偏差，</w:t>
            </w:r>
            <w:r>
              <w:rPr>
                <w:rFonts w:hint="eastAsia" w:ascii="宋体" w:hAnsi="宋体" w:eastAsia="宋体" w:cs="宋体"/>
                <w:color w:val="auto"/>
                <w:kern w:val="0"/>
                <w:szCs w:val="21"/>
                <w:highlight w:val="none"/>
              </w:rPr>
              <w:t>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A-14第九章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szCs w:val="21"/>
                <w:highlight w:val="none"/>
              </w:rPr>
              <w:t>否则由评标委员会作否决投标处理。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第九章 投标文件格式</w:t>
            </w:r>
            <w:r>
              <w:rPr>
                <w:rFonts w:hint="eastAsia" w:ascii="宋体" w:hAnsi="宋体" w:eastAsia="宋体" w:cs="宋体"/>
                <w:color w:val="auto"/>
                <w:kern w:val="0"/>
                <w:highlight w:val="none"/>
              </w:rPr>
              <w:t>（不含投标函部分）</w:t>
            </w:r>
            <w:r>
              <w:rPr>
                <w:rFonts w:hint="eastAsia" w:ascii="宋体" w:hAnsi="宋体" w:eastAsia="宋体" w:cs="宋体"/>
                <w:color w:val="auto"/>
                <w:szCs w:val="21"/>
                <w:highlight w:val="none"/>
              </w:rPr>
              <w:t>要求加盖单位法人章的，应加盖投标人单位印章，否则由评标委员会作否决投标处理。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top"/>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A-15投标人法定代表人的委托代理人有法定代表人签署的授权委托书和投标人为其缴纳的养老保险证明材料。否则由评标委员会作否决投标处理。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响应性评审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A-16投标内容符合第二章“投标人须知”第1.3.1项规定，否则由评标委员会作否决投标处理。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left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A-17</w:t>
            </w:r>
            <w:r>
              <w:rPr>
                <w:rFonts w:hint="eastAsia" w:ascii="宋体" w:hAnsi="宋体" w:eastAsia="宋体" w:cs="宋体"/>
                <w:color w:val="auto"/>
                <w:szCs w:val="21"/>
                <w:highlight w:val="none"/>
              </w:rPr>
              <w:t>投标函附录的所有数据均符合</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规定</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投标人应按投标人须知前附表第3.4款规定递交投标保证金，并作为其投标文件的组成部分，否则由评标委员会作否决投标处理。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A-1</w:t>
            </w: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符合第四章“合同条款及格式”规定，投标文件不应附有</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不能接受的条件。否则由评标委员会作否决投标处理。（由投标人承诺，承诺书格式详见第九章投标文件格式。）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20</w:t>
            </w:r>
            <w:r>
              <w:rPr>
                <w:rFonts w:hint="eastAsia" w:ascii="宋体" w:hAnsi="宋体" w:eastAsia="宋体" w:cs="宋体"/>
                <w:color w:val="auto"/>
                <w:szCs w:val="21"/>
                <w:highlight w:val="none"/>
              </w:rPr>
              <w:t>符合第七章“技术标准和要求”规定。否则由评标委员会作否决投标处理（如有）。（由投标人承诺，承诺书格式详见第九章投标文件格式。）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21</w:t>
            </w:r>
            <w:r>
              <w:rPr>
                <w:rFonts w:hint="eastAsia" w:ascii="宋体" w:hAnsi="宋体" w:eastAsia="宋体" w:cs="宋体"/>
                <w:color w:val="auto"/>
                <w:szCs w:val="21"/>
                <w:highlight w:val="none"/>
              </w:rPr>
              <w:t>投标人有以下情形之一的，其投标文件由评标委员会作否决投标处理：</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1.第二章“投标人须知”第1.4.3项规定的任何一种情形的；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2.本次投标有串通投标、弄虚作假等违反招投标相关法律、法规的行为的；</w:t>
            </w:r>
          </w:p>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投标函部分及经济部分评审</w:t>
            </w: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eastAsia="zh-CN"/>
              </w:rPr>
              <w:t>22</w:t>
            </w:r>
            <w:r>
              <w:rPr>
                <w:rFonts w:hint="eastAsia" w:ascii="宋体" w:hAnsi="宋体" w:eastAsia="宋体" w:cs="宋体"/>
                <w:color w:val="auto"/>
                <w:kern w:val="0"/>
                <w:highlight w:val="none"/>
              </w:rPr>
              <w:t>投标函部分的格式要求法定代表人或其委托代理人</w:t>
            </w:r>
            <w:r>
              <w:rPr>
                <w:rFonts w:hint="eastAsia" w:ascii="宋体" w:hAnsi="宋体" w:eastAsia="宋体" w:cs="宋体"/>
                <w:color w:val="auto"/>
                <w:kern w:val="0"/>
                <w:highlight w:val="none"/>
                <w:lang w:eastAsia="zh-CN"/>
              </w:rPr>
              <w:t>签名</w:t>
            </w:r>
            <w:r>
              <w:rPr>
                <w:rFonts w:hint="eastAsia" w:ascii="宋体" w:hAnsi="宋体" w:eastAsia="宋体" w:cs="宋体"/>
                <w:color w:val="auto"/>
                <w:kern w:val="0"/>
                <w:highlight w:val="none"/>
              </w:rPr>
              <w:t>的须齐全，</w:t>
            </w:r>
            <w:r>
              <w:rPr>
                <w:rFonts w:hint="eastAsia" w:ascii="宋体" w:hAnsi="宋体" w:eastAsia="宋体" w:cs="宋体"/>
                <w:color w:val="auto"/>
                <w:szCs w:val="21"/>
                <w:highlight w:val="none"/>
                <w:lang w:val="en-US" w:eastAsia="zh-CN"/>
              </w:rPr>
              <w:t>要求签名的，</w:t>
            </w:r>
            <w:r>
              <w:rPr>
                <w:rFonts w:hint="eastAsia" w:ascii="宋体" w:hAnsi="宋体" w:eastAsia="宋体" w:cs="宋体"/>
                <w:color w:val="auto"/>
                <w:kern w:val="0"/>
                <w:highlight w:val="none"/>
              </w:rPr>
              <w:t>签名采用手写签名</w:t>
            </w:r>
            <w:r>
              <w:rPr>
                <w:rFonts w:hint="eastAsia" w:ascii="宋体" w:hAnsi="宋体" w:eastAsia="宋体" w:cs="宋体"/>
                <w:color w:val="auto"/>
                <w:kern w:val="0"/>
                <w:highlight w:val="none"/>
                <w:lang w:eastAsia="zh-CN"/>
              </w:rPr>
              <w:t>，</w:t>
            </w:r>
            <w:r>
              <w:rPr>
                <w:rFonts w:hint="eastAsia" w:ascii="宋体" w:hAnsi="宋体" w:eastAsia="宋体" w:cs="宋体"/>
                <w:color w:val="auto"/>
                <w:kern w:val="0"/>
                <w:highlight w:val="none"/>
              </w:rPr>
              <w:t>要求加盖单位法人章的，应加盖投标人单位印章</w:t>
            </w:r>
            <w:r>
              <w:rPr>
                <w:rFonts w:hint="eastAsia" w:ascii="宋体" w:hAnsi="宋体" w:eastAsia="宋体" w:cs="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23</w:t>
            </w:r>
            <w:r>
              <w:rPr>
                <w:rFonts w:hint="eastAsia" w:ascii="宋体" w:hAnsi="宋体" w:eastAsia="宋体" w:cs="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24</w:t>
            </w:r>
            <w:r>
              <w:rPr>
                <w:rFonts w:hint="eastAsia" w:ascii="宋体" w:hAnsi="宋体" w:eastAsia="宋体" w:cs="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25</w:t>
            </w:r>
            <w:r>
              <w:rPr>
                <w:rFonts w:hint="eastAsia" w:ascii="宋体" w:hAnsi="宋体" w:eastAsia="宋体" w:cs="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26</w:t>
            </w:r>
            <w:r>
              <w:rPr>
                <w:rFonts w:hint="eastAsia" w:ascii="宋体" w:hAnsi="宋体" w:eastAsia="宋体" w:cs="宋体"/>
                <w:color w:val="auto"/>
                <w:szCs w:val="21"/>
                <w:highlight w:val="none"/>
              </w:rPr>
              <w:t>投标函中的总报价不得高于</w:t>
            </w:r>
            <w:r>
              <w:rPr>
                <w:rFonts w:hint="eastAsia" w:ascii="宋体" w:hAnsi="宋体" w:eastAsia="宋体" w:cs="宋体"/>
                <w:color w:val="auto"/>
                <w:szCs w:val="21"/>
                <w:highlight w:val="none"/>
                <w:lang w:eastAsia="zh-CN"/>
              </w:rPr>
              <w:t>比选人</w:t>
            </w:r>
            <w:r>
              <w:rPr>
                <w:rFonts w:hint="eastAsia" w:ascii="宋体" w:hAnsi="宋体" w:eastAsia="宋体" w:cs="宋体"/>
                <w:color w:val="auto"/>
                <w:szCs w:val="21"/>
                <w:highlight w:val="none"/>
              </w:rPr>
              <w:t>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color w:val="auto"/>
                <w:szCs w:val="21"/>
                <w:highlight w:val="none"/>
              </w:rPr>
              <w:t>A-</w:t>
            </w:r>
            <w:r>
              <w:rPr>
                <w:rFonts w:ascii="宋体" w:hAnsi="宋体"/>
                <w:color w:val="auto"/>
                <w:szCs w:val="21"/>
                <w:highlight w:val="none"/>
              </w:rPr>
              <w:t>27</w:t>
            </w:r>
            <w:r>
              <w:rPr>
                <w:rFonts w:hint="eastAsia" w:ascii="宋体" w:hAnsi="宋体"/>
                <w:color w:val="auto"/>
                <w:szCs w:val="21"/>
                <w:highlight w:val="none"/>
              </w:rPr>
              <w:t>投标人投标总报价或者部分单项报价低于招标文件规定的对应的异常低价警戒线的，应提供报价合理性说明，并提供必要的证明材料，否则由评标委员会作否决投标处理。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28</w:t>
            </w:r>
            <w:r>
              <w:rPr>
                <w:rFonts w:hint="eastAsia" w:ascii="宋体" w:hAnsi="宋体" w:eastAsia="宋体" w:cs="宋体"/>
                <w:color w:val="auto"/>
                <w:szCs w:val="21"/>
                <w:highlight w:val="none"/>
              </w:rPr>
              <w:t>只能有一个有效报价。在</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29</w:t>
            </w:r>
            <w:r>
              <w:rPr>
                <w:rFonts w:hint="eastAsia" w:ascii="宋体" w:hAnsi="宋体" w:eastAsia="宋体" w:cs="宋体"/>
                <w:color w:val="auto"/>
                <w:szCs w:val="21"/>
                <w:highlight w:val="none"/>
              </w:rPr>
              <w:t>投标人对已标价工程量清单的承诺必须满足第二章“投标人须知前附表”第3.2.9项要求，否则由评标委员会作否决投标处理。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vMerge w:val="continue"/>
            <w:tcBorders>
              <w:top w:val="single" w:color="000000" w:sz="4" w:space="0"/>
              <w:left w:val="single" w:color="000000" w:sz="8"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4" w:space="0"/>
              <w:right w:val="single" w:color="000000" w:sz="8" w:space="0"/>
            </w:tcBorders>
            <w:vAlign w:val="center"/>
          </w:tcPr>
          <w:p>
            <w:pP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A-</w:t>
            </w:r>
            <w:r>
              <w:rPr>
                <w:rFonts w:hint="eastAsia" w:ascii="宋体" w:hAnsi="宋体" w:eastAsia="宋体" w:cs="宋体"/>
                <w:color w:val="auto"/>
                <w:szCs w:val="21"/>
                <w:highlight w:val="none"/>
                <w:lang w:val="en-US"/>
              </w:rPr>
              <w:t>30</w:t>
            </w:r>
            <w:r>
              <w:rPr>
                <w:rFonts w:hint="eastAsia" w:ascii="宋体" w:hAnsi="宋体" w:eastAsia="宋体" w:cs="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961" w:type="dxa"/>
            <w:tcBorders>
              <w:top w:val="single" w:color="000000" w:sz="4" w:space="0"/>
              <w:left w:val="single" w:color="000000" w:sz="8"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w:t>
            </w:r>
          </w:p>
        </w:tc>
        <w:tc>
          <w:tcPr>
            <w:tcW w:w="1515" w:type="dxa"/>
            <w:tcBorders>
              <w:top w:val="single" w:color="000000" w:sz="4" w:space="0"/>
              <w:left w:val="single" w:color="000000" w:sz="4" w:space="0"/>
              <w:bottom w:val="single" w:color="000000" w:sz="8" w:space="0"/>
              <w:right w:val="single" w:color="000000" w:sz="4" w:space="0"/>
            </w:tcBorders>
            <w:vAlign w:val="center"/>
          </w:tcPr>
          <w:p>
            <w:pPr>
              <w:spacing w:line="400" w:lineRule="exact"/>
              <w:jc w:val="center"/>
              <w:rPr>
                <w:rFonts w:hint="eastAsia" w:ascii="宋体" w:hAnsi="宋体" w:eastAsia="宋体" w:cs="宋体"/>
                <w:color w:val="auto"/>
                <w:szCs w:val="21"/>
                <w:highlight w:val="none"/>
              </w:rPr>
            </w:pPr>
          </w:p>
        </w:tc>
        <w:tc>
          <w:tcPr>
            <w:tcW w:w="6333" w:type="dxa"/>
            <w:tcBorders>
              <w:top w:val="single" w:color="000000" w:sz="4" w:space="0"/>
              <w:left w:val="single" w:color="000000" w:sz="4" w:space="0"/>
              <w:bottom w:val="single" w:color="000000" w:sz="8" w:space="0"/>
              <w:right w:val="single" w:color="000000" w:sz="8" w:space="0"/>
            </w:tcBorders>
            <w:vAlign w:val="top"/>
          </w:tcPr>
          <w:p>
            <w:pPr>
              <w:spacing w:line="400" w:lineRule="exact"/>
              <w:ind w:firstLine="420" w:firstLineChars="200"/>
              <w:rPr>
                <w:rFonts w:hint="eastAsia" w:ascii="宋体" w:hAnsi="宋体" w:eastAsia="宋体" w:cs="宋体"/>
                <w:i/>
                <w:color w:val="auto"/>
                <w:szCs w:val="21"/>
                <w:highlight w:val="none"/>
                <w:lang w:eastAsia="zh-CN"/>
              </w:rPr>
            </w:pPr>
            <w:r>
              <w:rPr>
                <w:rFonts w:hint="eastAsia" w:ascii="宋体" w:hAnsi="宋体" w:eastAsia="宋体" w:cs="宋体"/>
                <w:i w:val="0"/>
                <w:iCs/>
                <w:color w:val="auto"/>
                <w:szCs w:val="21"/>
                <w:highlight w:val="none"/>
                <w:lang w:val="en-US" w:eastAsia="zh-CN"/>
              </w:rPr>
              <w:t>竞争性比选文件规定的其他废标条款。</w:t>
            </w:r>
          </w:p>
        </w:tc>
      </w:tr>
    </w:tbl>
    <w:p>
      <w:pPr>
        <w:pStyle w:val="24"/>
        <w:spacing w:line="360" w:lineRule="auto"/>
        <w:jc w:val="both"/>
        <w:rPr>
          <w:rFonts w:hint="eastAsia" w:ascii="宋体" w:hAnsi="宋体" w:eastAsia="宋体" w:cs="宋体"/>
          <w:color w:val="auto"/>
          <w:sz w:val="21"/>
          <w:szCs w:val="21"/>
          <w:highlight w:val="none"/>
          <w:u w:val="none"/>
          <w:lang w:eastAsia="zh-CN"/>
        </w:rPr>
      </w:pPr>
    </w:p>
    <w:bookmarkEnd w:id="202"/>
    <w:bookmarkEnd w:id="203"/>
    <w:p>
      <w:pPr>
        <w:rPr>
          <w:rFonts w:hint="eastAsia" w:ascii="宋体" w:hAnsi="宋体" w:eastAsia="宋体" w:cs="宋体"/>
          <w:color w:val="auto"/>
          <w:highlight w:val="none"/>
          <w:u w:val="none"/>
        </w:rPr>
      </w:pPr>
      <w:r>
        <w:rPr>
          <w:rFonts w:hint="eastAsia" w:ascii="宋体" w:hAnsi="宋体" w:eastAsia="宋体" w:cs="宋体"/>
          <w:color w:val="auto"/>
          <w:highlight w:val="none"/>
          <w:u w:val="none"/>
        </w:rPr>
        <w:br w:type="page"/>
      </w:r>
    </w:p>
    <w:p>
      <w:pPr>
        <w:pStyle w:val="24"/>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u w:val="none"/>
        </w:rPr>
        <w:t xml:space="preserve"> </w:t>
      </w:r>
    </w:p>
    <w:p>
      <w:pPr>
        <w:pStyle w:val="3"/>
        <w:spacing w:line="360" w:lineRule="auto"/>
        <w:jc w:val="center"/>
        <w:rPr>
          <w:rFonts w:hint="eastAsia" w:ascii="宋体" w:hAnsi="宋体" w:eastAsia="宋体" w:cs="宋体"/>
          <w:color w:val="auto"/>
          <w:kern w:val="0"/>
          <w:highlight w:val="none"/>
        </w:rPr>
      </w:pPr>
      <w:bookmarkStart w:id="236" w:name="_Toc509218785"/>
      <w:bookmarkStart w:id="237" w:name="_Toc430530509"/>
      <w:bookmarkStart w:id="238" w:name="_Toc27983309"/>
      <w:bookmarkStart w:id="239" w:name="_Toc203"/>
      <w:r>
        <w:rPr>
          <w:rFonts w:hint="eastAsia" w:ascii="宋体" w:hAnsi="宋体" w:eastAsia="宋体" w:cs="宋体"/>
          <w:color w:val="auto"/>
          <w:kern w:val="0"/>
          <w:highlight w:val="none"/>
        </w:rPr>
        <w:t>第四章  合同条款及格式</w:t>
      </w:r>
      <w:bookmarkEnd w:id="236"/>
      <w:bookmarkEnd w:id="237"/>
      <w:bookmarkEnd w:id="238"/>
      <w:bookmarkEnd w:id="239"/>
    </w:p>
    <w:p>
      <w:pPr>
        <w:pStyle w:val="4"/>
        <w:spacing w:before="100" w:after="100" w:line="360" w:lineRule="auto"/>
        <w:jc w:val="center"/>
        <w:rPr>
          <w:rStyle w:val="73"/>
          <w:rFonts w:hint="eastAsia" w:ascii="宋体" w:hAnsi="宋体" w:eastAsia="宋体" w:cs="宋体"/>
          <w:b/>
          <w:bCs/>
          <w:color w:val="auto"/>
          <w:highlight w:val="none"/>
        </w:rPr>
      </w:pPr>
      <w:r>
        <w:rPr>
          <w:rFonts w:hint="eastAsia" w:ascii="宋体" w:hAnsi="宋体" w:eastAsia="宋体" w:cs="宋体"/>
          <w:color w:val="auto"/>
          <w:sz w:val="42"/>
          <w:szCs w:val="42"/>
          <w:highlight w:val="none"/>
          <w:lang w:bidi="ar"/>
        </w:rPr>
        <w:br w:type="page"/>
      </w:r>
      <w:bookmarkStart w:id="240" w:name="_Toc3115"/>
      <w:r>
        <w:rPr>
          <w:rStyle w:val="73"/>
          <w:rFonts w:hint="eastAsia" w:ascii="宋体" w:hAnsi="宋体" w:eastAsia="宋体" w:cs="宋体"/>
          <w:b/>
          <w:bCs/>
          <w:color w:val="auto"/>
          <w:highlight w:val="none"/>
        </w:rPr>
        <w:t>第一</w:t>
      </w:r>
      <w:r>
        <w:rPr>
          <w:rFonts w:hint="eastAsia" w:ascii="宋体" w:hAnsi="宋体" w:eastAsia="宋体" w:cs="宋体"/>
          <w:bCs w:val="0"/>
          <w:snapToGrid w:val="0"/>
          <w:color w:val="auto"/>
          <w:highlight w:val="none"/>
        </w:rPr>
        <w:t>节 通用</w:t>
      </w:r>
      <w:r>
        <w:rPr>
          <w:rStyle w:val="73"/>
          <w:rFonts w:hint="eastAsia" w:ascii="宋体" w:hAnsi="宋体" w:eastAsia="宋体" w:cs="宋体"/>
          <w:b/>
          <w:bCs/>
          <w:color w:val="auto"/>
          <w:highlight w:val="none"/>
        </w:rPr>
        <w:t>合同条款</w:t>
      </w:r>
      <w:bookmarkEnd w:id="240"/>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[提示：“通用合同条款”采用《中华人民共和国标准施工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（2007版）》第四章第一节的“通用合同条款”。]</w:t>
      </w:r>
    </w:p>
    <w:p>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pPr>
        <w:pStyle w:val="4"/>
        <w:jc w:val="center"/>
        <w:rPr>
          <w:rStyle w:val="73"/>
          <w:rFonts w:hint="eastAsia" w:ascii="宋体" w:hAnsi="宋体" w:eastAsia="宋体" w:cs="宋体"/>
          <w:b/>
          <w:bCs/>
          <w:color w:val="auto"/>
          <w:highlight w:val="none"/>
        </w:rPr>
      </w:pPr>
      <w:bookmarkStart w:id="241" w:name="_Toc6292"/>
      <w:r>
        <w:rPr>
          <w:rStyle w:val="73"/>
          <w:rFonts w:hint="eastAsia" w:ascii="宋体" w:hAnsi="宋体" w:eastAsia="宋体" w:cs="宋体"/>
          <w:b/>
          <w:bCs/>
          <w:color w:val="auto"/>
          <w:highlight w:val="none"/>
        </w:rPr>
        <w:t>第二节 专用合同条款</w:t>
      </w:r>
      <w:bookmarkEnd w:id="241"/>
    </w:p>
    <w:p>
      <w:pPr>
        <w:spacing w:line="360" w:lineRule="auto"/>
        <w:ind w:firstLine="420" w:firstLineChars="200"/>
        <w:jc w:val="left"/>
        <w:rPr>
          <w:rFonts w:hint="eastAsia" w:ascii="宋体" w:hAnsi="宋体" w:eastAsia="宋体" w:cs="宋体"/>
          <w:i/>
          <w:color w:val="auto"/>
          <w:highlight w:val="none"/>
        </w:rPr>
      </w:pPr>
      <w:r>
        <w:rPr>
          <w:rFonts w:hint="eastAsia" w:ascii="宋体" w:hAnsi="宋体" w:eastAsia="宋体" w:cs="宋体"/>
          <w:i/>
          <w:color w:val="auto"/>
          <w:highlight w:val="none"/>
        </w:rPr>
        <w:t>[提示：“专用合同条款”中宋体字部分采用《中华人民共和国公路工程标准施工</w:t>
      </w:r>
      <w:r>
        <w:rPr>
          <w:rFonts w:hint="eastAsia" w:ascii="宋体" w:hAnsi="宋体" w:eastAsia="宋体" w:cs="宋体"/>
          <w:i/>
          <w:color w:val="auto"/>
          <w:highlight w:val="none"/>
          <w:lang w:eastAsia="zh-CN"/>
        </w:rPr>
        <w:t>比选文件</w:t>
      </w:r>
      <w:r>
        <w:rPr>
          <w:rFonts w:hint="eastAsia" w:ascii="宋体" w:hAnsi="宋体" w:eastAsia="宋体" w:cs="宋体"/>
          <w:i/>
          <w:color w:val="auto"/>
          <w:highlight w:val="none"/>
        </w:rPr>
        <w:t>（2018版）》第四章第二节的“专用合同条款”。“专用合同条款”中仿宋字体部分由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根据项目实际情况进行补充、细化，补充和细化的内容不得与“通用合同条款”的内容相抵触。]</w:t>
      </w: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5"/>
        <w:spacing w:before="0" w:after="0" w:line="360" w:lineRule="auto"/>
        <w:rPr>
          <w:rFonts w:hint="eastAsia" w:ascii="宋体" w:hAnsi="宋体" w:eastAsia="宋体" w:cs="宋体"/>
          <w:color w:val="auto"/>
          <w:highlight w:val="none"/>
        </w:rPr>
      </w:pPr>
      <w:bookmarkStart w:id="242" w:name="_Toc57795965"/>
      <w:bookmarkStart w:id="243" w:name="_Toc27436"/>
      <w:r>
        <w:rPr>
          <w:rFonts w:hint="eastAsia" w:ascii="宋体" w:hAnsi="宋体" w:eastAsia="宋体" w:cs="宋体"/>
          <w:color w:val="auto"/>
          <w:highlight w:val="none"/>
        </w:rPr>
        <w:t>1、一般约定</w:t>
      </w:r>
      <w:bookmarkEnd w:id="242"/>
      <w:bookmarkEnd w:id="24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 词语定义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1.1.1 合同</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1.1.1.6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技术规范：指本合同所约定的技术标准和要求，是合同文件的组成部分。通用合同条款中“技术标准和要求”一词具有相同含义。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1.1.1.8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pPr>
        <w:pStyle w:val="2"/>
        <w:spacing w:after="0"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本项补充第 1.1.1.10</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1.1.1.12目：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1.1.1.10 补遗书：指发出</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之后由</w:t>
      </w:r>
      <w:r>
        <w:rPr>
          <w:rFonts w:hint="eastAsia" w:ascii="宋体" w:hAnsi="宋体" w:eastAsia="宋体" w:cs="宋体"/>
          <w:color w:val="auto"/>
          <w:kern w:val="0"/>
          <w:szCs w:val="21"/>
          <w:highlight w:val="none"/>
          <w:lang w:eastAsia="zh-CN" w:bidi="ar"/>
        </w:rPr>
        <w:t>比选人</w:t>
      </w:r>
      <w:r>
        <w:rPr>
          <w:rFonts w:hint="eastAsia" w:ascii="宋体" w:hAnsi="宋体" w:eastAsia="宋体" w:cs="宋体"/>
          <w:color w:val="auto"/>
          <w:kern w:val="0"/>
          <w:szCs w:val="21"/>
          <w:highlight w:val="none"/>
          <w:lang w:bidi="ar"/>
        </w:rPr>
        <w:t>向已取得</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的投标人发出的、编号的对</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所作的澄清、修改书。</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1.1.1.11 重大设计变更：</w:t>
      </w:r>
      <w:r>
        <w:rPr>
          <w:rFonts w:hint="eastAsia" w:ascii="宋体" w:hAnsi="宋体" w:eastAsia="宋体" w:cs="宋体"/>
          <w:color w:val="auto"/>
          <w:kern w:val="0"/>
          <w:szCs w:val="21"/>
          <w:highlight w:val="none"/>
          <w:u w:val="single"/>
        </w:rPr>
        <w:t>是指《重庆市交通委员会关于发布重庆市公路工程设计变更管理办法的通知》（渝交委路〔2012〕32号）第五条第（一）款规定情形之一的属于重大设计变更</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1.1.1.12 公章：专指法定单位名称章。</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1.1.2 合同当事人和人员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1.1.2.2 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1.1.2.6 监理单位：</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监理单位：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地址：</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邮编：</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1.1.2.8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1.1.2.8 承包人项目总工：指由承包人书面委派常驻现场负责管理本合同工程的总工程师或技术总负责人。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 工程和设备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1.1.3.4 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单位工程：指在建设项目中，根据签订的合同，具有独立施工条件的工程。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1.1.3.10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永久占地：指为实施本合同工程而需要的一切永久占用的土地，包括公路两侧路权范围内的用地。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1.1.3.11 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临时占地：指为实施本合同工程而需要的一切临时占用的土地，包括施工所用的临时支线、便道、便桥和现场的临时出入通道，以及生产（办公）、生活等临时设施用地等。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1.1.3.12 ～1.1.3.13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1.1.3.12 分部工程：指在单位工程中，按结构部位、路段长度及施工特点或施工任务划分的若干个工程。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1.1.3.13 分项工程：指在分部工程中，按不同的施工方法、材料、工序及路段长度等划分的若干个工程。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1.1.4 日期</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1.1.4.5 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缺陷责任期：自实际交工日期起计算</w:t>
      </w:r>
      <w:r>
        <w:rPr>
          <w:rFonts w:hint="eastAsia" w:ascii="宋体" w:hAnsi="宋体" w:eastAsia="宋体" w:cs="宋体"/>
          <w:color w:val="auto"/>
          <w:kern w:val="0"/>
          <w:szCs w:val="21"/>
          <w:highlight w:val="none"/>
          <w:u w:val="single"/>
          <w:lang w:bidi="ar"/>
        </w:rPr>
        <w:t xml:space="preserve">    月</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 其他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本项补充第 1.1.6.2 ～1.1.6.9 目：</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1.1.6.2 竣工验收：指《公路工程竣（交）工验收办法》中的竣工验收。通用合同条款中“国家验收”一词具有相同含义。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1.1.6.3 交工：指《公路工程竣（交）工验收办法》中的交工。通用合同条款中“竣工”一词具有相同含义。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1.1.6.4 交工验收：指《公路工程竣（交）工验收办法》中的交工验收。通用合同条款中“竣工验收”一词具有相同含义。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1.1.6.5 交工验收证书：指《公路工程竣（交）工验收办法》中的交工验收证书。通用合同条款中“工程接收证书”一词具有相同含义。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1.1.6.6 转包：指承包人违反法律和不履行合同规定的责任和义务，将中标工程全部委托或以专业分包的名义将中标工程肢解后全部委托给其他施工企业施工的行为。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1.1.6.7 专业分包：指承包人与具有相应资格的施工企业签订专业分包合同，由分包人承担承包人委托的分部工程、分项工程或适合专业化队伍施工的其他工程，整体结算，并能独立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1.1.6.8 劳务分包：指承包人与具有施工劳务资质的劳务企业签订劳务分包合同，由劳务企业提供劳务人员及机具，由承包人统一组织施工、统一控制工程质量、施工进度、材料采购、生产安全的施工行为。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1.1.6.9 雇用民工：指承包人与具有相应劳动能力的自然人签订劳动合同，由承包人统一组织管理，从事分项工程施工或配套工程施工的行为。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 合同文件的优先顺序</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组成合同的各项文件应互相解释，互为说明，解释合同文件的优先顺序如下：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（1）合同协议书及各种合同附件（含评标期间和合同谈判过程中的澄清文件和补充资料）；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（2）中标通知书；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（3）投标函及投标函附录；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（4）专用合同条款；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（5）通用合同条款；</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（6）工程量清单计量规则；</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（7）技术规范；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（8）图纸；</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（9）已标价工程量清单；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（10）承包人有关人员、设备投入的承诺及投标文件中的施工组织设计；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其他合同文件</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 合同协议书</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制备本合同文件的费用由发包人承担。在合同协议书签订并生效之前，投标函和中标通知书将对双方具有约束力。</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1.6 图纸和承包人文件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1.6.1 图纸的提供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4" w:name="OLE_LINK23"/>
      <w:r>
        <w:rPr>
          <w:rFonts w:hint="eastAsia" w:ascii="宋体" w:hAnsi="宋体" w:eastAsia="宋体" w:cs="宋体"/>
          <w:color w:val="auto"/>
          <w:kern w:val="0"/>
          <w:szCs w:val="21"/>
          <w:highlight w:val="none"/>
          <w:lang w:bidi="ar"/>
        </w:rPr>
        <w:t>1.6.3 图纸的修改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图纸需要修改和补充的，应由监理人取得发包人同意后，在该工程或工程相应部位施工前    天签发修改图纸给承包人。</w:t>
      </w:r>
    </w:p>
    <w:bookmarkEnd w:id="244"/>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1.6.2 承包人提供的文件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有下列情形之一的，承包人应免费向监理人提交相关部分工程的施工图纸 3 份，并附必要的计算书、技术资料，或施工工艺图、设备安装图及安装设备的使用和维护手册各 2 份供监理人批准。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（1）为使第 1.6.1 项所述的施工图纸适合于经施工测量后的纵、横断面；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（2）为使第 1.6.1 项所述的施工图纸适合于现场具体地形；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（3）为使第 1.6.1 项所述的施工图纸适合于因尺寸与位置变化而引起局部变更；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（4）由于合同要求与施工需要。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此类图纸应按监理人规定的格式和图幅绘制。监理人在收到由承包人绘制的上述工程、工艺图纸、计算书和有关技术资料后</w:t>
      </w:r>
      <w:r>
        <w:rPr>
          <w:rFonts w:hint="eastAsia" w:ascii="宋体" w:hAnsi="宋体" w:eastAsia="宋体" w:cs="宋体"/>
          <w:color w:val="auto"/>
          <w:kern w:val="0"/>
          <w:szCs w:val="21"/>
          <w:highlight w:val="none"/>
          <w:u w:val="single"/>
          <w:lang w:bidi="ar"/>
        </w:rPr>
        <w:t xml:space="preserve"> 14 天</w:t>
      </w:r>
      <w:r>
        <w:rPr>
          <w:rFonts w:hint="eastAsia" w:ascii="宋体" w:hAnsi="宋体" w:eastAsia="宋体" w:cs="宋体"/>
          <w:color w:val="auto"/>
          <w:kern w:val="0"/>
          <w:szCs w:val="21"/>
          <w:highlight w:val="none"/>
          <w:lang w:bidi="ar"/>
        </w:rPr>
        <w:t>内应予批准或提出修改要求，承包人应按监理人提出的要求作出修改，重新向监理人提交，监理人应在</w:t>
      </w:r>
      <w:r>
        <w:rPr>
          <w:rFonts w:hint="eastAsia" w:ascii="宋体" w:hAnsi="宋体" w:eastAsia="宋体" w:cs="宋体"/>
          <w:color w:val="auto"/>
          <w:kern w:val="0"/>
          <w:szCs w:val="21"/>
          <w:highlight w:val="none"/>
          <w:u w:val="single"/>
          <w:lang w:bidi="ar"/>
        </w:rPr>
        <w:t xml:space="preserve"> 7 天</w:t>
      </w:r>
      <w:r>
        <w:rPr>
          <w:rFonts w:hint="eastAsia" w:ascii="宋体" w:hAnsi="宋体" w:eastAsia="宋体" w:cs="宋体"/>
          <w:color w:val="auto"/>
          <w:kern w:val="0"/>
          <w:szCs w:val="21"/>
          <w:highlight w:val="none"/>
          <w:lang w:bidi="ar"/>
        </w:rPr>
        <w:t>内批准或提出进一步的修改意见。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1.6.4 图纸的错误</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承包人在查阅合同文件或在本合同工程实施过程中，发现有关的工程设计、技术规范、图纸或其他资料中的任何差错、遗漏或缺陷后，应及时通知监理人。监理人接到该通知后，应立即就此作出决定，并通知承包人和发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bookmarkStart w:id="245" w:name="OLE_LINK24"/>
      <w:r>
        <w:rPr>
          <w:rFonts w:hint="eastAsia" w:ascii="宋体" w:hAnsi="宋体" w:eastAsia="宋体" w:cs="宋体"/>
          <w:color w:val="auto"/>
          <w:kern w:val="0"/>
          <w:szCs w:val="21"/>
          <w:highlight w:val="none"/>
          <w:lang w:bidi="ar"/>
        </w:rPr>
        <w:t>承包人在收到发包人提供的图纸后，承包人应对收到的图纸进行仔细核查，并在开始施工前，将发现的图纸存在的差错、遗漏或缺陷及时通知监理人。监理人接到该通知后，应附相关意见并立即报送发包人，发包人应在收到监理人报送的通知后作出决定。</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承包人不得利用图纸的差错、遗漏或缺陷，从中获得不正当的利益。</w:t>
      </w:r>
    </w:p>
    <w:bookmarkEnd w:id="245"/>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 严禁贿赂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合同执行过程中，发包人和承包人应严格履行《廉政合同》约定的双方在廉政建设方面的权利和义务以及应承担的违约责任。承包人如果用行贿、送礼或其他不正当手段企图影响或已经影响了发包人或监理人的行为和（或）欲获得或已获得超出合同规定以外的额外费用，则发包人应按有关法纪严肃处理当事人，且承包人应对其上述行为造成的工程损害、发包人的经济损失等承担一切责任，并予赔偿。情节严重者，发包人有权终止承包人在本合同项下的承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1.13 款：</w:t>
      </w:r>
    </w:p>
    <w:p>
      <w:pPr>
        <w:widowControl/>
        <w:spacing w:line="360" w:lineRule="auto"/>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1.13知识产权</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1.13.1 关于发包人提供给承包人的图纸、发包人为实施工程自行编制或委托编制的技术规范以及反映发包人关于合同要求或其他类似性质的文件的著作权的归属：属于发包人。</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提供的上述文件的使用限制的要求：承包人可以为实现合同目的而复制、使用此类文件，但不能用于与合同无关的其他事项。未经发包人书面同意，承包人不得为了合同以外的目的而复制、使用上述文件或将之提供给任何第三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1.13.2 承包人为实施工程所编制的文件，除署名权以外的著作权属于发包人，承包人可因实施工程的运行、调试、维修、改造等目的而复制、使用此类文件，但不能用于与合同无关的其他事项。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1.13.3 合同当事人保证在履行合同过程中不侵犯对方及第三方的知识产权。</w:t>
      </w:r>
    </w:p>
    <w:p>
      <w:pPr>
        <w:pStyle w:val="5"/>
        <w:spacing w:before="0" w:after="0" w:line="360" w:lineRule="auto"/>
        <w:rPr>
          <w:rFonts w:hint="eastAsia" w:ascii="宋体" w:hAnsi="宋体" w:eastAsia="宋体" w:cs="宋体"/>
          <w:color w:val="auto"/>
          <w:highlight w:val="none"/>
        </w:rPr>
      </w:pPr>
      <w:bookmarkStart w:id="246" w:name="_Toc57795966"/>
      <w:bookmarkStart w:id="247" w:name="_Toc16799"/>
      <w:r>
        <w:rPr>
          <w:rFonts w:hint="eastAsia" w:ascii="宋体" w:hAnsi="宋体" w:eastAsia="宋体" w:cs="宋体"/>
          <w:color w:val="auto"/>
          <w:highlight w:val="none"/>
        </w:rPr>
        <w:t>2、发包人义务</w:t>
      </w:r>
      <w:bookmarkEnd w:id="246"/>
      <w:bookmarkEnd w:id="24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 提供施工场地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一次）将施工所需的其余永久占地办妥征用以及拆迁赔偿手续，通知承包人使用，以使承包人能够连续不间断地施工。由于承包人施工考虑不周或措施不当等原因而造成的超计划占地或拆迁等所发生的征用和赔偿费用，应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发包人提供的施工场地</w:t>
      </w:r>
      <w:r>
        <w:rPr>
          <w:rFonts w:hint="eastAsia" w:ascii="宋体" w:hAnsi="宋体" w:eastAsia="宋体" w:cs="宋体"/>
          <w:color w:val="auto"/>
          <w:szCs w:val="21"/>
          <w:highlight w:val="none"/>
        </w:rPr>
        <w:t>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Cs w:val="21"/>
          <w:highlight w:val="none"/>
          <w:lang w:bidi="ar"/>
        </w:rPr>
        <w:t>。</w:t>
      </w:r>
      <w:r>
        <w:rPr>
          <w:rFonts w:hint="eastAsia" w:ascii="宋体" w:hAnsi="宋体" w:eastAsia="宋体" w:cs="宋体"/>
          <w:color w:val="auto"/>
          <w:kern w:val="0"/>
          <w:szCs w:val="21"/>
          <w:highlight w:val="none"/>
        </w:rPr>
        <w:t>施工场地的提供采用以下第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（1）一次提供全部施工场地：发包人于</w:t>
      </w:r>
      <w:r>
        <w:rPr>
          <w:rFonts w:hint="eastAsia" w:ascii="宋体" w:hAnsi="宋体" w:eastAsia="宋体" w:cs="宋体"/>
          <w:color w:val="auto"/>
          <w:kern w:val="0"/>
          <w:szCs w:val="21"/>
          <w:highlight w:val="none"/>
          <w:u w:val="single"/>
        </w:rPr>
        <w:t>开工</w:t>
      </w:r>
      <w:r>
        <w:rPr>
          <w:rFonts w:hint="eastAsia" w:ascii="宋体" w:hAnsi="宋体" w:eastAsia="宋体" w:cs="宋体"/>
          <w:color w:val="auto"/>
          <w:kern w:val="0"/>
          <w:szCs w:val="21"/>
          <w:highlight w:val="none"/>
        </w:rPr>
        <w:t>前向承包人提供合同工程用地范围内的施工场地。</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（2）分次提供全部施工场地：</w:t>
      </w:r>
      <w:r>
        <w:rPr>
          <w:rFonts w:hint="eastAsia" w:ascii="宋体" w:hAnsi="宋体" w:eastAsia="宋体" w:cs="宋体"/>
          <w:color w:val="auto"/>
          <w:kern w:val="0"/>
          <w:szCs w:val="21"/>
          <w:highlight w:val="none"/>
          <w:u w:val="single"/>
        </w:rPr>
        <w:t>发包人按约定的时间分次向承包人提供合同工程用地范围内的施工场地</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color w:val="auto"/>
          <w:kern w:val="0"/>
          <w:szCs w:val="21"/>
          <w:highlight w:val="none"/>
          <w:u w:val="single"/>
        </w:rPr>
        <w:t>承包人编制的施工组织计划已充分考虑了施工场地提供的因素</w:t>
      </w:r>
      <w:r>
        <w:rPr>
          <w:rFonts w:hint="eastAsia" w:ascii="宋体" w:hAnsi="宋体" w:eastAsia="宋体" w:cs="宋体"/>
          <w:color w:val="auto"/>
          <w:kern w:val="0"/>
          <w:szCs w:val="21"/>
          <w:highlight w:val="none"/>
        </w:rPr>
        <w:t>。</w:t>
      </w:r>
      <w:r>
        <w:rPr>
          <w:rFonts w:hint="eastAsia" w:ascii="宋体" w:hAnsi="宋体" w:eastAsia="宋体" w:cs="宋体"/>
          <w:color w:val="auto"/>
          <w:szCs w:val="21"/>
          <w:highlight w:val="none"/>
        </w:rPr>
        <w:t>承包人自行勘察的施工场地范围为：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关于发包人应负责提供其他施工所需要条件的要求：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发包人代表</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身份证号：</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    务：</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联系地址：</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    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发包人对发包人代表的授权范围如下：</w:t>
      </w:r>
      <w:r>
        <w:rPr>
          <w:rFonts w:hint="eastAsia" w:ascii="宋体" w:hAnsi="宋体" w:eastAsia="宋体" w:cs="宋体"/>
          <w:color w:val="auto"/>
          <w:kern w:val="0"/>
          <w:szCs w:val="21"/>
          <w:highlight w:val="none"/>
          <w:u w:val="single"/>
        </w:rPr>
        <w:t>代表发包人对项目建设进行协调、管控、审查，确保安全、质量、环保、进度、成本可控，及时处理项目相关问题，向承包人、监理人等下达各类指令。由发包人授权的，以授权书载明的授权范围为准</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资金来源证明及支付担保</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发包人提供资金来源证明的期限要求：</w:t>
      </w:r>
      <w:r>
        <w:rPr>
          <w:rFonts w:hint="eastAsia" w:ascii="宋体" w:hAnsi="宋体" w:eastAsia="宋体" w:cs="宋体"/>
          <w:color w:val="auto"/>
          <w:kern w:val="0"/>
          <w:szCs w:val="21"/>
          <w:highlight w:val="none"/>
          <w:u w:val="single"/>
        </w:rPr>
        <w:t>不采用</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发包人是否提供支付担保：</w:t>
      </w:r>
      <w:r>
        <w:rPr>
          <w:rFonts w:hint="eastAsia" w:ascii="宋体" w:hAnsi="宋体" w:eastAsia="宋体" w:cs="宋体"/>
          <w:color w:val="auto"/>
          <w:kern w:val="0"/>
          <w:szCs w:val="21"/>
          <w:highlight w:val="none"/>
          <w:lang w:eastAsia="zh-CN"/>
        </w:rPr>
        <w:t>不</w:t>
      </w:r>
      <w:r>
        <w:rPr>
          <w:rFonts w:hint="eastAsia" w:ascii="宋体" w:hAnsi="宋体" w:eastAsia="宋体" w:cs="宋体"/>
          <w:color w:val="auto"/>
          <w:kern w:val="0"/>
          <w:szCs w:val="21"/>
          <w:highlight w:val="none"/>
        </w:rPr>
        <w:t>提供。</w:t>
      </w:r>
    </w:p>
    <w:p>
      <w:pPr>
        <w:pStyle w:val="5"/>
        <w:spacing w:before="0" w:after="0" w:line="360" w:lineRule="auto"/>
        <w:rPr>
          <w:rFonts w:hint="eastAsia" w:ascii="宋体" w:hAnsi="宋体" w:eastAsia="宋体" w:cs="宋体"/>
          <w:color w:val="auto"/>
          <w:highlight w:val="none"/>
        </w:rPr>
      </w:pPr>
      <w:bookmarkStart w:id="248" w:name="_Toc57795967"/>
      <w:bookmarkStart w:id="249" w:name="_Toc29317"/>
      <w:r>
        <w:rPr>
          <w:rFonts w:hint="eastAsia" w:ascii="宋体" w:hAnsi="宋体" w:eastAsia="宋体" w:cs="宋体"/>
          <w:color w:val="auto"/>
          <w:highlight w:val="none"/>
        </w:rPr>
        <w:t>3、监理人</w:t>
      </w:r>
      <w:bookmarkEnd w:id="248"/>
      <w:bookmarkEnd w:id="24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3.1 监理人的职责和权力</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3.1.1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监理人在行使下列权力前需要经发包人事先批准：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（1）根据第 4.3 款，同意分包本工程的某些非关键性工作或者适合专业化队伍施工的专项工程；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（2）确定第 4.11 款下产生的费用增加额；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（3）根据第 11.1 款、第 12.3 款、第 12.4 款发布开工通知、暂停施工指示或复工通知；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（4）决定第 11.3 款、第 11.4 款下的工期延长；</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（5）审查批准技术方案或设计的变更；</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根据第15.3款发出的所有变更，均需要经发包人事先批准</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（7）确定第 15.4 款下变更工作的单价；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（8）按照第 15.6 款决定有关暂列金额的使用；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（9）确定第 15.8 款下的暂估价金额；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（10）确定第 23.1 款下的索赔额；</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lang w:bidi="ar"/>
        </w:rPr>
        <w:t>（11）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3.2 总监理工程师</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    务：</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监理工程师执业资格证书号：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关于监理人的其他约定：</w:t>
      </w:r>
      <w:r>
        <w:rPr>
          <w:rFonts w:hint="eastAsia" w:ascii="宋体" w:hAnsi="宋体" w:eastAsia="宋体" w:cs="宋体"/>
          <w:color w:val="auto"/>
          <w:kern w:val="0"/>
          <w:szCs w:val="21"/>
          <w:highlight w:val="none"/>
          <w:u w:val="single"/>
        </w:rPr>
        <w:t>见发包人与监理人就本工程签订的监理合同</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3.5 商定或确定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如果这项商定或确定导致费用增加和（或）工期延长，或者涉及确定变更工程的价格，则总监理工程师在发出通知前，应征得发包人的同意。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3.5.3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3.5.3 在发包人和承包人不能通过协商达成一致意见时，发包人授权监理人对以下事项进行确定：</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w:t>
      </w:r>
    </w:p>
    <w:p>
      <w:pPr>
        <w:pStyle w:val="5"/>
        <w:spacing w:before="0" w:after="0" w:line="360" w:lineRule="auto"/>
        <w:rPr>
          <w:rFonts w:hint="eastAsia" w:ascii="宋体" w:hAnsi="宋体" w:eastAsia="宋体" w:cs="宋体"/>
          <w:color w:val="auto"/>
          <w:highlight w:val="none"/>
        </w:rPr>
      </w:pPr>
      <w:bookmarkStart w:id="250" w:name="_Toc9798"/>
      <w:bookmarkStart w:id="251" w:name="_Toc57795968"/>
      <w:r>
        <w:rPr>
          <w:rFonts w:hint="eastAsia" w:ascii="宋体" w:hAnsi="宋体" w:eastAsia="宋体" w:cs="宋体"/>
          <w:color w:val="auto"/>
          <w:highlight w:val="none"/>
        </w:rPr>
        <w:t>4、承包人</w:t>
      </w:r>
      <w:bookmarkEnd w:id="250"/>
      <w:bookmarkEnd w:id="25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 承包人的一般义务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4.1.3完成各项承包工作:</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highlight w:val="none"/>
        </w:rPr>
        <w:t>本项补充：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（1）办理法律规定和合同约定应由承包人办理的许可和批准，并将办理结果书面报送发包人留存；协助发包人办理施工所需的相关证件及手续。</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按法律规定和合同约定完成工程，包括满足合同所必需的或合同隐含的以及由承包人义务而产生的任何工程，还应包括合同根据相关法律法规、技术规范等对工程的稳定性、完整性或安全、可靠、有效运行所必需的所有工程，并在保修期内承担保修义务。</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（3）按法律规定和合同约定采取施工安全和环境保护措施，办理工伤保险，确保工程及人员、材料、设备和设施的安全。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按合同约定的工作内容和施工进度要求，编制施工组织设计和施工措施计划，并对所有施工作业和施工方法的完备性和安全可靠性负责。施工组织设计和施工措施计划中的措施保障水平应满足工程按合同进度实施的需要，且不得低于投标时施工组织设计的措施保障水平。</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（5）按照约定采取施工安全措施，确保工程及其人员、材料、设备和设施的安全，防止因工程施工造成的人身伤害和财产损失。</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（6）将发包人按合同约定支付的各项价款专用于合同工程，且应及时支付其雇用人员工资，并及时向分包人支付合同价款。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承包人需要提交的竣工资料套数：</w:t>
      </w:r>
      <w:r>
        <w:rPr>
          <w:rFonts w:hint="eastAsia" w:ascii="宋体" w:hAnsi="宋体" w:eastAsia="宋体" w:cs="宋体"/>
          <w:color w:val="auto"/>
          <w:kern w:val="0"/>
          <w:szCs w:val="21"/>
          <w:highlight w:val="none"/>
          <w:u w:val="single"/>
        </w:rPr>
        <w:t>完整竣工资料一式     套（含电子文档）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承包人提交的竣工资料的费用承担：</w:t>
      </w:r>
      <w:r>
        <w:rPr>
          <w:rFonts w:hint="eastAsia" w:ascii="宋体" w:hAnsi="宋体" w:eastAsia="宋体" w:cs="宋体"/>
          <w:color w:val="auto"/>
          <w:kern w:val="0"/>
          <w:szCs w:val="21"/>
          <w:highlight w:val="none"/>
          <w:u w:val="single"/>
        </w:rPr>
        <w:t>由承包人承担</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承包人提交的竣工资料移交时间：</w:t>
      </w:r>
      <w:r>
        <w:rPr>
          <w:rFonts w:hint="eastAsia" w:ascii="宋体" w:hAnsi="宋体" w:eastAsia="宋体" w:cs="宋体"/>
          <w:color w:val="auto"/>
          <w:kern w:val="0"/>
          <w:szCs w:val="21"/>
          <w:highlight w:val="none"/>
          <w:u w:val="single"/>
        </w:rPr>
        <w:t>工程完工验收合格后     个月内移交给发包人</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承包人提交的竣工资料形式要求：</w:t>
      </w:r>
      <w:r>
        <w:rPr>
          <w:rFonts w:hint="eastAsia" w:ascii="宋体" w:hAnsi="宋体" w:eastAsia="宋体" w:cs="宋体"/>
          <w:color w:val="auto"/>
          <w:kern w:val="0"/>
          <w:szCs w:val="21"/>
          <w:highlight w:val="none"/>
          <w:u w:val="single"/>
        </w:rPr>
        <w:t>完整的书面文件及电子文档</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4.1.4对施工作业和施工方法的完备性负责</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本项补充4.1.4.1～4.1.4.3目：</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4.1.4.1施工组织设计的内容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施工组织设计应包含以下内容：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（1）施工方案；</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（2）施工现场平面布置图；</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（3）施工进度计划和保证措施；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（4）劳动力及材料供应计划；</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（5）施工机械设备的选用；</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（6）质量保证体系及措施；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（7）安全生产、文明施工措施；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（8）环境保护、成本控制措施；</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w:t>
      </w:r>
      <w:r>
        <w:rPr>
          <w:rFonts w:hint="eastAsia" w:ascii="宋体" w:hAnsi="宋体" w:eastAsia="宋体" w:cs="宋体"/>
          <w:color w:val="auto"/>
          <w:kern w:val="0"/>
          <w:szCs w:val="21"/>
          <w:highlight w:val="none"/>
          <w:u w:val="single"/>
        </w:rPr>
        <w:t>合同当事人约定的其他内容</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4.1.4.2 合同当事人约定的施工组织设计应包括的其他内容：应采用文字并结合图表形式说明施工方法；拟投入工程的主要施工设备情况、拟配备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按发包人要求提供。</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4.1.4.3施工组织设计的提交和修改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（1）承包人提交详细施工组织设计的期限的约定：</w:t>
      </w:r>
      <w:r>
        <w:rPr>
          <w:rFonts w:hint="eastAsia" w:ascii="宋体" w:hAnsi="宋体" w:eastAsia="宋体" w:cs="宋体"/>
          <w:color w:val="auto"/>
          <w:kern w:val="0"/>
          <w:szCs w:val="21"/>
          <w:highlight w:val="none"/>
          <w:u w:val="single"/>
        </w:rPr>
        <w:t>合同签订后14天内，但最迟不得晚于开工通知载明的开工日期前7天</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（2）承包人编制施工组织设计的内容：</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（3）发包人和监理人在收到详细的施工组织设计后确认或提出修改意见的期限：</w:t>
      </w:r>
      <w:r>
        <w:rPr>
          <w:rFonts w:hint="eastAsia" w:ascii="宋体" w:hAnsi="宋体" w:eastAsia="宋体" w:cs="宋体"/>
          <w:color w:val="auto"/>
          <w:kern w:val="0"/>
          <w:szCs w:val="21"/>
          <w:highlight w:val="none"/>
          <w:u w:val="single"/>
        </w:rPr>
        <w:t>收到施工组织设计后  天内</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4.1.9 工程的维护和照管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交工验收证书颁发前，承包人应负责照管和维护工程及将用于或安装在本工程中的材料、设备。交工验收证书颁发时尚有部分未交工工程的，承包人还应负责该未交工工程、材料、设备的照管和维护工作，直至交工后移交给发包人为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（2）在承包人负责照管与维护期间，如果本工程或材料、设备等发生损失或损害，除不可抗力原因之外，承包人均应自费弥补，并达到合同要求。承包人还应对按第 19 条规定而实施作业过程中由承包人造成的对工程的任何损失或损害负责。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4.1.10 其他义务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（1）临时占地由承包人向当地政府土地管理部门申请，并办理租用手续，承包人按有关规定直接支付其费用，发包人对此将予以协调。</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范围包括承包人驻地的办公室、食堂、宿舍、道路和机械设备停放场、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临时 占地的租地费用实行总额包干，列入工程量清单第 100 章中由承包人按总额报价。</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临时占地退还前，承包人应自费恢复到临时占地使用前的状况。如因承包人撤离后未按要求对临时占地进行恢复或虽进行了恢复但未达到使用标准的，将由发包人委托第三方对其恢复，所发生的费用将从应付给承包人的任何款项内扣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应承担并支付为获得本合同工程所需的石料、砂、砾石、黏土或其他当地材料等所发生的料场使用费及其他开支或补偿费。发包人应尽可能协助承包人办理料场租用手续及解决使用过程中的有关问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承包人应严格遵守国家有关解决拖欠工程款和民工工资的法律、法规，及时支付工程中的材料、设备货款及民工工资等费用。承包人不得以任何借口拖欠材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工资支付表应如实记录支付单位、支付时间、支付对象、支付数额、支付对象的身份证号和</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等信息。民工花名册和工资支付表应报监理人备查。</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4）承包人应分解工程价款中的人工费用，在工程项目所在地银行开设民工工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 开户银行发现账户资金不足、被挪用等情况，应及时向人力资源社会保障部门和交通运输主管部门报告。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（5）承包人应严格执行</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100章中。</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（6）承包人应履行的其他义务：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a.在开始施工之前，承包人应核查、复测本工程的各种基准标志。承包人应及时将上述基准标志中存在的错误、不完整或其他缺陷通知发包人，以便发包人核实后重新确认。</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b.承包人应负责合同工程范围内测量控制网的测量设定和管理工作，为控制施工造成测量控制网误差累加，每月承包人复测一次测量控制网，并将修正数据及时通知发包人。经监理人批准，其他相关承包人可免费使用施工控制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c.承包人应在开始施工之前对本工程进行排查，补充完善遗漏的危大工程重点部位及环节。危大工程施工前，承包人应对危大工程编制专项施工方案，对于超过一定规模的危大工程，承包人还应组织召开专家论证会对专项施工方案进行论证，通过后方可实施。</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d.承包人应服从发包人要求的管理模式、工作方式和工作要求，同时接受监理人、跟审单位（如有）的管理和全程监督，配合项目结、决算的办理。</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e.承包人应严格执行</w:t>
      </w:r>
      <w:r>
        <w:rPr>
          <w:rFonts w:hint="eastAsia" w:ascii="宋体" w:hAnsi="宋体" w:eastAsia="宋体" w:cs="宋体"/>
          <w:color w:val="auto"/>
          <w:kern w:val="0"/>
          <w:szCs w:val="21"/>
          <w:highlight w:val="none"/>
          <w:lang w:eastAsia="zh-CN"/>
        </w:rPr>
        <w:t>比选文件</w:t>
      </w:r>
      <w:r>
        <w:rPr>
          <w:rFonts w:hint="eastAsia" w:ascii="宋体" w:hAnsi="宋体" w:eastAsia="宋体" w:cs="宋体"/>
          <w:color w:val="auto"/>
          <w:kern w:val="0"/>
          <w:szCs w:val="21"/>
          <w:highlight w:val="none"/>
        </w:rPr>
        <w:t>技术规范对施工标准化提出的具体要求，结合本单位施工能力和技术优势，积极采取有利于标准化施工的组织方式和工艺流程，加强工地建设、工艺控制、人员管理和内业资料管理，强化对施工一线操作人员的培训，改善职工生产生活条件。</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f.承包人安排在施工场地的主要管理人员应与承包人承诺的名单一致，并保持相对稳定。未经监理人批准，上述人员不应无故不到位或被替换；若确实无法到位或需替换，需经监理人审核并报发包人批准后，用同等资质和经历的人员替换。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g.</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4.2 履约担保</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承包人应保证其履约保证金在发包人签发交工验收证书且承包人按照合同约定交纳质量保证金前一直有效。发包人应在收到承包人交纳的质量保证金后 28 天内将履约保证金退还给承包人。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承包人拒绝按照本合同约定交纳质量保证金的，发包人有权从交工付款证书中扣留相应金额作为质量保证金，或者直接将履约保证金金额用于保证承包人在缺陷责任期内履行缺陷修复义务。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4.2.1 ～ 4.2.3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4.2.1 承包人是否提供履约担保：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4.2.2承包人提供履约担保的形式、金额及期限：</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none"/>
        </w:rPr>
        <w:t>现金。</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w:t>
      </w:r>
      <w:r>
        <w:rPr>
          <w:rFonts w:hint="eastAsia" w:ascii="宋体" w:hAnsi="宋体" w:eastAsia="宋体" w:cs="宋体"/>
          <w:color w:val="auto"/>
          <w:kern w:val="0"/>
          <w:szCs w:val="21"/>
          <w:highlight w:val="none"/>
        </w:rPr>
        <w:t xml:space="preserve">履约担保的提交时间：在合同签订前，提交到业主指定账户并签订合同，否则视为自动放弃中标资格，其投标保证金按相关规定处理，比选人同时报行业监督部门依法给予行政处罚并纳入“信用中国”、“信用重庆”等不良记录里。 </w:t>
      </w:r>
    </w:p>
    <w:p>
      <w:pPr>
        <w:snapToGrid w:val="0"/>
        <w:spacing w:line="400" w:lineRule="exact"/>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 xml:space="preserve">）履约担保的期限：自提交履约担保之日起至工程竣工合格之日止。 </w:t>
      </w:r>
    </w:p>
    <w:p>
      <w:pPr>
        <w:tabs>
          <w:tab w:val="left" w:pos="1134"/>
        </w:tabs>
        <w:spacing w:line="360" w:lineRule="auto"/>
        <w:ind w:firstLine="420" w:firstLineChars="200"/>
        <w:jc w:val="left"/>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4</w:t>
      </w:r>
      <w:r>
        <w:rPr>
          <w:rFonts w:hint="eastAsia" w:ascii="宋体" w:hAnsi="宋体" w:eastAsia="宋体" w:cs="宋体"/>
          <w:color w:val="auto"/>
          <w:kern w:val="0"/>
          <w:szCs w:val="21"/>
          <w:highlight w:val="none"/>
        </w:rPr>
        <w:t>）履约担保的退还时间：工程验收合格后28天内，按相关规定一次性</w:t>
      </w:r>
      <w:r>
        <w:rPr>
          <w:rFonts w:hint="eastAsia" w:ascii="宋体" w:hAnsi="宋体" w:eastAsia="宋体" w:cs="宋体"/>
          <w:color w:val="auto"/>
          <w:kern w:val="0"/>
          <w:szCs w:val="21"/>
          <w:highlight w:val="none"/>
          <w:lang w:eastAsia="zh-CN"/>
        </w:rPr>
        <w:t>无息</w:t>
      </w:r>
      <w:r>
        <w:rPr>
          <w:rFonts w:hint="eastAsia" w:ascii="宋体" w:hAnsi="宋体" w:eastAsia="宋体" w:cs="宋体"/>
          <w:color w:val="auto"/>
          <w:kern w:val="0"/>
          <w:szCs w:val="21"/>
          <w:highlight w:val="none"/>
        </w:rPr>
        <w:t>退还。</w:t>
      </w:r>
      <w:r>
        <w:rPr>
          <w:rFonts w:hint="eastAsia" w:ascii="宋体" w:hAnsi="宋体" w:eastAsia="宋体" w:cs="宋体"/>
          <w:color w:val="auto"/>
          <w:kern w:val="0"/>
          <w:szCs w:val="21"/>
          <w:highlight w:val="none"/>
          <w:lang w:val="en-US" w:eastAsia="zh-CN"/>
        </w:rPr>
        <w:t>退还时中标人应提供单位名称、金额、开户银行和兑现农民工工资的证明依据。</w:t>
      </w:r>
      <w:r>
        <w:rPr>
          <w:rFonts w:hint="eastAsia" w:ascii="宋体" w:hAnsi="宋体" w:eastAsia="宋体" w:cs="宋体"/>
          <w:color w:val="auto"/>
          <w:kern w:val="0"/>
          <w:szCs w:val="21"/>
          <w:highlight w:val="none"/>
        </w:rPr>
        <w:t>履约过程中，中标人不能履约或不能完全履约，履约保证金不予退还。</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5</w:t>
      </w:r>
      <w:r>
        <w:rPr>
          <w:rFonts w:hint="eastAsia" w:ascii="宋体" w:hAnsi="宋体" w:eastAsia="宋体" w:cs="宋体"/>
          <w:color w:val="auto"/>
          <w:kern w:val="0"/>
          <w:szCs w:val="21"/>
          <w:highlight w:val="none"/>
        </w:rPr>
        <w:t>）履约担保的金额：</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中标合同金额的10%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6</w:t>
      </w:r>
      <w:r>
        <w:rPr>
          <w:rFonts w:hint="eastAsia" w:ascii="宋体" w:hAnsi="宋体" w:eastAsia="宋体" w:cs="宋体"/>
          <w:color w:val="auto"/>
          <w:kern w:val="0"/>
          <w:szCs w:val="21"/>
          <w:highlight w:val="none"/>
        </w:rPr>
        <w:t>）履约担保的提交时间：</w:t>
      </w:r>
      <w:r>
        <w:rPr>
          <w:rFonts w:hint="eastAsia" w:ascii="宋体" w:hAnsi="宋体" w:eastAsia="宋体" w:cs="宋体"/>
          <w:color w:val="auto"/>
          <w:kern w:val="0"/>
          <w:szCs w:val="21"/>
          <w:highlight w:val="none"/>
          <w:u w:val="single"/>
        </w:rPr>
        <w:t>在合同签订前，承包人按担保金额向发包人提交履约担保</w:t>
      </w:r>
      <w:r>
        <w:rPr>
          <w:rFonts w:hint="eastAsia" w:ascii="宋体" w:hAnsi="宋体" w:eastAsia="宋体" w:cs="宋体"/>
          <w:color w:val="auto"/>
          <w:kern w:val="0"/>
          <w:szCs w:val="21"/>
          <w:highlight w:val="none"/>
        </w:rPr>
        <w:t>。</w:t>
      </w:r>
    </w:p>
    <w:p>
      <w:pPr>
        <w:tabs>
          <w:tab w:val="left" w:pos="1134"/>
        </w:tabs>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7</w:t>
      </w:r>
      <w:r>
        <w:rPr>
          <w:rFonts w:hint="eastAsia" w:ascii="宋体" w:hAnsi="宋体" w:eastAsia="宋体" w:cs="宋体"/>
          <w:color w:val="auto"/>
          <w:kern w:val="0"/>
          <w:szCs w:val="21"/>
          <w:highlight w:val="none"/>
        </w:rPr>
        <w:t>）履约担保的期限：</w:t>
      </w:r>
      <w:r>
        <w:rPr>
          <w:rFonts w:hint="eastAsia" w:ascii="宋体" w:hAnsi="宋体" w:eastAsia="宋体" w:cs="宋体"/>
          <w:color w:val="auto"/>
          <w:kern w:val="0"/>
          <w:szCs w:val="21"/>
          <w:highlight w:val="none"/>
          <w:u w:val="single"/>
        </w:rPr>
        <w:t>自我方法定代表人（或其委托代理人）</w:t>
      </w:r>
      <w:r>
        <w:rPr>
          <w:rFonts w:hint="eastAsia" w:ascii="宋体" w:hAnsi="宋体" w:eastAsia="宋体" w:cs="宋体"/>
          <w:color w:val="auto"/>
          <w:kern w:val="0"/>
          <w:szCs w:val="21"/>
          <w:highlight w:val="none"/>
          <w:u w:val="single"/>
          <w:lang w:eastAsia="zh-CN"/>
        </w:rPr>
        <w:t>签名</w:t>
      </w:r>
      <w:r>
        <w:rPr>
          <w:rFonts w:hint="eastAsia" w:ascii="宋体" w:hAnsi="宋体" w:eastAsia="宋体" w:cs="宋体"/>
          <w:color w:val="auto"/>
          <w:kern w:val="0"/>
          <w:szCs w:val="21"/>
          <w:highlight w:val="none"/>
          <w:u w:val="single"/>
        </w:rPr>
        <w:t>并加盖公章之日起至你方签发或应签发工程接收证书之日止自提交履约担保之日起至</w:t>
      </w:r>
      <w:r>
        <w:rPr>
          <w:rFonts w:hint="eastAsia" w:ascii="宋体" w:hAnsi="宋体" w:eastAsia="宋体" w:cs="宋体"/>
          <w:color w:val="auto"/>
          <w:kern w:val="0"/>
          <w:szCs w:val="21"/>
          <w:highlight w:val="none"/>
          <w:u w:val="single"/>
          <w:lang w:val="en-US" w:eastAsia="zh-CN"/>
        </w:rPr>
        <w:t>交工</w:t>
      </w:r>
      <w:r>
        <w:rPr>
          <w:rFonts w:hint="eastAsia" w:ascii="宋体" w:hAnsi="宋体" w:eastAsia="宋体" w:cs="宋体"/>
          <w:color w:val="auto"/>
          <w:kern w:val="0"/>
          <w:szCs w:val="21"/>
          <w:highlight w:val="none"/>
          <w:u w:val="single"/>
        </w:rPr>
        <w:t>验收合格之日止</w:t>
      </w:r>
      <w:r>
        <w:rPr>
          <w:rFonts w:hint="eastAsia" w:ascii="宋体" w:hAnsi="宋体" w:eastAsia="宋体" w:cs="宋体"/>
          <w:color w:val="auto"/>
          <w:kern w:val="0"/>
          <w:szCs w:val="21"/>
          <w:highlight w:val="none"/>
        </w:rPr>
        <w:t>。</w:t>
      </w:r>
    </w:p>
    <w:p>
      <w:pPr>
        <w:pStyle w:val="2"/>
        <w:spacing w:after="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val="en-US" w:eastAsia="zh-CN"/>
        </w:rPr>
        <w:t>8</w:t>
      </w:r>
      <w:r>
        <w:rPr>
          <w:rFonts w:hint="eastAsia" w:ascii="宋体" w:hAnsi="宋体" w:eastAsia="宋体" w:cs="宋体"/>
          <w:color w:val="auto"/>
          <w:kern w:val="0"/>
          <w:szCs w:val="21"/>
          <w:highlight w:val="none"/>
        </w:rPr>
        <w:t>）履约担保的退还时间：</w:t>
      </w:r>
      <w:r>
        <w:rPr>
          <w:rFonts w:hint="eastAsia" w:ascii="宋体" w:hAnsi="宋体" w:eastAsia="宋体" w:cs="宋体"/>
          <w:color w:val="auto"/>
          <w:kern w:val="0"/>
          <w:szCs w:val="21"/>
          <w:highlight w:val="none"/>
          <w:u w:val="single"/>
        </w:rPr>
        <w:t>采用现金担保的，</w:t>
      </w:r>
      <w:r>
        <w:rPr>
          <w:rFonts w:hint="eastAsia" w:ascii="宋体" w:hAnsi="宋体" w:eastAsia="宋体" w:cs="宋体"/>
          <w:color w:val="auto"/>
          <w:szCs w:val="21"/>
          <w:highlight w:val="none"/>
          <w:u w:val="single"/>
        </w:rPr>
        <w:t>合同工程完工</w:t>
      </w:r>
      <w:r>
        <w:rPr>
          <w:rFonts w:hint="eastAsia" w:ascii="宋体" w:hAnsi="宋体" w:eastAsia="宋体" w:cs="宋体"/>
          <w:color w:val="auto"/>
          <w:kern w:val="0"/>
          <w:szCs w:val="21"/>
          <w:highlight w:val="none"/>
          <w:u w:val="single"/>
        </w:rPr>
        <w:t>证书颁发后</w:t>
      </w:r>
      <w:r>
        <w:rPr>
          <w:rFonts w:hint="eastAsia" w:ascii="宋体" w:hAnsi="宋体" w:eastAsia="宋体" w:cs="宋体"/>
          <w:color w:val="auto"/>
          <w:szCs w:val="21"/>
          <w:highlight w:val="none"/>
          <w:u w:val="single"/>
        </w:rPr>
        <w:t>28天内一次性</w:t>
      </w:r>
      <w:r>
        <w:rPr>
          <w:rFonts w:hint="eastAsia" w:ascii="宋体" w:hAnsi="宋体" w:eastAsia="宋体" w:cs="宋体"/>
          <w:color w:val="auto"/>
          <w:szCs w:val="21"/>
          <w:highlight w:val="none"/>
          <w:u w:val="single"/>
          <w:lang w:eastAsia="zh-CN"/>
        </w:rPr>
        <w:t>无息</w:t>
      </w:r>
      <w:r>
        <w:rPr>
          <w:rFonts w:hint="eastAsia" w:ascii="宋体" w:hAnsi="宋体" w:eastAsia="宋体" w:cs="宋体"/>
          <w:color w:val="auto"/>
          <w:szCs w:val="21"/>
          <w:highlight w:val="none"/>
          <w:u w:val="single"/>
        </w:rPr>
        <w:t>退还，或按工程实际情况约定分阶段退还，采用</w:t>
      </w:r>
      <w:r>
        <w:rPr>
          <w:rFonts w:hint="eastAsia" w:ascii="宋体" w:hAnsi="宋体" w:eastAsia="宋体" w:cs="宋体"/>
          <w:color w:val="auto"/>
          <w:szCs w:val="21"/>
          <w:highlight w:val="none"/>
          <w:u w:val="single"/>
          <w:lang w:val="en-US" w:eastAsia="zh-CN"/>
        </w:rPr>
        <w:t>履约</w:t>
      </w:r>
      <w:r>
        <w:rPr>
          <w:rFonts w:hint="eastAsia" w:ascii="宋体" w:hAnsi="宋体" w:eastAsia="宋体" w:cs="宋体"/>
          <w:color w:val="auto"/>
          <w:szCs w:val="21"/>
          <w:highlight w:val="none"/>
          <w:u w:val="single"/>
        </w:rPr>
        <w:t>保函的，合同工程完工证书颁发后28天内内退还，或按工程实际情况约定分阶段退还</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4.3 分包</w:t>
      </w:r>
    </w:p>
    <w:p>
      <w:pPr>
        <w:pStyle w:val="6"/>
        <w:spacing w:before="0" w:beforeAutospacing="0" w:after="0" w:afterAutospacing="0" w:line="360" w:lineRule="auto"/>
        <w:ind w:firstLine="420" w:firstLineChars="200"/>
        <w:rPr>
          <w:rFonts w:hint="eastAsia" w:ascii="宋体" w:hAnsi="宋体" w:eastAsia="宋体" w:cs="宋体"/>
          <w:b w:val="0"/>
          <w:bCs w:val="0"/>
          <w:color w:val="auto"/>
          <w:kern w:val="0"/>
          <w:sz w:val="21"/>
          <w:szCs w:val="21"/>
          <w:highlight w:val="none"/>
          <w:lang w:val="en-US" w:eastAsia="zh-CN" w:bidi="ar"/>
        </w:rPr>
      </w:pPr>
      <w:r>
        <w:rPr>
          <w:rFonts w:hint="eastAsia" w:ascii="宋体" w:hAnsi="宋体" w:eastAsia="宋体" w:cs="宋体"/>
          <w:b w:val="0"/>
          <w:bCs w:val="0"/>
          <w:color w:val="auto"/>
          <w:kern w:val="0"/>
          <w:sz w:val="21"/>
          <w:szCs w:val="21"/>
          <w:highlight w:val="none"/>
          <w:lang w:val="en-US" w:eastAsia="zh-CN" w:bidi="ar"/>
        </w:rPr>
        <w:t>不允许分包。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4.4 联合体</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4.4.4 未经发包人事先同意，联合体的组成与结构不得变动。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4.5 承包人项目经理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 xml:space="preserve">建造师执业资格等级：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建造师执业印章号：</w:t>
      </w:r>
      <w:r>
        <w:rPr>
          <w:rFonts w:hint="eastAsia" w:ascii="宋体" w:hAnsi="宋体" w:eastAsia="宋体" w:cs="宋体"/>
          <w:color w:val="auto"/>
          <w:szCs w:val="21"/>
          <w:highlight w:val="none"/>
          <w:u w:val="single"/>
        </w:rPr>
        <w:t>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安全生产考核合格证书号：</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承包人对项目经理的授权范围如下：</w:t>
      </w:r>
      <w:r>
        <w:rPr>
          <w:rFonts w:hint="eastAsia" w:ascii="宋体" w:hAnsi="宋体" w:eastAsia="宋体" w:cs="宋体"/>
          <w:color w:val="auto"/>
          <w:kern w:val="0"/>
          <w:szCs w:val="21"/>
          <w:highlight w:val="none"/>
          <w:u w:val="single"/>
        </w:rPr>
        <w:t>严格按设计图纸、现行国家施工规范及验收规范组织施工，保证工程质量、进度、安全；及时向监理人、发包人报告现场情况（以承包人书面授权范围为准）</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关于项目经理每月在施工现场的时间要求：</w:t>
      </w:r>
      <w:r>
        <w:rPr>
          <w:rFonts w:hint="eastAsia" w:ascii="宋体" w:hAnsi="宋体" w:eastAsia="宋体" w:cs="宋体"/>
          <w:color w:val="auto"/>
          <w:kern w:val="0"/>
          <w:szCs w:val="21"/>
          <w:highlight w:val="none"/>
          <w:u w:val="single"/>
        </w:rPr>
        <w:t>不少于22天，由监理人负责项目经理的考勤</w:t>
      </w:r>
      <w:r>
        <w:rPr>
          <w:rFonts w:hint="eastAsia" w:ascii="宋体" w:hAnsi="宋体" w:eastAsia="宋体" w:cs="宋体"/>
          <w:color w:val="auto"/>
          <w:kern w:val="0"/>
          <w:szCs w:val="21"/>
          <w:highlight w:val="none"/>
        </w:rPr>
        <w:t>。</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承包人应在合同签订前提交与项目经理签订的劳动合同及为项目经理交纳社会保险的证明，承包人未在限期内提交的，项目经理无权履行职责，发包人有权要求更换项目经理</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4.6 承包人人员的管理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4.6.3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4.6.5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4.6.5 尽管承包人已按承诺派遣了上述各类人员，但若这些人员仍不能满足合同进度计划和（或）质量要求时，监理人有权要求承包人继续增派或雇用这类人员，并书面通知承包人和抄送发包人。承包人在接到上述通知后应立即执行监理人的上述指示，不得无故拖延，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项目总工：</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    名：</w:t>
      </w:r>
      <w:r>
        <w:rPr>
          <w:rFonts w:hint="eastAsia" w:ascii="宋体" w:hAnsi="宋体" w:eastAsia="宋体" w:cs="宋体"/>
          <w:color w:val="auto"/>
          <w:szCs w:val="21"/>
          <w:highlight w:val="none"/>
          <w:u w:val="single"/>
        </w:rPr>
        <w:t xml:space="preserve">      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职称等级：</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    业：</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证书编号：</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u w:val="single"/>
        </w:rPr>
        <w:t xml:space="preserve">        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关于项目总工每月在施工现场的时间要求：</w:t>
      </w:r>
      <w:r>
        <w:rPr>
          <w:rFonts w:hint="eastAsia" w:ascii="宋体" w:hAnsi="宋体" w:eastAsia="宋体" w:cs="宋体"/>
          <w:color w:val="auto"/>
          <w:kern w:val="0"/>
          <w:szCs w:val="21"/>
          <w:highlight w:val="none"/>
          <w:u w:val="single"/>
        </w:rPr>
        <w:t>不少于22天，由监理人负责项目总工的考勤</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承包人应在合同签订后7天内提交与项目总工签订的劳动合同及为项目总工交纳社会保险的证明，承包人未在限期内提交的，项目总工无权履行职责，发包人有权要求更换项目总工</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本款补充的 4.6.6 项</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 xml:space="preserve">4.6.6 </w:t>
      </w:r>
      <w:r>
        <w:rPr>
          <w:rFonts w:hint="eastAsia" w:ascii="宋体" w:hAnsi="宋体" w:eastAsia="宋体" w:cs="宋体"/>
          <w:color w:val="auto"/>
          <w:kern w:val="0"/>
          <w:szCs w:val="21"/>
          <w:highlight w:val="none"/>
        </w:rPr>
        <w:t>承包人主要施工管理人员离开施工现场的批准要求：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4.7 撤换承包人项目经理和其他人员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本款补充第 4.7.1 项、第 4.7.2 项：</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4.7.1撤换承包人项目经理</w:t>
      </w:r>
      <w:r>
        <w:rPr>
          <w:rFonts w:hint="eastAsia" w:ascii="宋体" w:hAnsi="宋体" w:eastAsia="宋体" w:cs="宋体"/>
          <w:color w:val="auto"/>
          <w:kern w:val="0"/>
          <w:szCs w:val="21"/>
          <w:highlight w:val="none"/>
        </w:rPr>
        <w:t>（或）项目总工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发包人有权书面通知承包人更换其认为不称职/不履职的项目经理和（或）项目总工，通知中应当载明要求更换的理由。承包人应在接到更换通知后7天内向发包人提出书面的改进报告。发包人收到改进报告后仍要求更换的，承包人应在接到第二次更换通知的14天内进行更换，并将新任命的项目经理和（或）项目总工的注册执业资格、职称证书、管理经验等资料书面报送发包人。继任项目经理和（或）项目总工继续履行合同约定的职责。</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若项目经理和</w:t>
      </w:r>
      <w:r>
        <w:rPr>
          <w:rFonts w:hint="eastAsia" w:ascii="宋体" w:hAnsi="宋体" w:eastAsia="宋体" w:cs="宋体"/>
          <w:color w:val="auto"/>
          <w:kern w:val="0"/>
          <w:szCs w:val="21"/>
          <w:highlight w:val="none"/>
        </w:rPr>
        <w:t>（或）</w:t>
      </w:r>
      <w:r>
        <w:rPr>
          <w:rFonts w:hint="eastAsia" w:ascii="宋体" w:hAnsi="宋体" w:eastAsia="宋体" w:cs="宋体"/>
          <w:color w:val="auto"/>
          <w:szCs w:val="21"/>
          <w:highlight w:val="none"/>
        </w:rPr>
        <w:t>项目总工出现下列情形需更换的，承包人应在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天前书面通知发包人和监理人，经发包人领导班子集体决策同意后予以批准，并将变更信息推送给行业主管部门：</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（1）死亡；</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（2）非承包人原因导致工期延长，而致使项目经理和项目总工达到法定退休年龄且确需退休；</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（3）按《职工非因工伤残或因病丧失劳动能力程度鉴定标准（试行）》规定鉴定为完全丧失劳动能力和大部分丧失劳动能力；</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（4）非承包人原因导致中标3个月不能开工；</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（5）被公安或者司法机关限制人身自由；</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（6）被取消职称或者执业资格，不满足项目管理要求；</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（7）非承包人原因导致确需变更的其它情形。</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4.7.2撤换承包人其他人员</w:t>
      </w:r>
    </w:p>
    <w:p>
      <w:pPr>
        <w:snapToGrid w:val="0"/>
        <w:spacing w:line="360" w:lineRule="auto"/>
        <w:ind w:firstLine="48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承包人应按</w:t>
      </w:r>
      <w:r>
        <w:rPr>
          <w:rFonts w:hint="eastAsia" w:ascii="宋体" w:hAnsi="宋体" w:eastAsia="宋体" w:cs="宋体"/>
          <w:color w:val="auto"/>
          <w:szCs w:val="21"/>
          <w:highlight w:val="none"/>
          <w:lang w:eastAsia="zh-CN"/>
        </w:rPr>
        <w:t>比选人比选文件</w:t>
      </w:r>
      <w:r>
        <w:rPr>
          <w:rFonts w:hint="eastAsia" w:ascii="宋体" w:hAnsi="宋体" w:eastAsia="宋体" w:cs="宋体"/>
          <w:color w:val="auto"/>
          <w:szCs w:val="21"/>
          <w:highlight w:val="none"/>
        </w:rPr>
        <w:t>规定配备现场施工从业人员，具体人员配备下：</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。若国有资金投资项目其他主要人员变更的，参照《重庆市政府投资项目合同变更管理暂行办法》的规定。</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派驻到施工现场的主要施工管理人员在施工过程中如有变动，承包人应及时向监理人提交施工现场人员变动情况的报告。承包人更换主要施工管理人员时，应提前7天书面通知监理人，并征得发包人书面同意。通知中应当载明继任人员的职称、执业资格、项目管理经验等资料。更换后的施工管理人员应当是承包人的正式员工，且在职称、执业资格、项目管理经验等方面不低于原施工管理人员。</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有权书面通知承包人更换其认为不称职的主要施工管理人员，通知中应当载明要求更换的理由。承包人应在接到更换通知后7天内向发包人提出书面的改进报告。发包人收到改进报告后仍要求更换的，承包人应在接到第二次更换通知的7天内进行更换，并将新委派的主要施工管理人员的注册执业资格、职称证书、管理经验等资料书面报送发包人</w:t>
      </w:r>
      <w:r>
        <w:rPr>
          <w:rFonts w:hint="eastAsia" w:ascii="宋体" w:hAnsi="宋体" w:eastAsia="宋体" w:cs="宋体"/>
          <w:color w:val="auto"/>
          <w:szCs w:val="21"/>
          <w:highlight w:val="none"/>
        </w:rPr>
        <w:t>审核批准</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bidi="ar"/>
        </w:rPr>
        <w:t xml:space="preserve">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4.9 工程价款应专款专用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改正，否则，将终止月支付，直至承包人改正为止。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4.10 承包人现场查勘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4.10.1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提供的本合同工程的水文、地质、气象和料场分布、取土场、弃土场位置等资料均属于参考资料，并不构成合同文件的组成部分，承包人应对自己就上述资料的解释、推论和应用负责，发包人不对承包人据此作出的判断和决策承担任何责任。</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4.11 不利物质条件</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4.11.1 项细化为：</w:t>
      </w:r>
    </w:p>
    <w:p>
      <w:pPr>
        <w:spacing w:line="360" w:lineRule="auto"/>
        <w:ind w:right="248"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不利物质条件的范围：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4.11.2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4.11.2 承包人遇到不可预见的不利物质条件时，应采取适应不利物质条件的合理措施继续施工，并及时通知监理人。监理人应当及时发出指示，指示构成变更的，按第 15 条约定办理。监理人没有发出指示的，承包人因采取合理措施而增加的费用和（或）工期延误，由发包人承担。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4.11.3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4.11.3 可预见的不利物质条件</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（1）对于专用合同条款中已经明确指出的不利物质条件无论承包人是否有其经历和经验均视为承包人在接受合同时已预见其影响，并已在签约合同价中计入因其影响而可能发生的一切费用。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（2）对于专用合同条款未明确指出，但是在不利物质条件发生之前，监理人已经指示承包人有可能发生，但承包人未能及时采取有效措施，而导致的损失和后果均由承包人承担。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4.12 款、第 4.13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4.12 投标文件的完备性</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4.13 开展党建工作要求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对于政府投资的国家高速公路项目，或承包人为国有控股或参股企业的，承包人应按规定在项目现场设立基层党组织。不满足上述情形的，承包人应创造条件使党员能够参加党组织生活并接受相应管理。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pPr>
        <w:pStyle w:val="5"/>
        <w:spacing w:before="0" w:after="0" w:line="360" w:lineRule="auto"/>
        <w:rPr>
          <w:rFonts w:hint="eastAsia" w:ascii="宋体" w:hAnsi="宋体" w:eastAsia="宋体" w:cs="宋体"/>
          <w:color w:val="auto"/>
          <w:highlight w:val="none"/>
        </w:rPr>
      </w:pPr>
      <w:bookmarkStart w:id="252" w:name="_Toc57795969"/>
      <w:bookmarkStart w:id="253" w:name="_Toc19994"/>
      <w:r>
        <w:rPr>
          <w:rFonts w:hint="eastAsia" w:ascii="宋体" w:hAnsi="宋体" w:eastAsia="宋体" w:cs="宋体"/>
          <w:color w:val="auto"/>
          <w:highlight w:val="none"/>
        </w:rPr>
        <w:t>5、材料和工程设备</w:t>
      </w:r>
      <w:bookmarkEnd w:id="252"/>
      <w:bookmarkEnd w:id="25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5.1 承包人提供的材料和工程设备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5.1.4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（1）承包人负责采购、运输和保管的材料、工程设备：</w:t>
      </w:r>
      <w:r>
        <w:rPr>
          <w:rFonts w:hint="eastAsia" w:ascii="宋体" w:hAnsi="宋体" w:eastAsia="宋体" w:cs="宋体"/>
          <w:color w:val="auto"/>
          <w:kern w:val="0"/>
          <w:szCs w:val="21"/>
          <w:highlight w:val="none"/>
          <w:u w:val="single"/>
        </w:rPr>
        <w:t>由承包人自行采购。承包人采购材料设备必须经监理人和发包人批准，结算时由监理人和发包人按</w:t>
      </w:r>
      <w:r>
        <w:rPr>
          <w:rFonts w:hint="eastAsia" w:ascii="宋体" w:hAnsi="宋体" w:eastAsia="宋体" w:cs="宋体"/>
          <w:color w:val="auto"/>
          <w:kern w:val="0"/>
          <w:szCs w:val="21"/>
          <w:highlight w:val="none"/>
          <w:u w:val="single"/>
          <w:lang w:eastAsia="zh-CN"/>
        </w:rPr>
        <w:t>比选文件</w:t>
      </w:r>
      <w:r>
        <w:rPr>
          <w:rFonts w:hint="eastAsia" w:ascii="宋体" w:hAnsi="宋体" w:eastAsia="宋体" w:cs="宋体"/>
          <w:color w:val="auto"/>
          <w:kern w:val="0"/>
          <w:szCs w:val="21"/>
          <w:highlight w:val="none"/>
          <w:u w:val="single"/>
        </w:rPr>
        <w:t>规定审核的数量和合同约定价格价格计算</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rPr>
        <w:t>（2）承包人报送监理人审批的时间：</w:t>
      </w:r>
      <w:r>
        <w:rPr>
          <w:rFonts w:hint="eastAsia" w:ascii="宋体" w:hAnsi="宋体" w:eastAsia="宋体" w:cs="宋体"/>
          <w:color w:val="auto"/>
          <w:kern w:val="0"/>
          <w:szCs w:val="21"/>
          <w:highlight w:val="none"/>
          <w:u w:val="single"/>
        </w:rPr>
        <w:t>按发包人及监理单位的相关规定执行</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szCs w:val="21"/>
          <w:highlight w:val="none"/>
        </w:rPr>
        <w:t>承包人选择的生产厂家或供应商满足下列条件：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a.承包人采购的材料与设计或标准要求不符时，承包人应按发包人和监理人要求的时间运出施工场地，并重新采购符合要求的产品，并承担由此发生的费用，因此延误的工期不予顺延。</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b.承包人采购的材料在使用前，应按发包人和监理人的要求进行检验或试验，不合格的不得使用。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5.2 发包人提供的材料和工程设备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5.2.1 项补充：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发包人是否提供材料或工程设备：</w:t>
      </w:r>
      <w:r>
        <w:rPr>
          <w:rFonts w:hint="eastAsia" w:ascii="宋体" w:hAnsi="宋体" w:eastAsia="宋体" w:cs="宋体"/>
          <w:color w:val="auto"/>
          <w:kern w:val="0"/>
          <w:szCs w:val="21"/>
          <w:highlight w:val="none"/>
          <w:lang w:bidi="ar"/>
        </w:rPr>
        <w:sym w:font="Wingdings 2" w:char="00A3"/>
      </w:r>
      <w:r>
        <w:rPr>
          <w:rFonts w:hint="eastAsia" w:ascii="宋体" w:hAnsi="宋体" w:eastAsia="宋体" w:cs="宋体"/>
          <w:color w:val="auto"/>
          <w:kern w:val="0"/>
          <w:szCs w:val="21"/>
          <w:highlight w:val="none"/>
          <w:lang w:bidi="ar"/>
        </w:rPr>
        <w:t>是或</w:t>
      </w:r>
      <w:r>
        <w:rPr>
          <w:rFonts w:hint="eastAsia" w:ascii="宋体" w:hAnsi="宋体" w:eastAsia="宋体" w:cs="宋体"/>
          <w:color w:val="auto"/>
          <w:kern w:val="0"/>
          <w:szCs w:val="21"/>
          <w:highlight w:val="none"/>
          <w:lang w:bidi="ar"/>
        </w:rPr>
        <w:sym w:font="Wingdings 2" w:char="0052"/>
      </w:r>
      <w:r>
        <w:rPr>
          <w:rFonts w:hint="eastAsia" w:ascii="宋体" w:hAnsi="宋体" w:eastAsia="宋体" w:cs="宋体"/>
          <w:color w:val="auto"/>
          <w:kern w:val="0"/>
          <w:szCs w:val="21"/>
          <w:highlight w:val="none"/>
          <w:lang w:bidi="ar"/>
        </w:rPr>
        <w:t>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如发包人负责提供部分材料或工程设备，相关规定如下：</w:t>
      </w:r>
      <w:r>
        <w:rPr>
          <w:rFonts w:hint="eastAsia" w:ascii="宋体" w:hAnsi="宋体" w:eastAsia="宋体" w:cs="宋体"/>
          <w:color w:val="auto"/>
          <w:kern w:val="0"/>
          <w:szCs w:val="21"/>
          <w:highlight w:val="none"/>
          <w:u w:val="single"/>
          <w:lang w:bidi="ar"/>
        </w:rPr>
        <w:t xml:space="preserve">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5.2.3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5.4 禁止使用不合格的材料和工程设备</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5.4.4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5.4.4发包人按约定的内容提供材料设备，承包人按施工规范和检测规范对一切进场材料进行质量检验，承包人有权退回检验不合格的材料；承包人对投入使用的材料质量负责，并对工程质量全面负责。</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本条补充第 5.5 款、第 5.6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5.5 材料与工程设备的保管与使用</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发包人供应的材料设备的保管费用的承担：</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5.6 样品</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需要承包人报送样品的材料或工程设备，样品的种类、名称、规格、数量要求：</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5"/>
        <w:spacing w:before="0" w:after="0" w:line="360" w:lineRule="auto"/>
        <w:rPr>
          <w:rFonts w:hint="eastAsia" w:ascii="宋体" w:hAnsi="宋体" w:eastAsia="宋体" w:cs="宋体"/>
          <w:color w:val="auto"/>
          <w:highlight w:val="none"/>
        </w:rPr>
      </w:pPr>
      <w:bookmarkStart w:id="254" w:name="_Toc57795970"/>
      <w:bookmarkStart w:id="255" w:name="_Toc2568"/>
      <w:r>
        <w:rPr>
          <w:rFonts w:hint="eastAsia" w:ascii="宋体" w:hAnsi="宋体" w:eastAsia="宋体" w:cs="宋体"/>
          <w:color w:val="auto"/>
          <w:highlight w:val="none"/>
        </w:rPr>
        <w:t>6、施工设备和临时设施</w:t>
      </w:r>
      <w:bookmarkEnd w:id="254"/>
      <w:bookmarkEnd w:id="255"/>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6.1 承包人提供的施工设备和临时设施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6.1.2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承包人应自行承担修建临时设施的费用，需要临时占地的，应由承包人按第 4.1.10 项（1）目的规定办理。</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6.2  发包人提供的施工设备和临时设施</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4" w:firstLineChars="202"/>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（1）发包人提供的的施工设备见下表：</w:t>
      </w:r>
    </w:p>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发包人提供的施工设备表（参考格式）</w:t>
      </w:r>
    </w:p>
    <w:tbl>
      <w:tblPr>
        <w:tblStyle w:val="3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1560"/>
        <w:gridCol w:w="992"/>
        <w:gridCol w:w="1134"/>
        <w:gridCol w:w="1701"/>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842"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施工设备名称</w:t>
            </w:r>
          </w:p>
        </w:tc>
        <w:tc>
          <w:tcPr>
            <w:tcW w:w="156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型号及规格</w:t>
            </w:r>
          </w:p>
        </w:tc>
        <w:tc>
          <w:tcPr>
            <w:tcW w:w="992" w:type="dxa"/>
            <w:vAlign w:val="center"/>
          </w:tcPr>
          <w:p>
            <w:pPr>
              <w:spacing w:line="360" w:lineRule="auto"/>
              <w:ind w:right="-33"/>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数量</w:t>
            </w:r>
          </w:p>
        </w:tc>
        <w:tc>
          <w:tcPr>
            <w:tcW w:w="1134"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交货地点</w:t>
            </w:r>
          </w:p>
        </w:tc>
        <w:tc>
          <w:tcPr>
            <w:tcW w:w="1701"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计划交货日期</w:t>
            </w:r>
          </w:p>
        </w:tc>
        <w:tc>
          <w:tcPr>
            <w:tcW w:w="850" w:type="dxa"/>
            <w:vAlign w:val="center"/>
          </w:tcPr>
          <w:p>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spacing w:line="360" w:lineRule="auto"/>
              <w:ind w:right="248"/>
              <w:jc w:val="center"/>
              <w:rPr>
                <w:rFonts w:hint="eastAsia" w:ascii="宋体" w:hAnsi="宋体" w:eastAsia="宋体" w:cs="宋体"/>
                <w:color w:val="auto"/>
                <w:szCs w:val="21"/>
                <w:highlight w:val="none"/>
              </w:rPr>
            </w:pPr>
          </w:p>
        </w:tc>
        <w:tc>
          <w:tcPr>
            <w:tcW w:w="1842" w:type="dxa"/>
            <w:vAlign w:val="center"/>
          </w:tcPr>
          <w:p>
            <w:pPr>
              <w:spacing w:line="360" w:lineRule="auto"/>
              <w:ind w:right="248"/>
              <w:jc w:val="center"/>
              <w:rPr>
                <w:rFonts w:hint="eastAsia" w:ascii="宋体" w:hAnsi="宋体" w:eastAsia="宋体" w:cs="宋体"/>
                <w:color w:val="auto"/>
                <w:szCs w:val="21"/>
                <w:highlight w:val="none"/>
              </w:rPr>
            </w:pPr>
          </w:p>
        </w:tc>
        <w:tc>
          <w:tcPr>
            <w:tcW w:w="1560" w:type="dxa"/>
            <w:vAlign w:val="center"/>
          </w:tcPr>
          <w:p>
            <w:pPr>
              <w:spacing w:line="360" w:lineRule="auto"/>
              <w:ind w:right="248"/>
              <w:jc w:val="center"/>
              <w:rPr>
                <w:rFonts w:hint="eastAsia" w:ascii="宋体" w:hAnsi="宋体" w:eastAsia="宋体" w:cs="宋体"/>
                <w:color w:val="auto"/>
                <w:szCs w:val="21"/>
                <w:highlight w:val="none"/>
              </w:rPr>
            </w:pPr>
          </w:p>
        </w:tc>
        <w:tc>
          <w:tcPr>
            <w:tcW w:w="992" w:type="dxa"/>
            <w:vAlign w:val="center"/>
          </w:tcPr>
          <w:p>
            <w:pPr>
              <w:spacing w:line="360" w:lineRule="auto"/>
              <w:ind w:right="248"/>
              <w:jc w:val="center"/>
              <w:rPr>
                <w:rFonts w:hint="eastAsia" w:ascii="宋体" w:hAnsi="宋体" w:eastAsia="宋体" w:cs="宋体"/>
                <w:color w:val="auto"/>
                <w:szCs w:val="21"/>
                <w:highlight w:val="none"/>
              </w:rPr>
            </w:pPr>
          </w:p>
        </w:tc>
        <w:tc>
          <w:tcPr>
            <w:tcW w:w="1134" w:type="dxa"/>
            <w:vAlign w:val="center"/>
          </w:tcPr>
          <w:p>
            <w:pPr>
              <w:spacing w:line="360" w:lineRule="auto"/>
              <w:ind w:right="248"/>
              <w:jc w:val="center"/>
              <w:rPr>
                <w:rFonts w:hint="eastAsia" w:ascii="宋体" w:hAnsi="宋体" w:eastAsia="宋体" w:cs="宋体"/>
                <w:color w:val="auto"/>
                <w:szCs w:val="21"/>
                <w:highlight w:val="none"/>
              </w:rPr>
            </w:pPr>
          </w:p>
        </w:tc>
        <w:tc>
          <w:tcPr>
            <w:tcW w:w="1701" w:type="dxa"/>
            <w:vAlign w:val="center"/>
          </w:tcPr>
          <w:p>
            <w:pPr>
              <w:spacing w:line="360" w:lineRule="auto"/>
              <w:ind w:right="248"/>
              <w:jc w:val="center"/>
              <w:rPr>
                <w:rFonts w:hint="eastAsia" w:ascii="宋体" w:hAnsi="宋体" w:eastAsia="宋体" w:cs="宋体"/>
                <w:color w:val="auto"/>
                <w:szCs w:val="21"/>
                <w:highlight w:val="none"/>
              </w:rPr>
            </w:pPr>
          </w:p>
        </w:tc>
        <w:tc>
          <w:tcPr>
            <w:tcW w:w="850" w:type="dxa"/>
            <w:vAlign w:val="center"/>
          </w:tcPr>
          <w:p>
            <w:pPr>
              <w:spacing w:line="360" w:lineRule="auto"/>
              <w:ind w:right="248"/>
              <w:jc w:val="center"/>
              <w:rPr>
                <w:rFonts w:hint="eastAsia" w:ascii="宋体" w:hAnsi="宋体" w:eastAsia="宋体" w:cs="宋体"/>
                <w:color w:val="auto"/>
                <w:szCs w:val="21"/>
                <w:highlight w:val="none"/>
              </w:rPr>
            </w:pPr>
          </w:p>
        </w:tc>
      </w:tr>
    </w:tbl>
    <w:p>
      <w:pPr>
        <w:pStyle w:val="28"/>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注：设备状况栏内填写该设备的新旧程度、购进时间、已使用小时数和最近一次的大修时间。</w:t>
      </w:r>
    </w:p>
    <w:p>
      <w:pPr>
        <w:spacing w:line="360" w:lineRule="auto"/>
        <w:ind w:right="248" w:firstLine="424" w:firstLineChars="202"/>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（2）发包人提供的临时设施：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6.3 要求承包人增加或更换施工设备</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时增加或更换，由此增加的费用和（或）工期延误由承包人承担。</w:t>
      </w:r>
    </w:p>
    <w:p>
      <w:pPr>
        <w:pStyle w:val="5"/>
        <w:spacing w:before="0" w:after="0" w:line="360" w:lineRule="auto"/>
        <w:rPr>
          <w:rFonts w:hint="eastAsia" w:ascii="宋体" w:hAnsi="宋体" w:eastAsia="宋体" w:cs="宋体"/>
          <w:color w:val="auto"/>
          <w:highlight w:val="none"/>
        </w:rPr>
      </w:pPr>
      <w:bookmarkStart w:id="256" w:name="_Toc57795971"/>
      <w:bookmarkStart w:id="257" w:name="_Toc1521"/>
      <w:r>
        <w:rPr>
          <w:rFonts w:hint="eastAsia" w:ascii="宋体" w:hAnsi="宋体" w:eastAsia="宋体" w:cs="宋体"/>
          <w:color w:val="auto"/>
          <w:highlight w:val="none"/>
        </w:rPr>
        <w:t>7、交通运输</w:t>
      </w:r>
      <w:bookmarkEnd w:id="256"/>
      <w:bookmarkEnd w:id="25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7.1 道路通行权和场外设施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承包人应根据合同工程的施工需要，负责办理取得出入施工场地的专用和临时道路的通行权，以及取得为工程建设所需修建场外设施的权利，并承担有关费用。 需要发包人协调时，发包人应协助承包人办理相关手续。</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7.2 场内施工道路</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7.2.3 项：</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7.2.3由发包人提供的部分道路和交通设施维修、养护和管理的约定：</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u w:val="single"/>
        </w:rPr>
      </w:pPr>
      <w:r>
        <w:rPr>
          <w:rFonts w:hint="eastAsia" w:ascii="宋体" w:hAnsi="宋体" w:eastAsia="宋体" w:cs="宋体"/>
          <w:color w:val="auto"/>
          <w:kern w:val="0"/>
          <w:szCs w:val="21"/>
          <w:highlight w:val="none"/>
        </w:rPr>
        <w:t>关于场外交通和场内交通的边界的约定：</w:t>
      </w:r>
      <w:r>
        <w:rPr>
          <w:rFonts w:hint="eastAsia" w:ascii="宋体" w:hAnsi="宋体" w:eastAsia="宋体" w:cs="宋体"/>
          <w:color w:val="auto"/>
          <w:szCs w:val="21"/>
          <w:highlight w:val="none"/>
          <w:u w:val="single"/>
        </w:rPr>
        <w:t>以合同工程用地红线为界，用地红线外为场外交通，用地红线范围内为场内交通（场外道路穿越场内的除外）</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关于发包人向承包人免费提供满足工程施工需要的场内道路和交通设施的约定：</w:t>
      </w:r>
      <w:r>
        <w:rPr>
          <w:rFonts w:hint="eastAsia" w:ascii="宋体" w:hAnsi="宋体" w:eastAsia="宋体" w:cs="宋体"/>
          <w:color w:val="auto"/>
          <w:kern w:val="0"/>
          <w:szCs w:val="21"/>
          <w:highlight w:val="none"/>
          <w:u w:val="single"/>
        </w:rPr>
        <w:t>以施工场地移交时的现状为准</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7.3 场外交通</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7.3.3 项</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承包人应遵守有关交通法规，执行有关道路限速、限行、禁止超载的规定，并配合交通管理部门的监督和检查。场外交通以施工场地移交时的现状为准。</w:t>
      </w:r>
    </w:p>
    <w:p>
      <w:pPr>
        <w:pStyle w:val="5"/>
        <w:spacing w:before="0" w:after="0" w:line="360" w:lineRule="auto"/>
        <w:rPr>
          <w:rFonts w:hint="eastAsia" w:ascii="宋体" w:hAnsi="宋体" w:eastAsia="宋体" w:cs="宋体"/>
          <w:color w:val="auto"/>
          <w:highlight w:val="none"/>
        </w:rPr>
      </w:pPr>
      <w:bookmarkStart w:id="258" w:name="_Toc57795972"/>
      <w:bookmarkStart w:id="259" w:name="_Toc25933"/>
      <w:r>
        <w:rPr>
          <w:rFonts w:hint="eastAsia" w:ascii="宋体" w:hAnsi="宋体" w:eastAsia="宋体" w:cs="宋体"/>
          <w:color w:val="auto"/>
          <w:highlight w:val="none"/>
        </w:rPr>
        <w:t>8、测量放线</w:t>
      </w:r>
      <w:bookmarkEnd w:id="258"/>
      <w:bookmarkEnd w:id="25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8.1施工控制网</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8.1.1 项细化为：</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发包人提供测量基准点、基准线和水准点及其书面资料的期限：中标通知之后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天之内</w:t>
      </w:r>
      <w:r>
        <w:rPr>
          <w:rFonts w:hint="eastAsia" w:ascii="宋体" w:hAnsi="宋体" w:eastAsia="宋体" w:cs="宋体"/>
          <w:color w:val="auto"/>
          <w:kern w:val="0"/>
          <w:szCs w:val="21"/>
          <w:highlight w:val="none"/>
        </w:rPr>
        <w:t>。</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承包人将施工控制网资料报送监理人审批的期限：在发包人提供上述资料后</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天之内。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8.4 监理人使用施工控制网</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经监理人批准，其他相关承包人也可免费使用施工控制网。</w:t>
      </w:r>
    </w:p>
    <w:p>
      <w:pPr>
        <w:pStyle w:val="5"/>
        <w:spacing w:before="0" w:after="0" w:line="360" w:lineRule="auto"/>
        <w:rPr>
          <w:rFonts w:hint="eastAsia" w:ascii="宋体" w:hAnsi="宋体" w:eastAsia="宋体" w:cs="宋体"/>
          <w:color w:val="auto"/>
          <w:highlight w:val="none"/>
        </w:rPr>
      </w:pPr>
      <w:bookmarkStart w:id="260" w:name="_Toc57795973"/>
      <w:bookmarkStart w:id="261" w:name="_Toc26467"/>
      <w:r>
        <w:rPr>
          <w:rFonts w:hint="eastAsia" w:ascii="宋体" w:hAnsi="宋体" w:eastAsia="宋体" w:cs="宋体"/>
          <w:color w:val="auto"/>
          <w:highlight w:val="none"/>
        </w:rPr>
        <w:t>9、施工安全、治安保卫和环境保护</w:t>
      </w:r>
      <w:bookmarkEnd w:id="260"/>
      <w:bookmarkEnd w:id="26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9.1 发包人的施工安全责任</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本款补充第 9.1.4 项、第 </w:t>
      </w:r>
      <w:r>
        <w:rPr>
          <w:rFonts w:hint="eastAsia" w:ascii="宋体" w:hAnsi="宋体" w:eastAsia="宋体" w:cs="宋体"/>
          <w:color w:val="auto"/>
          <w:kern w:val="0"/>
          <w:szCs w:val="21"/>
          <w:highlight w:val="none"/>
        </w:rPr>
        <w:t xml:space="preserve">9.1.5 </w:t>
      </w:r>
      <w:r>
        <w:rPr>
          <w:rFonts w:hint="eastAsia" w:ascii="宋体" w:hAnsi="宋体" w:eastAsia="宋体" w:cs="宋体"/>
          <w:color w:val="auto"/>
          <w:szCs w:val="21"/>
          <w:highlight w:val="none"/>
        </w:rPr>
        <w:t>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9.1.4发包人负责提供的地下管线资料有：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，其余可能影响相邻建筑物地下工程的有关资料由承包人负责收集，并保证有关资料的真实、准确、完整，满足有关技术规程的要求。</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9.1.5发包人安全监督部门应当按照现行标准规范对施工现场安全生产措施落实情况进行监督检查，对安全生产状况进行综合评定，并将评定结果纳入安全档案。</w:t>
      </w:r>
    </w:p>
    <w:p>
      <w:pPr>
        <w:pStyle w:val="6"/>
        <w:spacing w:before="0" w:beforeAutospacing="0" w:after="0" w:afterAutospacing="0" w:line="360" w:lineRule="auto"/>
        <w:rPr>
          <w:rFonts w:hint="eastAsia" w:ascii="宋体" w:hAnsi="宋体" w:eastAsia="宋体" w:cs="宋体"/>
          <w:color w:val="auto"/>
          <w:sz w:val="21"/>
          <w:szCs w:val="21"/>
          <w:highlight w:val="none"/>
        </w:rPr>
      </w:pPr>
      <w:r>
        <w:rPr>
          <w:rFonts w:hint="eastAsia" w:ascii="宋体" w:hAnsi="宋体" w:eastAsia="宋体" w:cs="宋体"/>
          <w:color w:val="auto"/>
          <w:highlight w:val="none"/>
        </w:rPr>
        <w:t>9.2 承包人的施工安全责任</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9.2.1 项细化为：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承包人应根据本工程的实际安全施工要求，编制施工安全技术措施，并在签订合同协议书后 28 天内，报监理人和发包人批准。该施工安全技术措施包括（但不限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并报监理人和发包人批准后实施，由专职安全生产管理人员进行现场监督。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本项目需要编制专项施工方案的工程包括但不限于以下内容：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（1）不良地质条件下有潜在危险性的土方、石方开挖；</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（2）滑坡和高边坡处理；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（3）桩基础、挡墙基础、深水基础及围堰工程；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（4）桥梁工程中的梁、拱、柱等构件施工等；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（5）隧道工程中的不良地质隧道、高瓦斯隧道等；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（6）水上工程中的打桩船作业、施工船作业、外海孤岛作业、边通航边施工作业等；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（7）水下工程中的水下焊接、混凝土浇筑、爆破工程等；</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（8）爆破工程；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（9）大型临时工程中的大型支架、模板、便桥的架设与拆除；桥梁、码头的加固与拆除；</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（10）其他危险性较大的工程。</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监理人和发包人在检查中发现有安全问题或有违反安全管理规章制度的情况时，可视为承包人违约，应按第 22.1 款的规定办理。</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第 9.2.5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安全生产费用应为投标价（不含安全生产费及建筑工程一切险及第三者责任险的保险费）的 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安全生产费用按相关规定计取。安全生产费的使用和支付管理按照财政部、国家安全生产监督管理总局联合制定的《企业安全生产费用提取和使用管理办法》（财企[2012]16号、《重庆市交通局关于印发《重庆市公路水运工程安全生产费用管理办法（试行）》的通知》（渝交委安[2014]32号）执行，如有新的管理办法，按照新的管理办法执行。若承包人在此基础上增加安全生产费用以满足项目施工需要，则承包人应在本项目工程量清单的单价或总额价中予以考虑，发包人不再另行支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9.2.8 项~第 9.2.11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9.2.8 承包人应充分关注和保障所有在现场工作的人员的安全，采取以下有效措施，使现场和本合同工程的实施保持有条不紊，以免使上述人员的安全受到威胁。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（1）按《公路水运工程安全生产监督管理办法》规定的最低数量和资质条件配备专职安全生产管理人员；</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承包人的垂直运输机械作业人员、施工船舶作业人员、爆破作业人员、安装拆卸工、起重信号工、电工、焊工等国家规定的特种作业人员，必须按照国家规定经过专门的安全作业培训，并取得特种作业操作资格证书后，方可上岗作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（3）所有施工机具设备和高空作业设备均应定期检查，并有安全员的</w:t>
      </w:r>
      <w:r>
        <w:rPr>
          <w:rFonts w:hint="eastAsia" w:ascii="宋体" w:hAnsi="宋体" w:eastAsia="宋体" w:cs="宋体"/>
          <w:color w:val="auto"/>
          <w:kern w:val="0"/>
          <w:szCs w:val="21"/>
          <w:highlight w:val="none"/>
          <w:lang w:eastAsia="zh-CN" w:bidi="ar"/>
        </w:rPr>
        <w:t>签名</w:t>
      </w:r>
      <w:r>
        <w:rPr>
          <w:rFonts w:hint="eastAsia" w:ascii="宋体" w:hAnsi="宋体" w:eastAsia="宋体" w:cs="宋体"/>
          <w:color w:val="auto"/>
          <w:kern w:val="0"/>
          <w:szCs w:val="21"/>
          <w:highlight w:val="none"/>
          <w:lang w:bidi="ar"/>
        </w:rPr>
        <w:t>记录；</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（4）根据本合同各单位工程的施工特点，严格执行《公路水运工程安全生产监督管理办法》《公路工程施工安全技术规范》等有关规定。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9.2.9 为了保护本合同工程免遭损坏，或为了现场附近和过往群众的安全与方便，在确有必要的时候和地方，或当监理人或有关主管部门要求时，承包人应自费提供照明、警卫、护栅、警告标志等安全防护设施。</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9.2.10 在通航水域施工时，承包人应与当地主管部门取得联系，设置必要的导航标志，及时发布航行通告，确保施工水域安全。</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9.2.11 在整个施工过程中对承包人采取的施工安全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9.4 环境保护</w:t>
      </w:r>
    </w:p>
    <w:p>
      <w:pPr>
        <w:pStyle w:val="2"/>
        <w:spacing w:after="0"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第 9.4.6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国家和重庆市的有关规定及合同约定，加强对噪声、粉尘、废气、废水和废油的控制，努力降低噪声，控制粉尘和废气浓度，做好废水和废油的治理和排放。承包人在施工过程中应严格落实各项水土保持、环境保护措施以及饮用水源保护区的环保措施，若由于施工未采取有效措施导致环境破坏或水土流失引起的损失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本款补充第 9.4.7～9.4.11 项：</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9.4.7 承包人应切实执行技术规范中有关环境保护方面的条款和规定。</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1）对于来自施工机械和运输车辆的施工噪声，为保护施工人员的健康，应遵守《中华人民共和国环境噪声污染防治法》并依据《工业企业噪声卫生标准》合理安排工作人员轮流操作筑路机械，减少接触高噪声的时间，或间歇安排高噪声的工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（2）对于公路施工中粉尘污染的主要污染源――灰土拌和、施工车辆和筑路机械运行及运输产生的扬尘，应采取有效措施减轻其对施工现场的大气污染，保护人民健康，如：</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a. 拌和设备应有较好的密封，或有防尘设备。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b. 施工通道、沥青混凝土拌和站及灰土拌和站应经常进行洒水降尘。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c. 路面施工应注意保持水分，以免扬尘。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d. 隧道出渣和桥梁钻孔灌注桩施工时排出的泥浆要进行妥善处理，严禁向河流或农田排放。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 xml:space="preserve">（3）采取可靠措施保证原有交通的正常通行，维持沿线村镇的居民饮水、农田灌溉、生产生活用电及通信等管线的正常使用。 </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9.4.8 在整个施工过程中对承包人采取的环境保护措施，发包人和监理人有权监督，并向承包人提出整改要求。如果由于承包人未能对其负责的上述事项采取各种必要的措施而导致或发生与此有关的人身伤亡、罚款、索赔、损失补偿、诉讼费用及其他一切责任应由承包人负责。</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9.4.9 在施工期间，承包人应随时保持现场整洁，施工设备和材料、工程设备应整齐妥善存放和储存，废料与垃圾及不再需要的临时设施应及时从现场清除、拆除并运走。</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9.4.10 在施工期间，承包人应严格遵守《关于在公路建设中实行最严格的耕地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9.4.11 承包人应严格按照国家有关法规要求，做好施工过程中的生态保护和水土保持工作。施工中要尽可能减少对原地面的扰动，减少对地面草木的破坏，需要爆破作业的，应按规定进行控爆设计。雨季填筑路基应随挖、随运、随填、随压，要完善施工中的临时排水系统，加强施工便道的管理。取（弃）土场必须先挡后弃，严禁在指定的取（弃）土场以外的地方乱挖乱弃。</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9.5 事故处理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发生事故时，承包人应优先办理保险索赔。</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因承包人的原因致使工程在施工期间、合理使用期间、设备保证期内造成人身和财产损害的，由承包人承担损害赔偿责任。如因承包人的原因导致发包人承担责任和损失的，承包人应当对发包人承担赔偿责任。承包人负责对其分包人进行管理，工程施工过程中发生事故的，承包人对分包人瞒报、漏报、谎报、迟报等负责。</w:t>
      </w:r>
    </w:p>
    <w:p>
      <w:pPr>
        <w:pStyle w:val="5"/>
        <w:spacing w:before="0" w:after="0" w:line="360" w:lineRule="auto"/>
        <w:rPr>
          <w:rFonts w:hint="eastAsia" w:ascii="宋体" w:hAnsi="宋体" w:eastAsia="宋体" w:cs="宋体"/>
          <w:color w:val="auto"/>
          <w:highlight w:val="none"/>
        </w:rPr>
      </w:pPr>
      <w:bookmarkStart w:id="262" w:name="_Toc57795974"/>
      <w:bookmarkStart w:id="263" w:name="_Toc29781"/>
      <w:r>
        <w:rPr>
          <w:rFonts w:hint="eastAsia" w:ascii="宋体" w:hAnsi="宋体" w:eastAsia="宋体" w:cs="宋体"/>
          <w:color w:val="auto"/>
          <w:highlight w:val="none"/>
        </w:rPr>
        <w:t>10、进度计划</w:t>
      </w:r>
      <w:bookmarkEnd w:id="262"/>
      <w:bookmarkEnd w:id="26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10.1 合同进度计划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承包人编制施工方案说明的内容见专用合同条款。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承包人向监理人报送施工进度计划和施工方案说明的期限：签订合同协议书后28 天之内。监理人应在 14 天内对承包人施工进度计划和施工方案说明予以批复或提出修改意见。</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合同进度计划应按照关键线路网络图和主要工作横道图两种形式分别编绘，并应包括每月预计完成的工作量和形象进度。</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10.2 合同进度计划的修订</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承包人提交合同进度计划修订申请报告，并附有关措施和相关资料的期限：实际进度发生滞后的当月 25 日前。</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监理人批复修订合同进度计划的期限：收到修订合同进度计划后 14 天内。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本条补充第 10.3 款、第 10.4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10.3 年度施工计划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承包人应在每年 11 月底前，根据已同意的合同进度计划或其修订的计划，向监理人提交 2 份格式和内容符合监理人合理规定的下一年度的施工计划，以供审查。该计划应包括本年度估计完成的和下一年度预计完成的分项工程数量和工作量，以及为实施此计划将采取的措施。</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10.4 合同用款计划</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承包人应在签订本合同协议书后 28 天之内，按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中规定的格式，向监理人提交 2 份按合同规定承包人有权得到支付的详细的季度合同用款计划，以备监理人查阅。如果监理人提出要求，承包人还应按季度提交修订的合同用款计划。</w:t>
      </w:r>
    </w:p>
    <w:p>
      <w:pPr>
        <w:pStyle w:val="5"/>
        <w:spacing w:before="0" w:after="0" w:line="360" w:lineRule="auto"/>
        <w:rPr>
          <w:rFonts w:hint="eastAsia" w:ascii="宋体" w:hAnsi="宋体" w:eastAsia="宋体" w:cs="宋体"/>
          <w:color w:val="auto"/>
          <w:highlight w:val="none"/>
        </w:rPr>
      </w:pPr>
      <w:bookmarkStart w:id="264" w:name="_Toc30928"/>
      <w:bookmarkStart w:id="265" w:name="_Toc57795975"/>
      <w:r>
        <w:rPr>
          <w:rFonts w:hint="eastAsia" w:ascii="宋体" w:hAnsi="宋体" w:eastAsia="宋体" w:cs="宋体"/>
          <w:color w:val="auto"/>
          <w:highlight w:val="none"/>
        </w:rPr>
        <w:t>11、开工和竣工</w:t>
      </w:r>
      <w:bookmarkEnd w:id="264"/>
      <w:bookmarkEnd w:id="265"/>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11.1 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11.1.2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承包人应在分部工程开工前 14 天向监理人提交分部工程开工报审表，若承包人的开工准备、工作计划和质量控制方法是可接受的且已获得批准，则经监理人书面同意，分部工程才能开工。</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11.3 发包人的工期延误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即使由于上述原因造成工期延误，如果受影响的工程并非处在工程施工进度网络计划的关键线路上，则承包人无权要求延长总工期。</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在合同履行过程中，因下列情况导致工期延误和（或）费用增加的，由发包人承担由此延误的工期和（或）增加的费用，且发包人应支付承包人合理的利润：</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（1）发包人未能按合同约定提供施工场地，且该未能提供上述开工条件直接影响项目关键线路的；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（2）发包人提供的测量基准点、基准线和水准点及其书面资料存在错误或疏漏，且该错误或疏漏直接影响项目关键线路的；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（3）监理人未按合同约定发出指示、批准等文件，且该未按合同约定发出指示、批准直接影响项目关键线路的；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（4）变更未及时审批，直接影响项目关键线路的；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（5）实施变更直接影响项目关键线路的；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（6）因发包人原因导致工程暂停施工、停建、缓建的；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（7）因征地拆迁、群众阻工等情形的；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w:t>
      </w:r>
      <w:r>
        <w:rPr>
          <w:rFonts w:hint="eastAsia" w:ascii="宋体" w:hAnsi="宋体" w:eastAsia="宋体" w:cs="宋体"/>
          <w:color w:val="auto"/>
          <w:kern w:val="0"/>
          <w:szCs w:val="21"/>
          <w:highlight w:val="none"/>
          <w:u w:val="single"/>
        </w:rPr>
        <w:t xml:space="preserve">约定的其他情形：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因发包人原因未按计划开工日期开工的，发包人应按实际开工日期顺延完工日期。因发包人原因导致工期延误需要修订施工进度计划的，按照第10.2合同进度计划的修订执行。</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11.4 异常恶劣的气候条件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异常气候是指项目所在地 30 年以上一遇的罕见气候现象（包括温度、降水、降雪、风等）。</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11.5 承包人的工期延误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（1）承包人应严格执行监理人批准的合同进度计划，对工作量计划和形象进度计划分别控制。除第 11.3 款规定外，承包人的实际工程进度曲线应在合同进度管理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（2）如果承包人在接到监理人通知后的 14 天内，未能采取加快工程进度的措施，致使实际工程进度进一步滞后，或承包人虽采取了一些措施，仍无法按预计工期交工时，监理人应立即通知发包人。发包人在向承包人发出书面警告通知 14 天后，发包人可按第 22.1 款终止对承包人的雇用，也可将本合同工程中的一部分工作交由其他承包人或其他分包人完成。在不解除本合同规定的承包人责任和义务的同时，承包人应承担因此所增加的一切费用。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（3）由于承包人原因造成工期延误，承包人应支付逾期交工违约金。逾期交工违约金的时间自预定的交工日期起到交工验收证书中写明的实际交工日期止（扣除已批准的延长工期），按天计算，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元/天。逾期交工违约金累计金额最高不超过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%签约合同价。发包人可以从应付或到期应付给承包人的任何款项中或采用其他方法扣除此违约金。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（4）承包人支付逾期交工违约金，不免除承包人完成工程及修补缺陷的义务。</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如果在合同工程完工之前，已对合同工程内按时完工的单位工程签发了交工验收证书，则合同工程的逾期交工违约金，应按已签发交工验收证书的单位工程的价值占合同工程价值的比例予以减少，但本规定不应影响逾期交工违约金的规定限额。</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11.6 工期提前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发包人不得随意要求承包人提前交工，承包人也不得随意提出提前交工的建议。 如遇特殊情况，确需将工期提前的，发包人和承包人必须采取有效措施，确保工程质量。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如果承包人提前交工，发包人支付奖金的计算方法为</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，时间自交工验收证书中写明的实际交工日期起至预定的交工日期止，按天计算，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元/天。但奖金最高限额不超过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%签约合同价。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11.7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11.7 工作时间的限制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承包人在夜间或国家规定的节假日进行永久工程的施工，应向监理人报告，以便监理人履行监理职责和义务。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但是，为了抢救生命或保护财产，或为了工程的安全、质量而不可避免地短暂作业，则不必事先向监理人报告。但承包人应在事后立即向监理人报告。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本款规定不适用于习惯上或施工本身要求实行连续生产的作业。</w:t>
      </w:r>
    </w:p>
    <w:p>
      <w:pPr>
        <w:pStyle w:val="5"/>
        <w:spacing w:before="0" w:after="0" w:line="360" w:lineRule="auto"/>
        <w:rPr>
          <w:rFonts w:hint="eastAsia" w:ascii="宋体" w:hAnsi="宋体" w:eastAsia="宋体" w:cs="宋体"/>
          <w:color w:val="auto"/>
          <w:highlight w:val="none"/>
        </w:rPr>
      </w:pPr>
      <w:bookmarkStart w:id="266" w:name="_Toc57795976"/>
      <w:bookmarkStart w:id="267" w:name="_Toc31385"/>
      <w:r>
        <w:rPr>
          <w:rFonts w:hint="eastAsia" w:ascii="宋体" w:hAnsi="宋体" w:eastAsia="宋体" w:cs="宋体"/>
          <w:color w:val="auto"/>
          <w:highlight w:val="none"/>
        </w:rPr>
        <w:t>12、暂停施工</w:t>
      </w:r>
      <w:bookmarkEnd w:id="266"/>
      <w:bookmarkEnd w:id="26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12.1 承包人暂停施工的责任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本款第（5）项细化为：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（5）现场气候条件导致的必要停工（第 11.4 款约定的异常恶劣的气候条件除外）；</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szCs w:val="21"/>
          <w:highlight w:val="none"/>
        </w:rPr>
        <w:t>由承包人承担暂停施工责任的其它情形：因承包人原因引起的暂停施工，承包人应承担由此增加的费用和（或）延误的工期，且承包人在收到监理人复工指示后84天内仍未复工的，视为第22.1.1项〔承包人违约的情形〕第（7）目约定的承包人无法继续履行合同的情形。</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12.2 发包人暂停施工的责任</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发包人承担暂停施工责任的其它情形：暂停施工持续84天以上不复工的，且不属于第12.1款〔承包人暂停施工的责任〕及第21条〔不可抗力〕约定的情形，并影响到整个工程以及合同目的实现的，承包人有权提出价格调整要求，或者解除合同。解除合同的，按照第22.2.3项〔发包人违约解除合同〕执行。</w:t>
      </w:r>
    </w:p>
    <w:p>
      <w:pPr>
        <w:spacing w:line="360" w:lineRule="auto"/>
        <w:ind w:right="249"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本条补充第 12.6款、第 12.7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12.6 暂停施工期间的工程照管</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暂停施工期间，承包人应负责妥善照管工程并提供安全保障，由此增加的费用由责任方承担。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12.7 暂停施工的措施</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暂停施工期间，发包人和承包人均应采取必要的措施确保工程质量及安全，防止因暂停施工扩大损失。</w:t>
      </w:r>
    </w:p>
    <w:p>
      <w:pPr>
        <w:pStyle w:val="5"/>
        <w:spacing w:before="0" w:after="0" w:line="360" w:lineRule="auto"/>
        <w:rPr>
          <w:rFonts w:hint="eastAsia" w:ascii="宋体" w:hAnsi="宋体" w:eastAsia="宋体" w:cs="宋体"/>
          <w:color w:val="auto"/>
          <w:highlight w:val="none"/>
        </w:rPr>
      </w:pPr>
      <w:bookmarkStart w:id="268" w:name="_Toc57795977"/>
      <w:bookmarkStart w:id="269" w:name="_Toc21508"/>
      <w:r>
        <w:rPr>
          <w:rFonts w:hint="eastAsia" w:ascii="宋体" w:hAnsi="宋体" w:eastAsia="宋体" w:cs="宋体"/>
          <w:color w:val="auto"/>
          <w:highlight w:val="none"/>
        </w:rPr>
        <w:t>13、工程质量</w:t>
      </w:r>
      <w:bookmarkEnd w:id="268"/>
      <w:bookmarkEnd w:id="269"/>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13.1 工程质量要求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13.1.1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工程质量验收按技术规范及《公路工程质量检验评定标准》执行。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13.1.4 项、第 13.1.5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13.1.4 发包人和承包人应严格遵守《关于严格落实公路工程质量责任制的若干意见》的相关规定，认真执行工程质量责任登记制度并按要求填写工程质量责任登记表。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13.1.5 本项目严格执行质量责任追究制度。质量事故处理实行“四不放过”原则：事故原因调查不清不放过；事故责任者没有受到教育不放过；没有防范措施不放过；相关责任人没受到处理不放过。</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13.2 承包人的质量管理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13.2.1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承包人提交工程质量保证措施文件的期限：签订合同协议书后 28 天之内。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13.2.3～13.2.10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13.2.3 公路工程施行质量责任终身制。承包人应当书面明确相应的项目负责人和质量负责人。承包人的相关人员按照国家法律法规和有关规定在工程合理使用年限内承担相应的质量责任。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13.2.4 承包人应当建立健全工程质量保证体系，制定质量管理制度，强化工程质量管理措施，完善工程质量目标保障机制；严格遵守国家有关法律、法规和规章，严格执行公路工程强制性技术标准、各类技术规范及规程，全面履行工程合同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13.2.5 承包人对工程施工质量负责，应当按合同约定设立现场质量管理机构、 配备工程技术人员和质量管理人员，落实工程施工质量责任制。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13.2.6 承包人应当严格按照工程设计图纸、施工技术标准和合同约定施工，对原材料、混合料、构配件、工程实体、机电设备等进行检验；按规定施行班组自检、工序交接检、专职质检员检验的质量控制程序；对分项工程、分部工程和单位工程进行质量自评。检验或者自评不合格的，不得进入下道工序或者投入使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13.2.7 承包人应当加强施工过程质量控制，并形成完整、可追溯的施工质量管理资料，主体工程的隐蔽部位施工还应当保留影像资料。对施工中出现的质量问题或者验收不合格的工程，应当负责返工处理；对在保修范围和保修期限内发生质量问题的工程，应当履行保修义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13.2.8 承包人应当按照合同约定设立工地临时试验室，配齐检测和试验仪器、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13.2.9 承包人应当依法规范分包行为，并对承担的工程质量负总责，分包单位对分包合同范围内的工程质量负责。</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13.2.10 承包人驻工程现场机构应在现场驻地和重要的分部、分项工程施工现场设置明显的工程质量责任登记表公示牌。</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13.4 监理人的质量检查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监理人及其委派的检验人员，应能进入工程现场，以及材料或工程设备的制造、加工或制配的车间和场所，包括不属于承包人的车间或场所进行检查，承包人应为此提供便利和协助。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监理人可以将材料或工程设备的检查和检验委托给一家独立的有质量检验认证资格的检验单位。该独立检验单位的检验结果应视为监理人完成的。监理人应将这种委托的通知书不少于 7 天前交给承包人。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13.5 工程隐蔽部位覆盖前的检查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13.5.1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当监理人有指令时，承包人应对重要隐蔽工程进行拍摄或照相并应保证监理人有充分的机会对将要覆盖或掩蔽的工程进行检查和量测，特别是在基础以上的任一部分工程修筑之前，对该基础进行检查。</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13.6 清除不合格工程</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13.6.1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使用不合格材料、工程设备，或采用不适当的施工工艺，或施工不当，造成工程不合格的，监理人可以随时发出指示，要求承包人立即采取措施进行替换、补救或拆除重建，直至达到合同要求的质量标准，由此增加的费用和（或）工期延误由承包人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（2）如果承包人未在规定时间内执行监理人的指示，发包人有权雇用他人执行，由此增加的费用和（或）工期延误由承包人承担。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本条补充第 13.7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13.7 质量评定</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13.7.1重要隐蔽单元工程和关键部位单元工程质量评定的约定：</w:t>
      </w:r>
      <w:r>
        <w:rPr>
          <w:rFonts w:hint="eastAsia" w:ascii="宋体" w:hAnsi="宋体" w:eastAsia="宋体" w:cs="宋体"/>
          <w:color w:val="auto"/>
          <w:kern w:val="0"/>
          <w:szCs w:val="21"/>
          <w:highlight w:val="none"/>
          <w:u w:val="single"/>
        </w:rPr>
        <w:t>单元工程质量符合现行有效的质量验收评定标准要求。承包人应严格遵守发包人为确保本工程质量而颁发的工程质量管理制度，含工程质量管理办法、不合格工程控制管理办法、工程事故应急和处理预案、工程验收管理办法、工程质量管理考核办法等。</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szCs w:val="21"/>
          <w:highlight w:val="none"/>
        </w:rPr>
        <w:t>13.7.2工程合格标准为：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；优良标准为：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。达到优良的奖金为：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5"/>
        <w:spacing w:before="0" w:after="0" w:line="360" w:lineRule="auto"/>
        <w:rPr>
          <w:rFonts w:hint="eastAsia" w:ascii="宋体" w:hAnsi="宋体" w:eastAsia="宋体" w:cs="宋体"/>
          <w:color w:val="auto"/>
          <w:highlight w:val="none"/>
        </w:rPr>
      </w:pPr>
      <w:bookmarkStart w:id="270" w:name="_Toc57795978"/>
      <w:bookmarkStart w:id="271" w:name="_Toc17950"/>
      <w:r>
        <w:rPr>
          <w:rFonts w:hint="eastAsia" w:ascii="宋体" w:hAnsi="宋体" w:eastAsia="宋体" w:cs="宋体"/>
          <w:color w:val="auto"/>
          <w:highlight w:val="none"/>
        </w:rPr>
        <w:t>14、试验和检验</w:t>
      </w:r>
      <w:bookmarkEnd w:id="270"/>
      <w:bookmarkEnd w:id="271"/>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14.3 现场工艺试验</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14.3.1项、第 14.3.2 项</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14.3.1若因承包人取样、制样、送检及相关配合不及时而导致工程的工期和费用增加，影响的工期不予延长，增加费用由承包人承担。</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14.3.2检测试验不合格的项目，其缺陷处理和复测费用由承包人承担，工期不予延长。</w:t>
      </w:r>
    </w:p>
    <w:p>
      <w:pPr>
        <w:tabs>
          <w:tab w:val="left" w:pos="711"/>
          <w:tab w:val="left" w:pos="2580"/>
        </w:tabs>
        <w:snapToGrid w:val="0"/>
        <w:spacing w:line="360" w:lineRule="auto"/>
        <w:ind w:firstLine="420" w:firstLineChars="200"/>
        <w:textAlignment w:val="baseline"/>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本条补充第 14.4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14.4 试验和检验费用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（1）承包人应负责提供合同和技术规范规定的试验和检验所需的全部样品，并承担其费用。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（2）在合同中明确规定的试验和检验，包括无须在工程量清单中单独列项和已在工程量清单中单独列项的试验和检验，其试验和检验的费用由承包人承担。</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如果监理人所要求做的试验和检验为合同未规定的或是在该材料或工程设备的制造、加工、制配场地以外的场所进行的，则检验结束后，如表明操作工艺或材料、工程设备未能符合合同规定，其费用应由承包人承担，否则，其费用应由发包人承担。</w:t>
      </w:r>
    </w:p>
    <w:p>
      <w:pPr>
        <w:pStyle w:val="5"/>
        <w:spacing w:before="0" w:after="0" w:line="360" w:lineRule="auto"/>
        <w:rPr>
          <w:rFonts w:hint="eastAsia" w:ascii="宋体" w:hAnsi="宋体" w:eastAsia="宋体" w:cs="宋体"/>
          <w:color w:val="auto"/>
          <w:highlight w:val="none"/>
        </w:rPr>
      </w:pPr>
      <w:bookmarkStart w:id="272" w:name="_Toc25774"/>
      <w:bookmarkStart w:id="273" w:name="_Toc57795979"/>
      <w:r>
        <w:rPr>
          <w:rFonts w:hint="eastAsia" w:ascii="宋体" w:hAnsi="宋体" w:eastAsia="宋体" w:cs="宋体"/>
          <w:color w:val="auto"/>
          <w:highlight w:val="none"/>
        </w:rPr>
        <w:t>15、变更</w:t>
      </w:r>
      <w:bookmarkEnd w:id="272"/>
      <w:bookmarkEnd w:id="273"/>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15.1 变更的范围和内容</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在履行合同中发生以下情形之一，应按照本条规定进行变更。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（1）适用于工程的标准和（或）规范变化导致需要对工程进行改变，且该改变导致工期和（或）费用变化的；</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（2）勘察设计变更；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（3）实施内容变更，包括因设计变更和非设计变更引起的实施地点、投资规模、结构型式、采购数量、服务内容等进行的调整，以及因此导致的合同价格、工期变更；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（4）项目管理人员变更；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（5）因人工、原材料等价格变化导致的合同总价变更；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（6）非实施内容变化导致的工期变更；</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（7）其他：</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合同变更应当符合国家法律法规、强制标准和技术规范的要求，且合同变更后更加有利于工程的建设、运营、安全、节约资金、保护生态环境或者实现功能要求。发包人对项目合同变更承担主体责任。项目合同变更后，发包人应当与承包人签订补充协议。项目合同变更应当按照《重庆市政府投资项目合同变更管理暂行办法》要求进行信息公开。项目合同变更未获得通过的，发包人和承包人均不得擅自变更原合同约定事项，且不得就同一理由同一事项再提出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szCs w:val="21"/>
          <w:highlight w:val="none"/>
        </w:rPr>
        <w:t>承包人对其提供的材料、工程设备、施工、无负荷试车、热负荷试车及图纸参数存在的缺陷，自费修正、调整和完善，不属于变更。</w:t>
      </w:r>
    </w:p>
    <w:p>
      <w:pPr>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15.2.1项、第 15.2.2 项</w:t>
      </w:r>
    </w:p>
    <w:p>
      <w:pPr>
        <w:adjustRightInd w:val="0"/>
        <w:snapToGrid w:val="0"/>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bCs/>
          <w:color w:val="auto"/>
          <w:kern w:val="0"/>
          <w:szCs w:val="21"/>
          <w:highlight w:val="none"/>
        </w:rPr>
        <w:t>15.2.1发包人和监理人提出变更</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和监理人均可以提出变更。变更指示均通过监理人以书面形式发出，监理人发出变更指示前应征得发包人同意。承包人收到经发包人签认的变更指示后，方可实施变更。未取得经发包人签认的变更指示，承包人不得实施任何变更。</w:t>
      </w:r>
    </w:p>
    <w:p>
      <w:pPr>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涉及设计变更的，应由设计人提供变更后的图纸和说明，交由发包人同意后由监理人以书面形式发出。如变更超过原设计标准或批准的建设规模时，</w:t>
      </w:r>
      <w:r>
        <w:rPr>
          <w:rFonts w:hint="eastAsia" w:ascii="宋体" w:hAnsi="宋体" w:eastAsia="宋体" w:cs="宋体"/>
          <w:color w:val="auto"/>
          <w:szCs w:val="21"/>
          <w:highlight w:val="none"/>
        </w:rPr>
        <w:t>由发包人及时办理规划、设计变更等审批手续。</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若出现重大设计变更，变更后的内容超出承包人资质或能力范围的，发包人将另行依法招标选择承包单位，无需征得承包人同意。</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bCs/>
          <w:color w:val="auto"/>
          <w:kern w:val="0"/>
          <w:szCs w:val="21"/>
          <w:highlight w:val="none"/>
        </w:rPr>
        <w:t>15.2.2 承包人提出变更建议</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包人可以向发包人提交书面变更建议，应当以承包人单位名义书面向发包人提出申请，详细说明变更的内容、理由，以及该变更对项目的工期、投资、质量、安全、运营管理、生态环境等的影响，客观反映项目合同变更的必要性和可行性，包括：缩短工期，降低发包人的工程、施工、维护、营运的费用，提高竣工工程的效率或价值，给发包人带来的长远利益和其他利益。发包人接到此类建议后，可以选择：不采纳/采纳/补充进一步资料的书面通知。</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如果发包人对承包人已实施的施工项目在发出重大设计变更之前要求承包人提出一份建议，那么，承包人应尽快提出：</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u w:val="single"/>
        </w:rPr>
        <w:t>对所提方案和（或）待做工作及其实施计划的说明</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承包人按照对工程进度计划进行必要修改的建议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u w:val="single"/>
        </w:rPr>
        <w:t>承包人发生较大返工损失增加费用的建议</w:t>
      </w:r>
      <w:r>
        <w:rPr>
          <w:rFonts w:hint="eastAsia" w:ascii="宋体" w:hAnsi="宋体" w:eastAsia="宋体" w:cs="宋体"/>
          <w:color w:val="auto"/>
          <w:kern w:val="0"/>
          <w:szCs w:val="21"/>
          <w:highlight w:val="none"/>
        </w:rPr>
        <w:t>。</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发包人在收到上述建议书后，应尽快给予批准、否决或提出意见</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15.3 变更程序 </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15.3.1项补充：</w:t>
      </w:r>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（5）一般设计变更：</w:t>
      </w:r>
      <w:r>
        <w:rPr>
          <w:rFonts w:hint="eastAsia" w:ascii="宋体" w:hAnsi="宋体" w:eastAsia="宋体" w:cs="宋体"/>
          <w:color w:val="auto"/>
          <w:kern w:val="0"/>
          <w:szCs w:val="21"/>
          <w:highlight w:val="none"/>
          <w:u w:val="single"/>
        </w:rPr>
        <w:t>承包人收到监理人下达的变更指示后，应按照监理人下达的变更指示执行，并书面说明实施该变更指示对合同价格和工期的影响，按照第15.4项〔变更的估价原则〕约定执行</w:t>
      </w:r>
      <w:r>
        <w:rPr>
          <w:rFonts w:hint="eastAsia" w:ascii="宋体" w:hAnsi="宋体" w:eastAsia="宋体" w:cs="宋体"/>
          <w:color w:val="auto"/>
          <w:kern w:val="0"/>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（6）重大设计变更：</w:t>
      </w:r>
      <w:r>
        <w:rPr>
          <w:rFonts w:hint="eastAsia" w:ascii="宋体" w:hAnsi="宋体" w:eastAsia="宋体" w:cs="宋体"/>
          <w:color w:val="auto"/>
          <w:szCs w:val="21"/>
          <w:highlight w:val="none"/>
          <w:u w:val="single"/>
        </w:rPr>
        <w:t>需经设计人、监理人和发包人三方</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认可并报相关行业部门审查同意后实施</w:t>
      </w:r>
      <w:r>
        <w:rPr>
          <w:rFonts w:hint="eastAsia" w:ascii="宋体" w:hAnsi="宋体" w:eastAsia="宋体" w:cs="宋体"/>
          <w:color w:val="auto"/>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15.3.4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15.3.4 设计变更程序应执行</w:t>
      </w:r>
      <w:r>
        <w:rPr>
          <w:rFonts w:hint="eastAsia" w:ascii="宋体" w:hAnsi="宋体" w:eastAsia="宋体" w:cs="宋体"/>
          <w:color w:val="auto"/>
          <w:kern w:val="0"/>
          <w:szCs w:val="21"/>
          <w:highlight w:val="none"/>
          <w:u w:val="single"/>
          <w:lang w:bidi="ar"/>
        </w:rPr>
        <w:t>《公路工程设计变更管理办法》《重庆市政府投资项目合同变更管理暂行办法》</w:t>
      </w:r>
      <w:r>
        <w:rPr>
          <w:rFonts w:hint="eastAsia" w:ascii="宋体" w:hAnsi="宋体" w:eastAsia="宋体" w:cs="宋体"/>
          <w:color w:val="auto"/>
          <w:kern w:val="0"/>
          <w:szCs w:val="21"/>
          <w:highlight w:val="none"/>
          <w:lang w:bidi="ar"/>
        </w:rPr>
        <w:t>的相关规定。</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u w:val="single"/>
        </w:rPr>
        <w:t>合同变更提出后，应当首先由发包人组织相关单位、专家进行论证。经论证确需变更的，发包人按照《重庆市政府投资项目合同变更管理暂行办法》规定的程序自行决策或者报批；经论证不需要变更的，继续按合同执行</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项目的勘察设计、实施内容等作较大变更的，应当按照规定的程序报原审批部门审批；变更导致总投资超概的，应当报原投资概算核定部门核定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项目管理人员变更的，应当经发包人领导班子集体决策同意，并将变更信息推送给行业主管部门。变更后的项目管理人员应当符合</w:t>
      </w:r>
      <w:r>
        <w:rPr>
          <w:rFonts w:hint="eastAsia" w:ascii="宋体" w:hAnsi="宋体" w:eastAsia="宋体" w:cs="宋体"/>
          <w:color w:val="auto"/>
          <w:szCs w:val="21"/>
          <w:highlight w:val="none"/>
          <w:u w:val="single"/>
          <w:lang w:eastAsia="zh-CN"/>
        </w:rPr>
        <w:t>比选文件</w:t>
      </w:r>
      <w:r>
        <w:rPr>
          <w:rFonts w:hint="eastAsia" w:ascii="宋体" w:hAnsi="宋体" w:eastAsia="宋体" w:cs="宋体"/>
          <w:color w:val="auto"/>
          <w:szCs w:val="21"/>
          <w:highlight w:val="none"/>
          <w:u w:val="single"/>
        </w:rPr>
        <w:t>和行业主管部门的相关规定</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r>
        <w:rPr>
          <w:rFonts w:hint="eastAsia" w:ascii="宋体" w:hAnsi="宋体" w:eastAsia="宋体" w:cs="宋体"/>
          <w:color w:val="auto"/>
          <w:szCs w:val="21"/>
          <w:highlight w:val="none"/>
          <w:u w:val="single"/>
        </w:rPr>
        <w:t>因人工、原材料市场价格发生大幅度变化导致的合同总价变更，由发包人与承包人按照合同进行变更，并将变更信息推送给行业主管部门</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r>
        <w:rPr>
          <w:rFonts w:hint="eastAsia" w:ascii="宋体" w:hAnsi="宋体" w:eastAsia="宋体" w:cs="宋体"/>
          <w:color w:val="auto"/>
          <w:szCs w:val="21"/>
          <w:highlight w:val="none"/>
          <w:u w:val="single"/>
        </w:rPr>
        <w:t>项目实施内容无变更，因不可抗力导致的工期变更，由发包人领导班子集体决策同意，并将变更信息推送给行业主管部门；因项目实施内容变更导致的工期变更，与项目实施内容变更一并办理</w:t>
      </w:r>
      <w:r>
        <w:rPr>
          <w:rFonts w:hint="eastAsia" w:ascii="宋体" w:hAnsi="宋体" w:eastAsia="宋体" w:cs="宋体"/>
          <w:color w:val="auto"/>
          <w:szCs w:val="21"/>
          <w:highlight w:val="none"/>
        </w:rPr>
        <w:t>。</w:t>
      </w:r>
    </w:p>
    <w:p>
      <w:pPr>
        <w:autoSpaceDE w:val="0"/>
        <w:autoSpaceDN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r>
        <w:rPr>
          <w:rFonts w:hint="eastAsia" w:ascii="宋体" w:hAnsi="宋体" w:eastAsia="宋体" w:cs="宋体"/>
          <w:color w:val="auto"/>
          <w:szCs w:val="21"/>
          <w:highlight w:val="none"/>
          <w:u w:val="single"/>
        </w:rPr>
        <w:t>项目合同变更后，增加的实施内容达到依法必须招标的规模标准的，增加的部分应当依法通过招标选择承包单位</w:t>
      </w:r>
      <w:r>
        <w:rPr>
          <w:rFonts w:hint="eastAsia" w:ascii="宋体" w:hAnsi="宋体" w:eastAsia="宋体" w:cs="宋体"/>
          <w:color w:val="auto"/>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15.4 变更的估价原则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spacing w:line="360" w:lineRule="auto"/>
        <w:ind w:firstLine="420" w:firstLineChars="200"/>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15.4.1 如果取消某项工作，则该项工作的总额价不予支付。已标价工程量清单中有适用于变更工作的子目，采用该子目的单价。但如果由于承包人不平衡报价的原因，个别子目单价明显高于市场行情价的，发包人有权对该子目单价按照市场行情价做出调整。如果取消某项工作，则该项工作的总额价不予支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15.4.2 已标价工程量清单中有适用于变更工作的子目的，采用该子目的单价。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15.4.3 已标价工程量清单中无适用于变更工作的子目，但有类似子目的，可在合理范围内参照类似子目的单价，由监理人按第 3.5 款商定或确定变更工作的单价。</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15.4.4 已标价工程量清单中无适用或类似子目的单价，可在综合考虑承包人在投标时所提供的单价分析表的基础上，由监理人按第 3.5 款商定或确定变更工作的单价。</w:t>
      </w:r>
      <w:r>
        <w:rPr>
          <w:rFonts w:hint="eastAsia" w:ascii="宋体" w:hAnsi="宋体" w:eastAsia="宋体" w:cs="宋体"/>
          <w:color w:val="auto"/>
          <w:kern w:val="0"/>
          <w:szCs w:val="21"/>
          <w:highlight w:val="none"/>
        </w:rPr>
        <w:t>已标价工程量清单中无相同项目亦无类似项目，也无定额可套用的，由承包人会同监理人、跟审单位、发包人按相关原则、编制方法编制补充，或参照重庆市场相同工作的市场价格上报监理人，最终价格按承包人、监理人、跟审单位、发包人共同询价确认的价格执行。</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15.4.5 如果本工程的变更指示是因承包人过错、承包人违反合同或承包人责任造成的，则这种违约引起的任何额外费用应由承包人承担。</w:t>
      </w:r>
      <w:r>
        <w:rPr>
          <w:rFonts w:hint="eastAsia" w:ascii="宋体" w:hAnsi="宋体" w:eastAsia="宋体" w:cs="宋体"/>
          <w:color w:val="auto"/>
          <w:kern w:val="0"/>
          <w:szCs w:val="21"/>
          <w:highlight w:val="none"/>
        </w:rPr>
        <w:t>工程变更引起施工方案改变并使安全生产费、临时工程费发生变化时，承包人提出调整安全生产费、临时工程费的，应事前将拟实施的方案提交监理人审核报发包人确认，并应详细说明与原方案安全生产费、临时工程费相比的变化情况。拟实施的方案经发承包双方确认后执行，并应按照下列规定调整安全生产费和临时工程费：</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（1）安全生产费应按照实际发生变化的工程项目依据按照《重庆市公路工程造价管理实施细则》渝交委路〔2017〕129号文件要求，按变更后公路工程项目总造价的1.5%标准计提安全生产费用。</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15.5 承包人的合理化建议</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15.5.2 项约定为：</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承包人提出的合理化建议缩短了工期，发包人按第 11.6 款的规定给予奖励。</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承包人提出的合理化建议降低了合同价格或缩短了工期或者提高了工程经济效益的，奖励的方法和金额为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本款补充第 15.5.3 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15.5.3</w:t>
      </w:r>
      <w:r>
        <w:rPr>
          <w:rFonts w:hint="eastAsia" w:ascii="宋体" w:hAnsi="宋体" w:eastAsia="宋体" w:cs="宋体"/>
          <w:color w:val="auto"/>
          <w:kern w:val="0"/>
          <w:szCs w:val="21"/>
          <w:highlight w:val="none"/>
        </w:rPr>
        <w:t>承包人提出合理化建议的，应向监理人提交合理化建议说明，说明建议的内容和理由，以及实施该建议对合同价格和（或）工期和（或）工程经济效益的影响。</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监理人审查承包人合理化建议的期限：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发包人审批承包人合理化建议的期限：</w:t>
      </w:r>
      <w:r>
        <w:rPr>
          <w:rFonts w:hint="eastAsia" w:ascii="宋体" w:hAnsi="宋体" w:eastAsia="宋体" w:cs="宋体"/>
          <w:color w:val="auto"/>
          <w:kern w:val="0"/>
          <w:szCs w:val="21"/>
          <w:highlight w:val="none"/>
          <w:u w:val="single"/>
        </w:rPr>
        <w:t>不超过14天</w:t>
      </w:r>
      <w:r>
        <w:rPr>
          <w:rFonts w:hint="eastAsia" w:ascii="宋体" w:hAnsi="宋体" w:eastAsia="宋体" w:cs="宋体"/>
          <w:color w:val="auto"/>
          <w:kern w:val="0"/>
          <w:szCs w:val="21"/>
          <w:highlight w:val="none"/>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15.6 暂列金额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cs="宋体"/>
          <w:color w:val="auto"/>
          <w:kern w:val="0"/>
          <w:szCs w:val="21"/>
          <w:highlight w:val="none"/>
          <w:lang w:val="en-US" w:eastAsia="zh-CN" w:bidi="ar"/>
        </w:rPr>
        <w:t>/</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15.8 暂估价</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w:t>
      </w:r>
    </w:p>
    <w:p>
      <w:pPr>
        <w:pStyle w:val="5"/>
        <w:spacing w:before="0" w:after="0" w:line="360" w:lineRule="auto"/>
        <w:rPr>
          <w:rFonts w:hint="eastAsia" w:ascii="宋体" w:hAnsi="宋体" w:eastAsia="宋体" w:cs="宋体"/>
          <w:color w:val="auto"/>
          <w:highlight w:val="none"/>
        </w:rPr>
      </w:pPr>
      <w:bookmarkStart w:id="274" w:name="_Toc6804"/>
      <w:bookmarkStart w:id="275" w:name="_Toc57795980"/>
      <w:r>
        <w:rPr>
          <w:rFonts w:hint="eastAsia" w:ascii="宋体" w:hAnsi="宋体" w:eastAsia="宋体" w:cs="宋体"/>
          <w:color w:val="auto"/>
          <w:highlight w:val="none"/>
        </w:rPr>
        <w:t>16、价格调整</w:t>
      </w:r>
      <w:bookmarkEnd w:id="274"/>
      <w:bookmarkEnd w:id="275"/>
    </w:p>
    <w:p>
      <w:pPr>
        <w:widowControl/>
        <w:spacing w:line="360" w:lineRule="auto"/>
        <w:ind w:firstLine="420" w:firstLineChars="200"/>
        <w:jc w:val="left"/>
        <w:rPr>
          <w:rFonts w:hint="eastAsia" w:ascii="宋体" w:hAnsi="宋体" w:eastAsia="宋体" w:cs="宋体"/>
          <w:color w:val="auto"/>
          <w:kern w:val="0"/>
          <w:szCs w:val="21"/>
          <w:highlight w:val="none"/>
          <w:lang w:val="en-US" w:eastAsia="zh-CN" w:bidi="ar"/>
        </w:rPr>
      </w:pPr>
      <w:bookmarkStart w:id="276" w:name="_Toc57795981"/>
      <w:r>
        <w:rPr>
          <w:rFonts w:hint="eastAsia" w:ascii="宋体" w:hAnsi="宋体" w:eastAsia="宋体" w:cs="宋体"/>
          <w:color w:val="auto"/>
          <w:kern w:val="0"/>
          <w:szCs w:val="21"/>
          <w:highlight w:val="none"/>
          <w:lang w:val="en-US" w:eastAsia="zh-CN" w:bidi="ar"/>
        </w:rPr>
        <w:t>不调整。</w:t>
      </w:r>
    </w:p>
    <w:p>
      <w:pPr>
        <w:pStyle w:val="5"/>
        <w:spacing w:before="0" w:after="0" w:line="360" w:lineRule="auto"/>
        <w:rPr>
          <w:rFonts w:hint="eastAsia" w:ascii="宋体" w:hAnsi="宋体" w:eastAsia="宋体" w:cs="宋体"/>
          <w:color w:val="auto"/>
          <w:highlight w:val="none"/>
        </w:rPr>
      </w:pPr>
      <w:bookmarkStart w:id="277" w:name="_Toc13203"/>
      <w:r>
        <w:rPr>
          <w:rFonts w:hint="eastAsia" w:ascii="宋体" w:hAnsi="宋体" w:eastAsia="宋体" w:cs="宋体"/>
          <w:color w:val="auto"/>
          <w:highlight w:val="none"/>
        </w:rPr>
        <w:t>17、计量与支付</w:t>
      </w:r>
      <w:bookmarkEnd w:id="276"/>
      <w:bookmarkEnd w:id="277"/>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17.1 计量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17.1.2 计量方法</w:t>
      </w:r>
    </w:p>
    <w:p>
      <w:pPr>
        <w:spacing w:line="360" w:lineRule="auto"/>
        <w:ind w:firstLine="420" w:firstLineChars="200"/>
        <w:jc w:val="left"/>
        <w:rPr>
          <w:rFonts w:hint="eastAsia" w:ascii="宋体" w:hAnsi="宋体" w:eastAsia="宋体" w:cs="宋体"/>
          <w:color w:val="auto"/>
          <w:kern w:val="0"/>
          <w:szCs w:val="21"/>
          <w:highlight w:val="none"/>
        </w:rPr>
      </w:pPr>
      <w:bookmarkStart w:id="278" w:name="OLE_LINK30"/>
      <w:r>
        <w:rPr>
          <w:rFonts w:hint="eastAsia" w:ascii="宋体" w:hAnsi="宋体" w:cs="宋体"/>
          <w:color w:val="auto"/>
          <w:szCs w:val="21"/>
          <w:highlight w:val="none"/>
          <w:lang w:eastAsia="zh-CN"/>
        </w:rPr>
        <w:t>实际完成量乘以合同单价</w:t>
      </w:r>
      <w:r>
        <w:rPr>
          <w:rFonts w:hint="eastAsia" w:ascii="宋体" w:hAnsi="宋体" w:eastAsia="宋体" w:cs="宋体"/>
          <w:color w:val="auto"/>
          <w:szCs w:val="21"/>
          <w:highlight w:val="none"/>
        </w:rPr>
        <w:t>。</w:t>
      </w:r>
    </w:p>
    <w:bookmarkEnd w:id="278"/>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17.2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17.2.1 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val="en-US" w:eastAsia="zh-CN" w:bidi="ar"/>
        </w:rPr>
        <w:t>无</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17.3 工程进度付款 </w:t>
      </w:r>
    </w:p>
    <w:p>
      <w:pPr>
        <w:pStyle w:val="6"/>
        <w:spacing w:before="0" w:beforeAutospacing="0" w:after="0" w:afterAutospacing="0" w:line="360" w:lineRule="auto"/>
        <w:ind w:firstLine="480" w:firstLineChars="200"/>
        <w:rPr>
          <w:rFonts w:hint="eastAsia" w:ascii="宋体" w:hAnsi="宋体" w:eastAsia="宋体" w:cs="宋体"/>
          <w:b w:val="0"/>
          <w:bCs w:val="0"/>
          <w:color w:val="auto"/>
          <w:highlight w:val="none"/>
          <w:lang w:eastAsia="zh-CN"/>
        </w:rPr>
      </w:pPr>
      <w:r>
        <w:rPr>
          <w:rFonts w:hint="eastAsia" w:ascii="宋体" w:hAnsi="宋体" w:eastAsia="宋体" w:cs="宋体"/>
          <w:b w:val="0"/>
          <w:bCs w:val="0"/>
          <w:color w:val="auto"/>
          <w:highlight w:val="none"/>
          <w:lang w:eastAsia="zh-CN"/>
        </w:rPr>
        <w:t>无。</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17.4 质量保证金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17.4.1 项、第 17.4.2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17.4.1 交工验收证书签发后 14 天内，承包人应向发包人交纳质量保证金。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承包人提供质量保证金的方式：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保证金金额为：</w:t>
      </w:r>
      <w:r>
        <w:rPr>
          <w:rFonts w:hint="eastAsia" w:ascii="宋体" w:hAnsi="宋体" w:eastAsia="宋体" w:cs="宋体"/>
          <w:color w:val="auto"/>
          <w:kern w:val="0"/>
          <w:szCs w:val="21"/>
          <w:highlight w:val="none"/>
          <w:u w:val="single"/>
        </w:rPr>
        <w:t>完工结算总价的 3%，</w:t>
      </w:r>
      <w:r>
        <w:rPr>
          <w:rFonts w:hint="eastAsia" w:ascii="宋体" w:hAnsi="宋体" w:eastAsia="宋体" w:cs="宋体"/>
          <w:color w:val="auto"/>
          <w:szCs w:val="21"/>
          <w:highlight w:val="none"/>
        </w:rPr>
        <w:t>提交时间：</w:t>
      </w:r>
      <w:r>
        <w:rPr>
          <w:rFonts w:hint="eastAsia" w:ascii="宋体" w:hAnsi="宋体" w:eastAsia="宋体" w:cs="宋体"/>
          <w:color w:val="auto"/>
          <w:szCs w:val="21"/>
          <w:highlight w:val="none"/>
          <w:u w:val="single"/>
        </w:rPr>
        <w:t>交工验收证书签发后14天内</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质量保证金采用以下第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种方式提交：</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（1）质量保证金保函</w:t>
      </w:r>
    </w:p>
    <w:p>
      <w:pPr>
        <w:spacing w:line="360" w:lineRule="auto"/>
        <w:ind w:firstLine="420" w:firstLineChars="200"/>
        <w:rPr>
          <w:rFonts w:hint="eastAsia" w:ascii="宋体" w:hAnsi="宋体" w:eastAsia="宋体" w:cs="宋体"/>
          <w:color w:val="auto"/>
          <w:kern w:val="0"/>
          <w:szCs w:val="21"/>
          <w:highlight w:val="none"/>
          <w:u w:val="none"/>
        </w:rPr>
      </w:pPr>
      <w:r>
        <w:rPr>
          <w:rFonts w:hint="eastAsia" w:ascii="宋体" w:hAnsi="宋体" w:eastAsia="宋体" w:cs="宋体"/>
          <w:color w:val="auto"/>
          <w:kern w:val="0"/>
          <w:szCs w:val="21"/>
          <w:highlight w:val="none"/>
          <w:u w:val="none"/>
        </w:rPr>
        <w:t>1）缴纳形式：</w:t>
      </w:r>
      <w:r>
        <w:rPr>
          <w:rFonts w:hint="eastAsia" w:ascii="宋体" w:hAnsi="宋体" w:cs="宋体"/>
          <w:color w:val="auto"/>
          <w:kern w:val="0"/>
          <w:szCs w:val="21"/>
          <w:highlight w:val="none"/>
          <w:u w:val="none"/>
          <w:lang w:eastAsia="zh-CN"/>
        </w:rPr>
        <w:t>现金</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none"/>
        </w:rPr>
        <w:t>2）具体要求：</w:t>
      </w:r>
      <w:r>
        <w:rPr>
          <w:rFonts w:hint="eastAsia" w:ascii="宋体" w:hAnsi="宋体" w:cs="宋体"/>
          <w:color w:val="auto"/>
          <w:kern w:val="0"/>
          <w:szCs w:val="21"/>
          <w:highlight w:val="none"/>
          <w:u w:val="none"/>
          <w:lang w:eastAsia="zh-CN"/>
        </w:rPr>
        <w:t>按比选人要求转至比选人指定账户</w:t>
      </w:r>
      <w:r>
        <w:rPr>
          <w:rFonts w:hint="eastAsia" w:ascii="宋体" w:hAnsi="宋体" w:eastAsia="宋体" w:cs="宋体"/>
          <w:color w:val="auto"/>
          <w:kern w:val="0"/>
          <w:szCs w:val="21"/>
          <w:highlight w:val="none"/>
          <w:u w:val="none"/>
        </w:rPr>
        <w:t>。</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（2）现金、支票、转账形式；</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（3）其他方式:</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17.4.2 在第 1.1.4.5 目约定的缺陷责任期满，且质量监督机构已按规定对工程质量检测鉴定合格，承包人向发包人申请到期应返还承包人剩余的质量保证金金额，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质量保证金的退还：</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质量保证金保函：</w:t>
      </w:r>
      <w:r>
        <w:rPr>
          <w:rFonts w:hint="eastAsia" w:ascii="宋体" w:hAnsi="宋体" w:eastAsia="宋体" w:cs="宋体"/>
          <w:color w:val="auto"/>
          <w:kern w:val="0"/>
          <w:szCs w:val="21"/>
          <w:highlight w:val="none"/>
          <w:u w:val="single"/>
        </w:rPr>
        <w:t>在发包人颁发缺陷责任期终止证书之日起14天内退还</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（2）缺陷责任期内，承包人认真履行合同约定的责任，到期后，承包人可向发包人申请返还质量保证金。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（3）质量保证金是否支付利息采取以下第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①</w:t>
      </w:r>
      <w:r>
        <w:rPr>
          <w:rFonts w:hint="eastAsia" w:ascii="宋体" w:hAnsi="宋体" w:eastAsia="宋体" w:cs="宋体"/>
          <w:color w:val="auto"/>
          <w:szCs w:val="21"/>
          <w:highlight w:val="none"/>
        </w:rPr>
        <w:t>按照中国人民银行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年期贷款市场报价利率支付利息。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②不采用。</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本款补充第 17.4.4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rPr>
        <w:t>17.4.4 承包人拒绝按照本合同约定交纳质量保证金的，发包人有权从交工付款证书中扣留相应金额作为质量保证金，或者直接将履约担保相应金额用于保证承包人在缺陷责任期内履行缺陷修复义务。</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17.5 交工结算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17.5.1 交工付款申请单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承包人向监理人提交交工付款申请单（包括相关证明材料）的份数: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；期限：交工验收证书签发后 42 天内。</w:t>
      </w:r>
    </w:p>
    <w:p>
      <w:pPr>
        <w:spacing w:line="360" w:lineRule="auto"/>
        <w:ind w:right="248" w:firstLine="480"/>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监理人或发包人对交工付款申请单有异议的，应在接到交工付款申请单后14天内要求承包人进行修正和提供补充资料，承包人在接到监理人或发包人提出的审核意见后，应在28天内按监理人或发包人提出的合理要求补充资料、修改交工结算资料，并再次提交监理人或发包人审核。承包人未在规定时间内报送交工结算资料给发包人造成经济损失的，承包人应承担赔偿责任。</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交工付款申请单</w:t>
      </w:r>
      <w:r>
        <w:rPr>
          <w:rFonts w:hint="eastAsia" w:ascii="宋体" w:hAnsi="宋体" w:eastAsia="宋体" w:cs="宋体"/>
          <w:color w:val="auto"/>
          <w:kern w:val="0"/>
          <w:szCs w:val="21"/>
          <w:highlight w:val="none"/>
        </w:rPr>
        <w:t>包括但不限于以下内容：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szCs w:val="21"/>
          <w:highlight w:val="none"/>
        </w:rPr>
        <w:t>交工</w:t>
      </w:r>
      <w:r>
        <w:rPr>
          <w:rFonts w:hint="eastAsia" w:ascii="宋体" w:hAnsi="宋体" w:eastAsia="宋体" w:cs="宋体"/>
          <w:color w:val="auto"/>
          <w:kern w:val="0"/>
          <w:szCs w:val="21"/>
          <w:highlight w:val="none"/>
        </w:rPr>
        <w:t>结算合同价格；</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（2）变更增减金额；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（3）现场签证增减金额；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（4）价格调整；</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（5）索赔增减金额；</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（6）奖励、罚金及违约金；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（7）发包人已支付承包人的款项；</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（8）应扣留的质量保证金；</w:t>
      </w:r>
    </w:p>
    <w:p>
      <w:pPr>
        <w:snapToGrid w:val="0"/>
        <w:spacing w:line="360" w:lineRule="auto"/>
        <w:ind w:firstLine="47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（9）发包人应支付承包人的合同价款。</w:t>
      </w:r>
    </w:p>
    <w:p>
      <w:pPr>
        <w:snapToGrid w:val="0"/>
        <w:spacing w:line="360" w:lineRule="auto"/>
        <w:ind w:firstLine="47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17.5.2 交工付款证书及支付时间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发包人应在监理人出具交工付款证书且承包人提交了合格的增值税专用发票后的 14 天内，将应支付款支付给承包人。发包人不按期支付的，按第 17.3.3（2）目的约定，将逾期付款违约金支付给承包人。</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17.6 最终结清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17.6.1 最终结清申请单</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本项（1）目约定为：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承包人向监理人提交最终结清申请单（包括相关证明材料）的份数        ；期限：缺陷责任期终止证书签发后 28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最终结清申请单中的总金额应认为是代表了根据合同规定应付给承包人的全部款项的最后结算。</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17.6.2 最终结清证书和支付时间</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（2）发包人应在监理人出具最终结清证书且承包人提交了合格的增值税专用发票后的 14 天内，将应支付款支付给承包人。发包人不按期支付的，按第 17.3.3（2）目的约定，将逾期付款违约金支付给承包人。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17.6.3 项：</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17.6.3 逾期办理或不配合办理完工结算的处理</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有下列情形之一的，视为承包人放弃与发包人共同办理完工结算的权利，发包人有权会同审计单位、监理人根据有效资料共同确定完工结算金额。</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（1）承包人具备报送条件但逾期未报送完工结算资料，亦未获得发包人批准延期报送，经发包人两次书面催告仍未在限期内报送的。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在接到监理人或发包人对交工付款申请单提出的审核意见后，未在限期内按监理人或发包人提出的合理要求补充资料和（或）修改完工结算资料，亦未获得发包人批准延期报送，经发包人两次书面催告仍未在限期内报送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（3）承包人不配合发包人、审计单位、监理人、发包人委托的工程造价咨询服务单位办理完工结算的，经发包人两次书面函告仍未改正的。</w:t>
      </w:r>
    </w:p>
    <w:p>
      <w:pPr>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应在完工结算定案表确定后28天内，以书面函件形式将完工结算定案表函告承包人，该定案表自送达之日起生效。该书面函件应采用直接送达方式送达，双方应办理书面签收手续，承包人实际签收日期为送达之日；若承包人拒绝签收的，视为已经送达，以该书面函件载明的签发日期为送达之日。</w:t>
      </w:r>
    </w:p>
    <w:p>
      <w:pPr>
        <w:pStyle w:val="5"/>
        <w:spacing w:before="0" w:after="0" w:line="360" w:lineRule="auto"/>
        <w:rPr>
          <w:rFonts w:hint="eastAsia" w:ascii="宋体" w:hAnsi="宋体" w:eastAsia="宋体" w:cs="宋体"/>
          <w:color w:val="auto"/>
          <w:highlight w:val="none"/>
        </w:rPr>
      </w:pPr>
      <w:bookmarkStart w:id="279" w:name="_Toc57795982"/>
      <w:bookmarkStart w:id="280" w:name="_Toc10803"/>
      <w:r>
        <w:rPr>
          <w:rFonts w:hint="eastAsia" w:ascii="宋体" w:hAnsi="宋体" w:eastAsia="宋体" w:cs="宋体"/>
          <w:color w:val="auto"/>
          <w:highlight w:val="none"/>
        </w:rPr>
        <w:t>18、竣工验收</w:t>
      </w:r>
      <w:bookmarkEnd w:id="279"/>
      <w:bookmarkEnd w:id="280"/>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18.2 交工验收申请报告</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竣工资料的内容：承包人应按照《公路工程竣（交）工验收办法》和相关规定编制竣工资料。</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竣工资料的份数：</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18.3 验收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18.3.5 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经验收合格工程的实际交工日期，以最终提交交工验收申请报告的日期为准，并在交工验收证书中写明。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本款补充第 18.3.7 项：</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组织办理交工验收和签发交工验收证书的费用由发包人承担。但按照第 18.3.4 项规定达不到合格标准的交工验收费用由承包人承担。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18.5 施工期运行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18.5.1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单位工程或工程设备是否需投入施工期运行：□是□否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如单位工程或工程设备需要进行施工期运行，需要施工期运行的单位工程或</w:t>
      </w:r>
    </w:p>
    <w:p>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工程设备规定如下：</w:t>
      </w:r>
      <w:r>
        <w:rPr>
          <w:rFonts w:hint="eastAsia" w:ascii="宋体" w:hAnsi="宋体" w:eastAsia="宋体" w:cs="宋体"/>
          <w:color w:val="auto"/>
          <w:szCs w:val="21"/>
          <w:highlight w:val="none"/>
          <w:u w:val="single"/>
        </w:rPr>
        <w:t xml:space="preserve">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18.6 试运行</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第 18.6.1 项细化为：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本工程及工程设备是否进行试运行：是。</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18.9 款：</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18.9 竣工文件</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承包人应按照《公路工程竣（交）工验收办法》的相关规定，在缺陷责任期内为竣工验收补充竣工资料，并在签发缺陷责任期终止证书之前提交。</w:t>
      </w:r>
    </w:p>
    <w:p>
      <w:pPr>
        <w:pStyle w:val="5"/>
        <w:spacing w:before="0" w:after="0" w:line="360" w:lineRule="auto"/>
        <w:rPr>
          <w:rFonts w:hint="eastAsia" w:ascii="宋体" w:hAnsi="宋体" w:eastAsia="宋体" w:cs="宋体"/>
          <w:color w:val="auto"/>
          <w:highlight w:val="none"/>
        </w:rPr>
      </w:pPr>
      <w:bookmarkStart w:id="281" w:name="_Toc57795983"/>
      <w:bookmarkStart w:id="282" w:name="_Toc27754"/>
      <w:r>
        <w:rPr>
          <w:rFonts w:hint="eastAsia" w:ascii="宋体" w:hAnsi="宋体" w:eastAsia="宋体" w:cs="宋体"/>
          <w:color w:val="auto"/>
          <w:highlight w:val="none"/>
        </w:rPr>
        <w:t>19、缺陷责任与保修责任</w:t>
      </w:r>
      <w:bookmarkEnd w:id="281"/>
      <w:bookmarkEnd w:id="282"/>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19.2 缺陷责任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19.2.2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在缺陷责任期内，承包人应尽快完成在交工验收证书中写明的未完成工作，并完成对本工程缺陷的修复或监理人指令的修补工作。</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19.5 承包人的进入权</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承包人在缺陷修复施工过程中，应服从管养单位的有关安全管理规定，由于承包人自身原因造成的人员伤亡、设备和材料的损毁及罚款等责任由承包人自负。</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19.7 保修责任</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（1）保修期：自实际交工日期起计算</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年。保修期与缺陷责任期重叠的期间内，承包人的保修责任同缺陷责任。在缺陷责任期满后的保修期内，承包人可不在工地留有办事人员和机械设备，但必须随时与发包人保持联系，在保修期内承包人应对由于施工质量原因造成的损坏自费进行修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（2）在全部工程交工验收前，已经发包人提前验收的单位工程，其保修期的起算日期相应提前。</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（3）工程保修期终止后 28 天内，监理人签发保修期终止证书。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（4）若承包人不履行保修义务和责任，则承包人应承担由于违约造成的法律后果，并由发包人将其违约行为上报省级交通运输主管部门，作为不良记录纳入公路建设市场信用信息管理系统。</w:t>
      </w:r>
    </w:p>
    <w:p>
      <w:pPr>
        <w:pStyle w:val="5"/>
        <w:spacing w:before="0" w:after="0" w:line="360" w:lineRule="auto"/>
        <w:rPr>
          <w:rFonts w:hint="eastAsia" w:ascii="宋体" w:hAnsi="宋体" w:eastAsia="宋体" w:cs="宋体"/>
          <w:color w:val="auto"/>
          <w:highlight w:val="none"/>
        </w:rPr>
      </w:pPr>
      <w:bookmarkStart w:id="283" w:name="_Toc57795984"/>
      <w:bookmarkStart w:id="284" w:name="_Toc12978"/>
      <w:r>
        <w:rPr>
          <w:rFonts w:hint="eastAsia" w:ascii="宋体" w:hAnsi="宋体" w:eastAsia="宋体" w:cs="宋体"/>
          <w:color w:val="auto"/>
          <w:highlight w:val="none"/>
        </w:rPr>
        <w:t>20、保险</w:t>
      </w:r>
      <w:bookmarkEnd w:id="283"/>
      <w:bookmarkEnd w:id="284"/>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20.1 工程保险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建筑工程一切险的投保内容：为本合同工程的永久工程、临时工程和设备及已运至施工工地用于永久工程的材料和设备所投的保险。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保险金额：工程量清单第 100 章（不含建筑工程一切险及第三者责任险的保险费）至第 700 章的合计金额。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保险费率：建筑工程一切险的保险费率</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保险期限：开工日起直至本合同工程签发缺陷责任期终止证书止（即合同工期＋缺陷责任期）。 </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 xml:space="preserve">承包人应以发包人和承包人的共同名义投保建筑工程一切险。建筑工程一切险的保险费由承包人报价时列入工程量清单第 100 章内。发包人在接到保险单后，将按照保险单的费用直接向承包人支付。 </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20.4 第三者责任险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20.4.2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第三者责任险的保险费由承包人报价时列入工程量清单第 100 章内。发包人在接到保险单后，将按照保险单的费用直接向承包人支付。</w:t>
      </w:r>
    </w:p>
    <w:p>
      <w:pPr>
        <w:pStyle w:val="2"/>
        <w:spacing w:after="0"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第三者责任险的最低投保金额：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万元，事故次数不限（不计免赔额</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万元）保险费率</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20.5 其他保险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承包人应为其施工设备等办理保险，其投保金额应足以现场重置。办理本款保险的一切费用均由承包人承担，并包括在工程量清单的单价及总额价中，发包人不单独支付。</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20.6 对各项保险的一般要求</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20.6.1 保险凭证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本项约定为：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承包人向发包人提交各项保险生效的证据和保险单副本的期限：开工后 56 天内。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20.6.3 持续保险</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在整个合同期内，承包人应按合同条款规定保证足够的保险额。</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20.6.4 保险金不足的补偿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保险金不足以补偿损失的（包括免赔额和超过赔偿限额的部分），应由承包人和 （或）发包人按合同约定负责补偿。</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20.6.5 未按约定投保的补救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由于负有投保义务的一方当事人未按合同约定办理某项保险，或未按保险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pPr>
        <w:pStyle w:val="5"/>
        <w:spacing w:before="0" w:after="0" w:line="360" w:lineRule="auto"/>
        <w:rPr>
          <w:rFonts w:hint="eastAsia" w:ascii="宋体" w:hAnsi="宋体" w:eastAsia="宋体" w:cs="宋体"/>
          <w:color w:val="auto"/>
          <w:highlight w:val="none"/>
        </w:rPr>
      </w:pPr>
      <w:bookmarkStart w:id="285" w:name="_Toc31616"/>
      <w:bookmarkStart w:id="286" w:name="_Toc57795985"/>
      <w:r>
        <w:rPr>
          <w:rFonts w:hint="eastAsia" w:ascii="宋体" w:hAnsi="宋体" w:eastAsia="宋体" w:cs="宋体"/>
          <w:color w:val="auto"/>
          <w:highlight w:val="none"/>
        </w:rPr>
        <w:t>21、不可抗力</w:t>
      </w:r>
      <w:bookmarkEnd w:id="285"/>
      <w:bookmarkEnd w:id="286"/>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21.1 不可抗力的确认</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21.1.1 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不可抗力是指承包人和发包人在订立合同时不可预见，在工程施工过程中不可避免发生并不能克服的自然灾害和社会性突发事件。包括但不限于：</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（1）地震、海啸、火山爆发、泥石流、暴雨（雪）、台风、龙卷风、水灾等自然灾害；</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（2）战争、骚乱、暴动，但纯属承包人或其分包人派遣与雇用的人员由于本合同工程施工原因引起者除外；</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（3）核反应、辐射或放射性污染；</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（4）空中飞行物体坠落或非发包人或承包人责任造成的爆炸、火灾；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（5）瘟疫；</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（6）</w:t>
      </w:r>
      <w:r>
        <w:rPr>
          <w:rFonts w:hint="eastAsia" w:ascii="宋体" w:hAnsi="宋体" w:eastAsia="宋体" w:cs="宋体"/>
          <w:color w:val="auto"/>
          <w:kern w:val="0"/>
          <w:szCs w:val="21"/>
          <w:highlight w:val="none"/>
        </w:rPr>
        <w:t>非双方责任引起的火灾、爆炸、船舶撞击等情形；环保治理等政府行为导致项目停工的。</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21.3 不可抗力后果及其处理</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21.3.1 不可抗力造成损害的责任</w:t>
      </w:r>
    </w:p>
    <w:p>
      <w:pPr>
        <w:snapToGrid w:val="0"/>
        <w:spacing w:line="360" w:lineRule="auto"/>
        <w:ind w:firstLine="630" w:firstLineChars="3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（6）不可抗力发生前已完成的工程应当按照合同约定进行计量支付。</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（7）因不可抗力影响承包人履行合同约定的义务，已经引起或将引起工期延误的，应当顺延工期，由此导致承包人停工的费用损失由发包人和承包人合理共担，停工期间必须支付的工人工资由发包人承担；</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（8）不可抗力事件发生后，合同当事人均应采取措施尽量避免和减少损失的扩大，任何一方当事人没有采取有效措施导致损失扩大的，应对扩大的损失承担责任。</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21.3.4 因不可抗力解除合同</w:t>
      </w:r>
    </w:p>
    <w:p>
      <w:pPr>
        <w:snapToGrid w:val="0"/>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bidi="ar"/>
        </w:rPr>
        <w:t>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参照第 22.2.4 项约定，由监理人按第 3.5 款商定或确定，但由于解除合同应赔偿的承包人损失不予考虑。</w:t>
      </w:r>
      <w:r>
        <w:rPr>
          <w:rFonts w:hint="eastAsia" w:ascii="宋体" w:hAnsi="宋体" w:eastAsia="宋体" w:cs="宋体"/>
          <w:color w:val="auto"/>
          <w:kern w:val="0"/>
          <w:szCs w:val="21"/>
          <w:highlight w:val="none"/>
        </w:rPr>
        <w:t>合同解除后，发包人应在商定或确定发包人应支付款项后</w:t>
      </w:r>
      <w:r>
        <w:rPr>
          <w:rFonts w:hint="eastAsia" w:ascii="宋体" w:hAnsi="宋体" w:eastAsia="宋体" w:cs="宋体"/>
          <w:color w:val="auto"/>
          <w:kern w:val="0"/>
          <w:szCs w:val="21"/>
          <w:highlight w:val="none"/>
          <w:u w:val="single"/>
        </w:rPr>
        <w:t>28</w:t>
      </w:r>
      <w:r>
        <w:rPr>
          <w:rFonts w:hint="eastAsia" w:ascii="宋体" w:hAnsi="宋体" w:eastAsia="宋体" w:cs="宋体"/>
          <w:color w:val="auto"/>
          <w:kern w:val="0"/>
          <w:szCs w:val="21"/>
          <w:highlight w:val="none"/>
        </w:rPr>
        <w:t>天内完成款项的支付。</w:t>
      </w:r>
    </w:p>
    <w:p>
      <w:pPr>
        <w:pStyle w:val="5"/>
        <w:spacing w:before="0" w:after="0" w:line="360" w:lineRule="auto"/>
        <w:rPr>
          <w:rFonts w:hint="eastAsia" w:ascii="宋体" w:hAnsi="宋体" w:eastAsia="宋体" w:cs="宋体"/>
          <w:color w:val="auto"/>
          <w:highlight w:val="none"/>
        </w:rPr>
      </w:pPr>
      <w:bookmarkStart w:id="287" w:name="_Toc57795986"/>
      <w:bookmarkStart w:id="288" w:name="_Toc18130"/>
      <w:r>
        <w:rPr>
          <w:rFonts w:hint="eastAsia" w:ascii="宋体" w:hAnsi="宋体" w:eastAsia="宋体" w:cs="宋体"/>
          <w:color w:val="auto"/>
          <w:highlight w:val="none"/>
        </w:rPr>
        <w:t>22、违约</w:t>
      </w:r>
      <w:bookmarkEnd w:id="287"/>
      <w:bookmarkEnd w:id="288"/>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22.1 承包人违约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22.1.1 承包人违约的情形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（2）承包人违反第 5.3 款或第 6.4 款的约定，未经监理人批准，私自将已按合同约定进入施工场地的施工设备、临时设施、材料或工程设备撤离施工场地；</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本项（7）目细化为：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（7）承包人未能按期开工；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（8）承包人违反第 4.6 款或第 6.3 款的规定，未按承诺或未按监理人的要求及时配备称职的主要管理人员、技术骨干或关键施工设备；</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（9）经监理人和发包人检查，发现承包人有安全问题或有违反安全管理规章制度的情况</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（10）承包人未按合同约定提交履约担保；</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（12）承包人拖欠其工人或所雇人员工资或报酬，导致其工人或所雇人员向有关部门投诉、控告、检举或以聚集等方式讨要工资或报酬的；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（13）承包人不配合发包人、监理人及发包人委托的工程造价咨询服务单位结算审核或承包人其他原因导致未按期完成工程竣（完）工结算的；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（14）承包人违反合同约定进行转包或违法分包的；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（15）承包人未按合同约定移交全部或部分工作的；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（16）承包人未按合同约定购买保险的；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（17）项目经理若有以下情形，属于承包人违约：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1）项目经理不按承诺到岗的；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3）承包人未提交项目经理劳动合同和社会保险证明的；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5）未经批准，擅自变更项目经理的；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6）发包人有正当理由认为项目经理不称职/不履职，且承包人在约定时间内不予更换的；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（18）项目总工若有以下情形，属于承包人违约：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1）每月在施工现场的天数少于约定天数的；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2）承包人未提交项目总工劳动合同和社会保险证明的；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4）未经批准，擅自变更项目总工的；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5）发包人有正当理由认为项目总工不称职/不履职，且承包人在约定时间内不予更换的；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snapToGrid w:val="0"/>
        <w:spacing w:line="360" w:lineRule="auto"/>
        <w:ind w:left="48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（19）主要施工管理人员若有以下情形，属于承包人违约：</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1）承包人未提交主要管理人员劳动合同和社会保险证明的；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2）未经批准，擅自离开施工现场（超过约定时间）的；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3）未经批准，擅自变更主要施工管理人员的；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4）发包人有正当理由认为主要施工管理人员不称职/不履职，且承包人在约定时间内不予更换的；</w:t>
      </w:r>
    </w:p>
    <w:p>
      <w:pPr>
        <w:pStyle w:val="48"/>
        <w:snapToGrid w:val="0"/>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5）其他双方约定的情形：</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（20）发包人在合同签订前对承包人“已标价工程量清单”进行复核时发现承包人未按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要求填报工程量清单的，发包人按</w:t>
      </w:r>
      <w:r>
        <w:rPr>
          <w:rFonts w:hint="eastAsia" w:ascii="宋体" w:hAnsi="宋体" w:eastAsia="宋体" w:cs="宋体"/>
          <w:color w:val="auto"/>
          <w:kern w:val="0"/>
          <w:szCs w:val="21"/>
          <w:highlight w:val="none"/>
          <w:lang w:eastAsia="zh-CN" w:bidi="ar"/>
        </w:rPr>
        <w:t>比选文件</w:t>
      </w:r>
      <w:r>
        <w:rPr>
          <w:rFonts w:hint="eastAsia" w:ascii="宋体" w:hAnsi="宋体" w:eastAsia="宋体" w:cs="宋体"/>
          <w:color w:val="auto"/>
          <w:kern w:val="0"/>
          <w:szCs w:val="21"/>
          <w:highlight w:val="none"/>
          <w:lang w:bidi="ar"/>
        </w:rPr>
        <w:t>规定的原则对承包人“已标价工程量清单”进行修正，承包人必须无条件接受。</w:t>
      </w:r>
    </w:p>
    <w:p>
      <w:pPr>
        <w:widowControl/>
        <w:spacing w:line="360" w:lineRule="auto"/>
        <w:ind w:firstLine="420" w:firstLineChars="200"/>
        <w:jc w:val="left"/>
        <w:rPr>
          <w:rFonts w:hint="eastAsia" w:ascii="宋体" w:hAnsi="宋体" w:eastAsia="宋体" w:cs="宋体"/>
          <w:color w:val="auto"/>
          <w:kern w:val="0"/>
          <w:szCs w:val="21"/>
          <w:highlight w:val="none"/>
          <w:u w:val="single"/>
          <w:lang w:bidi="ar"/>
        </w:rPr>
      </w:pPr>
      <w:r>
        <w:rPr>
          <w:rFonts w:hint="eastAsia" w:ascii="宋体" w:hAnsi="宋体" w:eastAsia="宋体" w:cs="宋体"/>
          <w:color w:val="auto"/>
          <w:kern w:val="0"/>
          <w:szCs w:val="21"/>
          <w:highlight w:val="none"/>
          <w:lang w:bidi="ar"/>
        </w:rPr>
        <w:t>（21）</w:t>
      </w:r>
      <w:r>
        <w:rPr>
          <w:rFonts w:hint="eastAsia" w:ascii="宋体" w:hAnsi="宋体" w:eastAsia="宋体" w:cs="宋体"/>
          <w:color w:val="auto"/>
          <w:kern w:val="0"/>
          <w:szCs w:val="21"/>
          <w:highlight w:val="none"/>
          <w:u w:val="single"/>
          <w:lang w:bidi="ar"/>
        </w:rPr>
        <w:t xml:space="preserve">        </w:t>
      </w:r>
      <w:r>
        <w:rPr>
          <w:rFonts w:hint="eastAsia" w:ascii="宋体" w:hAnsi="宋体" w:eastAsia="宋体" w:cs="宋体"/>
          <w:color w:val="auto"/>
          <w:kern w:val="0"/>
          <w:szCs w:val="21"/>
          <w:highlight w:val="none"/>
          <w:lang w:bidi="ar"/>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22.1.2 对承包人违约的处理</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（4）承包人发生第 22.1.1 项约定的违约情况时，无论发包人是否解除合同，发包人均有权向承包人课以专用合同条款中规定的违约金，并由发包人将其违约行为上报省级交通运输主管部门，作为不良记录纳入公路建设市场信用信息管理系统。</w:t>
      </w:r>
    </w:p>
    <w:p>
      <w:pPr>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（5）承包人违约责任的承担方式和计算方法：</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承包人未按合同约定提交履约担保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质量保证金的违约责任：承包人应支付违约金，违约金的计算方法：每延误1天，承包人按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（6）承包人违反合同约定进行转包或违法分包的违约责任：按照违反合同约定进行转包和（或）违法分包相应转包和（或）分包合同的合同金额的</w:t>
      </w:r>
      <w:r>
        <w:rPr>
          <w:rFonts w:hint="eastAsia" w:ascii="宋体" w:hAnsi="宋体" w:eastAsia="宋体" w:cs="宋体"/>
          <w:color w:val="auto"/>
          <w:kern w:val="0"/>
          <w:szCs w:val="21"/>
          <w:highlight w:val="none"/>
          <w:u w:val="single"/>
        </w:rPr>
        <w:t xml:space="preserve"> （5～10）%</w:t>
      </w:r>
      <w:r>
        <w:rPr>
          <w:rFonts w:hint="eastAsia" w:ascii="宋体" w:hAnsi="宋体" w:eastAsia="宋体" w:cs="宋体"/>
          <w:color w:val="auto"/>
          <w:kern w:val="0"/>
          <w:szCs w:val="21"/>
          <w:highlight w:val="none"/>
        </w:rPr>
        <w:t>支付违约金，违法转/分包商应在7天内撤离出场。</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（7）承包人违反合同约定采购和使用不合格的材料和工程设备的违约责任：按照违反合同约定采购和使用不合格的材料和（或）工程设备相应合同金额的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（8）因承包人原因导致工程质量不符合规定或合同要求的违约责任：承包人退还已支付工程质量不符合合同要求工程的工程款，并按照工程质量不符合合同要求工程相应合同金额的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（9）承包人违反材料与设备的约定，未经批准，擅自将已按照合同约定进入施工现场的材料或设备撤离施工现场的违约责任：按照承包人擅自撤离施工现场材料和（或）设备相应合同金额的</w:t>
      </w:r>
      <w:r>
        <w:rPr>
          <w:rFonts w:hint="eastAsia" w:ascii="宋体" w:hAnsi="宋体" w:eastAsia="宋体" w:cs="宋体"/>
          <w:color w:val="auto"/>
          <w:kern w:val="0"/>
          <w:szCs w:val="21"/>
          <w:highlight w:val="none"/>
          <w:u w:val="single"/>
        </w:rPr>
        <w:t>（1～5）%</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（10）因承包人原因造成工期延误的违约承担方式和计算方法：由承包人承担由此增加的费用，由此导致工期延误的，工期不予顺延；逾期交工违约金的计算方法：每延误1天，承包人按</w:t>
      </w:r>
      <w:r>
        <w:rPr>
          <w:rFonts w:hint="eastAsia" w:ascii="宋体" w:hAnsi="宋体" w:eastAsia="宋体" w:cs="宋体"/>
          <w:color w:val="auto"/>
          <w:kern w:val="0"/>
          <w:szCs w:val="21"/>
          <w:highlight w:val="none"/>
          <w:u w:val="single"/>
        </w:rPr>
        <w:t xml:space="preserve"> （5000～50000）元/天</w:t>
      </w:r>
      <w:r>
        <w:rPr>
          <w:rFonts w:hint="eastAsia" w:ascii="宋体" w:hAnsi="宋体" w:eastAsia="宋体" w:cs="宋体"/>
          <w:color w:val="auto"/>
          <w:kern w:val="0"/>
          <w:szCs w:val="21"/>
          <w:highlight w:val="none"/>
        </w:rPr>
        <w:t>计算逾期交工违约金，累计违约金上限：</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万元（不超过签约合同价的3%）；承包人支付逾期交工违约金后，不免除承包人继续完成工程及修补缺陷的义务。</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（11）承包人在缺陷责任期及保修期内，未能在合理期限对工程缺陷进行修复，或拒绝按发包人要求进行修复的违约责任：按照发包人修复缺陷费用的</w:t>
      </w:r>
      <w:r>
        <w:rPr>
          <w:rFonts w:hint="eastAsia" w:ascii="宋体" w:hAnsi="宋体" w:eastAsia="宋体" w:cs="宋体"/>
          <w:color w:val="auto"/>
          <w:kern w:val="0"/>
          <w:szCs w:val="21"/>
          <w:highlight w:val="none"/>
          <w:u w:val="single"/>
        </w:rPr>
        <w:t>（0.5～2）%</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（12）承包人明确表示或者以其行为表明不履行合同主要义务的违约责任：按签约合同价的</w:t>
      </w:r>
      <w:r>
        <w:rPr>
          <w:rFonts w:hint="eastAsia" w:ascii="宋体" w:hAnsi="宋体" w:eastAsia="宋体" w:cs="宋体"/>
          <w:color w:val="auto"/>
          <w:kern w:val="0"/>
          <w:szCs w:val="21"/>
          <w:highlight w:val="none"/>
          <w:u w:val="single"/>
        </w:rPr>
        <w:t>（5～10）%</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（13）承包人未能按照合同约定履行其他义务的违约责任：按</w:t>
      </w:r>
      <w:r>
        <w:rPr>
          <w:rFonts w:hint="eastAsia" w:ascii="宋体" w:hAnsi="宋体" w:eastAsia="宋体" w:cs="宋体"/>
          <w:color w:val="auto"/>
          <w:kern w:val="0"/>
          <w:szCs w:val="21"/>
          <w:highlight w:val="none"/>
          <w:u w:val="single"/>
        </w:rPr>
        <w:t>（500～5000）元/次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（14）承包人未能按期开工的违约责任：按合同价</w:t>
      </w:r>
      <w:r>
        <w:rPr>
          <w:rFonts w:hint="eastAsia" w:ascii="宋体" w:hAnsi="宋体" w:eastAsia="宋体" w:cs="宋体"/>
          <w:color w:val="auto"/>
          <w:kern w:val="0"/>
          <w:szCs w:val="21"/>
          <w:highlight w:val="none"/>
          <w:u w:val="single"/>
        </w:rPr>
        <w:t>0.2‰</w:t>
      </w:r>
      <w:r>
        <w:rPr>
          <w:rFonts w:hint="eastAsia" w:ascii="宋体" w:hAnsi="宋体" w:eastAsia="宋体" w:cs="宋体"/>
          <w:color w:val="auto"/>
          <w:kern w:val="0"/>
          <w:szCs w:val="21"/>
          <w:highlight w:val="none"/>
        </w:rPr>
        <w:t>/天支付违约金，本项违约金累计限额为签约合同价的</w:t>
      </w:r>
      <w:r>
        <w:rPr>
          <w:rFonts w:hint="eastAsia" w:ascii="宋体" w:hAnsi="宋体" w:eastAsia="宋体" w:cs="宋体"/>
          <w:color w:val="auto"/>
          <w:kern w:val="0"/>
          <w:szCs w:val="21"/>
          <w:highlight w:val="none"/>
          <w:u w:val="single"/>
        </w:rPr>
        <w:t xml:space="preserve"> 1 %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（15）承包人未按经审定的施工组织设计配备或更换关键施工设备的违约责任：按</w:t>
      </w:r>
      <w:r>
        <w:rPr>
          <w:rFonts w:hint="eastAsia" w:ascii="宋体" w:hAnsi="宋体" w:eastAsia="宋体" w:cs="宋体"/>
          <w:color w:val="auto"/>
          <w:kern w:val="0"/>
          <w:szCs w:val="21"/>
          <w:highlight w:val="none"/>
          <w:u w:val="single"/>
        </w:rPr>
        <w:t>（5000～50000）元/台·次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（16）承包人有安全问题或有违反规章制度情况的违约责任：根据具体情节，按签约合同价的</w:t>
      </w:r>
      <w:r>
        <w:rPr>
          <w:rFonts w:hint="eastAsia" w:ascii="宋体" w:hAnsi="宋体" w:eastAsia="宋体" w:cs="宋体"/>
          <w:color w:val="auto"/>
          <w:kern w:val="0"/>
          <w:szCs w:val="21"/>
          <w:highlight w:val="none"/>
          <w:u w:val="single"/>
        </w:rPr>
        <w:t>0.5‰～4‰/次</w:t>
      </w:r>
      <w:r>
        <w:rPr>
          <w:rFonts w:hint="eastAsia" w:ascii="宋体" w:hAnsi="宋体" w:eastAsia="宋体" w:cs="宋体"/>
          <w:color w:val="auto"/>
          <w:kern w:val="0"/>
          <w:szCs w:val="21"/>
          <w:highlight w:val="none"/>
        </w:rPr>
        <w:t>支付违约金（累计不超过签约合同价的1%）。</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（17）承包人拖欠其工人或所雇人员工资或报酬，导致其工人或所雇人员向有关部门投诉、控告、检举或以聚集等方式讨要工资或报酬的违约责任：根据具体情节，按违约金额</w:t>
      </w:r>
      <w:r>
        <w:rPr>
          <w:rFonts w:hint="eastAsia" w:ascii="宋体" w:hAnsi="宋体" w:eastAsia="宋体" w:cs="宋体"/>
          <w:color w:val="auto"/>
          <w:kern w:val="0"/>
          <w:szCs w:val="21"/>
          <w:highlight w:val="none"/>
          <w:u w:val="single"/>
        </w:rPr>
        <w:t>（50000～200000）元/次</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（18）承包人不配合发包人、监理人及发包人委托的工程造价咨询服务单位结算审核的违约责任：根据具体情节，按</w:t>
      </w:r>
      <w:r>
        <w:rPr>
          <w:rFonts w:hint="eastAsia" w:ascii="宋体" w:hAnsi="宋体" w:eastAsia="宋体" w:cs="宋体"/>
          <w:color w:val="auto"/>
          <w:kern w:val="0"/>
          <w:szCs w:val="21"/>
          <w:highlight w:val="none"/>
          <w:u w:val="single"/>
        </w:rPr>
        <w:t>（10000～100000）元/次</w:t>
      </w:r>
      <w:r>
        <w:rPr>
          <w:rFonts w:hint="eastAsia" w:ascii="宋体" w:hAnsi="宋体" w:eastAsia="宋体" w:cs="宋体"/>
          <w:color w:val="auto"/>
          <w:kern w:val="0"/>
          <w:szCs w:val="21"/>
          <w:highlight w:val="none"/>
        </w:rPr>
        <w:t>支付违约金；因承包人原因未按约定期限完成工程完工结算的责任：由承包人自行承担由此增加的费用，且每延误一天，按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（19）承包人未按合同约定移交全部和部分工程的违约责任：由承包人承担工程照管、成品保护、保管等与工程有关的各种费用，并按结算金额或违约部分结算金额的</w:t>
      </w:r>
      <w:r>
        <w:rPr>
          <w:rFonts w:hint="eastAsia" w:ascii="宋体" w:hAnsi="宋体" w:eastAsia="宋体" w:cs="宋体"/>
          <w:color w:val="auto"/>
          <w:kern w:val="0"/>
          <w:szCs w:val="21"/>
          <w:highlight w:val="none"/>
          <w:u w:val="single"/>
        </w:rPr>
        <w:t>（0.5～1）‰</w:t>
      </w:r>
      <w:r>
        <w:rPr>
          <w:rFonts w:hint="eastAsia" w:ascii="宋体" w:hAnsi="宋体" w:eastAsia="宋体" w:cs="宋体"/>
          <w:color w:val="auto"/>
          <w:kern w:val="0"/>
          <w:szCs w:val="21"/>
          <w:highlight w:val="none"/>
        </w:rPr>
        <w:t>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（20）承包人未按合同约定购买保险的违约责任</w:t>
      </w:r>
      <w:r>
        <w:rPr>
          <w:rFonts w:hint="eastAsia" w:ascii="宋体" w:hAnsi="宋体" w:eastAsia="宋体" w:cs="宋体"/>
          <w:color w:val="auto"/>
          <w:szCs w:val="21"/>
          <w:highlight w:val="none"/>
        </w:rPr>
        <w:t>：除按20.6.4项约定执行外，</w:t>
      </w:r>
      <w:r>
        <w:rPr>
          <w:rFonts w:hint="eastAsia" w:ascii="宋体" w:hAnsi="宋体" w:eastAsia="宋体" w:cs="宋体"/>
          <w:color w:val="auto"/>
          <w:kern w:val="0"/>
          <w:szCs w:val="21"/>
          <w:highlight w:val="none"/>
        </w:rPr>
        <w:t>每延迟1天，按</w:t>
      </w:r>
      <w:r>
        <w:rPr>
          <w:rFonts w:hint="eastAsia" w:ascii="宋体" w:hAnsi="宋体" w:eastAsia="宋体" w:cs="宋体"/>
          <w:color w:val="auto"/>
          <w:kern w:val="0"/>
          <w:szCs w:val="21"/>
          <w:highlight w:val="none"/>
          <w:u w:val="single"/>
        </w:rPr>
        <w:t>500</w:t>
      </w:r>
      <w:r>
        <w:rPr>
          <w:rFonts w:hint="eastAsia" w:ascii="宋体" w:hAnsi="宋体" w:eastAsia="宋体" w:cs="宋体"/>
          <w:color w:val="auto"/>
          <w:kern w:val="0"/>
          <w:szCs w:val="21"/>
          <w:highlight w:val="none"/>
        </w:rPr>
        <w:t>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（21）发生第22.1.1条（17）、22.1.1条（18）、22.1.1条（19）违约情形的违约责任：除承担由此增加的费用和工期延误的责任，承包人应向发包人支付违约金：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1）项目经理违约承担方式和计算方法：对于第22.1.1条（17）的七种情形，每发现一次，根据具体情节，按</w:t>
      </w:r>
      <w:r>
        <w:rPr>
          <w:rFonts w:hint="eastAsia" w:ascii="宋体" w:hAnsi="宋体" w:eastAsia="宋体" w:cs="宋体"/>
          <w:color w:val="auto"/>
          <w:kern w:val="0"/>
          <w:szCs w:val="21"/>
          <w:highlight w:val="none"/>
          <w:u w:val="single"/>
        </w:rPr>
        <w:t>（1000～30000）元/天·次</w:t>
      </w:r>
      <w:r>
        <w:rPr>
          <w:rFonts w:hint="eastAsia" w:ascii="宋体" w:hAnsi="宋体" w:eastAsia="宋体" w:cs="宋体"/>
          <w:color w:val="auto"/>
          <w:kern w:val="0"/>
          <w:szCs w:val="21"/>
          <w:highlight w:val="none"/>
        </w:rPr>
        <w:t>计算违约金；项目经理不按承诺到岗的（4.7.1项约定的情形除外），按履约保证金的</w:t>
      </w:r>
      <w:r>
        <w:rPr>
          <w:rFonts w:hint="eastAsia" w:ascii="宋体" w:hAnsi="宋体" w:eastAsia="宋体" w:cs="宋体"/>
          <w:color w:val="auto"/>
          <w:kern w:val="0"/>
          <w:szCs w:val="21"/>
          <w:highlight w:val="none"/>
          <w:u w:val="single"/>
        </w:rPr>
        <w:t>（50～100）%</w:t>
      </w:r>
      <w:r>
        <w:rPr>
          <w:rFonts w:hint="eastAsia" w:ascii="宋体" w:hAnsi="宋体" w:eastAsia="宋体" w:cs="宋体"/>
          <w:color w:val="auto"/>
          <w:kern w:val="0"/>
          <w:szCs w:val="21"/>
          <w:highlight w:val="none"/>
        </w:rPr>
        <w:t>支付违约金，并解除合同；擅自更换项目经理的，按签约合同价的</w:t>
      </w:r>
      <w:r>
        <w:rPr>
          <w:rFonts w:hint="eastAsia" w:ascii="宋体" w:hAnsi="宋体" w:eastAsia="宋体" w:cs="宋体"/>
          <w:color w:val="auto"/>
          <w:kern w:val="0"/>
          <w:szCs w:val="21"/>
          <w:highlight w:val="none"/>
          <w:u w:val="single"/>
        </w:rPr>
        <w:t>（0.5～3）%/人·次</w:t>
      </w:r>
      <w:r>
        <w:rPr>
          <w:rFonts w:hint="eastAsia" w:ascii="宋体" w:hAnsi="宋体" w:eastAsia="宋体" w:cs="宋体"/>
          <w:color w:val="auto"/>
          <w:kern w:val="0"/>
          <w:szCs w:val="21"/>
          <w:highlight w:val="none"/>
        </w:rPr>
        <w:t>支付违约金，每次不低于20万，累计不超过200万。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主要项目总工违约承担方式和计算方法：对于第22.1.1条（18）的六种情形，每发现一次，根据具体情节，按1000～30000元/天·次计算违约金；擅自更换主要项目总工的，按签约合同价的（0.5～2）%/人·次支付违约金，每次不低于10万，累计不超过100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主要施工管理人违约承担方式和计算方法：对于第22.1.1条（19）的五种情形，每发现一次，根据具体情节，按500～10000元/天·次计算违约金；擅自更换主要项目总工的，按签约合同价的（0.5～1）%/人·次支付违约金，累计不超过50万。</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（22）合同另有约定的，按照其约定。</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当由承包人向发包人支付的违约金，发包人可直接提取届时有效的履约担保相应金额，不足部分由承包人支付；若发包人提取履约担保相应金额，则承包人应在提取后7日内补足或提交合同约定的履约担保的金额，否则按专用合同第22.1.2条（1）承担违约责任；并从应付或到期应付给承包人的任何款项中或采用其他方法，扣除该违约金或用于补足履约担保被提起后的补足金额。</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承包人必须及时纠正违约行为，满足合同要求，自行承担纠正违约行为的费用或损失，工期不予顺延，并承担由此给发包人造成的经济损失。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承包人承担承包范围的工程质量、安全、环保责任，因承包人原因引起的质量、安全、环保等事故由承包人承担相应的法律后果。</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22.1.3 因承包人违约解除合同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因承包人违约并致使合同目的不能实现的，发包人有权解除合同：</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（1）未按合同约定延迟提供履约担保、质量保证金超过28天的；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（2）未按合同约定购买保险且经催告后超过56天的；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（3）因承包人原因导致开工时间累计延误超过56天的；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（4）因承包人原因导致工期延误超过90天的；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（5）发生第25.1款〔退出机制〕约定的情形的；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（6）监理人发出整改通知后，承包人在监理人限定的期限内仍不纠正违约行为的；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（7）发包人进入清算或者严重资不抵债且无法履行合同的；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（8）违反适用法律而被相关政府部门依法吊销营业执照、责令停业、清算或宣布破产、责令关闭的；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（9）承包人未履行合同项下的义务构成对合同的实质性违约，并且在收到发包人要求说明其违约并予以补救的通知后56天内仍未能补救该实质性违约的；</w:t>
      </w:r>
    </w:p>
    <w:p>
      <w:pPr>
        <w:pStyle w:val="48"/>
        <w:spacing w:line="360" w:lineRule="auto"/>
        <w:ind w:firstLineChars="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（10）合同约定其他情况的，发包人有权解除合同的。</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22.1.4</w:t>
      </w:r>
      <w:r>
        <w:rPr>
          <w:rFonts w:hint="eastAsia" w:ascii="宋体" w:hAnsi="宋体" w:eastAsia="宋体" w:cs="宋体"/>
          <w:color w:val="auto"/>
          <w:szCs w:val="21"/>
          <w:highlight w:val="none"/>
        </w:rPr>
        <w:t>合同解除后的估价、付款和结清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本项补充：</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因承包人违约导致合同解除的，合同当事人应在合同解除后56天内完成估价、付款和清算，并按以下约定执行：</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（1）合同解除后，按第17.6款结算审定方式确定承包人实际完成工作对应的合同价款，以及承包人已提供的材料、工程设备、施工设备和临时工程等的价值；</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（2）合同解除后，承包人应支付的违约金；</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（3）合同解除后，因解除合同给发包人造成的损失；</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（4）合同解除后，承包人应按照发包人要求和监理人的指示完成现场的清理和撤离。</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因承包人违约导致解除合同的，发包人有权暂停对承包人的付款，查清各项付款和已扣款项。发包人和承包人未能就合同解除后的清算和款项支付达成一致的，按照第24条〔争议的解决〕的约定处理。</w:t>
      </w:r>
    </w:p>
    <w:p>
      <w:pP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解除后，发包人可派员进驻施工现场，另行组织人员或委托其他承包人继续完成合同工程；因继续完成工程的需要，发包人有权使用承包人在施工现场的材料、设备、临时工程、承包人文件和由承包人或以其名义编制的其他文件；发包人继续使用承包人在施工现场的材料、设备、临时工程、承包人文件和由承包人或以其名义编制的其他文件的费用承担方式由双方协商确定；发包人继续使用的行为不免除或减轻承包人应承担的违约责任，也不影响发包人根据合同享有的索赔等权利。</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22.2 发包人违约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22.2.1 发包人违约的情形</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（5）发包人无正当理由不按时返还履约保证金、质量保证金或农民工工资保证金的；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（6）根据专用合同条款第11.3款发包人的工期延误；</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（7）因发包人原因未能及时办理完毕合同约定的许可、批准或备案的；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（8）因监理人未能按合同约定发出指示、指示延误或发出了错误指示而导致承包人费用增加和（或）工期延误的；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（9）根据第13.5.3条发包人或监理人要求重新检查的，经检查证明工程质量符合合同要求的，并由此产生增加的费用和（或）延误的工期的；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（10）因发包人原因造成工程质量未达到合同约定标准的；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（11）由于发包人原因对承包人造成的人员人身伤亡和财产损失的；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（14）发包人不当提取履约担保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或质量保证金或农民工工资保证金的；</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（16）发包人未按合同约定办理保险的；</w:t>
      </w:r>
    </w:p>
    <w:p>
      <w:pPr>
        <w:snapToGrid w:val="0"/>
        <w:spacing w:line="36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（17）其他：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22.2.2 承包人有权暂停施工</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发包人发生除第 22.2.1（4）、（5）目以外的违约情况时，承包人可向发包人发出通知，要求发包人采取有效措施纠正违约行为。发包人收到承包人通知后的 28 天内仍不履行合同义务，承包人有权暂停施工，并通知监理人，发包人应承担由此增加的费用和（或）工期延误，并支付承包人合理利润。</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发包人发生第 22.2.1（5）目的违约情况时，承包人可向发包人发出通知，要求发包人采取有效措施纠正违约行为。发包人收到承包人通知后的 28 天内仍不返还履约保证金、质量保证金或农民工工资保证金的，发包人应按专用合同条款的约定向承包人支付逾期返还保证金的违约金。</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22.2.4 解除合同后的付款</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本项（2）目细化为：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（2）承包人为该工程施工订购并已付款的材料、工程设备和其他物品的金额。发包人付款后，该材料、工程设备和其他物品归发包人所有；</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本款补充22.2.6项</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22.2.6其他：</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（1）因发包人原因未能及时办理完毕前述许可、批准或备案的违约责任：由发包人承担由此增加的费用和（或）顺延工期，并支付合理利润，具体索赔程序按照第23条〔索赔〕约定执行。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因监理人未能按合同约定发出指示、指示延误或发出了错误指示而导致承包人费用增加和（或）工期延误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（3）因发包人原因导致工期延误的违约责任：由发包人承担由此增加的费用和（或）顺延工期，并支付合理利润，具体索赔程序按照第23条〔索赔〕约定执行。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（4）因发包人原因未能在计划开工日期前7天内下达开工通知的违约责任：由发包人承担由此增加的费用和（或）顺延工期，并支付合理利润，具体索赔程序按照第23条〔索赔〕约定执行。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（5）根据第13.5.3项发包人或监理人要求重新检查的，经检查证明工程质量符合合同要求的，由发包人承担由此增加的费用和（或）顺延工期，并支付合理利润，具体索赔程序按照第23条〔索赔〕约定执行。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（6）因发包人原因未按合同约定支付合同价款的违约责任：发包人应向承包人支付违约金，自应当支付之日起28天后开始计算违约金，</w:t>
      </w:r>
      <w:r>
        <w:rPr>
          <w:rFonts w:hint="eastAsia" w:ascii="宋体" w:hAnsi="宋体" w:eastAsia="宋体" w:cs="宋体"/>
          <w:color w:val="auto"/>
          <w:kern w:val="0"/>
          <w:szCs w:val="21"/>
          <w:highlight w:val="none"/>
          <w:u w:val="single"/>
        </w:rPr>
        <w:t>计算公式：违约金=应付未付金额×中国人民银行    年  月公布的     年期贷款市场报价利率/360天×逾期天数</w:t>
      </w:r>
      <w:r>
        <w:rPr>
          <w:rFonts w:hint="eastAsia" w:ascii="宋体" w:hAnsi="宋体" w:eastAsia="宋体" w:cs="宋体"/>
          <w:color w:val="auto"/>
          <w:szCs w:val="21"/>
          <w:highlight w:val="none"/>
          <w:u w:val="single"/>
        </w:rPr>
        <w:t>（自第29天起计算）</w:t>
      </w:r>
      <w:r>
        <w:rPr>
          <w:rFonts w:hint="eastAsia" w:ascii="宋体" w:hAnsi="宋体" w:eastAsia="宋体" w:cs="宋体"/>
          <w:color w:val="auto"/>
          <w:kern w:val="0"/>
          <w:szCs w:val="21"/>
          <w:highlight w:val="none"/>
          <w:u w:val="single"/>
        </w:rPr>
        <w:t>；逾期天数超过56天的，超过部分天数按上述利率的两倍计算并支付违约金。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（7）发包人违反合同约定，自行实施或转由他人实施被取消的合同工作内容的违约责任：由发包人承担由此给承包人造成的实际损失并支付合理利润。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8）发包人提供的材料、工程设备的规格、数量或质量不符合合同约定，或因发包人原因导致交货日期延误或交货地点变更等情况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（9）因发包人原因造成工程质量未达到合同约定标准的，由发包人承担由此增加的费用和（或）延误的工期，并支付合理利润。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（10）因发包人违反合同约定造成暂停施工的违约责任：由发包人承担由此增加的费用和（或）顺延工期，并支付合理利润，具体索赔程序按照第23条〔索赔〕约定执行。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（11）发包人无正当理由没有在约定期限内发出复工指示，导致承包人无法复工的违约责任：由发包人承担由此增加的费用和（或）顺延工期，并支付合理利润，具体索赔程序按照第23条〔索赔〕约定执行。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（12）因发包人原因导致工程无法按期办理竣工验收和竣工结算的违约责任：由发包人承担由此增加的费用和（或）顺延工期，并支付合理利润，具体索赔程序按照第23条〔索赔〕约定执行。</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发包人无正当理由未按约定退还履约担保</w:t>
      </w:r>
      <w:r>
        <w:rPr>
          <w:rFonts w:hint="eastAsia" w:ascii="宋体" w:hAnsi="宋体" w:cs="宋体"/>
          <w:color w:val="auto"/>
          <w:kern w:val="0"/>
          <w:szCs w:val="21"/>
          <w:highlight w:val="none"/>
          <w:lang w:eastAsia="zh-CN"/>
        </w:rPr>
        <w:t>、</w:t>
      </w:r>
      <w:r>
        <w:rPr>
          <w:rFonts w:hint="eastAsia" w:ascii="宋体" w:hAnsi="宋体" w:eastAsia="宋体" w:cs="宋体"/>
          <w:color w:val="auto"/>
          <w:kern w:val="0"/>
          <w:szCs w:val="21"/>
          <w:highlight w:val="none"/>
        </w:rPr>
        <w:t>或质量保证金的违约责任：发包人应向承包人支付违约金，自应当退还之日起28天后开始计算违约金，计算公式：违约金=应退未退担保金额×中国人民银行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年期贷款市场报价利率/360天×逾期天数</w:t>
      </w:r>
      <w:r>
        <w:rPr>
          <w:rFonts w:hint="eastAsia" w:ascii="宋体" w:hAnsi="宋体" w:eastAsia="宋体" w:cs="宋体"/>
          <w:color w:val="auto"/>
          <w:szCs w:val="21"/>
          <w:highlight w:val="none"/>
        </w:rPr>
        <w:t>（自第29天起计算）</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（14）发包人不当提取履约担保、质量保证金的，应及时予以退还，若不当提取超过28天的，应承担违约责任：发包人应向承包人支付违约金，计算公式：违约金=不当提取的担保金额×中国人民银行</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月公布的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zCs w:val="21"/>
          <w:highlight w:val="none"/>
        </w:rPr>
        <w:t>年期贷款市场报价利率/360天×逾期天数（自第29天起计算）。</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（15）发包人未按合同约定接收全部或部分工作的违约责任：由发包人承担自应当接收工程之日起的工程照管、成品保护、保管等与工程有关的各项费用。</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（16）由于发包人原因对承包人造成的人员人身伤亡和财产损失的，由发包人负责赔偿，并承担由此增加的费用和（或）延误的工期，并支付合理利润。</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（17）发包人未按合同约定办理保险的违约责任：除按18.6.1项约定执行外，每延迟1天，按500元/天支付违约金。</w:t>
      </w:r>
    </w:p>
    <w:p>
      <w:pPr>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（18）其他：</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snapToGrid w:val="0"/>
        <w:spacing w:line="360" w:lineRule="auto"/>
        <w:ind w:firstLine="420" w:firstLineChars="200"/>
        <w:jc w:val="left"/>
        <w:rPr>
          <w:rFonts w:hint="eastAsia" w:ascii="宋体" w:hAnsi="宋体" w:eastAsia="宋体" w:cs="宋体"/>
          <w:color w:val="auto"/>
          <w:highlight w:val="none"/>
          <w:lang w:bidi="ar"/>
        </w:rPr>
      </w:pPr>
      <w:r>
        <w:rPr>
          <w:rFonts w:hint="eastAsia" w:ascii="宋体" w:hAnsi="宋体" w:eastAsia="宋体" w:cs="宋体"/>
          <w:color w:val="auto"/>
          <w:kern w:val="0"/>
          <w:szCs w:val="21"/>
          <w:highlight w:val="none"/>
        </w:rPr>
        <w:t>发包人发生除第22.2.1项以外的违约情况时，承包人可向发包人发出通知，要求发包人采取有效措施纠正违约行为。发包人收到承包人通知后的28天内仍不履行合同义务，承包人有权暂停施工，并通知监理人。</w:t>
      </w:r>
    </w:p>
    <w:p>
      <w:pPr>
        <w:pStyle w:val="5"/>
        <w:spacing w:before="0" w:after="0" w:line="360" w:lineRule="auto"/>
        <w:rPr>
          <w:rFonts w:hint="eastAsia" w:ascii="宋体" w:hAnsi="宋体" w:eastAsia="宋体" w:cs="宋体"/>
          <w:color w:val="auto"/>
          <w:highlight w:val="none"/>
        </w:rPr>
      </w:pPr>
      <w:bookmarkStart w:id="289" w:name="_Toc57795987"/>
      <w:bookmarkStart w:id="290" w:name="_Toc18839"/>
      <w:r>
        <w:rPr>
          <w:rFonts w:hint="eastAsia" w:ascii="宋体" w:hAnsi="宋体" w:eastAsia="宋体" w:cs="宋体"/>
          <w:color w:val="auto"/>
          <w:highlight w:val="none"/>
        </w:rPr>
        <w:t>23、索赔</w:t>
      </w:r>
      <w:bookmarkEnd w:id="289"/>
      <w:bookmarkEnd w:id="290"/>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23.1 承包人索赔的提出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本款第（4）项细化为：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（4）在索赔事件影响结束后的 28 天内，承包人应向监理人递交最终索赔通知书，说明最终要求索赔的追加付款金额和（或）延长的工期，并附必要的记录和证明材料。</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23.2 承包人索赔处理程序</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本款第（2）项细化为：</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（2）监理人应按第 3.5 款商定或确定追加的付款和（或）延长的工期，并在收到上述索赔通知书或有关索赔的进一步证明材料后的 42 天内，将索赔处理结果报发包人批准后答复承包人。如果承包人提出的索赔要求未能遵守第 23.1（2）~（4）项的规定，则承包人只限于索赔由监理人按当时记录予以核实的那部分款额和（或）工期延长天数。</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23.3 承包人提出索赔的期限</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23.3.3 项：</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23.3.3除上述23.3.1和23.3.2规定的情形外，任一索赔事件发生后28天内，承包人未向发包人发出索赔意向通知书的，视为其已放弃索赔权，无权再就该索赔事项提出任何索赔。</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23.4 发包人的索赔</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本款补充第 23.4.3 项：</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23.4.3发包人应在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索赔事件具有持续影响的，发包人应在索赔事件影响结束后28天内，通过监理人向承包人正式递交最终索赔报告。</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对发包人索赔的处理如下：</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（1）承包人收到发包人提交的索赔报告后，应及时审查索赔报告的内容、查验发包人证明材料；</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承包人应在收到索赔报告或有关索赔的进一步证明材料后28天内，将索赔处理结果答复发包人。如果承包人未在上述期限内作出答复的，监理人应以书面形式催告承包人，经监理人三次书面催告后，承包人仍未按期限答复的，则视为对发包人索赔要求的认可；</w:t>
      </w:r>
    </w:p>
    <w:p>
      <w:pPr>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（3）承包人接受索赔处理结果的，发包人可从应支付给承包人的合同价款中扣除赔付的金额或延长缺陷责任期；发包人不接受索赔处理结果的，按第24条〔争议的解决〕约定处理。</w:t>
      </w:r>
    </w:p>
    <w:p>
      <w:pPr>
        <w:pStyle w:val="5"/>
        <w:spacing w:before="0" w:after="0" w:line="360" w:lineRule="auto"/>
        <w:rPr>
          <w:rFonts w:hint="eastAsia" w:ascii="宋体" w:hAnsi="宋体" w:eastAsia="宋体" w:cs="宋体"/>
          <w:color w:val="auto"/>
          <w:highlight w:val="none"/>
        </w:rPr>
      </w:pPr>
      <w:bookmarkStart w:id="291" w:name="_Toc20809"/>
      <w:bookmarkStart w:id="292" w:name="_Toc57795988"/>
      <w:r>
        <w:rPr>
          <w:rFonts w:hint="eastAsia" w:ascii="宋体" w:hAnsi="宋体" w:eastAsia="宋体" w:cs="宋体"/>
          <w:color w:val="auto"/>
          <w:highlight w:val="none"/>
        </w:rPr>
        <w:t>24、争议的解决</w:t>
      </w:r>
      <w:bookmarkEnd w:id="291"/>
      <w:bookmarkEnd w:id="292"/>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24.1 争议的解决方式</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本款补充：</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合同当事人友好协商解决不成、不愿提请争议评审或不接受争议评审组意见的，</w:t>
      </w:r>
      <w:r>
        <w:rPr>
          <w:rFonts w:hint="eastAsia" w:ascii="宋体" w:hAnsi="宋体" w:eastAsia="宋体" w:cs="宋体"/>
          <w:color w:val="auto"/>
          <w:kern w:val="0"/>
          <w:szCs w:val="21"/>
          <w:highlight w:val="none"/>
        </w:rPr>
        <w:t>按下列第</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种方式解决：</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仲裁委员会申请仲裁；</w:t>
      </w:r>
    </w:p>
    <w:p>
      <w:pPr>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（2）向</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人民法院起诉。</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24.3 争议评审</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第 24.3.1 项补充：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争议评审组由 3 人或 5 人组成，专家的聘请方法可由发包人和承包人共同协商确定，亦可请政府主管部门推荐或通过合同争议调解机构聘请，并经双方认同。争议评审组成员应与合同双方均无利害关系。争议评审组的各项费用由发包人和承包人平均分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本条补充第 24.4 款、第 24.5 款（适用于采用仲裁方式最终解决争议的项目）：</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24.4 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（1）对于未能友好解决或未能通过争议评审解决的争议，发包人或承包人任一方均有权提交给第 24.1 款约定的仲裁委员会仲裁。</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仲裁可在交工之前或之后进行，但发包人、监理人和承包人各自的义务不得因在工程实施期间进行仲裁而有所改变。如果仲裁是在终止合同的情况下进行，则对合同工程应采取保护措施，措施费由败诉方承担。</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（3）仲裁裁决是终局性的并对发包人和承包人双方具有约束力。</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（4）全部仲裁费用应由败诉方承担；或按仲裁委员会裁决的比例分担。</w:t>
      </w:r>
    </w:p>
    <w:p>
      <w:pPr>
        <w:pStyle w:val="6"/>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24.5 仲裁的执行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（1）任何一方不履行仲裁机构的裁决的，对方可以向有管辖权的人民法院申请执行。</w:t>
      </w:r>
    </w:p>
    <w:p>
      <w:pPr>
        <w:widowControl/>
        <w:spacing w:line="360" w:lineRule="auto"/>
        <w:ind w:firstLine="420" w:firstLineChars="200"/>
        <w:jc w:val="left"/>
        <w:rPr>
          <w:rFonts w:hint="eastAsia" w:ascii="宋体" w:hAnsi="宋体" w:eastAsia="宋体" w:cs="宋体"/>
          <w:color w:val="auto"/>
          <w:kern w:val="0"/>
          <w:szCs w:val="21"/>
          <w:highlight w:val="none"/>
          <w:lang w:bidi="ar"/>
        </w:rPr>
      </w:pPr>
      <w:r>
        <w:rPr>
          <w:rFonts w:hint="eastAsia" w:ascii="宋体" w:hAnsi="宋体" w:eastAsia="宋体" w:cs="宋体"/>
          <w:color w:val="auto"/>
          <w:kern w:val="0"/>
          <w:szCs w:val="21"/>
          <w:highlight w:val="none"/>
          <w:lang w:bidi="ar"/>
        </w:rPr>
        <w:t>（2）任何一方提出证据证明裁决有《中华人民共和国仲裁法》第五十八条规定情形之一的，可以向仲裁委员会所在地的中级人民法院申请撤销裁决。人民法院认定执行该裁决违背社会公共利益的，裁定不予执行。仲裁裁决被人民法院裁定不予执行的，当事人可以根据双方达成的书面仲裁协议重新申请仲裁，也可以向人民法院起诉。</w:t>
      </w:r>
    </w:p>
    <w:p>
      <w:pPr>
        <w:pStyle w:val="5"/>
        <w:spacing w:before="0" w:after="0" w:line="360" w:lineRule="auto"/>
        <w:rPr>
          <w:rFonts w:hint="eastAsia" w:ascii="宋体" w:hAnsi="宋体" w:eastAsia="宋体" w:cs="宋体"/>
          <w:color w:val="auto"/>
          <w:highlight w:val="none"/>
        </w:rPr>
      </w:pPr>
      <w:bookmarkStart w:id="293" w:name="_Toc57795989"/>
      <w:bookmarkStart w:id="294" w:name="_Toc3996"/>
      <w:r>
        <w:rPr>
          <w:rFonts w:hint="eastAsia" w:ascii="宋体" w:hAnsi="宋体" w:eastAsia="宋体" w:cs="宋体"/>
          <w:color w:val="auto"/>
          <w:highlight w:val="none"/>
        </w:rPr>
        <w:t>25、补充条款</w:t>
      </w:r>
      <w:bookmarkEnd w:id="293"/>
      <w:bookmarkEnd w:id="294"/>
    </w:p>
    <w:p>
      <w:pPr>
        <w:pStyle w:val="6"/>
        <w:spacing w:before="0" w:beforeAutospacing="0" w:after="0" w:afterAutospacing="0" w:line="360" w:lineRule="auto"/>
        <w:ind w:firstLine="482" w:firstLineChars="200"/>
        <w:rPr>
          <w:rFonts w:hint="eastAsia" w:ascii="宋体" w:hAnsi="宋体" w:eastAsia="宋体" w:cs="宋体"/>
          <w:color w:val="auto"/>
          <w:highlight w:val="none"/>
        </w:rPr>
      </w:pPr>
      <w:r>
        <w:rPr>
          <w:rFonts w:hint="eastAsia" w:ascii="宋体" w:hAnsi="宋体" w:eastAsia="宋体" w:cs="宋体"/>
          <w:color w:val="auto"/>
          <w:highlight w:val="none"/>
        </w:rPr>
        <w:t>25.1 退出机制</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25.1.1有下列情形之一的，发包人有权解除合同，亦有权兑付履约担保，并对承包人做清退出场处理：</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（1）因承包人原因造成较大及以上等级生产安全事故或工程质量事故的；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（2）因承包人债权债务纠纷或其他纠纷导致工程无法正常施工的。</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25.1.2有下列情形之一的，承包人有权解除合同，并按第22.2.4项约定执行：</w:t>
      </w:r>
    </w:p>
    <w:p>
      <w:pPr>
        <w:spacing w:line="360" w:lineRule="auto"/>
        <w:ind w:right="105" w:rightChars="50"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（1）因发包人征地、拆迁、补偿、审批手续等原因致使本工程延期开工超过90天的。</w:t>
      </w:r>
    </w:p>
    <w:p>
      <w:pPr>
        <w:pStyle w:val="2"/>
        <w:spacing w:after="0"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pStyle w:val="2"/>
        <w:spacing w:after="0" w:line="360" w:lineRule="auto"/>
        <w:ind w:firstLine="422" w:firstLineChars="200"/>
        <w:rPr>
          <w:rFonts w:hint="eastAsia" w:ascii="宋体" w:hAnsi="宋体" w:eastAsia="宋体" w:cs="宋体"/>
          <w:b/>
          <w:bCs/>
          <w:color w:val="auto"/>
          <w:kern w:val="0"/>
          <w:szCs w:val="21"/>
          <w:highlight w:val="none"/>
          <w:u w:val="none"/>
          <w:lang w:val="en-US" w:eastAsia="zh-CN"/>
        </w:rPr>
      </w:pPr>
      <w:r>
        <w:rPr>
          <w:rFonts w:hint="eastAsia" w:ascii="宋体" w:hAnsi="宋体" w:eastAsia="宋体" w:cs="宋体"/>
          <w:b/>
          <w:bCs/>
          <w:color w:val="auto"/>
          <w:highlight w:val="none"/>
        </w:rPr>
        <w:t>25.</w:t>
      </w:r>
      <w:r>
        <w:rPr>
          <w:rFonts w:hint="eastAsia" w:ascii="宋体" w:hAnsi="宋体" w:eastAsia="宋体" w:cs="宋体"/>
          <w:b/>
          <w:bCs/>
          <w:color w:val="auto"/>
          <w:highlight w:val="none"/>
          <w:lang w:val="en-US" w:eastAsia="zh-CN"/>
        </w:rPr>
        <w:t>2</w:t>
      </w:r>
      <w:r>
        <w:rPr>
          <w:rFonts w:hint="eastAsia" w:ascii="宋体" w:hAnsi="宋体" w:eastAsia="宋体" w:cs="宋体"/>
          <w:b/>
          <w:bCs/>
          <w:color w:val="auto"/>
          <w:kern w:val="0"/>
          <w:szCs w:val="21"/>
          <w:highlight w:val="none"/>
        </w:rPr>
        <w:t xml:space="preserve"> </w:t>
      </w:r>
      <w:r>
        <w:rPr>
          <w:rFonts w:hint="eastAsia" w:ascii="宋体" w:hAnsi="宋体" w:eastAsia="宋体" w:cs="宋体"/>
          <w:color w:val="auto"/>
          <w:sz w:val="21"/>
          <w:szCs w:val="21"/>
          <w:highlight w:val="none"/>
        </w:rPr>
        <w:t>关于不平衡报价的约定</w:t>
      </w:r>
      <w:r>
        <w:rPr>
          <w:rFonts w:hint="eastAsia" w:ascii="宋体" w:hAnsi="宋体" w:eastAsia="宋体" w:cs="宋体"/>
          <w:color w:val="auto"/>
          <w:sz w:val="21"/>
          <w:szCs w:val="21"/>
          <w:highlight w:val="none"/>
          <w:lang w:eastAsia="zh-CN"/>
        </w:rPr>
        <w:t>：</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2"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b/>
          <w:bCs/>
          <w:color w:val="auto"/>
          <w:highlight w:val="none"/>
        </w:rPr>
        <w:t>25.</w:t>
      </w:r>
      <w:r>
        <w:rPr>
          <w:rFonts w:hint="eastAsia" w:ascii="宋体" w:hAnsi="宋体" w:cs="宋体"/>
          <w:b/>
          <w:bCs/>
          <w:color w:val="auto"/>
          <w:highlight w:val="none"/>
          <w:lang w:val="en-US" w:eastAsia="zh-CN"/>
        </w:rPr>
        <w:t>3</w:t>
      </w:r>
      <w:r>
        <w:rPr>
          <w:rFonts w:hint="eastAsia" w:ascii="宋体" w:hAnsi="宋体" w:eastAsia="宋体" w:cs="宋体"/>
          <w:b/>
          <w:bCs/>
          <w:color w:val="auto"/>
          <w:kern w:val="0"/>
          <w:szCs w:val="21"/>
          <w:highlight w:val="none"/>
        </w:rPr>
        <w:t xml:space="preserve"> </w:t>
      </w:r>
      <w:r>
        <w:rPr>
          <w:rFonts w:hint="eastAsia" w:ascii="宋体" w:hAnsi="宋体" w:eastAsia="宋体" w:cs="宋体"/>
          <w:b/>
          <w:bCs/>
          <w:color w:val="auto"/>
          <w:kern w:val="0"/>
          <w:szCs w:val="21"/>
          <w:highlight w:val="none"/>
          <w:u w:val="single"/>
          <w:lang w:eastAsia="zh-CN"/>
        </w:rPr>
        <w:t xml:space="preserve"> </w:t>
      </w:r>
      <w:r>
        <w:rPr>
          <w:rFonts w:hint="eastAsia" w:ascii="宋体" w:hAnsi="宋体" w:eastAsia="宋体" w:cs="宋体"/>
          <w:b/>
          <w:bCs/>
          <w:color w:val="auto"/>
          <w:kern w:val="0"/>
          <w:szCs w:val="21"/>
          <w:highlight w:val="none"/>
          <w:u w:val="single"/>
          <w:lang w:val="en-US" w:eastAsia="zh-CN"/>
        </w:rPr>
        <w:t xml:space="preserve">       </w:t>
      </w:r>
      <w:r>
        <w:rPr>
          <w:rFonts w:hint="eastAsia" w:ascii="宋体" w:hAnsi="宋体" w:eastAsia="宋体" w:cs="宋体"/>
          <w:b/>
          <w:bCs/>
          <w:color w:val="auto"/>
          <w:kern w:val="0"/>
          <w:szCs w:val="21"/>
          <w:highlight w:val="none"/>
          <w:u w:val="none"/>
          <w:lang w:val="en-US" w:eastAsia="zh-CN"/>
        </w:rPr>
        <w:t>。</w:t>
      </w:r>
    </w:p>
    <w:p>
      <w:pPr>
        <w:spacing w:line="360" w:lineRule="auto"/>
        <w:ind w:right="105" w:rightChars="50" w:firstLine="420" w:firstLineChars="200"/>
        <w:jc w:val="left"/>
        <w:rPr>
          <w:rFonts w:hint="eastAsia" w:ascii="宋体" w:hAnsi="宋体" w:eastAsia="宋体" w:cs="宋体"/>
          <w:color w:val="auto"/>
          <w:szCs w:val="21"/>
          <w:highlight w:val="none"/>
          <w:lang w:val="en-US" w:eastAsia="zh-CN"/>
        </w:rPr>
      </w:pPr>
    </w:p>
    <w:p>
      <w:pPr>
        <w:spacing w:line="400" w:lineRule="exact"/>
        <w:jc w:val="center"/>
        <w:rPr>
          <w:rFonts w:hint="eastAsia" w:ascii="宋体" w:hAnsi="宋体" w:eastAsia="宋体" w:cs="宋体"/>
          <w:b/>
          <w:color w:val="auto"/>
          <w:sz w:val="28"/>
          <w:szCs w:val="28"/>
          <w:highlight w:val="none"/>
        </w:rPr>
      </w:pPr>
      <w:r>
        <w:rPr>
          <w:rFonts w:hint="eastAsia" w:ascii="宋体" w:hAnsi="宋体" w:eastAsia="宋体" w:cs="宋体"/>
          <w:b/>
          <w:color w:val="auto"/>
          <w:highlight w:val="none"/>
        </w:rPr>
        <w:br w:type="page"/>
      </w:r>
    </w:p>
    <w:p>
      <w:pPr>
        <w:spacing w:line="400" w:lineRule="exact"/>
        <w:jc w:val="center"/>
        <w:rPr>
          <w:rStyle w:val="73"/>
          <w:rFonts w:hint="eastAsia" w:ascii="宋体" w:hAnsi="宋体" w:eastAsia="宋体" w:cs="宋体"/>
          <w:color w:val="auto"/>
          <w:highlight w:val="none"/>
        </w:rPr>
      </w:pPr>
    </w:p>
    <w:p>
      <w:pPr>
        <w:pStyle w:val="4"/>
        <w:jc w:val="center"/>
        <w:rPr>
          <w:rFonts w:hint="eastAsia" w:ascii="宋体" w:hAnsi="宋体" w:eastAsia="宋体" w:cs="宋体"/>
          <w:color w:val="auto"/>
          <w:highlight w:val="none"/>
        </w:rPr>
      </w:pPr>
      <w:bookmarkStart w:id="295" w:name="_Toc1053"/>
      <w:r>
        <w:rPr>
          <w:rFonts w:hint="eastAsia" w:ascii="宋体" w:hAnsi="宋体" w:eastAsia="宋体" w:cs="宋体"/>
          <w:color w:val="auto"/>
          <w:highlight w:val="none"/>
        </w:rPr>
        <w:t>第三节 合同附件格式</w:t>
      </w:r>
      <w:bookmarkEnd w:id="295"/>
    </w:p>
    <w:p>
      <w:pPr>
        <w:widowControl/>
        <w:jc w:val="center"/>
        <w:rPr>
          <w:rFonts w:hint="eastAsia" w:ascii="宋体" w:hAnsi="宋体" w:eastAsia="宋体" w:cs="宋体"/>
          <w:color w:val="auto"/>
          <w:highlight w:val="none"/>
        </w:rPr>
      </w:pPr>
      <w:r>
        <w:rPr>
          <w:rFonts w:hint="eastAsia" w:ascii="宋体" w:hAnsi="宋体" w:eastAsia="宋体" w:cs="宋体"/>
          <w:color w:val="auto"/>
          <w:highlight w:val="none"/>
        </w:rPr>
        <w:t>以下附件是本合同的有效组成部分。</w:t>
      </w:r>
    </w:p>
    <w:p>
      <w:pPr>
        <w:pStyle w:val="5"/>
        <w:jc w:val="center"/>
        <w:rPr>
          <w:rFonts w:hint="eastAsia" w:ascii="宋体" w:hAnsi="宋体" w:eastAsia="宋体" w:cs="宋体"/>
          <w:b w:val="0"/>
          <w:bCs w:val="0"/>
          <w:color w:val="auto"/>
          <w:highlight w:val="none"/>
        </w:rPr>
      </w:pPr>
      <w:bookmarkStart w:id="296" w:name="_Toc534185765"/>
      <w:bookmarkStart w:id="297" w:name="_Toc509218786"/>
      <w:bookmarkStart w:id="298" w:name="_Toc351203494"/>
      <w:bookmarkStart w:id="299" w:name="_Toc27983310"/>
      <w:bookmarkStart w:id="300" w:name="_Toc152045768"/>
      <w:bookmarkStart w:id="301" w:name="_Toc144974827"/>
      <w:bookmarkStart w:id="302" w:name="_Toc509390696"/>
      <w:bookmarkStart w:id="303" w:name="_Toc424558368"/>
      <w:bookmarkStart w:id="304" w:name="_Toc335223531"/>
      <w:bookmarkStart w:id="305" w:name="_Toc152042547"/>
      <w:bookmarkStart w:id="306" w:name="_Toc240180916"/>
      <w:bookmarkStart w:id="307" w:name="_Toc424558728"/>
      <w:bookmarkStart w:id="308" w:name="_Toc467164257"/>
      <w:r>
        <w:rPr>
          <w:rFonts w:hint="eastAsia" w:ascii="宋体" w:hAnsi="宋体" w:eastAsia="宋体" w:cs="宋体"/>
          <w:b w:val="0"/>
          <w:bCs w:val="0"/>
          <w:color w:val="auto"/>
          <w:highlight w:val="none"/>
        </w:rPr>
        <w:br w:type="page"/>
      </w:r>
      <w:bookmarkStart w:id="309" w:name="_Toc57795991"/>
      <w:bookmarkStart w:id="310" w:name="_Toc18723"/>
      <w:r>
        <w:rPr>
          <w:rFonts w:hint="eastAsia" w:ascii="宋体" w:hAnsi="宋体" w:eastAsia="宋体" w:cs="宋体"/>
          <w:b w:val="0"/>
          <w:bCs w:val="0"/>
          <w:color w:val="auto"/>
          <w:highlight w:val="none"/>
        </w:rPr>
        <w:t>附件一 合同协议书</w:t>
      </w:r>
      <w:bookmarkEnd w:id="296"/>
      <w:bookmarkEnd w:id="297"/>
      <w:bookmarkEnd w:id="298"/>
      <w:bookmarkEnd w:id="299"/>
      <w:bookmarkEnd w:id="309"/>
      <w:bookmarkEnd w:id="310"/>
    </w:p>
    <w:p>
      <w:pPr>
        <w:snapToGrid w:val="0"/>
        <w:spacing w:line="360" w:lineRule="auto"/>
        <w:ind w:firstLine="422" w:firstLineChars="200"/>
        <w:rPr>
          <w:rFonts w:hint="eastAsia" w:ascii="宋体" w:hAnsi="宋体" w:eastAsia="宋体" w:cs="宋体"/>
          <w:b/>
          <w:color w:val="auto"/>
          <w:szCs w:val="21"/>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b/>
          <w:color w:val="auto"/>
          <w:szCs w:val="21"/>
          <w:highlight w:val="none"/>
          <w:u w:val="single"/>
        </w:rPr>
      </w:pPr>
      <w:r>
        <w:rPr>
          <w:rFonts w:hint="eastAsia" w:ascii="宋体" w:hAnsi="宋体" w:eastAsia="宋体" w:cs="宋体"/>
          <w:color w:val="auto"/>
          <w:szCs w:val="21"/>
          <w:highlight w:val="none"/>
        </w:rPr>
        <w:t>根据《中华人民共和国民法典》、《中华人民共和国公路法》、《中华人民共和国建筑法》及有关法律、法规规定，遵循平等、自愿、公平和诚实信用的原则，双方就</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工程施工及有关事项协商一致，共同达成如下协议：</w:t>
      </w:r>
    </w:p>
    <w:p>
      <w:pPr>
        <w:snapToGrid w:val="0"/>
        <w:spacing w:line="360" w:lineRule="auto"/>
        <w:ind w:firstLine="422" w:firstLineChars="20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一、工程概况</w:t>
      </w:r>
    </w:p>
    <w:p>
      <w:pPr>
        <w:snapToGrid w:val="0"/>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bCs/>
          <w:color w:val="auto"/>
          <w:szCs w:val="21"/>
          <w:highlight w:val="none"/>
        </w:rPr>
        <w:t>1.工程名称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2.工程地点：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3.工程立项批准文号：</w:t>
      </w:r>
      <w:r>
        <w:rPr>
          <w:rFonts w:hint="eastAsia" w:ascii="宋体" w:hAnsi="宋体" w:eastAsia="宋体" w:cs="宋体"/>
          <w:color w:val="auto"/>
          <w:szCs w:val="21"/>
          <w:highlight w:val="none"/>
          <w:u w:val="single"/>
        </w:rPr>
        <w:t xml:space="preserve">                        </w:t>
      </w:r>
      <w:r>
        <w:rPr>
          <w:rFonts w:hint="eastAsia" w:ascii="宋体" w:hAnsi="宋体" w:eastAsia="宋体" w:cs="宋体"/>
          <w:bCs/>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4.资金来源：</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5.工程内容：</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6.工程承包范围：</w:t>
      </w:r>
      <w:r>
        <w:rPr>
          <w:rFonts w:hint="eastAsia" w:ascii="宋体" w:hAnsi="宋体" w:eastAsia="宋体" w:cs="宋体"/>
          <w:color w:val="auto"/>
          <w:szCs w:val="21"/>
          <w:highlight w:val="none"/>
          <w:u w:val="single"/>
        </w:rPr>
        <w:t xml:space="preserve">          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11" w:name="_Toc532375574"/>
      <w:bookmarkStart w:id="312" w:name="_Toc532377167"/>
      <w:bookmarkStart w:id="313" w:name="_Toc351203482"/>
      <w:r>
        <w:rPr>
          <w:rFonts w:hint="eastAsia" w:ascii="宋体" w:hAnsi="宋体" w:eastAsia="宋体" w:cs="宋体"/>
          <w:b/>
          <w:color w:val="auto"/>
          <w:szCs w:val="21"/>
          <w:highlight w:val="none"/>
        </w:rPr>
        <w:t>二、合同工期</w:t>
      </w:r>
      <w:bookmarkEnd w:id="311"/>
      <w:bookmarkEnd w:id="312"/>
      <w:bookmarkEnd w:id="313"/>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承包人投标函中承诺的工期：</w:t>
      </w:r>
      <w:r>
        <w:rPr>
          <w:rFonts w:hint="eastAsia" w:ascii="宋体" w:hAnsi="宋体" w:eastAsia="宋体" w:cs="宋体"/>
          <w:bCs/>
          <w:color w:val="auto"/>
          <w:szCs w:val="21"/>
          <w:highlight w:val="none"/>
          <w:u w:val="single"/>
        </w:rPr>
        <w:t>日历</w:t>
      </w:r>
      <w:r>
        <w:rPr>
          <w:rFonts w:hint="eastAsia" w:ascii="宋体" w:hAnsi="宋体" w:eastAsia="宋体" w:cs="宋体"/>
          <w:bCs/>
          <w:color w:val="auto"/>
          <w:szCs w:val="21"/>
          <w:highlight w:val="none"/>
        </w:rPr>
        <w:t>天。</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计划开工日期：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日，实际开工日期以监理工程师签发的工程开工通知明确的开工日期为准。</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计划交工日期：</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日，实际交工日期以工程交工验收合格之日为准。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工期总日历天数</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天。工期总日历天数与根据前述计划开交工日期计算的工期天数不一</w:t>
      </w:r>
      <w:r>
        <w:rPr>
          <w:rFonts w:hint="eastAsia" w:ascii="宋体" w:hAnsi="宋体" w:eastAsia="宋体" w:cs="宋体"/>
          <w:color w:val="auto"/>
          <w:szCs w:val="21"/>
          <w:highlight w:val="none"/>
        </w:rPr>
        <w:t>致的，以工期总日历天数为准。</w:t>
      </w:r>
    </w:p>
    <w:p>
      <w:pPr>
        <w:snapToGrid w:val="0"/>
        <w:spacing w:line="360" w:lineRule="auto"/>
        <w:ind w:firstLine="422" w:firstLineChars="200"/>
        <w:rPr>
          <w:rFonts w:hint="eastAsia" w:ascii="宋体" w:hAnsi="宋体" w:eastAsia="宋体" w:cs="宋体"/>
          <w:b/>
          <w:color w:val="auto"/>
          <w:szCs w:val="21"/>
          <w:highlight w:val="none"/>
        </w:rPr>
      </w:pPr>
      <w:bookmarkStart w:id="314" w:name="_Toc532375575"/>
      <w:bookmarkStart w:id="315" w:name="_Toc351203483"/>
      <w:bookmarkStart w:id="316" w:name="_Toc532377168"/>
      <w:r>
        <w:rPr>
          <w:rFonts w:hint="eastAsia" w:ascii="宋体" w:hAnsi="宋体" w:eastAsia="宋体" w:cs="宋体"/>
          <w:b/>
          <w:color w:val="auto"/>
          <w:szCs w:val="21"/>
          <w:highlight w:val="none"/>
        </w:rPr>
        <w:t>三、质量标准</w:t>
      </w:r>
      <w:bookmarkEnd w:id="314"/>
      <w:bookmarkEnd w:id="315"/>
      <w:bookmarkEnd w:id="31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工程质量符合</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标准。工程安全目标：</w:t>
      </w:r>
      <w:r>
        <w:rPr>
          <w:rFonts w:hint="eastAsia" w:ascii="宋体" w:hAnsi="宋体" w:eastAsia="宋体" w:cs="宋体"/>
          <w:bCs/>
          <w:color w:val="auto"/>
          <w:szCs w:val="21"/>
          <w:highlight w:val="none"/>
          <w:u w:val="single"/>
        </w:rPr>
        <w:t></w:t>
      </w:r>
      <w:r>
        <w:rPr>
          <w:rFonts w:hint="eastAsia" w:ascii="宋体" w:hAnsi="宋体" w:eastAsia="宋体" w:cs="宋体"/>
          <w:bCs/>
          <w:color w:val="auto"/>
          <w:szCs w:val="21"/>
          <w:highlight w:val="none"/>
        </w:rPr>
        <w:t xml:space="preserve">。 </w:t>
      </w:r>
    </w:p>
    <w:p>
      <w:pPr>
        <w:snapToGrid w:val="0"/>
        <w:spacing w:line="360" w:lineRule="auto"/>
        <w:ind w:firstLine="422" w:firstLineChars="200"/>
        <w:rPr>
          <w:rFonts w:hint="eastAsia" w:ascii="宋体" w:hAnsi="宋体" w:eastAsia="宋体" w:cs="宋体"/>
          <w:b/>
          <w:color w:val="auto"/>
          <w:szCs w:val="21"/>
          <w:highlight w:val="none"/>
        </w:rPr>
      </w:pPr>
      <w:bookmarkStart w:id="317" w:name="_Toc351203484"/>
      <w:bookmarkStart w:id="318" w:name="_Toc532375576"/>
      <w:bookmarkStart w:id="319" w:name="_Toc532377169"/>
      <w:r>
        <w:rPr>
          <w:rFonts w:hint="eastAsia" w:ascii="宋体" w:hAnsi="宋体" w:eastAsia="宋体" w:cs="宋体"/>
          <w:b/>
          <w:color w:val="auto"/>
          <w:szCs w:val="21"/>
          <w:highlight w:val="none"/>
        </w:rPr>
        <w:t>四、签约合同价与合同价格形式</w:t>
      </w:r>
      <w:bookmarkEnd w:id="317"/>
      <w:bookmarkEnd w:id="318"/>
      <w:bookmarkEnd w:id="319"/>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1.承包人投标函中承诺的中标价为：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2.签约合同价为：</w:t>
      </w:r>
    </w:p>
    <w:p>
      <w:pPr>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3.合同价格形式：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20" w:name="_Toc351203485"/>
      <w:bookmarkStart w:id="321" w:name="_Toc532375577"/>
      <w:bookmarkStart w:id="322" w:name="_Toc532377170"/>
      <w:r>
        <w:rPr>
          <w:rFonts w:hint="eastAsia" w:ascii="宋体" w:hAnsi="宋体" w:eastAsia="宋体" w:cs="宋体"/>
          <w:b/>
          <w:color w:val="auto"/>
          <w:szCs w:val="21"/>
          <w:highlight w:val="none"/>
        </w:rPr>
        <w:t>五、</w:t>
      </w:r>
      <w:bookmarkEnd w:id="320"/>
      <w:r>
        <w:rPr>
          <w:rFonts w:hint="eastAsia" w:ascii="宋体" w:hAnsi="宋体" w:eastAsia="宋体" w:cs="宋体"/>
          <w:b/>
          <w:color w:val="auto"/>
          <w:szCs w:val="21"/>
          <w:highlight w:val="none"/>
        </w:rPr>
        <w:t>项目经理及项目总工</w:t>
      </w:r>
      <w:bookmarkEnd w:id="321"/>
      <w:bookmarkEnd w:id="322"/>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承包人投标文件中承诺的项目经理：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建造师注册证书号：</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承包人投标文件中承诺的项目总工：</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身份证号码：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pStyle w:val="2"/>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证书名称及号码：</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23" w:name="_Toc532377171"/>
      <w:bookmarkStart w:id="324" w:name="_Toc351203486"/>
      <w:bookmarkStart w:id="325" w:name="_Toc532375578"/>
      <w:r>
        <w:rPr>
          <w:rFonts w:hint="eastAsia" w:ascii="宋体" w:hAnsi="宋体" w:eastAsia="宋体" w:cs="宋体"/>
          <w:b/>
          <w:color w:val="auto"/>
          <w:szCs w:val="21"/>
          <w:highlight w:val="none"/>
        </w:rPr>
        <w:t>六、合同文件构成</w:t>
      </w:r>
      <w:bookmarkEnd w:id="323"/>
      <w:bookmarkEnd w:id="324"/>
      <w:bookmarkEnd w:id="325"/>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合同由以下文件构成：</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（1）本协议书及各种合同附件（含评标期间和合同谈判过程中的澄清文件和补充资料）；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（2）中标通知书；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（3）投标函及投标函附录；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（4）专用合同条款；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（5）通用合同条款；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（6）工程量清单计量规则；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（7）技术规范；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（8）图纸；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（9）已标价工程量清单； </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（10）承包人有关人员、设备投入的承诺及投标文件中的施工组织设计；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（11）其他合同文件</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在合同订立、履行过程中形成的与合同有关的书面形式的文件均构成合同文件组成部分。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上述各项合同文件包括合同当事人就该项合同文件所作出的补充和修改，属于同一类内容的文件，应以最新签署的为准。专用合同条款及其附件须经合同当事人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或盖章。</w:t>
      </w:r>
    </w:p>
    <w:p>
      <w:pPr>
        <w:snapToGrid w:val="0"/>
        <w:spacing w:line="360" w:lineRule="auto"/>
        <w:ind w:firstLine="422" w:firstLineChars="200"/>
        <w:rPr>
          <w:rFonts w:hint="eastAsia" w:ascii="宋体" w:hAnsi="宋体" w:eastAsia="宋体" w:cs="宋体"/>
          <w:b/>
          <w:color w:val="auto"/>
          <w:szCs w:val="21"/>
          <w:highlight w:val="none"/>
        </w:rPr>
      </w:pPr>
      <w:bookmarkStart w:id="326" w:name="_Toc532377172"/>
      <w:bookmarkStart w:id="327" w:name="_Toc351203487"/>
      <w:bookmarkStart w:id="328" w:name="_Toc532375579"/>
      <w:r>
        <w:rPr>
          <w:rFonts w:hint="eastAsia" w:ascii="宋体" w:hAnsi="宋体" w:eastAsia="宋体" w:cs="宋体"/>
          <w:b/>
          <w:color w:val="auto"/>
          <w:szCs w:val="21"/>
          <w:highlight w:val="none"/>
        </w:rPr>
        <w:t>七、承诺</w:t>
      </w:r>
      <w:bookmarkEnd w:id="326"/>
      <w:bookmarkEnd w:id="327"/>
      <w:bookmarkEnd w:id="328"/>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1.发包人承诺按照法律规定履行项目审批手续、筹集工程建设资金并按照合同约定的期限和方式支付合同价款。</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color w:val="auto"/>
          <w:szCs w:val="21"/>
          <w:highlight w:val="none"/>
        </w:rPr>
        <w:t>承包人承诺按照法律规定及合同约定组织完成工程施工，确保工程质量和安全，不进行转包及违法分包，并在缺陷责任期及保修期内承担相应的工程维修责任</w:t>
      </w:r>
      <w:r>
        <w:rPr>
          <w:rFonts w:hint="eastAsia" w:ascii="宋体" w:hAnsi="宋体" w:eastAsia="宋体" w:cs="宋体"/>
          <w:bCs/>
          <w:color w:val="auto"/>
          <w:szCs w:val="21"/>
          <w:highlight w:val="none"/>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3.发包人和承包人通过招投标形式签订合同的，双方理解并承诺不再就同一工程另行签订与合同实质性内容相背离的协议。</w:t>
      </w:r>
    </w:p>
    <w:p>
      <w:pPr>
        <w:snapToGrid w:val="0"/>
        <w:spacing w:line="360" w:lineRule="auto"/>
        <w:ind w:firstLine="422" w:firstLineChars="200"/>
        <w:rPr>
          <w:rFonts w:hint="eastAsia" w:ascii="宋体" w:hAnsi="宋体" w:eastAsia="宋体" w:cs="宋体"/>
          <w:b/>
          <w:color w:val="auto"/>
          <w:szCs w:val="21"/>
          <w:highlight w:val="none"/>
        </w:rPr>
      </w:pPr>
      <w:bookmarkStart w:id="329" w:name="_Toc532375580"/>
      <w:bookmarkStart w:id="330" w:name="_Toc532377173"/>
      <w:bookmarkStart w:id="331" w:name="_Toc351203488"/>
      <w:r>
        <w:rPr>
          <w:rFonts w:hint="eastAsia" w:ascii="宋体" w:hAnsi="宋体" w:eastAsia="宋体" w:cs="宋体"/>
          <w:b/>
          <w:color w:val="auto"/>
          <w:szCs w:val="21"/>
          <w:highlight w:val="none"/>
        </w:rPr>
        <w:t>八、词语含义</w:t>
      </w:r>
      <w:bookmarkEnd w:id="329"/>
      <w:bookmarkEnd w:id="330"/>
      <w:bookmarkEnd w:id="331"/>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本协议书中词语含义与专用合同条款及通用合同条款中赋予的含义相同。</w:t>
      </w:r>
    </w:p>
    <w:p>
      <w:pPr>
        <w:snapToGrid w:val="0"/>
        <w:spacing w:line="360" w:lineRule="auto"/>
        <w:ind w:firstLine="422" w:firstLineChars="200"/>
        <w:rPr>
          <w:rFonts w:hint="eastAsia" w:ascii="宋体" w:hAnsi="宋体" w:eastAsia="宋体" w:cs="宋体"/>
          <w:b/>
          <w:color w:val="auto"/>
          <w:szCs w:val="21"/>
          <w:highlight w:val="none"/>
        </w:rPr>
      </w:pPr>
      <w:bookmarkStart w:id="332" w:name="_Toc532375581"/>
      <w:bookmarkStart w:id="333" w:name="_Toc532377174"/>
      <w:r>
        <w:rPr>
          <w:rFonts w:hint="eastAsia" w:ascii="宋体" w:hAnsi="宋体" w:eastAsia="宋体" w:cs="宋体"/>
          <w:b/>
          <w:color w:val="auto"/>
          <w:szCs w:val="21"/>
          <w:highlight w:val="none"/>
        </w:rPr>
        <w:t>九、签订时间</w:t>
      </w:r>
      <w:bookmarkEnd w:id="332"/>
      <w:bookmarkEnd w:id="333"/>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合同于</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日签订</w:t>
      </w:r>
    </w:p>
    <w:p>
      <w:pPr>
        <w:snapToGrid w:val="0"/>
        <w:spacing w:line="360" w:lineRule="auto"/>
        <w:ind w:firstLine="422" w:firstLineChars="200"/>
        <w:rPr>
          <w:rFonts w:hint="eastAsia" w:ascii="宋体" w:hAnsi="宋体" w:eastAsia="宋体" w:cs="宋体"/>
          <w:b/>
          <w:color w:val="auto"/>
          <w:szCs w:val="21"/>
          <w:highlight w:val="none"/>
        </w:rPr>
      </w:pPr>
      <w:bookmarkStart w:id="334" w:name="_Toc351203489"/>
      <w:bookmarkStart w:id="335" w:name="_Toc532375582"/>
      <w:bookmarkStart w:id="336" w:name="_Toc532377175"/>
      <w:r>
        <w:rPr>
          <w:rFonts w:hint="eastAsia" w:ascii="宋体" w:hAnsi="宋体" w:eastAsia="宋体" w:cs="宋体"/>
          <w:b/>
          <w:color w:val="auto"/>
          <w:szCs w:val="21"/>
          <w:highlight w:val="none"/>
        </w:rPr>
        <w:t>十、</w:t>
      </w:r>
      <w:bookmarkEnd w:id="334"/>
      <w:bookmarkStart w:id="337" w:name="_Toc351203490"/>
      <w:r>
        <w:rPr>
          <w:rFonts w:hint="eastAsia" w:ascii="宋体" w:hAnsi="宋体" w:eastAsia="宋体" w:cs="宋体"/>
          <w:b/>
          <w:color w:val="auto"/>
          <w:szCs w:val="21"/>
          <w:highlight w:val="none"/>
        </w:rPr>
        <w:t>签订地点</w:t>
      </w:r>
      <w:bookmarkEnd w:id="335"/>
      <w:bookmarkEnd w:id="336"/>
      <w:bookmarkEnd w:id="337"/>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w:t>
      </w:r>
      <w:r>
        <w:rPr>
          <w:rFonts w:hint="eastAsia" w:ascii="宋体" w:hAnsi="宋体" w:eastAsia="宋体" w:cs="宋体"/>
          <w:color w:val="auto"/>
          <w:szCs w:val="21"/>
          <w:highlight w:val="none"/>
          <w:u w:val="single"/>
        </w:rPr>
        <w:t xml:space="preserve">        </w:t>
      </w:r>
      <w:r>
        <w:rPr>
          <w:rFonts w:hint="eastAsia" w:ascii="宋体" w:hAnsi="宋体" w:eastAsia="宋体" w:cs="宋体"/>
          <w:bCs/>
          <w:color w:val="auto"/>
          <w:szCs w:val="21"/>
          <w:highlight w:val="none"/>
        </w:rPr>
        <w:t>签订。</w:t>
      </w:r>
    </w:p>
    <w:p>
      <w:pPr>
        <w:snapToGrid w:val="0"/>
        <w:spacing w:line="360" w:lineRule="auto"/>
        <w:ind w:firstLine="422" w:firstLineChars="200"/>
        <w:rPr>
          <w:rFonts w:hint="eastAsia" w:ascii="宋体" w:hAnsi="宋体" w:eastAsia="宋体" w:cs="宋体"/>
          <w:b/>
          <w:color w:val="auto"/>
          <w:szCs w:val="21"/>
          <w:highlight w:val="none"/>
        </w:rPr>
      </w:pPr>
      <w:bookmarkStart w:id="338" w:name="_Toc532375583"/>
      <w:bookmarkStart w:id="339" w:name="_Toc351203491"/>
      <w:bookmarkStart w:id="340" w:name="_Toc532377176"/>
      <w:r>
        <w:rPr>
          <w:rFonts w:hint="eastAsia" w:ascii="宋体" w:hAnsi="宋体" w:eastAsia="宋体" w:cs="宋体"/>
          <w:b/>
          <w:color w:val="auto"/>
          <w:szCs w:val="21"/>
          <w:highlight w:val="none"/>
        </w:rPr>
        <w:t>十一、补充协议</w:t>
      </w:r>
      <w:bookmarkEnd w:id="338"/>
      <w:bookmarkEnd w:id="339"/>
      <w:bookmarkEnd w:id="340"/>
    </w:p>
    <w:p>
      <w:pPr>
        <w:spacing w:line="360" w:lineRule="auto"/>
        <w:ind w:firstLine="420" w:firstLineChars="200"/>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t>合同未尽事宜，合同当事人另行签订补充协议，补充协议是合同的组成部分。</w:t>
      </w:r>
    </w:p>
    <w:p>
      <w:pPr>
        <w:snapToGrid w:val="0"/>
        <w:spacing w:line="360" w:lineRule="auto"/>
        <w:ind w:firstLine="422" w:firstLineChars="200"/>
        <w:rPr>
          <w:rFonts w:hint="eastAsia" w:ascii="宋体" w:hAnsi="宋体" w:eastAsia="宋体" w:cs="宋体"/>
          <w:b/>
          <w:color w:val="auto"/>
          <w:szCs w:val="21"/>
          <w:highlight w:val="none"/>
        </w:rPr>
      </w:pPr>
      <w:bookmarkStart w:id="341" w:name="_Toc532377177"/>
      <w:bookmarkStart w:id="342" w:name="_Toc532375584"/>
      <w:bookmarkStart w:id="343" w:name="_Toc351203492"/>
      <w:r>
        <w:rPr>
          <w:rFonts w:hint="eastAsia" w:ascii="宋体" w:hAnsi="宋体" w:eastAsia="宋体" w:cs="宋体"/>
          <w:b/>
          <w:color w:val="auto"/>
          <w:szCs w:val="21"/>
          <w:highlight w:val="none"/>
        </w:rPr>
        <w:t>十二、合同生效</w:t>
      </w:r>
      <w:bookmarkEnd w:id="341"/>
      <w:bookmarkEnd w:id="342"/>
      <w:bookmarkEnd w:id="343"/>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合同在以下条件全部满足之后生效：</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1.合同</w:t>
      </w:r>
      <w:r>
        <w:rPr>
          <w:rFonts w:hint="eastAsia" w:ascii="宋体" w:hAnsi="宋体" w:eastAsia="宋体" w:cs="宋体"/>
          <w:color w:val="auto"/>
          <w:szCs w:val="21"/>
          <w:highlight w:val="none"/>
        </w:rPr>
        <w:t>经双方法定代表人或其委托代理人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w:t>
      </w:r>
      <w:r>
        <w:rPr>
          <w:rFonts w:hint="eastAsia" w:ascii="宋体" w:hAnsi="宋体" w:eastAsia="宋体" w:cs="宋体"/>
          <w:snapToGrid w:val="0"/>
          <w:color w:val="auto"/>
          <w:kern w:val="0"/>
          <w:szCs w:val="21"/>
          <w:highlight w:val="none"/>
        </w:rPr>
        <w:t>公章或合同专用章</w:t>
      </w:r>
      <w:r>
        <w:rPr>
          <w:rFonts w:hint="eastAsia" w:ascii="宋体" w:hAnsi="宋体" w:eastAsia="宋体" w:cs="宋体"/>
          <w:color w:val="auto"/>
          <w:szCs w:val="21"/>
          <w:highlight w:val="none"/>
        </w:rPr>
        <w:t>；</w:t>
      </w:r>
    </w:p>
    <w:p>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2.采用保函形式递交履约担保的，承包人按合同约定向发包人提交履约担保后</w:t>
      </w:r>
      <w:r>
        <w:rPr>
          <w:rFonts w:hint="eastAsia" w:ascii="宋体" w:hAnsi="宋体" w:eastAsia="宋体" w:cs="宋体"/>
          <w:color w:val="auto"/>
          <w:szCs w:val="21"/>
          <w:highlight w:val="none"/>
          <w:lang w:eastAsia="zh-CN"/>
        </w:rPr>
        <w:t>；</w:t>
      </w:r>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napToGrid w:val="0"/>
        <w:spacing w:line="360" w:lineRule="auto"/>
        <w:ind w:firstLine="422" w:firstLineChars="200"/>
        <w:rPr>
          <w:rFonts w:hint="eastAsia" w:ascii="宋体" w:hAnsi="宋体" w:eastAsia="宋体" w:cs="宋体"/>
          <w:b/>
          <w:color w:val="auto"/>
          <w:szCs w:val="21"/>
          <w:highlight w:val="none"/>
        </w:rPr>
      </w:pPr>
      <w:bookmarkStart w:id="344" w:name="_Toc532375585"/>
      <w:bookmarkStart w:id="345" w:name="_Toc351203493"/>
      <w:bookmarkStart w:id="346" w:name="_Toc532377178"/>
      <w:r>
        <w:rPr>
          <w:rFonts w:hint="eastAsia" w:ascii="宋体" w:hAnsi="宋体" w:eastAsia="宋体" w:cs="宋体"/>
          <w:b/>
          <w:color w:val="auto"/>
          <w:szCs w:val="21"/>
          <w:highlight w:val="none"/>
        </w:rPr>
        <w:t>十三、合同份数</w:t>
      </w:r>
      <w:bookmarkEnd w:id="344"/>
      <w:bookmarkEnd w:id="345"/>
      <w:bookmarkEnd w:id="346"/>
    </w:p>
    <w:p>
      <w:pPr>
        <w:spacing w:line="360" w:lineRule="auto"/>
        <w:ind w:firstLine="420" w:firstLineChars="2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合同一式</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份，其中正本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份，双方各持</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份，双方各执</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份。副本与正本不一致时，以正本为准。</w:t>
      </w:r>
    </w:p>
    <w:p>
      <w:pPr>
        <w:adjustRightInd w:val="0"/>
        <w:spacing w:line="360" w:lineRule="auto"/>
        <w:ind w:firstLine="420" w:firstLineChars="200"/>
        <w:rPr>
          <w:rFonts w:hint="eastAsia" w:ascii="宋体" w:hAnsi="宋体" w:eastAsia="宋体" w:cs="宋体"/>
          <w:snapToGrid w:val="0"/>
          <w:color w:val="auto"/>
          <w:kern w:val="0"/>
          <w:szCs w:val="21"/>
          <w:highlight w:val="none"/>
        </w:rPr>
      </w:pPr>
      <w:bookmarkStart w:id="347" w:name="_Toc467689623"/>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adjustRightInd w:val="0"/>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rPr>
          <w:rFonts w:hint="eastAsia" w:ascii="宋体" w:hAnsi="宋体" w:eastAsia="宋体" w:cs="宋体"/>
          <w:snapToGrid w:val="0"/>
          <w:color w:val="auto"/>
          <w:kern w:val="0"/>
          <w:szCs w:val="21"/>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val="en-US" w:eastAsia="zh-CN"/>
        </w:rPr>
        <w:t>盖单位</w:t>
      </w:r>
      <w:r>
        <w:rPr>
          <w:rFonts w:hint="eastAsia" w:ascii="宋体" w:hAnsi="宋体" w:eastAsia="宋体" w:cs="宋体"/>
          <w:snapToGrid w:val="0"/>
          <w:color w:val="auto"/>
          <w:kern w:val="0"/>
          <w:szCs w:val="21"/>
          <w:highlight w:val="none"/>
        </w:rPr>
        <w:t>公章或合同专用章）</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w:t>
      </w:r>
    </w:p>
    <w:p>
      <w:pP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统一社会信用代码：</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纳税人识别号：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电    话：</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开户银行：</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账    号：</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 xml:space="preserve">                                  </w:t>
      </w:r>
    </w:p>
    <w:p>
      <w:pPr>
        <w:spacing w:line="360" w:lineRule="auto"/>
        <w:ind w:right="210"/>
        <w:jc w:val="right"/>
        <w:rPr>
          <w:rFonts w:hint="eastAsia" w:ascii="宋体" w:hAnsi="宋体" w:eastAsia="宋体" w:cs="宋体"/>
          <w:snapToGrid w:val="0"/>
          <w:color w:val="auto"/>
          <w:kern w:val="0"/>
          <w:szCs w:val="21"/>
          <w:highlight w:val="none"/>
        </w:rPr>
      </w:pPr>
    </w:p>
    <w:p>
      <w:pPr>
        <w:spacing w:line="360" w:lineRule="auto"/>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bookmarkEnd w:id="347"/>
      <w:bookmarkStart w:id="348" w:name="_Toc509390697"/>
      <w:bookmarkStart w:id="349" w:name="_Toc335223532"/>
      <w:bookmarkStart w:id="350" w:name="_Toc467164258"/>
      <w:bookmarkStart w:id="351" w:name="_Toc424558729"/>
      <w:bookmarkStart w:id="352" w:name="_Toc424558369"/>
      <w:bookmarkStart w:id="353" w:name="_Toc240180917"/>
    </w:p>
    <w:p>
      <w:pPr>
        <w:spacing w:line="360" w:lineRule="auto"/>
        <w:jc w:val="right"/>
        <w:rPr>
          <w:rFonts w:hint="eastAsia" w:ascii="宋体" w:hAnsi="宋体" w:eastAsia="宋体" w:cs="宋体"/>
          <w:color w:val="auto"/>
          <w:sz w:val="32"/>
          <w:szCs w:val="32"/>
          <w:highlight w:val="none"/>
        </w:rPr>
      </w:pPr>
      <w:r>
        <w:rPr>
          <w:rFonts w:hint="eastAsia" w:ascii="宋体" w:hAnsi="宋体" w:eastAsia="宋体" w:cs="宋体"/>
          <w:snapToGrid w:val="0"/>
          <w:color w:val="auto"/>
          <w:kern w:val="0"/>
          <w:szCs w:val="21"/>
          <w:highlight w:val="none"/>
        </w:rPr>
        <w:br w:type="page"/>
      </w:r>
    </w:p>
    <w:p>
      <w:pPr>
        <w:pStyle w:val="5"/>
        <w:jc w:val="center"/>
        <w:rPr>
          <w:rFonts w:hint="eastAsia" w:ascii="宋体" w:hAnsi="宋体" w:eastAsia="宋体" w:cs="宋体"/>
          <w:b w:val="0"/>
          <w:bCs w:val="0"/>
          <w:color w:val="auto"/>
          <w:highlight w:val="none"/>
        </w:rPr>
      </w:pPr>
      <w:bookmarkStart w:id="354" w:name="_Toc16292"/>
      <w:bookmarkStart w:id="355" w:name="_Toc57795992"/>
      <w:r>
        <w:rPr>
          <w:rFonts w:hint="eastAsia" w:ascii="宋体" w:hAnsi="宋体" w:eastAsia="宋体" w:cs="宋体"/>
          <w:b w:val="0"/>
          <w:bCs w:val="0"/>
          <w:color w:val="auto"/>
          <w:highlight w:val="none"/>
        </w:rPr>
        <w:t>附件二 廉政合同</w:t>
      </w:r>
      <w:bookmarkEnd w:id="348"/>
      <w:bookmarkEnd w:id="349"/>
      <w:bookmarkEnd w:id="350"/>
      <w:bookmarkEnd w:id="351"/>
      <w:bookmarkEnd w:id="352"/>
      <w:bookmarkEnd w:id="353"/>
      <w:bookmarkEnd w:id="354"/>
      <w:bookmarkEnd w:id="355"/>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宋体" w:eastAsia="宋体" w:cs="宋体"/>
          <w:color w:val="auto"/>
          <w:szCs w:val="21"/>
          <w:highlight w:val="none"/>
          <w:u w:val="single"/>
          <w:lang w:bidi="ar"/>
        </w:rPr>
        <w:t>（项目名称）</w:t>
      </w: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（全称） </w:t>
      </w:r>
      <w:r>
        <w:rPr>
          <w:rFonts w:hint="eastAsia" w:ascii="宋体" w:hAnsi="宋体" w:eastAsia="宋体" w:cs="宋体"/>
          <w:color w:val="auto"/>
          <w:highlight w:val="none"/>
          <w:lang w:bidi="ar"/>
        </w:rPr>
        <w:t>与该项目</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标段施工单位</w:t>
      </w:r>
      <w:r>
        <w:rPr>
          <w:rFonts w:hint="eastAsia" w:ascii="宋体" w:hAnsi="宋体" w:eastAsia="宋体" w:cs="宋体"/>
          <w:color w:val="auto"/>
          <w:highlight w:val="none"/>
          <w:u w:val="single"/>
          <w:lang w:bidi="ar"/>
        </w:rPr>
        <w:t xml:space="preserve"> （全称）</w:t>
      </w:r>
      <w:r>
        <w:rPr>
          <w:rFonts w:hint="eastAsia" w:ascii="宋体" w:hAnsi="宋体" w:eastAsia="宋体" w:cs="宋体"/>
          <w:color w:val="auto"/>
          <w:highlight w:val="none"/>
          <w:lang w:bidi="ar"/>
        </w:rPr>
        <w:t>（以下称承包人），特订立如下合同。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发包人和承包人双方的权利和义务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（1）严格遵守党的政策规定和国家有关法律法规及交通运输部的有关规定。</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（2）严格执行</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的施工合同文件，自觉按合同办事。</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（3）双方的业务活动坚持公开、公正、诚信、透明的原则（法律认定的商业秘密和合同文件另有规定除外），不得损害国家和集体利益，违反工程建设管理规章制度。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（4）建立健全廉政制度，开展廉政教育，设立廉政告示牌，公布举报电话，监督并认真查处违法违纪行为。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（5）发现对方在业务活动中有违反廉政规定的行为，有及时提醒对方纠正的权利和义务。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（6）发现对方严重违反本合同义务条款的行为，有向其上级有关部门举报、建议给予处理并要求告知处理结果的权利。</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发包人的义务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（1）发包人及其工作人员不得索要或接受承包人的礼金、有价证券和贵重物品，不得让承包人报销任何应由发包人或发包人工作人员支付的费用等。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（2）发包人工作人员不得参加承包人安排的超标准宴请和娱乐活动；不得接受承包人提供的通讯工具、交通工具和高档办公用品等。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（3）发包人及其工作人员不得要求或接受承包人为其住房装修、婚丧嫁娶活动、配偶子女的工作安排以及出国出境、旅游等提供方便等。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（4）发包人工作人员及其配偶、子女不得参与从事与发包人工程有关的材料设备供应、工程分包、劳务等经济活动。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（5）发包人及其工作人员不得以任何理由向承包人推荐分包单位或推销材料，不得要求承包人购买合同规定外的材料和设备。</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（6）发包人工作人员要秉公办事，不准营私舞弊，不准利用职权从事各种个人有偿中介活动和安排个人施工队伍。</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承包人义务</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（1）承包人不得以任何理由向发包人及其工作人员行贿或赠礼金、有价证券、贵重礼品。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（2）承包人不得以任何名义为发包人及其工作人员报销应由发包人单位或个人支付的任何费用。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（3）承包人不得以任何理由安排发包人工作人员参加超标准宴请及娱乐活动。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（4）承包人不得为发包人和个人购置或提供通讯工具、交通工具和高档办公用品等。</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（1）发包人及其工作人员违反本合同第1、2条，按管理权限，依据有关规定给予党纪、政纪或组织处理，涉嫌犯罪的，移交司法机关追究刑事责任；给承包人造成经济损失的，应予以赔偿。</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（2）承包人及其工作人员违反本合同第1、3条，按管理权限，依据有关规定给予党纪、政纪或组织处理；给发包人单位造成损失的，应予以赔偿；情节严重的，发包人将上报交通工程建设主管部门。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双方约定：本合同由双方或双方上级单位的纪检监察机关负责监督执行。由发包人或发包人上级单位的纪检监察机关约请承包人或承包人上级单位纪检监察机关对本合同执行情况进行检查；提出在本合同规定范围内的裁定意见。</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本合同有效期为发包人和承包人签署之日起至该工程项目竣工验收后止。</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本合同作为</w:t>
      </w:r>
      <w:r>
        <w:rPr>
          <w:rFonts w:hint="eastAsia" w:ascii="宋体" w:hAnsi="宋体" w:eastAsia="宋体" w:cs="宋体"/>
          <w:color w:val="auto"/>
          <w:highlight w:val="none"/>
          <w:u w:val="single"/>
          <w:lang w:bidi="ar"/>
        </w:rPr>
        <w:t>　　</w:t>
      </w:r>
      <w:r>
        <w:rPr>
          <w:rFonts w:hint="eastAsia" w:ascii="宋体" w:hAnsi="宋体" w:eastAsia="宋体" w:cs="宋体"/>
          <w:color w:val="auto"/>
          <w:szCs w:val="21"/>
          <w:highlight w:val="none"/>
          <w:u w:val="single"/>
          <w:lang w:bidi="ar"/>
        </w:rPr>
        <w:t>（项目名称）　　</w:t>
      </w:r>
      <w:r>
        <w:rPr>
          <w:rFonts w:hint="eastAsia" w:ascii="宋体" w:hAnsi="宋体" w:eastAsia="宋体" w:cs="宋体"/>
          <w:color w:val="auto"/>
          <w:szCs w:val="21"/>
          <w:highlight w:val="none"/>
          <w:lang w:bidi="ar"/>
        </w:rPr>
        <w:t>标段施工</w:t>
      </w:r>
      <w:r>
        <w:rPr>
          <w:rFonts w:hint="eastAsia" w:ascii="宋体" w:hAnsi="宋体" w:eastAsia="宋体" w:cs="宋体"/>
          <w:color w:val="auto"/>
          <w:highlight w:val="none"/>
          <w:lang w:bidi="ar"/>
        </w:rPr>
        <w:t>合同的附件，与工程施工合同具有同等的法律效力，经合同双方签署立即生效。</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本合同一式四份，由发包人和承包人各执一份，送交发包人和承包人的监督单位各一份。</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 </w:t>
      </w:r>
      <w:r>
        <w:rPr>
          <w:rFonts w:hint="eastAsia" w:ascii="宋体" w:hAnsi="宋体" w:eastAsia="宋体" w:cs="宋体"/>
          <w:color w:val="auto"/>
          <w:highlight w:val="none"/>
          <w:u w:val="single"/>
          <w:lang w:bidi="ar"/>
        </w:rPr>
        <w:t xml:space="preserve"> （单位全称）（盖</w:t>
      </w:r>
      <w:r>
        <w:rPr>
          <w:rFonts w:hint="eastAsia" w:ascii="宋体" w:hAnsi="宋体" w:eastAsia="宋体" w:cs="宋体"/>
          <w:color w:val="auto"/>
          <w:highlight w:val="none"/>
          <w:u w:val="single"/>
          <w:lang w:val="en-US" w:eastAsia="zh-CN" w:bidi="ar"/>
        </w:rPr>
        <w:t>单位公</w:t>
      </w:r>
      <w:r>
        <w:rPr>
          <w:rFonts w:hint="eastAsia" w:ascii="宋体" w:hAnsi="宋体" w:eastAsia="宋体" w:cs="宋体"/>
          <w:color w:val="auto"/>
          <w:highlight w:val="none"/>
          <w:u w:val="single"/>
          <w:lang w:bidi="ar"/>
        </w:rPr>
        <w:t>章）</w:t>
      </w:r>
    </w:p>
    <w:p>
      <w:pPr>
        <w:spacing w:line="360" w:lineRule="auto"/>
        <w:ind w:left="2205" w:hanging="2205" w:hangingChars="1050"/>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                 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r>
        <w:rPr>
          <w:rFonts w:hint="eastAsia" w:ascii="宋体" w:hAnsi="宋体" w:eastAsia="宋体" w:cs="宋体"/>
          <w:color w:val="auto"/>
          <w:highlight w:val="none"/>
          <w:lang w:bidi="ar"/>
        </w:rPr>
        <w:t xml:space="preserve">             承包人监督单位：</w:t>
      </w:r>
      <w:r>
        <w:rPr>
          <w:rFonts w:hint="eastAsia" w:ascii="宋体" w:hAnsi="宋体" w:eastAsia="宋体" w:cs="宋体"/>
          <w:color w:val="auto"/>
          <w:highlight w:val="none"/>
          <w:u w:val="single"/>
          <w:lang w:bidi="ar"/>
        </w:rPr>
        <w:t>（全称） （盖</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 xml:space="preserve">章） </w:t>
      </w:r>
    </w:p>
    <w:p>
      <w:pPr>
        <w:spacing w:line="360" w:lineRule="auto"/>
        <w:jc w:val="right"/>
        <w:rPr>
          <w:rFonts w:hint="eastAsia" w:ascii="宋体" w:hAnsi="宋体" w:eastAsia="宋体" w:cs="宋体"/>
          <w:snapToGrid w:val="0"/>
          <w:color w:val="auto"/>
          <w:kern w:val="0"/>
          <w:szCs w:val="21"/>
          <w:highlight w:val="none"/>
        </w:rPr>
      </w:pPr>
    </w:p>
    <w:bookmarkEnd w:id="300"/>
    <w:bookmarkEnd w:id="301"/>
    <w:bookmarkEnd w:id="302"/>
    <w:bookmarkEnd w:id="303"/>
    <w:bookmarkEnd w:id="304"/>
    <w:bookmarkEnd w:id="305"/>
    <w:bookmarkEnd w:id="306"/>
    <w:bookmarkEnd w:id="307"/>
    <w:bookmarkEnd w:id="308"/>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rPr>
      </w:pPr>
      <w:bookmarkStart w:id="356" w:name="_Toc467164259"/>
      <w:bookmarkStart w:id="357" w:name="_Toc424558370"/>
      <w:bookmarkStart w:id="358" w:name="_Toc240180918"/>
      <w:bookmarkStart w:id="359" w:name="_Toc335223533"/>
      <w:bookmarkStart w:id="360" w:name="_Toc509390698"/>
      <w:bookmarkStart w:id="361" w:name="_Toc424558730"/>
      <w:bookmarkStart w:id="362" w:name="_Toc223335459"/>
      <w:bookmarkStart w:id="363" w:name="_Toc183589134"/>
      <w:bookmarkStart w:id="364" w:name="_Toc182293837"/>
      <w:r>
        <w:rPr>
          <w:rFonts w:hint="eastAsia" w:ascii="宋体" w:hAnsi="宋体" w:eastAsia="宋体" w:cs="宋体"/>
          <w:color w:val="auto"/>
          <w:sz w:val="21"/>
          <w:highlight w:val="none"/>
        </w:rPr>
        <w:br w:type="page"/>
      </w:r>
      <w:bookmarkStart w:id="365" w:name="_Toc57795993"/>
      <w:bookmarkStart w:id="366" w:name="_Toc17367"/>
      <w:r>
        <w:rPr>
          <w:rFonts w:hint="eastAsia" w:ascii="宋体" w:hAnsi="宋体" w:eastAsia="宋体" w:cs="宋体"/>
          <w:color w:val="auto"/>
          <w:sz w:val="32"/>
          <w:szCs w:val="32"/>
          <w:highlight w:val="none"/>
          <w:lang w:bidi="ar"/>
        </w:rPr>
        <w:t>附件三 安全生产合同</w:t>
      </w:r>
      <w:bookmarkEnd w:id="356"/>
      <w:bookmarkEnd w:id="357"/>
      <w:bookmarkEnd w:id="358"/>
      <w:bookmarkEnd w:id="359"/>
      <w:bookmarkEnd w:id="360"/>
      <w:bookmarkEnd w:id="361"/>
      <w:bookmarkEnd w:id="365"/>
      <w:bookmarkEnd w:id="366"/>
    </w:p>
    <w:bookmarkEnd w:id="362"/>
    <w:bookmarkEnd w:id="363"/>
    <w:bookmarkEnd w:id="364"/>
    <w:p>
      <w:pPr>
        <w:jc w:val="center"/>
        <w:rPr>
          <w:rFonts w:hint="eastAsia" w:ascii="宋体" w:hAnsi="宋体" w:eastAsia="宋体" w:cs="宋体"/>
          <w:b/>
          <w:color w:val="auto"/>
          <w:sz w:val="32"/>
          <w:szCs w:val="32"/>
          <w:highlight w:val="none"/>
        </w:rPr>
      </w:pP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napToGrid w:val="0"/>
        <w:spacing w:line="360" w:lineRule="auto"/>
        <w:ind w:firstLine="422"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为在</w:t>
      </w:r>
      <w:r>
        <w:rPr>
          <w:rFonts w:hint="eastAsia" w:ascii="宋体" w:hAnsi="宋体" w:eastAsia="宋体" w:cs="宋体"/>
          <w:color w:val="auto"/>
          <w:highlight w:val="none"/>
          <w:u w:val="single"/>
          <w:lang w:bidi="ar"/>
        </w:rPr>
        <w:t xml:space="preserve">         （项目名称）      </w:t>
      </w:r>
      <w:r>
        <w:rPr>
          <w:rFonts w:hint="eastAsia" w:ascii="宋体" w:hAnsi="宋体" w:eastAsia="宋体" w:cs="宋体"/>
          <w:color w:val="auto"/>
          <w:szCs w:val="21"/>
          <w:highlight w:val="none"/>
          <w:u w:val="single"/>
          <w:lang w:bidi="ar"/>
        </w:rPr>
        <w:t xml:space="preserve">    标段</w:t>
      </w:r>
      <w:r>
        <w:rPr>
          <w:rFonts w:hint="eastAsia" w:ascii="宋体" w:hAnsi="宋体" w:eastAsia="宋体" w:cs="宋体"/>
          <w:color w:val="auto"/>
          <w:highlight w:val="none"/>
          <w:lang w:bidi="ar"/>
        </w:rPr>
        <w:t>合同的实施过程中创造安全、高效的施工环境，切实搞好本项目的管理工作，本项目发包人</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（以下简称“发包人”）与承包人_</w:t>
      </w:r>
      <w:r>
        <w:rPr>
          <w:rFonts w:hint="eastAsia" w:ascii="宋体" w:hAnsi="宋体" w:eastAsia="宋体" w:cs="宋体"/>
          <w:color w:val="auto"/>
          <w:highlight w:val="none"/>
          <w:u w:val="single"/>
          <w:lang w:bidi="ar"/>
        </w:rPr>
        <w:t xml:space="preserve">   （全称）   </w:t>
      </w:r>
      <w:r>
        <w:rPr>
          <w:rFonts w:hint="eastAsia" w:ascii="宋体" w:hAnsi="宋体" w:eastAsia="宋体" w:cs="宋体"/>
          <w:color w:val="auto"/>
          <w:highlight w:val="none"/>
          <w:lang w:bidi="ar"/>
        </w:rPr>
        <w:t xml:space="preserve"> （以下简称“承包人”）特此签订安全生产合同。</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1.、发包人职责</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（1）严格遵守国家有关安全生产的法律法规，认真执行工程承包合同中的有关安全要求。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（2）按照“安全第一、预防为主”和坚持“管生产必须管理安全”的原则进行安全生产管理，做到生产与安全工作同时计划、布置、检查、总结和评比。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（3）重要的安全设施必须坚持与主体工程“三同时”的原则，即：同时设计、审批，同时施工，同时验收，投入使用。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（4）定期召开安全生产调度会，及时传达中央及地方有关安全生产的精神。</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（5）组织对承包人施工现场安全生产检查，监督承包人及时处理发现的各种安全隐患。</w:t>
      </w:r>
    </w:p>
    <w:p>
      <w:pPr>
        <w:spacing w:line="360" w:lineRule="auto"/>
        <w:ind w:firstLine="420" w:firstLineChars="200"/>
        <w:rPr>
          <w:rFonts w:hint="eastAsia" w:ascii="宋体" w:hAnsi="宋体" w:eastAsia="宋体" w:cs="宋体"/>
          <w:color w:val="auto"/>
          <w:highlight w:val="none"/>
        </w:rPr>
      </w:pPr>
      <w:bookmarkStart w:id="367" w:name="_Toc424558371"/>
      <w:r>
        <w:rPr>
          <w:rFonts w:hint="eastAsia" w:ascii="宋体" w:hAnsi="宋体" w:eastAsia="宋体" w:cs="宋体"/>
          <w:color w:val="auto"/>
          <w:highlight w:val="none"/>
          <w:lang w:bidi="ar"/>
        </w:rPr>
        <w:t>2. 承包人职责</w:t>
      </w:r>
      <w:bookmarkEnd w:id="367"/>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严格遵守《中华人民共和国安全生产法》、《建设工程安全生产管理条例》等国家有关安全生产的法律法规、《公路水运安全生产监督管理办法》、《公路工程施工安全技术规程》和《公路筑养路机械操作规程》有关安全生产的规定，认真执行工程承包合同中的有关安全要求。</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（4）承包人在任何时候都应采取各种合理的预防措施，防止员工发生违法、违禁、暴力或妨碍治安的行为。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6）对于易燃易爆的材料应专门妥善保管之外，还应配备有足够的消防设施，所有施工人员都应熟悉消防设施的性能和使用方法；承包人不得将任何种类的爆炸物给予、易货或以其他方式转让给其他人，或允许、容忍上述同样行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（7）操作人员上岗，必须按规定穿戴防护用品。施工负责人和安全检查员应随时检查劳动防护用品的穿戴情况，不按规定穿戴防护用品的人员不得上岗。</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（8）所有施工机具设备和高空作业的设备均应定期检查，并有安全员的</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记录，保证其经常处于完好状态；不合格的机具、设备和劳动保护用品严禁使用。</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（9）施工中采用新技术、新工艺、新设备、新材料时，必须制定相应的安全技术措施，施工现场必须具有相关的安全标志牌。</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10）承包人必须按照本工程项目特点，组织指定本工程实施中的生产安全事故应急救援预案；如果发生安全事故，应按照《国务院关于特大安全事故行政责任追究的规定》以及其它有关规定，及时上报有关部门，并坚持“四不放过”的原则，严肃处理相关责任人。</w:t>
      </w:r>
    </w:p>
    <w:p>
      <w:pPr>
        <w:spacing w:line="360" w:lineRule="auto"/>
        <w:ind w:firstLine="315" w:firstLineChars="150"/>
        <w:rPr>
          <w:rFonts w:hint="eastAsia" w:ascii="宋体" w:hAnsi="宋体" w:eastAsia="宋体" w:cs="宋体"/>
          <w:color w:val="auto"/>
          <w:highlight w:val="none"/>
        </w:rPr>
      </w:pPr>
      <w:r>
        <w:rPr>
          <w:rFonts w:hint="eastAsia" w:ascii="宋体" w:hAnsi="宋体" w:eastAsia="宋体" w:cs="宋体"/>
          <w:color w:val="auto"/>
          <w:highlight w:val="none"/>
          <w:lang w:bidi="ar"/>
        </w:rPr>
        <w:t>（11）安全生产费用按照《公路水运安全生产监督管理办法》的相关规定使用和管理。</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违约责任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如因发包人或承包人违约造成安全事故，将依法追究责任。</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本合同由双方法定代表人或起授权的代理人签署与加盖公章后生效，全部工程竣工验收后失效。</w:t>
      </w:r>
    </w:p>
    <w:p>
      <w:pPr>
        <w:spacing w:line="360" w:lineRule="auto"/>
        <w:ind w:firstLine="420" w:firstLineChars="200"/>
        <w:rPr>
          <w:rFonts w:hint="eastAsia" w:ascii="宋体" w:hAnsi="宋体" w:eastAsia="宋体" w:cs="宋体"/>
          <w:color w:val="auto"/>
          <w:highlight w:val="none"/>
          <w:lang w:bidi="ar"/>
        </w:rPr>
      </w:pPr>
      <w:r>
        <w:rPr>
          <w:rFonts w:hint="eastAsia" w:ascii="宋体" w:hAnsi="宋体" w:eastAsia="宋体" w:cs="宋体"/>
          <w:color w:val="auto"/>
          <w:highlight w:val="none"/>
          <w:lang w:bidi="ar"/>
        </w:rPr>
        <w:t>5.本合同正本二份，副本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份，合同双方各执正本一份，副本</w:t>
      </w:r>
      <w:r>
        <w:rPr>
          <w:rFonts w:hint="eastAsia" w:ascii="宋体" w:hAnsi="宋体" w:eastAsia="宋体" w:cs="宋体"/>
          <w:color w:val="auto"/>
          <w:highlight w:val="none"/>
          <w:u w:val="single"/>
          <w:lang w:bidi="ar"/>
        </w:rPr>
        <w:t>　　</w:t>
      </w:r>
      <w:r>
        <w:rPr>
          <w:rFonts w:hint="eastAsia" w:ascii="宋体" w:hAnsi="宋体" w:eastAsia="宋体" w:cs="宋体"/>
          <w:color w:val="auto"/>
          <w:highlight w:val="none"/>
          <w:lang w:bidi="ar"/>
        </w:rPr>
        <w:t>份，当正本与副本不一致时，以正本为准。</w:t>
      </w: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ind w:firstLine="420" w:firstLineChars="200"/>
        <w:rPr>
          <w:rFonts w:hint="eastAsia" w:ascii="宋体" w:hAnsi="宋体" w:eastAsia="宋体" w:cs="宋体"/>
          <w:color w:val="auto"/>
          <w:highlight w:val="none"/>
          <w:lang w:bidi="ar"/>
        </w:rPr>
      </w:pPr>
    </w:p>
    <w:p>
      <w:pPr>
        <w:spacing w:line="360" w:lineRule="auto"/>
        <w:rPr>
          <w:rFonts w:hint="eastAsia" w:ascii="宋体" w:hAnsi="宋体" w:eastAsia="宋体" w:cs="宋体"/>
          <w:color w:val="auto"/>
          <w:highlight w:val="none"/>
          <w:u w:val="singl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r>
        <w:rPr>
          <w:rFonts w:hint="eastAsia" w:ascii="宋体" w:hAnsi="宋体" w:eastAsia="宋体" w:cs="宋体"/>
          <w:color w:val="auto"/>
          <w:highlight w:val="none"/>
          <w:lang w:bidi="ar"/>
        </w:rPr>
        <w:t xml:space="preserve">                  承包人：</w:t>
      </w:r>
      <w:r>
        <w:rPr>
          <w:rFonts w:hint="eastAsia" w:ascii="宋体" w:hAnsi="宋体" w:eastAsia="宋体" w:cs="宋体"/>
          <w:color w:val="auto"/>
          <w:highlight w:val="none"/>
          <w:u w:val="single"/>
          <w:lang w:bidi="ar"/>
        </w:rPr>
        <w:t xml:space="preserve">    （盖单位</w:t>
      </w:r>
      <w:r>
        <w:rPr>
          <w:rFonts w:hint="eastAsia" w:ascii="宋体" w:hAnsi="宋体" w:eastAsia="宋体" w:cs="宋体"/>
          <w:color w:val="auto"/>
          <w:highlight w:val="none"/>
          <w:u w:val="single"/>
          <w:lang w:val="en-US" w:eastAsia="zh-CN" w:bidi="ar"/>
        </w:rPr>
        <w:t>公</w:t>
      </w:r>
      <w:r>
        <w:rPr>
          <w:rFonts w:hint="eastAsia" w:ascii="宋体" w:hAnsi="宋体" w:eastAsia="宋体" w:cs="宋体"/>
          <w:color w:val="auto"/>
          <w:highlight w:val="none"/>
          <w:u w:val="single"/>
          <w:lang w:bidi="ar"/>
        </w:rPr>
        <w:t>章）</w:t>
      </w: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法定代表人或其授权的代理人：</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u w:val="single"/>
          <w:lang w:eastAsia="zh-CN" w:bidi="ar"/>
        </w:rPr>
        <w:t>签名</w:t>
      </w:r>
      <w:r>
        <w:rPr>
          <w:rFonts w:hint="eastAsia" w:ascii="宋体" w:hAnsi="宋体" w:eastAsia="宋体" w:cs="宋体"/>
          <w:color w:val="auto"/>
          <w:highlight w:val="none"/>
          <w:u w:val="single"/>
          <w:lang w:bidi="ar"/>
        </w:rPr>
        <w:t>）</w:t>
      </w:r>
      <w:r>
        <w:rPr>
          <w:rFonts w:hint="eastAsia" w:ascii="宋体" w:hAnsi="宋体" w:eastAsia="宋体" w:cs="宋体"/>
          <w:color w:val="auto"/>
          <w:highlight w:val="none"/>
          <w:lang w:bidi="ar"/>
        </w:rPr>
        <w:t xml:space="preserve">                             </w:t>
      </w:r>
    </w:p>
    <w:p>
      <w:pPr>
        <w:spacing w:line="360" w:lineRule="auto"/>
        <w:ind w:firstLine="1260" w:firstLineChars="600"/>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日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68" w:name="_Toc5834"/>
      <w:bookmarkStart w:id="369" w:name="_Toc57795994"/>
      <w:bookmarkStart w:id="370" w:name="_Toc509390699"/>
      <w:r>
        <w:rPr>
          <w:rFonts w:hint="eastAsia" w:ascii="宋体" w:hAnsi="宋体" w:eastAsia="宋体" w:cs="宋体"/>
          <w:color w:val="auto"/>
          <w:sz w:val="32"/>
          <w:szCs w:val="32"/>
          <w:highlight w:val="none"/>
          <w:lang w:bidi="ar"/>
        </w:rPr>
        <w:t>附件四 其他管理和技术人员最低要求</w:t>
      </w:r>
      <w:bookmarkEnd w:id="368"/>
      <w:bookmarkEnd w:id="369"/>
      <w:bookmarkEnd w:id="370"/>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3118"/>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人员</w:t>
            </w:r>
          </w:p>
        </w:tc>
        <w:tc>
          <w:tcPr>
            <w:tcW w:w="31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数量</w:t>
            </w:r>
          </w:p>
        </w:tc>
        <w:tc>
          <w:tcPr>
            <w:tcW w:w="29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3118"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400" w:lineRule="exact"/>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lang w:bidi="ar"/>
        </w:rPr>
      </w:pPr>
      <w:r>
        <w:rPr>
          <w:rFonts w:hint="eastAsia" w:ascii="宋体" w:hAnsi="宋体" w:eastAsia="宋体" w:cs="宋体"/>
          <w:color w:val="auto"/>
          <w:kern w:val="0"/>
          <w:sz w:val="18"/>
          <w:szCs w:val="18"/>
          <w:highlight w:val="none"/>
          <w:lang w:bidi="ar"/>
        </w:rPr>
        <w:t>注：1、</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应在</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中规定若投标人在所投标段中标需派驻的其他管理和技术人员（例如项目副经理、专业工程师等）。上述人员的具体人选由</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和中标人在合同谈判阶段确定，且经</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审批后作为派驻本标段的项目管理机构主要人员，不允许更换。如中标人拟派驻的人员数量和资格条件不满足本表要求，</w:t>
      </w:r>
      <w:r>
        <w:rPr>
          <w:rFonts w:hint="eastAsia" w:ascii="宋体" w:hAnsi="宋体" w:eastAsia="宋体" w:cs="宋体"/>
          <w:color w:val="auto"/>
          <w:kern w:val="0"/>
          <w:sz w:val="18"/>
          <w:szCs w:val="18"/>
          <w:highlight w:val="none"/>
          <w:lang w:eastAsia="zh-CN" w:bidi="ar"/>
        </w:rPr>
        <w:t>比选人</w:t>
      </w:r>
      <w:r>
        <w:rPr>
          <w:rFonts w:hint="eastAsia" w:ascii="宋体" w:hAnsi="宋体" w:eastAsia="宋体" w:cs="宋体"/>
          <w:color w:val="auto"/>
          <w:kern w:val="0"/>
          <w:sz w:val="18"/>
          <w:szCs w:val="18"/>
          <w:highlight w:val="none"/>
          <w:lang w:bidi="ar"/>
        </w:rPr>
        <w:t>应取消其中标资格，2.本表不适用于已按资格预审文件或</w:t>
      </w:r>
      <w:r>
        <w:rPr>
          <w:rFonts w:hint="eastAsia" w:ascii="宋体" w:hAnsi="宋体" w:eastAsia="宋体" w:cs="宋体"/>
          <w:color w:val="auto"/>
          <w:kern w:val="0"/>
          <w:sz w:val="18"/>
          <w:szCs w:val="18"/>
          <w:highlight w:val="none"/>
          <w:lang w:eastAsia="zh-CN" w:bidi="ar"/>
        </w:rPr>
        <w:t>比选文件</w:t>
      </w:r>
      <w:r>
        <w:rPr>
          <w:rFonts w:hint="eastAsia" w:ascii="宋体" w:hAnsi="宋体" w:eastAsia="宋体" w:cs="宋体"/>
          <w:color w:val="auto"/>
          <w:kern w:val="0"/>
          <w:sz w:val="18"/>
          <w:szCs w:val="18"/>
          <w:highlight w:val="none"/>
          <w:lang w:bidi="ar"/>
        </w:rPr>
        <w:t>要求提供了其他管理和技术人员的特别复杂的特大桥梁和特长隧道项目主体工程以及其他有特殊要求的工程。</w:t>
      </w:r>
    </w:p>
    <w:p>
      <w:pPr>
        <w:pStyle w:val="29"/>
        <w:keepNext/>
        <w:keepLines/>
        <w:tabs>
          <w:tab w:val="left" w:pos="420"/>
        </w:tabs>
        <w:spacing w:line="400" w:lineRule="exact"/>
        <w:jc w:val="center"/>
        <w:outlineLvl w:val="2"/>
        <w:rPr>
          <w:rFonts w:hint="eastAsia" w:ascii="宋体" w:hAnsi="宋体" w:eastAsia="宋体" w:cs="宋体"/>
          <w:color w:val="auto"/>
          <w:sz w:val="32"/>
          <w:szCs w:val="32"/>
          <w:highlight w:val="none"/>
          <w:lang w:bidi="ar"/>
        </w:rPr>
      </w:pPr>
      <w:r>
        <w:rPr>
          <w:rFonts w:hint="eastAsia" w:ascii="宋体" w:hAnsi="宋体" w:eastAsia="宋体" w:cs="宋体"/>
          <w:color w:val="auto"/>
          <w:szCs w:val="20"/>
          <w:highlight w:val="none"/>
          <w:lang w:bidi="ar"/>
        </w:rPr>
        <w:br w:type="page"/>
      </w:r>
      <w:bookmarkStart w:id="371" w:name="_Toc31542"/>
      <w:bookmarkStart w:id="372" w:name="_Toc509390700"/>
      <w:bookmarkStart w:id="373" w:name="_Toc57795995"/>
      <w:r>
        <w:rPr>
          <w:rFonts w:hint="eastAsia" w:ascii="宋体" w:hAnsi="宋体" w:eastAsia="宋体" w:cs="宋体"/>
          <w:color w:val="auto"/>
          <w:sz w:val="32"/>
          <w:szCs w:val="32"/>
          <w:highlight w:val="none"/>
          <w:lang w:bidi="ar"/>
        </w:rPr>
        <w:t>附件五 主要机械设备和试验检测设备最低要求</w:t>
      </w:r>
      <w:bookmarkEnd w:id="371"/>
      <w:bookmarkEnd w:id="372"/>
      <w:bookmarkEnd w:id="373"/>
    </w:p>
    <w:p>
      <w:pPr>
        <w:rPr>
          <w:rFonts w:hint="eastAsia" w:ascii="宋体" w:hAnsi="宋体" w:eastAsia="宋体" w:cs="宋体"/>
          <w:color w:val="auto"/>
          <w:highlight w:val="none"/>
        </w:rPr>
      </w:pPr>
    </w:p>
    <w:tbl>
      <w:tblPr>
        <w:tblStyle w:val="33"/>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2977"/>
        <w:gridCol w:w="141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设备名称</w:t>
            </w:r>
          </w:p>
        </w:tc>
        <w:tc>
          <w:tcPr>
            <w:tcW w:w="29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规格、功率及容量</w:t>
            </w:r>
          </w:p>
        </w:tc>
        <w:tc>
          <w:tcPr>
            <w:tcW w:w="14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单位</w:t>
            </w:r>
          </w:p>
        </w:tc>
        <w:tc>
          <w:tcPr>
            <w:tcW w:w="170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lang w:bidi="ar"/>
              </w:rPr>
              <w:t>最低数量要求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266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297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41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c>
          <w:tcPr>
            <w:tcW w:w="17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hint="eastAsia" w:ascii="宋体" w:hAnsi="宋体" w:eastAsia="宋体" w:cs="宋体"/>
                <w:color w:val="auto"/>
                <w:highlight w:val="none"/>
              </w:rPr>
            </w:pPr>
          </w:p>
        </w:tc>
      </w:tr>
    </w:tbl>
    <w:p>
      <w:pPr>
        <w:autoSpaceDE w:val="0"/>
        <w:autoSpaceDN w:val="0"/>
        <w:adjustRightInd w:val="0"/>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注：</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应在</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中规定若投标人在所投标段中标需提供的主要机械设备和试验检测设备。</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将在合同谈判阶段要求中标人按照本表的最低要求填报为本标段配备的主要设备，在经</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审批后作为投入本标段的主要设备且不不允许更换。如中标人拟提供的设备数量和规格指标不满足本表要求，</w:t>
      </w:r>
      <w:r>
        <w:rPr>
          <w:rFonts w:hint="eastAsia" w:ascii="宋体" w:hAnsi="宋体" w:eastAsia="宋体" w:cs="宋体"/>
          <w:color w:val="auto"/>
          <w:kern w:val="0"/>
          <w:sz w:val="18"/>
          <w:szCs w:val="18"/>
          <w:highlight w:val="none"/>
          <w:lang w:eastAsia="zh-CN"/>
        </w:rPr>
        <w:t>比选人</w:t>
      </w:r>
      <w:r>
        <w:rPr>
          <w:rFonts w:hint="eastAsia" w:ascii="宋体" w:hAnsi="宋体" w:eastAsia="宋体" w:cs="宋体"/>
          <w:color w:val="auto"/>
          <w:kern w:val="0"/>
          <w:sz w:val="18"/>
          <w:szCs w:val="18"/>
          <w:highlight w:val="none"/>
        </w:rPr>
        <w:t>应取消其中标资格。2.本表不适用于已按资格预审文件或</w:t>
      </w:r>
      <w:r>
        <w:rPr>
          <w:rFonts w:hint="eastAsia" w:ascii="宋体" w:hAnsi="宋体" w:eastAsia="宋体" w:cs="宋体"/>
          <w:color w:val="auto"/>
          <w:kern w:val="0"/>
          <w:sz w:val="18"/>
          <w:szCs w:val="18"/>
          <w:highlight w:val="none"/>
          <w:lang w:eastAsia="zh-CN"/>
        </w:rPr>
        <w:t>比选文件</w:t>
      </w:r>
      <w:r>
        <w:rPr>
          <w:rFonts w:hint="eastAsia" w:ascii="宋体" w:hAnsi="宋体" w:eastAsia="宋体" w:cs="宋体"/>
          <w:color w:val="auto"/>
          <w:kern w:val="0"/>
          <w:sz w:val="18"/>
          <w:szCs w:val="18"/>
          <w:highlight w:val="none"/>
        </w:rPr>
        <w:t>要求提供了主要机械设备和试验检测设备的特别复杂的特大桥梁和特长隧道项目主体工程以及其他有特殊要求的工程。</w:t>
      </w:r>
      <w:r>
        <w:rPr>
          <w:rFonts w:hint="eastAsia" w:ascii="宋体" w:hAnsi="宋体" w:eastAsia="宋体" w:cs="宋体"/>
          <w:color w:val="auto"/>
          <w:szCs w:val="18"/>
          <w:highlight w:val="none"/>
          <w:lang w:bidi="ar"/>
        </w:rPr>
        <w:br w:type="page"/>
      </w:r>
      <w:r>
        <w:rPr>
          <w:rFonts w:hint="eastAsia" w:ascii="宋体" w:hAnsi="宋体" w:eastAsia="宋体" w:cs="宋体"/>
          <w:color w:val="auto"/>
          <w:kern w:val="0"/>
          <w:sz w:val="18"/>
          <w:szCs w:val="18"/>
          <w:highlight w:val="none"/>
        </w:rPr>
        <w:t xml:space="preserve"> </w:t>
      </w:r>
    </w:p>
    <w:p>
      <w:pPr>
        <w:pStyle w:val="29"/>
        <w:keepNext/>
        <w:keepLines/>
        <w:tabs>
          <w:tab w:val="left" w:pos="420"/>
        </w:tabs>
        <w:spacing w:line="400" w:lineRule="exact"/>
        <w:jc w:val="center"/>
        <w:outlineLvl w:val="2"/>
        <w:rPr>
          <w:rFonts w:hint="eastAsia" w:ascii="宋体" w:hAnsi="宋体" w:eastAsia="宋体" w:cs="宋体"/>
          <w:color w:val="auto"/>
          <w:highlight w:val="none"/>
        </w:rPr>
      </w:pPr>
      <w:bookmarkStart w:id="374" w:name="_Toc57795996"/>
      <w:bookmarkStart w:id="375" w:name="_Toc595"/>
      <w:r>
        <w:rPr>
          <w:rFonts w:hint="eastAsia" w:ascii="宋体" w:hAnsi="宋体" w:eastAsia="宋体" w:cs="宋体"/>
          <w:color w:val="auto"/>
          <w:sz w:val="32"/>
          <w:szCs w:val="32"/>
          <w:highlight w:val="none"/>
          <w:lang w:bidi="ar"/>
        </w:rPr>
        <w:t>附件六 项目经理委任书</w:t>
      </w:r>
      <w:bookmarkEnd w:id="374"/>
      <w:bookmarkEnd w:id="375"/>
    </w:p>
    <w:p>
      <w:pPr>
        <w:rPr>
          <w:rFonts w:hint="eastAsia" w:ascii="宋体" w:hAnsi="宋体" w:eastAsia="宋体" w:cs="宋体"/>
          <w:color w:val="auto"/>
          <w:szCs w:val="21"/>
          <w:highlight w:val="none"/>
          <w:u w:val="single"/>
        </w:rPr>
      </w:pPr>
    </w:p>
    <w:p>
      <w:pPr>
        <w:spacing w:line="360" w:lineRule="auto"/>
        <w:jc w:val="center"/>
        <w:rPr>
          <w:rFonts w:hint="eastAsia" w:ascii="宋体" w:hAnsi="宋体" w:eastAsia="宋体" w:cs="宋体"/>
          <w:color w:val="auto"/>
          <w:szCs w:val="21"/>
          <w:highlight w:val="none"/>
        </w:rPr>
      </w:pPr>
      <w:bookmarkStart w:id="376" w:name="_Toc424558373"/>
      <w:r>
        <w:rPr>
          <w:rFonts w:hint="eastAsia" w:ascii="宋体" w:hAnsi="宋体" w:eastAsia="宋体" w:cs="宋体"/>
          <w:color w:val="auto"/>
          <w:szCs w:val="21"/>
          <w:highlight w:val="none"/>
          <w:lang w:bidi="ar"/>
        </w:rPr>
        <w:t>（承包人全称）</w:t>
      </w:r>
      <w:bookmarkEnd w:id="376"/>
    </w:p>
    <w:p>
      <w:pPr>
        <w:spacing w:line="360" w:lineRule="auto"/>
        <w:jc w:val="center"/>
        <w:rPr>
          <w:rFonts w:hint="eastAsia" w:ascii="宋体" w:hAnsi="宋体" w:eastAsia="宋体" w:cs="宋体"/>
          <w:color w:val="auto"/>
          <w:szCs w:val="20"/>
          <w:highlight w:val="none"/>
        </w:rPr>
      </w:pP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合同项目经理委任书</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ind w:firstLine="315" w:firstLineChars="150"/>
        <w:rPr>
          <w:rFonts w:hint="eastAsia" w:ascii="宋体" w:hAnsi="宋体" w:eastAsia="宋体" w:cs="宋体"/>
          <w:color w:val="auto"/>
          <w:szCs w:val="21"/>
          <w:highlight w:val="none"/>
          <w:u w:val="single"/>
          <w:lang w:val="zh-CN"/>
        </w:rPr>
      </w:pPr>
      <w:r>
        <w:rPr>
          <w:rFonts w:hint="eastAsia" w:ascii="宋体" w:hAnsi="宋体" w:eastAsia="宋体" w:cs="宋体"/>
          <w:color w:val="auto"/>
          <w:szCs w:val="21"/>
          <w:highlight w:val="none"/>
          <w:u w:val="single"/>
          <w:lang w:val="zh-CN" w:bidi="ar"/>
        </w:rPr>
        <w:t>致（发包人全称）：</w:t>
      </w:r>
    </w:p>
    <w:p>
      <w:pPr>
        <w:spacing w:line="360" w:lineRule="auto"/>
        <w:ind w:firstLine="315" w:firstLineChars="150"/>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u w:val="single"/>
          <w:lang w:val="zh-CN" w:bidi="ar"/>
        </w:rPr>
        <w:t>（承包人全称）</w:t>
      </w:r>
      <w:r>
        <w:rPr>
          <w:rFonts w:hint="eastAsia" w:ascii="宋体" w:hAnsi="宋体" w:eastAsia="宋体" w:cs="宋体"/>
          <w:color w:val="auto"/>
          <w:szCs w:val="21"/>
          <w:highlight w:val="none"/>
          <w:lang w:val="zh-CN" w:bidi="ar"/>
        </w:rPr>
        <w:t>法定代表人</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代表本单位委任</w:t>
      </w:r>
      <w:r>
        <w:rPr>
          <w:rFonts w:hint="eastAsia" w:ascii="宋体" w:hAnsi="宋体" w:eastAsia="宋体" w:cs="宋体"/>
          <w:color w:val="auto"/>
          <w:szCs w:val="21"/>
          <w:highlight w:val="none"/>
          <w:u w:val="single"/>
          <w:lang w:val="zh-CN" w:bidi="ar"/>
        </w:rPr>
        <w:t>（职务、姓名）</w:t>
      </w:r>
      <w:r>
        <w:rPr>
          <w:rFonts w:hint="eastAsia" w:ascii="宋体" w:hAnsi="宋体" w:eastAsia="宋体" w:cs="宋体"/>
          <w:color w:val="auto"/>
          <w:szCs w:val="21"/>
          <w:highlight w:val="none"/>
          <w:lang w:val="zh-CN" w:bidi="ar"/>
        </w:rPr>
        <w:t>为</w:t>
      </w:r>
      <w:r>
        <w:rPr>
          <w:rFonts w:hint="eastAsia" w:ascii="宋体" w:hAnsi="宋体" w:eastAsia="宋体" w:cs="宋体"/>
          <w:color w:val="auto"/>
          <w:szCs w:val="21"/>
          <w:highlight w:val="none"/>
          <w:u w:val="single"/>
          <w:lang w:bidi="ar"/>
        </w:rPr>
        <w:t>（项目名称）（标段名称）</w:t>
      </w:r>
      <w:r>
        <w:rPr>
          <w:rFonts w:hint="eastAsia" w:ascii="宋体" w:hAnsi="宋体" w:eastAsia="宋体" w:cs="宋体"/>
          <w:color w:val="auto"/>
          <w:highlight w:val="none"/>
          <w:lang w:bidi="ar"/>
        </w:rPr>
        <w:t>合同</w:t>
      </w:r>
      <w:r>
        <w:rPr>
          <w:rFonts w:hint="eastAsia" w:ascii="宋体" w:hAnsi="宋体" w:eastAsia="宋体" w:cs="宋体"/>
          <w:color w:val="auto"/>
          <w:szCs w:val="21"/>
          <w:highlight w:val="none"/>
          <w:lang w:val="zh-CN" w:bidi="ar"/>
        </w:rPr>
        <w:t>的项目经理。凡本合同执行的有关技术、工程进度、现场管理、质量检验、结算与支付等方面工作，由</w:t>
      </w:r>
      <w:r>
        <w:rPr>
          <w:rFonts w:hint="eastAsia" w:ascii="宋体" w:hAnsi="宋体" w:eastAsia="宋体" w:cs="宋体"/>
          <w:color w:val="auto"/>
          <w:szCs w:val="21"/>
          <w:highlight w:val="none"/>
          <w:u w:val="single"/>
          <w:lang w:val="zh-CN" w:bidi="ar"/>
        </w:rPr>
        <w:t>（姓名）</w:t>
      </w:r>
      <w:r>
        <w:rPr>
          <w:rFonts w:hint="eastAsia" w:ascii="宋体" w:hAnsi="宋体" w:eastAsia="宋体" w:cs="宋体"/>
          <w:color w:val="auto"/>
          <w:szCs w:val="21"/>
          <w:highlight w:val="none"/>
          <w:lang w:val="zh-CN" w:bidi="ar"/>
        </w:rPr>
        <w:t>代表本单位全面负责。</w:t>
      </w: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lang w:val="zh-CN"/>
        </w:rPr>
      </w:pPr>
    </w:p>
    <w:p>
      <w:pPr>
        <w:spacing w:line="36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zh-CN" w:bidi="ar"/>
        </w:rPr>
        <w:t xml:space="preserve">                                               承  包  人：</w:t>
      </w:r>
      <w:r>
        <w:rPr>
          <w:rFonts w:hint="eastAsia" w:ascii="宋体" w:hAnsi="宋体" w:eastAsia="宋体" w:cs="宋体"/>
          <w:color w:val="auto"/>
          <w:szCs w:val="21"/>
          <w:highlight w:val="none"/>
          <w:u w:val="single"/>
          <w:lang w:val="zh-CN" w:bidi="ar"/>
        </w:rPr>
        <w:t>（全称）   （盖</w:t>
      </w:r>
      <w:r>
        <w:rPr>
          <w:rFonts w:hint="eastAsia" w:ascii="宋体" w:hAnsi="宋体" w:eastAsia="宋体" w:cs="宋体"/>
          <w:color w:val="auto"/>
          <w:szCs w:val="21"/>
          <w:highlight w:val="none"/>
          <w:u w:val="single"/>
          <w:lang w:val="en-US" w:eastAsia="zh-CN" w:bidi="ar"/>
        </w:rPr>
        <w:t>单位公</w:t>
      </w:r>
      <w:r>
        <w:rPr>
          <w:rFonts w:hint="eastAsia" w:ascii="宋体" w:hAnsi="宋体" w:eastAsia="宋体" w:cs="宋体"/>
          <w:color w:val="auto"/>
          <w:szCs w:val="21"/>
          <w:highlight w:val="none"/>
          <w:u w:val="single"/>
          <w:lang w:val="zh-CN" w:bidi="ar"/>
        </w:rPr>
        <w:t>章）</w:t>
      </w:r>
      <w:r>
        <w:rPr>
          <w:rFonts w:hint="eastAsia" w:ascii="宋体" w:hAnsi="宋体" w:eastAsia="宋体" w:cs="宋体"/>
          <w:color w:val="auto"/>
          <w:szCs w:val="21"/>
          <w:highlight w:val="none"/>
          <w:u w:val="single"/>
          <w:lang w:bidi="ar"/>
        </w:rPr>
        <w:t xml:space="preserve"> </w:t>
      </w: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szCs w:val="21"/>
          <w:highlight w:val="none"/>
          <w:lang w:val="zh-CN" w:bidi="ar"/>
        </w:rPr>
        <w:t xml:space="preserve">                                               法定代表人：</w:t>
      </w:r>
      <w:r>
        <w:rPr>
          <w:rFonts w:hint="eastAsia" w:ascii="宋体" w:hAnsi="宋体" w:eastAsia="宋体" w:cs="宋体"/>
          <w:color w:val="auto"/>
          <w:szCs w:val="21"/>
          <w:highlight w:val="none"/>
          <w:u w:val="single"/>
          <w:lang w:val="zh-CN" w:bidi="ar"/>
        </w:rPr>
        <w:t xml:space="preserve">     （签名）     </w:t>
      </w:r>
      <w:r>
        <w:rPr>
          <w:rFonts w:hint="eastAsia" w:ascii="宋体" w:hAnsi="宋体" w:eastAsia="宋体" w:cs="宋体"/>
          <w:color w:val="auto"/>
          <w:highlight w:val="none"/>
          <w:lang w:val="zh-CN" w:bidi="ar"/>
        </w:rPr>
        <w:t xml:space="preserve"> </w:t>
      </w:r>
    </w:p>
    <w:p>
      <w:pPr>
        <w:spacing w:line="360" w:lineRule="auto"/>
        <w:jc w:val="right"/>
        <w:rPr>
          <w:rFonts w:hint="eastAsia" w:ascii="宋体" w:hAnsi="宋体" w:eastAsia="宋体" w:cs="宋体"/>
          <w:color w:val="auto"/>
          <w:highlight w:val="none"/>
        </w:rPr>
      </w:pPr>
      <w:r>
        <w:rPr>
          <w:rFonts w:hint="eastAsia" w:ascii="宋体" w:hAnsi="宋体" w:eastAsia="宋体" w:cs="宋体"/>
          <w:color w:val="auto"/>
          <w:highlight w:val="none"/>
          <w:lang w:val="zh-CN" w:bidi="ar"/>
        </w:rPr>
        <w:t xml:space="preserve">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月</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日</w:t>
      </w:r>
    </w:p>
    <w:p>
      <w:pPr>
        <w:spacing w:line="360" w:lineRule="auto"/>
        <w:jc w:val="left"/>
        <w:rPr>
          <w:rFonts w:hint="eastAsia" w:ascii="宋体" w:hAnsi="宋体" w:eastAsia="宋体" w:cs="宋体"/>
          <w:color w:val="auto"/>
          <w:highlight w:val="none"/>
        </w:rPr>
      </w:pPr>
    </w:p>
    <w:p>
      <w:pPr>
        <w:spacing w:line="360" w:lineRule="auto"/>
        <w:jc w:val="left"/>
        <w:rPr>
          <w:rFonts w:hint="eastAsia" w:ascii="宋体" w:hAnsi="宋体" w:eastAsia="宋体" w:cs="宋体"/>
          <w:color w:val="auto"/>
          <w:highlight w:val="none"/>
          <w:lang w:val="zh-CN"/>
        </w:rPr>
      </w:pPr>
      <w:r>
        <w:rPr>
          <w:rFonts w:hint="eastAsia" w:ascii="宋体" w:hAnsi="宋体" w:eastAsia="宋体" w:cs="宋体"/>
          <w:color w:val="auto"/>
          <w:highlight w:val="none"/>
          <w:lang w:bidi="ar"/>
        </w:rPr>
        <w:t>抄送：</w:t>
      </w:r>
      <w:r>
        <w:rPr>
          <w:rFonts w:hint="eastAsia" w:ascii="宋体" w:hAnsi="宋体" w:eastAsia="宋体" w:cs="宋体"/>
          <w:color w:val="auto"/>
          <w:highlight w:val="none"/>
          <w:u w:val="single"/>
          <w:lang w:bidi="ar"/>
        </w:rPr>
        <w:t>　　（监理人）　　</w:t>
      </w:r>
    </w:p>
    <w:p>
      <w:pPr>
        <w:rPr>
          <w:rFonts w:hint="eastAsia" w:ascii="宋体" w:hAnsi="宋体" w:eastAsia="宋体" w:cs="宋体"/>
          <w:color w:val="auto"/>
          <w:highlight w:val="none"/>
        </w:rPr>
      </w:pPr>
      <w:r>
        <w:rPr>
          <w:rFonts w:hint="eastAsia" w:ascii="宋体" w:hAnsi="宋体" w:eastAsia="宋体" w:cs="宋体"/>
          <w:color w:val="auto"/>
          <w:highlight w:val="none"/>
          <w:lang w:bidi="ar"/>
        </w:rPr>
        <w:br w:type="page"/>
      </w:r>
    </w:p>
    <w:p>
      <w:pPr>
        <w:pStyle w:val="29"/>
        <w:keepNext/>
        <w:keepLines/>
        <w:tabs>
          <w:tab w:val="left" w:pos="420"/>
        </w:tabs>
        <w:spacing w:line="400" w:lineRule="exact"/>
        <w:jc w:val="center"/>
        <w:outlineLvl w:val="2"/>
        <w:rPr>
          <w:rFonts w:hint="eastAsia" w:ascii="宋体" w:hAnsi="宋体" w:eastAsia="宋体" w:cs="宋体"/>
          <w:color w:val="auto"/>
          <w:highlight w:val="none"/>
        </w:rPr>
      </w:pPr>
      <w:bookmarkStart w:id="377" w:name="_Toc424558376"/>
      <w:bookmarkStart w:id="378" w:name="_Toc7256"/>
      <w:bookmarkStart w:id="379" w:name="_Toc335223537"/>
      <w:bookmarkStart w:id="380" w:name="_Toc467164263"/>
      <w:bookmarkStart w:id="381" w:name="_Toc424558734"/>
      <w:bookmarkStart w:id="382" w:name="_Toc57795997"/>
      <w:bookmarkStart w:id="383" w:name="_Toc509390702"/>
      <w:bookmarkStart w:id="384" w:name="_Toc11086"/>
      <w:r>
        <w:rPr>
          <w:rFonts w:hint="eastAsia" w:ascii="宋体" w:hAnsi="宋体" w:eastAsia="宋体" w:cs="宋体"/>
          <w:color w:val="auto"/>
          <w:sz w:val="32"/>
          <w:szCs w:val="32"/>
          <w:highlight w:val="none"/>
          <w:lang w:bidi="ar"/>
        </w:rPr>
        <w:t>附件七 履约</w:t>
      </w:r>
      <w:bookmarkEnd w:id="377"/>
      <w:bookmarkEnd w:id="378"/>
      <w:bookmarkEnd w:id="379"/>
      <w:bookmarkEnd w:id="380"/>
      <w:bookmarkEnd w:id="381"/>
      <w:r>
        <w:rPr>
          <w:rFonts w:hint="eastAsia" w:ascii="宋体" w:hAnsi="宋体" w:eastAsia="宋体" w:cs="宋体"/>
          <w:color w:val="auto"/>
          <w:sz w:val="32"/>
          <w:szCs w:val="32"/>
          <w:highlight w:val="none"/>
          <w:lang w:bidi="ar"/>
        </w:rPr>
        <w:t>保证金格式</w:t>
      </w:r>
      <w:bookmarkEnd w:id="382"/>
      <w:bookmarkEnd w:id="383"/>
      <w:bookmarkEnd w:id="384"/>
    </w:p>
    <w:p>
      <w:pPr>
        <w:spacing w:line="400" w:lineRule="atLeast"/>
        <w:rPr>
          <w:rFonts w:hint="eastAsia" w:ascii="宋体" w:hAnsi="宋体" w:eastAsia="宋体" w:cs="宋体"/>
          <w:b/>
          <w:color w:val="auto"/>
          <w:sz w:val="24"/>
          <w:highlight w:val="none"/>
          <w:lang w:bidi="ar"/>
        </w:rPr>
      </w:pPr>
    </w:p>
    <w:p>
      <w:pPr>
        <w:spacing w:line="360" w:lineRule="auto"/>
        <w:ind w:firstLine="420" w:firstLineChars="200"/>
        <w:jc w:val="center"/>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履约保函示范文本</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              （发包人名称）：</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鉴于               （发包人名称，以下简称“发包人”）接受                 （承包人名称，以下简称“承包人”）于   年   月   日参加           （项目名称）       标段施工的投标。我方愿意无条件地、不可撤销地就承包人履行与你方订立的合同，向你方提供担保。</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一、担保金额人民币（大写）           元（¥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二、担保有效期为以下第      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（1）本担保自      （生效日期）之日起生效，至      （失效日期）之日失效。</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（2）本担保自发包人与承包人签订的合同生效之日起至发包人签发交工验收证书且承包人按照合同约定缴纳质量保证金之日止。</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三、在本担保有效期内，因承包人违反合同约定的义务给你方造成经济损失时，我方在收到你方以书面形式提出的在担保金额内的赔偿要求后，在7日内无条件支付，无须你方出具证明或陈述理由。</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四、发包人和承包人按合同条款第15条变更合同时，无论我方是否收到该变更，我方承担本担保规定的义务不变。</w:t>
      </w:r>
    </w:p>
    <w:p>
      <w:pPr>
        <w:spacing w:line="360" w:lineRule="auto"/>
        <w:ind w:firstLine="420" w:firstLineChars="200"/>
        <w:rPr>
          <w:rFonts w:hint="eastAsia" w:ascii="宋体" w:hAnsi="宋体" w:eastAsia="宋体" w:cs="宋体"/>
          <w:color w:val="auto"/>
          <w:highlight w:val="none"/>
          <w:u w:val="single"/>
          <w:lang w:bidi="ar"/>
        </w:rPr>
      </w:pP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担 保 人：                               （盖单位章）</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法定代表人或其委托代理人：                   （签名）</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地    址：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邮政编码：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电    话：                                          </w:t>
      </w:r>
    </w:p>
    <w:p>
      <w:pPr>
        <w:spacing w:line="360" w:lineRule="auto"/>
        <w:ind w:firstLine="420" w:firstLineChars="200"/>
        <w:rPr>
          <w:rFonts w:hint="eastAsia" w:ascii="宋体" w:hAnsi="宋体" w:eastAsia="宋体" w:cs="宋体"/>
          <w:color w:val="auto"/>
          <w:highlight w:val="none"/>
          <w:u w:val="single"/>
          <w:lang w:bidi="ar"/>
        </w:rPr>
      </w:pPr>
      <w:r>
        <w:rPr>
          <w:rFonts w:hint="eastAsia" w:ascii="宋体" w:hAnsi="宋体" w:eastAsia="宋体" w:cs="宋体"/>
          <w:color w:val="auto"/>
          <w:highlight w:val="none"/>
          <w:u w:val="single"/>
          <w:lang w:bidi="ar"/>
        </w:rPr>
        <w:t xml:space="preserve">传    真：                                          </w:t>
      </w:r>
    </w:p>
    <w:p>
      <w:pP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u w:val="single"/>
          <w:lang w:bidi="ar"/>
        </w:rPr>
        <w:t xml:space="preserve">     年     月     日</w:t>
      </w:r>
    </w:p>
    <w:p>
      <w:pPr>
        <w:spacing w:line="360" w:lineRule="auto"/>
        <w:ind w:left="420" w:hanging="420"/>
        <w:rPr>
          <w:rFonts w:hint="eastAsia" w:ascii="宋体" w:hAnsi="宋体" w:eastAsia="宋体" w:cs="宋体"/>
          <w:color w:val="auto"/>
          <w:highlight w:val="none"/>
        </w:rPr>
      </w:pPr>
    </w:p>
    <w:p>
      <w:pPr>
        <w:spacing w:line="600" w:lineRule="exact"/>
        <w:ind w:firstLine="4678" w:firstLineChars="2228"/>
        <w:rPr>
          <w:rFonts w:hint="eastAsia" w:ascii="宋体" w:hAnsi="宋体" w:eastAsia="宋体" w:cs="宋体"/>
          <w:color w:val="auto"/>
          <w:highlight w:val="none"/>
        </w:rPr>
      </w:pPr>
    </w:p>
    <w:p>
      <w:pPr>
        <w:spacing w:line="600" w:lineRule="exact"/>
        <w:jc w:val="center"/>
        <w:rPr>
          <w:rFonts w:hint="eastAsia" w:ascii="宋体" w:hAnsi="宋体" w:eastAsia="宋体" w:cs="宋体"/>
          <w:color w:val="auto"/>
          <w:highlight w:val="none"/>
        </w:rPr>
      </w:pPr>
      <w:bookmarkStart w:id="385" w:name="_Toc152045771"/>
      <w:bookmarkStart w:id="386" w:name="_Toc424558374"/>
      <w:bookmarkStart w:id="387" w:name="_Toc240180921"/>
      <w:bookmarkStart w:id="388" w:name="_Toc467164261"/>
      <w:bookmarkStart w:id="389" w:name="_Toc144974833"/>
      <w:bookmarkStart w:id="390" w:name="_Toc335223535"/>
      <w:bookmarkStart w:id="391" w:name="_Toc152042553"/>
      <w:bookmarkStart w:id="392" w:name="_Toc509390703"/>
      <w:bookmarkStart w:id="393" w:name="_Toc57795998"/>
      <w:bookmarkStart w:id="394" w:name="_Toc424558732"/>
      <w:r>
        <w:rPr>
          <w:rFonts w:hint="eastAsia" w:ascii="宋体" w:hAnsi="宋体" w:eastAsia="宋体" w:cs="宋体"/>
          <w:color w:val="auto"/>
          <w:sz w:val="32"/>
          <w:szCs w:val="32"/>
          <w:highlight w:val="none"/>
          <w:lang w:bidi="ar"/>
        </w:rPr>
        <w:br w:type="page"/>
      </w:r>
      <w:r>
        <w:rPr>
          <w:rFonts w:hint="eastAsia" w:ascii="宋体" w:hAnsi="宋体" w:eastAsia="宋体" w:cs="宋体"/>
          <w:color w:val="auto"/>
          <w:sz w:val="32"/>
          <w:szCs w:val="32"/>
          <w:highlight w:val="none"/>
          <w:lang w:bidi="ar"/>
        </w:rPr>
        <w:t>附件</w:t>
      </w:r>
      <w:r>
        <w:rPr>
          <w:rFonts w:hint="eastAsia" w:ascii="宋体" w:hAnsi="宋体" w:eastAsia="宋体" w:cs="宋体"/>
          <w:color w:val="auto"/>
          <w:sz w:val="32"/>
          <w:szCs w:val="32"/>
          <w:highlight w:val="none"/>
          <w:lang w:val="en-US" w:eastAsia="zh-CN" w:bidi="ar"/>
        </w:rPr>
        <w:t>八</w:t>
      </w:r>
      <w:r>
        <w:rPr>
          <w:rFonts w:hint="eastAsia" w:ascii="宋体" w:hAnsi="宋体" w:eastAsia="宋体" w:cs="宋体"/>
          <w:color w:val="auto"/>
          <w:sz w:val="32"/>
          <w:szCs w:val="32"/>
          <w:highlight w:val="none"/>
          <w:lang w:bidi="ar"/>
        </w:rPr>
        <w:t xml:space="preserve"> 工程资金监管协议格式</w:t>
      </w:r>
    </w:p>
    <w:bookmarkEnd w:id="385"/>
    <w:bookmarkEnd w:id="386"/>
    <w:bookmarkEnd w:id="387"/>
    <w:bookmarkEnd w:id="388"/>
    <w:bookmarkEnd w:id="389"/>
    <w:bookmarkEnd w:id="390"/>
    <w:bookmarkEnd w:id="391"/>
    <w:bookmarkEnd w:id="392"/>
    <w:bookmarkEnd w:id="393"/>
    <w:bookmarkEnd w:id="394"/>
    <w:p>
      <w:pPr>
        <w:rPr>
          <w:rFonts w:hint="eastAsia" w:ascii="宋体" w:hAnsi="宋体" w:eastAsia="宋体" w:cs="宋体"/>
          <w:color w:val="auto"/>
          <w:highlight w:val="none"/>
        </w:rPr>
      </w:pPr>
    </w:p>
    <w:p>
      <w:pPr>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bidi="ar"/>
        </w:rPr>
        <w:t xml:space="preserve">   （发包人与承包人签订合同协议书时应与发包人指定的银行签署工程资金监管协议，工程资金监管协议内容在保证本项目资金有效监管的前提下由三方共同商定）</w:t>
      </w:r>
    </w:p>
    <w:p>
      <w:pP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bidi="ar"/>
        </w:rPr>
        <w:t>工程资金监管协议</w:t>
      </w:r>
    </w:p>
    <w:p>
      <w:pPr>
        <w:spacing w:line="400" w:lineRule="atLeast"/>
        <w:rPr>
          <w:rFonts w:hint="eastAsia" w:ascii="宋体" w:hAnsi="宋体" w:eastAsia="宋体" w:cs="宋体"/>
          <w:color w:val="auto"/>
          <w:highlight w:val="none"/>
        </w:rPr>
      </w:pPr>
      <w:bookmarkStart w:id="395" w:name="_Toc272745017"/>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（以下简称“甲方”）</w:t>
      </w:r>
      <w:bookmarkEnd w:id="395"/>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（以下简称“乙方”）</w:t>
      </w:r>
    </w:p>
    <w:p>
      <w:pPr>
        <w:spacing w:line="400" w:lineRule="exact"/>
        <w:jc w:val="lef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bCs/>
          <w:color w:val="auto"/>
          <w:highlight w:val="none"/>
          <w:u w:val="single"/>
          <w:lang w:bidi="ar"/>
        </w:rPr>
        <w:t xml:space="preserve">               </w:t>
      </w:r>
      <w:r>
        <w:rPr>
          <w:rFonts w:hint="eastAsia" w:ascii="宋体" w:hAnsi="宋体" w:eastAsia="宋体" w:cs="宋体"/>
          <w:color w:val="auto"/>
          <w:highlight w:val="none"/>
          <w:lang w:bidi="ar"/>
        </w:rPr>
        <w:t>（以下简称“丙方”）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为了促进</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的顺利实施，管好用好建设资金，确保工程资金专款专用，同时为承包人提供便捷有效的银行业务服务，根据</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合同条款有关规定，经甲、乙、丙三方协商，达成协议如下：</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资金管理的内容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乙方为完成</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工程成立的项目经理部在丙方开设基本结算户；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甲方应按合同规定将工程款（质量保证金除外）汇入乙方在丙方开设的账户；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乙方应将流动资金及甲方所拨付资金专项用于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丙方应为乙方提供便捷有效的银行业务服务，并接受甲方委托对乙方在丙方开设的基本结算户资金使用情况进行监督。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甲方的权责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按照</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合同有关条款规定的时间和方式，向乙方支付工程款；</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在发现乙方将本项目资金挪用、转移时，甲方有权中止工程支付，直至乙方改正为止；同时按次收取违约金</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元。</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不定期审查丙方对乙方的资金使用监督情况，如丙方不能履行其责任，甲方有权随时终止本协议；</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在乙、丙双方发生争议时，甲方应负责协调、解决。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项目经理部成立以后，乙方应尽快在丙方开设基本结算户；</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确保本项目资金专款专用，不发生挪用、转移资金的现象；保证不通过权益转让、抵押、担保承担债务等任何其他方式使用基本结算户的资金；</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办理材料、设备等采购业务时，应将合同、协议和发票复印件送丙方备案；购买应急材料、设备时可先办理支付手续，但事后必须补备有关资料；</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用银行转账支票办理支付款项时，必须将转账支票送交丙方，由丙方负责办理支票转付手续；</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向项目管理分部支付工程进度款时，应附甲方批准的文件；</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丙方的权责</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（1） 成立</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工程资金管理服务小组，明确业务流程，提高工作效率，杜绝“压票”现象；</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（2） 根据乙方提供的购货合同、协议和发票，检查其所购材料、设备是否用于</w:t>
      </w:r>
      <w:r>
        <w:rPr>
          <w:rFonts w:hint="eastAsia" w:ascii="宋体" w:hAnsi="宋体" w:eastAsia="宋体" w:cs="宋体"/>
          <w:color w:val="auto"/>
          <w:highlight w:val="none"/>
          <w:u w:val="single"/>
          <w:lang w:bidi="ar"/>
        </w:rPr>
        <w:t>（项目名称）（标段名称）</w:t>
      </w:r>
      <w:r>
        <w:rPr>
          <w:rFonts w:hint="eastAsia" w:ascii="宋体" w:hAnsi="宋体" w:eastAsia="宋体" w:cs="宋体"/>
          <w:color w:val="auto"/>
          <w:highlight w:val="none"/>
          <w:lang w:bidi="ar"/>
        </w:rPr>
        <w:t>工程建设，对本标段以外的购货款项，有权拒绝办理，并及时报告甲方；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（3） 根据乙方与分包单位签订的合同及支付文件，检查其支付款项是否符合有关条件，向分包单位以外单位的支付有权拒绝办理，并及时报告甲方；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（4） 根据乙方提供的上级单位出具的转账通知等有关资料，办理管理费、机械设备及周转材料租赁摊销费等款项的支付；对超出转账通知等有关资料以外的支付，有权拒绝办理，并及时报告甲方；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定期将乙方前一个周期的支付情况，整理后书面报送甲方；乙方复印备案的材料一并送甲方。</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5. 甲、乙、丙三方都应履行保密责任，不得将其他两方的业务情况透露给三方以外的其他单位或个人。</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6. 本协议有效期自乙方在丙方开户起，至工程交工验收甲方向乙方颁发交工验收证书后结束。</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7. 本协议未尽事宜，由甲方牵头，三方协商解决。</w:t>
      </w:r>
    </w:p>
    <w:p>
      <w:pPr>
        <w:spacing w:line="400" w:lineRule="atLeas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bidi="ar"/>
        </w:rPr>
        <w:t>8. 本协议正本三份、副本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份。合同三方各执正本一份、副本</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份，当正本与副本内容不一致时，以正本为准。</w:t>
      </w:r>
    </w:p>
    <w:p>
      <w:pPr>
        <w:spacing w:line="400" w:lineRule="exact"/>
        <w:rPr>
          <w:rFonts w:hint="eastAsia" w:ascii="宋体" w:hAnsi="宋体" w:eastAsia="宋体" w:cs="宋体"/>
          <w:color w:val="auto"/>
          <w:highlight w:val="none"/>
          <w:lang w:bidi="ar"/>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发包人：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承包人：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bCs/>
          <w:color w:val="auto"/>
          <w:sz w:val="36"/>
          <w:highlight w:val="none"/>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400" w:lineRule="exact"/>
        <w:rPr>
          <w:rFonts w:hint="eastAsia" w:ascii="宋体" w:hAnsi="宋体" w:eastAsia="宋体" w:cs="宋体"/>
          <w:color w:val="auto"/>
          <w:highlight w:val="none"/>
        </w:rPr>
      </w:pP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经办银行：</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（盖单位</w:t>
      </w:r>
      <w:r>
        <w:rPr>
          <w:rFonts w:hint="eastAsia" w:ascii="宋体" w:hAnsi="宋体" w:eastAsia="宋体" w:cs="宋体"/>
          <w:color w:val="auto"/>
          <w:highlight w:val="none"/>
          <w:lang w:val="en-US" w:eastAsia="zh-CN" w:bidi="ar"/>
        </w:rPr>
        <w:t>公</w:t>
      </w:r>
      <w:r>
        <w:rPr>
          <w:rFonts w:hint="eastAsia" w:ascii="宋体" w:hAnsi="宋体" w:eastAsia="宋体" w:cs="宋体"/>
          <w:color w:val="auto"/>
          <w:highlight w:val="none"/>
          <w:lang w:bidi="ar"/>
        </w:rPr>
        <w:t xml:space="preserve">章）    </w:t>
      </w:r>
    </w:p>
    <w:p>
      <w:pPr>
        <w:spacing w:line="400" w:lineRule="exact"/>
        <w:rPr>
          <w:rFonts w:hint="eastAsia" w:ascii="宋体" w:hAnsi="宋体" w:eastAsia="宋体" w:cs="宋体"/>
          <w:color w:val="auto"/>
          <w:highlight w:val="none"/>
        </w:rPr>
      </w:pPr>
      <w:r>
        <w:rPr>
          <w:rFonts w:hint="eastAsia" w:ascii="宋体" w:hAnsi="宋体" w:eastAsia="宋体" w:cs="宋体"/>
          <w:color w:val="auto"/>
          <w:highlight w:val="none"/>
          <w:lang w:bidi="ar"/>
        </w:rPr>
        <w:t>法定代表人或其委托代理人：</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eastAsia="zh-CN" w:bidi="ar"/>
        </w:rPr>
        <w:t>签名</w:t>
      </w:r>
      <w:r>
        <w:rPr>
          <w:rFonts w:hint="eastAsia" w:ascii="宋体" w:hAnsi="宋体" w:eastAsia="宋体" w:cs="宋体"/>
          <w:color w:val="auto"/>
          <w:highlight w:val="none"/>
          <w:lang w:bidi="ar"/>
        </w:rPr>
        <w:t xml:space="preserve">）  </w:t>
      </w:r>
    </w:p>
    <w:p>
      <w:pPr>
        <w:spacing w:line="400" w:lineRule="exact"/>
        <w:rPr>
          <w:rFonts w:hint="eastAsia" w:ascii="宋体" w:hAnsi="宋体" w:eastAsia="宋体" w:cs="宋体"/>
          <w:color w:val="auto"/>
          <w:highlight w:val="none"/>
          <w:lang w:bidi="ar"/>
        </w:rPr>
      </w:pP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年</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月 </w:t>
      </w:r>
      <w:r>
        <w:rPr>
          <w:rFonts w:hint="eastAsia" w:ascii="宋体" w:hAnsi="宋体" w:eastAsia="宋体" w:cs="宋体"/>
          <w:color w:val="auto"/>
          <w:highlight w:val="none"/>
          <w:u w:val="single"/>
          <w:lang w:bidi="ar"/>
        </w:rPr>
        <w:t xml:space="preserve">    </w:t>
      </w:r>
      <w:r>
        <w:rPr>
          <w:rFonts w:hint="eastAsia" w:ascii="宋体" w:hAnsi="宋体" w:eastAsia="宋体" w:cs="宋体"/>
          <w:color w:val="auto"/>
          <w:highlight w:val="none"/>
          <w:lang w:bidi="ar"/>
        </w:rPr>
        <w:t xml:space="preserve"> 日    </w:t>
      </w:r>
    </w:p>
    <w:p>
      <w:pPr>
        <w:spacing w:line="240" w:lineRule="auto"/>
        <w:rPr>
          <w:rFonts w:hint="eastAsia" w:ascii="宋体" w:hAnsi="宋体" w:eastAsia="宋体" w:cs="宋体"/>
          <w:color w:val="auto"/>
          <w:highlight w:val="none"/>
          <w:lang w:bidi="ar"/>
        </w:rPr>
      </w:pPr>
      <w:r>
        <w:rPr>
          <w:rFonts w:hint="eastAsia" w:ascii="宋体" w:hAnsi="宋体" w:eastAsia="宋体" w:cs="宋体"/>
          <w:color w:val="auto"/>
          <w:highlight w:val="none"/>
          <w:lang w:bidi="ar"/>
        </w:rPr>
        <w:br w:type="page"/>
      </w:r>
    </w:p>
    <w:p>
      <w:pPr>
        <w:spacing w:line="600" w:lineRule="exact"/>
        <w:jc w:val="center"/>
        <w:rPr>
          <w:rFonts w:hint="eastAsia" w:ascii="宋体" w:hAnsi="宋体" w:eastAsia="宋体" w:cs="宋体"/>
          <w:color w:val="auto"/>
          <w:sz w:val="32"/>
          <w:szCs w:val="32"/>
          <w:highlight w:val="none"/>
          <w:lang w:bidi="ar"/>
        </w:rPr>
      </w:pPr>
      <w:r>
        <w:rPr>
          <w:rFonts w:hint="eastAsia" w:ascii="宋体" w:hAnsi="宋体" w:eastAsia="宋体" w:cs="宋体"/>
          <w:color w:val="auto"/>
          <w:sz w:val="32"/>
          <w:szCs w:val="32"/>
          <w:highlight w:val="none"/>
          <w:lang w:val="en-US" w:eastAsia="zh-CN" w:bidi="ar"/>
        </w:rPr>
        <w:t>附件</w:t>
      </w:r>
      <w:r>
        <w:rPr>
          <w:rFonts w:hint="eastAsia" w:ascii="宋体" w:hAnsi="宋体" w:cs="宋体"/>
          <w:color w:val="auto"/>
          <w:sz w:val="32"/>
          <w:szCs w:val="32"/>
          <w:highlight w:val="none"/>
          <w:lang w:val="en-US" w:eastAsia="zh-CN" w:bidi="ar"/>
        </w:rPr>
        <w:t>九</w:t>
      </w:r>
      <w:r>
        <w:rPr>
          <w:rFonts w:hint="eastAsia" w:ascii="宋体" w:hAnsi="宋体" w:eastAsia="宋体" w:cs="宋体"/>
          <w:color w:val="auto"/>
          <w:sz w:val="32"/>
          <w:szCs w:val="32"/>
          <w:highlight w:val="none"/>
          <w:lang w:val="en-US" w:eastAsia="zh-CN" w:bidi="ar"/>
        </w:rPr>
        <w:t xml:space="preserve"> 质量保证金</w:t>
      </w:r>
      <w:r>
        <w:rPr>
          <w:rFonts w:hint="eastAsia" w:ascii="宋体" w:hAnsi="宋体" w:eastAsia="宋体" w:cs="宋体"/>
          <w:color w:val="auto"/>
          <w:sz w:val="32"/>
          <w:szCs w:val="32"/>
          <w:highlight w:val="none"/>
          <w:lang w:bidi="ar"/>
        </w:rPr>
        <w:t>保函（如有）</w:t>
      </w: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p>
    <w:p>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工程质量保函示范文本</w:t>
      </w:r>
    </w:p>
    <w:p>
      <w:pPr>
        <w:keepNext w:val="0"/>
        <w:keepLines w:val="0"/>
        <w:pageBreakBefore w:val="0"/>
        <w:shd w:val="clear"/>
        <w:kinsoku/>
        <w:wordWrap/>
        <w:topLinePunct w:val="0"/>
        <w:autoSpaceDE/>
        <w:autoSpaceDN/>
        <w:bidi w:val="0"/>
        <w:snapToGrid/>
        <w:spacing w:line="360" w:lineRule="auto"/>
        <w:rPr>
          <w:rFonts w:hint="eastAsia" w:ascii="宋体" w:hAnsi="宋体" w:eastAsia="宋体" w:cs="宋体"/>
          <w:color w:val="auto"/>
          <w:sz w:val="21"/>
          <w:szCs w:val="21"/>
          <w:highlight w:val="none"/>
          <w:lang w:val="en-US" w:eastAsia="zh-CN"/>
        </w:rPr>
      </w:pP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u w:val="single"/>
          <w:lang w:val="en-US" w:eastAsia="zh-CN" w:bidi="ar-SA"/>
        </w:rPr>
        <w:t xml:space="preserve">              </w:t>
      </w:r>
      <w:r>
        <w:rPr>
          <w:rFonts w:hint="eastAsia" w:ascii="宋体" w:hAnsi="宋体" w:eastAsia="宋体" w:cs="宋体"/>
          <w:color w:val="auto"/>
          <w:kern w:val="0"/>
          <w:sz w:val="21"/>
          <w:szCs w:val="21"/>
          <w:highlight w:val="none"/>
          <w:lang w:val="en-US" w:eastAsia="zh-CN" w:bidi="ar-SA"/>
        </w:rPr>
        <w:t>（发包人名称）：</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（发包人名称，以下简称“发包人”）与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（承包人名称，以下简称“承包人”）于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年</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月</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日就</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（项目名称）</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标段（以下简称“本工程”）施工和有关事项协商一致共同签订《</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》（合同名称），</w:t>
      </w:r>
      <w:r>
        <w:rPr>
          <w:rFonts w:hint="eastAsia" w:ascii="宋体" w:hAnsi="宋体" w:eastAsia="宋体" w:cs="宋体"/>
          <w:color w:val="auto"/>
          <w:kern w:val="2"/>
          <w:sz w:val="21"/>
          <w:szCs w:val="21"/>
          <w:highlight w:val="none"/>
          <w:lang w:bidi="ar"/>
        </w:rPr>
        <w:t>我方愿意无条件地、不可撤销地就承包人履行与你方订立的合同，向你方提供担保。</w:t>
      </w: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bidi="ar"/>
        </w:rPr>
        <w:t>一、</w:t>
      </w:r>
      <w:r>
        <w:rPr>
          <w:rFonts w:hint="eastAsia" w:ascii="宋体" w:hAnsi="宋体" w:eastAsia="宋体" w:cs="宋体"/>
          <w:color w:val="auto"/>
          <w:kern w:val="2"/>
          <w:sz w:val="21"/>
          <w:szCs w:val="21"/>
          <w:highlight w:val="none"/>
          <w:lang w:bidi="ar"/>
        </w:rPr>
        <w:t>担保金额人民币（大写）</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 xml:space="preserve"> 元</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eastAsia="zh-CN" w:bidi="ar"/>
        </w:rPr>
        <w:t>）</w:t>
      </w:r>
      <w:r>
        <w:rPr>
          <w:rFonts w:hint="eastAsia" w:ascii="宋体" w:hAnsi="宋体" w:eastAsia="宋体" w:cs="宋体"/>
          <w:color w:val="auto"/>
          <w:kern w:val="2"/>
          <w:sz w:val="21"/>
          <w:szCs w:val="21"/>
          <w:highlight w:val="none"/>
          <w:lang w:bidi="ar"/>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二、</w:t>
      </w:r>
      <w:r>
        <w:rPr>
          <w:rFonts w:hint="eastAsia" w:ascii="宋体" w:hAnsi="宋体" w:eastAsia="宋体" w:cs="宋体"/>
          <w:color w:val="auto"/>
          <w:kern w:val="0"/>
          <w:sz w:val="21"/>
          <w:szCs w:val="21"/>
          <w:highlight w:val="none"/>
          <w:lang w:val="en-US" w:eastAsia="zh-CN" w:bidi="ar"/>
        </w:rPr>
        <w:t>担保有效期</w:t>
      </w:r>
      <w:r>
        <w:rPr>
          <w:rFonts w:hint="eastAsia" w:ascii="宋体" w:hAnsi="宋体" w:eastAsia="宋体" w:cs="宋体"/>
          <w:color w:val="auto"/>
          <w:kern w:val="2"/>
          <w:sz w:val="21"/>
          <w:szCs w:val="21"/>
          <w:highlight w:val="none"/>
          <w:lang w:val="en-US" w:eastAsia="zh-CN" w:bidi="ar-SA"/>
        </w:rPr>
        <w:t>为以下第</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种：</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（1）本担保自</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（生效日期）之日起生效，至</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（失效日期）之日失效。</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u w:val="single"/>
          <w:lang w:val="en-US" w:eastAsia="zh-CN" w:bidi="ar-SA"/>
        </w:rPr>
        <w:t xml:space="preserve">                                             </w:t>
      </w:r>
      <w:r>
        <w:rPr>
          <w:rFonts w:hint="eastAsia" w:ascii="宋体" w:hAnsi="宋体" w:eastAsia="宋体" w:cs="宋体"/>
          <w:color w:val="auto"/>
          <w:kern w:val="2"/>
          <w:sz w:val="21"/>
          <w:szCs w:val="21"/>
          <w:highlight w:val="none"/>
          <w:lang w:val="en-US" w:eastAsia="zh-CN" w:bidi="ar-SA"/>
        </w:rPr>
        <w:t>。</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三、在本担保有效期内，因</w:t>
      </w:r>
      <w:r>
        <w:rPr>
          <w:rFonts w:hint="eastAsia" w:ascii="宋体" w:hAnsi="宋体" w:eastAsia="宋体" w:cs="宋体"/>
          <w:color w:val="auto"/>
          <w:kern w:val="2"/>
          <w:sz w:val="21"/>
          <w:szCs w:val="21"/>
          <w:highlight w:val="none"/>
          <w:lang w:val="en-US" w:eastAsia="zh-CN" w:bidi="ar-SA"/>
        </w:rPr>
        <w:t>承包人工程质量不符合合同约定</w:t>
      </w:r>
      <w:r>
        <w:rPr>
          <w:rFonts w:hint="eastAsia" w:ascii="宋体" w:hAnsi="宋体" w:eastAsia="宋体" w:cs="宋体"/>
          <w:color w:val="auto"/>
          <w:kern w:val="0"/>
          <w:sz w:val="21"/>
          <w:szCs w:val="21"/>
          <w:highlight w:val="none"/>
          <w:lang w:val="en-US" w:eastAsia="zh-CN" w:bidi="ar"/>
        </w:rPr>
        <w:t>时，我方在收到你方以书面形式提出的在担保金额内的赔偿要求后，在7日内无条件支付，无须你方出具证明或陈述理由。</w:t>
      </w:r>
    </w:p>
    <w:p>
      <w:pPr>
        <w:keepNext w:val="0"/>
        <w:keepLines w:val="0"/>
        <w:pageBreakBefore w:val="0"/>
        <w:widowControl/>
        <w:shd w:val="clear" w:color="auto"/>
        <w:kinsoku/>
        <w:wordWrap/>
        <w:overflowPunct/>
        <w:topLinePunct w:val="0"/>
        <w:autoSpaceDE/>
        <w:autoSpaceDN/>
        <w:bidi w:val="0"/>
        <w:adjustRightInd/>
        <w:snapToGrid/>
        <w:spacing w:before="0" w:beforeLines="0" w:beforeAutospacing="0" w:afterAutospacing="0" w:line="360" w:lineRule="auto"/>
        <w:ind w:right="0" w:rightChars="0" w:firstLine="420" w:firstLineChars="200"/>
        <w:jc w:val="both"/>
        <w:textAlignment w:val="auto"/>
        <w:rPr>
          <w:rFonts w:hint="eastAsia" w:ascii="宋体" w:hAnsi="宋体" w:eastAsia="宋体" w:cs="宋体"/>
          <w:color w:val="auto"/>
          <w:kern w:val="0"/>
          <w:sz w:val="21"/>
          <w:szCs w:val="21"/>
          <w:highlight w:val="none"/>
          <w:lang w:val="en-US" w:eastAsia="zh-CN" w:bidi="ar"/>
        </w:rPr>
      </w:pPr>
    </w:p>
    <w:p>
      <w:pPr>
        <w:keepNext w:val="0"/>
        <w:keepLines w:val="0"/>
        <w:pageBreakBefore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担 保 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（盖单位章）</w:t>
      </w:r>
    </w:p>
    <w:p>
      <w:pPr>
        <w:keepNext w:val="0"/>
        <w:keepLines w:val="0"/>
        <w:pageBreakBefore w:val="0"/>
        <w:widowControl w:val="0"/>
        <w:shd w:val="clear"/>
        <w:kinsoku/>
        <w:wordWrap/>
        <w:overflowPunct/>
        <w:topLinePunct w:val="0"/>
        <w:autoSpaceDE/>
        <w:autoSpaceDN/>
        <w:bidi w:val="0"/>
        <w:adjustRightInd/>
        <w:snapToGrid/>
        <w:spacing w:before="0" w:beforeLines="0" w:line="360" w:lineRule="auto"/>
        <w:ind w:right="0" w:rightChars="0" w:firstLine="420"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法定代表人或其委托代理人：</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w:t>
      </w:r>
      <w:r>
        <w:rPr>
          <w:rFonts w:hint="eastAsia" w:ascii="宋体" w:hAnsi="宋体" w:eastAsia="宋体" w:cs="宋体"/>
          <w:color w:val="auto"/>
          <w:kern w:val="2"/>
          <w:sz w:val="21"/>
          <w:szCs w:val="21"/>
          <w:highlight w:val="none"/>
          <w:lang w:eastAsia="zh-CN" w:bidi="ar"/>
        </w:rPr>
        <w:t>签名</w:t>
      </w:r>
      <w:r>
        <w:rPr>
          <w:rFonts w:hint="eastAsia" w:ascii="宋体" w:hAnsi="宋体" w:eastAsia="宋体" w:cs="宋体"/>
          <w:color w:val="auto"/>
          <w:kern w:val="2"/>
          <w:sz w:val="21"/>
          <w:szCs w:val="21"/>
          <w:highlight w:val="none"/>
          <w:lang w:bidi="ar"/>
        </w:rPr>
        <w:t>）</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地    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keepNext w:val="0"/>
        <w:keepLines w:val="0"/>
        <w:pageBreakBefore w:val="0"/>
        <w:widowControl w:val="0"/>
        <w:shd w:val="clear"/>
        <w:kinsoku/>
        <w:wordWrap/>
        <w:overflowPunct w:val="0"/>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bidi="ar"/>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rPr>
        <w:t xml:space="preserve"> </w:t>
      </w:r>
    </w:p>
    <w:p>
      <w:pPr>
        <w:pStyle w:val="2"/>
        <w:jc w:val="right"/>
        <w:rPr>
          <w:rFonts w:hint="eastAsia" w:ascii="宋体" w:hAnsi="宋体" w:eastAsia="宋体" w:cs="宋体"/>
          <w:color w:val="auto"/>
          <w:highlight w:val="none"/>
          <w:lang w:val="en-US" w:eastAsia="zh-CN"/>
        </w:rPr>
      </w:pP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lang w:bidi="ar"/>
        </w:rPr>
        <w:t>年</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月</w:t>
      </w:r>
      <w:r>
        <w:rPr>
          <w:rFonts w:hint="eastAsia" w:ascii="宋体" w:hAnsi="宋体" w:eastAsia="宋体" w:cs="宋体"/>
          <w:color w:val="auto"/>
          <w:kern w:val="2"/>
          <w:sz w:val="21"/>
          <w:szCs w:val="21"/>
          <w:highlight w:val="none"/>
          <w:u w:val="single"/>
          <w:lang w:bidi="ar"/>
        </w:rPr>
        <w:t xml:space="preserve">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bidi="ar"/>
        </w:rPr>
        <w:t>日</w:t>
      </w:r>
    </w:p>
    <w:p>
      <w:pPr>
        <w:rPr>
          <w:rFonts w:hint="eastAsia" w:ascii="宋体" w:hAnsi="宋体" w:eastAsia="宋体" w:cs="宋体"/>
          <w:color w:val="auto"/>
          <w:highlight w:val="none"/>
        </w:rPr>
      </w:pPr>
    </w:p>
    <w:p>
      <w:pPr>
        <w:pStyle w:val="3"/>
        <w:spacing w:before="0" w:after="0" w:line="360" w:lineRule="auto"/>
        <w:jc w:val="center"/>
        <w:rPr>
          <w:rFonts w:hint="eastAsia" w:ascii="宋体" w:hAnsi="宋体" w:eastAsia="宋体" w:cs="宋体"/>
          <w:b w:val="0"/>
          <w:color w:val="auto"/>
          <w:highlight w:val="none"/>
        </w:rPr>
      </w:pPr>
      <w:bookmarkStart w:id="396" w:name="_Toc430530513"/>
      <w:bookmarkStart w:id="397" w:name="_Toc287607855"/>
      <w:bookmarkStart w:id="398" w:name="_Toc287620797"/>
      <w:bookmarkStart w:id="399" w:name="_Toc534185822"/>
      <w:bookmarkStart w:id="400" w:name="_Toc509218843"/>
      <w:bookmarkStart w:id="401" w:name="_Toc296503025"/>
      <w:bookmarkStart w:id="402" w:name="_Toc351203480"/>
      <w:bookmarkStart w:id="403" w:name="_Toc296890982"/>
      <w:r>
        <w:rPr>
          <w:rFonts w:hint="eastAsia" w:ascii="宋体" w:hAnsi="宋体" w:eastAsia="宋体" w:cs="宋体"/>
          <w:b w:val="0"/>
          <w:color w:val="auto"/>
          <w:highlight w:val="none"/>
        </w:rPr>
        <w:br w:type="page"/>
      </w:r>
      <w:bookmarkStart w:id="404" w:name="_Toc8989"/>
      <w:r>
        <w:rPr>
          <w:rFonts w:hint="eastAsia" w:ascii="宋体" w:hAnsi="宋体" w:eastAsia="宋体" w:cs="宋体"/>
          <w:bCs w:val="0"/>
          <w:color w:val="auto"/>
          <w:highlight w:val="none"/>
        </w:rPr>
        <w:t>第五章  工程量清单</w:t>
      </w:r>
      <w:bookmarkEnd w:id="396"/>
      <w:bookmarkEnd w:id="397"/>
      <w:bookmarkEnd w:id="398"/>
      <w:bookmarkEnd w:id="399"/>
      <w:bookmarkEnd w:id="400"/>
      <w:bookmarkEnd w:id="404"/>
    </w:p>
    <w:p>
      <w:pPr>
        <w:snapToGrid w:val="0"/>
        <w:spacing w:line="360" w:lineRule="auto"/>
        <w:jc w:val="center"/>
        <w:rPr>
          <w:rFonts w:hint="eastAsia" w:ascii="宋体" w:hAnsi="宋体" w:eastAsia="宋体" w:cs="宋体"/>
          <w:color w:val="auto"/>
          <w:szCs w:val="21"/>
          <w:highlight w:val="none"/>
        </w:rPr>
      </w:pPr>
      <w:bookmarkStart w:id="405" w:name="招标文件05章工程量清单01"/>
      <w:bookmarkEnd w:id="405"/>
    </w:p>
    <w:p>
      <w:pPr>
        <w:autoSpaceDE w:val="0"/>
        <w:autoSpaceDN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color w:val="auto"/>
          <w:sz w:val="24"/>
          <w:highlight w:val="none"/>
          <w:lang w:eastAsia="zh-CN"/>
        </w:rPr>
        <w:t>无。</w:t>
      </w:r>
      <w:r>
        <w:rPr>
          <w:rFonts w:hint="eastAsia" w:ascii="宋体" w:hAnsi="宋体" w:eastAsia="宋体" w:cs="宋体"/>
          <w:color w:val="auto"/>
          <w:sz w:val="24"/>
          <w:highlight w:val="none"/>
        </w:rPr>
        <w:br w:type="page"/>
      </w:r>
    </w:p>
    <w:p>
      <w:pPr>
        <w:pStyle w:val="3"/>
        <w:spacing w:before="0" w:after="0" w:line="480" w:lineRule="auto"/>
        <w:jc w:val="center"/>
        <w:rPr>
          <w:rFonts w:hint="eastAsia" w:ascii="宋体" w:hAnsi="宋体" w:eastAsia="宋体" w:cs="宋体"/>
          <w:color w:val="auto"/>
          <w:sz w:val="52"/>
          <w:szCs w:val="52"/>
          <w:highlight w:val="none"/>
        </w:rPr>
      </w:pPr>
      <w:bookmarkStart w:id="406" w:name="_Toc509218844"/>
      <w:bookmarkStart w:id="407" w:name="_Toc534185823"/>
      <w:bookmarkStart w:id="408" w:name="_Toc6749"/>
      <w:r>
        <w:rPr>
          <w:rFonts w:hint="eastAsia" w:ascii="宋体" w:hAnsi="宋体" w:eastAsia="宋体" w:cs="宋体"/>
          <w:color w:val="auto"/>
          <w:sz w:val="52"/>
          <w:szCs w:val="52"/>
          <w:highlight w:val="none"/>
        </w:rPr>
        <w:t>第 二 卷</w:t>
      </w:r>
      <w:bookmarkEnd w:id="406"/>
      <w:bookmarkEnd w:id="407"/>
      <w:bookmarkEnd w:id="408"/>
    </w:p>
    <w:p>
      <w:pPr>
        <w:pStyle w:val="3"/>
        <w:spacing w:before="0" w:after="0" w:line="360" w:lineRule="auto"/>
        <w:jc w:val="center"/>
        <w:rPr>
          <w:rFonts w:hint="eastAsia" w:ascii="宋体" w:hAnsi="宋体" w:eastAsia="宋体" w:cs="宋体"/>
          <w:color w:val="auto"/>
          <w:sz w:val="48"/>
          <w:szCs w:val="48"/>
          <w:highlight w:val="none"/>
        </w:rPr>
      </w:pPr>
      <w:r>
        <w:rPr>
          <w:rFonts w:hint="eastAsia" w:ascii="宋体" w:hAnsi="宋体" w:eastAsia="宋体" w:cs="宋体"/>
          <w:color w:val="auto"/>
          <w:szCs w:val="20"/>
          <w:highlight w:val="none"/>
        </w:rPr>
        <w:br w:type="page"/>
      </w:r>
      <w:bookmarkStart w:id="409" w:name="招标文件06章图纸"/>
      <w:bookmarkEnd w:id="409"/>
      <w:bookmarkStart w:id="410" w:name="_Toc430530519"/>
      <w:bookmarkStart w:id="411" w:name="_Toc287620803"/>
      <w:bookmarkStart w:id="412" w:name="_Toc22661"/>
      <w:bookmarkStart w:id="413" w:name="_Toc534185825"/>
      <w:bookmarkStart w:id="414" w:name="_Toc509218846"/>
      <w:bookmarkStart w:id="415" w:name="_Toc287607861"/>
      <w:r>
        <w:rPr>
          <w:rFonts w:hint="eastAsia" w:ascii="宋体" w:hAnsi="宋体" w:eastAsia="宋体" w:cs="宋体"/>
          <w:bCs w:val="0"/>
          <w:color w:val="auto"/>
          <w:highlight w:val="none"/>
        </w:rPr>
        <w:t>第六章  图纸</w:t>
      </w:r>
      <w:bookmarkEnd w:id="410"/>
      <w:bookmarkEnd w:id="411"/>
      <w:bookmarkEnd w:id="412"/>
      <w:bookmarkEnd w:id="413"/>
      <w:bookmarkEnd w:id="414"/>
      <w:bookmarkEnd w:id="415"/>
    </w:p>
    <w:p>
      <w:pPr>
        <w:spacing w:line="360" w:lineRule="auto"/>
        <w:jc w:val="center"/>
        <w:rPr>
          <w:rFonts w:hint="eastAsia" w:ascii="宋体" w:hAnsi="宋体" w:eastAsia="宋体" w:cs="宋体"/>
          <w:color w:val="auto"/>
          <w:szCs w:val="21"/>
          <w:highlight w:val="none"/>
        </w:rPr>
      </w:pPr>
    </w:p>
    <w:p>
      <w:pPr>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图纸等相关资料在</w:t>
      </w:r>
      <w:r>
        <w:rPr>
          <w:rFonts w:hint="eastAsia" w:ascii="宋体" w:hAnsi="宋体" w:eastAsia="宋体" w:cs="宋体"/>
          <w:snapToGrid w:val="0"/>
          <w:color w:val="auto"/>
          <w:kern w:val="0"/>
          <w:szCs w:val="21"/>
          <w:highlight w:val="none"/>
          <w:u w:val="single"/>
        </w:rPr>
        <w:t>垫江县人民政府网（http://www.cqsdj.gov.cn）</w:t>
      </w:r>
      <w:r>
        <w:rPr>
          <w:rFonts w:hint="eastAsia" w:ascii="宋体" w:hAnsi="宋体" w:eastAsia="宋体" w:cs="宋体"/>
          <w:color w:val="auto"/>
          <w:szCs w:val="21"/>
          <w:highlight w:val="none"/>
        </w:rPr>
        <w:t>上下载。</w:t>
      </w:r>
    </w:p>
    <w:p>
      <w:pPr>
        <w:spacing w:line="360" w:lineRule="auto"/>
        <w:rPr>
          <w:rFonts w:hint="eastAsia" w:ascii="宋体" w:hAnsi="宋体" w:eastAsia="宋体" w:cs="宋体"/>
          <w:color w:val="auto"/>
          <w:highlight w:val="none"/>
        </w:rPr>
      </w:pPr>
      <w:r>
        <w:rPr>
          <w:rFonts w:hint="eastAsia" w:ascii="宋体" w:hAnsi="宋体" w:eastAsia="宋体" w:cs="宋体"/>
          <w:color w:val="auto"/>
          <w:szCs w:val="20"/>
          <w:highlight w:val="none"/>
        </w:rPr>
        <w:br w:type="page"/>
      </w:r>
      <w:bookmarkStart w:id="416" w:name="招标文件06章图纸01"/>
      <w:bookmarkEnd w:id="416"/>
    </w:p>
    <w:p>
      <w:pPr>
        <w:pStyle w:val="3"/>
        <w:spacing w:before="0" w:after="0" w:line="480" w:lineRule="auto"/>
        <w:jc w:val="center"/>
        <w:rPr>
          <w:rFonts w:hint="eastAsia" w:ascii="宋体" w:hAnsi="宋体" w:eastAsia="宋体" w:cs="宋体"/>
          <w:color w:val="auto"/>
          <w:sz w:val="52"/>
          <w:szCs w:val="52"/>
          <w:highlight w:val="none"/>
        </w:rPr>
      </w:pPr>
      <w:bookmarkStart w:id="417" w:name="_Toc3091"/>
      <w:r>
        <w:rPr>
          <w:rFonts w:hint="eastAsia" w:ascii="宋体" w:hAnsi="宋体" w:eastAsia="宋体" w:cs="宋体"/>
          <w:color w:val="auto"/>
          <w:sz w:val="52"/>
          <w:szCs w:val="52"/>
          <w:highlight w:val="none"/>
        </w:rPr>
        <w:t>第 三 卷</w:t>
      </w:r>
      <w:bookmarkEnd w:id="417"/>
    </w:p>
    <w:p>
      <w:pPr>
        <w:pStyle w:val="3"/>
        <w:spacing w:before="0" w:after="0" w:line="360" w:lineRule="auto"/>
        <w:jc w:val="center"/>
        <w:rPr>
          <w:rFonts w:hint="eastAsia" w:ascii="宋体" w:hAnsi="宋体" w:eastAsia="宋体" w:cs="宋体"/>
          <w:color w:val="auto"/>
          <w:sz w:val="48"/>
          <w:szCs w:val="48"/>
          <w:highlight w:val="none"/>
        </w:rPr>
      </w:pPr>
      <w:bookmarkStart w:id="418" w:name="_Toc536782206"/>
      <w:bookmarkStart w:id="419" w:name="_Toc536773650"/>
      <w:bookmarkStart w:id="420" w:name="_Toc536781805"/>
      <w:bookmarkStart w:id="421" w:name="_Toc43278921"/>
      <w:bookmarkStart w:id="422" w:name="_Toc536781937"/>
      <w:bookmarkStart w:id="423" w:name="_Toc536800736"/>
      <w:bookmarkStart w:id="424" w:name="_Toc534185826"/>
      <w:bookmarkStart w:id="425" w:name="_Toc37531145"/>
      <w:bookmarkStart w:id="426" w:name="_Toc536782072"/>
      <w:bookmarkStart w:id="427" w:name="_Toc30239"/>
      <w:r>
        <w:rPr>
          <w:rFonts w:hint="eastAsia" w:ascii="宋体" w:hAnsi="宋体" w:eastAsia="宋体" w:cs="宋体"/>
          <w:color w:val="auto"/>
          <w:sz w:val="56"/>
          <w:szCs w:val="56"/>
          <w:highlight w:val="none"/>
        </w:rPr>
        <w:br w:type="page"/>
      </w:r>
      <w:bookmarkEnd w:id="418"/>
      <w:bookmarkEnd w:id="419"/>
      <w:bookmarkEnd w:id="420"/>
      <w:bookmarkEnd w:id="421"/>
      <w:bookmarkEnd w:id="422"/>
      <w:bookmarkEnd w:id="423"/>
      <w:bookmarkEnd w:id="424"/>
      <w:bookmarkEnd w:id="425"/>
      <w:bookmarkEnd w:id="426"/>
      <w:bookmarkEnd w:id="427"/>
      <w:bookmarkStart w:id="428" w:name="招标文件07章技术标准和要求"/>
      <w:bookmarkEnd w:id="428"/>
      <w:bookmarkStart w:id="429" w:name="_Toc28136"/>
      <w:r>
        <w:rPr>
          <w:rFonts w:hint="eastAsia" w:ascii="宋体" w:hAnsi="宋体" w:eastAsia="宋体" w:cs="宋体"/>
          <w:bCs w:val="0"/>
          <w:color w:val="auto"/>
          <w:highlight w:val="none"/>
        </w:rPr>
        <w:t>第七章  技术标准和要求</w:t>
      </w:r>
      <w:bookmarkEnd w:id="429"/>
      <w:bookmarkStart w:id="430" w:name="招标文件07章技术标准和要求01"/>
      <w:bookmarkEnd w:id="430"/>
      <w:bookmarkStart w:id="431" w:name="_Toc430530524"/>
      <w:bookmarkStart w:id="432" w:name="_Toc287620808"/>
    </w:p>
    <w:bookmarkEnd w:id="431"/>
    <w:bookmarkEnd w:id="432"/>
    <w:p>
      <w:pPr>
        <w:spacing w:line="360" w:lineRule="auto"/>
        <w:jc w:val="center"/>
        <w:rPr>
          <w:rFonts w:hint="eastAsia" w:ascii="宋体" w:hAnsi="宋体" w:eastAsia="宋体" w:cs="宋体"/>
          <w:i/>
          <w:color w:val="auto"/>
          <w:highlight w:val="none"/>
        </w:rPr>
      </w:pPr>
    </w:p>
    <w:p>
      <w:pPr>
        <w:spacing w:line="360" w:lineRule="auto"/>
        <w:jc w:val="center"/>
        <w:rPr>
          <w:rFonts w:hint="eastAsia" w:ascii="宋体" w:hAnsi="宋体" w:eastAsia="宋体" w:cs="宋体"/>
          <w:i/>
          <w:color w:val="auto"/>
          <w:highlight w:val="none"/>
        </w:rPr>
      </w:pPr>
      <w:r>
        <w:rPr>
          <w:rFonts w:hint="eastAsia" w:ascii="宋体" w:hAnsi="宋体" w:eastAsia="宋体" w:cs="宋体"/>
          <w:i/>
          <w:color w:val="auto"/>
          <w:highlight w:val="none"/>
        </w:rPr>
        <w:t>[提示：由</w:t>
      </w:r>
      <w:r>
        <w:rPr>
          <w:rFonts w:hint="eastAsia" w:ascii="宋体" w:hAnsi="宋体" w:eastAsia="宋体" w:cs="宋体"/>
          <w:i/>
          <w:color w:val="auto"/>
          <w:highlight w:val="none"/>
          <w:lang w:eastAsia="zh-CN"/>
        </w:rPr>
        <w:t>比选人</w:t>
      </w:r>
      <w:r>
        <w:rPr>
          <w:rFonts w:hint="eastAsia" w:ascii="宋体" w:hAnsi="宋体" w:eastAsia="宋体" w:cs="宋体"/>
          <w:i/>
          <w:color w:val="auto"/>
          <w:highlight w:val="none"/>
        </w:rPr>
        <w:t>根据</w:t>
      </w:r>
      <w:r>
        <w:rPr>
          <w:rFonts w:hint="eastAsia" w:ascii="宋体" w:hAnsi="宋体" w:eastAsia="宋体" w:cs="宋体"/>
          <w:i/>
          <w:color w:val="auto"/>
          <w:highlight w:val="none"/>
          <w:lang w:eastAsia="zh-CN"/>
        </w:rPr>
        <w:t>比选项目</w:t>
      </w:r>
      <w:r>
        <w:rPr>
          <w:rFonts w:hint="eastAsia" w:ascii="宋体" w:hAnsi="宋体" w:eastAsia="宋体" w:cs="宋体"/>
          <w:i/>
          <w:color w:val="auto"/>
          <w:highlight w:val="none"/>
        </w:rPr>
        <w:t>的实际情况编写。]</w:t>
      </w:r>
    </w:p>
    <w:p>
      <w:pPr>
        <w:pStyle w:val="3"/>
        <w:spacing w:line="360" w:lineRule="auto"/>
        <w:jc w:val="center"/>
        <w:rPr>
          <w:rFonts w:hint="eastAsia" w:ascii="宋体" w:hAnsi="宋体" w:eastAsia="宋体" w:cs="宋体"/>
          <w:b w:val="0"/>
          <w:color w:val="auto"/>
          <w:sz w:val="48"/>
          <w:szCs w:val="48"/>
          <w:highlight w:val="none"/>
        </w:rPr>
      </w:pPr>
      <w:r>
        <w:rPr>
          <w:rFonts w:hint="eastAsia" w:ascii="宋体" w:hAnsi="宋体" w:eastAsia="宋体" w:cs="宋体"/>
          <w:b w:val="0"/>
          <w:color w:val="auto"/>
          <w:sz w:val="48"/>
          <w:szCs w:val="48"/>
          <w:highlight w:val="none"/>
        </w:rPr>
        <w:br w:type="page"/>
      </w:r>
      <w:bookmarkStart w:id="433" w:name="_Toc27928"/>
      <w:r>
        <w:rPr>
          <w:rFonts w:hint="eastAsia" w:ascii="宋体" w:hAnsi="宋体" w:eastAsia="宋体" w:cs="宋体"/>
          <w:bCs w:val="0"/>
          <w:color w:val="auto"/>
          <w:highlight w:val="none"/>
        </w:rPr>
        <w:t>第八章  工程量清单计量规则</w:t>
      </w:r>
      <w:bookmarkEnd w:id="433"/>
    </w:p>
    <w:p>
      <w:pPr>
        <w:pStyle w:val="3"/>
        <w:spacing w:before="0" w:after="0" w:line="480" w:lineRule="auto"/>
        <w:jc w:val="center"/>
        <w:rPr>
          <w:rFonts w:hint="eastAsia" w:ascii="宋体" w:hAnsi="宋体" w:eastAsia="宋体" w:cs="宋体"/>
          <w:color w:val="auto"/>
          <w:sz w:val="52"/>
          <w:szCs w:val="52"/>
          <w:highlight w:val="none"/>
        </w:rPr>
      </w:pPr>
      <w:bookmarkStart w:id="434" w:name="_Toc534185827"/>
      <w:bookmarkStart w:id="435" w:name="_Toc509218849"/>
      <w:r>
        <w:rPr>
          <w:rFonts w:hint="eastAsia" w:ascii="宋体" w:hAnsi="宋体" w:eastAsia="宋体" w:cs="宋体"/>
          <w:b w:val="0"/>
          <w:bCs w:val="0"/>
          <w:color w:val="auto"/>
          <w:kern w:val="2"/>
          <w:sz w:val="21"/>
          <w:szCs w:val="21"/>
          <w:highlight w:val="none"/>
          <w:lang w:val="en-US" w:eastAsia="zh-CN" w:bidi="ar-SA"/>
        </w:rPr>
        <w:t>无。</w:t>
      </w:r>
      <w:r>
        <w:rPr>
          <w:rFonts w:hint="eastAsia" w:ascii="宋体" w:hAnsi="宋体" w:eastAsia="宋体" w:cs="宋体"/>
          <w:b w:val="0"/>
          <w:bCs w:val="0"/>
          <w:color w:val="auto"/>
          <w:kern w:val="2"/>
          <w:sz w:val="21"/>
          <w:szCs w:val="21"/>
          <w:highlight w:val="none"/>
          <w:lang w:val="en-US" w:eastAsia="zh-CN" w:bidi="ar-SA"/>
        </w:rPr>
        <w:br w:type="page"/>
      </w:r>
      <w:bookmarkStart w:id="436" w:name="_Toc29424"/>
      <w:r>
        <w:rPr>
          <w:rFonts w:hint="eastAsia" w:ascii="宋体" w:hAnsi="宋体" w:eastAsia="宋体" w:cs="宋体"/>
          <w:color w:val="auto"/>
          <w:sz w:val="52"/>
          <w:szCs w:val="52"/>
          <w:highlight w:val="none"/>
        </w:rPr>
        <w:t>第 四 卷</w:t>
      </w:r>
      <w:bookmarkEnd w:id="434"/>
      <w:bookmarkEnd w:id="435"/>
      <w:bookmarkEnd w:id="436"/>
    </w:p>
    <w:p>
      <w:pPr>
        <w:pStyle w:val="3"/>
        <w:spacing w:before="0" w:after="0" w:line="360" w:lineRule="auto"/>
        <w:jc w:val="center"/>
        <w:rPr>
          <w:rFonts w:hint="eastAsia" w:ascii="宋体" w:hAnsi="宋体" w:eastAsia="宋体" w:cs="宋体"/>
          <w:b w:val="0"/>
          <w:color w:val="auto"/>
          <w:sz w:val="48"/>
          <w:szCs w:val="48"/>
          <w:highlight w:val="none"/>
        </w:rPr>
      </w:pPr>
      <w:bookmarkStart w:id="437" w:name="招标文件08章投标文件格式"/>
      <w:bookmarkEnd w:id="437"/>
      <w:bookmarkStart w:id="438" w:name="_Toc509218852"/>
      <w:bookmarkStart w:id="439" w:name="_Toc287607865"/>
      <w:bookmarkStart w:id="440" w:name="_Toc287620812"/>
      <w:bookmarkStart w:id="441" w:name="_Toc534185829"/>
      <w:bookmarkStart w:id="442" w:name="_Toc430530528"/>
      <w:r>
        <w:rPr>
          <w:rFonts w:hint="eastAsia" w:ascii="宋体" w:hAnsi="宋体" w:eastAsia="宋体" w:cs="宋体"/>
          <w:b w:val="0"/>
          <w:color w:val="auto"/>
          <w:sz w:val="48"/>
          <w:szCs w:val="48"/>
          <w:highlight w:val="none"/>
        </w:rPr>
        <w:br w:type="page"/>
      </w:r>
      <w:bookmarkStart w:id="443" w:name="_Toc17121"/>
      <w:r>
        <w:rPr>
          <w:rFonts w:hint="eastAsia" w:ascii="宋体" w:hAnsi="宋体" w:eastAsia="宋体" w:cs="宋体"/>
          <w:bCs w:val="0"/>
          <w:color w:val="auto"/>
          <w:highlight w:val="none"/>
        </w:rPr>
        <w:t>第九章  投标文件格式</w:t>
      </w:r>
      <w:bookmarkEnd w:id="438"/>
      <w:bookmarkEnd w:id="439"/>
      <w:bookmarkEnd w:id="440"/>
      <w:bookmarkEnd w:id="441"/>
      <w:bookmarkEnd w:id="442"/>
      <w:bookmarkEnd w:id="443"/>
    </w:p>
    <w:p>
      <w:pPr>
        <w:spacing w:line="360" w:lineRule="auto"/>
        <w:jc w:val="center"/>
        <w:outlineLvl w:val="0"/>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bookmarkStart w:id="444" w:name="_Toc31676"/>
      <w:bookmarkStart w:id="445" w:name="_Toc11153"/>
      <w:r>
        <w:rPr>
          <w:rFonts w:hint="eastAsia" w:ascii="宋体" w:hAnsi="宋体" w:eastAsia="宋体" w:cs="宋体"/>
          <w:b/>
          <w:bCs/>
          <w:color w:val="auto"/>
          <w:sz w:val="36"/>
          <w:szCs w:val="36"/>
          <w:highlight w:val="none"/>
        </w:rPr>
        <w:t>目  录</w:t>
      </w:r>
      <w:bookmarkEnd w:id="444"/>
      <w:bookmarkEnd w:id="445"/>
    </w:p>
    <w:p>
      <w:pPr>
        <w:spacing w:line="360" w:lineRule="auto"/>
        <w:outlineLvl w:val="0"/>
        <w:rPr>
          <w:rFonts w:hint="eastAsia" w:ascii="宋体" w:hAnsi="宋体" w:eastAsia="宋体" w:cs="宋体"/>
          <w:b/>
          <w:color w:val="auto"/>
          <w:highlight w:val="none"/>
        </w:rPr>
      </w:pPr>
      <w:bookmarkStart w:id="446" w:name="_Toc12591"/>
      <w:r>
        <w:rPr>
          <w:rFonts w:hint="eastAsia" w:ascii="宋体" w:hAnsi="宋体" w:eastAsia="宋体" w:cs="宋体"/>
          <w:b/>
          <w:color w:val="auto"/>
          <w:highlight w:val="none"/>
        </w:rPr>
        <w:t>一、投标函部分</w:t>
      </w:r>
      <w:bookmarkEnd w:id="44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（一）投标函</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（二）投标函附录</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（三）法定代表人身份证明或附有法定代表人身份证明的授权委托书</w:t>
      </w:r>
    </w:p>
    <w:p>
      <w:pP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eastAsia="宋体" w:cs="宋体"/>
          <w:color w:val="auto"/>
          <w:highlight w:val="none"/>
        </w:rPr>
        <w:t>（四）</w:t>
      </w:r>
      <w:r>
        <w:rPr>
          <w:rFonts w:hint="eastAsia" w:ascii="宋体" w:hAnsi="宋体" w:cs="宋体"/>
          <w:color w:val="auto"/>
          <w:highlight w:val="none"/>
          <w:lang w:eastAsia="zh-CN"/>
        </w:rPr>
        <w:t>投标报价合理性说明（如有）</w:t>
      </w:r>
    </w:p>
    <w:p>
      <w:pPr>
        <w:pStyle w:val="2"/>
        <w:rPr>
          <w:rFonts w:hint="eastAsia" w:ascii="宋体" w:hAnsi="宋体" w:eastAsia="宋体" w:cs="宋体"/>
          <w:b/>
          <w:color w:val="auto"/>
          <w:kern w:val="2"/>
          <w:sz w:val="21"/>
          <w:szCs w:val="24"/>
          <w:highlight w:val="none"/>
          <w:lang w:val="en-US" w:eastAsia="zh-CN" w:bidi="ar-SA"/>
        </w:rPr>
      </w:pPr>
      <w:r>
        <w:rPr>
          <w:rFonts w:hint="eastAsia" w:ascii="宋体" w:hAnsi="宋体" w:eastAsia="宋体" w:cs="宋体"/>
          <w:b/>
          <w:color w:val="auto"/>
          <w:kern w:val="2"/>
          <w:sz w:val="21"/>
          <w:szCs w:val="24"/>
          <w:highlight w:val="none"/>
          <w:lang w:val="en-US" w:eastAsia="zh-CN" w:bidi="ar-SA"/>
        </w:rPr>
        <w:t>二、技术部分</w:t>
      </w:r>
    </w:p>
    <w:p>
      <w:pPr>
        <w:spacing w:line="360" w:lineRule="auto"/>
        <w:outlineLvl w:val="0"/>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 xml:space="preserve">   </w:t>
      </w:r>
      <w:bookmarkStart w:id="447" w:name="_Toc10908"/>
      <w:r>
        <w:rPr>
          <w:rFonts w:hint="eastAsia" w:ascii="宋体" w:hAnsi="宋体" w:eastAsia="宋体" w:cs="宋体"/>
          <w:color w:val="auto"/>
          <w:highlight w:val="none"/>
          <w:lang w:val="en-US" w:eastAsia="zh-CN"/>
        </w:rPr>
        <w:t>技术方案</w:t>
      </w:r>
      <w:bookmarkEnd w:id="447"/>
    </w:p>
    <w:p>
      <w:pPr>
        <w:spacing w:line="360" w:lineRule="auto"/>
        <w:outlineLvl w:val="0"/>
        <w:rPr>
          <w:rFonts w:hint="eastAsia" w:ascii="宋体" w:hAnsi="宋体" w:eastAsia="宋体" w:cs="宋体"/>
          <w:b/>
          <w:color w:val="auto"/>
          <w:highlight w:val="none"/>
        </w:rPr>
      </w:pPr>
      <w:bookmarkStart w:id="448" w:name="_Toc7262"/>
      <w:r>
        <w:rPr>
          <w:rFonts w:hint="eastAsia" w:ascii="宋体" w:hAnsi="宋体" w:eastAsia="宋体" w:cs="宋体"/>
          <w:b/>
          <w:color w:val="auto"/>
          <w:highlight w:val="none"/>
          <w:lang w:val="en-US" w:eastAsia="zh-CN"/>
        </w:rPr>
        <w:t>三</w:t>
      </w:r>
      <w:r>
        <w:rPr>
          <w:rFonts w:hint="eastAsia" w:ascii="宋体" w:hAnsi="宋体" w:eastAsia="宋体" w:cs="宋体"/>
          <w:b/>
          <w:color w:val="auto"/>
          <w:highlight w:val="none"/>
        </w:rPr>
        <w:t>、资格审查部分</w:t>
      </w:r>
      <w:bookmarkEnd w:id="448"/>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）投标人基本情况表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三</w:t>
      </w:r>
      <w:r>
        <w:rPr>
          <w:rFonts w:hint="eastAsia" w:ascii="宋体" w:hAnsi="宋体" w:eastAsia="宋体" w:cs="宋体"/>
          <w:color w:val="auto"/>
          <w:highlight w:val="none"/>
        </w:rPr>
        <w:t>）项目管理机构</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）近年财务状况表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五</w:t>
      </w:r>
      <w:r>
        <w:rPr>
          <w:rFonts w:hint="eastAsia" w:ascii="宋体" w:hAnsi="宋体" w:eastAsia="宋体" w:cs="宋体"/>
          <w:color w:val="auto"/>
          <w:highlight w:val="none"/>
        </w:rPr>
        <w:t>）类似项目情况表</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六</w:t>
      </w:r>
      <w:r>
        <w:rPr>
          <w:rFonts w:hint="eastAsia" w:ascii="宋体" w:hAnsi="宋体" w:eastAsia="宋体" w:cs="宋体"/>
          <w:color w:val="auto"/>
          <w:highlight w:val="none"/>
        </w:rPr>
        <w:t>）承诺</w:t>
      </w: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七</w:t>
      </w:r>
      <w:r>
        <w:rPr>
          <w:rFonts w:hint="eastAsia" w:ascii="宋体" w:hAnsi="宋体" w:eastAsia="宋体" w:cs="宋体"/>
          <w:color w:val="auto"/>
          <w:highlight w:val="none"/>
        </w:rPr>
        <w:t>）其他资料</w:t>
      </w:r>
    </w:p>
    <w:p>
      <w:pPr>
        <w:pStyle w:val="4"/>
        <w:spacing w:line="360" w:lineRule="auto"/>
        <w:jc w:val="center"/>
        <w:outlineLvl w:val="0"/>
        <w:rPr>
          <w:rFonts w:hint="eastAsia" w:ascii="宋体" w:hAnsi="宋体" w:eastAsia="宋体" w:cs="宋体"/>
          <w:b w:val="0"/>
          <w:bCs w:val="0"/>
          <w:color w:val="auto"/>
          <w:sz w:val="44"/>
          <w:szCs w:val="44"/>
          <w:highlight w:val="none"/>
        </w:rPr>
      </w:pPr>
      <w:r>
        <w:rPr>
          <w:rFonts w:hint="eastAsia" w:ascii="宋体" w:hAnsi="宋体" w:eastAsia="宋体" w:cs="宋体"/>
          <w:color w:val="auto"/>
          <w:highlight w:val="none"/>
        </w:rPr>
        <w:br w:type="page"/>
      </w:r>
      <w:bookmarkStart w:id="449" w:name="_Toc3589"/>
      <w:bookmarkStart w:id="450" w:name="_Toc33106472"/>
      <w:r>
        <w:rPr>
          <w:rFonts w:hint="eastAsia" w:ascii="宋体" w:hAnsi="宋体" w:eastAsia="宋体" w:cs="宋体"/>
          <w:b w:val="0"/>
          <w:bCs w:val="0"/>
          <w:color w:val="auto"/>
          <w:sz w:val="44"/>
          <w:szCs w:val="44"/>
          <w:highlight w:val="none"/>
        </w:rPr>
        <w:t>一、投标函部分</w:t>
      </w:r>
      <w:bookmarkEnd w:id="449"/>
      <w:bookmarkEnd w:id="450"/>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2"/>
        <w:rPr>
          <w:rFonts w:hint="eastAsia" w:ascii="宋体" w:hAnsi="宋体" w:eastAsia="宋体" w:cs="宋体"/>
          <w:color w:val="auto"/>
          <w:highlight w:val="none"/>
        </w:rPr>
      </w:pPr>
    </w:p>
    <w:p>
      <w:pPr>
        <w:spacing w:line="360" w:lineRule="auto"/>
        <w:jc w:val="center"/>
        <w:outlineLvl w:val="1"/>
        <w:rPr>
          <w:rFonts w:hint="eastAsia" w:ascii="宋体" w:hAnsi="宋体" w:eastAsia="宋体" w:cs="宋体"/>
          <w:color w:val="auto"/>
          <w:kern w:val="0"/>
          <w:sz w:val="32"/>
          <w:szCs w:val="32"/>
          <w:highlight w:val="none"/>
          <w:u w:val="single"/>
        </w:rPr>
      </w:pPr>
      <w:bookmarkStart w:id="451" w:name="_Toc536800771"/>
      <w:bookmarkStart w:id="452" w:name="_Toc509218853"/>
      <w:bookmarkStart w:id="453" w:name="_Toc534185830"/>
      <w:r>
        <w:rPr>
          <w:rFonts w:hint="eastAsia" w:ascii="宋体" w:hAnsi="宋体" w:eastAsia="宋体" w:cs="宋体"/>
          <w:b/>
          <w:color w:val="auto"/>
          <w:sz w:val="32"/>
          <w:szCs w:val="32"/>
          <w:highlight w:val="none"/>
        </w:rPr>
        <w:t xml:space="preserve"> </w:t>
      </w:r>
      <w:r>
        <w:rPr>
          <w:rFonts w:hint="eastAsia" w:ascii="宋体" w:hAnsi="宋体" w:eastAsia="宋体" w:cs="宋体"/>
          <w:color w:val="auto"/>
          <w:kern w:val="0"/>
          <w:sz w:val="32"/>
          <w:szCs w:val="32"/>
          <w:highlight w:val="none"/>
          <w:u w:val="single"/>
        </w:rPr>
        <w:t xml:space="preserve">                   </w:t>
      </w:r>
      <w:bookmarkStart w:id="454" w:name="_Toc11197"/>
      <w:bookmarkStart w:id="455" w:name="_Toc26837"/>
      <w:r>
        <w:rPr>
          <w:rFonts w:hint="eastAsia" w:ascii="宋体" w:hAnsi="宋体" w:eastAsia="宋体" w:cs="宋体"/>
          <w:color w:val="auto"/>
          <w:kern w:val="0"/>
          <w:sz w:val="32"/>
          <w:szCs w:val="32"/>
          <w:highlight w:val="none"/>
          <w:u w:val="single"/>
        </w:rPr>
        <w:t>（项目名称）</w:t>
      </w:r>
      <w:bookmarkEnd w:id="454"/>
      <w:bookmarkEnd w:id="455"/>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投标函部分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w w:val="99"/>
          <w:kern w:val="0"/>
          <w:sz w:val="28"/>
          <w:szCs w:val="28"/>
          <w:highlight w:val="none"/>
        </w:rPr>
      </w:pPr>
      <w:bookmarkStart w:id="456" w:name="_Toc25658"/>
      <w:bookmarkStart w:id="457" w:name="_Toc10256"/>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bookmarkEnd w:id="456"/>
      <w:bookmarkEnd w:id="457"/>
    </w:p>
    <w:p>
      <w:pPr>
        <w:tabs>
          <w:tab w:val="left" w:pos="6080"/>
          <w:tab w:val="left" w:pos="6640"/>
        </w:tabs>
        <w:autoSpaceDE w:val="0"/>
        <w:autoSpaceDN w:val="0"/>
        <w:adjustRightInd w:val="0"/>
        <w:snapToGrid w:val="0"/>
        <w:spacing w:after="156" w:afterLines="50" w:line="360" w:lineRule="auto"/>
        <w:jc w:val="center"/>
        <w:outlineLvl w:val="1"/>
        <w:rPr>
          <w:rFonts w:hint="eastAsia" w:ascii="宋体" w:hAnsi="宋体" w:eastAsia="宋体" w:cs="宋体"/>
          <w:color w:val="auto"/>
          <w:kern w:val="0"/>
          <w:sz w:val="28"/>
          <w:szCs w:val="28"/>
          <w:highlight w:val="none"/>
        </w:rPr>
      </w:pPr>
      <w:bookmarkStart w:id="458" w:name="_Toc2248"/>
      <w:bookmarkStart w:id="459" w:name="_Toc7368"/>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bookmarkEnd w:id="458"/>
      <w:bookmarkEnd w:id="459"/>
    </w:p>
    <w:p>
      <w:pPr>
        <w:tabs>
          <w:tab w:val="left" w:pos="2580"/>
          <w:tab w:val="left" w:pos="5940"/>
        </w:tabs>
        <w:autoSpaceDE w:val="0"/>
        <w:autoSpaceDN w:val="0"/>
        <w:adjustRightInd w:val="0"/>
        <w:snapToGrid w:val="0"/>
        <w:spacing w:line="360" w:lineRule="auto"/>
        <w:ind w:firstLine="2940"/>
        <w:jc w:val="left"/>
        <w:rPr>
          <w:rFonts w:hint="eastAsia" w:ascii="宋体" w:hAnsi="宋体" w:eastAsia="宋体" w:cs="宋体"/>
          <w:bCs/>
          <w:color w:val="auto"/>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highlight w:val="none"/>
        </w:rPr>
        <w:br w:type="page"/>
      </w:r>
      <w:bookmarkEnd w:id="451"/>
      <w:bookmarkEnd w:id="452"/>
      <w:bookmarkEnd w:id="453"/>
      <w:bookmarkStart w:id="460" w:name="_Toc287607866"/>
      <w:bookmarkStart w:id="461" w:name="_Toc287620813"/>
      <w:bookmarkStart w:id="462" w:name="_Toc430530529"/>
      <w:bookmarkStart w:id="463" w:name="_Toc224103494"/>
      <w:bookmarkStart w:id="464" w:name="_Toc277082642"/>
    </w:p>
    <w:bookmarkEnd w:id="460"/>
    <w:bookmarkEnd w:id="461"/>
    <w:bookmarkEnd w:id="462"/>
    <w:bookmarkEnd w:id="463"/>
    <w:bookmarkEnd w:id="464"/>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autoSpaceDE w:val="0"/>
        <w:autoSpaceDN w:val="0"/>
        <w:adjustRightInd w:val="0"/>
        <w:snapToGrid w:val="0"/>
        <w:spacing w:line="360" w:lineRule="auto"/>
        <w:jc w:val="left"/>
        <w:rPr>
          <w:rFonts w:hint="eastAsia" w:ascii="宋体" w:hAnsi="宋体" w:eastAsia="宋体" w:cs="宋体"/>
          <w:color w:val="auto"/>
          <w:kern w:val="0"/>
          <w:sz w:val="24"/>
          <w:szCs w:val="21"/>
          <w:highlight w:val="none"/>
        </w:rPr>
      </w:pP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（一）投标函</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（二）投标函附录</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（三）法定代表人身份证明或附有法定代表人身份证明的授权委托书</w:t>
      </w:r>
    </w:p>
    <w:p>
      <w:pPr>
        <w:autoSpaceDE w:val="0"/>
        <w:autoSpaceDN w:val="0"/>
        <w:adjustRightIn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（四）低价风险担保</w:t>
      </w:r>
      <w:r>
        <w:rPr>
          <w:rFonts w:hint="eastAsia" w:ascii="宋体" w:hAnsi="宋体" w:eastAsia="宋体" w:cs="宋体"/>
          <w:color w:val="auto"/>
          <w:kern w:val="0"/>
          <w:sz w:val="24"/>
          <w:highlight w:val="none"/>
          <w:lang w:val="en-US" w:eastAsia="zh-CN"/>
        </w:rPr>
        <w:t>提交</w:t>
      </w:r>
      <w:r>
        <w:rPr>
          <w:rFonts w:hint="eastAsia" w:ascii="宋体" w:hAnsi="宋体" w:eastAsia="宋体" w:cs="宋体"/>
          <w:color w:val="auto"/>
          <w:kern w:val="0"/>
          <w:sz w:val="24"/>
          <w:highlight w:val="none"/>
        </w:rPr>
        <w:t>承诺书（如有）</w:t>
      </w:r>
    </w:p>
    <w:p>
      <w:pPr>
        <w:pStyle w:val="5"/>
        <w:keepNext/>
        <w:keepLines/>
        <w:pageBreakBefore w:val="0"/>
        <w:widowControl w:val="0"/>
        <w:kinsoku/>
        <w:wordWrap/>
        <w:overflowPunct/>
        <w:topLinePunct w:val="0"/>
        <w:autoSpaceDE/>
        <w:autoSpaceDN/>
        <w:bidi w:val="0"/>
        <w:adjustRightInd/>
        <w:snapToGrid/>
        <w:spacing w:before="0" w:after="0" w:line="360" w:lineRule="auto"/>
        <w:jc w:val="center"/>
        <w:textAlignment w:val="auto"/>
        <w:outlineLvl w:val="1"/>
        <w:rPr>
          <w:rFonts w:hint="eastAsia" w:ascii="宋体" w:hAnsi="宋体" w:eastAsia="宋体" w:cs="宋体"/>
          <w:b w:val="0"/>
          <w:color w:val="auto"/>
          <w:highlight w:val="none"/>
        </w:rPr>
      </w:pPr>
      <w:r>
        <w:rPr>
          <w:rFonts w:hint="eastAsia" w:ascii="宋体" w:hAnsi="宋体" w:eastAsia="宋体" w:cs="宋体"/>
          <w:color w:val="auto"/>
          <w:kern w:val="0"/>
          <w:sz w:val="28"/>
          <w:szCs w:val="28"/>
          <w:highlight w:val="none"/>
          <w:u w:val="single"/>
        </w:rPr>
        <w:br w:type="page"/>
      </w:r>
      <w:bookmarkStart w:id="465" w:name="_Toc26690"/>
      <w:bookmarkStart w:id="466" w:name="_Toc287620814"/>
      <w:bookmarkStart w:id="467" w:name="_Toc509218854"/>
      <w:bookmarkStart w:id="468" w:name="_Toc430530530"/>
      <w:bookmarkStart w:id="469" w:name="_Toc277082643"/>
      <w:bookmarkStart w:id="470" w:name="_Toc534185831"/>
      <w:bookmarkStart w:id="471" w:name="_Toc224103495"/>
      <w:bookmarkStart w:id="472" w:name="_Toc287607867"/>
      <w:bookmarkStart w:id="473" w:name="_Toc536800772"/>
      <w:r>
        <w:rPr>
          <w:rFonts w:hint="eastAsia" w:ascii="宋体" w:hAnsi="宋体" w:eastAsia="宋体" w:cs="宋体"/>
          <w:b w:val="0"/>
          <w:bCs w:val="0"/>
          <w:color w:val="auto"/>
          <w:highlight w:val="none"/>
        </w:rPr>
        <w:t>（一）投标函</w:t>
      </w:r>
      <w:bookmarkEnd w:id="465"/>
      <w:bookmarkEnd w:id="466"/>
      <w:bookmarkEnd w:id="467"/>
      <w:bookmarkEnd w:id="468"/>
      <w:bookmarkEnd w:id="469"/>
      <w:bookmarkEnd w:id="470"/>
      <w:bookmarkEnd w:id="471"/>
      <w:bookmarkEnd w:id="472"/>
      <w:bookmarkEnd w:id="473"/>
    </w:p>
    <w:p>
      <w:pPr>
        <w:keepNext w:val="0"/>
        <w:keepLines w:val="0"/>
        <w:pageBreakBefore w:val="0"/>
        <w:widowControl w:val="0"/>
        <w:tabs>
          <w:tab w:val="left" w:pos="2640"/>
        </w:tabs>
        <w:kinsoku/>
        <w:wordWrap/>
        <w:overflowPunct/>
        <w:topLinePunct w:val="0"/>
        <w:autoSpaceDE w:val="0"/>
        <w:autoSpaceDN w:val="0"/>
        <w:bidi w:val="0"/>
        <w:adjustRightInd w:val="0"/>
        <w:snapToGrid/>
        <w:spacing w:line="38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w:t>
      </w:r>
      <w:r>
        <w:rPr>
          <w:rFonts w:hint="eastAsia" w:ascii="宋体" w:hAnsi="宋体" w:eastAsia="宋体" w:cs="宋体"/>
          <w:snapToGrid w:val="0"/>
          <w:color w:val="auto"/>
          <w:kern w:val="0"/>
          <w:szCs w:val="21"/>
          <w:highlight w:val="none"/>
          <w:u w:val="single"/>
          <w:lang w:eastAsia="zh-CN"/>
        </w:rPr>
        <w:t>比选人</w:t>
      </w:r>
      <w:r>
        <w:rPr>
          <w:rFonts w:hint="eastAsia" w:ascii="宋体" w:hAnsi="宋体" w:eastAsia="宋体" w:cs="宋体"/>
          <w:snapToGrid w:val="0"/>
          <w:color w:val="auto"/>
          <w:kern w:val="0"/>
          <w:szCs w:val="21"/>
          <w:highlight w:val="none"/>
          <w:u w:val="single"/>
        </w:rPr>
        <w:t>名称）</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bidi w:val="0"/>
        <w:snapToGrid/>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 xml:space="preserve">1. </w:t>
      </w:r>
      <w:r>
        <w:rPr>
          <w:rFonts w:hint="eastAsia" w:ascii="宋体" w:hAnsi="宋体" w:eastAsia="宋体" w:cs="宋体"/>
          <w:color w:val="auto"/>
          <w:szCs w:val="21"/>
          <w:highlight w:val="none"/>
        </w:rPr>
        <w:t>我方已仔细研究了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highlight w:val="none"/>
          <w:u w:val="single"/>
        </w:rPr>
        <w:t xml:space="preserve">       （项目名称）</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的全部内容，</w:t>
      </w:r>
      <w:r>
        <w:rPr>
          <w:rFonts w:hint="eastAsia" w:ascii="宋体" w:hAnsi="宋体" w:eastAsia="宋体" w:cs="宋体"/>
          <w:snapToGrid w:val="0"/>
          <w:color w:val="auto"/>
          <w:kern w:val="0"/>
          <w:szCs w:val="21"/>
          <w:highlight w:val="none"/>
        </w:rPr>
        <w:t>愿意以</w:t>
      </w:r>
      <w:r>
        <w:rPr>
          <w:rFonts w:hint="eastAsia" w:ascii="宋体" w:hAnsi="宋体" w:cs="宋体"/>
          <w:snapToGrid w:val="0"/>
          <w:color w:val="auto"/>
          <w:kern w:val="0"/>
          <w:szCs w:val="21"/>
          <w:highlight w:val="none"/>
          <w:lang w:eastAsia="zh-CN"/>
        </w:rPr>
        <w:t>按混凝土</w:t>
      </w:r>
      <w:bookmarkStart w:id="474" w:name="OLE_LINK31"/>
      <w:r>
        <w:rPr>
          <w:rFonts w:hint="eastAsia" w:ascii="宋体" w:hAnsi="宋体" w:cs="宋体"/>
          <w:snapToGrid w:val="0"/>
          <w:color w:val="auto"/>
          <w:kern w:val="0"/>
          <w:szCs w:val="21"/>
          <w:highlight w:val="none"/>
          <w:u w:val="single"/>
          <w:lang w:val="en-US" w:eastAsia="zh-CN"/>
        </w:rPr>
        <w:t xml:space="preserve">       </w:t>
      </w:r>
      <w:bookmarkEnd w:id="474"/>
      <w:r>
        <w:rPr>
          <w:rFonts w:hint="eastAsia" w:ascii="宋体" w:hAnsi="宋体" w:cs="宋体"/>
          <w:snapToGrid w:val="0"/>
          <w:color w:val="auto"/>
          <w:kern w:val="0"/>
          <w:szCs w:val="21"/>
          <w:highlight w:val="none"/>
          <w:lang w:val="en-US" w:eastAsia="zh-CN"/>
        </w:rPr>
        <w:t>元/立方，护栏</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cs="宋体"/>
          <w:snapToGrid w:val="0"/>
          <w:color w:val="auto"/>
          <w:kern w:val="0"/>
          <w:szCs w:val="21"/>
          <w:highlight w:val="none"/>
          <w:lang w:val="en-US" w:eastAsia="zh-CN"/>
        </w:rPr>
        <w:t>元/米，</w:t>
      </w:r>
      <w:r>
        <w:rPr>
          <w:rFonts w:hint="eastAsia" w:ascii="宋体" w:hAnsi="宋体" w:eastAsia="宋体" w:cs="宋体"/>
          <w:snapToGrid w:val="0"/>
          <w:color w:val="auto"/>
          <w:kern w:val="0"/>
          <w:szCs w:val="21"/>
          <w:highlight w:val="none"/>
        </w:rPr>
        <w:t>进行报价</w:t>
      </w:r>
      <w:r>
        <w:rPr>
          <w:rFonts w:hint="eastAsia" w:ascii="宋体" w:hAnsi="宋体" w:eastAsia="宋体" w:cs="宋体"/>
          <w:color w:val="auto"/>
          <w:szCs w:val="21"/>
          <w:highlight w:val="none"/>
        </w:rPr>
        <w:t>，</w:t>
      </w:r>
      <w:r>
        <w:rPr>
          <w:rFonts w:hint="eastAsia" w:ascii="宋体" w:hAnsi="宋体" w:eastAsia="宋体" w:cs="宋体"/>
          <w:snapToGrid w:val="0"/>
          <w:color w:val="auto"/>
          <w:kern w:val="0"/>
          <w:szCs w:val="21"/>
          <w:highlight w:val="none"/>
        </w:rPr>
        <w:t>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highlight w:val="none"/>
        </w:rPr>
        <w:t>，项目总工为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，委托代理人为：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rPr>
        <w:t>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，缺陷责任期：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，按合同约定实施和完成承包工程，修补工程中的任何缺陷， 工程质量：</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，安全目标：</w:t>
      </w:r>
      <w:r>
        <w:rPr>
          <w:rFonts w:hint="eastAsia" w:ascii="宋体" w:hAnsi="宋体" w:eastAsia="宋体" w:cs="宋体"/>
          <w:color w:val="auto"/>
          <w:szCs w:val="21"/>
          <w:highlight w:val="none"/>
          <w:u w:val="single"/>
        </w:rPr>
        <w:t>　　　　　</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 我方承诺响应</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规定的投标有效期，在投标有效期内不修改、撤销投标文件。</w:t>
      </w:r>
    </w:p>
    <w:p>
      <w:pPr>
        <w:keepNext w:val="0"/>
        <w:keepLines w:val="0"/>
        <w:pageBreakBefore w:val="0"/>
        <w:widowControl w:val="0"/>
        <w:tabs>
          <w:tab w:val="left" w:pos="2730"/>
          <w:tab w:val="left" w:pos="798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 随同本投标函提交投标保证金一份，金额为人民币（大写）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color w:val="auto"/>
          <w:szCs w:val="21"/>
          <w:highlight w:val="none"/>
          <w:u w:val="single"/>
        </w:rPr>
        <w:t>　　　</w:t>
      </w:r>
      <w:r>
        <w:rPr>
          <w:rFonts w:hint="eastAsia" w:ascii="宋体" w:hAnsi="宋体" w:eastAsia="宋体" w:cs="宋体"/>
          <w:snapToGrid w:val="0"/>
          <w:color w:val="auto"/>
          <w:kern w:val="0"/>
          <w:szCs w:val="21"/>
          <w:highlight w:val="none"/>
        </w:rPr>
        <w:t>）。投标保证金有效期与投标有效期一致，在此期间，若我方违反招投标有关法律、法规及本</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的相关规定，投标保证金的受益人为</w:t>
      </w: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 如我方中标：</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（1）我方承诺在收到中标通知书后，在中标通知书规定的期限内与你方签订合同。</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（2）随同本投标函递交的投标函附录属于合同文件的组成部分。</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规定向你方递交履约担保。</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lang w:eastAsia="zh-CN"/>
        </w:rPr>
        <w:t>）</w:t>
      </w:r>
      <w:r>
        <w:rPr>
          <w:rFonts w:hint="eastAsia" w:ascii="宋体" w:hAnsi="宋体" w:eastAsia="宋体" w:cs="宋体"/>
          <w:snapToGrid w:val="0"/>
          <w:color w:val="auto"/>
          <w:kern w:val="0"/>
          <w:szCs w:val="21"/>
          <w:highlight w:val="none"/>
          <w:lang w:val="en-US" w:eastAsia="zh-CN"/>
        </w:rPr>
        <w:t>我方承诺以不低于比选文件</w:t>
      </w:r>
      <w:r>
        <w:rPr>
          <w:rFonts w:hint="eastAsia" w:ascii="宋体" w:hAnsi="宋体" w:eastAsia="宋体" w:cs="宋体"/>
          <w:snapToGrid w:val="0"/>
          <w:color w:val="auto"/>
          <w:kern w:val="0"/>
          <w:szCs w:val="21"/>
          <w:highlight w:val="none"/>
        </w:rPr>
        <w:t>第七章</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技术标准和要求</w:t>
      </w:r>
      <w:r>
        <w:rPr>
          <w:rFonts w:hint="eastAsia" w:ascii="宋体" w:hAnsi="宋体" w:eastAsia="宋体" w:cs="宋体"/>
          <w:snapToGrid w:val="0"/>
          <w:color w:val="auto"/>
          <w:kern w:val="0"/>
          <w:szCs w:val="21"/>
          <w:highlight w:val="none"/>
          <w:lang w:val="en-US" w:eastAsia="zh-CN"/>
        </w:rPr>
        <w:t>中所列的技术指标和参数要求完成全部合同工程。</w:t>
      </w:r>
    </w:p>
    <w:p>
      <w:pPr>
        <w:keepNext w:val="0"/>
        <w:keepLines w:val="0"/>
        <w:pageBreakBefore w:val="0"/>
        <w:widowControl w:val="0"/>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u w:val="single"/>
          <w:lang w:val="en-US" w:eastAsia="zh-CN"/>
        </w:rPr>
      </w:pPr>
      <w:r>
        <w:rPr>
          <w:rFonts w:hint="eastAsia" w:ascii="宋体" w:hAnsi="宋体" w:eastAsia="宋体" w:cs="宋体"/>
          <w:snapToGrid w:val="0"/>
          <w:color w:val="auto"/>
          <w:kern w:val="0"/>
          <w:szCs w:val="21"/>
          <w:highlight w:val="none"/>
        </w:rPr>
        <w:t>5. 我方</w:t>
      </w:r>
      <w:r>
        <w:rPr>
          <w:rFonts w:hint="eastAsia" w:ascii="宋体" w:hAnsi="宋体" w:eastAsia="宋体" w:cs="宋体"/>
          <w:snapToGrid w:val="0"/>
          <w:color w:val="auto"/>
          <w:spacing w:val="-2"/>
          <w:kern w:val="0"/>
          <w:szCs w:val="21"/>
          <w:highlight w:val="none"/>
        </w:rPr>
        <w:t>在此声明，所递交的投标文件及有关资料内容完整、真实和准确，且不存在第二章“投标人</w:t>
      </w:r>
      <w:r>
        <w:rPr>
          <w:rFonts w:hint="eastAsia" w:ascii="宋体" w:hAnsi="宋体" w:eastAsia="宋体" w:cs="宋体"/>
          <w:snapToGrid w:val="0"/>
          <w:color w:val="auto"/>
          <w:kern w:val="0"/>
          <w:szCs w:val="21"/>
          <w:highlight w:val="none"/>
        </w:rPr>
        <w:t>须知”第 1.4.3 项规定的任何一种情形。同时我方承诺接受</w:t>
      </w:r>
      <w:r>
        <w:rPr>
          <w:rFonts w:hint="eastAsia" w:ascii="宋体" w:hAnsi="宋体" w:eastAsia="宋体" w:cs="宋体"/>
          <w:snapToGrid w:val="0"/>
          <w:color w:val="auto"/>
          <w:kern w:val="0"/>
          <w:szCs w:val="21"/>
          <w:highlight w:val="none"/>
          <w:lang w:eastAsia="zh-CN"/>
        </w:rPr>
        <w:t>比选文件</w:t>
      </w:r>
      <w:r>
        <w:rPr>
          <w:rFonts w:hint="eastAsia" w:ascii="宋体" w:hAnsi="宋体" w:eastAsia="宋体" w:cs="宋体"/>
          <w:snapToGrid w:val="0"/>
          <w:color w:val="auto"/>
          <w:kern w:val="0"/>
          <w:szCs w:val="21"/>
          <w:highlight w:val="none"/>
        </w:rPr>
        <w:t>及附件、澄清及修改通知中所有的内容。</w:t>
      </w:r>
    </w:p>
    <w:p>
      <w:pPr>
        <w:keepNext w:val="0"/>
        <w:keepLines w:val="0"/>
        <w:pageBreakBefore w:val="0"/>
        <w:widowControl w:val="0"/>
        <w:tabs>
          <w:tab w:val="left" w:pos="5985"/>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p>
    <w:p>
      <w:pPr>
        <w:keepNext w:val="0"/>
        <w:keepLines w:val="0"/>
        <w:pageBreakBefore w:val="0"/>
        <w:widowControl w:val="0"/>
        <w:tabs>
          <w:tab w:val="left" w:pos="7035"/>
          <w:tab w:val="left" w:pos="7560"/>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网    址：</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单位电话（座机）：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委托代理人电话（手机）：</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传    真：</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snapToGrid w:val="0"/>
          <w:color w:val="auto"/>
          <w:kern w:val="0"/>
          <w:szCs w:val="21"/>
          <w:highlight w:val="none"/>
        </w:rPr>
        <w:t>邮政编码：</w:t>
      </w:r>
      <w:r>
        <w:rPr>
          <w:rFonts w:hint="eastAsia" w:ascii="宋体" w:hAnsi="宋体" w:eastAsia="宋体" w:cs="宋体"/>
          <w:snapToGrid w:val="0"/>
          <w:color w:val="auto"/>
          <w:kern w:val="0"/>
          <w:szCs w:val="21"/>
          <w:highlight w:val="none"/>
          <w:u w:val="single"/>
        </w:rPr>
        <w:t xml:space="preserve">                                                                            </w:t>
      </w:r>
    </w:p>
    <w:p>
      <w:pPr>
        <w:keepNext w:val="0"/>
        <w:keepLines w:val="0"/>
        <w:pageBreakBefore w:val="0"/>
        <w:widowControl w:val="0"/>
        <w:tabs>
          <w:tab w:val="left" w:pos="8300"/>
        </w:tabs>
        <w:kinsoku/>
        <w:wordWrap/>
        <w:overflowPunct/>
        <w:topLinePunct w:val="0"/>
        <w:autoSpaceDE w:val="0"/>
        <w:autoSpaceDN w:val="0"/>
        <w:bidi w:val="0"/>
        <w:adjustRightInd w:val="0"/>
        <w:snapToGrid/>
        <w:spacing w:line="380" w:lineRule="exact"/>
        <w:ind w:firstLine="420" w:firstLineChars="200"/>
        <w:jc w:val="right"/>
        <w:textAlignment w:val="auto"/>
        <w:rPr>
          <w:rFonts w:hint="eastAsia" w:ascii="宋体" w:hAnsi="宋体" w:eastAsia="宋体" w:cs="宋体"/>
          <w:snapToGrid w:val="0"/>
          <w:color w:val="auto"/>
          <w:kern w:val="0"/>
          <w:sz w:val="20"/>
          <w:szCs w:val="20"/>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pStyle w:val="5"/>
        <w:spacing w:before="0" w:line="360" w:lineRule="auto"/>
        <w:jc w:val="center"/>
        <w:outlineLvl w:val="1"/>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highlight w:val="none"/>
        </w:rPr>
        <w:br w:type="page"/>
      </w:r>
      <w:bookmarkStart w:id="475" w:name="_Toc31960"/>
      <w:bookmarkStart w:id="476" w:name="_Toc534185832"/>
      <w:bookmarkStart w:id="477" w:name="_Toc509218855"/>
      <w:bookmarkStart w:id="478" w:name="_Toc287620816"/>
      <w:bookmarkStart w:id="479" w:name="_Toc430530532"/>
      <w:bookmarkStart w:id="480" w:name="_Toc277082645"/>
      <w:bookmarkStart w:id="481" w:name="_Toc224103497"/>
      <w:bookmarkStart w:id="482" w:name="_Toc287607869"/>
      <w:r>
        <w:rPr>
          <w:rFonts w:hint="eastAsia" w:ascii="宋体" w:hAnsi="宋体" w:eastAsia="宋体" w:cs="宋体"/>
          <w:b w:val="0"/>
          <w:bCs w:val="0"/>
          <w:color w:val="auto"/>
          <w:highlight w:val="none"/>
        </w:rPr>
        <w:t>（二）投标函附录</w:t>
      </w:r>
      <w:bookmarkEnd w:id="475"/>
      <w:bookmarkEnd w:id="476"/>
      <w:bookmarkEnd w:id="477"/>
    </w:p>
    <w:tbl>
      <w:tblPr>
        <w:tblStyle w:val="33"/>
        <w:tblW w:w="0" w:type="auto"/>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20"/>
        <w:gridCol w:w="2582"/>
        <w:gridCol w:w="2388"/>
        <w:gridCol w:w="2987"/>
        <w:gridCol w:w="792"/>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序号</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条款名称</w:t>
            </w:r>
          </w:p>
        </w:tc>
        <w:tc>
          <w:tcPr>
            <w:tcW w:w="2388"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合同条款号</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约定内容</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项目经理</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2190"/>
              </w:tabs>
              <w:autoSpaceDE w:val="0"/>
              <w:autoSpaceDN w:val="0"/>
              <w:adjustRightInd w:val="0"/>
              <w:ind w:firstLine="630" w:firstLineChars="300"/>
              <w:jc w:val="left"/>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姓名：</w:t>
            </w:r>
            <w:r>
              <w:rPr>
                <w:rFonts w:hint="eastAsia" w:ascii="宋体" w:hAnsi="宋体" w:eastAsia="宋体" w:cs="宋体"/>
                <w:snapToGrid w:val="0"/>
                <w:color w:val="auto"/>
                <w:kern w:val="0"/>
                <w:szCs w:val="21"/>
                <w:highlight w:val="none"/>
                <w:u w:val="single"/>
              </w:rPr>
              <w:t xml:space="preserve">        </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工期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tabs>
                <w:tab w:val="left" w:pos="1560"/>
              </w:tabs>
              <w:autoSpaceDE w:val="0"/>
              <w:autoSpaceDN w:val="0"/>
              <w:adjustRightInd w:val="0"/>
              <w:ind w:firstLine="630" w:firstLineChars="300"/>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天数：</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none"/>
                <w:lang w:val="en-US" w:eastAsia="zh-CN"/>
              </w:rPr>
              <w:t>日历天</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缺陷责任期</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lang w:val="en-US" w:eastAsia="zh-CN"/>
              </w:rPr>
              <w:t>个月</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w:t>
            </w:r>
          </w:p>
        </w:tc>
        <w:tc>
          <w:tcPr>
            <w:tcW w:w="258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分包</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lang w:val="en-US" w:eastAsia="zh-CN"/>
              </w:rPr>
              <w:t>/</w:t>
            </w:r>
          </w:p>
        </w:tc>
        <w:tc>
          <w:tcPr>
            <w:tcW w:w="2987"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不分包</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10" w:hRule="exact"/>
        </w:trPr>
        <w:tc>
          <w:tcPr>
            <w:tcW w:w="720"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582"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388"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2987" w:type="dxa"/>
            <w:vAlign w:val="center"/>
          </w:tcPr>
          <w:p>
            <w:pPr>
              <w:tabs>
                <w:tab w:val="left" w:pos="2051"/>
              </w:tabs>
              <w:autoSpaceDE w:val="0"/>
              <w:autoSpaceDN w:val="0"/>
              <w:adjustRightInd w:val="0"/>
              <w:jc w:val="center"/>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w:t>
            </w:r>
          </w:p>
        </w:tc>
        <w:tc>
          <w:tcPr>
            <w:tcW w:w="792" w:type="dxa"/>
            <w:vAlign w:val="center"/>
          </w:tcPr>
          <w:p>
            <w:pPr>
              <w:autoSpaceDE w:val="0"/>
              <w:autoSpaceDN w:val="0"/>
              <w:adjustRightInd w:val="0"/>
              <w:jc w:val="center"/>
              <w:rPr>
                <w:rFonts w:hint="eastAsia" w:ascii="宋体" w:hAnsi="宋体" w:eastAsia="宋体" w:cs="宋体"/>
                <w:snapToGrid w:val="0"/>
                <w:color w:val="auto"/>
                <w:kern w:val="0"/>
                <w:szCs w:val="21"/>
                <w:highlight w:val="none"/>
              </w:rPr>
            </w:pPr>
          </w:p>
        </w:tc>
      </w:tr>
    </w:tbl>
    <w:p>
      <w:pPr>
        <w:spacing w:line="360" w:lineRule="auto"/>
        <w:rPr>
          <w:rFonts w:hint="eastAsia" w:ascii="宋体" w:hAnsi="宋体" w:eastAsia="宋体" w:cs="宋体"/>
          <w:snapToGrid w:val="0"/>
          <w:color w:val="auto"/>
          <w:highlight w:val="none"/>
        </w:rPr>
      </w:pPr>
    </w:p>
    <w:p>
      <w:pPr>
        <w:tabs>
          <w:tab w:val="left" w:pos="7140"/>
          <w:tab w:val="left" w:pos="7560"/>
          <w:tab w:val="left" w:pos="8300"/>
        </w:tabs>
        <w:autoSpaceDE w:val="0"/>
        <w:autoSpaceDN w:val="0"/>
        <w:adjustRightInd w:val="0"/>
        <w:spacing w:line="360" w:lineRule="auto"/>
        <w:ind w:right="210"/>
        <w:jc w:val="righ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投  标  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（盖单位法人章）</w:t>
      </w:r>
    </w:p>
    <w:p>
      <w:pPr>
        <w:pStyle w:val="2"/>
        <w:rPr>
          <w:rFonts w:hint="eastAsia" w:ascii="宋体" w:hAnsi="宋体" w:eastAsia="宋体" w:cs="宋体"/>
          <w:snapToGrid w:val="0"/>
          <w:color w:val="auto"/>
          <w:kern w:val="0"/>
          <w:szCs w:val="21"/>
          <w:highlight w:val="none"/>
        </w:rPr>
      </w:pPr>
    </w:p>
    <w:p>
      <w:pPr>
        <w:pStyle w:val="2"/>
        <w:jc w:val="center"/>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lang w:eastAsia="zh-CN"/>
        </w:rPr>
        <w:t>签名</w:t>
      </w:r>
      <w:r>
        <w:rPr>
          <w:rFonts w:hint="eastAsia" w:ascii="宋体" w:hAnsi="宋体" w:eastAsia="宋体" w:cs="宋体"/>
          <w:snapToGrid w:val="0"/>
          <w:color w:val="auto"/>
          <w:kern w:val="0"/>
          <w:szCs w:val="21"/>
          <w:highlight w:val="none"/>
        </w:rPr>
        <w:t>或盖章）</w:t>
      </w:r>
      <w:r>
        <w:rPr>
          <w:rFonts w:hint="eastAsia" w:ascii="宋体" w:hAnsi="宋体" w:eastAsia="宋体" w:cs="宋体"/>
          <w:color w:val="auto"/>
          <w:highlight w:val="none"/>
        </w:rPr>
        <w:br w:type="page"/>
      </w:r>
    </w:p>
    <w:p>
      <w:pPr>
        <w:pStyle w:val="5"/>
        <w:spacing w:before="0" w:line="360" w:lineRule="auto"/>
        <w:jc w:val="center"/>
        <w:outlineLvl w:val="1"/>
        <w:rPr>
          <w:rFonts w:hint="eastAsia" w:ascii="宋体" w:hAnsi="宋体" w:eastAsia="宋体" w:cs="宋体"/>
          <w:b w:val="0"/>
          <w:bCs w:val="0"/>
          <w:color w:val="auto"/>
          <w:highlight w:val="none"/>
        </w:rPr>
      </w:pPr>
      <w:bookmarkStart w:id="483" w:name="_Toc5817"/>
      <w:r>
        <w:rPr>
          <w:rFonts w:hint="eastAsia" w:ascii="宋体" w:hAnsi="宋体" w:eastAsia="宋体" w:cs="宋体"/>
          <w:b w:val="0"/>
          <w:bCs w:val="0"/>
          <w:color w:val="auto"/>
          <w:highlight w:val="none"/>
        </w:rPr>
        <w:t>（三）法定代表人身份证明或附有法定代表人身份证明的授权委托书</w:t>
      </w:r>
      <w:bookmarkEnd w:id="478"/>
      <w:bookmarkEnd w:id="479"/>
      <w:bookmarkEnd w:id="480"/>
      <w:bookmarkEnd w:id="481"/>
      <w:bookmarkEnd w:id="482"/>
      <w:bookmarkEnd w:id="483"/>
    </w:p>
    <w:p>
      <w:pPr>
        <w:spacing w:line="480" w:lineRule="auto"/>
        <w:jc w:val="center"/>
        <w:outlineLvl w:val="1"/>
        <w:rPr>
          <w:rFonts w:hint="eastAsia" w:ascii="宋体" w:hAnsi="宋体" w:eastAsia="宋体" w:cs="宋体"/>
          <w:color w:val="auto"/>
          <w:sz w:val="28"/>
          <w:highlight w:val="none"/>
        </w:rPr>
      </w:pPr>
      <w:bookmarkStart w:id="484" w:name="_Toc12316"/>
      <w:bookmarkStart w:id="485" w:name="_Toc19384"/>
      <w:r>
        <w:rPr>
          <w:rFonts w:hint="eastAsia" w:ascii="宋体" w:hAnsi="宋体" w:eastAsia="宋体" w:cs="宋体"/>
          <w:color w:val="auto"/>
          <w:sz w:val="28"/>
          <w:highlight w:val="none"/>
        </w:rPr>
        <w:t>法定代表人身份证明</w:t>
      </w:r>
      <w:bookmarkEnd w:id="484"/>
      <w:bookmarkEnd w:id="485"/>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5460"/>
        </w:tabs>
        <w:autoSpaceDE w:val="0"/>
        <w:autoSpaceDN w:val="0"/>
        <w:adjustRightInd w:val="0"/>
        <w:snapToGrid w:val="0"/>
        <w:spacing w:line="480" w:lineRule="auto"/>
        <w:ind w:firstLine="21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pStyle w:val="2"/>
        <w:rPr>
          <w:rFonts w:hint="eastAsia" w:ascii="宋体" w:hAnsi="宋体" w:eastAsia="宋体" w:cs="宋体"/>
          <w:color w:val="auto"/>
          <w:highlight w:val="none"/>
        </w:rPr>
      </w:pPr>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jc w:val="center"/>
        <w:outlineLvl w:val="1"/>
        <w:rPr>
          <w:rFonts w:hint="eastAsia" w:ascii="宋体" w:hAnsi="宋体" w:eastAsia="宋体" w:cs="宋体"/>
          <w:color w:val="auto"/>
          <w:kern w:val="0"/>
          <w:sz w:val="12"/>
          <w:szCs w:val="12"/>
          <w:highlight w:val="none"/>
        </w:rPr>
      </w:pPr>
      <w:r>
        <w:rPr>
          <w:rFonts w:hint="eastAsia" w:ascii="宋体" w:hAnsi="宋体" w:eastAsia="宋体" w:cs="宋体"/>
          <w:b/>
          <w:color w:val="auto"/>
          <w:kern w:val="0"/>
          <w:sz w:val="28"/>
          <w:szCs w:val="28"/>
          <w:highlight w:val="none"/>
        </w:rPr>
        <w:br w:type="page"/>
      </w:r>
      <w:bookmarkStart w:id="486" w:name="_Toc20723"/>
      <w:bookmarkStart w:id="487" w:name="_Toc24674"/>
      <w:r>
        <w:rPr>
          <w:rFonts w:hint="eastAsia" w:ascii="宋体" w:hAnsi="宋体" w:eastAsia="宋体" w:cs="宋体"/>
          <w:snapToGrid w:val="0"/>
          <w:color w:val="auto"/>
          <w:kern w:val="0"/>
          <w:sz w:val="32"/>
          <w:szCs w:val="32"/>
          <w:highlight w:val="none"/>
        </w:rPr>
        <w:t>授权委托书</w:t>
      </w:r>
      <w:bookmarkEnd w:id="486"/>
      <w:bookmarkEnd w:id="487"/>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tabs>
          <w:tab w:val="left" w:pos="5760"/>
        </w:tabs>
        <w:autoSpaceDE w:val="0"/>
        <w:autoSpaceDN w:val="0"/>
        <w:adjustRightIn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tabs>
          <w:tab w:val="left" w:pos="5760"/>
        </w:tabs>
        <w:autoSpaceDE w:val="0"/>
        <w:autoSpaceDN w:val="0"/>
        <w:adjustRightIn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tabs>
          <w:tab w:val="left" w:pos="5760"/>
        </w:tabs>
        <w:autoSpaceDE w:val="0"/>
        <w:autoSpaceDN w:val="0"/>
        <w:adjustRightInd w:val="0"/>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b w:val="0"/>
          <w:bCs w:val="0"/>
          <w:color w:val="auto"/>
          <w:highlight w:val="none"/>
        </w:rPr>
      </w:pPr>
      <w:r>
        <w:rPr>
          <w:rFonts w:hint="eastAsia" w:ascii="宋体" w:hAnsi="宋体" w:eastAsia="宋体" w:cs="宋体"/>
          <w:b w:val="0"/>
          <w:bCs w:val="0"/>
          <w:color w:val="auto"/>
          <w:highlight w:val="none"/>
        </w:rPr>
        <w:br w:type="page"/>
      </w:r>
      <w:bookmarkStart w:id="488" w:name="_Toc20859"/>
      <w:bookmarkStart w:id="489" w:name="_Toc11526"/>
      <w:r>
        <w:rPr>
          <w:rFonts w:ascii="宋体" w:hAnsi="宋体" w:cs="宋体"/>
          <w:b w:val="0"/>
          <w:bCs w:val="0"/>
          <w:color w:val="auto"/>
          <w:highlight w:val="none"/>
        </w:rPr>
        <w:t>（</w:t>
      </w:r>
      <w:r>
        <w:rPr>
          <w:rFonts w:hint="eastAsia" w:ascii="宋体" w:hAnsi="宋体" w:cs="宋体"/>
          <w:b w:val="0"/>
          <w:bCs w:val="0"/>
          <w:color w:val="auto"/>
          <w:highlight w:val="none"/>
        </w:rPr>
        <w:t>四</w:t>
      </w:r>
      <w:r>
        <w:rPr>
          <w:rFonts w:ascii="宋体" w:hAnsi="宋体" w:cs="宋体"/>
          <w:b w:val="0"/>
          <w:bCs w:val="0"/>
          <w:color w:val="auto"/>
          <w:highlight w:val="none"/>
        </w:rPr>
        <w:t>）</w:t>
      </w:r>
      <w:r>
        <w:rPr>
          <w:rFonts w:hint="eastAsia" w:ascii="宋体" w:hAnsi="宋体"/>
          <w:b w:val="0"/>
          <w:bCs w:val="0"/>
          <w:color w:val="auto"/>
          <w:highlight w:val="none"/>
        </w:rPr>
        <w:t>投标报价合理性说明（如有）</w:t>
      </w:r>
      <w:bookmarkEnd w:id="488"/>
    </w:p>
    <w:p>
      <w:pPr>
        <w:autoSpaceDE w:val="0"/>
        <w:autoSpaceDN w:val="0"/>
        <w:adjustRightInd w:val="0"/>
        <w:snapToGrid w:val="0"/>
        <w:spacing w:line="360" w:lineRule="auto"/>
        <w:jc w:val="center"/>
        <w:rPr>
          <w:rFonts w:hint="eastAsia" w:ascii="宋体" w:hAnsi="宋体"/>
          <w:snapToGrid w:val="0"/>
          <w:color w:val="auto"/>
          <w:kern w:val="0"/>
          <w:sz w:val="32"/>
          <w:szCs w:val="32"/>
          <w:highlight w:val="none"/>
        </w:rPr>
      </w:pPr>
    </w:p>
    <w:p>
      <w:pPr>
        <w:spacing w:line="360" w:lineRule="auto"/>
        <w:ind w:firstLine="420" w:firstLineChars="200"/>
        <w:jc w:val="left"/>
        <w:rPr>
          <w:rFonts w:hint="eastAsia" w:ascii="宋体" w:hAnsi="宋体"/>
          <w:snapToGrid w:val="0"/>
          <w:color w:val="auto"/>
          <w:kern w:val="0"/>
          <w:sz w:val="32"/>
          <w:szCs w:val="32"/>
          <w:highlight w:val="none"/>
        </w:rPr>
      </w:pPr>
      <w:bookmarkStart w:id="490" w:name="_Toc32022"/>
      <w:r>
        <w:rPr>
          <w:rFonts w:hint="eastAsia" w:ascii="宋体" w:hAnsi="宋体"/>
          <w:snapToGrid w:val="0"/>
          <w:color w:val="auto"/>
          <w:kern w:val="0"/>
          <w:szCs w:val="21"/>
          <w:highlight w:val="none"/>
        </w:rPr>
        <w:t>（注：投标报价</w:t>
      </w:r>
      <w:r>
        <w:rPr>
          <w:rFonts w:hint="eastAsia" w:ascii="宋体" w:hAnsi="宋体"/>
          <w:color w:val="auto"/>
          <w:szCs w:val="21"/>
          <w:highlight w:val="none"/>
        </w:rPr>
        <w:t>低于异常低价警戒线</w:t>
      </w:r>
      <w:r>
        <w:rPr>
          <w:rFonts w:hint="eastAsia" w:ascii="宋体" w:hAnsi="宋体"/>
          <w:snapToGrid w:val="0"/>
          <w:color w:val="auto"/>
          <w:kern w:val="0"/>
          <w:szCs w:val="21"/>
          <w:highlight w:val="none"/>
        </w:rPr>
        <w:t>时提供，格式自拟，并提供必要的佐证材料。投标人提供的说明不得降低或者改变原设计方案、技术工艺、施工标准，不得影响项目的质量、安全、工期、结算等正常履约。）</w:t>
      </w:r>
      <w:bookmarkEnd w:id="489"/>
      <w:bookmarkEnd w:id="490"/>
    </w:p>
    <w:p>
      <w:pPr>
        <w:tabs>
          <w:tab w:val="left" w:pos="3840"/>
          <w:tab w:val="left" w:pos="4780"/>
          <w:tab w:val="left" w:pos="5720"/>
        </w:tabs>
        <w:autoSpaceDE w:val="0"/>
        <w:autoSpaceDN w:val="0"/>
        <w:adjustRightInd w:val="0"/>
        <w:snapToGrid w:val="0"/>
        <w:spacing w:before="156" w:beforeLines="50" w:line="360" w:lineRule="auto"/>
        <w:ind w:right="420" w:firstLine="5565" w:firstLineChars="2650"/>
        <w:jc w:val="right"/>
        <w:rPr>
          <w:rFonts w:hint="eastAsia" w:ascii="宋体" w:hAnsi="宋体" w:eastAsia="宋体" w:cs="宋体"/>
          <w:snapToGrid w:val="0"/>
          <w:color w:val="auto"/>
          <w:kern w:val="0"/>
          <w:szCs w:val="21"/>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spacing w:line="360" w:lineRule="auto"/>
        <w:ind w:firstLine="640" w:firstLineChars="200"/>
        <w:jc w:val="center"/>
        <w:rPr>
          <w:rFonts w:hint="eastAsia" w:ascii="宋体" w:hAnsi="宋体" w:eastAsia="宋体" w:cs="宋体"/>
          <w:snapToGrid w:val="0"/>
          <w:color w:val="auto"/>
          <w:kern w:val="0"/>
          <w:sz w:val="32"/>
          <w:szCs w:val="32"/>
          <w:highlight w:val="none"/>
        </w:rPr>
      </w:pPr>
    </w:p>
    <w:p>
      <w:pPr>
        <w:pStyle w:val="4"/>
        <w:spacing w:line="360" w:lineRule="auto"/>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bookmarkStart w:id="491" w:name="_Toc224103500"/>
      <w:r>
        <w:rPr>
          <w:rFonts w:hint="eastAsia" w:ascii="宋体" w:hAnsi="宋体" w:eastAsia="宋体" w:cs="宋体"/>
          <w:color w:val="auto"/>
          <w:highlight w:val="none"/>
        </w:rPr>
        <w:br w:type="page"/>
      </w:r>
      <w:bookmarkEnd w:id="491"/>
      <w:bookmarkStart w:id="492" w:name="_Toc277082656"/>
      <w:bookmarkStart w:id="493" w:name="_Toc430530545"/>
      <w:bookmarkStart w:id="494" w:name="_Toc287607882"/>
      <w:bookmarkStart w:id="495" w:name="_Toc287620829"/>
      <w:bookmarkStart w:id="496" w:name="_Toc224103510"/>
    </w:p>
    <w:p>
      <w:pPr>
        <w:pStyle w:val="4"/>
        <w:spacing w:line="360" w:lineRule="auto"/>
        <w:jc w:val="center"/>
        <w:outlineLvl w:val="0"/>
        <w:rPr>
          <w:rFonts w:hint="eastAsia" w:ascii="宋体" w:hAnsi="宋体" w:eastAsia="宋体" w:cs="宋体"/>
          <w:b w:val="0"/>
          <w:bCs w:val="0"/>
          <w:color w:val="auto"/>
          <w:sz w:val="44"/>
          <w:szCs w:val="44"/>
          <w:highlight w:val="none"/>
        </w:rPr>
      </w:pPr>
      <w:bookmarkStart w:id="497" w:name="_Toc57796016"/>
      <w:bookmarkStart w:id="498" w:name="_Toc6049"/>
      <w:r>
        <w:rPr>
          <w:rFonts w:hint="eastAsia" w:ascii="宋体" w:hAnsi="宋体" w:eastAsia="宋体" w:cs="宋体"/>
          <w:b w:val="0"/>
          <w:bCs w:val="0"/>
          <w:color w:val="auto"/>
          <w:sz w:val="44"/>
          <w:szCs w:val="44"/>
          <w:highlight w:val="none"/>
          <w:lang w:eastAsia="zh-CN"/>
        </w:rPr>
        <w:t>二</w:t>
      </w:r>
      <w:r>
        <w:rPr>
          <w:rFonts w:hint="eastAsia" w:ascii="宋体" w:hAnsi="宋体" w:eastAsia="宋体" w:cs="宋体"/>
          <w:color w:val="auto"/>
          <w:sz w:val="44"/>
          <w:szCs w:val="44"/>
          <w:highlight w:val="none"/>
        </w:rPr>
        <w:t>、</w:t>
      </w:r>
      <w:r>
        <w:rPr>
          <w:rFonts w:hint="eastAsia" w:ascii="宋体" w:hAnsi="宋体" w:eastAsia="宋体" w:cs="宋体"/>
          <w:b w:val="0"/>
          <w:bCs w:val="0"/>
          <w:color w:val="auto"/>
          <w:sz w:val="44"/>
          <w:szCs w:val="44"/>
          <w:highlight w:val="none"/>
        </w:rPr>
        <w:t>技术部分</w:t>
      </w:r>
      <w:bookmarkEnd w:id="497"/>
      <w:bookmarkEnd w:id="498"/>
    </w:p>
    <w:p>
      <w:pPr>
        <w:jc w:val="center"/>
        <w:rPr>
          <w:rFonts w:hint="eastAsia" w:ascii="宋体" w:hAnsi="宋体" w:eastAsia="宋体" w:cs="宋体"/>
          <w:i/>
          <w:iCs/>
          <w:color w:val="auto"/>
          <w:highlight w:val="none"/>
        </w:rPr>
      </w:pPr>
      <w:bookmarkStart w:id="499" w:name="_Toc509218856"/>
      <w:bookmarkStart w:id="500" w:name="_Toc430530537"/>
      <w:bookmarkStart w:id="501" w:name="_Toc536628352"/>
      <w:bookmarkStart w:id="502" w:name="_Toc534185833"/>
    </w:p>
    <w:bookmarkEnd w:id="499"/>
    <w:bookmarkEnd w:id="500"/>
    <w:bookmarkEnd w:id="501"/>
    <w:bookmarkEnd w:id="502"/>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kern w:val="0"/>
          <w:sz w:val="36"/>
          <w:szCs w:val="36"/>
          <w:highlight w:val="none"/>
        </w:rPr>
      </w:pPr>
    </w:p>
    <w:p>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rPr>
        <w:t>技术</w:t>
      </w:r>
      <w:r>
        <w:rPr>
          <w:rFonts w:hint="eastAsia" w:ascii="宋体" w:hAnsi="宋体" w:eastAsia="宋体" w:cs="宋体"/>
          <w:color w:val="auto"/>
          <w:kern w:val="0"/>
          <w:sz w:val="36"/>
          <w:szCs w:val="36"/>
          <w:highlight w:val="none"/>
        </w:rPr>
        <w:t>部分</w:t>
      </w: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pStyle w:val="2"/>
        <w:rPr>
          <w:rFonts w:hint="eastAsia" w:ascii="宋体" w:hAnsi="宋体" w:eastAsia="宋体" w:cs="宋体"/>
          <w:color w:val="auto"/>
          <w:kern w:val="0"/>
          <w:sz w:val="36"/>
          <w:szCs w:val="36"/>
          <w:highlight w:val="none"/>
        </w:rPr>
      </w:pPr>
    </w:p>
    <w:p>
      <w:pPr>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6"/>
          <w:szCs w:val="36"/>
          <w:highlight w:val="none"/>
        </w:rPr>
        <w:t>目  录</w:t>
      </w:r>
    </w:p>
    <w:p>
      <w:pPr>
        <w:pStyle w:val="2"/>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i/>
          <w:iCs/>
          <w:color w:val="auto"/>
          <w:kern w:val="0"/>
          <w:szCs w:val="21"/>
          <w:highlight w:val="none"/>
        </w:rPr>
      </w:pPr>
      <w:r>
        <w:rPr>
          <w:rFonts w:hint="eastAsia" w:ascii="宋体" w:hAnsi="宋体" w:eastAsia="宋体" w:cs="宋体"/>
          <w:i/>
          <w:iCs/>
          <w:color w:val="auto"/>
          <w:kern w:val="0"/>
          <w:szCs w:val="21"/>
          <w:highlight w:val="none"/>
        </w:rPr>
        <w:t>[提示：目录由投标人自行编制]</w:t>
      </w:r>
    </w:p>
    <w:p>
      <w:pPr>
        <w:autoSpaceDE w:val="0"/>
        <w:autoSpaceDN w:val="0"/>
        <w:adjustRightInd w:val="0"/>
        <w:snapToGrid w:val="0"/>
        <w:spacing w:line="360" w:lineRule="auto"/>
        <w:jc w:val="center"/>
        <w:rPr>
          <w:rFonts w:hint="eastAsia" w:ascii="宋体" w:hAnsi="宋体" w:eastAsia="宋体" w:cs="宋体"/>
          <w:color w:val="auto"/>
          <w:kern w:val="0"/>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bookmarkStart w:id="503" w:name="_Toc31229"/>
      <w:bookmarkStart w:id="504" w:name="_Toc57796017"/>
      <w:r>
        <w:rPr>
          <w:rFonts w:hint="eastAsia" w:ascii="宋体" w:hAnsi="宋体" w:eastAsia="宋体" w:cs="宋体"/>
          <w:b w:val="0"/>
          <w:bCs w:val="0"/>
          <w:color w:val="auto"/>
          <w:sz w:val="36"/>
          <w:szCs w:val="36"/>
          <w:highlight w:val="none"/>
        </w:rPr>
        <w:t>（一）</w:t>
      </w:r>
      <w:r>
        <w:rPr>
          <w:rFonts w:hint="eastAsia" w:ascii="宋体" w:hAnsi="宋体" w:eastAsia="宋体" w:cs="宋体"/>
          <w:b w:val="0"/>
          <w:bCs w:val="0"/>
          <w:color w:val="auto"/>
          <w:highlight w:val="none"/>
        </w:rPr>
        <w:t>技术方案</w:t>
      </w:r>
      <w:bookmarkEnd w:id="503"/>
      <w:bookmarkEnd w:id="504"/>
    </w:p>
    <w:p>
      <w:pPr>
        <w:autoSpaceDE w:val="0"/>
        <w:autoSpaceDN w:val="0"/>
        <w:adjustRightInd w:val="0"/>
        <w:snapToGrid w:val="0"/>
        <w:spacing w:line="360" w:lineRule="auto"/>
        <w:jc w:val="left"/>
        <w:rPr>
          <w:rFonts w:hint="eastAsia" w:ascii="宋体" w:hAnsi="宋体" w:eastAsia="宋体" w:cs="宋体"/>
          <w:color w:val="auto"/>
          <w:kern w:val="0"/>
          <w:sz w:val="12"/>
          <w:szCs w:val="12"/>
          <w:highlight w:val="none"/>
        </w:rPr>
      </w:pPr>
    </w:p>
    <w:p>
      <w:pPr>
        <w:pStyle w:val="2"/>
        <w:spacing w:line="360" w:lineRule="auto"/>
        <w:ind w:firstLine="420" w:firstLineChars="200"/>
        <w:jc w:val="center"/>
        <w:rPr>
          <w:rFonts w:hint="eastAsia" w:ascii="宋体" w:hAnsi="宋体" w:eastAsia="宋体" w:cs="宋体"/>
          <w:i/>
          <w:color w:val="auto"/>
          <w:kern w:val="0"/>
          <w:szCs w:val="21"/>
          <w:highlight w:val="none"/>
        </w:rPr>
      </w:pPr>
      <w:r>
        <w:rPr>
          <w:rFonts w:hint="eastAsia" w:ascii="宋体" w:hAnsi="宋体" w:eastAsia="宋体" w:cs="宋体"/>
          <w:i/>
          <w:color w:val="auto"/>
          <w:kern w:val="0"/>
          <w:szCs w:val="21"/>
          <w:highlight w:val="none"/>
        </w:rPr>
        <w:t>[提示：投标人应根据</w:t>
      </w:r>
      <w:r>
        <w:rPr>
          <w:rFonts w:hint="eastAsia" w:ascii="宋体" w:hAnsi="宋体" w:eastAsia="宋体" w:cs="宋体"/>
          <w:i/>
          <w:color w:val="auto"/>
          <w:kern w:val="0"/>
          <w:szCs w:val="21"/>
          <w:highlight w:val="none"/>
          <w:lang w:eastAsia="zh-CN"/>
        </w:rPr>
        <w:t>竞争性比选文件</w:t>
      </w:r>
      <w:r>
        <w:rPr>
          <w:rFonts w:hint="eastAsia" w:ascii="宋体" w:hAnsi="宋体" w:eastAsia="宋体" w:cs="宋体"/>
          <w:i/>
          <w:color w:val="auto"/>
          <w:kern w:val="0"/>
          <w:szCs w:val="21"/>
          <w:highlight w:val="none"/>
        </w:rPr>
        <w:t>的要求编制技术方案]</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highlight w:val="none"/>
        </w:rPr>
        <w:t xml:space="preserve"> 投标人应按以下要点（如有）编制技术方案（文字宜精炼、内容具有针对性）：</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（1）总体施工组织布置及规划；</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（2）主要工程项目的施工方案、方法与技术措施（尤其对重点、关键和难点工程的施工方案、方法及措施）；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（3）工期保证体系及保证措施；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（4）工程质量管理体系及保证措施；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（5）安全生产管理体系及保证措施；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（6）环境保护、水土保持保证体系及保证措施；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（7）文明施工、文物保护保证体系及保证措施；</w:t>
      </w:r>
    </w:p>
    <w:p>
      <w:pPr>
        <w:pStyle w:val="2"/>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（8）项目风险预测与防范，事故应急预案；</w:t>
      </w:r>
    </w:p>
    <w:p>
      <w:pPr>
        <w:pStyle w:val="2"/>
        <w:ind w:firstLine="420" w:firstLineChars="200"/>
        <w:rPr>
          <w:rFonts w:hint="eastAsia" w:ascii="宋体" w:hAnsi="宋体" w:eastAsia="宋体" w:cs="宋体"/>
          <w:b/>
          <w:color w:val="auto"/>
          <w:highlight w:val="none"/>
        </w:rPr>
      </w:pPr>
      <w:r>
        <w:rPr>
          <w:rFonts w:hint="eastAsia" w:ascii="宋体" w:hAnsi="宋体" w:eastAsia="宋体" w:cs="宋体"/>
          <w:color w:val="auto"/>
          <w:highlight w:val="none"/>
        </w:rPr>
        <w:t>（9）其他应说明的事项。</w:t>
      </w:r>
    </w:p>
    <w:p>
      <w:pPr>
        <w:pStyle w:val="4"/>
        <w:spacing w:line="360" w:lineRule="auto"/>
        <w:jc w:val="center"/>
        <w:outlineLvl w:val="0"/>
        <w:rPr>
          <w:rFonts w:hint="eastAsia" w:ascii="宋体" w:hAnsi="宋体" w:eastAsia="宋体" w:cs="宋体"/>
          <w:b w:val="0"/>
          <w:bCs w:val="0"/>
          <w:color w:val="auto"/>
          <w:sz w:val="44"/>
          <w:szCs w:val="44"/>
          <w:highlight w:val="none"/>
          <w:lang w:val="en-US" w:eastAsia="zh-CN"/>
        </w:rPr>
        <w:sectPr>
          <w:pgSz w:w="11906" w:h="16838"/>
          <w:pgMar w:top="1304" w:right="1134" w:bottom="1304" w:left="1304" w:header="851" w:footer="992" w:gutter="0"/>
          <w:cols w:space="720" w:num="1"/>
          <w:titlePg/>
          <w:docGrid w:type="lines" w:linePitch="312" w:charSpace="0"/>
        </w:sectPr>
      </w:pPr>
    </w:p>
    <w:p>
      <w:pPr>
        <w:pStyle w:val="4"/>
        <w:spacing w:line="360" w:lineRule="auto"/>
        <w:jc w:val="center"/>
        <w:outlineLvl w:val="0"/>
        <w:rPr>
          <w:rFonts w:hint="eastAsia" w:ascii="宋体" w:hAnsi="宋体" w:eastAsia="宋体" w:cs="宋体"/>
          <w:color w:val="auto"/>
          <w:sz w:val="44"/>
          <w:szCs w:val="44"/>
          <w:highlight w:val="none"/>
        </w:rPr>
      </w:pPr>
      <w:bookmarkStart w:id="505" w:name="_Toc19489"/>
      <w:r>
        <w:rPr>
          <w:rFonts w:hint="eastAsia" w:ascii="宋体" w:hAnsi="宋体" w:eastAsia="宋体" w:cs="宋体"/>
          <w:b w:val="0"/>
          <w:bCs w:val="0"/>
          <w:color w:val="auto"/>
          <w:sz w:val="44"/>
          <w:szCs w:val="44"/>
          <w:highlight w:val="none"/>
          <w:lang w:val="en-US" w:eastAsia="zh-CN"/>
        </w:rPr>
        <w:t>三</w:t>
      </w:r>
      <w:r>
        <w:rPr>
          <w:rFonts w:hint="eastAsia" w:ascii="宋体" w:hAnsi="宋体" w:eastAsia="宋体" w:cs="宋体"/>
          <w:b w:val="0"/>
          <w:bCs w:val="0"/>
          <w:color w:val="auto"/>
          <w:sz w:val="44"/>
          <w:szCs w:val="44"/>
          <w:highlight w:val="none"/>
        </w:rPr>
        <w:t>、资格审查资料</w:t>
      </w:r>
      <w:bookmarkEnd w:id="492"/>
      <w:bookmarkEnd w:id="493"/>
      <w:bookmarkEnd w:id="494"/>
      <w:bookmarkEnd w:id="495"/>
      <w:bookmarkEnd w:id="496"/>
      <w:bookmarkEnd w:id="505"/>
    </w:p>
    <w:bookmarkEnd w:id="401"/>
    <w:bookmarkEnd w:id="402"/>
    <w:bookmarkEnd w:id="403"/>
    <w:p>
      <w:pPr>
        <w:spacing w:line="360" w:lineRule="auto"/>
        <w:jc w:val="center"/>
        <w:rPr>
          <w:rFonts w:hint="eastAsia" w:ascii="宋体" w:hAnsi="宋体" w:eastAsia="宋体" w:cs="宋体"/>
          <w:color w:val="auto"/>
          <w:kern w:val="0"/>
          <w:sz w:val="32"/>
          <w:szCs w:val="32"/>
          <w:highlight w:val="none"/>
          <w:u w:val="single"/>
        </w:rPr>
      </w:pPr>
      <w:bookmarkStart w:id="506" w:name="_Toc27983327"/>
      <w:r>
        <w:rPr>
          <w:rFonts w:hint="eastAsia" w:ascii="宋体" w:hAnsi="宋体" w:eastAsia="宋体" w:cs="宋体"/>
          <w:color w:val="auto"/>
          <w:sz w:val="32"/>
          <w:szCs w:val="32"/>
          <w:highlight w:val="none"/>
        </w:rPr>
        <w:br w:type="page"/>
      </w:r>
      <w:r>
        <w:rPr>
          <w:rFonts w:hint="eastAsia" w:ascii="宋体" w:hAnsi="宋体" w:eastAsia="宋体" w:cs="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eastAsia="宋体" w:cs="宋体"/>
          <w:color w:val="auto"/>
          <w:kern w:val="0"/>
          <w:sz w:val="72"/>
          <w:szCs w:val="72"/>
          <w:highlight w:val="none"/>
        </w:rPr>
        <w:t>投 标 文 件</w:t>
      </w:r>
    </w:p>
    <w:p>
      <w:pP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资格审查部分</w:t>
      </w: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djustRightInd w:val="0"/>
        <w:snapToGrid w:val="0"/>
        <w:spacing w:line="264" w:lineRule="auto"/>
        <w:rPr>
          <w:rFonts w:hint="eastAsia" w:ascii="宋体" w:hAnsi="宋体" w:eastAsia="宋体" w:cs="宋体"/>
          <w:color w:val="auto"/>
          <w:szCs w:val="21"/>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360" w:lineRule="auto"/>
        <w:jc w:val="left"/>
        <w:rPr>
          <w:rFonts w:hint="eastAsia" w:ascii="宋体" w:hAnsi="宋体" w:eastAsia="宋体" w:cs="宋体"/>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w w:val="99"/>
          <w:kern w:val="0"/>
          <w:sz w:val="28"/>
          <w:szCs w:val="28"/>
          <w:highlight w:val="none"/>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w:t>
      </w:r>
      <w:r>
        <w:rPr>
          <w:rFonts w:hint="eastAsia" w:ascii="宋体" w:hAnsi="宋体" w:eastAsia="宋体" w:cs="宋体"/>
          <w:color w:val="auto"/>
          <w:w w:val="99"/>
          <w:kern w:val="0"/>
          <w:sz w:val="28"/>
          <w:szCs w:val="28"/>
          <w:highlight w:val="none"/>
          <w:lang w:eastAsia="zh-CN"/>
        </w:rPr>
        <w:t>签名</w:t>
      </w:r>
      <w:r>
        <w:rPr>
          <w:rFonts w:hint="eastAsia" w:ascii="宋体" w:hAnsi="宋体" w:eastAsia="宋体" w:cs="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hint="eastAsia" w:ascii="宋体" w:hAnsi="宋体" w:eastAsia="宋体" w:cs="宋体"/>
          <w:b/>
          <w:color w:val="auto"/>
          <w:kern w:val="0"/>
          <w:sz w:val="28"/>
          <w:szCs w:val="28"/>
          <w:highlight w:val="none"/>
        </w:rPr>
      </w:pP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p>
    <w:p>
      <w:pPr>
        <w:autoSpaceDE w:val="0"/>
        <w:autoSpaceDN w:val="0"/>
        <w:adjustRightInd w:val="0"/>
        <w:snapToGrid w:val="0"/>
        <w:jc w:val="center"/>
        <w:rPr>
          <w:rFonts w:hint="eastAsia" w:ascii="宋体" w:hAnsi="宋体" w:eastAsia="宋体" w:cs="宋体"/>
          <w:color w:val="auto"/>
          <w:kern w:val="0"/>
          <w:sz w:val="36"/>
          <w:szCs w:val="36"/>
          <w:highlight w:val="none"/>
        </w:rPr>
      </w:pPr>
    </w:p>
    <w:p>
      <w:pPr>
        <w:autoSpaceDE w:val="0"/>
        <w:autoSpaceDN w:val="0"/>
        <w:adjustRightInd w:val="0"/>
        <w:snapToGrid w:val="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rPr>
        <w:t>目  录</w:t>
      </w:r>
    </w:p>
    <w:p>
      <w:pPr>
        <w:spacing w:line="360" w:lineRule="auto"/>
        <w:jc w:val="center"/>
        <w:rPr>
          <w:rFonts w:hint="eastAsia" w:ascii="宋体" w:hAnsi="宋体" w:eastAsia="宋体" w:cs="宋体"/>
          <w:b/>
          <w:color w:val="auto"/>
          <w:kern w:val="0"/>
          <w:sz w:val="32"/>
          <w:szCs w:val="32"/>
          <w:highlight w:val="none"/>
        </w:rPr>
      </w:pP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（一）法定代表人身份证明或附有法定代表人身份证明的授权委托书</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二</w:t>
      </w:r>
      <w:r>
        <w:rPr>
          <w:rFonts w:hint="eastAsia" w:ascii="宋体" w:hAnsi="宋体" w:eastAsia="宋体" w:cs="宋体"/>
          <w:color w:val="auto"/>
          <w:szCs w:val="21"/>
          <w:highlight w:val="none"/>
        </w:rPr>
        <w:t>）投标人基本情况表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）项目管理机构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）近年财务状况表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）类似项目情况表</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）承诺</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七</w:t>
      </w:r>
      <w:r>
        <w:rPr>
          <w:rFonts w:hint="eastAsia" w:ascii="宋体" w:hAnsi="宋体" w:eastAsia="宋体" w:cs="宋体"/>
          <w:color w:val="auto"/>
          <w:szCs w:val="21"/>
          <w:highlight w:val="none"/>
        </w:rPr>
        <w:t>）其他资料</w:t>
      </w:r>
    </w:p>
    <w:p>
      <w:pPr>
        <w:pStyle w:val="2"/>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color w:val="auto"/>
          <w:sz w:val="36"/>
          <w:szCs w:val="36"/>
          <w:highlight w:val="none"/>
        </w:rPr>
      </w:pPr>
      <w:bookmarkStart w:id="507" w:name="_Toc287620830"/>
      <w:bookmarkStart w:id="508" w:name="_Toc33106476"/>
      <w:bookmarkStart w:id="509" w:name="_Toc287607883"/>
      <w:bookmarkStart w:id="510" w:name="_Toc224103511"/>
      <w:bookmarkStart w:id="511" w:name="_Toc430530546"/>
      <w:bookmarkStart w:id="512" w:name="_Toc277082657"/>
      <w:r>
        <w:rPr>
          <w:rFonts w:hint="eastAsia" w:ascii="宋体" w:hAnsi="宋体" w:eastAsia="宋体" w:cs="宋体"/>
          <w:b w:val="0"/>
          <w:bCs w:val="0"/>
          <w:color w:val="auto"/>
          <w:highlight w:val="none"/>
        </w:rPr>
        <w:br w:type="page"/>
      </w:r>
      <w:bookmarkStart w:id="513" w:name="_Toc7553"/>
      <w:r>
        <w:rPr>
          <w:rFonts w:hint="eastAsia" w:ascii="宋体" w:hAnsi="宋体" w:eastAsia="宋体" w:cs="宋体"/>
          <w:b w:val="0"/>
          <w:bCs w:val="0"/>
          <w:color w:val="auto"/>
          <w:highlight w:val="none"/>
        </w:rPr>
        <w:t>（一）法定代表人身份证明或附有法定代表人身份证明的授权委托书</w:t>
      </w:r>
      <w:bookmarkEnd w:id="507"/>
      <w:bookmarkEnd w:id="508"/>
      <w:bookmarkEnd w:id="509"/>
      <w:bookmarkEnd w:id="510"/>
      <w:bookmarkEnd w:id="511"/>
      <w:bookmarkEnd w:id="512"/>
      <w:bookmarkEnd w:id="513"/>
    </w:p>
    <w:p>
      <w:pP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pacing w:line="480" w:lineRule="auto"/>
        <w:jc w:val="center"/>
        <w:rPr>
          <w:rFonts w:hint="eastAsia" w:ascii="宋体" w:hAnsi="宋体" w:eastAsia="宋体" w:cs="宋体"/>
          <w:color w:val="auto"/>
          <w:highlight w:val="none"/>
        </w:rPr>
      </w:pPr>
    </w:p>
    <w:p>
      <w:pP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kern w:val="0"/>
          <w:szCs w:val="21"/>
          <w:highlight w:val="none"/>
          <w:lang w:val="en-US" w:eastAsia="zh-CN"/>
        </w:rPr>
        <w:t>和范围</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p>
    <w:p>
      <w:pP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（投标人名称）</w:t>
      </w:r>
      <w:r>
        <w:rPr>
          <w:rFonts w:hint="eastAsia" w:ascii="宋体" w:hAnsi="宋体" w:eastAsia="宋体" w:cs="宋体"/>
          <w:color w:val="auto"/>
          <w:kern w:val="0"/>
          <w:szCs w:val="21"/>
          <w:highlight w:val="none"/>
        </w:rPr>
        <w:t>的法定代表人。</w:t>
      </w:r>
    </w:p>
    <w:p>
      <w:pP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附：法定代表人身份证扫描件（双面）</w:t>
      </w:r>
    </w:p>
    <w:p>
      <w:pPr>
        <w:autoSpaceDE w:val="0"/>
        <w:autoSpaceDN w:val="0"/>
        <w:adjustRightInd w:val="0"/>
        <w:snapToGrid w:val="0"/>
        <w:spacing w:line="360" w:lineRule="auto"/>
        <w:jc w:val="left"/>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pStyle w:val="2"/>
        <w:spacing w:after="0" w:line="360" w:lineRule="auto"/>
        <w:rPr>
          <w:rFonts w:hint="eastAsia" w:ascii="宋体" w:hAnsi="宋体" w:eastAsia="宋体" w:cs="宋体"/>
          <w:color w:val="auto"/>
          <w:szCs w:val="21"/>
          <w:highlight w:val="none"/>
        </w:rPr>
      </w:pPr>
    </w:p>
    <w:p>
      <w:pPr>
        <w:tabs>
          <w:tab w:val="left" w:pos="3360"/>
        </w:tabs>
        <w:autoSpaceDE w:val="0"/>
        <w:autoSpaceDN w:val="0"/>
        <w:adjustRightInd w:val="0"/>
        <w:snapToGrid w:val="0"/>
        <w:spacing w:line="480" w:lineRule="auto"/>
        <w:ind w:firstLine="390" w:firstLineChars="186"/>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w:t>
      </w:r>
      <w:r>
        <w:rPr>
          <w:rFonts w:hint="eastAsia" w:ascii="宋体" w:hAnsi="宋体" w:eastAsia="宋体" w:cs="宋体"/>
          <w:color w:val="auto"/>
          <w:spacing w:val="-1"/>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autoSpaceDE w:val="0"/>
        <w:autoSpaceDN w:val="0"/>
        <w:adjustRightInd w:val="0"/>
        <w:snapToGrid w:val="0"/>
        <w:spacing w:line="360" w:lineRule="auto"/>
        <w:jc w:val="left"/>
        <w:rPr>
          <w:rFonts w:hint="eastAsia" w:ascii="宋体" w:hAnsi="宋体" w:eastAsia="宋体" w:cs="宋体"/>
          <w:color w:val="auto"/>
          <w:kern w:val="0"/>
          <w:highlight w:val="none"/>
        </w:rPr>
      </w:pPr>
    </w:p>
    <w:p>
      <w:pPr>
        <w:tabs>
          <w:tab w:val="left" w:pos="1680"/>
          <w:tab w:val="left" w:pos="4215"/>
          <w:tab w:val="left" w:pos="4305"/>
          <w:tab w:val="left" w:pos="8000"/>
        </w:tabs>
        <w:autoSpaceDE w:val="0"/>
        <w:autoSpaceDN w:val="0"/>
        <w:adjustRightInd w:val="0"/>
        <w:snapToGrid w:val="0"/>
        <w:spacing w:line="360" w:lineRule="auto"/>
        <w:ind w:firstLine="411" w:firstLineChars="196"/>
        <w:jc w:val="left"/>
        <w:rPr>
          <w:rFonts w:hint="eastAsia" w:ascii="宋体" w:hAnsi="宋体" w:eastAsia="宋体" w:cs="宋体"/>
          <w:color w:val="auto"/>
          <w:kern w:val="0"/>
          <w:szCs w:val="21"/>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r>
        <w:rPr>
          <w:rFonts w:hint="eastAsia" w:ascii="宋体" w:hAnsi="宋体" w:eastAsia="宋体" w:cs="宋体"/>
          <w:color w:val="auto"/>
          <w:kern w:val="0"/>
          <w:szCs w:val="21"/>
          <w:highlight w:val="none"/>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snapToGrid w:val="0"/>
          <w:color w:val="auto"/>
          <w:kern w:val="0"/>
          <w:sz w:val="32"/>
          <w:szCs w:val="32"/>
          <w:highlight w:val="none"/>
        </w:rPr>
        <w:t>授权委托书</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1"/>
          <w:kern w:val="0"/>
          <w:szCs w:val="21"/>
          <w:highlight w:val="none"/>
          <w:u w:val="single"/>
        </w:rPr>
        <w:t>投</w:t>
      </w:r>
      <w:r>
        <w:rPr>
          <w:rFonts w:hint="eastAsia" w:ascii="宋体" w:hAnsi="宋体" w:eastAsia="宋体" w:cs="宋体"/>
          <w:color w:val="auto"/>
          <w:kern w:val="0"/>
          <w:szCs w:val="21"/>
          <w:highlight w:val="none"/>
          <w:u w:val="single"/>
        </w:rPr>
        <w:t>标人名称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w:t>
      </w:r>
      <w:r>
        <w:rPr>
          <w:rFonts w:hint="eastAsia" w:ascii="宋体" w:hAnsi="宋体" w:eastAsia="宋体" w:cs="宋体"/>
          <w:color w:val="auto"/>
          <w:spacing w:val="1"/>
          <w:kern w:val="0"/>
          <w:szCs w:val="21"/>
          <w:highlight w:val="none"/>
        </w:rPr>
        <w:t>表</w:t>
      </w:r>
      <w:r>
        <w:rPr>
          <w:rFonts w:hint="eastAsia" w:ascii="宋体" w:hAnsi="宋体" w:eastAsia="宋体" w:cs="宋体"/>
          <w:color w:val="auto"/>
          <w:kern w:val="0"/>
          <w:szCs w:val="21"/>
          <w:highlight w:val="none"/>
        </w:rPr>
        <w:t>人，现委托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u w:val="single"/>
          <w:lang w:val="en-US" w:eastAsia="zh-CN"/>
        </w:rPr>
        <w:t>及身份证号码</w:t>
      </w:r>
      <w:r>
        <w:rPr>
          <w:rFonts w:hint="eastAsia" w:ascii="宋体" w:hAnsi="宋体" w:eastAsia="宋体" w:cs="宋体"/>
          <w:color w:val="auto"/>
          <w:kern w:val="0"/>
          <w:szCs w:val="21"/>
          <w:highlight w:val="none"/>
          <w:u w:val="single"/>
        </w:rPr>
        <w:t>）</w:t>
      </w:r>
      <w:r>
        <w:rPr>
          <w:rFonts w:hint="eastAsia" w:ascii="宋体" w:hAnsi="宋体" w:eastAsia="宋体" w:cs="宋体"/>
          <w:color w:val="auto"/>
          <w:kern w:val="0"/>
          <w:szCs w:val="21"/>
          <w:highlight w:val="none"/>
        </w:rPr>
        <w:t>为我方代理人。代理人根据授权，以我方名义签署、澄清、说明、补正、递交、撤回、修改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投标文件、领取原件、签订合同和处理有关事宜， 其法律后果由我方承担。</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kern w:val="0"/>
          <w:szCs w:val="21"/>
          <w:highlight w:val="none"/>
        </w:rPr>
        <w:t xml:space="preserve">。 </w:t>
      </w:r>
    </w:p>
    <w:p>
      <w:pPr>
        <w:tabs>
          <w:tab w:val="left" w:pos="1680"/>
          <w:tab w:val="left" w:pos="4215"/>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 w:val="20"/>
          <w:szCs w:val="20"/>
          <w:highlight w:val="none"/>
        </w:rPr>
      </w:pPr>
      <w:r>
        <w:rPr>
          <w:rFonts w:hint="eastAsia" w:ascii="宋体" w:hAnsi="宋体" w:eastAsia="宋体" w:cs="宋体"/>
          <w:color w:val="auto"/>
          <w:kern w:val="0"/>
          <w:szCs w:val="21"/>
          <w:highlight w:val="none"/>
        </w:rPr>
        <w:t>代理人无转委托权。</w:t>
      </w:r>
    </w:p>
    <w:p>
      <w:pPr>
        <w:tabs>
          <w:tab w:val="left" w:pos="4200"/>
          <w:tab w:val="left" w:pos="462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 w:val="20"/>
          <w:szCs w:val="20"/>
          <w:highlight w:val="none"/>
          <w:u w:val="single"/>
        </w:rPr>
      </w:pPr>
      <w:r>
        <w:rPr>
          <w:rFonts w:hint="eastAsia" w:ascii="宋体" w:hAnsi="宋体" w:eastAsia="宋体" w:cs="宋体"/>
          <w:color w:val="auto"/>
          <w:kern w:val="0"/>
          <w:szCs w:val="21"/>
          <w:highlight w:val="none"/>
        </w:rPr>
        <w:t xml:space="preserve">委托代理人电话（手机）：                                                </w:t>
      </w:r>
    </w:p>
    <w:p>
      <w:pPr>
        <w:tabs>
          <w:tab w:val="left" w:pos="6825"/>
        </w:tabs>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附：法定代表人和委托代理人身份证扫描件（双面）</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autoSpaceDE w:val="0"/>
        <w:autoSpaceDN w:val="0"/>
        <w:adjustRightInd w:val="0"/>
        <w:snapToGrid w:val="0"/>
        <w:spacing w:line="480" w:lineRule="auto"/>
        <w:jc w:val="left"/>
        <w:rPr>
          <w:rFonts w:hint="eastAsia" w:ascii="宋体" w:hAnsi="宋体" w:eastAsia="宋体" w:cs="宋体"/>
          <w:color w:val="auto"/>
          <w:kern w:val="0"/>
          <w:sz w:val="20"/>
          <w:szCs w:val="20"/>
          <w:highlight w:val="none"/>
        </w:rPr>
      </w:pP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 xml:space="preserve"> </w:t>
      </w:r>
    </w:p>
    <w:p>
      <w:pPr>
        <w:autoSpaceDE w:val="0"/>
        <w:autoSpaceDN w:val="0"/>
        <w:adjustRightInd w:val="0"/>
        <w:snapToGrid w:val="0"/>
        <w:spacing w:line="360" w:lineRule="auto"/>
        <w:ind w:firstLine="420" w:firstLineChars="20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注：1、法定代表人参加投标活动并签署文件的不需要授权委托书，只需提供法定代表人身份证明；非法定代表人参加投标活动及签署文件的除提供法定代表人身份证明外还须提供授权委托书。</w:t>
      </w:r>
    </w:p>
    <w:p>
      <w:pPr>
        <w:autoSpaceDE w:val="0"/>
        <w:autoSpaceDN w:val="0"/>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highlight w:val="none"/>
        </w:rPr>
        <w:t>授权委托书需按上述格式填写完整，不可缺少内容。在此基础上增加内容的不影响其有效性。</w:t>
      </w:r>
    </w:p>
    <w:p>
      <w:pPr>
        <w:pStyle w:val="2"/>
        <w:rPr>
          <w:rFonts w:hint="eastAsia" w:ascii="宋体" w:hAnsi="宋体" w:eastAsia="宋体" w:cs="宋体"/>
          <w:color w:val="auto"/>
          <w:highlight w:val="none"/>
        </w:rPr>
      </w:pPr>
    </w:p>
    <w:p>
      <w:pPr>
        <w:autoSpaceDE w:val="0"/>
        <w:autoSpaceDN w:val="0"/>
        <w:adjustRightInd w:val="0"/>
        <w:snapToGrid w:val="0"/>
        <w:jc w:val="center"/>
        <w:rPr>
          <w:rFonts w:hint="eastAsia" w:ascii="宋体" w:hAnsi="宋体" w:eastAsia="宋体" w:cs="宋体"/>
          <w:color w:val="auto"/>
          <w:highlight w:val="none"/>
        </w:rPr>
      </w:pPr>
      <w:r>
        <w:rPr>
          <w:rFonts w:hint="eastAsia" w:ascii="宋体" w:hAnsi="宋体" w:eastAsia="宋体" w:cs="宋体"/>
          <w:color w:val="auto"/>
          <w:highlight w:val="none"/>
        </w:rPr>
        <w:br w:type="page"/>
      </w:r>
    </w:p>
    <w:bookmarkEnd w:id="506"/>
    <w:p>
      <w:pPr>
        <w:pStyle w:val="5"/>
        <w:spacing w:before="0" w:after="0" w:line="240" w:lineRule="auto"/>
        <w:jc w:val="center"/>
        <w:rPr>
          <w:rFonts w:hint="eastAsia" w:ascii="宋体" w:hAnsi="宋体" w:eastAsia="宋体" w:cs="宋体"/>
          <w:color w:val="auto"/>
          <w:highlight w:val="none"/>
        </w:rPr>
      </w:pPr>
      <w:bookmarkStart w:id="514" w:name="_Toc30631"/>
      <w:bookmarkStart w:id="515" w:name="_Toc33106478"/>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二</w:t>
      </w:r>
      <w:r>
        <w:rPr>
          <w:rFonts w:hint="eastAsia" w:ascii="宋体" w:hAnsi="宋体" w:eastAsia="宋体" w:cs="宋体"/>
          <w:b w:val="0"/>
          <w:bCs w:val="0"/>
          <w:color w:val="auto"/>
          <w:highlight w:val="none"/>
        </w:rPr>
        <w:t>）投标人基本情况表</w:t>
      </w:r>
      <w:bookmarkEnd w:id="514"/>
      <w:bookmarkEnd w:id="515"/>
    </w:p>
    <w:tbl>
      <w:tblPr>
        <w:tblStyle w:val="33"/>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投标人名称</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pP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9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统一社会信用代码</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szCs w:val="21"/>
          <w:highlight w:val="none"/>
        </w:rPr>
      </w:pPr>
    </w:p>
    <w:p>
      <w:pPr>
        <w:pStyle w:val="5"/>
        <w:spacing w:before="0" w:after="0" w:line="240" w:lineRule="auto"/>
        <w:jc w:val="center"/>
        <w:rPr>
          <w:rFonts w:hint="eastAsia" w:ascii="宋体" w:hAnsi="宋体" w:eastAsia="宋体" w:cs="宋体"/>
          <w:b w:val="0"/>
          <w:bCs w:val="0"/>
          <w:color w:val="auto"/>
          <w:highlight w:val="none"/>
        </w:rPr>
      </w:pPr>
      <w:bookmarkStart w:id="516" w:name="_Toc19794"/>
      <w:bookmarkStart w:id="517" w:name="_Toc33106479"/>
      <w:r>
        <w:rPr>
          <w:rFonts w:hint="eastAsia" w:ascii="宋体" w:hAnsi="宋体" w:eastAsia="宋体" w:cs="宋体"/>
          <w:b w:val="0"/>
          <w:bCs w:val="0"/>
          <w:color w:val="auto"/>
          <w:highlight w:val="none"/>
        </w:rPr>
        <w:t>（</w:t>
      </w:r>
      <w:r>
        <w:rPr>
          <w:rFonts w:hint="eastAsia" w:ascii="宋体" w:hAnsi="宋体" w:eastAsia="宋体" w:cs="宋体"/>
          <w:b w:val="0"/>
          <w:bCs w:val="0"/>
          <w:color w:val="auto"/>
          <w:highlight w:val="none"/>
          <w:lang w:val="en-US" w:eastAsia="zh-CN"/>
        </w:rPr>
        <w:t>三</w:t>
      </w:r>
      <w:r>
        <w:rPr>
          <w:rFonts w:hint="eastAsia" w:ascii="宋体" w:hAnsi="宋体" w:eastAsia="宋体" w:cs="宋体"/>
          <w:b w:val="0"/>
          <w:bCs w:val="0"/>
          <w:color w:val="auto"/>
          <w:highlight w:val="none"/>
        </w:rPr>
        <w:t>）项目管理机构</w:t>
      </w:r>
      <w:bookmarkEnd w:id="516"/>
      <w:bookmarkEnd w:id="517"/>
    </w:p>
    <w:p>
      <w:pPr>
        <w:spacing w:line="360" w:lineRule="auto"/>
        <w:rPr>
          <w:rFonts w:hint="eastAsia" w:ascii="宋体" w:hAnsi="宋体" w:eastAsia="宋体" w:cs="宋体"/>
          <w:color w:val="auto"/>
          <w:highlight w:val="none"/>
        </w:rPr>
      </w:pPr>
    </w:p>
    <w:p>
      <w:pP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33"/>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856"/>
        <w:gridCol w:w="734"/>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734"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8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85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34"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vAlign w:val="top"/>
          </w:tcPr>
          <w:p>
            <w:pPr>
              <w:autoSpaceDE w:val="0"/>
              <w:autoSpaceDN w:val="0"/>
              <w:adjustRightInd w:val="0"/>
              <w:snapToGrid w:val="0"/>
              <w:jc w:val="left"/>
              <w:rPr>
                <w:rFonts w:hint="eastAsia" w:ascii="宋体" w:hAnsi="宋体" w:eastAsia="宋体" w:cs="宋体"/>
                <w:color w:val="auto"/>
                <w:kern w:val="0"/>
                <w:szCs w:val="21"/>
                <w:highlight w:val="none"/>
              </w:rPr>
            </w:pPr>
          </w:p>
        </w:tc>
      </w:tr>
    </w:tbl>
    <w:p>
      <w:pPr>
        <w:spacing w:line="20" w:lineRule="exact"/>
        <w:jc w:val="center"/>
        <w:rPr>
          <w:rFonts w:hint="eastAsia" w:ascii="宋体" w:hAnsi="宋体" w:eastAsia="宋体" w:cs="宋体"/>
          <w:color w:val="auto"/>
          <w:szCs w:val="21"/>
          <w:highlight w:val="none"/>
        </w:rPr>
      </w:pPr>
    </w:p>
    <w:p>
      <w:pP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注：本表仅填项目经理、项目总工相关信息</w:t>
      </w:r>
      <w:r>
        <w:rPr>
          <w:rFonts w:hint="eastAsia" w:ascii="宋体" w:hAnsi="宋体" w:eastAsia="宋体" w:cs="宋体"/>
          <w:color w:val="auto"/>
          <w:szCs w:val="21"/>
          <w:highlight w:val="none"/>
        </w:rPr>
        <w:br w:type="page"/>
      </w:r>
      <w:r>
        <w:rPr>
          <w:rFonts w:hint="eastAsia" w:ascii="宋体" w:hAnsi="宋体" w:eastAsia="宋体" w:cs="宋体"/>
          <w:color w:val="auto"/>
          <w:kern w:val="0"/>
          <w:sz w:val="28"/>
          <w:szCs w:val="28"/>
          <w:highlight w:val="none"/>
        </w:rPr>
        <w:t>项目经理及项目总工简历表</w:t>
      </w:r>
    </w:p>
    <w:tbl>
      <w:tblPr>
        <w:tblStyle w:val="33"/>
        <w:tblW w:w="8994"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195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195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7688" w:type="dxa"/>
            <w:gridSpan w:val="8"/>
            <w:vAlign w:val="center"/>
          </w:tcPr>
          <w:p>
            <w:pP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8994" w:type="dxa"/>
            <w:gridSpan w:val="9"/>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c>
          <w:tcPr>
            <w:tcW w:w="2135" w:type="dxa"/>
            <w:gridSpan w:val="2"/>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spacing w:line="360" w:lineRule="auto"/>
        <w:rPr>
          <w:rFonts w:hint="eastAsia" w:ascii="宋体" w:hAnsi="宋体" w:eastAsia="宋体" w:cs="宋体"/>
          <w:color w:val="auto"/>
          <w:highlight w:val="none"/>
        </w:rPr>
      </w:pPr>
      <w:bookmarkStart w:id="518" w:name="_Toc224103515"/>
    </w:p>
    <w:p>
      <w:pPr>
        <w:pStyle w:val="5"/>
        <w:spacing w:before="0" w:line="240" w:lineRule="auto"/>
        <w:jc w:val="center"/>
        <w:rPr>
          <w:rFonts w:hint="eastAsia" w:ascii="宋体" w:hAnsi="宋体" w:eastAsia="宋体" w:cs="宋体"/>
          <w:b w:val="0"/>
          <w:color w:val="auto"/>
          <w:highlight w:val="none"/>
        </w:rPr>
      </w:pPr>
      <w:bookmarkStart w:id="519" w:name="_Toc27983329"/>
      <w:bookmarkStart w:id="520" w:name="_Toc29487"/>
      <w:bookmarkStart w:id="521" w:name="_Toc430530550"/>
      <w:bookmarkStart w:id="522" w:name="_Toc509218864"/>
      <w:bookmarkStart w:id="523" w:name="_Toc277082660"/>
      <w:bookmarkStart w:id="524" w:name="_Toc534185841"/>
      <w:bookmarkStart w:id="525" w:name="_Toc287620834"/>
      <w:bookmarkStart w:id="526" w:name="_Toc287607888"/>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四</w:t>
      </w:r>
      <w:r>
        <w:rPr>
          <w:rFonts w:hint="eastAsia" w:ascii="宋体" w:hAnsi="宋体" w:eastAsia="宋体" w:cs="宋体"/>
          <w:b w:val="0"/>
          <w:color w:val="auto"/>
          <w:highlight w:val="none"/>
        </w:rPr>
        <w:t>）近年财务状况表</w:t>
      </w:r>
      <w:bookmarkEnd w:id="518"/>
      <w:bookmarkEnd w:id="519"/>
      <w:bookmarkEnd w:id="520"/>
      <w:bookmarkEnd w:id="521"/>
      <w:bookmarkEnd w:id="522"/>
      <w:bookmarkEnd w:id="523"/>
      <w:bookmarkEnd w:id="524"/>
      <w:bookmarkEnd w:id="525"/>
      <w:bookmarkEnd w:id="526"/>
    </w:p>
    <w:p>
      <w:pPr>
        <w:pStyle w:val="5"/>
        <w:spacing w:before="0" w:line="240" w:lineRule="auto"/>
        <w:jc w:val="center"/>
        <w:rPr>
          <w:rFonts w:hint="eastAsia" w:ascii="宋体" w:hAnsi="宋体" w:eastAsia="宋体" w:cs="宋体"/>
          <w:b w:val="0"/>
          <w:color w:val="auto"/>
          <w:highlight w:val="none"/>
        </w:rPr>
      </w:pPr>
      <w:bookmarkStart w:id="527" w:name="_Toc287607889"/>
      <w:bookmarkStart w:id="528" w:name="_Toc224103516"/>
      <w:bookmarkStart w:id="529" w:name="_Toc277082661"/>
      <w:bookmarkStart w:id="530" w:name="_Toc430530551"/>
      <w:bookmarkStart w:id="531" w:name="_Toc534185842"/>
      <w:bookmarkStart w:id="532" w:name="_Toc509218865"/>
      <w:bookmarkStart w:id="533" w:name="_Toc287620835"/>
      <w:bookmarkStart w:id="534" w:name="_Toc27983330"/>
      <w:r>
        <w:rPr>
          <w:rFonts w:hint="eastAsia" w:ascii="宋体" w:hAnsi="宋体" w:eastAsia="宋体" w:cs="宋体"/>
          <w:bCs w:val="0"/>
          <w:color w:val="auto"/>
          <w:szCs w:val="28"/>
          <w:highlight w:val="none"/>
        </w:rPr>
        <w:br w:type="page"/>
      </w:r>
      <w:bookmarkStart w:id="535" w:name="_Toc21354"/>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五</w:t>
      </w:r>
      <w:r>
        <w:rPr>
          <w:rFonts w:hint="eastAsia" w:ascii="宋体" w:hAnsi="宋体" w:eastAsia="宋体" w:cs="宋体"/>
          <w:b w:val="0"/>
          <w:color w:val="auto"/>
          <w:highlight w:val="none"/>
        </w:rPr>
        <w:t>）类似项目情况表</w:t>
      </w:r>
      <w:bookmarkEnd w:id="527"/>
      <w:bookmarkEnd w:id="528"/>
      <w:bookmarkEnd w:id="529"/>
      <w:bookmarkEnd w:id="530"/>
      <w:bookmarkEnd w:id="531"/>
      <w:bookmarkEnd w:id="532"/>
      <w:bookmarkEnd w:id="533"/>
      <w:bookmarkEnd w:id="534"/>
      <w:bookmarkEnd w:id="535"/>
    </w:p>
    <w:tbl>
      <w:tblPr>
        <w:tblStyle w:val="33"/>
        <w:tblW w:w="9483"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456"/>
        <w:gridCol w:w="802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4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项目所在地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6"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发包人名称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发包人地址</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1"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合同价格</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5"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交工（或竣工）日期</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承担的工作</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工程质量</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9"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70"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项目总工</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63"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总监理工程师及电话</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2367"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项目描述</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048" w:hRule="exact"/>
          <w:jc w:val="center"/>
        </w:trPr>
        <w:tc>
          <w:tcPr>
            <w:tcW w:w="1456"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8027" w:type="dxa"/>
            <w:vAlign w:val="center"/>
          </w:tcPr>
          <w:p>
            <w:pPr>
              <w:autoSpaceDE w:val="0"/>
              <w:autoSpaceDN w:val="0"/>
              <w:adjustRightInd w:val="0"/>
              <w:snapToGrid w:val="0"/>
              <w:jc w:val="center"/>
              <w:rPr>
                <w:rFonts w:hint="eastAsia" w:ascii="宋体" w:hAnsi="宋体" w:eastAsia="宋体" w:cs="宋体"/>
                <w:color w:val="auto"/>
                <w:kern w:val="0"/>
                <w:szCs w:val="21"/>
                <w:highlight w:val="none"/>
              </w:rPr>
            </w:pPr>
          </w:p>
        </w:tc>
      </w:tr>
    </w:tbl>
    <w:p>
      <w:pPr>
        <w:pStyle w:val="5"/>
        <w:spacing w:before="0" w:line="360" w:lineRule="auto"/>
        <w:jc w:val="center"/>
        <w:rPr>
          <w:rFonts w:hint="eastAsia" w:ascii="宋体" w:hAnsi="宋体" w:eastAsia="宋体" w:cs="宋体"/>
          <w:b w:val="0"/>
          <w:color w:val="auto"/>
          <w:highlight w:val="none"/>
        </w:rPr>
      </w:pPr>
      <w:bookmarkStart w:id="536" w:name="_Toc534185843"/>
      <w:bookmarkStart w:id="537" w:name="_Toc430530552"/>
      <w:bookmarkStart w:id="538" w:name="_Toc287620839"/>
      <w:bookmarkStart w:id="539" w:name="_Toc27983331"/>
      <w:bookmarkStart w:id="540" w:name="_Toc224103520"/>
      <w:bookmarkStart w:id="541" w:name="_Toc277082663"/>
      <w:bookmarkStart w:id="542" w:name="_Toc509218866"/>
      <w:bookmarkStart w:id="543" w:name="_Toc287607893"/>
      <w:bookmarkStart w:id="544" w:name="_Toc10736"/>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六</w:t>
      </w:r>
      <w:r>
        <w:rPr>
          <w:rFonts w:hint="eastAsia" w:ascii="宋体" w:hAnsi="宋体" w:eastAsia="宋体" w:cs="宋体"/>
          <w:b w:val="0"/>
          <w:color w:val="auto"/>
          <w:highlight w:val="none"/>
        </w:rPr>
        <w:t>）</w:t>
      </w:r>
      <w:bookmarkEnd w:id="536"/>
      <w:bookmarkEnd w:id="537"/>
      <w:bookmarkEnd w:id="538"/>
      <w:bookmarkEnd w:id="539"/>
      <w:bookmarkEnd w:id="540"/>
      <w:bookmarkEnd w:id="541"/>
      <w:bookmarkEnd w:id="542"/>
      <w:bookmarkEnd w:id="543"/>
      <w:r>
        <w:rPr>
          <w:rFonts w:hint="eastAsia" w:ascii="宋体" w:hAnsi="宋体" w:eastAsia="宋体" w:cs="宋体"/>
          <w:b w:val="0"/>
          <w:color w:val="auto"/>
          <w:highlight w:val="none"/>
        </w:rPr>
        <w:t>承诺</w:t>
      </w:r>
      <w:bookmarkEnd w:id="544"/>
    </w:p>
    <w:p>
      <w:pPr>
        <w:keepNext w:val="0"/>
        <w:keepLines w:val="0"/>
        <w:pageBreakBefore w:val="0"/>
        <w:widowControl w:val="0"/>
        <w:kinsoku/>
        <w:wordWrap/>
        <w:overflowPunct/>
        <w:topLinePunct w:val="0"/>
        <w:bidi w:val="0"/>
        <w:snapToGrid w:val="0"/>
        <w:spacing w:line="380" w:lineRule="exact"/>
        <w:textAlignment w:val="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eastAsia="zh-CN"/>
        </w:rPr>
        <w:t>比选人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（投标人名称）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的投标，自愿作出以下承诺：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1、投标截止日投标资格情况不存在下列情形之一：</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w:t>
      </w:r>
      <w:r>
        <w:rPr>
          <w:rFonts w:hint="eastAsia" w:ascii="宋体" w:hAnsi="宋体" w:eastAsia="宋体" w:cs="宋体"/>
          <w:color w:val="auto"/>
          <w:szCs w:val="21"/>
          <w:highlight w:val="none"/>
          <w:lang w:eastAsia="zh-CN"/>
        </w:rPr>
        <w:t>市级有关行业</w:t>
      </w:r>
      <w:r>
        <w:rPr>
          <w:rFonts w:hint="eastAsia" w:ascii="宋体" w:hAnsi="宋体" w:eastAsia="宋体" w:cs="宋体"/>
          <w:color w:val="auto"/>
          <w:szCs w:val="21"/>
          <w:highlight w:val="none"/>
        </w:rPr>
        <w:t>主管部门暂停在渝承揽新业务且在暂停期内；</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（6）被责令停业，暂扣或吊销执照，或吊销资质证书；</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（7）进入清算程序，或被宣告破产，或其他丧失履约能力的情形；</w:t>
      </w:r>
    </w:p>
    <w:p>
      <w:pPr>
        <w:keepNext w:val="0"/>
        <w:keepLines w:val="0"/>
        <w:pageBreakBefore w:val="0"/>
        <w:widowControl w:val="0"/>
        <w:kinsoku/>
        <w:wordWrap/>
        <w:overflowPunct/>
        <w:topLinePunct w:val="0"/>
        <w:bidi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（8）在国家企业信用信息公示系统（http://www.gsxt.gov.cn/）中被列入严重违法失信企业名单；</w:t>
      </w:r>
    </w:p>
    <w:p>
      <w:pPr>
        <w:keepNext w:val="0"/>
        <w:keepLines w:val="0"/>
        <w:pageBreakBefore w:val="0"/>
        <w:widowControl w:val="0"/>
        <w:kinsoku/>
        <w:wordWrap/>
        <w:overflowPunct/>
        <w:topLinePunct w:val="0"/>
        <w:bidi w:val="0"/>
        <w:snapToGrid w:val="0"/>
        <w:spacing w:line="38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（9）投标人或其法定代表人、拟委任的项目经理在近两年内有行贿犯罪行为的。</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2.1我公司拟派的项目经理按注册建造师的相关规定到岗履职和未被禁止参与投标。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2.1.1拟派的项目经理中标后在本项目任职，签订合同时拟派的项目经理必须与投标文件中的项目经理一致，并满足办理施工许可手续的相关要求。不能按承诺到岗履约的，按合同相关条款处罚并上报行政主管部门，给贵单位造成损失的，我公司依法承担违约赔偿责任。拟派的项目经理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2.1.2拟派的项目经理未被重庆市</w:t>
      </w:r>
      <w:r>
        <w:rPr>
          <w:rFonts w:hint="eastAsia" w:ascii="宋体" w:hAnsi="宋体" w:eastAsia="宋体" w:cs="宋体"/>
          <w:color w:val="auto"/>
          <w:szCs w:val="21"/>
          <w:highlight w:val="none"/>
          <w:lang w:val="en-US" w:eastAsia="zh-CN"/>
        </w:rPr>
        <w:t>市级有关行业</w:t>
      </w:r>
      <w:r>
        <w:rPr>
          <w:rFonts w:hint="eastAsia" w:ascii="宋体" w:hAnsi="宋体" w:eastAsia="宋体" w:cs="宋体"/>
          <w:color w:val="auto"/>
          <w:szCs w:val="21"/>
          <w:highlight w:val="none"/>
        </w:rPr>
        <w:t>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2.1.3</w:t>
      </w:r>
      <w:r>
        <w:rPr>
          <w:rFonts w:hint="eastAsia" w:ascii="宋体" w:hAnsi="宋体" w:eastAsia="宋体" w:cs="宋体"/>
          <w:color w:val="auto"/>
          <w:szCs w:val="21"/>
          <w:highlight w:val="none"/>
          <w:lang w:val="en-US" w:eastAsia="zh-CN"/>
        </w:rPr>
        <w:t>为保证我公司拟派的项目经理到本项目到岗履职，我公司还承诺：</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若我公司拟派本项目的项目经理有在其他项目任职的情形的（或有在其他项目中标或拟中标的情形的），应在收到中标通知书后</w:t>
      </w:r>
      <w:r>
        <w:rPr>
          <w:rFonts w:hint="eastAsia" w:ascii="宋体" w:hAnsi="宋体" w:eastAsia="宋体" w:cs="宋体"/>
          <w:color w:val="auto"/>
          <w:szCs w:val="21"/>
          <w:highlight w:val="none"/>
          <w:u w:val="single"/>
          <w:lang w:val="en-US" w:eastAsia="zh-CN"/>
        </w:rPr>
        <w:t xml:space="preserve"> 14 </w:t>
      </w:r>
      <w:r>
        <w:rPr>
          <w:rFonts w:hint="eastAsia" w:ascii="宋体" w:hAnsi="宋体" w:eastAsia="宋体" w:cs="宋体"/>
          <w:color w:val="auto"/>
          <w:szCs w:val="21"/>
          <w:highlight w:val="none"/>
          <w:lang w:val="en-US" w:eastAsia="zh-CN"/>
        </w:rPr>
        <w:t>日内，办理完成放弃在其他项目任职的手续（或办理完成放弃在其他项目中标或拟中标的手续），贵单位在合同签订前有权对我公司拟派项目经理在其他项目的任职情形（或在其他项目的中标或拟中标情形）进行核查，若与我公司承诺内容不符或我公司未在上述时间内按照比选文件规定递交放弃在其他项目任职、中标或拟中标的相关资料，我公司自愿放弃中标资格，贵单位不退还我公司的投标保证金。在合同签订时，我公司确保拟派项目经理符合《建筑施工企业项目经理资质管理办法》规定的项目经理任职条件，否则我公司自愿放弃中标资格，贵单位不退还我公司的投标保证金。</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若我公司拟派项目经理放弃在其他项目任职的将提供：①经业主或建设单位同意任职变更的文件；②负责项目监管的行业行政主管部门出具同意任职变更的证明材料。</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若我公司拟派项目经理放弃在其他项目中标或拟中标的将提供：①经中标或拟中标的其他项目建设单位同意的放弃中标函</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我公司拟派的项目总工按相关规定到岗履职和未被禁止参与投标。</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.1拟派的项目总工中标后</w:t>
      </w:r>
      <w:r>
        <w:rPr>
          <w:rFonts w:hint="eastAsia" w:ascii="宋体" w:hAnsi="宋体" w:eastAsia="宋体" w:cs="宋体"/>
          <w:color w:val="auto"/>
          <w:szCs w:val="21"/>
          <w:highlight w:val="none"/>
          <w:lang w:val="en-US" w:eastAsia="zh-CN"/>
        </w:rPr>
        <w:t>只能</w:t>
      </w:r>
      <w:r>
        <w:rPr>
          <w:rFonts w:hint="eastAsia" w:ascii="宋体" w:hAnsi="宋体" w:eastAsia="宋体" w:cs="宋体"/>
          <w:color w:val="auto"/>
          <w:szCs w:val="21"/>
          <w:highlight w:val="none"/>
        </w:rPr>
        <w:t>在本项目任职，签订合同时拟派的项目总工必须与投标文件中的项目总工一致，并满足办理施工许可手续的相关要求。不能按承诺到岗履约的，按合同相关条款处罚并上报行政主管部门，给贵单位造成损失的，我公司依法承担违约赔偿责任。拟派的项目总工中标后不得随意更换。</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2拟派的项目总工未被重庆市交通主管部门暂停在渝承揽新业务，若被暂停且参加投标的投标将被否决；已取得中标候选人资格或中标资格的，贵单位有权取消我公司中标候选人资格或中标资格；给贵单位造成损失的，我公司依法承担违约赔偿责任。</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提供参与本项目施工工作的人员名单，并附相应人员的身份证、执业资格证、职称证书、社保缴费证明等证明材料作为投标书附件并作为合同文件的组成部分。如果我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4、我公司若中标，将在合同谈判结束后7日内按照本项目</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“投标人须知”前附表1.4.1的要求，向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提供主要设备进场清单。如果我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在合同谈判结束后7日内，不能向</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提供上述材料（除不可抗力因素），视为我</w:t>
      </w:r>
      <w:r>
        <w:rPr>
          <w:rFonts w:hint="eastAsia" w:ascii="宋体" w:hAnsi="宋体" w:eastAsia="宋体" w:cs="宋体"/>
          <w:color w:val="auto"/>
          <w:szCs w:val="21"/>
          <w:highlight w:val="none"/>
          <w:lang w:val="en-US" w:eastAsia="zh-CN"/>
        </w:rPr>
        <w:t>公司</w:t>
      </w:r>
      <w:r>
        <w:rPr>
          <w:rFonts w:hint="eastAsia" w:ascii="宋体" w:hAnsi="宋体" w:eastAsia="宋体" w:cs="宋体"/>
          <w:color w:val="auto"/>
          <w:szCs w:val="21"/>
          <w:highlight w:val="none"/>
        </w:rPr>
        <w:t>放弃中标候选人资格。</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5、我公司严格按照第五章“工程量清单”、第八章“工程量清单计量规则”的规定进行报价。</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中规定工程量清单不允许修改的内容不得修改。投标总报价不高于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公布的投标总报价最高限价。各清单子目单价不高于</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公布的各清单子目单价最高限价的。若出现差错，按</w:t>
      </w:r>
      <w:r>
        <w:rPr>
          <w:rFonts w:hint="eastAsia" w:ascii="宋体" w:hAnsi="宋体" w:eastAsia="宋体" w:cs="宋体"/>
          <w:color w:val="auto"/>
          <w:szCs w:val="21"/>
          <w:highlight w:val="none"/>
          <w:lang w:eastAsia="zh-CN"/>
        </w:rPr>
        <w:t>比选文件</w:t>
      </w:r>
      <w:r>
        <w:rPr>
          <w:rFonts w:hint="eastAsia" w:ascii="宋体" w:hAnsi="宋体" w:eastAsia="宋体" w:cs="宋体"/>
          <w:color w:val="auto"/>
          <w:szCs w:val="21"/>
          <w:highlight w:val="none"/>
        </w:rPr>
        <w:t>第二章投标人须知前附表第3.2.9项规定的原则进行处理（或结算）。</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6、我公司在资格审查部分中提供的相关证明材料真实有效，不存在弄虚作假情形。</w:t>
      </w:r>
      <w:r>
        <w:rPr>
          <w:rFonts w:hint="eastAsia" w:ascii="宋体" w:hAnsi="宋体" w:eastAsia="宋体" w:cs="宋体"/>
          <w:color w:val="auto"/>
          <w:szCs w:val="21"/>
          <w:highlight w:val="none"/>
          <w:u w:val="single"/>
          <w:lang w:val="en-US" w:eastAsia="zh-CN"/>
        </w:rPr>
        <w:t>贵单位</w:t>
      </w:r>
      <w:r>
        <w:rPr>
          <w:rFonts w:hint="eastAsia" w:ascii="宋体" w:hAnsi="宋体" w:eastAsia="宋体" w:cs="宋体"/>
          <w:color w:val="auto"/>
          <w:szCs w:val="21"/>
          <w:highlight w:val="none"/>
          <w:u w:val="single"/>
        </w:rPr>
        <w:t>在合同签订前均有权对我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司提供的资料进行核实，若发现弄虚作假，</w:t>
      </w:r>
      <w:r>
        <w:rPr>
          <w:rFonts w:hint="eastAsia" w:ascii="宋体" w:hAnsi="宋体" w:eastAsia="宋体" w:cs="宋体"/>
          <w:color w:val="auto"/>
          <w:szCs w:val="21"/>
          <w:highlight w:val="none"/>
          <w:u w:val="single"/>
          <w:lang w:val="en-US" w:eastAsia="zh-CN"/>
        </w:rPr>
        <w:t>按相关规定</w:t>
      </w:r>
      <w:r>
        <w:rPr>
          <w:rFonts w:hint="eastAsia" w:ascii="宋体" w:hAnsi="宋体" w:eastAsia="宋体" w:cs="宋体"/>
          <w:color w:val="auto"/>
          <w:szCs w:val="21"/>
          <w:highlight w:val="none"/>
          <w:u w:val="single"/>
        </w:rPr>
        <w:t>取消</w:t>
      </w:r>
      <w:r>
        <w:rPr>
          <w:rFonts w:hint="eastAsia" w:ascii="宋体" w:hAnsi="宋体" w:eastAsia="宋体" w:cs="宋体"/>
          <w:color w:val="auto"/>
          <w:szCs w:val="21"/>
          <w:highlight w:val="none"/>
          <w:u w:val="single"/>
          <w:lang w:val="en-US" w:eastAsia="zh-CN"/>
        </w:rPr>
        <w:t>我公司</w:t>
      </w:r>
      <w:r>
        <w:rPr>
          <w:rFonts w:hint="eastAsia" w:ascii="宋体" w:hAnsi="宋体" w:eastAsia="宋体" w:cs="宋体"/>
          <w:color w:val="auto"/>
          <w:szCs w:val="21"/>
          <w:highlight w:val="none"/>
          <w:u w:val="single"/>
        </w:rPr>
        <w:t>中标资格，并按相关法律法规报招标投标监督部门，投标保证金不予退还，我</w:t>
      </w:r>
      <w:r>
        <w:rPr>
          <w:rFonts w:hint="eastAsia" w:ascii="宋体" w:hAnsi="宋体" w:eastAsia="宋体" w:cs="宋体"/>
          <w:color w:val="auto"/>
          <w:szCs w:val="21"/>
          <w:highlight w:val="none"/>
          <w:u w:val="single"/>
          <w:lang w:val="en-US" w:eastAsia="zh-CN"/>
        </w:rPr>
        <w:t>公</w:t>
      </w:r>
      <w:r>
        <w:rPr>
          <w:rFonts w:hint="eastAsia" w:ascii="宋体" w:hAnsi="宋体" w:eastAsia="宋体" w:cs="宋体"/>
          <w:color w:val="auto"/>
          <w:szCs w:val="21"/>
          <w:highlight w:val="none"/>
          <w:u w:val="single"/>
        </w:rPr>
        <w:t>司自愿承担因此造成的相关责任并赔偿相应损失</w:t>
      </w:r>
      <w:r>
        <w:rPr>
          <w:rFonts w:hint="eastAsia" w:ascii="宋体" w:hAnsi="宋体" w:eastAsia="宋体" w:cs="宋体"/>
          <w:color w:val="auto"/>
          <w:szCs w:val="21"/>
          <w:highlight w:val="none"/>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7、我公司</w:t>
      </w:r>
      <w:r>
        <w:rPr>
          <w:rFonts w:hint="eastAsia" w:ascii="宋体" w:hAnsi="宋体" w:eastAsia="宋体" w:cs="宋体"/>
          <w:color w:val="auto"/>
          <w:szCs w:val="21"/>
          <w:highlight w:val="none"/>
        </w:rPr>
        <w:t>不存在第二章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投标人须知第 1.4.3 项规定的任何一种情形</w:t>
      </w:r>
      <w:r>
        <w:rPr>
          <w:rFonts w:hint="eastAsia" w:ascii="宋体" w:hAnsi="宋体" w:eastAsia="宋体" w:cs="宋体"/>
          <w:color w:val="auto"/>
          <w:szCs w:val="21"/>
          <w:highlight w:val="none"/>
          <w:lang w:eastAsia="zh-CN"/>
        </w:rPr>
        <w:t>。</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8、我公司的投标文件符合第二章 投标人须知第 1.3.1 项的规定。</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、我公司的投标文件符合第四章 合同条款及格式规定，投标文件中没有</w:t>
      </w:r>
      <w:r>
        <w:rPr>
          <w:rFonts w:hint="eastAsia" w:ascii="宋体" w:hAnsi="宋体" w:eastAsia="宋体" w:cs="宋体"/>
          <w:color w:val="auto"/>
          <w:szCs w:val="21"/>
          <w:highlight w:val="none"/>
          <w:lang w:val="en-US" w:eastAsia="zh-CN"/>
        </w:rPr>
        <w:t>贵单位</w:t>
      </w:r>
      <w:r>
        <w:rPr>
          <w:rFonts w:hint="eastAsia" w:ascii="宋体" w:hAnsi="宋体" w:eastAsia="宋体" w:cs="宋体"/>
          <w:color w:val="auto"/>
          <w:szCs w:val="21"/>
          <w:highlight w:val="none"/>
        </w:rPr>
        <w:t>不能接受的条件。</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、我公司的投标文件符合第七章 技术标准和要求（如有）。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11、我公司接受比选文件中关于“不平衡报价”的相关约定（如有）。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lang w:val="en-US"/>
        </w:rPr>
      </w:pPr>
      <w:r>
        <w:rPr>
          <w:rFonts w:hint="eastAsia" w:ascii="宋体" w:hAnsi="宋体" w:eastAsia="宋体" w:cs="宋体"/>
          <w:color w:val="auto"/>
          <w:szCs w:val="21"/>
          <w:highlight w:val="none"/>
          <w:lang w:val="en-US" w:eastAsia="zh-CN"/>
        </w:rPr>
        <w:t>12、我公司接受比选文件中关于“不允许负数报价”的相关要求（如有）。</w:t>
      </w:r>
    </w:p>
    <w:p>
      <w:pPr>
        <w:keepNext w:val="0"/>
        <w:keepLines w:val="0"/>
        <w:pageBreakBefore w:val="0"/>
        <w:widowControl w:val="0"/>
        <w:kinsoku/>
        <w:wordWrap/>
        <w:overflowPunct/>
        <w:topLinePunct w:val="0"/>
        <w:bidi w:val="0"/>
        <w:snapToGrid w:val="0"/>
        <w:spacing w:line="380" w:lineRule="exact"/>
        <w:ind w:firstLine="420" w:firstLineChars="200"/>
        <w:textAlignment w:val="auto"/>
        <w:rPr>
          <w:rFonts w:hint="eastAsia" w:ascii="宋体" w:hAnsi="宋体" w:eastAsia="宋体" w:cs="宋体"/>
          <w:color w:val="auto"/>
          <w:szCs w:val="21"/>
          <w:highlight w:val="none"/>
        </w:rPr>
      </w:pPr>
    </w:p>
    <w:p>
      <w:pPr>
        <w:keepNext w:val="0"/>
        <w:keepLines w:val="0"/>
        <w:pageBreakBefore w:val="0"/>
        <w:widowControl w:val="0"/>
        <w:tabs>
          <w:tab w:val="left" w:pos="4200"/>
          <w:tab w:val="left" w:pos="462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投  标  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keepNext w:val="0"/>
        <w:keepLines w:val="0"/>
        <w:pageBreakBefore w:val="0"/>
        <w:widowControl w:val="0"/>
        <w:tabs>
          <w:tab w:val="left" w:pos="6300"/>
        </w:tabs>
        <w:kinsoku/>
        <w:wordWrap/>
        <w:overflowPunct/>
        <w:topLinePunct w:val="0"/>
        <w:autoSpaceDE w:val="0"/>
        <w:autoSpaceDN w:val="0"/>
        <w:bidi w:val="0"/>
        <w:adjustRightInd w:val="0"/>
        <w:snapToGrid w:val="0"/>
        <w:spacing w:line="380" w:lineRule="exact"/>
        <w:ind w:firstLine="420" w:firstLineChars="200"/>
        <w:jc w:val="left"/>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kern w:val="0"/>
          <w:szCs w:val="21"/>
          <w:highlight w:val="none"/>
          <w:lang w:eastAsia="zh-CN"/>
        </w:rPr>
        <w:t>签名</w:t>
      </w:r>
      <w:r>
        <w:rPr>
          <w:rFonts w:hint="eastAsia" w:ascii="宋体" w:hAnsi="宋体" w:eastAsia="宋体" w:cs="宋体"/>
          <w:color w:val="auto"/>
          <w:kern w:val="0"/>
          <w:szCs w:val="21"/>
          <w:highlight w:val="none"/>
        </w:rPr>
        <w:t>或盖章）</w:t>
      </w:r>
    </w:p>
    <w:p>
      <w:pPr>
        <w:keepNext w:val="0"/>
        <w:keepLines w:val="0"/>
        <w:pageBreakBefore w:val="0"/>
        <w:widowControl w:val="0"/>
        <w:kinsoku/>
        <w:wordWrap/>
        <w:overflowPunct/>
        <w:topLinePunct w:val="0"/>
        <w:bidi w:val="0"/>
        <w:snapToGrid w:val="0"/>
        <w:spacing w:line="380" w:lineRule="exact"/>
        <w:ind w:firstLine="420" w:firstLineChars="200"/>
        <w:jc w:val="right"/>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rPr>
          <w:rFonts w:hint="eastAsia" w:ascii="宋体" w:hAnsi="宋体" w:eastAsia="宋体" w:cs="宋体"/>
          <w:color w:val="auto"/>
          <w:highlight w:val="none"/>
        </w:rPr>
      </w:pPr>
    </w:p>
    <w:p>
      <w:pPr>
        <w:rPr>
          <w:rFonts w:hint="eastAsia" w:ascii="宋体" w:hAnsi="宋体" w:eastAsia="宋体" w:cs="宋体"/>
          <w:color w:val="auto"/>
          <w:highlight w:val="none"/>
        </w:rPr>
      </w:pPr>
    </w:p>
    <w:p>
      <w:pPr>
        <w:pStyle w:val="5"/>
        <w:spacing w:before="0" w:line="360" w:lineRule="auto"/>
        <w:jc w:val="center"/>
        <w:rPr>
          <w:rFonts w:hint="eastAsia" w:ascii="宋体" w:hAnsi="宋体" w:eastAsia="宋体" w:cs="宋体"/>
          <w:b w:val="0"/>
          <w:color w:val="auto"/>
          <w:highlight w:val="none"/>
        </w:rPr>
      </w:pPr>
      <w:bookmarkStart w:id="545" w:name="_Toc27983333"/>
      <w:r>
        <w:rPr>
          <w:rFonts w:hint="eastAsia" w:ascii="宋体" w:hAnsi="宋体" w:eastAsia="宋体" w:cs="宋体"/>
          <w:b w:val="0"/>
          <w:bCs w:val="0"/>
          <w:color w:val="auto"/>
          <w:sz w:val="21"/>
          <w:szCs w:val="24"/>
          <w:highlight w:val="none"/>
        </w:rPr>
        <w:br w:type="page"/>
      </w:r>
      <w:bookmarkStart w:id="546" w:name="_Toc15020"/>
      <w:r>
        <w:rPr>
          <w:rFonts w:hint="eastAsia" w:ascii="宋体" w:hAnsi="宋体" w:eastAsia="宋体" w:cs="宋体"/>
          <w:b w:val="0"/>
          <w:color w:val="auto"/>
          <w:highlight w:val="none"/>
        </w:rPr>
        <w:t>（</w:t>
      </w:r>
      <w:r>
        <w:rPr>
          <w:rFonts w:hint="eastAsia" w:ascii="宋体" w:hAnsi="宋体" w:eastAsia="宋体" w:cs="宋体"/>
          <w:b w:val="0"/>
          <w:color w:val="auto"/>
          <w:highlight w:val="none"/>
          <w:lang w:val="en-US" w:eastAsia="zh-CN"/>
        </w:rPr>
        <w:t>七</w:t>
      </w:r>
      <w:r>
        <w:rPr>
          <w:rFonts w:hint="eastAsia" w:ascii="宋体" w:hAnsi="宋体" w:eastAsia="宋体" w:cs="宋体"/>
          <w:b w:val="0"/>
          <w:color w:val="auto"/>
          <w:highlight w:val="none"/>
        </w:rPr>
        <w:t>）其他资料</w:t>
      </w:r>
      <w:bookmarkEnd w:id="545"/>
      <w:bookmarkEnd w:id="546"/>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1. 投标保证金</w:t>
      </w:r>
    </w:p>
    <w:p>
      <w:pPr>
        <w:spacing w:line="360" w:lineRule="auto"/>
        <w:ind w:firstLine="420" w:firstLineChars="200"/>
        <w:rPr>
          <w:rFonts w:ascii="宋体" w:hAnsi="宋体"/>
          <w:color w:val="auto"/>
          <w:szCs w:val="21"/>
          <w:highlight w:val="none"/>
        </w:rPr>
      </w:pPr>
      <w:r>
        <w:rPr>
          <w:rFonts w:hint="eastAsia" w:ascii="宋体" w:hAnsi="宋体"/>
          <w:color w:val="auto"/>
          <w:szCs w:val="21"/>
          <w:highlight w:val="none"/>
        </w:rPr>
        <w:t>企业基本账户开户证明文件</w:t>
      </w:r>
      <w:r>
        <w:rPr>
          <w:rFonts w:hint="eastAsia" w:ascii="宋体" w:hAnsi="宋体"/>
          <w:color w:val="auto"/>
          <w:szCs w:val="21"/>
          <w:highlight w:val="none"/>
          <w:lang w:eastAsia="zh-CN"/>
        </w:rPr>
        <w:t>、投标保证金转账回执单</w:t>
      </w:r>
      <w:r>
        <w:rPr>
          <w:rFonts w:hint="eastAsia" w:ascii="宋体" w:hAnsi="宋体"/>
          <w:color w:val="auto"/>
          <w:szCs w:val="21"/>
          <w:highlight w:val="none"/>
        </w:rPr>
        <w:t>。</w:t>
      </w:r>
    </w:p>
    <w:p>
      <w:pPr>
        <w:rPr>
          <w:rFonts w:hint="eastAsia" w:ascii="宋体" w:hAnsi="宋体"/>
          <w:color w:val="auto"/>
          <w:szCs w:val="21"/>
          <w:highlight w:val="none"/>
        </w:rPr>
      </w:pPr>
      <w:r>
        <w:rPr>
          <w:rFonts w:hint="eastAsia" w:ascii="宋体" w:hAnsi="宋体"/>
          <w:i/>
          <w:color w:val="auto"/>
          <w:szCs w:val="21"/>
          <w:highlight w:val="none"/>
        </w:rPr>
        <w:br w:type="page"/>
      </w:r>
    </w:p>
    <w:p>
      <w:pPr>
        <w:spacing w:line="240" w:lineRule="auto"/>
        <w:ind w:firstLine="0" w:firstLineChars="0"/>
        <w:rPr>
          <w:rFonts w:ascii="宋体" w:hAnsi="宋体"/>
          <w:color w:val="auto"/>
          <w:szCs w:val="21"/>
          <w:highlight w:val="none"/>
        </w:rPr>
      </w:pPr>
      <w:r>
        <w:rPr>
          <w:rFonts w:hint="eastAsia" w:ascii="宋体" w:hAnsi="宋体"/>
          <w:color w:val="auto"/>
          <w:szCs w:val="21"/>
          <w:highlight w:val="none"/>
        </w:rPr>
        <w:t xml:space="preserve">2. </w:t>
      </w:r>
      <w:r>
        <w:rPr>
          <w:rFonts w:hint="eastAsia" w:ascii="宋体" w:hAnsi="宋体"/>
          <w:color w:val="auto"/>
          <w:szCs w:val="21"/>
          <w:highlight w:val="none"/>
          <w:lang w:eastAsia="zh-CN"/>
        </w:rPr>
        <w:t>中小企业声明函</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hint="eastAsia" w:eastAsia="宋体"/>
          <w:color w:val="auto"/>
          <w:sz w:val="28"/>
          <w:szCs w:val="28"/>
          <w:highlight w:val="none"/>
          <w:lang w:eastAsia="zh-CN"/>
        </w:rPr>
      </w:pPr>
      <w:r>
        <w:rPr>
          <w:rFonts w:hint="eastAsia" w:cs="宋体"/>
          <w:color w:val="auto"/>
          <w:sz w:val="24"/>
          <w:szCs w:val="24"/>
          <w:highlight w:val="none"/>
          <w:lang w:eastAsia="zh-CN"/>
        </w:rPr>
        <w:t>中小企业声明函（</w:t>
      </w:r>
      <w:r>
        <w:rPr>
          <w:rFonts w:hint="eastAsia" w:cs="宋体"/>
          <w:color w:val="auto"/>
          <w:sz w:val="24"/>
          <w:szCs w:val="24"/>
          <w:highlight w:val="none"/>
          <w:lang w:val="en-US" w:eastAsia="zh-CN"/>
        </w:rPr>
        <w:t>工程类</w:t>
      </w:r>
      <w:r>
        <w:rPr>
          <w:rFonts w:hint="eastAsia" w:cs="宋体"/>
          <w:color w:val="auto"/>
          <w:sz w:val="24"/>
          <w:szCs w:val="24"/>
          <w:highlight w:val="none"/>
          <w:lang w:eastAsia="zh-CN"/>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本公司（联合体）郑重声明，根据《政府采购促进中小企业发展管理办法》（财库〔2020〕46号）的规定，本公司</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联合体</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参加</w:t>
      </w:r>
      <w:r>
        <w:rPr>
          <w:rFonts w:hint="eastAsia" w:asciiTheme="minorEastAsia" w:hAnsiTheme="minorEastAsia" w:eastAsiaTheme="minorEastAsia" w:cstheme="minorEastAsia"/>
          <w:i/>
          <w:color w:val="auto"/>
          <w:sz w:val="21"/>
          <w:szCs w:val="21"/>
          <w:highlight w:val="none"/>
          <w:u w:val="single"/>
        </w:rPr>
        <w:t>（单位名称）</w:t>
      </w:r>
      <w:r>
        <w:rPr>
          <w:rFonts w:hint="eastAsia" w:asciiTheme="minorEastAsia" w:hAnsiTheme="minorEastAsia" w:eastAsiaTheme="minorEastAsia" w:cstheme="minorEastAsia"/>
          <w:color w:val="auto"/>
          <w:sz w:val="21"/>
          <w:szCs w:val="21"/>
          <w:highlight w:val="none"/>
        </w:rPr>
        <w:t>的</w:t>
      </w:r>
      <w:r>
        <w:rPr>
          <w:rFonts w:hint="eastAsia" w:asciiTheme="minorEastAsia" w:hAnsiTheme="minorEastAsia" w:eastAsiaTheme="minorEastAsia" w:cstheme="minorEastAsia"/>
          <w:i/>
          <w:color w:val="auto"/>
          <w:sz w:val="21"/>
          <w:szCs w:val="21"/>
          <w:highlight w:val="none"/>
          <w:u w:val="single"/>
        </w:rPr>
        <w:t>（项目名称）</w:t>
      </w:r>
      <w:r>
        <w:rPr>
          <w:rFonts w:hint="eastAsia" w:asciiTheme="minorEastAsia" w:hAnsiTheme="minorEastAsia" w:eastAsiaTheme="minorEastAsia" w:cstheme="minorEastAsia"/>
          <w:color w:val="auto"/>
          <w:sz w:val="21"/>
          <w:szCs w:val="21"/>
          <w:highlight w:val="none"/>
        </w:rPr>
        <w:t>采购活动，符合政策要求的相关中小企业（含联合体中的中小企业、签订分包意向协议的中小企业）的具体情况如下：</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i/>
          <w:color w:val="auto"/>
          <w:sz w:val="21"/>
          <w:szCs w:val="21"/>
          <w:highlight w:val="none"/>
          <w:u w:val="single"/>
        </w:rPr>
        <w:t>（标的名称）</w:t>
      </w:r>
      <w:r>
        <w:rPr>
          <w:rFonts w:hint="eastAsia" w:asciiTheme="minorEastAsia" w:hAnsiTheme="minorEastAsia" w:eastAsiaTheme="minorEastAsia" w:cstheme="minorEastAsia"/>
          <w:color w:val="auto"/>
          <w:sz w:val="21"/>
          <w:szCs w:val="21"/>
          <w:highlight w:val="none"/>
        </w:rPr>
        <w:t>，属于</w:t>
      </w:r>
      <w:r>
        <w:rPr>
          <w:rFonts w:hint="eastAsia" w:asciiTheme="minorEastAsia" w:hAnsiTheme="minorEastAsia" w:eastAsiaTheme="minorEastAsia" w:cstheme="minorEastAsia"/>
          <w:i/>
          <w:color w:val="auto"/>
          <w:sz w:val="21"/>
          <w:szCs w:val="21"/>
          <w:highlight w:val="none"/>
          <w:u w:val="single"/>
        </w:rPr>
        <w:t>（招标文件中明确的所属行业）</w:t>
      </w:r>
      <w:r>
        <w:rPr>
          <w:rFonts w:hint="eastAsia" w:asciiTheme="minorEastAsia" w:hAnsiTheme="minorEastAsia" w:eastAsiaTheme="minorEastAsia" w:cstheme="minorEastAsia"/>
          <w:color w:val="auto"/>
          <w:sz w:val="21"/>
          <w:szCs w:val="21"/>
          <w:highlight w:val="none"/>
        </w:rPr>
        <w:t>；承建</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承接</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企业为</w:t>
      </w:r>
      <w:r>
        <w:rPr>
          <w:rFonts w:hint="eastAsia" w:asciiTheme="minorEastAsia" w:hAnsiTheme="minorEastAsia" w:eastAsiaTheme="minorEastAsia" w:cstheme="minorEastAsia"/>
          <w:i/>
          <w:color w:val="auto"/>
          <w:sz w:val="21"/>
          <w:szCs w:val="21"/>
          <w:highlight w:val="none"/>
          <w:u w:val="single"/>
        </w:rPr>
        <w:t>（企业名称）</w:t>
      </w:r>
      <w:r>
        <w:rPr>
          <w:rFonts w:hint="eastAsia" w:asciiTheme="minorEastAsia" w:hAnsiTheme="minorEastAsia" w:eastAsiaTheme="minorEastAsia" w:cstheme="minorEastAsia"/>
          <w:color w:val="auto"/>
          <w:sz w:val="21"/>
          <w:szCs w:val="21"/>
          <w:highlight w:val="none"/>
        </w:rPr>
        <w:t>，从业人员</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人，营业收入为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万元，资产总额为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万元，属于</w:t>
      </w:r>
      <w:r>
        <w:rPr>
          <w:rFonts w:hint="eastAsia" w:asciiTheme="minorEastAsia" w:hAnsiTheme="minorEastAsia" w:eastAsiaTheme="minorEastAsia" w:cstheme="minorEastAsia"/>
          <w:i/>
          <w:color w:val="auto"/>
          <w:sz w:val="21"/>
          <w:szCs w:val="21"/>
          <w:highlight w:val="none"/>
          <w:u w:val="single"/>
        </w:rPr>
        <w:t>（中型企业、小型企业、微型企业）</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以上企业，不属于大企业的分支机构，不存在控股股东为大企业的情形，也不存在与大企业的负责人为同一人的情形。</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本企业对上述声明内容的真实性负责。如有虚假，将依法承担相应责任。</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企业名称（盖章）：</w:t>
      </w:r>
      <w:r>
        <w:rPr>
          <w:rFonts w:hint="eastAsia" w:asciiTheme="minorEastAsia" w:hAnsiTheme="minorEastAsia" w:eastAsiaTheme="minorEastAsia" w:cstheme="minorEastAsia"/>
          <w:color w:val="auto"/>
          <w:sz w:val="21"/>
          <w:szCs w:val="21"/>
          <w:highlight w:val="none"/>
          <w:u w:val="single"/>
          <w:lang w:eastAsia="zh-CN"/>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right="784" w:firstLine="5355" w:firstLineChars="2550"/>
        <w:textAlignment w:val="auto"/>
        <w:rPr>
          <w:rFonts w:hint="default"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日期：</w:t>
      </w:r>
      <w:r>
        <w:rPr>
          <w:rFonts w:hint="eastAsia" w:asciiTheme="minorEastAsia" w:hAnsiTheme="minorEastAsia" w:eastAsiaTheme="minorEastAsia" w:cstheme="minorEastAsia"/>
          <w:color w:val="auto"/>
          <w:sz w:val="21"/>
          <w:szCs w:val="21"/>
          <w:highlight w:val="none"/>
          <w:u w:val="single"/>
          <w:lang w:val="en-US" w:eastAsia="zh-CN"/>
        </w:rPr>
        <w:t xml:space="preserve">                    </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填写时应注意以下事项：</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1.从业人员、营业收入、资产总额填报上一年度数据，无上一年度数据的新成立企业可不填报。</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2.中小企业应当按照《中小企业划型标准规定》（工信部联企业〔2011〕300号），如实填写并提交《</w:t>
      </w:r>
      <w:r>
        <w:rPr>
          <w:rFonts w:hint="eastAsia" w:asciiTheme="minorEastAsia" w:hAnsiTheme="minorEastAsia" w:eastAsiaTheme="minorEastAsia" w:cstheme="minorEastAsia"/>
          <w:b w:val="0"/>
          <w:bCs w:val="0"/>
          <w:color w:val="auto"/>
          <w:kern w:val="0"/>
          <w:sz w:val="21"/>
          <w:szCs w:val="21"/>
          <w:highlight w:val="none"/>
          <w:lang w:eastAsia="zh-CN"/>
        </w:rPr>
        <w:t>中小企业声明函</w:t>
      </w:r>
      <w:r>
        <w:rPr>
          <w:rFonts w:hint="eastAsia" w:asciiTheme="minorEastAsia" w:hAnsiTheme="minorEastAsia" w:eastAsiaTheme="minorEastAsia" w:cstheme="minorEastAsia"/>
          <w:b w:val="0"/>
          <w:bCs w:val="0"/>
          <w:color w:val="auto"/>
          <w:kern w:val="0"/>
          <w:sz w:val="21"/>
          <w:szCs w:val="21"/>
          <w:highlight w:val="none"/>
        </w:rPr>
        <w:t>》。</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b w:val="0"/>
          <w:bCs w:val="0"/>
          <w:color w:val="auto"/>
          <w:kern w:val="0"/>
          <w:sz w:val="21"/>
          <w:szCs w:val="21"/>
          <w:highlight w:val="none"/>
        </w:rPr>
      </w:pPr>
      <w:r>
        <w:rPr>
          <w:rFonts w:hint="eastAsia" w:asciiTheme="minorEastAsia" w:hAnsiTheme="minorEastAsia" w:eastAsiaTheme="minorEastAsia" w:cstheme="minorEastAsia"/>
          <w:b w:val="0"/>
          <w:bCs w:val="0"/>
          <w:color w:val="auto"/>
          <w:kern w:val="0"/>
          <w:sz w:val="21"/>
          <w:szCs w:val="21"/>
          <w:highlight w:val="none"/>
        </w:rPr>
        <w:t>3.行业类别由招标人在招标文件中明确，投标人填写《中小企业声明函》中所属行业时，应与招标文件明确的行业类别一致。</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2" w:firstLineChars="200"/>
        <w:textAlignment w:val="auto"/>
        <w:rPr>
          <w:rFonts w:hint="eastAsia" w:asciiTheme="minorEastAsia" w:hAnsiTheme="minorEastAsia" w:eastAsiaTheme="minorEastAsia" w:cstheme="minorEastAsia"/>
          <w:b/>
          <w:bCs/>
          <w:color w:val="auto"/>
          <w:kern w:val="0"/>
          <w:sz w:val="21"/>
          <w:szCs w:val="21"/>
          <w:highlight w:val="none"/>
        </w:rPr>
      </w:pPr>
      <w:r>
        <w:rPr>
          <w:rFonts w:hint="eastAsia" w:asciiTheme="minorEastAsia" w:hAnsiTheme="minorEastAsia" w:eastAsiaTheme="minorEastAsia" w:cstheme="minorEastAsia"/>
          <w:b/>
          <w:bCs/>
          <w:color w:val="auto"/>
          <w:kern w:val="0"/>
          <w:sz w:val="21"/>
          <w:szCs w:val="21"/>
          <w:highlight w:val="none"/>
        </w:rPr>
        <w:t>4.本声明函“企业名称（盖章）”处为</w:t>
      </w:r>
      <w:r>
        <w:rPr>
          <w:rFonts w:hint="eastAsia" w:asciiTheme="minorEastAsia" w:hAnsiTheme="minorEastAsia" w:eastAsiaTheme="minorEastAsia" w:cstheme="minorEastAsia"/>
          <w:b/>
          <w:bCs/>
          <w:color w:val="auto"/>
          <w:kern w:val="0"/>
          <w:sz w:val="21"/>
          <w:szCs w:val="21"/>
          <w:highlight w:val="none"/>
          <w:lang w:val="en-US" w:eastAsia="zh-CN"/>
        </w:rPr>
        <w:t>投标人</w:t>
      </w:r>
      <w:r>
        <w:rPr>
          <w:rFonts w:hint="eastAsia" w:asciiTheme="minorEastAsia" w:hAnsiTheme="minorEastAsia" w:eastAsiaTheme="minorEastAsia" w:cstheme="minorEastAsia"/>
          <w:b/>
          <w:bCs/>
          <w:color w:val="auto"/>
          <w:kern w:val="0"/>
          <w:sz w:val="21"/>
          <w:szCs w:val="21"/>
          <w:highlight w:val="none"/>
        </w:rPr>
        <w:t>盖章。</w:t>
      </w:r>
    </w:p>
    <w:p>
      <w:pPr>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br w:type="page"/>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注：各行业划型标准：</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（一）农、林、牧、渔业。营业收入20000万元以下的为中小微型企业。其中，营业收入500万元及以上的为中型企业，营业收入50万元及以上的为小型企业，营业收入50万元以下的为微型企业。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firstLine="420" w:firstLineChars="200"/>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widowControl w:val="0"/>
        <w:tabs>
          <w:tab w:val="left" w:pos="6300"/>
        </w:tabs>
        <w:snapToGrid w:val="0"/>
        <w:spacing w:line="360" w:lineRule="auto"/>
        <w:ind w:firstLine="420" w:firstLineChars="200"/>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jc w:val="center"/>
        <w:rPr>
          <w:rFonts w:hint="eastAsia" w:ascii="宋体" w:hAnsi="宋体" w:eastAsia="宋体" w:cs="宋体"/>
          <w:color w:val="auto"/>
          <w:sz w:val="40"/>
          <w:szCs w:val="40"/>
          <w:highlight w:val="none"/>
          <w:lang w:eastAsia="zh-CN"/>
        </w:rPr>
      </w:pPr>
      <w:r>
        <w:rPr>
          <w:rFonts w:hint="eastAsia" w:asciiTheme="minorEastAsia" w:hAnsiTheme="minorEastAsia" w:eastAsiaTheme="minorEastAsia" w:cstheme="minorEastAsia"/>
          <w:color w:val="auto"/>
          <w:kern w:val="0"/>
          <w:sz w:val="21"/>
          <w:szCs w:val="21"/>
          <w:highlight w:val="none"/>
        </w:rPr>
        <w:t>（十六）其他未列明行业。从业人员300人以下的为中小微型企业。其中，从业人员100人及以上的为中型企业；从业人员10人及以上的为小型企业；从业人员10人以下的为微型企业。</w:t>
      </w:r>
      <w:r>
        <w:rPr>
          <w:rFonts w:hint="eastAsia" w:ascii="宋体" w:hAnsi="宋体"/>
          <w:color w:val="auto"/>
          <w:szCs w:val="21"/>
          <w:highlight w:val="none"/>
          <w:lang w:val="en-US" w:eastAsia="zh-CN"/>
        </w:rPr>
        <w:br w:type="page"/>
      </w:r>
      <w:r>
        <w:rPr>
          <w:rFonts w:hint="eastAsia" w:ascii="宋体" w:hAnsi="宋体" w:eastAsia="宋体" w:cs="宋体"/>
          <w:color w:val="auto"/>
          <w:sz w:val="40"/>
          <w:szCs w:val="40"/>
          <w:highlight w:val="none"/>
          <w:lang w:eastAsia="zh-CN"/>
        </w:rPr>
        <w:t>重庆大骐顺项目管理有限公司</w:t>
      </w:r>
    </w:p>
    <w:p>
      <w:pPr>
        <w:jc w:val="center"/>
        <w:rPr>
          <w:rFonts w:hint="eastAsia" w:ascii="宋体" w:hAnsi="宋体" w:eastAsia="宋体" w:cs="宋体"/>
          <w:b/>
          <w:bCs/>
          <w:color w:val="auto"/>
          <w:spacing w:val="40"/>
          <w:sz w:val="24"/>
          <w:szCs w:val="18"/>
          <w:highlight w:val="none"/>
        </w:rPr>
      </w:pPr>
      <w:r>
        <w:rPr>
          <w:rFonts w:hint="eastAsia" w:ascii="宋体" w:hAnsi="宋体" w:eastAsia="宋体" w:cs="宋体"/>
          <w:color w:val="auto"/>
          <w:sz w:val="40"/>
          <w:szCs w:val="40"/>
          <w:highlight w:val="none"/>
          <w:lang w:eastAsia="zh-CN"/>
        </w:rPr>
        <w:t>比选</w:t>
      </w:r>
      <w:r>
        <w:rPr>
          <w:rFonts w:hint="eastAsia" w:ascii="宋体" w:hAnsi="宋体" w:eastAsia="宋体" w:cs="宋体"/>
          <w:color w:val="auto"/>
          <w:sz w:val="40"/>
          <w:szCs w:val="40"/>
          <w:highlight w:val="none"/>
        </w:rPr>
        <w:t>报名登记表</w:t>
      </w:r>
    </w:p>
    <w:tbl>
      <w:tblPr>
        <w:tblStyle w:val="33"/>
        <w:tblW w:w="863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7"/>
        <w:gridCol w:w="2311"/>
        <w:gridCol w:w="1695"/>
        <w:gridCol w:w="278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p>
        </w:tc>
        <w:tc>
          <w:tcPr>
            <w:tcW w:w="6792" w:type="dxa"/>
            <w:gridSpan w:val="3"/>
            <w:noWrap w:val="0"/>
            <w:vAlign w:val="bottom"/>
          </w:tcPr>
          <w:p>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（投标人公章）</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手机</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办公电话</w:t>
            </w:r>
          </w:p>
        </w:tc>
        <w:tc>
          <w:tcPr>
            <w:tcW w:w="2311" w:type="dxa"/>
            <w:noWrap w:val="0"/>
            <w:vAlign w:val="center"/>
          </w:tcPr>
          <w:p>
            <w:pPr>
              <w:jc w:val="left"/>
              <w:rPr>
                <w:rFonts w:hint="eastAsia" w:ascii="宋体" w:hAnsi="宋体" w:eastAsia="宋体" w:cs="宋体"/>
                <w:color w:val="auto"/>
                <w:sz w:val="24"/>
                <w:szCs w:val="24"/>
                <w:highlight w:val="none"/>
              </w:rPr>
            </w:pPr>
          </w:p>
        </w:tc>
        <w:tc>
          <w:tcPr>
            <w:tcW w:w="169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2786" w:type="dxa"/>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E-mail</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单位地址</w:t>
            </w: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847" w:type="dxa"/>
            <w:noWrap w:val="0"/>
            <w:vAlign w:val="center"/>
          </w:tcPr>
          <w:p>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w:t>
            </w:r>
          </w:p>
        </w:tc>
        <w:tc>
          <w:tcPr>
            <w:tcW w:w="6792" w:type="dxa"/>
            <w:gridSpan w:val="3"/>
            <w:noWrap w:val="0"/>
            <w:vAlign w:val="center"/>
          </w:tcPr>
          <w:p>
            <w:pPr>
              <w:jc w:val="center"/>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847" w:type="dxa"/>
            <w:noWrap w:val="0"/>
            <w:vAlign w:val="center"/>
          </w:tcPr>
          <w:p>
            <w:pPr>
              <w:jc w:val="left"/>
              <w:rPr>
                <w:rFonts w:hint="eastAsia" w:ascii="宋体" w:hAnsi="宋体" w:eastAsia="宋体" w:cs="宋体"/>
                <w:color w:val="auto"/>
                <w:sz w:val="24"/>
                <w:szCs w:val="24"/>
                <w:highlight w:val="none"/>
              </w:rPr>
            </w:pPr>
          </w:p>
        </w:tc>
        <w:tc>
          <w:tcPr>
            <w:tcW w:w="6792" w:type="dxa"/>
            <w:gridSpan w:val="3"/>
            <w:noWrap w:val="0"/>
            <w:vAlign w:val="center"/>
          </w:tcPr>
          <w:p>
            <w:pPr>
              <w:jc w:val="left"/>
              <w:rPr>
                <w:rFonts w:hint="eastAsia" w:ascii="宋体" w:hAnsi="宋体" w:eastAsia="宋体" w:cs="宋体"/>
                <w:color w:val="auto"/>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8639" w:type="dxa"/>
            <w:gridSpan w:val="4"/>
            <w:noWrap w:val="0"/>
            <w:vAlign w:val="center"/>
          </w:tcPr>
          <w:p>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bl>
    <w:p>
      <w:pPr>
        <w:rPr>
          <w:rFonts w:hint="eastAsia" w:ascii="宋体" w:hAnsi="宋体" w:eastAsia="宋体" w:cs="宋体"/>
          <w:color w:val="auto"/>
          <w:sz w:val="24"/>
          <w:highlight w:val="none"/>
        </w:rPr>
      </w:pPr>
    </w:p>
    <w:p>
      <w:pPr>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 xml:space="preserve">人：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 xml:space="preserve"> 日期：</w:t>
      </w:r>
    </w:p>
    <w:p>
      <w:pPr>
        <w:pStyle w:val="2"/>
        <w:rPr>
          <w:rFonts w:hint="eastAsia" w:ascii="宋体" w:hAnsi="宋体" w:eastAsia="宋体" w:cs="宋体"/>
          <w:color w:val="auto"/>
          <w:highlight w:val="none"/>
        </w:rPr>
      </w:pPr>
    </w:p>
    <w:sectPr>
      <w:pgSz w:w="11906" w:h="16838"/>
      <w:pgMar w:top="1304" w:right="1134" w:bottom="1304" w:left="130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等线 Light">
    <w:altName w:val="宋体"/>
    <w:panose1 w:val="02010600030101010101"/>
    <w:charset w:val="86"/>
    <w:family w:val="roman"/>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xyNKma8BAABM&#10;AwAADgAAAAAAAAABACAAAAAeAQAAZHJzL2Uyb0RvYy54bWxQSwUGAAAAAAYABgBZAQAAP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wps:txbx>
                    <wps:bodyPr wrap="none" lIns="0" tIns="0" rIns="0" bIns="0" upright="0">
                      <a:spAutoFit/>
                    </wps:bodyPr>
                  </wps:wsp>
                </a:graphicData>
              </a:graphic>
            </wp:anchor>
          </w:drawing>
        </mc:Choice>
        <mc:Fallback>
          <w:pict>
            <v:shape id="文本框 14"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epU5Xa8BAABM&#10;AwAADgAAAAAAAAABACAAAAAeAQAAZHJzL2Uyb0RvYy54bWxQSwUGAAAAAAYABgBZAQAAPwU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236</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A8224D"/>
    <w:multiLevelType w:val="singleLevel"/>
    <w:tmpl w:val="80A8224D"/>
    <w:lvl w:ilvl="0" w:tentative="0">
      <w:start w:val="1"/>
      <w:numFmt w:val="decimal"/>
      <w:suff w:val="nothing"/>
      <w:lvlText w:val="%1、"/>
      <w:lvlJc w:val="left"/>
    </w:lvl>
  </w:abstractNum>
  <w:abstractNum w:abstractNumId="1">
    <w:nsid w:val="DCE431ED"/>
    <w:multiLevelType w:val="singleLevel"/>
    <w:tmpl w:val="DCE431ED"/>
    <w:lvl w:ilvl="0" w:tentative="0">
      <w:start w:val="1"/>
      <w:numFmt w:val="decimal"/>
      <w:lvlText w:val="(%1)"/>
      <w:lvlJc w:val="left"/>
      <w:pPr>
        <w:ind w:left="425" w:hanging="425"/>
      </w:pPr>
      <w:rPr>
        <w:rFonts w:hint="default"/>
      </w:rPr>
    </w:lvl>
  </w:abstractNum>
  <w:abstractNum w:abstractNumId="2">
    <w:nsid w:val="FE515A3B"/>
    <w:multiLevelType w:val="singleLevel"/>
    <w:tmpl w:val="FE515A3B"/>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4ZTUwMzJhNTM3NzMyZTMwYjhlZjRjMjdjYzgwY2EifQ=="/>
  </w:docVars>
  <w:rsids>
    <w:rsidRoot w:val="0021787D"/>
    <w:rsid w:val="00004E30"/>
    <w:rsid w:val="00011781"/>
    <w:rsid w:val="00016728"/>
    <w:rsid w:val="00020313"/>
    <w:rsid w:val="00026DD6"/>
    <w:rsid w:val="00032EA9"/>
    <w:rsid w:val="00033AFE"/>
    <w:rsid w:val="0004017D"/>
    <w:rsid w:val="000469AC"/>
    <w:rsid w:val="00050829"/>
    <w:rsid w:val="00050ABE"/>
    <w:rsid w:val="0005107E"/>
    <w:rsid w:val="00051AE9"/>
    <w:rsid w:val="00052D54"/>
    <w:rsid w:val="00055276"/>
    <w:rsid w:val="00056A3E"/>
    <w:rsid w:val="000627BA"/>
    <w:rsid w:val="000630BA"/>
    <w:rsid w:val="00084AE9"/>
    <w:rsid w:val="00090CB1"/>
    <w:rsid w:val="0009119A"/>
    <w:rsid w:val="0009147B"/>
    <w:rsid w:val="00093A3C"/>
    <w:rsid w:val="00093E5E"/>
    <w:rsid w:val="00093FC0"/>
    <w:rsid w:val="000A25F6"/>
    <w:rsid w:val="000A6654"/>
    <w:rsid w:val="000A6B23"/>
    <w:rsid w:val="000B351A"/>
    <w:rsid w:val="000B7F54"/>
    <w:rsid w:val="000C04B5"/>
    <w:rsid w:val="000C3532"/>
    <w:rsid w:val="000C3584"/>
    <w:rsid w:val="000C419B"/>
    <w:rsid w:val="000C5D3B"/>
    <w:rsid w:val="000C6B74"/>
    <w:rsid w:val="000C72E6"/>
    <w:rsid w:val="000D04CE"/>
    <w:rsid w:val="000D0569"/>
    <w:rsid w:val="000D0B07"/>
    <w:rsid w:val="000D156D"/>
    <w:rsid w:val="000D1CE2"/>
    <w:rsid w:val="000D572A"/>
    <w:rsid w:val="000D5770"/>
    <w:rsid w:val="000D598C"/>
    <w:rsid w:val="000D706D"/>
    <w:rsid w:val="000E2501"/>
    <w:rsid w:val="000E39FF"/>
    <w:rsid w:val="000E4805"/>
    <w:rsid w:val="000F16ED"/>
    <w:rsid w:val="000F29C7"/>
    <w:rsid w:val="000F6B02"/>
    <w:rsid w:val="000F6C40"/>
    <w:rsid w:val="0010468B"/>
    <w:rsid w:val="00110D79"/>
    <w:rsid w:val="001117DC"/>
    <w:rsid w:val="0011427F"/>
    <w:rsid w:val="001157DE"/>
    <w:rsid w:val="0011642D"/>
    <w:rsid w:val="00122604"/>
    <w:rsid w:val="00123244"/>
    <w:rsid w:val="00130B3B"/>
    <w:rsid w:val="00131232"/>
    <w:rsid w:val="001331FD"/>
    <w:rsid w:val="001337FB"/>
    <w:rsid w:val="00136206"/>
    <w:rsid w:val="001400A7"/>
    <w:rsid w:val="001416F0"/>
    <w:rsid w:val="00141E5B"/>
    <w:rsid w:val="00142D41"/>
    <w:rsid w:val="00143B5A"/>
    <w:rsid w:val="00154B46"/>
    <w:rsid w:val="00154B92"/>
    <w:rsid w:val="00155818"/>
    <w:rsid w:val="00157515"/>
    <w:rsid w:val="00160B3A"/>
    <w:rsid w:val="001620CF"/>
    <w:rsid w:val="00170350"/>
    <w:rsid w:val="00170EC1"/>
    <w:rsid w:val="00171011"/>
    <w:rsid w:val="00172FC8"/>
    <w:rsid w:val="0017458B"/>
    <w:rsid w:val="00175AC9"/>
    <w:rsid w:val="00175FFB"/>
    <w:rsid w:val="001763E8"/>
    <w:rsid w:val="001765B2"/>
    <w:rsid w:val="00181E55"/>
    <w:rsid w:val="001917A6"/>
    <w:rsid w:val="0019297B"/>
    <w:rsid w:val="00194AF8"/>
    <w:rsid w:val="0019575F"/>
    <w:rsid w:val="001A0EFE"/>
    <w:rsid w:val="001A2A9D"/>
    <w:rsid w:val="001A35DE"/>
    <w:rsid w:val="001A51BE"/>
    <w:rsid w:val="001B0B34"/>
    <w:rsid w:val="001C047F"/>
    <w:rsid w:val="001C0CCE"/>
    <w:rsid w:val="001C1521"/>
    <w:rsid w:val="001C1EA3"/>
    <w:rsid w:val="001C40F9"/>
    <w:rsid w:val="001C6AAC"/>
    <w:rsid w:val="001D16FB"/>
    <w:rsid w:val="001D2643"/>
    <w:rsid w:val="001D266A"/>
    <w:rsid w:val="001D2E77"/>
    <w:rsid w:val="001D31B2"/>
    <w:rsid w:val="001D356C"/>
    <w:rsid w:val="001D3800"/>
    <w:rsid w:val="001D3B25"/>
    <w:rsid w:val="001D6C85"/>
    <w:rsid w:val="001E2BFB"/>
    <w:rsid w:val="001E3A04"/>
    <w:rsid w:val="001E44BF"/>
    <w:rsid w:val="001F07B1"/>
    <w:rsid w:val="001F1EB1"/>
    <w:rsid w:val="001F2DE0"/>
    <w:rsid w:val="001F57BD"/>
    <w:rsid w:val="001F5BBB"/>
    <w:rsid w:val="00206472"/>
    <w:rsid w:val="00206AED"/>
    <w:rsid w:val="0021264E"/>
    <w:rsid w:val="00214719"/>
    <w:rsid w:val="0021787D"/>
    <w:rsid w:val="00220911"/>
    <w:rsid w:val="0022336A"/>
    <w:rsid w:val="0022570F"/>
    <w:rsid w:val="002277A7"/>
    <w:rsid w:val="00227F52"/>
    <w:rsid w:val="00231AD5"/>
    <w:rsid w:val="00231DD9"/>
    <w:rsid w:val="00235B2B"/>
    <w:rsid w:val="00242561"/>
    <w:rsid w:val="00243645"/>
    <w:rsid w:val="002437E4"/>
    <w:rsid w:val="00247E2F"/>
    <w:rsid w:val="00255021"/>
    <w:rsid w:val="002554B3"/>
    <w:rsid w:val="00257B7B"/>
    <w:rsid w:val="0026052D"/>
    <w:rsid w:val="002645FD"/>
    <w:rsid w:val="00270FB7"/>
    <w:rsid w:val="0027107C"/>
    <w:rsid w:val="00271883"/>
    <w:rsid w:val="00272CA8"/>
    <w:rsid w:val="002752A3"/>
    <w:rsid w:val="00280578"/>
    <w:rsid w:val="00281AE5"/>
    <w:rsid w:val="0028756C"/>
    <w:rsid w:val="00287844"/>
    <w:rsid w:val="002A497B"/>
    <w:rsid w:val="002A4A5F"/>
    <w:rsid w:val="002A5B7A"/>
    <w:rsid w:val="002B4786"/>
    <w:rsid w:val="002B6D5B"/>
    <w:rsid w:val="002B741E"/>
    <w:rsid w:val="002B74C3"/>
    <w:rsid w:val="002B7D73"/>
    <w:rsid w:val="002C0775"/>
    <w:rsid w:val="002D23CC"/>
    <w:rsid w:val="002D7EEA"/>
    <w:rsid w:val="002E0532"/>
    <w:rsid w:val="002E0A27"/>
    <w:rsid w:val="002E153F"/>
    <w:rsid w:val="002E2625"/>
    <w:rsid w:val="002E32C6"/>
    <w:rsid w:val="002F59A8"/>
    <w:rsid w:val="00302D15"/>
    <w:rsid w:val="00303BFC"/>
    <w:rsid w:val="00307376"/>
    <w:rsid w:val="0031271A"/>
    <w:rsid w:val="00313D18"/>
    <w:rsid w:val="00314B37"/>
    <w:rsid w:val="00315502"/>
    <w:rsid w:val="00323F0D"/>
    <w:rsid w:val="00324FE8"/>
    <w:rsid w:val="00326B68"/>
    <w:rsid w:val="00331C30"/>
    <w:rsid w:val="003321B7"/>
    <w:rsid w:val="003325EA"/>
    <w:rsid w:val="0033373E"/>
    <w:rsid w:val="0033429C"/>
    <w:rsid w:val="00343092"/>
    <w:rsid w:val="00350343"/>
    <w:rsid w:val="003557EB"/>
    <w:rsid w:val="00356952"/>
    <w:rsid w:val="00356B8F"/>
    <w:rsid w:val="00360052"/>
    <w:rsid w:val="00360ABA"/>
    <w:rsid w:val="003738A5"/>
    <w:rsid w:val="00381EB0"/>
    <w:rsid w:val="00387A16"/>
    <w:rsid w:val="00387D09"/>
    <w:rsid w:val="0039252B"/>
    <w:rsid w:val="00392FE1"/>
    <w:rsid w:val="0039557B"/>
    <w:rsid w:val="003A0052"/>
    <w:rsid w:val="003A3E7E"/>
    <w:rsid w:val="003A6CC2"/>
    <w:rsid w:val="003B7AC9"/>
    <w:rsid w:val="003C4E87"/>
    <w:rsid w:val="003D1C4A"/>
    <w:rsid w:val="003D2052"/>
    <w:rsid w:val="003D3400"/>
    <w:rsid w:val="003D471C"/>
    <w:rsid w:val="003D78D6"/>
    <w:rsid w:val="003E24AF"/>
    <w:rsid w:val="003E3418"/>
    <w:rsid w:val="003E35A0"/>
    <w:rsid w:val="003F2258"/>
    <w:rsid w:val="003F7811"/>
    <w:rsid w:val="00400C51"/>
    <w:rsid w:val="00402995"/>
    <w:rsid w:val="00403267"/>
    <w:rsid w:val="004038A9"/>
    <w:rsid w:val="00403C7B"/>
    <w:rsid w:val="00404997"/>
    <w:rsid w:val="004054E2"/>
    <w:rsid w:val="00411627"/>
    <w:rsid w:val="00412CFF"/>
    <w:rsid w:val="00423B51"/>
    <w:rsid w:val="004265F1"/>
    <w:rsid w:val="00427C6E"/>
    <w:rsid w:val="00430592"/>
    <w:rsid w:val="00430B33"/>
    <w:rsid w:val="00430D12"/>
    <w:rsid w:val="00437D1B"/>
    <w:rsid w:val="004639BE"/>
    <w:rsid w:val="004649E8"/>
    <w:rsid w:val="00464F66"/>
    <w:rsid w:val="0046512B"/>
    <w:rsid w:val="00466253"/>
    <w:rsid w:val="004678A0"/>
    <w:rsid w:val="00470214"/>
    <w:rsid w:val="004709CA"/>
    <w:rsid w:val="00486C9D"/>
    <w:rsid w:val="004912D7"/>
    <w:rsid w:val="00492D77"/>
    <w:rsid w:val="00492F62"/>
    <w:rsid w:val="00496797"/>
    <w:rsid w:val="004975FD"/>
    <w:rsid w:val="004A165A"/>
    <w:rsid w:val="004A6D98"/>
    <w:rsid w:val="004A750E"/>
    <w:rsid w:val="004B170B"/>
    <w:rsid w:val="004B1EE1"/>
    <w:rsid w:val="004B5075"/>
    <w:rsid w:val="004B5576"/>
    <w:rsid w:val="004B6FE3"/>
    <w:rsid w:val="004B7A07"/>
    <w:rsid w:val="004C23C6"/>
    <w:rsid w:val="004C2D2E"/>
    <w:rsid w:val="004C3C0B"/>
    <w:rsid w:val="004C6BE8"/>
    <w:rsid w:val="004D0415"/>
    <w:rsid w:val="004D0F3C"/>
    <w:rsid w:val="004D147A"/>
    <w:rsid w:val="004D3FA9"/>
    <w:rsid w:val="004D56D8"/>
    <w:rsid w:val="004D6495"/>
    <w:rsid w:val="004D7653"/>
    <w:rsid w:val="004D7E8A"/>
    <w:rsid w:val="004E2E89"/>
    <w:rsid w:val="004E44AA"/>
    <w:rsid w:val="004E4B72"/>
    <w:rsid w:val="004E574A"/>
    <w:rsid w:val="004E59CD"/>
    <w:rsid w:val="004F06A3"/>
    <w:rsid w:val="004F1377"/>
    <w:rsid w:val="004F171E"/>
    <w:rsid w:val="004F1F95"/>
    <w:rsid w:val="004F3309"/>
    <w:rsid w:val="004F74EF"/>
    <w:rsid w:val="004F766D"/>
    <w:rsid w:val="004F7A92"/>
    <w:rsid w:val="00507003"/>
    <w:rsid w:val="00507E2A"/>
    <w:rsid w:val="00507EF5"/>
    <w:rsid w:val="00517E37"/>
    <w:rsid w:val="00520AEE"/>
    <w:rsid w:val="00520C85"/>
    <w:rsid w:val="00522EA7"/>
    <w:rsid w:val="0052605F"/>
    <w:rsid w:val="005321D3"/>
    <w:rsid w:val="00532D34"/>
    <w:rsid w:val="00532FB4"/>
    <w:rsid w:val="00535AF0"/>
    <w:rsid w:val="00543C4F"/>
    <w:rsid w:val="00545354"/>
    <w:rsid w:val="00546D10"/>
    <w:rsid w:val="00546F80"/>
    <w:rsid w:val="0054717A"/>
    <w:rsid w:val="00551498"/>
    <w:rsid w:val="00551D50"/>
    <w:rsid w:val="00560E84"/>
    <w:rsid w:val="00562A62"/>
    <w:rsid w:val="005632B8"/>
    <w:rsid w:val="0056403F"/>
    <w:rsid w:val="00566911"/>
    <w:rsid w:val="0057003B"/>
    <w:rsid w:val="00590024"/>
    <w:rsid w:val="005900DD"/>
    <w:rsid w:val="005905D7"/>
    <w:rsid w:val="0059091A"/>
    <w:rsid w:val="005919A1"/>
    <w:rsid w:val="00594578"/>
    <w:rsid w:val="0059486D"/>
    <w:rsid w:val="00595454"/>
    <w:rsid w:val="0059704B"/>
    <w:rsid w:val="00597636"/>
    <w:rsid w:val="005A0996"/>
    <w:rsid w:val="005A2294"/>
    <w:rsid w:val="005A4452"/>
    <w:rsid w:val="005A5125"/>
    <w:rsid w:val="005A5D8E"/>
    <w:rsid w:val="005B0DF1"/>
    <w:rsid w:val="005B59A3"/>
    <w:rsid w:val="005B795B"/>
    <w:rsid w:val="005C4367"/>
    <w:rsid w:val="005C5B12"/>
    <w:rsid w:val="005D556F"/>
    <w:rsid w:val="005D68BA"/>
    <w:rsid w:val="005D6A7E"/>
    <w:rsid w:val="005E2F48"/>
    <w:rsid w:val="005E42A1"/>
    <w:rsid w:val="005E492E"/>
    <w:rsid w:val="005F0EC9"/>
    <w:rsid w:val="005F2415"/>
    <w:rsid w:val="005F5B7D"/>
    <w:rsid w:val="00605EF0"/>
    <w:rsid w:val="006116C8"/>
    <w:rsid w:val="006119B6"/>
    <w:rsid w:val="0061491F"/>
    <w:rsid w:val="00615A69"/>
    <w:rsid w:val="00615F67"/>
    <w:rsid w:val="00616345"/>
    <w:rsid w:val="006173A0"/>
    <w:rsid w:val="00617BA0"/>
    <w:rsid w:val="0062496B"/>
    <w:rsid w:val="006259A3"/>
    <w:rsid w:val="0062786C"/>
    <w:rsid w:val="00627C48"/>
    <w:rsid w:val="0063086C"/>
    <w:rsid w:val="00630BAC"/>
    <w:rsid w:val="00636680"/>
    <w:rsid w:val="0064026C"/>
    <w:rsid w:val="00644AF1"/>
    <w:rsid w:val="0064710E"/>
    <w:rsid w:val="00653D25"/>
    <w:rsid w:val="006549B8"/>
    <w:rsid w:val="006602F9"/>
    <w:rsid w:val="0066103C"/>
    <w:rsid w:val="00662913"/>
    <w:rsid w:val="006630E4"/>
    <w:rsid w:val="00663221"/>
    <w:rsid w:val="0067797E"/>
    <w:rsid w:val="00681700"/>
    <w:rsid w:val="00683B0E"/>
    <w:rsid w:val="00684FF2"/>
    <w:rsid w:val="00687033"/>
    <w:rsid w:val="006905D1"/>
    <w:rsid w:val="00693C78"/>
    <w:rsid w:val="00695252"/>
    <w:rsid w:val="00696076"/>
    <w:rsid w:val="0069722C"/>
    <w:rsid w:val="006A3B73"/>
    <w:rsid w:val="006A49D4"/>
    <w:rsid w:val="006B0775"/>
    <w:rsid w:val="006B0D35"/>
    <w:rsid w:val="006B12BC"/>
    <w:rsid w:val="006B47F1"/>
    <w:rsid w:val="006B6496"/>
    <w:rsid w:val="006C22D1"/>
    <w:rsid w:val="006D0373"/>
    <w:rsid w:val="006D3B14"/>
    <w:rsid w:val="006D6F0E"/>
    <w:rsid w:val="006E169A"/>
    <w:rsid w:val="006E2665"/>
    <w:rsid w:val="006E46CB"/>
    <w:rsid w:val="006F23D8"/>
    <w:rsid w:val="006F7DCC"/>
    <w:rsid w:val="00700CC0"/>
    <w:rsid w:val="007013CD"/>
    <w:rsid w:val="00702DD0"/>
    <w:rsid w:val="00704B9A"/>
    <w:rsid w:val="00706886"/>
    <w:rsid w:val="0070735D"/>
    <w:rsid w:val="007115D3"/>
    <w:rsid w:val="007147E3"/>
    <w:rsid w:val="00714D40"/>
    <w:rsid w:val="00716AAF"/>
    <w:rsid w:val="0072283E"/>
    <w:rsid w:val="00722B28"/>
    <w:rsid w:val="007305F4"/>
    <w:rsid w:val="0073457A"/>
    <w:rsid w:val="00735199"/>
    <w:rsid w:val="00735AD0"/>
    <w:rsid w:val="00736F40"/>
    <w:rsid w:val="00740C18"/>
    <w:rsid w:val="00741770"/>
    <w:rsid w:val="00746658"/>
    <w:rsid w:val="0075087C"/>
    <w:rsid w:val="007522C2"/>
    <w:rsid w:val="00753F34"/>
    <w:rsid w:val="007564A6"/>
    <w:rsid w:val="00756A64"/>
    <w:rsid w:val="00762290"/>
    <w:rsid w:val="00763573"/>
    <w:rsid w:val="00765640"/>
    <w:rsid w:val="00766B67"/>
    <w:rsid w:val="00770B58"/>
    <w:rsid w:val="0077617D"/>
    <w:rsid w:val="0077694F"/>
    <w:rsid w:val="00780227"/>
    <w:rsid w:val="0078221B"/>
    <w:rsid w:val="00782469"/>
    <w:rsid w:val="00784742"/>
    <w:rsid w:val="0078608F"/>
    <w:rsid w:val="00786581"/>
    <w:rsid w:val="00786FD1"/>
    <w:rsid w:val="00787394"/>
    <w:rsid w:val="0079067D"/>
    <w:rsid w:val="0079300F"/>
    <w:rsid w:val="0079352C"/>
    <w:rsid w:val="00794731"/>
    <w:rsid w:val="0079555B"/>
    <w:rsid w:val="00796DC8"/>
    <w:rsid w:val="007A2170"/>
    <w:rsid w:val="007A3176"/>
    <w:rsid w:val="007B3FDB"/>
    <w:rsid w:val="007B7651"/>
    <w:rsid w:val="007B7C7C"/>
    <w:rsid w:val="007C3F88"/>
    <w:rsid w:val="007C4228"/>
    <w:rsid w:val="007D0307"/>
    <w:rsid w:val="007D5067"/>
    <w:rsid w:val="007D69F9"/>
    <w:rsid w:val="007E1E6F"/>
    <w:rsid w:val="007E5981"/>
    <w:rsid w:val="007E6D61"/>
    <w:rsid w:val="007F1D54"/>
    <w:rsid w:val="007F3000"/>
    <w:rsid w:val="007F5652"/>
    <w:rsid w:val="008004F7"/>
    <w:rsid w:val="008028EC"/>
    <w:rsid w:val="00803E21"/>
    <w:rsid w:val="008060F2"/>
    <w:rsid w:val="008063C5"/>
    <w:rsid w:val="00806F22"/>
    <w:rsid w:val="0080703F"/>
    <w:rsid w:val="0081150E"/>
    <w:rsid w:val="00813CD2"/>
    <w:rsid w:val="00814925"/>
    <w:rsid w:val="00815D9F"/>
    <w:rsid w:val="008213F5"/>
    <w:rsid w:val="0082716F"/>
    <w:rsid w:val="008305F0"/>
    <w:rsid w:val="00831807"/>
    <w:rsid w:val="00831B52"/>
    <w:rsid w:val="0083494A"/>
    <w:rsid w:val="00840A44"/>
    <w:rsid w:val="008429F5"/>
    <w:rsid w:val="00843E28"/>
    <w:rsid w:val="0084438E"/>
    <w:rsid w:val="00847F28"/>
    <w:rsid w:val="008515FE"/>
    <w:rsid w:val="0085470A"/>
    <w:rsid w:val="00856607"/>
    <w:rsid w:val="0086175C"/>
    <w:rsid w:val="00862668"/>
    <w:rsid w:val="00863074"/>
    <w:rsid w:val="008718DD"/>
    <w:rsid w:val="008779A2"/>
    <w:rsid w:val="008831D7"/>
    <w:rsid w:val="00884350"/>
    <w:rsid w:val="00884A6A"/>
    <w:rsid w:val="00885592"/>
    <w:rsid w:val="00885F9C"/>
    <w:rsid w:val="00887982"/>
    <w:rsid w:val="00892E15"/>
    <w:rsid w:val="008948FE"/>
    <w:rsid w:val="008A39FF"/>
    <w:rsid w:val="008A78F5"/>
    <w:rsid w:val="008A7909"/>
    <w:rsid w:val="008B1327"/>
    <w:rsid w:val="008B3BCC"/>
    <w:rsid w:val="008B4192"/>
    <w:rsid w:val="008B6988"/>
    <w:rsid w:val="008C0765"/>
    <w:rsid w:val="008C3435"/>
    <w:rsid w:val="008C3DAC"/>
    <w:rsid w:val="008D0206"/>
    <w:rsid w:val="008D3E97"/>
    <w:rsid w:val="008D3F97"/>
    <w:rsid w:val="008D4341"/>
    <w:rsid w:val="008D5C11"/>
    <w:rsid w:val="008D7712"/>
    <w:rsid w:val="008E1810"/>
    <w:rsid w:val="008E30EB"/>
    <w:rsid w:val="008E3E29"/>
    <w:rsid w:val="008E5DC9"/>
    <w:rsid w:val="008E6007"/>
    <w:rsid w:val="008E615F"/>
    <w:rsid w:val="008E7C11"/>
    <w:rsid w:val="008F2924"/>
    <w:rsid w:val="008F3AE8"/>
    <w:rsid w:val="008F4C81"/>
    <w:rsid w:val="008F7D76"/>
    <w:rsid w:val="009006D4"/>
    <w:rsid w:val="00900897"/>
    <w:rsid w:val="009025D6"/>
    <w:rsid w:val="009061A8"/>
    <w:rsid w:val="00907B30"/>
    <w:rsid w:val="00911690"/>
    <w:rsid w:val="00912C5B"/>
    <w:rsid w:val="009174C7"/>
    <w:rsid w:val="009207F4"/>
    <w:rsid w:val="0092106D"/>
    <w:rsid w:val="00924A13"/>
    <w:rsid w:val="00935191"/>
    <w:rsid w:val="00943F40"/>
    <w:rsid w:val="00963BE8"/>
    <w:rsid w:val="009642A0"/>
    <w:rsid w:val="009642C7"/>
    <w:rsid w:val="009660B9"/>
    <w:rsid w:val="009673A8"/>
    <w:rsid w:val="0096795A"/>
    <w:rsid w:val="00967F51"/>
    <w:rsid w:val="00970A96"/>
    <w:rsid w:val="00973E47"/>
    <w:rsid w:val="009742D9"/>
    <w:rsid w:val="00974C92"/>
    <w:rsid w:val="00976F66"/>
    <w:rsid w:val="0098378E"/>
    <w:rsid w:val="00984059"/>
    <w:rsid w:val="00984248"/>
    <w:rsid w:val="00985033"/>
    <w:rsid w:val="00986E18"/>
    <w:rsid w:val="00992959"/>
    <w:rsid w:val="00993D83"/>
    <w:rsid w:val="0099584B"/>
    <w:rsid w:val="00997A63"/>
    <w:rsid w:val="009A1001"/>
    <w:rsid w:val="009A3E57"/>
    <w:rsid w:val="009A7BD9"/>
    <w:rsid w:val="009B017F"/>
    <w:rsid w:val="009B372E"/>
    <w:rsid w:val="009B56FA"/>
    <w:rsid w:val="009C0156"/>
    <w:rsid w:val="009C1BA8"/>
    <w:rsid w:val="009C22CC"/>
    <w:rsid w:val="009C32F7"/>
    <w:rsid w:val="009C3706"/>
    <w:rsid w:val="009C4F3B"/>
    <w:rsid w:val="009E1DF0"/>
    <w:rsid w:val="009F13D6"/>
    <w:rsid w:val="009F4A43"/>
    <w:rsid w:val="00A04584"/>
    <w:rsid w:val="00A0723B"/>
    <w:rsid w:val="00A12B8A"/>
    <w:rsid w:val="00A12C79"/>
    <w:rsid w:val="00A13975"/>
    <w:rsid w:val="00A15B86"/>
    <w:rsid w:val="00A166FA"/>
    <w:rsid w:val="00A22C1D"/>
    <w:rsid w:val="00A234B4"/>
    <w:rsid w:val="00A310DB"/>
    <w:rsid w:val="00A32CF3"/>
    <w:rsid w:val="00A33474"/>
    <w:rsid w:val="00A345D8"/>
    <w:rsid w:val="00A4123D"/>
    <w:rsid w:val="00A42A1D"/>
    <w:rsid w:val="00A43594"/>
    <w:rsid w:val="00A47BA3"/>
    <w:rsid w:val="00A50377"/>
    <w:rsid w:val="00A564D6"/>
    <w:rsid w:val="00A6048D"/>
    <w:rsid w:val="00A63203"/>
    <w:rsid w:val="00A65778"/>
    <w:rsid w:val="00A66FBD"/>
    <w:rsid w:val="00A773E2"/>
    <w:rsid w:val="00A82769"/>
    <w:rsid w:val="00A85010"/>
    <w:rsid w:val="00A85F0A"/>
    <w:rsid w:val="00A875F0"/>
    <w:rsid w:val="00A87945"/>
    <w:rsid w:val="00A90E67"/>
    <w:rsid w:val="00A92A85"/>
    <w:rsid w:val="00A94C2B"/>
    <w:rsid w:val="00A95A34"/>
    <w:rsid w:val="00AA0996"/>
    <w:rsid w:val="00AA1932"/>
    <w:rsid w:val="00AA1C23"/>
    <w:rsid w:val="00AA241C"/>
    <w:rsid w:val="00AA79CC"/>
    <w:rsid w:val="00AB626D"/>
    <w:rsid w:val="00AC2403"/>
    <w:rsid w:val="00AC37CA"/>
    <w:rsid w:val="00AC600F"/>
    <w:rsid w:val="00AC6713"/>
    <w:rsid w:val="00AD00C2"/>
    <w:rsid w:val="00AD1477"/>
    <w:rsid w:val="00AD1AE5"/>
    <w:rsid w:val="00AD1FFC"/>
    <w:rsid w:val="00AD4BBF"/>
    <w:rsid w:val="00AE0CFC"/>
    <w:rsid w:val="00AE0F94"/>
    <w:rsid w:val="00AE0FFC"/>
    <w:rsid w:val="00AE1978"/>
    <w:rsid w:val="00AE3E6C"/>
    <w:rsid w:val="00AE49F9"/>
    <w:rsid w:val="00AF2A17"/>
    <w:rsid w:val="00AF389A"/>
    <w:rsid w:val="00B01174"/>
    <w:rsid w:val="00B01708"/>
    <w:rsid w:val="00B02066"/>
    <w:rsid w:val="00B03679"/>
    <w:rsid w:val="00B108C7"/>
    <w:rsid w:val="00B1242E"/>
    <w:rsid w:val="00B15B72"/>
    <w:rsid w:val="00B1609E"/>
    <w:rsid w:val="00B21F97"/>
    <w:rsid w:val="00B23E49"/>
    <w:rsid w:val="00B27E5E"/>
    <w:rsid w:val="00B32F7B"/>
    <w:rsid w:val="00B3409E"/>
    <w:rsid w:val="00B34A73"/>
    <w:rsid w:val="00B355F2"/>
    <w:rsid w:val="00B361FA"/>
    <w:rsid w:val="00B41ECB"/>
    <w:rsid w:val="00B4289E"/>
    <w:rsid w:val="00B44B16"/>
    <w:rsid w:val="00B509CC"/>
    <w:rsid w:val="00B57172"/>
    <w:rsid w:val="00B708CE"/>
    <w:rsid w:val="00B71B0E"/>
    <w:rsid w:val="00B720B2"/>
    <w:rsid w:val="00B7724F"/>
    <w:rsid w:val="00B80173"/>
    <w:rsid w:val="00B80912"/>
    <w:rsid w:val="00B82042"/>
    <w:rsid w:val="00B85466"/>
    <w:rsid w:val="00B86A9D"/>
    <w:rsid w:val="00B86AFF"/>
    <w:rsid w:val="00B90314"/>
    <w:rsid w:val="00B92A50"/>
    <w:rsid w:val="00B943BB"/>
    <w:rsid w:val="00B9763B"/>
    <w:rsid w:val="00BA1E41"/>
    <w:rsid w:val="00BA61B5"/>
    <w:rsid w:val="00BB0539"/>
    <w:rsid w:val="00BB2F15"/>
    <w:rsid w:val="00BB3CF5"/>
    <w:rsid w:val="00BC04EE"/>
    <w:rsid w:val="00BC0A52"/>
    <w:rsid w:val="00BC36D8"/>
    <w:rsid w:val="00BC5C6B"/>
    <w:rsid w:val="00BC5F7A"/>
    <w:rsid w:val="00BD486F"/>
    <w:rsid w:val="00BE1030"/>
    <w:rsid w:val="00BE1D59"/>
    <w:rsid w:val="00BE477B"/>
    <w:rsid w:val="00BE689F"/>
    <w:rsid w:val="00BE6C32"/>
    <w:rsid w:val="00BF0D61"/>
    <w:rsid w:val="00BF0E29"/>
    <w:rsid w:val="00BF22CF"/>
    <w:rsid w:val="00BF39DE"/>
    <w:rsid w:val="00BF47E5"/>
    <w:rsid w:val="00C01F70"/>
    <w:rsid w:val="00C020DD"/>
    <w:rsid w:val="00C029DA"/>
    <w:rsid w:val="00C02B4B"/>
    <w:rsid w:val="00C04BBD"/>
    <w:rsid w:val="00C05920"/>
    <w:rsid w:val="00C0608E"/>
    <w:rsid w:val="00C060DB"/>
    <w:rsid w:val="00C11C75"/>
    <w:rsid w:val="00C12168"/>
    <w:rsid w:val="00C15A76"/>
    <w:rsid w:val="00C16A43"/>
    <w:rsid w:val="00C22375"/>
    <w:rsid w:val="00C36E17"/>
    <w:rsid w:val="00C51D01"/>
    <w:rsid w:val="00C53252"/>
    <w:rsid w:val="00C56F3D"/>
    <w:rsid w:val="00C60B52"/>
    <w:rsid w:val="00C652DF"/>
    <w:rsid w:val="00C65616"/>
    <w:rsid w:val="00C74E86"/>
    <w:rsid w:val="00C756CC"/>
    <w:rsid w:val="00C75ED1"/>
    <w:rsid w:val="00C76544"/>
    <w:rsid w:val="00C76D7B"/>
    <w:rsid w:val="00C83AB7"/>
    <w:rsid w:val="00C84009"/>
    <w:rsid w:val="00C84318"/>
    <w:rsid w:val="00C84D21"/>
    <w:rsid w:val="00C932E6"/>
    <w:rsid w:val="00C9683C"/>
    <w:rsid w:val="00CA3BE9"/>
    <w:rsid w:val="00CA69DF"/>
    <w:rsid w:val="00CB0D49"/>
    <w:rsid w:val="00CB1818"/>
    <w:rsid w:val="00CB3EAA"/>
    <w:rsid w:val="00CB680F"/>
    <w:rsid w:val="00CC3C54"/>
    <w:rsid w:val="00CC50FB"/>
    <w:rsid w:val="00CC748B"/>
    <w:rsid w:val="00CD0859"/>
    <w:rsid w:val="00CD2C9A"/>
    <w:rsid w:val="00CD34A5"/>
    <w:rsid w:val="00CD7D26"/>
    <w:rsid w:val="00CE0006"/>
    <w:rsid w:val="00CE0726"/>
    <w:rsid w:val="00CE3865"/>
    <w:rsid w:val="00CE3C3E"/>
    <w:rsid w:val="00CE69DB"/>
    <w:rsid w:val="00CF5728"/>
    <w:rsid w:val="00CF6388"/>
    <w:rsid w:val="00D01F4D"/>
    <w:rsid w:val="00D03344"/>
    <w:rsid w:val="00D05F15"/>
    <w:rsid w:val="00D1025C"/>
    <w:rsid w:val="00D10F49"/>
    <w:rsid w:val="00D15FED"/>
    <w:rsid w:val="00D245DE"/>
    <w:rsid w:val="00D24EBF"/>
    <w:rsid w:val="00D33C33"/>
    <w:rsid w:val="00D40F94"/>
    <w:rsid w:val="00D42CC1"/>
    <w:rsid w:val="00D50CCE"/>
    <w:rsid w:val="00D51A49"/>
    <w:rsid w:val="00D55576"/>
    <w:rsid w:val="00D60AE1"/>
    <w:rsid w:val="00D6103E"/>
    <w:rsid w:val="00D61529"/>
    <w:rsid w:val="00D70FB6"/>
    <w:rsid w:val="00D73030"/>
    <w:rsid w:val="00D744CE"/>
    <w:rsid w:val="00D748EB"/>
    <w:rsid w:val="00D75F5D"/>
    <w:rsid w:val="00D76503"/>
    <w:rsid w:val="00D77F2E"/>
    <w:rsid w:val="00D81ABC"/>
    <w:rsid w:val="00D8266A"/>
    <w:rsid w:val="00D831F5"/>
    <w:rsid w:val="00D85CFC"/>
    <w:rsid w:val="00D87FC9"/>
    <w:rsid w:val="00D96B0A"/>
    <w:rsid w:val="00D978CF"/>
    <w:rsid w:val="00D97CC2"/>
    <w:rsid w:val="00DA0744"/>
    <w:rsid w:val="00DA2537"/>
    <w:rsid w:val="00DA2721"/>
    <w:rsid w:val="00DA79DF"/>
    <w:rsid w:val="00DB0AD1"/>
    <w:rsid w:val="00DB2FC1"/>
    <w:rsid w:val="00DB6728"/>
    <w:rsid w:val="00DC01D7"/>
    <w:rsid w:val="00DC0956"/>
    <w:rsid w:val="00DC5C89"/>
    <w:rsid w:val="00DC5CB6"/>
    <w:rsid w:val="00DC6C9E"/>
    <w:rsid w:val="00DC6CBA"/>
    <w:rsid w:val="00DD257D"/>
    <w:rsid w:val="00DD3638"/>
    <w:rsid w:val="00DD5258"/>
    <w:rsid w:val="00DE32A2"/>
    <w:rsid w:val="00DE7418"/>
    <w:rsid w:val="00DE796C"/>
    <w:rsid w:val="00DF0A97"/>
    <w:rsid w:val="00DF2AE7"/>
    <w:rsid w:val="00DF4446"/>
    <w:rsid w:val="00DF5B41"/>
    <w:rsid w:val="00DF7885"/>
    <w:rsid w:val="00E0055E"/>
    <w:rsid w:val="00E03A73"/>
    <w:rsid w:val="00E04E62"/>
    <w:rsid w:val="00E05DAE"/>
    <w:rsid w:val="00E111BE"/>
    <w:rsid w:val="00E16CAC"/>
    <w:rsid w:val="00E17210"/>
    <w:rsid w:val="00E17299"/>
    <w:rsid w:val="00E1783C"/>
    <w:rsid w:val="00E20383"/>
    <w:rsid w:val="00E3303A"/>
    <w:rsid w:val="00E361F5"/>
    <w:rsid w:val="00E37699"/>
    <w:rsid w:val="00E40928"/>
    <w:rsid w:val="00E40E60"/>
    <w:rsid w:val="00E51350"/>
    <w:rsid w:val="00E51D86"/>
    <w:rsid w:val="00E51ED2"/>
    <w:rsid w:val="00E53479"/>
    <w:rsid w:val="00E55907"/>
    <w:rsid w:val="00E560FC"/>
    <w:rsid w:val="00E64F2F"/>
    <w:rsid w:val="00E669E4"/>
    <w:rsid w:val="00E75CDE"/>
    <w:rsid w:val="00E769C9"/>
    <w:rsid w:val="00E810F5"/>
    <w:rsid w:val="00E82A94"/>
    <w:rsid w:val="00E914D5"/>
    <w:rsid w:val="00E92F99"/>
    <w:rsid w:val="00E96CF4"/>
    <w:rsid w:val="00E9768A"/>
    <w:rsid w:val="00EA2132"/>
    <w:rsid w:val="00EA47A2"/>
    <w:rsid w:val="00EA5325"/>
    <w:rsid w:val="00EA53D3"/>
    <w:rsid w:val="00EA78F5"/>
    <w:rsid w:val="00EA7A1D"/>
    <w:rsid w:val="00EA7D8F"/>
    <w:rsid w:val="00EB2A4C"/>
    <w:rsid w:val="00EB3172"/>
    <w:rsid w:val="00EB56F7"/>
    <w:rsid w:val="00EB58DE"/>
    <w:rsid w:val="00EC0307"/>
    <w:rsid w:val="00EC42A9"/>
    <w:rsid w:val="00EC7D86"/>
    <w:rsid w:val="00ED055D"/>
    <w:rsid w:val="00ED16CF"/>
    <w:rsid w:val="00ED3C95"/>
    <w:rsid w:val="00ED6CC5"/>
    <w:rsid w:val="00ED7F97"/>
    <w:rsid w:val="00EE50BB"/>
    <w:rsid w:val="00EF142E"/>
    <w:rsid w:val="00EF1678"/>
    <w:rsid w:val="00F009F0"/>
    <w:rsid w:val="00F01A2C"/>
    <w:rsid w:val="00F027EF"/>
    <w:rsid w:val="00F04A7F"/>
    <w:rsid w:val="00F05431"/>
    <w:rsid w:val="00F10D38"/>
    <w:rsid w:val="00F22061"/>
    <w:rsid w:val="00F22A1C"/>
    <w:rsid w:val="00F25E7F"/>
    <w:rsid w:val="00F25F54"/>
    <w:rsid w:val="00F266BD"/>
    <w:rsid w:val="00F3026F"/>
    <w:rsid w:val="00F32057"/>
    <w:rsid w:val="00F34F46"/>
    <w:rsid w:val="00F43788"/>
    <w:rsid w:val="00F51178"/>
    <w:rsid w:val="00F517C8"/>
    <w:rsid w:val="00F52500"/>
    <w:rsid w:val="00F5606A"/>
    <w:rsid w:val="00F57924"/>
    <w:rsid w:val="00F61E07"/>
    <w:rsid w:val="00F61E65"/>
    <w:rsid w:val="00F62398"/>
    <w:rsid w:val="00F63D9A"/>
    <w:rsid w:val="00F64420"/>
    <w:rsid w:val="00F65076"/>
    <w:rsid w:val="00F725DF"/>
    <w:rsid w:val="00F73A4F"/>
    <w:rsid w:val="00F745ED"/>
    <w:rsid w:val="00F75DBF"/>
    <w:rsid w:val="00F80B54"/>
    <w:rsid w:val="00F82763"/>
    <w:rsid w:val="00F8351F"/>
    <w:rsid w:val="00F842A5"/>
    <w:rsid w:val="00F86A15"/>
    <w:rsid w:val="00F87954"/>
    <w:rsid w:val="00F9159B"/>
    <w:rsid w:val="00F91FE2"/>
    <w:rsid w:val="00F930D1"/>
    <w:rsid w:val="00F93D8C"/>
    <w:rsid w:val="00F94736"/>
    <w:rsid w:val="00FA2978"/>
    <w:rsid w:val="00FA68C6"/>
    <w:rsid w:val="00FA7C8E"/>
    <w:rsid w:val="00FA7D07"/>
    <w:rsid w:val="00FB0174"/>
    <w:rsid w:val="00FB1292"/>
    <w:rsid w:val="00FB1EF8"/>
    <w:rsid w:val="00FB6004"/>
    <w:rsid w:val="00FC061E"/>
    <w:rsid w:val="00FC4FD9"/>
    <w:rsid w:val="00FC7909"/>
    <w:rsid w:val="00FD4667"/>
    <w:rsid w:val="00FE0054"/>
    <w:rsid w:val="00FE0586"/>
    <w:rsid w:val="00FE0B63"/>
    <w:rsid w:val="00FE4676"/>
    <w:rsid w:val="00FF0ADE"/>
    <w:rsid w:val="00FF0C78"/>
    <w:rsid w:val="00FF1D8B"/>
    <w:rsid w:val="00FF3860"/>
    <w:rsid w:val="00FF4240"/>
    <w:rsid w:val="00FF54F5"/>
    <w:rsid w:val="00FF582D"/>
    <w:rsid w:val="014F77FD"/>
    <w:rsid w:val="01BD7155"/>
    <w:rsid w:val="01C8709F"/>
    <w:rsid w:val="01CB6AEA"/>
    <w:rsid w:val="023011F5"/>
    <w:rsid w:val="02B67D2C"/>
    <w:rsid w:val="02C97208"/>
    <w:rsid w:val="03232C97"/>
    <w:rsid w:val="0449181A"/>
    <w:rsid w:val="044A1D23"/>
    <w:rsid w:val="048A5101"/>
    <w:rsid w:val="0491196B"/>
    <w:rsid w:val="04DA472B"/>
    <w:rsid w:val="051279AA"/>
    <w:rsid w:val="05592D53"/>
    <w:rsid w:val="0585676B"/>
    <w:rsid w:val="05873449"/>
    <w:rsid w:val="0620273A"/>
    <w:rsid w:val="064B0E32"/>
    <w:rsid w:val="067E64B8"/>
    <w:rsid w:val="06A3051A"/>
    <w:rsid w:val="06C07E9C"/>
    <w:rsid w:val="073D68E0"/>
    <w:rsid w:val="07BE618B"/>
    <w:rsid w:val="081639F1"/>
    <w:rsid w:val="081F724D"/>
    <w:rsid w:val="083B1C9D"/>
    <w:rsid w:val="083C0673"/>
    <w:rsid w:val="08910757"/>
    <w:rsid w:val="09691011"/>
    <w:rsid w:val="097825B5"/>
    <w:rsid w:val="09784721"/>
    <w:rsid w:val="097C3834"/>
    <w:rsid w:val="097D43D3"/>
    <w:rsid w:val="09A12942"/>
    <w:rsid w:val="09EA17B6"/>
    <w:rsid w:val="0A1022FA"/>
    <w:rsid w:val="0A1259C1"/>
    <w:rsid w:val="0A59403A"/>
    <w:rsid w:val="0AA6526E"/>
    <w:rsid w:val="0AC30814"/>
    <w:rsid w:val="0AD94F16"/>
    <w:rsid w:val="0AE957B4"/>
    <w:rsid w:val="0B00739E"/>
    <w:rsid w:val="0B0F72C5"/>
    <w:rsid w:val="0B233575"/>
    <w:rsid w:val="0B407A53"/>
    <w:rsid w:val="0B453633"/>
    <w:rsid w:val="0B6D05B8"/>
    <w:rsid w:val="0BCD7476"/>
    <w:rsid w:val="0C4A2238"/>
    <w:rsid w:val="0C8F3B55"/>
    <w:rsid w:val="0D150B42"/>
    <w:rsid w:val="0D3E26A4"/>
    <w:rsid w:val="0D4C4892"/>
    <w:rsid w:val="0D745C17"/>
    <w:rsid w:val="0D973D58"/>
    <w:rsid w:val="0D9F2BF4"/>
    <w:rsid w:val="0DB24751"/>
    <w:rsid w:val="0DB93D8E"/>
    <w:rsid w:val="0DE047BF"/>
    <w:rsid w:val="0E1B0C80"/>
    <w:rsid w:val="0E313CB2"/>
    <w:rsid w:val="0E375F71"/>
    <w:rsid w:val="0EAE5F16"/>
    <w:rsid w:val="0EFD0645"/>
    <w:rsid w:val="0F1F58A5"/>
    <w:rsid w:val="0F20638A"/>
    <w:rsid w:val="0F3E2235"/>
    <w:rsid w:val="0F4372C8"/>
    <w:rsid w:val="0FAD4F92"/>
    <w:rsid w:val="0FD93D3D"/>
    <w:rsid w:val="0FDB683D"/>
    <w:rsid w:val="0FEB191A"/>
    <w:rsid w:val="0FEC0DA5"/>
    <w:rsid w:val="1001679E"/>
    <w:rsid w:val="110C442C"/>
    <w:rsid w:val="1130644C"/>
    <w:rsid w:val="113A5835"/>
    <w:rsid w:val="1142324A"/>
    <w:rsid w:val="11672002"/>
    <w:rsid w:val="11A36112"/>
    <w:rsid w:val="11EE7BE1"/>
    <w:rsid w:val="12A5526C"/>
    <w:rsid w:val="12D75E24"/>
    <w:rsid w:val="12E8751A"/>
    <w:rsid w:val="130B7EEE"/>
    <w:rsid w:val="135F621C"/>
    <w:rsid w:val="139C25E8"/>
    <w:rsid w:val="13D3033B"/>
    <w:rsid w:val="141D7709"/>
    <w:rsid w:val="144D0EF9"/>
    <w:rsid w:val="14764402"/>
    <w:rsid w:val="1476678A"/>
    <w:rsid w:val="14850D94"/>
    <w:rsid w:val="14A5693F"/>
    <w:rsid w:val="14A9258C"/>
    <w:rsid w:val="14AC5F02"/>
    <w:rsid w:val="14D86A5D"/>
    <w:rsid w:val="153D55BD"/>
    <w:rsid w:val="15776D7E"/>
    <w:rsid w:val="157A0D68"/>
    <w:rsid w:val="15B62E01"/>
    <w:rsid w:val="15EE3AB6"/>
    <w:rsid w:val="16630470"/>
    <w:rsid w:val="16647707"/>
    <w:rsid w:val="16A672C9"/>
    <w:rsid w:val="16AE3F18"/>
    <w:rsid w:val="16B81603"/>
    <w:rsid w:val="16CF1CC6"/>
    <w:rsid w:val="17072BAB"/>
    <w:rsid w:val="1711696E"/>
    <w:rsid w:val="172E7810"/>
    <w:rsid w:val="17465B7A"/>
    <w:rsid w:val="17794346"/>
    <w:rsid w:val="182E0082"/>
    <w:rsid w:val="185507A1"/>
    <w:rsid w:val="186D1005"/>
    <w:rsid w:val="187359FA"/>
    <w:rsid w:val="188E727B"/>
    <w:rsid w:val="18AB23C6"/>
    <w:rsid w:val="18EA622B"/>
    <w:rsid w:val="196462BA"/>
    <w:rsid w:val="1977632C"/>
    <w:rsid w:val="197C1FCE"/>
    <w:rsid w:val="19A20EDD"/>
    <w:rsid w:val="19A526C7"/>
    <w:rsid w:val="1A3C0C0D"/>
    <w:rsid w:val="1A585BC2"/>
    <w:rsid w:val="1A5E6A00"/>
    <w:rsid w:val="1A8671EE"/>
    <w:rsid w:val="1A9262B2"/>
    <w:rsid w:val="1AEE6276"/>
    <w:rsid w:val="1AF323D8"/>
    <w:rsid w:val="1AF62C69"/>
    <w:rsid w:val="1AF771ED"/>
    <w:rsid w:val="1BC20C24"/>
    <w:rsid w:val="1BFD27A2"/>
    <w:rsid w:val="1C011678"/>
    <w:rsid w:val="1C2A7E30"/>
    <w:rsid w:val="1C53323F"/>
    <w:rsid w:val="1C756A7F"/>
    <w:rsid w:val="1CE87118"/>
    <w:rsid w:val="1E587E3F"/>
    <w:rsid w:val="1E710514"/>
    <w:rsid w:val="1E925EEC"/>
    <w:rsid w:val="1E9B5208"/>
    <w:rsid w:val="1EE25BAC"/>
    <w:rsid w:val="1F3522C3"/>
    <w:rsid w:val="1F404FCB"/>
    <w:rsid w:val="1F6968B5"/>
    <w:rsid w:val="203043BA"/>
    <w:rsid w:val="203D6437"/>
    <w:rsid w:val="204C6209"/>
    <w:rsid w:val="209605CD"/>
    <w:rsid w:val="20C032A2"/>
    <w:rsid w:val="20D71CBF"/>
    <w:rsid w:val="21224CAB"/>
    <w:rsid w:val="21590E3E"/>
    <w:rsid w:val="219A17D7"/>
    <w:rsid w:val="21A33D9D"/>
    <w:rsid w:val="21D71E61"/>
    <w:rsid w:val="21DD798D"/>
    <w:rsid w:val="224D32E0"/>
    <w:rsid w:val="22630AD3"/>
    <w:rsid w:val="22A21A7F"/>
    <w:rsid w:val="22A866B9"/>
    <w:rsid w:val="22A868C7"/>
    <w:rsid w:val="22F05CD0"/>
    <w:rsid w:val="23034202"/>
    <w:rsid w:val="234347F4"/>
    <w:rsid w:val="235C1616"/>
    <w:rsid w:val="23BE63FD"/>
    <w:rsid w:val="23DF56EE"/>
    <w:rsid w:val="23E87558"/>
    <w:rsid w:val="243D0021"/>
    <w:rsid w:val="24571916"/>
    <w:rsid w:val="24D96407"/>
    <w:rsid w:val="25036463"/>
    <w:rsid w:val="25DB7A84"/>
    <w:rsid w:val="262016F6"/>
    <w:rsid w:val="26730A93"/>
    <w:rsid w:val="26BC3ED1"/>
    <w:rsid w:val="26E03B86"/>
    <w:rsid w:val="26E5714E"/>
    <w:rsid w:val="27817123"/>
    <w:rsid w:val="2796417F"/>
    <w:rsid w:val="27D35BB1"/>
    <w:rsid w:val="27EE79E5"/>
    <w:rsid w:val="28966B51"/>
    <w:rsid w:val="28AA26C7"/>
    <w:rsid w:val="28BB49F0"/>
    <w:rsid w:val="29036481"/>
    <w:rsid w:val="29116A0B"/>
    <w:rsid w:val="29FC6BA5"/>
    <w:rsid w:val="2A3335CD"/>
    <w:rsid w:val="2A42741A"/>
    <w:rsid w:val="2B2D30AD"/>
    <w:rsid w:val="2B4E1731"/>
    <w:rsid w:val="2B840CEF"/>
    <w:rsid w:val="2BC34B28"/>
    <w:rsid w:val="2BC7066A"/>
    <w:rsid w:val="2BF4566F"/>
    <w:rsid w:val="2C0223D5"/>
    <w:rsid w:val="2D3C672F"/>
    <w:rsid w:val="2D8C0CA9"/>
    <w:rsid w:val="2E211F3C"/>
    <w:rsid w:val="2E383E35"/>
    <w:rsid w:val="2E3C2B38"/>
    <w:rsid w:val="2E5E719D"/>
    <w:rsid w:val="2E864028"/>
    <w:rsid w:val="2E9A469C"/>
    <w:rsid w:val="2EA90039"/>
    <w:rsid w:val="2EE74166"/>
    <w:rsid w:val="2F1B3FB6"/>
    <w:rsid w:val="2F351546"/>
    <w:rsid w:val="300435EF"/>
    <w:rsid w:val="302202AA"/>
    <w:rsid w:val="302F2916"/>
    <w:rsid w:val="31122E18"/>
    <w:rsid w:val="319B301C"/>
    <w:rsid w:val="31DA3FA2"/>
    <w:rsid w:val="32064B97"/>
    <w:rsid w:val="32262AF8"/>
    <w:rsid w:val="322724E2"/>
    <w:rsid w:val="323B56EB"/>
    <w:rsid w:val="325516D3"/>
    <w:rsid w:val="32C93B11"/>
    <w:rsid w:val="32DD5CE2"/>
    <w:rsid w:val="32FA66E7"/>
    <w:rsid w:val="330453E1"/>
    <w:rsid w:val="33A12142"/>
    <w:rsid w:val="33CA1B48"/>
    <w:rsid w:val="33D23AE7"/>
    <w:rsid w:val="33E36A20"/>
    <w:rsid w:val="33E82C54"/>
    <w:rsid w:val="33E84C6F"/>
    <w:rsid w:val="34094D01"/>
    <w:rsid w:val="344D638C"/>
    <w:rsid w:val="34623430"/>
    <w:rsid w:val="347B7232"/>
    <w:rsid w:val="34A43D50"/>
    <w:rsid w:val="3522336A"/>
    <w:rsid w:val="356614A1"/>
    <w:rsid w:val="35991723"/>
    <w:rsid w:val="35A4308C"/>
    <w:rsid w:val="35B04C18"/>
    <w:rsid w:val="35BA3378"/>
    <w:rsid w:val="35E43AC5"/>
    <w:rsid w:val="365C138D"/>
    <w:rsid w:val="365D3297"/>
    <w:rsid w:val="365F2FA1"/>
    <w:rsid w:val="36A12F8B"/>
    <w:rsid w:val="36B75F37"/>
    <w:rsid w:val="370C6480"/>
    <w:rsid w:val="373B1965"/>
    <w:rsid w:val="37464D41"/>
    <w:rsid w:val="376B5470"/>
    <w:rsid w:val="377F0339"/>
    <w:rsid w:val="378576A4"/>
    <w:rsid w:val="378661DC"/>
    <w:rsid w:val="378D144C"/>
    <w:rsid w:val="37D912AF"/>
    <w:rsid w:val="37F938E1"/>
    <w:rsid w:val="38485DF3"/>
    <w:rsid w:val="38D70825"/>
    <w:rsid w:val="38F013CF"/>
    <w:rsid w:val="38FE46A4"/>
    <w:rsid w:val="392873D2"/>
    <w:rsid w:val="393A5AD8"/>
    <w:rsid w:val="393E267E"/>
    <w:rsid w:val="394936CA"/>
    <w:rsid w:val="394C7A4E"/>
    <w:rsid w:val="39DB57D8"/>
    <w:rsid w:val="39DF5E7B"/>
    <w:rsid w:val="3A4A20F0"/>
    <w:rsid w:val="3A9D5677"/>
    <w:rsid w:val="3AA34991"/>
    <w:rsid w:val="3ADE2055"/>
    <w:rsid w:val="3B0D436B"/>
    <w:rsid w:val="3B3D3804"/>
    <w:rsid w:val="3B6D0393"/>
    <w:rsid w:val="3B6E262E"/>
    <w:rsid w:val="3BA42917"/>
    <w:rsid w:val="3C6B3FB1"/>
    <w:rsid w:val="3CB54F9E"/>
    <w:rsid w:val="3CDE7AB5"/>
    <w:rsid w:val="3D9D3166"/>
    <w:rsid w:val="3DD83EEF"/>
    <w:rsid w:val="3DF35112"/>
    <w:rsid w:val="3DF4772F"/>
    <w:rsid w:val="3E120575"/>
    <w:rsid w:val="3E16647C"/>
    <w:rsid w:val="3E554671"/>
    <w:rsid w:val="3E8C29D0"/>
    <w:rsid w:val="3EB05AE8"/>
    <w:rsid w:val="3F1359D9"/>
    <w:rsid w:val="3F181114"/>
    <w:rsid w:val="3F736F49"/>
    <w:rsid w:val="3F936427"/>
    <w:rsid w:val="3FDB7F0E"/>
    <w:rsid w:val="3FE25EF9"/>
    <w:rsid w:val="40330355"/>
    <w:rsid w:val="4074430D"/>
    <w:rsid w:val="408332FD"/>
    <w:rsid w:val="40A1076A"/>
    <w:rsid w:val="41173673"/>
    <w:rsid w:val="412D0429"/>
    <w:rsid w:val="41890F84"/>
    <w:rsid w:val="41935AA8"/>
    <w:rsid w:val="41AF06E5"/>
    <w:rsid w:val="420F5CD5"/>
    <w:rsid w:val="422D088A"/>
    <w:rsid w:val="42DE6BC4"/>
    <w:rsid w:val="42E84710"/>
    <w:rsid w:val="42EB0458"/>
    <w:rsid w:val="4310260B"/>
    <w:rsid w:val="43C83E4C"/>
    <w:rsid w:val="43F6136F"/>
    <w:rsid w:val="442C1A1A"/>
    <w:rsid w:val="443D4D6D"/>
    <w:rsid w:val="445F05C2"/>
    <w:rsid w:val="44A67551"/>
    <w:rsid w:val="4522752F"/>
    <w:rsid w:val="454215A6"/>
    <w:rsid w:val="45EB7527"/>
    <w:rsid w:val="4620416D"/>
    <w:rsid w:val="46806F6C"/>
    <w:rsid w:val="46895B7E"/>
    <w:rsid w:val="46971B71"/>
    <w:rsid w:val="46B85657"/>
    <w:rsid w:val="47230359"/>
    <w:rsid w:val="47976D64"/>
    <w:rsid w:val="4815401C"/>
    <w:rsid w:val="483B43E5"/>
    <w:rsid w:val="48A81E74"/>
    <w:rsid w:val="49061368"/>
    <w:rsid w:val="49316616"/>
    <w:rsid w:val="499D19F8"/>
    <w:rsid w:val="49E6074E"/>
    <w:rsid w:val="4A187B73"/>
    <w:rsid w:val="4A7D7C6C"/>
    <w:rsid w:val="4A8357D3"/>
    <w:rsid w:val="4ACC757D"/>
    <w:rsid w:val="4AD75231"/>
    <w:rsid w:val="4BE5166F"/>
    <w:rsid w:val="4C0F41D3"/>
    <w:rsid w:val="4C140938"/>
    <w:rsid w:val="4C5335A6"/>
    <w:rsid w:val="4CCC055B"/>
    <w:rsid w:val="4CD2478B"/>
    <w:rsid w:val="4D840EA6"/>
    <w:rsid w:val="4DF06F9D"/>
    <w:rsid w:val="4E217075"/>
    <w:rsid w:val="4E2E13A4"/>
    <w:rsid w:val="4E4978FA"/>
    <w:rsid w:val="4E6C36D8"/>
    <w:rsid w:val="4E707357"/>
    <w:rsid w:val="4E811D9C"/>
    <w:rsid w:val="4ECB62BD"/>
    <w:rsid w:val="4EF91AAF"/>
    <w:rsid w:val="4F1E65B6"/>
    <w:rsid w:val="4F385F62"/>
    <w:rsid w:val="4F7C2662"/>
    <w:rsid w:val="4F841F2C"/>
    <w:rsid w:val="4F8A7BC1"/>
    <w:rsid w:val="4F8B7540"/>
    <w:rsid w:val="4FC03BB7"/>
    <w:rsid w:val="50010D18"/>
    <w:rsid w:val="5054412B"/>
    <w:rsid w:val="5070182A"/>
    <w:rsid w:val="509E60CE"/>
    <w:rsid w:val="50CB2E01"/>
    <w:rsid w:val="51350182"/>
    <w:rsid w:val="513B49B5"/>
    <w:rsid w:val="514A7DDE"/>
    <w:rsid w:val="51D90B7F"/>
    <w:rsid w:val="5242311F"/>
    <w:rsid w:val="527A50A7"/>
    <w:rsid w:val="5284158D"/>
    <w:rsid w:val="52CD6292"/>
    <w:rsid w:val="53640D1F"/>
    <w:rsid w:val="53A72CFD"/>
    <w:rsid w:val="53B848D6"/>
    <w:rsid w:val="541A5C3D"/>
    <w:rsid w:val="54664225"/>
    <w:rsid w:val="54B424A6"/>
    <w:rsid w:val="54D50B1E"/>
    <w:rsid w:val="553852FD"/>
    <w:rsid w:val="554F3275"/>
    <w:rsid w:val="55A32CEC"/>
    <w:rsid w:val="55B84A33"/>
    <w:rsid w:val="55E157DD"/>
    <w:rsid w:val="57B86E53"/>
    <w:rsid w:val="57C97459"/>
    <w:rsid w:val="58851615"/>
    <w:rsid w:val="58BF552E"/>
    <w:rsid w:val="58F3018E"/>
    <w:rsid w:val="59C559E9"/>
    <w:rsid w:val="5A107862"/>
    <w:rsid w:val="5A303418"/>
    <w:rsid w:val="5A620286"/>
    <w:rsid w:val="5A892DE9"/>
    <w:rsid w:val="5AB34451"/>
    <w:rsid w:val="5AD31898"/>
    <w:rsid w:val="5AF92E38"/>
    <w:rsid w:val="5B061EEA"/>
    <w:rsid w:val="5B0B5357"/>
    <w:rsid w:val="5BCB373A"/>
    <w:rsid w:val="5C09332D"/>
    <w:rsid w:val="5C2241EA"/>
    <w:rsid w:val="5C427612"/>
    <w:rsid w:val="5D0B72B7"/>
    <w:rsid w:val="5D2F3E81"/>
    <w:rsid w:val="5D3A3002"/>
    <w:rsid w:val="5D9D650F"/>
    <w:rsid w:val="5DC60B7B"/>
    <w:rsid w:val="5DC82230"/>
    <w:rsid w:val="5DE75350"/>
    <w:rsid w:val="5DF632D6"/>
    <w:rsid w:val="5E226469"/>
    <w:rsid w:val="5E5F1F63"/>
    <w:rsid w:val="5E614A70"/>
    <w:rsid w:val="5E700757"/>
    <w:rsid w:val="5EEA4405"/>
    <w:rsid w:val="5F7807E8"/>
    <w:rsid w:val="5F8F1CCA"/>
    <w:rsid w:val="5FD567BC"/>
    <w:rsid w:val="5FD93481"/>
    <w:rsid w:val="5FF45A39"/>
    <w:rsid w:val="600A145C"/>
    <w:rsid w:val="603C72FF"/>
    <w:rsid w:val="60951E5E"/>
    <w:rsid w:val="61637845"/>
    <w:rsid w:val="61743132"/>
    <w:rsid w:val="619A3CD5"/>
    <w:rsid w:val="623B3CDA"/>
    <w:rsid w:val="62590A51"/>
    <w:rsid w:val="628840AC"/>
    <w:rsid w:val="62B4404D"/>
    <w:rsid w:val="62E4555A"/>
    <w:rsid w:val="635316CE"/>
    <w:rsid w:val="636662E6"/>
    <w:rsid w:val="63B46F70"/>
    <w:rsid w:val="63DD2BD2"/>
    <w:rsid w:val="64744580"/>
    <w:rsid w:val="64B2485B"/>
    <w:rsid w:val="65DC4FC3"/>
    <w:rsid w:val="661D1CBA"/>
    <w:rsid w:val="66630405"/>
    <w:rsid w:val="67170CFF"/>
    <w:rsid w:val="6723328F"/>
    <w:rsid w:val="673E2FAD"/>
    <w:rsid w:val="677B2F49"/>
    <w:rsid w:val="6782583F"/>
    <w:rsid w:val="67861828"/>
    <w:rsid w:val="67A8253D"/>
    <w:rsid w:val="67EE6C5E"/>
    <w:rsid w:val="685D1D6A"/>
    <w:rsid w:val="6896659C"/>
    <w:rsid w:val="68F22FB3"/>
    <w:rsid w:val="69040F22"/>
    <w:rsid w:val="690D529F"/>
    <w:rsid w:val="69404255"/>
    <w:rsid w:val="6983580F"/>
    <w:rsid w:val="69D55525"/>
    <w:rsid w:val="69F12C12"/>
    <w:rsid w:val="6A0B6749"/>
    <w:rsid w:val="6A941EE2"/>
    <w:rsid w:val="6AF23C02"/>
    <w:rsid w:val="6B2A6EB7"/>
    <w:rsid w:val="6B391FC4"/>
    <w:rsid w:val="6B6415CC"/>
    <w:rsid w:val="6B725C27"/>
    <w:rsid w:val="6BAF252C"/>
    <w:rsid w:val="6BC76EEF"/>
    <w:rsid w:val="6BF71620"/>
    <w:rsid w:val="6CD07E03"/>
    <w:rsid w:val="6CF20C90"/>
    <w:rsid w:val="6E3B0A35"/>
    <w:rsid w:val="6E617936"/>
    <w:rsid w:val="6E64080E"/>
    <w:rsid w:val="6E8B3884"/>
    <w:rsid w:val="6EF374CD"/>
    <w:rsid w:val="6F363068"/>
    <w:rsid w:val="6F7C126C"/>
    <w:rsid w:val="6FEA5E6C"/>
    <w:rsid w:val="70195AE2"/>
    <w:rsid w:val="70233379"/>
    <w:rsid w:val="706D7EFF"/>
    <w:rsid w:val="70900C9D"/>
    <w:rsid w:val="70D00331"/>
    <w:rsid w:val="71D97BD7"/>
    <w:rsid w:val="71DC5AD4"/>
    <w:rsid w:val="72817588"/>
    <w:rsid w:val="7288789C"/>
    <w:rsid w:val="728F064B"/>
    <w:rsid w:val="72BB1C50"/>
    <w:rsid w:val="72BD1547"/>
    <w:rsid w:val="72CE59A2"/>
    <w:rsid w:val="72F71CE0"/>
    <w:rsid w:val="73C61AAF"/>
    <w:rsid w:val="7405578E"/>
    <w:rsid w:val="74245921"/>
    <w:rsid w:val="743B5A97"/>
    <w:rsid w:val="74994F19"/>
    <w:rsid w:val="75332BD9"/>
    <w:rsid w:val="75511F93"/>
    <w:rsid w:val="755702EC"/>
    <w:rsid w:val="755A18A0"/>
    <w:rsid w:val="756D3404"/>
    <w:rsid w:val="757D42C2"/>
    <w:rsid w:val="75A7007A"/>
    <w:rsid w:val="75A823AB"/>
    <w:rsid w:val="75F30DB1"/>
    <w:rsid w:val="76576F7D"/>
    <w:rsid w:val="765D4BDE"/>
    <w:rsid w:val="76987597"/>
    <w:rsid w:val="76A36ECC"/>
    <w:rsid w:val="76E432CD"/>
    <w:rsid w:val="76FB50AD"/>
    <w:rsid w:val="77053749"/>
    <w:rsid w:val="77247BB4"/>
    <w:rsid w:val="77B169C2"/>
    <w:rsid w:val="77E236CF"/>
    <w:rsid w:val="7849267D"/>
    <w:rsid w:val="78F51F09"/>
    <w:rsid w:val="7902696A"/>
    <w:rsid w:val="791E38B3"/>
    <w:rsid w:val="795E3DD1"/>
    <w:rsid w:val="79B03E9D"/>
    <w:rsid w:val="79F06ECD"/>
    <w:rsid w:val="7A3863BA"/>
    <w:rsid w:val="7A4714C9"/>
    <w:rsid w:val="7A9859BB"/>
    <w:rsid w:val="7B15385D"/>
    <w:rsid w:val="7B4A229F"/>
    <w:rsid w:val="7B784258"/>
    <w:rsid w:val="7BBA6ECC"/>
    <w:rsid w:val="7BC62467"/>
    <w:rsid w:val="7BD067C2"/>
    <w:rsid w:val="7BFF4C55"/>
    <w:rsid w:val="7C72542F"/>
    <w:rsid w:val="7C8C4E16"/>
    <w:rsid w:val="7CBF1C41"/>
    <w:rsid w:val="7CC9772B"/>
    <w:rsid w:val="7D7168E4"/>
    <w:rsid w:val="7D7F4EE0"/>
    <w:rsid w:val="7D943F20"/>
    <w:rsid w:val="7E932B20"/>
    <w:rsid w:val="7EA80065"/>
    <w:rsid w:val="7F307FA6"/>
    <w:rsid w:val="7F587F69"/>
    <w:rsid w:val="7FBA27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8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8"/>
    <w:qFormat/>
    <w:uiPriority w:val="0"/>
    <w:pPr>
      <w:keepNext/>
      <w:keepLines/>
      <w:spacing w:before="340" w:beforeLines="0" w:after="330" w:afterLines="0" w:line="578" w:lineRule="auto"/>
      <w:outlineLvl w:val="0"/>
    </w:pPr>
    <w:rPr>
      <w:b/>
      <w:bCs/>
      <w:kern w:val="44"/>
      <w:sz w:val="44"/>
      <w:szCs w:val="44"/>
    </w:rPr>
  </w:style>
  <w:style w:type="paragraph" w:styleId="4">
    <w:name w:val="heading 2"/>
    <w:basedOn w:val="1"/>
    <w:next w:val="1"/>
    <w:link w:val="73"/>
    <w:qFormat/>
    <w:uiPriority w:val="0"/>
    <w:pPr>
      <w:keepNext/>
      <w:keepLines/>
      <w:spacing w:before="260" w:beforeLines="0" w:after="260" w:afterLines="0" w:line="416" w:lineRule="auto"/>
      <w:outlineLvl w:val="1"/>
    </w:pPr>
    <w:rPr>
      <w:rFonts w:ascii="Cambria" w:hAnsi="Cambria"/>
      <w:b/>
      <w:bCs/>
      <w:kern w:val="0"/>
      <w:sz w:val="32"/>
      <w:szCs w:val="32"/>
    </w:rPr>
  </w:style>
  <w:style w:type="paragraph" w:styleId="5">
    <w:name w:val="heading 3"/>
    <w:basedOn w:val="1"/>
    <w:next w:val="1"/>
    <w:link w:val="80"/>
    <w:qFormat/>
    <w:uiPriority w:val="0"/>
    <w:pPr>
      <w:keepNext/>
      <w:keepLines/>
      <w:spacing w:before="260" w:beforeLines="0" w:after="260" w:afterLines="0" w:line="416" w:lineRule="auto"/>
      <w:outlineLvl w:val="2"/>
    </w:pPr>
    <w:rPr>
      <w:b/>
      <w:bCs/>
      <w:sz w:val="32"/>
      <w:szCs w:val="32"/>
    </w:rPr>
  </w:style>
  <w:style w:type="paragraph" w:styleId="6">
    <w:name w:val="heading 4"/>
    <w:basedOn w:val="1"/>
    <w:next w:val="1"/>
    <w:qFormat/>
    <w:uiPriority w:val="0"/>
    <w:pPr>
      <w:widowControl/>
      <w:spacing w:before="100" w:beforeLines="0" w:beforeAutospacing="1" w:after="100" w:afterLines="0" w:afterAutospacing="1"/>
      <w:jc w:val="left"/>
      <w:outlineLvl w:val="3"/>
    </w:pPr>
    <w:rPr>
      <w:rFonts w:ascii="宋体" w:hAnsi="宋体" w:cs="宋体"/>
      <w:b/>
      <w:bCs/>
      <w:kern w:val="0"/>
      <w:sz w:val="24"/>
    </w:rPr>
  </w:style>
  <w:style w:type="paragraph" w:styleId="7">
    <w:name w:val="heading 5"/>
    <w:basedOn w:val="1"/>
    <w:next w:val="1"/>
    <w:qFormat/>
    <w:uiPriority w:val="0"/>
    <w:pPr>
      <w:widowControl/>
      <w:spacing w:before="100" w:beforeLines="0" w:beforeAutospacing="1" w:after="100" w:afterLines="0" w:afterAutospacing="1"/>
      <w:jc w:val="left"/>
      <w:outlineLvl w:val="4"/>
    </w:pPr>
    <w:rPr>
      <w:rFonts w:ascii="宋体" w:hAnsi="宋体" w:cs="宋体"/>
      <w:b/>
      <w:bCs/>
      <w:kern w:val="0"/>
      <w:sz w:val="20"/>
      <w:szCs w:val="20"/>
    </w:rPr>
  </w:style>
  <w:style w:type="paragraph" w:styleId="8">
    <w:name w:val="heading 9"/>
    <w:basedOn w:val="1"/>
    <w:next w:val="1"/>
    <w:link w:val="75"/>
    <w:qFormat/>
    <w:uiPriority w:val="0"/>
    <w:pPr>
      <w:keepNext/>
      <w:keepLines/>
      <w:spacing w:before="240" w:after="64" w:line="320" w:lineRule="auto"/>
      <w:outlineLvl w:val="8"/>
    </w:pPr>
    <w:rPr>
      <w:rFonts w:ascii="等线 Light" w:hAnsi="等线 Light" w:eastAsia="等线 Light"/>
      <w:szCs w:val="21"/>
    </w:rPr>
  </w:style>
  <w:style w:type="character" w:default="1" w:styleId="35">
    <w:name w:val="Default Paragraph Font"/>
    <w:semiHidden/>
    <w:qFormat/>
    <w:uiPriority w:val="0"/>
  </w:style>
  <w:style w:type="table" w:default="1" w:styleId="3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style>
  <w:style w:type="paragraph" w:styleId="9">
    <w:name w:val="toc 7"/>
    <w:basedOn w:val="1"/>
    <w:next w:val="1"/>
    <w:unhideWhenUsed/>
    <w:qFormat/>
    <w:uiPriority w:val="39"/>
    <w:pPr>
      <w:ind w:left="2520" w:leftChars="1200"/>
    </w:pPr>
    <w:rPr>
      <w:rFonts w:ascii="等线" w:hAnsi="等线" w:eastAsia="等线" w:cs="Times New Roman"/>
      <w:szCs w:val="22"/>
    </w:rPr>
  </w:style>
  <w:style w:type="paragraph" w:styleId="10">
    <w:name w:val="Normal Indent"/>
    <w:basedOn w:val="1"/>
    <w:qFormat/>
    <w:uiPriority w:val="0"/>
    <w:pPr>
      <w:adjustRightInd w:val="0"/>
      <w:spacing w:line="480" w:lineRule="atLeast"/>
      <w:ind w:firstLine="600"/>
      <w:textAlignment w:val="baseline"/>
    </w:pPr>
    <w:rPr>
      <w:rFonts w:eastAsia="仿宋_GB2312"/>
      <w:kern w:val="0"/>
      <w:sz w:val="30"/>
      <w:szCs w:val="20"/>
    </w:rPr>
  </w:style>
  <w:style w:type="paragraph" w:styleId="11">
    <w:name w:val="annotation text"/>
    <w:basedOn w:val="1"/>
    <w:link w:val="74"/>
    <w:qFormat/>
    <w:uiPriority w:val="99"/>
    <w:pPr>
      <w:jc w:val="left"/>
    </w:pPr>
  </w:style>
  <w:style w:type="paragraph" w:styleId="12">
    <w:name w:val="Body Text Indent"/>
    <w:basedOn w:val="1"/>
    <w:qFormat/>
    <w:uiPriority w:val="0"/>
    <w:pPr>
      <w:ind w:firstLine="407" w:firstLineChars="200"/>
    </w:pPr>
  </w:style>
  <w:style w:type="paragraph" w:styleId="13">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4">
    <w:name w:val="toc 5"/>
    <w:basedOn w:val="1"/>
    <w:next w:val="1"/>
    <w:unhideWhenUsed/>
    <w:qFormat/>
    <w:uiPriority w:val="39"/>
    <w:pPr>
      <w:ind w:left="1680" w:leftChars="800"/>
    </w:pPr>
    <w:rPr>
      <w:rFonts w:ascii="等线" w:hAnsi="等线" w:eastAsia="等线" w:cs="Times New Roman"/>
      <w:szCs w:val="22"/>
    </w:rPr>
  </w:style>
  <w:style w:type="paragraph" w:styleId="15">
    <w:name w:val="toc 3"/>
    <w:basedOn w:val="5"/>
    <w:next w:val="1"/>
    <w:qFormat/>
    <w:uiPriority w:val="39"/>
    <w:pPr>
      <w:keepNext w:val="0"/>
      <w:keepLines w:val="0"/>
      <w:spacing w:before="0" w:after="0" w:line="240" w:lineRule="auto"/>
      <w:ind w:left="420"/>
      <w:jc w:val="left"/>
      <w:outlineLvl w:val="9"/>
    </w:pPr>
    <w:rPr>
      <w:b w:val="0"/>
      <w:bCs w:val="0"/>
      <w:i/>
      <w:iCs/>
      <w:sz w:val="20"/>
      <w:szCs w:val="20"/>
    </w:rPr>
  </w:style>
  <w:style w:type="paragraph" w:styleId="16">
    <w:name w:val="toc 8"/>
    <w:basedOn w:val="1"/>
    <w:next w:val="1"/>
    <w:unhideWhenUsed/>
    <w:qFormat/>
    <w:uiPriority w:val="39"/>
    <w:pPr>
      <w:ind w:left="2940" w:leftChars="1400"/>
    </w:pPr>
    <w:rPr>
      <w:rFonts w:ascii="等线" w:hAnsi="等线" w:eastAsia="等线" w:cs="Times New Roman"/>
      <w:szCs w:val="22"/>
    </w:rPr>
  </w:style>
  <w:style w:type="paragraph" w:styleId="17">
    <w:name w:val="Date"/>
    <w:basedOn w:val="1"/>
    <w:next w:val="1"/>
    <w:link w:val="69"/>
    <w:qFormat/>
    <w:uiPriority w:val="0"/>
    <w:pPr>
      <w:ind w:left="100" w:leftChars="2500"/>
    </w:pPr>
  </w:style>
  <w:style w:type="paragraph" w:styleId="18">
    <w:name w:val="Body Text Indent 2"/>
    <w:basedOn w:val="1"/>
    <w:qFormat/>
    <w:uiPriority w:val="0"/>
    <w:pPr>
      <w:widowControl/>
      <w:spacing w:line="480" w:lineRule="auto"/>
      <w:ind w:firstLine="560"/>
      <w:jc w:val="left"/>
    </w:pPr>
    <w:rPr>
      <w:kern w:val="0"/>
      <w:sz w:val="28"/>
    </w:rPr>
  </w:style>
  <w:style w:type="paragraph" w:styleId="19">
    <w:name w:val="Balloon Text"/>
    <w:basedOn w:val="1"/>
    <w:link w:val="79"/>
    <w:qFormat/>
    <w:uiPriority w:val="0"/>
    <w:rPr>
      <w:sz w:val="18"/>
      <w:szCs w:val="18"/>
    </w:rPr>
  </w:style>
  <w:style w:type="paragraph" w:styleId="20">
    <w:name w:val="footer"/>
    <w:basedOn w:val="1"/>
    <w:qFormat/>
    <w:uiPriority w:val="99"/>
    <w:pPr>
      <w:tabs>
        <w:tab w:val="center" w:pos="4153"/>
        <w:tab w:val="right" w:pos="8306"/>
      </w:tabs>
      <w:snapToGrid w:val="0"/>
      <w:jc w:val="left"/>
    </w:pPr>
    <w:rPr>
      <w:sz w:val="18"/>
      <w:szCs w:val="18"/>
    </w:rPr>
  </w:style>
  <w:style w:type="paragraph" w:styleId="2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keepNext w:val="0"/>
      <w:keepLines w:val="0"/>
      <w:spacing w:before="120" w:after="120" w:line="240" w:lineRule="auto"/>
      <w:jc w:val="left"/>
      <w:outlineLvl w:val="9"/>
    </w:pPr>
    <w:rPr>
      <w:caps/>
      <w:kern w:val="2"/>
      <w:sz w:val="20"/>
      <w:szCs w:val="20"/>
    </w:rPr>
  </w:style>
  <w:style w:type="paragraph" w:styleId="23">
    <w:name w:val="toc 4"/>
    <w:basedOn w:val="1"/>
    <w:next w:val="1"/>
    <w:unhideWhenUsed/>
    <w:qFormat/>
    <w:uiPriority w:val="39"/>
    <w:pPr>
      <w:ind w:left="1260" w:leftChars="600"/>
    </w:pPr>
    <w:rPr>
      <w:rFonts w:ascii="等线" w:hAnsi="等线" w:eastAsia="等线" w:cs="Times New Roman"/>
      <w:szCs w:val="22"/>
    </w:rPr>
  </w:style>
  <w:style w:type="paragraph" w:styleId="24">
    <w:name w:val="Subtitle"/>
    <w:basedOn w:val="1"/>
    <w:link w:val="72"/>
    <w:qFormat/>
    <w:uiPriority w:val="0"/>
    <w:pPr>
      <w:widowControl/>
      <w:jc w:val="center"/>
    </w:pPr>
    <w:rPr>
      <w:kern w:val="0"/>
      <w:sz w:val="20"/>
      <w:u w:val="single"/>
      <w:lang w:eastAsia="en-US"/>
    </w:rPr>
  </w:style>
  <w:style w:type="paragraph" w:styleId="25">
    <w:name w:val="toc 6"/>
    <w:basedOn w:val="1"/>
    <w:next w:val="1"/>
    <w:unhideWhenUsed/>
    <w:qFormat/>
    <w:uiPriority w:val="39"/>
    <w:pPr>
      <w:ind w:left="2100" w:leftChars="1000"/>
    </w:pPr>
    <w:rPr>
      <w:rFonts w:ascii="等线" w:hAnsi="等线" w:eastAsia="等线" w:cs="Times New Roman"/>
      <w:szCs w:val="22"/>
    </w:rPr>
  </w:style>
  <w:style w:type="paragraph" w:styleId="26">
    <w:name w:val="toc 2"/>
    <w:basedOn w:val="4"/>
    <w:next w:val="1"/>
    <w:qFormat/>
    <w:uiPriority w:val="39"/>
    <w:pPr>
      <w:keepNext w:val="0"/>
      <w:keepLines w:val="0"/>
      <w:spacing w:before="0" w:after="0" w:line="240" w:lineRule="auto"/>
      <w:ind w:left="210"/>
      <w:jc w:val="left"/>
      <w:outlineLvl w:val="9"/>
    </w:pPr>
    <w:rPr>
      <w:rFonts w:ascii="Times New Roman" w:hAnsi="Times New Roman"/>
      <w:b w:val="0"/>
      <w:bCs w:val="0"/>
      <w:smallCaps/>
      <w:sz w:val="20"/>
      <w:szCs w:val="20"/>
    </w:rPr>
  </w:style>
  <w:style w:type="paragraph" w:styleId="27">
    <w:name w:val="toc 9"/>
    <w:basedOn w:val="1"/>
    <w:next w:val="1"/>
    <w:unhideWhenUsed/>
    <w:qFormat/>
    <w:uiPriority w:val="39"/>
    <w:pPr>
      <w:ind w:left="3360" w:leftChars="1600"/>
    </w:pPr>
    <w:rPr>
      <w:rFonts w:ascii="等线" w:hAnsi="等线" w:eastAsia="等线" w:cs="Times New Roman"/>
      <w:szCs w:val="22"/>
    </w:rPr>
  </w:style>
  <w:style w:type="paragraph" w:styleId="28">
    <w:name w:val="Body Text 2"/>
    <w:basedOn w:val="1"/>
    <w:qFormat/>
    <w:uiPriority w:val="0"/>
    <w:rPr>
      <w:i/>
      <w:iCs/>
      <w:sz w:val="26"/>
    </w:rPr>
  </w:style>
  <w:style w:type="paragraph" w:styleId="29">
    <w:name w:val="Normal (Web)"/>
    <w:basedOn w:val="1"/>
    <w:qFormat/>
    <w:uiPriority w:val="0"/>
    <w:rPr>
      <w:sz w:val="24"/>
    </w:rPr>
  </w:style>
  <w:style w:type="paragraph" w:styleId="30">
    <w:name w:val="annotation subject"/>
    <w:basedOn w:val="11"/>
    <w:next w:val="11"/>
    <w:link w:val="71"/>
    <w:qFormat/>
    <w:uiPriority w:val="0"/>
    <w:rPr>
      <w:b/>
      <w:bCs/>
    </w:rPr>
  </w:style>
  <w:style w:type="paragraph" w:styleId="31">
    <w:name w:val="Body Text First Indent"/>
    <w:basedOn w:val="2"/>
    <w:qFormat/>
    <w:uiPriority w:val="99"/>
    <w:pPr>
      <w:autoSpaceDE w:val="0"/>
      <w:autoSpaceDN w:val="0"/>
      <w:adjustRightInd w:val="0"/>
      <w:spacing w:line="275" w:lineRule="atLeast"/>
      <w:ind w:firstLine="420"/>
      <w:jc w:val="left"/>
      <w:textAlignment w:val="baseline"/>
    </w:pPr>
    <w:rPr>
      <w:rFonts w:ascii="宋体" w:hAnsi="宋体" w:eastAsia="楷体_GB2312" w:cs="宋体"/>
      <w:kern w:val="0"/>
      <w:sz w:val="24"/>
      <w:lang w:val="zh-CN"/>
    </w:rPr>
  </w:style>
  <w:style w:type="paragraph" w:styleId="32">
    <w:name w:val="Body Text First Indent 2"/>
    <w:basedOn w:val="12"/>
    <w:qFormat/>
    <w:uiPriority w:val="99"/>
    <w:pPr>
      <w:widowControl/>
      <w:tabs>
        <w:tab w:val="left" w:pos="8700"/>
      </w:tabs>
      <w:ind w:firstLine="420" w:firstLineChars="200"/>
    </w:pPr>
    <w:rPr>
      <w:sz w:val="30"/>
      <w:szCs w:val="30"/>
    </w:rPr>
  </w:style>
  <w:style w:type="table" w:styleId="34">
    <w:name w:val="Table Grid"/>
    <w:basedOn w:val="3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page number"/>
    <w:basedOn w:val="35"/>
    <w:qFormat/>
    <w:uiPriority w:val="0"/>
  </w:style>
  <w:style w:type="character" w:styleId="37">
    <w:name w:val="Hyperlink"/>
    <w:qFormat/>
    <w:uiPriority w:val="99"/>
    <w:rPr>
      <w:color w:val="0000FF"/>
      <w:u w:val="single"/>
    </w:rPr>
  </w:style>
  <w:style w:type="character" w:styleId="38">
    <w:name w:val="annotation reference"/>
    <w:qFormat/>
    <w:uiPriority w:val="0"/>
    <w:rPr>
      <w:sz w:val="21"/>
      <w:szCs w:val="21"/>
    </w:rPr>
  </w:style>
  <w:style w:type="paragraph" w:customStyle="1" w:styleId="3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40">
    <w:name w:val="样式 标题 3 + (中文) 黑体 小四 非加粗 段前: 7.8 磅 段后: 0 磅 行距: 固定值 20 磅"/>
    <w:basedOn w:val="5"/>
    <w:qFormat/>
    <w:uiPriority w:val="0"/>
    <w:pPr>
      <w:numPr>
        <w:ilvl w:val="0"/>
        <w:numId w:val="0"/>
      </w:numPr>
      <w:spacing w:before="0" w:after="0" w:line="400" w:lineRule="exact"/>
    </w:pPr>
    <w:rPr>
      <w:rFonts w:eastAsia="黑体" w:cs="宋体"/>
      <w:b w:val="0"/>
      <w:sz w:val="24"/>
    </w:rPr>
  </w:style>
  <w:style w:type="paragraph" w:customStyle="1" w:styleId="41">
    <w:name w:val="Normal_4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2">
    <w:name w:val="_Style 37"/>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Table Paragraph"/>
    <w:basedOn w:val="1"/>
    <w:qFormat/>
    <w:uiPriority w:val="99"/>
    <w:pPr>
      <w:autoSpaceDE w:val="0"/>
      <w:autoSpaceDN w:val="0"/>
      <w:jc w:val="left"/>
    </w:pPr>
    <w:rPr>
      <w:rFonts w:ascii="微软雅黑" w:hAnsi="微软雅黑" w:eastAsia="微软雅黑" w:cs="微软雅黑"/>
      <w:kern w:val="0"/>
      <w:sz w:val="22"/>
      <w:szCs w:val="22"/>
      <w:lang w:val="zh-CN" w:bidi="zh-CN"/>
    </w:rPr>
  </w:style>
  <w:style w:type="paragraph" w:customStyle="1" w:styleId="44">
    <w:name w:val="_Style 10"/>
    <w:basedOn w:val="3"/>
    <w:next w:val="1"/>
    <w:qFormat/>
    <w:uiPriority w:val="39"/>
    <w:pPr>
      <w:widowControl/>
      <w:spacing w:before="480" w:beforeLines="0" w:after="0" w:afterLines="0" w:line="276" w:lineRule="auto"/>
      <w:jc w:val="left"/>
      <w:outlineLvl w:val="9"/>
    </w:pPr>
    <w:rPr>
      <w:rFonts w:ascii="Cambria" w:hAnsi="Cambria"/>
      <w:color w:val="365F91"/>
      <w:kern w:val="0"/>
      <w:sz w:val="28"/>
      <w:szCs w:val="28"/>
    </w:rPr>
  </w:style>
  <w:style w:type="paragraph" w:customStyle="1" w:styleId="45">
    <w:name w:val="Normal_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6">
    <w:name w:val="Normal_12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7">
    <w:name w:val="Normal_3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48">
    <w:name w:val="列出段落1"/>
    <w:basedOn w:val="1"/>
    <w:qFormat/>
    <w:uiPriority w:val="0"/>
    <w:pPr>
      <w:ind w:firstLine="420" w:firstLineChars="200"/>
    </w:pPr>
    <w:rPr>
      <w:sz w:val="28"/>
      <w:szCs w:val="28"/>
    </w:rPr>
  </w:style>
  <w:style w:type="paragraph" w:customStyle="1" w:styleId="49">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50">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1">
    <w:name w:val="Normal_1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2">
    <w:name w:val="Normal_13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3">
    <w:name w:val="Normal_13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4">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5">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56">
    <w:name w:val="Normal_13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7">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58">
    <w:name w:val="Normal_12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59">
    <w:name w:val="TOC 标题1"/>
    <w:basedOn w:val="3"/>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60">
    <w:name w:val="正  文"/>
    <w:basedOn w:val="1"/>
    <w:qFormat/>
    <w:uiPriority w:val="0"/>
    <w:pPr>
      <w:spacing w:line="360" w:lineRule="auto"/>
      <w:ind w:firstLine="200" w:firstLineChars="200"/>
    </w:pPr>
    <w:rPr>
      <w:rFonts w:ascii="宋体" w:hAnsi="Calibri"/>
      <w:sz w:val="24"/>
    </w:rPr>
  </w:style>
  <w:style w:type="paragraph" w:customStyle="1" w:styleId="61">
    <w:name w:val="Normal_12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2">
    <w:name w:val="List Paragraph"/>
    <w:basedOn w:val="1"/>
    <w:qFormat/>
    <w:uiPriority w:val="1"/>
    <w:pPr>
      <w:autoSpaceDE w:val="0"/>
      <w:autoSpaceDN w:val="0"/>
      <w:ind w:left="702" w:firstLine="420"/>
      <w:jc w:val="left"/>
    </w:pPr>
    <w:rPr>
      <w:rFonts w:ascii="宋体" w:hAnsi="宋体" w:cs="宋体"/>
      <w:kern w:val="0"/>
      <w:sz w:val="22"/>
      <w:szCs w:val="22"/>
      <w:lang w:val="zh-CN" w:bidi="zh-CN"/>
    </w:rPr>
  </w:style>
  <w:style w:type="paragraph" w:customStyle="1" w:styleId="63">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4">
    <w:name w:val="header"/>
    <w:basedOn w:val="1"/>
    <w:qFormat/>
    <w:uiPriority w:val="0"/>
    <w:pPr>
      <w:pBdr>
        <w:bottom w:val="single" w:color="auto" w:sz="6" w:space="1"/>
      </w:pBdr>
      <w:tabs>
        <w:tab w:val="center" w:pos="4153"/>
        <w:tab w:val="right" w:pos="8306"/>
      </w:tabs>
      <w:snapToGrid w:val="0"/>
      <w:jc w:val="center"/>
    </w:pPr>
    <w:rPr>
      <w:rFonts w:eastAsia="等线"/>
      <w:sz w:val="18"/>
      <w:szCs w:val="20"/>
    </w:rPr>
  </w:style>
  <w:style w:type="paragraph" w:customStyle="1" w:styleId="65">
    <w:name w:val="Normal_1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6">
    <w:name w:val="Normal_12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67">
    <w:name w:val="Normal_131"/>
    <w:qFormat/>
    <w:uiPriority w:val="0"/>
    <w:pPr>
      <w:spacing w:before="120" w:after="240"/>
      <w:jc w:val="both"/>
    </w:pPr>
    <w:rPr>
      <w:rFonts w:ascii="Times New Roman" w:hAnsi="Times New Roman" w:eastAsia="Calibri" w:cs="Times New Roman"/>
      <w:sz w:val="22"/>
      <w:szCs w:val="22"/>
      <w:lang w:val="ru-RU" w:eastAsia="en-US" w:bidi="ar-SA"/>
    </w:rPr>
  </w:style>
  <w:style w:type="character" w:customStyle="1" w:styleId="68">
    <w:name w:val="标题 1 Char"/>
    <w:link w:val="3"/>
    <w:qFormat/>
    <w:uiPriority w:val="0"/>
    <w:rPr>
      <w:b/>
      <w:bCs/>
      <w:kern w:val="44"/>
      <w:sz w:val="44"/>
      <w:szCs w:val="44"/>
    </w:rPr>
  </w:style>
  <w:style w:type="character" w:customStyle="1" w:styleId="69">
    <w:name w:val="日期 Char"/>
    <w:link w:val="17"/>
    <w:qFormat/>
    <w:uiPriority w:val="0"/>
    <w:rPr>
      <w:kern w:val="2"/>
      <w:sz w:val="21"/>
      <w:szCs w:val="24"/>
    </w:rPr>
  </w:style>
  <w:style w:type="character" w:customStyle="1" w:styleId="70">
    <w:name w:val="尾注文本 Char"/>
    <w:qFormat/>
    <w:uiPriority w:val="0"/>
    <w:rPr>
      <w:kern w:val="2"/>
      <w:sz w:val="21"/>
      <w:szCs w:val="24"/>
    </w:rPr>
  </w:style>
  <w:style w:type="character" w:customStyle="1" w:styleId="71">
    <w:name w:val="批注主题 Char"/>
    <w:link w:val="30"/>
    <w:qFormat/>
    <w:uiPriority w:val="0"/>
    <w:rPr>
      <w:b/>
      <w:bCs/>
      <w:kern w:val="2"/>
      <w:sz w:val="21"/>
      <w:szCs w:val="24"/>
    </w:rPr>
  </w:style>
  <w:style w:type="character" w:customStyle="1" w:styleId="72">
    <w:name w:val="副标题 Char"/>
    <w:link w:val="24"/>
    <w:qFormat/>
    <w:uiPriority w:val="0"/>
    <w:rPr>
      <w:szCs w:val="24"/>
      <w:u w:val="single"/>
      <w:lang w:eastAsia="en-US"/>
    </w:rPr>
  </w:style>
  <w:style w:type="character" w:customStyle="1" w:styleId="73">
    <w:name w:val="标题 2 Char"/>
    <w:link w:val="4"/>
    <w:qFormat/>
    <w:uiPriority w:val="0"/>
    <w:rPr>
      <w:rFonts w:ascii="Cambria" w:hAnsi="Cambria"/>
      <w:b/>
      <w:bCs/>
      <w:sz w:val="32"/>
      <w:szCs w:val="32"/>
    </w:rPr>
  </w:style>
  <w:style w:type="character" w:customStyle="1" w:styleId="74">
    <w:name w:val="批注文字 Char"/>
    <w:link w:val="11"/>
    <w:qFormat/>
    <w:uiPriority w:val="99"/>
    <w:rPr>
      <w:kern w:val="2"/>
      <w:sz w:val="21"/>
      <w:szCs w:val="24"/>
    </w:rPr>
  </w:style>
  <w:style w:type="character" w:customStyle="1" w:styleId="75">
    <w:name w:val="标题 9 Char"/>
    <w:link w:val="8"/>
    <w:semiHidden/>
    <w:qFormat/>
    <w:uiPriority w:val="0"/>
    <w:rPr>
      <w:rFonts w:ascii="等线 Light" w:hAnsi="等线 Light" w:eastAsia="等线 Light" w:cs="Times New Roman"/>
      <w:kern w:val="2"/>
      <w:sz w:val="21"/>
      <w:szCs w:val="21"/>
    </w:rPr>
  </w:style>
  <w:style w:type="character" w:customStyle="1" w:styleId="76">
    <w:name w:val="标题 2 Char2"/>
    <w:qFormat/>
    <w:uiPriority w:val="0"/>
    <w:rPr>
      <w:rFonts w:ascii="Cambria" w:hAnsi="Cambria" w:eastAsia="宋体"/>
      <w:b/>
      <w:bCs/>
      <w:kern w:val="2"/>
      <w:sz w:val="32"/>
      <w:szCs w:val="32"/>
      <w:lang w:val="en-US" w:eastAsia="zh-CN" w:bidi="ar-SA"/>
    </w:rPr>
  </w:style>
  <w:style w:type="character" w:customStyle="1" w:styleId="77">
    <w:name w:val="副标题 Char3"/>
    <w:qFormat/>
    <w:uiPriority w:val="0"/>
    <w:rPr>
      <w:rFonts w:eastAsia="宋体"/>
      <w:szCs w:val="24"/>
      <w:u w:val="single"/>
      <w:lang w:val="en-US" w:eastAsia="en-US" w:bidi="ar-SA"/>
    </w:rPr>
  </w:style>
  <w:style w:type="character" w:customStyle="1" w:styleId="78">
    <w:name w:val="批注文字 Char3"/>
    <w:qFormat/>
    <w:uiPriority w:val="99"/>
    <w:rPr>
      <w:rFonts w:eastAsia="宋体"/>
      <w:kern w:val="2"/>
      <w:sz w:val="21"/>
      <w:szCs w:val="24"/>
      <w:lang w:val="en-US" w:eastAsia="zh-CN" w:bidi="ar-SA"/>
    </w:rPr>
  </w:style>
  <w:style w:type="character" w:customStyle="1" w:styleId="79">
    <w:name w:val="批注框文本 Char"/>
    <w:link w:val="19"/>
    <w:qFormat/>
    <w:uiPriority w:val="0"/>
    <w:rPr>
      <w:kern w:val="2"/>
      <w:sz w:val="18"/>
      <w:szCs w:val="18"/>
    </w:rPr>
  </w:style>
  <w:style w:type="character" w:customStyle="1" w:styleId="80">
    <w:name w:val="标题 3 Char"/>
    <w:link w:val="5"/>
    <w:qFormat/>
    <w:uiPriority w:val="0"/>
    <w:rPr>
      <w:b/>
      <w:bCs/>
      <w:kern w:val="2"/>
      <w:sz w:val="32"/>
      <w:szCs w:val="32"/>
    </w:rPr>
  </w:style>
  <w:style w:type="character" w:customStyle="1" w:styleId="81">
    <w:name w:val="未处理的提及"/>
    <w:unhideWhenUsed/>
    <w:qFormat/>
    <w:uiPriority w:val="99"/>
    <w:rPr>
      <w:color w:val="605E5C"/>
      <w:shd w:val="clear" w:color="auto" w:fill="E1DFDD"/>
    </w:rPr>
  </w:style>
  <w:style w:type="character" w:customStyle="1" w:styleId="82">
    <w:name w:val="NormalCharacter"/>
    <w:link w:val="1"/>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150</Pages>
  <Words>7320</Words>
  <Characters>7955</Characters>
  <Lines>1289</Lines>
  <Paragraphs>363</Paragraphs>
  <TotalTime>0</TotalTime>
  <ScaleCrop>false</ScaleCrop>
  <LinksUpToDate>false</LinksUpToDate>
  <CharactersWithSpaces>8336</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2020-12-28T01:28:00Z</dcterms:created>
  <dc:creator>Lenovo E480</dc:creator>
  <cp:lastModifiedBy>余</cp:lastModifiedBy>
  <cp:lastPrinted>2025-10-13T07:13:00Z</cp:lastPrinted>
  <dcterms:modified xsi:type="dcterms:W3CDTF">2025-10-14T02:17:36Z</dcterms:modified>
  <dc:title>重庆市公路工程施工</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D2FA2A445CC44EB0A765111764EEF73F_13</vt:lpwstr>
  </property>
  <property fmtid="{D5CDD505-2E9C-101B-9397-08002B2CF9AE}" pid="4" name="KSOTemplateDocerSaveRecord">
    <vt:lpwstr>eyJoZGlkIjoiZTFlMzNhZTQzYWU5ZWViYmRiY2ZkYzIyNTE1NjMwODUiLCJ1c2VySWQiOiIyNjUwMzM5NTQifQ==</vt:lpwstr>
  </property>
</Properties>
</file>