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A8FD0">
      <w:pPr>
        <w:pageBreakBefore w:val="0"/>
        <w:kinsoku/>
        <w:overflowPunct/>
        <w:topLinePunct w:val="0"/>
        <w:bidi w:val="0"/>
        <w:spacing w:line="360" w:lineRule="auto"/>
        <w:rPr>
          <w:rFonts w:hint="eastAsia" w:ascii="仿宋" w:hAnsi="仿宋" w:eastAsia="仿宋" w:cs="仿宋"/>
          <w:b/>
          <w:bCs/>
          <w:color w:val="auto"/>
        </w:rPr>
      </w:pPr>
      <w:bookmarkStart w:id="0" w:name="_Toc1363"/>
      <w:bookmarkStart w:id="1" w:name="_Toc7648"/>
      <w:bookmarkStart w:id="2" w:name="_Toc521661359"/>
      <w:bookmarkStart w:id="3" w:name="_Toc12680"/>
      <w:bookmarkStart w:id="4" w:name="_Toc4745"/>
    </w:p>
    <w:p w14:paraId="5D91A425">
      <w:pPr>
        <w:pageBreakBefore w:val="0"/>
        <w:kinsoku/>
        <w:overflowPunct/>
        <w:topLinePunct w:val="0"/>
        <w:bidi w:val="0"/>
        <w:spacing w:line="360" w:lineRule="auto"/>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eastAsia="zh-CN"/>
        </w:rPr>
        <w:t xml:space="preserve"> 重庆市垫江县澄溪镇卫生院食堂外包服务项目</w:t>
      </w:r>
    </w:p>
    <w:p w14:paraId="5E1E88B8">
      <w:pPr>
        <w:pageBreakBefore w:val="0"/>
        <w:kinsoku/>
        <w:overflowPunct/>
        <w:topLinePunct w:val="0"/>
        <w:bidi w:val="0"/>
        <w:spacing w:line="360" w:lineRule="auto"/>
        <w:jc w:val="both"/>
        <w:rPr>
          <w:rFonts w:hint="eastAsia" w:ascii="仿宋" w:hAnsi="仿宋" w:eastAsia="仿宋" w:cs="仿宋"/>
          <w:color w:val="auto"/>
          <w:sz w:val="72"/>
          <w:szCs w:val="44"/>
        </w:rPr>
      </w:pPr>
    </w:p>
    <w:p w14:paraId="046409C7">
      <w:pPr>
        <w:pStyle w:val="8"/>
        <w:pageBreakBefore w:val="0"/>
        <w:kinsoku/>
        <w:overflowPunct/>
        <w:topLinePunct w:val="0"/>
        <w:bidi w:val="0"/>
        <w:spacing w:line="360" w:lineRule="auto"/>
        <w:rPr>
          <w:rFonts w:hint="eastAsia" w:ascii="仿宋" w:hAnsi="仿宋" w:eastAsia="仿宋" w:cs="仿宋"/>
          <w:color w:val="auto"/>
          <w:sz w:val="72"/>
          <w:szCs w:val="44"/>
        </w:rPr>
      </w:pPr>
    </w:p>
    <w:p w14:paraId="71166641">
      <w:pPr>
        <w:pStyle w:val="20"/>
        <w:pageBreakBefore w:val="0"/>
        <w:kinsoku/>
        <w:overflowPunct/>
        <w:topLinePunct w:val="0"/>
        <w:bidi w:val="0"/>
        <w:spacing w:line="360" w:lineRule="auto"/>
        <w:rPr>
          <w:rFonts w:hint="eastAsia" w:ascii="仿宋" w:hAnsi="仿宋" w:eastAsia="仿宋" w:cs="仿宋"/>
          <w:color w:val="auto"/>
        </w:rPr>
      </w:pPr>
    </w:p>
    <w:p w14:paraId="1E283E94">
      <w:pPr>
        <w:pageBreakBefore w:val="0"/>
        <w:kinsoku/>
        <w:overflowPunct/>
        <w:topLinePunct w:val="0"/>
        <w:bidi w:val="0"/>
        <w:spacing w:line="360" w:lineRule="auto"/>
        <w:rPr>
          <w:rFonts w:hint="eastAsia" w:ascii="仿宋" w:hAnsi="仿宋" w:eastAsia="仿宋" w:cs="仿宋"/>
          <w:color w:val="auto"/>
        </w:rPr>
      </w:pPr>
    </w:p>
    <w:p w14:paraId="54AC40D1">
      <w:pPr>
        <w:pageBreakBefore w:val="0"/>
        <w:kinsoku/>
        <w:overflowPunct/>
        <w:topLinePunct w:val="0"/>
        <w:bidi w:val="0"/>
        <w:spacing w:line="360" w:lineRule="auto"/>
        <w:jc w:val="center"/>
        <w:rPr>
          <w:rFonts w:hint="eastAsia" w:ascii="仿宋" w:hAnsi="仿宋" w:eastAsia="仿宋" w:cs="仿宋"/>
          <w:b/>
          <w:bCs/>
          <w:color w:val="auto"/>
          <w:sz w:val="96"/>
          <w:szCs w:val="48"/>
        </w:rPr>
      </w:pPr>
      <w:r>
        <w:rPr>
          <w:rFonts w:hint="eastAsia" w:ascii="仿宋" w:hAnsi="仿宋" w:eastAsia="仿宋" w:cs="仿宋"/>
          <w:b/>
          <w:bCs/>
          <w:color w:val="auto"/>
          <w:sz w:val="96"/>
          <w:szCs w:val="48"/>
        </w:rPr>
        <w:t>竞采文件</w:t>
      </w:r>
    </w:p>
    <w:p w14:paraId="76413C22">
      <w:pPr>
        <w:pageBreakBefore w:val="0"/>
        <w:kinsoku/>
        <w:overflowPunct/>
        <w:topLinePunct w:val="0"/>
        <w:bidi w:val="0"/>
        <w:spacing w:line="360" w:lineRule="auto"/>
        <w:jc w:val="center"/>
        <w:rPr>
          <w:rFonts w:hint="eastAsia" w:ascii="仿宋" w:hAnsi="仿宋" w:eastAsia="仿宋" w:cs="仿宋"/>
          <w:b/>
          <w:bCs/>
          <w:color w:val="auto"/>
          <w:sz w:val="44"/>
          <w:szCs w:val="44"/>
        </w:rPr>
      </w:pPr>
    </w:p>
    <w:p w14:paraId="5EB2BD14">
      <w:pPr>
        <w:pageBreakBefore w:val="0"/>
        <w:kinsoku/>
        <w:overflowPunct/>
        <w:topLinePunct w:val="0"/>
        <w:bidi w:val="0"/>
        <w:spacing w:line="360" w:lineRule="auto"/>
        <w:rPr>
          <w:rFonts w:hint="eastAsia" w:ascii="仿宋" w:hAnsi="仿宋" w:eastAsia="仿宋" w:cs="仿宋"/>
          <w:color w:val="auto"/>
        </w:rPr>
      </w:pPr>
    </w:p>
    <w:p w14:paraId="7112E583">
      <w:pPr>
        <w:pageBreakBefore w:val="0"/>
        <w:kinsoku/>
        <w:overflowPunct/>
        <w:topLinePunct w:val="0"/>
        <w:bidi w:val="0"/>
        <w:spacing w:line="360" w:lineRule="auto"/>
        <w:rPr>
          <w:rFonts w:hint="eastAsia" w:ascii="仿宋" w:hAnsi="仿宋" w:eastAsia="仿宋" w:cs="仿宋"/>
          <w:color w:val="auto"/>
        </w:rPr>
      </w:pPr>
    </w:p>
    <w:p w14:paraId="4AE36F99">
      <w:pPr>
        <w:pStyle w:val="8"/>
        <w:pageBreakBefore w:val="0"/>
        <w:kinsoku/>
        <w:overflowPunct/>
        <w:topLinePunct w:val="0"/>
        <w:bidi w:val="0"/>
        <w:spacing w:line="360" w:lineRule="auto"/>
        <w:ind w:firstLine="420"/>
        <w:rPr>
          <w:rFonts w:hint="eastAsia" w:ascii="仿宋" w:hAnsi="仿宋" w:eastAsia="仿宋" w:cs="仿宋"/>
          <w:color w:val="auto"/>
        </w:rPr>
      </w:pPr>
    </w:p>
    <w:p w14:paraId="41737F12">
      <w:pPr>
        <w:pStyle w:val="20"/>
        <w:pageBreakBefore w:val="0"/>
        <w:kinsoku/>
        <w:overflowPunct/>
        <w:topLinePunct w:val="0"/>
        <w:bidi w:val="0"/>
        <w:spacing w:line="360" w:lineRule="auto"/>
        <w:rPr>
          <w:rFonts w:hint="eastAsia" w:ascii="仿宋" w:hAnsi="仿宋" w:eastAsia="仿宋" w:cs="仿宋"/>
          <w:color w:val="auto"/>
        </w:rPr>
      </w:pPr>
    </w:p>
    <w:p w14:paraId="33DB698A">
      <w:pPr>
        <w:pageBreakBefore w:val="0"/>
        <w:kinsoku/>
        <w:overflowPunct/>
        <w:topLinePunct w:val="0"/>
        <w:bidi w:val="0"/>
        <w:spacing w:line="360" w:lineRule="auto"/>
        <w:rPr>
          <w:rFonts w:hint="eastAsia" w:ascii="仿宋" w:hAnsi="仿宋" w:eastAsia="仿宋" w:cs="仿宋"/>
          <w:color w:val="auto"/>
        </w:rPr>
      </w:pPr>
      <w:r>
        <w:rPr>
          <w:rFonts w:hint="eastAsia" w:ascii="仿宋" w:hAnsi="仿宋" w:eastAsia="仿宋" w:cs="仿宋"/>
          <w:color w:val="auto"/>
        </w:rPr>
        <w:t xml:space="preserve"> </w:t>
      </w:r>
    </w:p>
    <w:p w14:paraId="5EE4A42E">
      <w:pPr>
        <w:pageBreakBefore w:val="0"/>
        <w:kinsoku/>
        <w:overflowPunct/>
        <w:topLinePunct w:val="0"/>
        <w:bidi w:val="0"/>
        <w:spacing w:line="360" w:lineRule="auto"/>
        <w:rPr>
          <w:rFonts w:hint="eastAsia" w:ascii="仿宋" w:hAnsi="仿宋" w:eastAsia="仿宋" w:cs="仿宋"/>
          <w:color w:val="auto"/>
        </w:rPr>
      </w:pPr>
    </w:p>
    <w:p w14:paraId="2D725D43">
      <w:pPr>
        <w:pageBreakBefore w:val="0"/>
        <w:kinsoku/>
        <w:overflowPunct/>
        <w:topLinePunct w:val="0"/>
        <w:bidi w:val="0"/>
        <w:spacing w:line="360" w:lineRule="auto"/>
        <w:rPr>
          <w:rFonts w:hint="eastAsia" w:ascii="仿宋" w:hAnsi="仿宋" w:eastAsia="仿宋" w:cs="仿宋"/>
          <w:color w:val="auto"/>
        </w:rPr>
      </w:pPr>
    </w:p>
    <w:p w14:paraId="75C5BB42">
      <w:pPr>
        <w:pageBreakBefore w:val="0"/>
        <w:kinsoku/>
        <w:overflowPunct/>
        <w:topLinePunct w:val="0"/>
        <w:bidi w:val="0"/>
        <w:spacing w:line="360" w:lineRule="auto"/>
        <w:ind w:firstLine="1285" w:firstLineChars="400"/>
        <w:rPr>
          <w:rFonts w:hint="eastAsia" w:ascii="仿宋" w:hAnsi="仿宋" w:eastAsia="仿宋" w:cs="仿宋"/>
          <w:b/>
          <w:bCs/>
          <w:color w:val="auto"/>
          <w:sz w:val="32"/>
          <w:szCs w:val="32"/>
        </w:rPr>
      </w:pPr>
      <w:r>
        <w:rPr>
          <w:rFonts w:hint="eastAsia" w:ascii="仿宋" w:hAnsi="仿宋" w:eastAsia="仿宋" w:cs="仿宋"/>
          <w:b/>
          <w:bCs/>
          <w:color w:val="auto"/>
          <w:sz w:val="32"/>
          <w:szCs w:val="32"/>
        </w:rPr>
        <w:t>采   购   人：</w:t>
      </w:r>
      <w:r>
        <w:rPr>
          <w:rFonts w:hint="eastAsia" w:ascii="仿宋" w:hAnsi="仿宋" w:eastAsia="仿宋" w:cs="仿宋"/>
          <w:b/>
          <w:bCs/>
          <w:color w:val="auto"/>
          <w:sz w:val="32"/>
          <w:szCs w:val="32"/>
          <w:lang w:eastAsia="zh-CN"/>
        </w:rPr>
        <w:t>垫江县澄溪镇卫生院</w:t>
      </w:r>
    </w:p>
    <w:p w14:paraId="760965BB">
      <w:pPr>
        <w:pStyle w:val="38"/>
        <w:pageBreakBefore w:val="0"/>
        <w:kinsoku/>
        <w:overflowPunct/>
        <w:topLinePunct w:val="0"/>
        <w:bidi w:val="0"/>
        <w:spacing w:line="360" w:lineRule="auto"/>
        <w:rPr>
          <w:rFonts w:hint="eastAsia" w:ascii="仿宋" w:hAnsi="仿宋" w:eastAsia="仿宋" w:cs="仿宋"/>
          <w:b/>
          <w:bCs/>
          <w:color w:val="auto"/>
          <w:sz w:val="32"/>
          <w:szCs w:val="32"/>
        </w:rPr>
      </w:pPr>
    </w:p>
    <w:p w14:paraId="4B1511C4">
      <w:pPr>
        <w:pageBreakBefore w:val="0"/>
        <w:kinsoku/>
        <w:overflowPunct/>
        <w:topLinePunct w:val="0"/>
        <w:bidi w:val="0"/>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二〇二五</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十</w:t>
      </w:r>
      <w:r>
        <w:rPr>
          <w:rFonts w:hint="eastAsia" w:ascii="仿宋" w:hAnsi="仿宋" w:eastAsia="仿宋" w:cs="仿宋"/>
          <w:b/>
          <w:bCs/>
          <w:color w:val="auto"/>
          <w:sz w:val="32"/>
          <w:szCs w:val="32"/>
        </w:rPr>
        <w:t>月</w:t>
      </w:r>
    </w:p>
    <w:p w14:paraId="607A30B9">
      <w:pPr>
        <w:pStyle w:val="20"/>
        <w:pageBreakBefore w:val="0"/>
        <w:kinsoku/>
        <w:overflowPunct/>
        <w:topLinePunct w:val="0"/>
        <w:bidi w:val="0"/>
        <w:spacing w:line="360" w:lineRule="auto"/>
        <w:rPr>
          <w:rFonts w:hint="eastAsia" w:ascii="仿宋" w:hAnsi="仿宋" w:eastAsia="仿宋" w:cs="仿宋"/>
          <w:color w:val="auto"/>
        </w:rPr>
        <w:sectPr>
          <w:headerReference r:id="rId3" w:type="default"/>
          <w:pgSz w:w="11907" w:h="16840"/>
          <w:pgMar w:top="1134" w:right="1191" w:bottom="1134" w:left="1304" w:header="737" w:footer="992" w:gutter="0"/>
          <w:pgNumType w:fmt="numberInDash" w:start="0"/>
          <w:cols w:space="720" w:num="1"/>
          <w:docGrid w:linePitch="380" w:charSpace="-5735"/>
        </w:sectPr>
      </w:pPr>
    </w:p>
    <w:p w14:paraId="11148590">
      <w:pPr>
        <w:pStyle w:val="16"/>
        <w:pageBreakBefore w:val="0"/>
        <w:tabs>
          <w:tab w:val="right" w:leader="dot" w:pos="9412"/>
        </w:tabs>
        <w:kinsoku/>
        <w:overflowPunct/>
        <w:topLinePunct w:val="0"/>
        <w:bidi w:val="0"/>
        <w:spacing w:line="360" w:lineRule="auto"/>
        <w:rPr>
          <w:rFonts w:hint="eastAsia" w:ascii="仿宋" w:hAnsi="仿宋" w:eastAsia="仿宋" w:cs="仿宋"/>
          <w:b/>
          <w:bCs/>
          <w:color w:val="auto"/>
          <w:sz w:val="36"/>
          <w:szCs w:val="36"/>
        </w:rPr>
      </w:pPr>
      <w:r>
        <w:rPr>
          <w:rFonts w:hint="eastAsia" w:ascii="仿宋" w:hAnsi="仿宋" w:eastAsia="仿宋" w:cs="仿宋"/>
          <w:color w:val="auto"/>
          <w:szCs w:val="30"/>
        </w:rPr>
        <w:fldChar w:fldCharType="begin"/>
      </w:r>
      <w:r>
        <w:rPr>
          <w:rFonts w:hint="eastAsia" w:ascii="仿宋" w:hAnsi="仿宋" w:eastAsia="仿宋" w:cs="仿宋"/>
          <w:color w:val="auto"/>
          <w:szCs w:val="30"/>
        </w:rPr>
        <w:instrText xml:space="preserve">TOC \o "1-3" \h \u </w:instrText>
      </w:r>
      <w:r>
        <w:rPr>
          <w:rFonts w:hint="eastAsia" w:ascii="仿宋" w:hAnsi="仿宋" w:eastAsia="仿宋" w:cs="仿宋"/>
          <w:color w:val="auto"/>
          <w:szCs w:val="30"/>
        </w:rPr>
        <w:fldChar w:fldCharType="separate"/>
      </w:r>
      <w:r>
        <w:rPr>
          <w:rFonts w:hint="eastAsia" w:ascii="仿宋" w:hAnsi="仿宋" w:eastAsia="仿宋" w:cs="仿宋"/>
          <w:b/>
          <w:bCs/>
          <w:color w:val="auto"/>
          <w:sz w:val="36"/>
          <w:szCs w:val="36"/>
        </w:rPr>
        <w:t>目 录</w:t>
      </w:r>
    </w:p>
    <w:p w14:paraId="3427ABE6">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_Toc1281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一、项目概况</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_Toc1281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786BD23E">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_Toc13753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二、资格条件</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_Toc1281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11DC93B3">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_Toc32102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三、项目技术要求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_Toc32102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48C615C5">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_Toc19478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四、项目商务要求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- 2 -</w:t>
      </w:r>
    </w:p>
    <w:p w14:paraId="7D39376D">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_Toc5457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五、竞采有关说明</w:t>
      </w:r>
      <w:r>
        <w:rPr>
          <w:rFonts w:hint="eastAsia" w:ascii="仿宋" w:hAnsi="仿宋" w:eastAsia="仿宋" w:cs="仿宋"/>
          <w:color w:val="auto"/>
          <w:sz w:val="26"/>
          <w:szCs w:val="26"/>
        </w:rPr>
        <w:tab/>
      </w:r>
      <w:r>
        <w:rPr>
          <w:rFonts w:hint="eastAsia" w:ascii="仿宋" w:hAnsi="仿宋" w:eastAsia="仿宋" w:cs="仿宋"/>
          <w:color w:val="auto"/>
          <w:sz w:val="26"/>
          <w:szCs w:val="26"/>
          <w:lang w:val="en-US" w:eastAsia="zh-CN"/>
        </w:rPr>
        <w:t>-</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xml:space="preserve"> 7 -</w:t>
      </w:r>
    </w:p>
    <w:p w14:paraId="4C2C0C47">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_Toc26222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六、评审信息</w:t>
      </w:r>
      <w:r>
        <w:rPr>
          <w:rFonts w:hint="eastAsia" w:ascii="仿宋" w:hAnsi="仿宋" w:eastAsia="仿宋" w:cs="仿宋"/>
          <w:color w:val="auto"/>
          <w:sz w:val="26"/>
          <w:szCs w:val="26"/>
        </w:rPr>
        <w:tab/>
      </w:r>
      <w:r>
        <w:rPr>
          <w:rFonts w:hint="eastAsia" w:ascii="仿宋" w:hAnsi="仿宋" w:eastAsia="仿宋" w:cs="仿宋"/>
          <w:color w:val="auto"/>
          <w:sz w:val="26"/>
          <w:szCs w:val="26"/>
          <w:lang w:val="en-US" w:eastAsia="zh-CN"/>
        </w:rPr>
        <w:t>-</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xml:space="preserve"> 8 -</w:t>
      </w:r>
    </w:p>
    <w:p w14:paraId="5511C491">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_Toc18078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七</w:t>
      </w:r>
      <w:r>
        <w:rPr>
          <w:rFonts w:hint="eastAsia" w:ascii="仿宋" w:hAnsi="仿宋" w:eastAsia="仿宋" w:cs="仿宋"/>
          <w:color w:val="auto"/>
          <w:sz w:val="26"/>
          <w:szCs w:val="26"/>
        </w:rPr>
        <w:t>、其它有关规定</w:t>
      </w:r>
      <w:r>
        <w:rPr>
          <w:rFonts w:hint="eastAsia" w:ascii="仿宋" w:hAnsi="仿宋" w:eastAsia="仿宋" w:cs="仿宋"/>
          <w:color w:val="auto"/>
          <w:sz w:val="26"/>
          <w:szCs w:val="26"/>
        </w:rPr>
        <w:tab/>
      </w:r>
      <w:r>
        <w:rPr>
          <w:rFonts w:hint="eastAsia" w:ascii="仿宋" w:hAnsi="仿宋" w:eastAsia="仿宋" w:cs="仿宋"/>
          <w:b w:val="0"/>
          <w:bCs w:val="0"/>
          <w:color w:val="auto"/>
          <w:sz w:val="26"/>
          <w:szCs w:val="26"/>
        </w:rPr>
        <w:fldChar w:fldCharType="begin"/>
      </w:r>
      <w:r>
        <w:rPr>
          <w:rFonts w:hint="eastAsia" w:ascii="仿宋" w:hAnsi="仿宋" w:eastAsia="仿宋" w:cs="仿宋"/>
          <w:b w:val="0"/>
          <w:bCs w:val="0"/>
          <w:color w:val="auto"/>
          <w:sz w:val="26"/>
          <w:szCs w:val="26"/>
        </w:rPr>
        <w:instrText xml:space="preserve"> PAGEREF _Toc19478 \h </w:instrText>
      </w:r>
      <w:r>
        <w:rPr>
          <w:rFonts w:hint="eastAsia" w:ascii="仿宋" w:hAnsi="仿宋" w:eastAsia="仿宋" w:cs="仿宋"/>
          <w:b w:val="0"/>
          <w:bCs w:val="0"/>
          <w:color w:val="auto"/>
          <w:sz w:val="26"/>
          <w:szCs w:val="26"/>
        </w:rPr>
        <w:fldChar w:fldCharType="separate"/>
      </w:r>
      <w:r>
        <w:rPr>
          <w:rFonts w:hint="eastAsia" w:eastAsia="仿宋"/>
          <w:b w:val="0"/>
          <w:bCs w:val="0"/>
          <w:lang w:val="en-US" w:eastAsia="zh-CN"/>
        </w:rPr>
        <w:t>- 8 -</w:t>
      </w:r>
      <w:r>
        <w:rPr>
          <w:rFonts w:hint="eastAsia" w:ascii="仿宋" w:hAnsi="仿宋" w:eastAsia="仿宋" w:cs="仿宋"/>
          <w:b w:val="0"/>
          <w:bCs w:val="0"/>
          <w:color w:val="auto"/>
          <w:sz w:val="26"/>
          <w:szCs w:val="26"/>
        </w:rPr>
        <w:fldChar w:fldCharType="end"/>
      </w:r>
      <w:r>
        <w:rPr>
          <w:rFonts w:hint="eastAsia" w:ascii="仿宋" w:hAnsi="仿宋" w:eastAsia="仿宋" w:cs="仿宋"/>
          <w:color w:val="auto"/>
          <w:sz w:val="26"/>
          <w:szCs w:val="26"/>
        </w:rPr>
        <w:fldChar w:fldCharType="end"/>
      </w:r>
    </w:p>
    <w:p w14:paraId="5BD434DA">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_Toc23976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八</w:t>
      </w:r>
      <w:r>
        <w:rPr>
          <w:rFonts w:hint="eastAsia" w:ascii="仿宋" w:hAnsi="仿宋" w:eastAsia="仿宋" w:cs="仿宋"/>
          <w:color w:val="auto"/>
          <w:sz w:val="26"/>
          <w:szCs w:val="26"/>
        </w:rPr>
        <w:t>、联系方式</w:t>
      </w:r>
      <w:r>
        <w:rPr>
          <w:rFonts w:hint="eastAsia" w:ascii="仿宋" w:hAnsi="仿宋" w:eastAsia="仿宋" w:cs="仿宋"/>
          <w:color w:val="auto"/>
          <w:sz w:val="26"/>
          <w:szCs w:val="26"/>
        </w:rPr>
        <w:tab/>
      </w:r>
      <w:r>
        <w:rPr>
          <w:rFonts w:hint="eastAsia" w:ascii="仿宋" w:hAnsi="仿宋" w:eastAsia="仿宋" w:cs="仿宋"/>
          <w:b w:val="0"/>
          <w:bCs w:val="0"/>
          <w:color w:val="auto"/>
          <w:sz w:val="26"/>
          <w:szCs w:val="26"/>
        </w:rPr>
        <w:fldChar w:fldCharType="begin"/>
      </w:r>
      <w:r>
        <w:rPr>
          <w:rFonts w:hint="eastAsia" w:ascii="仿宋" w:hAnsi="仿宋" w:eastAsia="仿宋" w:cs="仿宋"/>
          <w:b w:val="0"/>
          <w:bCs w:val="0"/>
          <w:color w:val="auto"/>
          <w:sz w:val="26"/>
          <w:szCs w:val="26"/>
        </w:rPr>
        <w:instrText xml:space="preserve"> PAGEREF _Toc19478 \h </w:instrText>
      </w:r>
      <w:r>
        <w:rPr>
          <w:rFonts w:hint="eastAsia" w:ascii="仿宋" w:hAnsi="仿宋" w:eastAsia="仿宋" w:cs="仿宋"/>
          <w:b w:val="0"/>
          <w:bCs w:val="0"/>
          <w:color w:val="auto"/>
          <w:sz w:val="26"/>
          <w:szCs w:val="26"/>
        </w:rPr>
        <w:fldChar w:fldCharType="separate"/>
      </w:r>
      <w:r>
        <w:rPr>
          <w:rFonts w:hint="eastAsia" w:eastAsia="仿宋"/>
          <w:b w:val="0"/>
          <w:bCs w:val="0"/>
          <w:lang w:val="en-US" w:eastAsia="zh-CN"/>
        </w:rPr>
        <w:t>- 9 -</w:t>
      </w:r>
      <w:r>
        <w:rPr>
          <w:rFonts w:hint="eastAsia" w:ascii="仿宋" w:hAnsi="仿宋" w:eastAsia="仿宋" w:cs="仿宋"/>
          <w:b w:val="0"/>
          <w:bCs w:val="0"/>
          <w:color w:val="auto"/>
          <w:sz w:val="26"/>
          <w:szCs w:val="26"/>
        </w:rPr>
        <w:fldChar w:fldCharType="end"/>
      </w:r>
      <w:r>
        <w:rPr>
          <w:rFonts w:hint="eastAsia" w:ascii="仿宋" w:hAnsi="仿宋" w:eastAsia="仿宋" w:cs="仿宋"/>
          <w:color w:val="auto"/>
          <w:sz w:val="26"/>
          <w:szCs w:val="26"/>
        </w:rPr>
        <w:fldChar w:fldCharType="end"/>
      </w:r>
    </w:p>
    <w:p w14:paraId="3E7AE279">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_Toc6952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九、知识产权</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_Toc6952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- 9 -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1D49A9F1">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_Toc7809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十</w:t>
      </w:r>
      <w:r>
        <w:rPr>
          <w:rFonts w:hint="eastAsia" w:ascii="仿宋" w:hAnsi="仿宋" w:eastAsia="仿宋" w:cs="仿宋"/>
          <w:color w:val="auto"/>
          <w:sz w:val="26"/>
          <w:szCs w:val="26"/>
        </w:rPr>
        <w:t>、报价要求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_Toc7809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- 9 -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28E9CA4B">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_Toc21980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eastAsia="zh-CN"/>
        </w:rPr>
        <w:t>十一、</w:t>
      </w:r>
      <w:r>
        <w:rPr>
          <w:rFonts w:hint="eastAsia" w:ascii="仿宋" w:hAnsi="仿宋" w:eastAsia="仿宋" w:cs="仿宋"/>
          <w:color w:val="auto"/>
          <w:sz w:val="26"/>
          <w:szCs w:val="26"/>
        </w:rPr>
        <w:t>评选程序及方法</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_Toc19478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- 10 -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25C142D5">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_Toc19655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lang w:val="en-US" w:eastAsia="zh-CN"/>
        </w:rPr>
        <w:t>十二、供应商提交响应文件</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_Toc19655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- 12 -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1BD84798">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_Toc11648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w:t>
      </w:r>
      <w:r>
        <w:rPr>
          <w:rFonts w:hint="eastAsia" w:ascii="仿宋" w:hAnsi="仿宋" w:eastAsia="仿宋" w:cs="仿宋"/>
          <w:color w:val="auto"/>
          <w:sz w:val="26"/>
          <w:szCs w:val="26"/>
          <w:lang w:eastAsia="zh-CN"/>
        </w:rPr>
        <w:t>三</w:t>
      </w:r>
      <w:r>
        <w:rPr>
          <w:rFonts w:hint="eastAsia" w:ascii="仿宋" w:hAnsi="仿宋" w:eastAsia="仿宋" w:cs="仿宋"/>
          <w:color w:val="auto"/>
          <w:sz w:val="26"/>
          <w:szCs w:val="26"/>
        </w:rPr>
        <w:t>、其他</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_Toc11648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- 13 -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527C814F">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_Toc9621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w:t>
      </w:r>
      <w:r>
        <w:rPr>
          <w:rFonts w:hint="eastAsia" w:ascii="仿宋" w:hAnsi="仿宋" w:eastAsia="仿宋" w:cs="仿宋"/>
          <w:color w:val="auto"/>
          <w:sz w:val="26"/>
          <w:szCs w:val="26"/>
          <w:lang w:eastAsia="zh-CN"/>
        </w:rPr>
        <w:t>四</w:t>
      </w:r>
      <w:r>
        <w:rPr>
          <w:rFonts w:hint="eastAsia" w:ascii="仿宋" w:hAnsi="仿宋" w:eastAsia="仿宋" w:cs="仿宋"/>
          <w:color w:val="auto"/>
          <w:sz w:val="26"/>
          <w:szCs w:val="26"/>
        </w:rPr>
        <w:t>、无效响应</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_Toc9621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w:t>
      </w:r>
      <w:r>
        <w:rPr>
          <w:rFonts w:hint="eastAsia" w:ascii="仿宋" w:hAnsi="仿宋" w:eastAsia="仿宋" w:cs="仿宋"/>
          <w:color w:val="auto"/>
          <w:sz w:val="26"/>
          <w:szCs w:val="26"/>
          <w:lang w:val="en-US" w:eastAsia="zh-CN"/>
        </w:rPr>
        <w:t>4</w:t>
      </w:r>
      <w:r>
        <w:rPr>
          <w:rFonts w:hint="eastAsia" w:ascii="仿宋" w:hAnsi="仿宋" w:eastAsia="仿宋" w:cs="仿宋"/>
          <w:color w:val="auto"/>
          <w:sz w:val="26"/>
          <w:szCs w:val="26"/>
        </w:rPr>
        <w:t xml:space="preserve">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69EF4773">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_Toc28296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w:t>
      </w:r>
      <w:r>
        <w:rPr>
          <w:rFonts w:hint="eastAsia" w:ascii="仿宋" w:hAnsi="仿宋" w:eastAsia="仿宋" w:cs="仿宋"/>
          <w:color w:val="auto"/>
          <w:sz w:val="26"/>
          <w:szCs w:val="26"/>
          <w:lang w:eastAsia="zh-CN"/>
        </w:rPr>
        <w:t>五</w:t>
      </w:r>
      <w:r>
        <w:rPr>
          <w:rFonts w:hint="eastAsia" w:ascii="仿宋" w:hAnsi="仿宋" w:eastAsia="仿宋" w:cs="仿宋"/>
          <w:color w:val="auto"/>
          <w:sz w:val="26"/>
          <w:szCs w:val="26"/>
        </w:rPr>
        <w:t>、</w:t>
      </w:r>
      <w:r>
        <w:rPr>
          <w:rFonts w:hint="eastAsia" w:ascii="仿宋" w:hAnsi="仿宋" w:eastAsia="仿宋" w:cs="仿宋"/>
          <w:color w:val="auto"/>
          <w:sz w:val="26"/>
          <w:szCs w:val="26"/>
          <w:lang w:eastAsia="zh-CN"/>
        </w:rPr>
        <w:t>废标条款</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_Toc28296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- 1</w:t>
      </w:r>
      <w:r>
        <w:rPr>
          <w:rFonts w:hint="eastAsia" w:ascii="仿宋" w:hAnsi="仿宋" w:eastAsia="仿宋" w:cs="仿宋"/>
          <w:color w:val="auto"/>
          <w:sz w:val="26"/>
          <w:szCs w:val="26"/>
          <w:lang w:val="en-US" w:eastAsia="zh-CN"/>
        </w:rPr>
        <w:t>4</w:t>
      </w:r>
      <w:r>
        <w:rPr>
          <w:rFonts w:hint="eastAsia" w:ascii="仿宋" w:hAnsi="仿宋" w:eastAsia="仿宋" w:cs="仿宋"/>
          <w:color w:val="auto"/>
          <w:sz w:val="26"/>
          <w:szCs w:val="26"/>
        </w:rPr>
        <w:t xml:space="preserve"> -</w:t>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p>
    <w:p w14:paraId="76559225">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6"/>
          <w:szCs w:val="26"/>
          <w:lang w:val="en-US" w:eastAsia="zh-CN"/>
        </w:rPr>
      </w:pP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HYPERLINK \l _Toc16457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t>十六、供应商编制响应文件要求</w:t>
      </w:r>
      <w:r>
        <w:rPr>
          <w:rFonts w:hint="eastAsia" w:ascii="仿宋" w:hAnsi="仿宋" w:eastAsia="仿宋" w:cs="仿宋"/>
          <w:color w:val="auto"/>
          <w:sz w:val="26"/>
          <w:szCs w:val="26"/>
        </w:rPr>
        <w:tab/>
      </w:r>
      <w:r>
        <w:rPr>
          <w:rFonts w:hint="eastAsia" w:ascii="仿宋" w:hAnsi="仿宋" w:eastAsia="仿宋" w:cs="仿宋"/>
          <w:color w:val="auto"/>
          <w:sz w:val="26"/>
          <w:szCs w:val="26"/>
        </w:rPr>
        <w:fldChar w:fldCharType="begin"/>
      </w:r>
      <w:r>
        <w:rPr>
          <w:rFonts w:hint="eastAsia" w:ascii="仿宋" w:hAnsi="仿宋" w:eastAsia="仿宋" w:cs="仿宋"/>
          <w:color w:val="auto"/>
          <w:sz w:val="26"/>
          <w:szCs w:val="26"/>
        </w:rPr>
        <w:instrText xml:space="preserve"> PAGEREF _Toc16457 \h </w:instrText>
      </w:r>
      <w:r>
        <w:rPr>
          <w:rFonts w:hint="eastAsia" w:ascii="仿宋" w:hAnsi="仿宋" w:eastAsia="仿宋" w:cs="仿宋"/>
          <w:color w:val="auto"/>
          <w:sz w:val="26"/>
          <w:szCs w:val="26"/>
        </w:rPr>
        <w:fldChar w:fldCharType="separate"/>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rPr>
        <w:fldChar w:fldCharType="end"/>
      </w:r>
      <w:r>
        <w:rPr>
          <w:rFonts w:hint="eastAsia" w:ascii="仿宋" w:hAnsi="仿宋" w:eastAsia="仿宋" w:cs="仿宋"/>
          <w:color w:val="auto"/>
          <w:sz w:val="26"/>
          <w:szCs w:val="26"/>
          <w:lang w:val="en-US" w:eastAsia="zh-CN"/>
        </w:rPr>
        <w:t>- 15 -</w:t>
      </w:r>
    </w:p>
    <w:p w14:paraId="72247D21">
      <w:pPr>
        <w:pStyle w:val="16"/>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6"/>
          <w:szCs w:val="26"/>
        </w:rPr>
      </w:pPr>
    </w:p>
    <w:p w14:paraId="531F1A24">
      <w:pPr>
        <w:pStyle w:val="16"/>
        <w:pageBreakBefore w:val="0"/>
        <w:tabs>
          <w:tab w:val="right" w:leader="dot" w:pos="9412"/>
        </w:tabs>
        <w:kinsoku/>
        <w:overflowPunct/>
        <w:topLinePunct w:val="0"/>
        <w:bidi w:val="0"/>
        <w:spacing w:line="360" w:lineRule="auto"/>
        <w:jc w:val="left"/>
        <w:rPr>
          <w:rFonts w:hint="eastAsia" w:ascii="仿宋" w:hAnsi="仿宋" w:eastAsia="仿宋" w:cs="仿宋"/>
          <w:color w:val="auto"/>
          <w:szCs w:val="30"/>
        </w:rPr>
        <w:sectPr>
          <w:pgSz w:w="11907" w:h="16840"/>
          <w:pgMar w:top="1134" w:right="1191" w:bottom="1134" w:left="1304" w:header="737" w:footer="992" w:gutter="0"/>
          <w:pgNumType w:fmt="numberInDash" w:start="0"/>
          <w:cols w:space="720" w:num="1"/>
          <w:docGrid w:linePitch="380" w:charSpace="-5735"/>
        </w:sectPr>
      </w:pPr>
      <w:r>
        <w:rPr>
          <w:rFonts w:hint="eastAsia" w:ascii="仿宋" w:hAnsi="仿宋" w:eastAsia="仿宋" w:cs="仿宋"/>
          <w:color w:val="auto"/>
          <w:szCs w:val="30"/>
        </w:rPr>
        <w:fldChar w:fldCharType="end"/>
      </w:r>
    </w:p>
    <w:p w14:paraId="7B199481">
      <w:pPr>
        <w:pageBreakBefore w:val="0"/>
        <w:kinsoku/>
        <w:overflowPunct/>
        <w:topLinePunct w:val="0"/>
        <w:bidi w:val="0"/>
        <w:spacing w:line="360" w:lineRule="auto"/>
        <w:jc w:val="center"/>
        <w:rPr>
          <w:rFonts w:hint="eastAsia" w:ascii="仿宋" w:hAnsi="仿宋" w:eastAsia="仿宋" w:cs="仿宋"/>
          <w:bCs/>
          <w:color w:val="auto"/>
          <w:szCs w:val="44"/>
        </w:rPr>
      </w:pPr>
    </w:p>
    <w:p w14:paraId="30717BD8">
      <w:pPr>
        <w:pageBreakBefore w:val="0"/>
        <w:kinsoku/>
        <w:overflowPunct/>
        <w:topLinePunct w:val="0"/>
        <w:bidi w:val="0"/>
        <w:spacing w:line="360" w:lineRule="auto"/>
        <w:outlineLvl w:val="1"/>
        <w:rPr>
          <w:rFonts w:hint="eastAsia" w:ascii="仿宋" w:hAnsi="仿宋" w:eastAsia="仿宋" w:cs="仿宋"/>
          <w:b/>
          <w:color w:val="auto"/>
          <w:sz w:val="24"/>
          <w:szCs w:val="24"/>
          <w:lang w:val="en-US" w:eastAsia="zh-CN"/>
        </w:rPr>
      </w:pPr>
      <w:bookmarkStart w:id="5" w:name="_Toc1281"/>
      <w:bookmarkStart w:id="6" w:name="_Toc12808"/>
      <w:bookmarkStart w:id="7" w:name="_Toc26820"/>
      <w:bookmarkStart w:id="8" w:name="_Toc25458"/>
      <w:bookmarkStart w:id="9" w:name="_Toc317775175"/>
      <w:bookmarkStart w:id="10" w:name="_Toc313893526"/>
      <w:bookmarkStart w:id="11" w:name="_Toc3463"/>
      <w:bookmarkStart w:id="12" w:name="_Toc18881"/>
      <w:bookmarkStart w:id="13" w:name="_Toc7625"/>
      <w:bookmarkStart w:id="14" w:name="_Toc18159"/>
      <w:bookmarkStart w:id="15" w:name="_Toc28598"/>
      <w:bookmarkStart w:id="16" w:name="_Toc4474"/>
      <w:r>
        <w:rPr>
          <w:rFonts w:hint="eastAsia" w:ascii="仿宋" w:hAnsi="仿宋" w:eastAsia="仿宋" w:cs="仿宋"/>
          <w:b/>
          <w:color w:val="auto"/>
          <w:sz w:val="24"/>
          <w:szCs w:val="24"/>
          <w:lang w:val="en-US" w:eastAsia="zh-CN"/>
        </w:rPr>
        <w:t>一、项目概况</w:t>
      </w:r>
      <w:bookmarkEnd w:id="5"/>
    </w:p>
    <w:p w14:paraId="5EE08880">
      <w:pPr>
        <w:keepNext/>
        <w:keepLines/>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u w:val="none"/>
          <w:lang w:eastAsia="zh-CN"/>
        </w:rPr>
        <w:t>垫江县澄溪镇卫生院（</w:t>
      </w:r>
      <w:r>
        <w:rPr>
          <w:rFonts w:hint="eastAsia" w:ascii="仿宋" w:hAnsi="仿宋" w:eastAsia="仿宋" w:cs="仿宋"/>
          <w:bCs/>
          <w:color w:val="auto"/>
          <w:sz w:val="24"/>
          <w:szCs w:val="24"/>
        </w:rPr>
        <w:t>以下简称：采购人）对</w:t>
      </w:r>
      <w:r>
        <w:rPr>
          <w:rFonts w:hint="eastAsia" w:ascii="仿宋" w:hAnsi="仿宋" w:eastAsia="仿宋" w:cs="仿宋"/>
          <w:bCs/>
          <w:color w:val="auto"/>
          <w:sz w:val="24"/>
          <w:szCs w:val="24"/>
          <w:u w:val="none"/>
          <w:lang w:eastAsia="zh-CN"/>
        </w:rPr>
        <w:t>食堂外包服务项目</w:t>
      </w:r>
      <w:r>
        <w:rPr>
          <w:rFonts w:hint="eastAsia" w:ascii="仿宋" w:hAnsi="仿宋" w:eastAsia="仿宋" w:cs="仿宋"/>
          <w:bCs/>
          <w:color w:val="auto"/>
          <w:sz w:val="24"/>
          <w:szCs w:val="24"/>
        </w:rPr>
        <w:t>进行竞采，欢迎有资格的供应商前来参加竞采。</w:t>
      </w:r>
    </w:p>
    <w:bookmarkEnd w:id="6"/>
    <w:bookmarkEnd w:id="7"/>
    <w:bookmarkEnd w:id="8"/>
    <w:bookmarkEnd w:id="9"/>
    <w:bookmarkEnd w:id="10"/>
    <w:bookmarkEnd w:id="11"/>
    <w:bookmarkEnd w:id="12"/>
    <w:bookmarkEnd w:id="13"/>
    <w:bookmarkEnd w:id="14"/>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1"/>
        <w:gridCol w:w="1679"/>
        <w:gridCol w:w="1158"/>
        <w:gridCol w:w="2579"/>
      </w:tblGrid>
      <w:tr w14:paraId="66FB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3741" w:type="dxa"/>
            <w:tcBorders>
              <w:top w:val="single" w:color="auto" w:sz="4" w:space="0"/>
              <w:left w:val="single" w:color="auto" w:sz="4" w:space="0"/>
              <w:right w:val="single" w:color="auto" w:sz="4" w:space="0"/>
            </w:tcBorders>
            <w:noWrap w:val="0"/>
            <w:vAlign w:val="center"/>
          </w:tcPr>
          <w:p w14:paraId="4BDA2009">
            <w:pPr>
              <w:pageBreakBefore w:val="0"/>
              <w:widowControl/>
              <w:kinsoku/>
              <w:overflowPunct/>
              <w:topLinePunct w:val="0"/>
              <w:bidi w:val="0"/>
              <w:spacing w:line="360" w:lineRule="auto"/>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项目名称</w:t>
            </w:r>
          </w:p>
        </w:tc>
        <w:tc>
          <w:tcPr>
            <w:tcW w:w="1679" w:type="dxa"/>
            <w:tcBorders>
              <w:top w:val="single" w:color="auto" w:sz="4" w:space="0"/>
              <w:left w:val="single" w:color="auto" w:sz="4" w:space="0"/>
              <w:right w:val="single" w:color="auto" w:sz="4" w:space="0"/>
            </w:tcBorders>
            <w:noWrap w:val="0"/>
            <w:vAlign w:val="center"/>
          </w:tcPr>
          <w:p w14:paraId="756FF3F9">
            <w:pPr>
              <w:pageBreakBefore w:val="0"/>
              <w:widowControl/>
              <w:kinsoku/>
              <w:overflowPunct/>
              <w:topLinePunct w:val="0"/>
              <w:bidi w:val="0"/>
              <w:spacing w:line="360" w:lineRule="auto"/>
              <w:jc w:val="center"/>
              <w:rPr>
                <w:rFonts w:ascii="仿宋" w:hAnsi="仿宋" w:eastAsia="仿宋" w:cs="仿宋"/>
                <w:b/>
                <w:bCs/>
                <w:color w:val="auto"/>
                <w:kern w:val="0"/>
                <w:sz w:val="21"/>
                <w:szCs w:val="21"/>
              </w:rPr>
            </w:pPr>
            <w:r>
              <w:rPr>
                <w:rFonts w:hint="eastAsia" w:ascii="仿宋" w:hAnsi="仿宋" w:eastAsia="仿宋" w:cs="仿宋"/>
                <w:b/>
                <w:bCs/>
                <w:color w:val="auto"/>
                <w:sz w:val="24"/>
              </w:rPr>
              <w:t>服务期</w:t>
            </w:r>
            <w:r>
              <w:rPr>
                <w:rFonts w:hint="eastAsia" w:ascii="仿宋" w:hAnsi="仿宋" w:eastAsia="仿宋" w:cs="仿宋"/>
                <w:b/>
                <w:bCs/>
                <w:color w:val="auto"/>
                <w:sz w:val="24"/>
                <w:lang w:val="en-US" w:eastAsia="zh-CN"/>
              </w:rPr>
              <w:t>限</w:t>
            </w:r>
            <w:r>
              <w:rPr>
                <w:rFonts w:hint="eastAsia" w:ascii="仿宋" w:hAnsi="仿宋" w:eastAsia="仿宋" w:cs="仿宋"/>
                <w:b/>
                <w:bCs/>
                <w:color w:val="auto"/>
                <w:sz w:val="24"/>
              </w:rPr>
              <w:t>（年）</w:t>
            </w:r>
          </w:p>
        </w:tc>
        <w:tc>
          <w:tcPr>
            <w:tcW w:w="1158" w:type="dxa"/>
            <w:tcBorders>
              <w:top w:val="single" w:color="auto" w:sz="4" w:space="0"/>
              <w:left w:val="single" w:color="auto" w:sz="4" w:space="0"/>
              <w:right w:val="single" w:color="auto" w:sz="4" w:space="0"/>
            </w:tcBorders>
            <w:noWrap w:val="0"/>
            <w:vAlign w:val="center"/>
          </w:tcPr>
          <w:p w14:paraId="15CDF420">
            <w:pPr>
              <w:pageBreakBefore w:val="0"/>
              <w:widowControl/>
              <w:kinsoku/>
              <w:overflowPunct/>
              <w:topLinePunct w:val="0"/>
              <w:bidi w:val="0"/>
              <w:spacing w:line="360" w:lineRule="auto"/>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成交供应商数量</w:t>
            </w:r>
          </w:p>
        </w:tc>
        <w:tc>
          <w:tcPr>
            <w:tcW w:w="2579" w:type="dxa"/>
            <w:tcBorders>
              <w:top w:val="single" w:color="auto" w:sz="4" w:space="0"/>
              <w:left w:val="single" w:color="auto" w:sz="4" w:space="0"/>
              <w:right w:val="single" w:color="auto" w:sz="4" w:space="0"/>
            </w:tcBorders>
            <w:noWrap w:val="0"/>
            <w:vAlign w:val="center"/>
          </w:tcPr>
          <w:p w14:paraId="09D79C65">
            <w:pPr>
              <w:pageBreakBefore w:val="0"/>
              <w:widowControl/>
              <w:kinsoku/>
              <w:overflowPunct/>
              <w:topLinePunct w:val="0"/>
              <w:bidi w:val="0"/>
              <w:spacing w:line="360" w:lineRule="auto"/>
              <w:jc w:val="center"/>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 xml:space="preserve"> 备注</w:t>
            </w:r>
          </w:p>
        </w:tc>
      </w:tr>
      <w:tr w14:paraId="5480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741" w:type="dxa"/>
            <w:tcBorders>
              <w:top w:val="single" w:color="auto" w:sz="4" w:space="0"/>
              <w:left w:val="single" w:color="auto" w:sz="4" w:space="0"/>
              <w:right w:val="single" w:color="auto" w:sz="4" w:space="0"/>
            </w:tcBorders>
            <w:noWrap w:val="0"/>
            <w:vAlign w:val="center"/>
          </w:tcPr>
          <w:p w14:paraId="157E15CF">
            <w:pPr>
              <w:pageBreakBefore w:val="0"/>
              <w:widowControl/>
              <w:kinsoku/>
              <w:overflowPunct/>
              <w:topLinePunct w:val="0"/>
              <w:bidi w:val="0"/>
              <w:spacing w:line="360" w:lineRule="auto"/>
              <w:jc w:val="center"/>
              <w:rPr>
                <w:rFonts w:hint="eastAsia" w:ascii="仿宋" w:hAnsi="仿宋" w:eastAsia="仿宋" w:cs="仿宋"/>
                <w:color w:val="auto"/>
                <w:kern w:val="0"/>
                <w:sz w:val="21"/>
                <w:szCs w:val="21"/>
                <w:lang w:eastAsia="zh-CN"/>
              </w:rPr>
            </w:pPr>
            <w:bookmarkStart w:id="17" w:name="_Hlk344477914"/>
            <w:r>
              <w:rPr>
                <w:rFonts w:hint="eastAsia" w:ascii="仿宋" w:hAnsi="仿宋" w:eastAsia="仿宋" w:cs="仿宋"/>
                <w:color w:val="auto"/>
                <w:kern w:val="0"/>
                <w:sz w:val="21"/>
                <w:szCs w:val="21"/>
                <w:lang w:eastAsia="zh-CN"/>
              </w:rPr>
              <w:t>重庆市垫江县澄溪镇卫生院食堂外包服务项目</w:t>
            </w:r>
          </w:p>
        </w:tc>
        <w:tc>
          <w:tcPr>
            <w:tcW w:w="1679" w:type="dxa"/>
            <w:tcBorders>
              <w:top w:val="single" w:color="auto" w:sz="4" w:space="0"/>
              <w:left w:val="single" w:color="auto" w:sz="4" w:space="0"/>
              <w:right w:val="single" w:color="auto" w:sz="4" w:space="0"/>
            </w:tcBorders>
            <w:noWrap w:val="0"/>
            <w:vAlign w:val="center"/>
          </w:tcPr>
          <w:p w14:paraId="72FD8B7B">
            <w:pPr>
              <w:pageBreakBefore w:val="0"/>
              <w:widowControl/>
              <w:kinsoku/>
              <w:overflowPunct/>
              <w:topLinePunct w:val="0"/>
              <w:bidi w:val="0"/>
              <w:spacing w:line="360" w:lineRule="auto"/>
              <w:jc w:val="center"/>
              <w:rPr>
                <w:rFonts w:ascii="仿宋" w:hAnsi="仿宋" w:eastAsia="仿宋" w:cs="仿宋"/>
                <w:color w:val="auto"/>
                <w:kern w:val="0"/>
                <w:sz w:val="21"/>
                <w:szCs w:val="21"/>
              </w:rPr>
            </w:pPr>
            <w:r>
              <w:rPr>
                <w:rFonts w:hint="eastAsia" w:ascii="仿宋" w:hAnsi="仿宋" w:eastAsia="仿宋" w:cs="仿宋"/>
                <w:color w:val="auto"/>
                <w:sz w:val="24"/>
              </w:rPr>
              <w:t>1</w:t>
            </w:r>
          </w:p>
        </w:tc>
        <w:tc>
          <w:tcPr>
            <w:tcW w:w="1158" w:type="dxa"/>
            <w:tcBorders>
              <w:top w:val="single" w:color="auto" w:sz="4" w:space="0"/>
              <w:left w:val="single" w:color="auto" w:sz="4" w:space="0"/>
              <w:right w:val="single" w:color="auto" w:sz="4" w:space="0"/>
            </w:tcBorders>
            <w:noWrap w:val="0"/>
            <w:vAlign w:val="center"/>
          </w:tcPr>
          <w:p w14:paraId="0FA564A5">
            <w:pPr>
              <w:pageBreakBefore w:val="0"/>
              <w:widowControl/>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1名</w:t>
            </w:r>
          </w:p>
        </w:tc>
        <w:tc>
          <w:tcPr>
            <w:tcW w:w="2579" w:type="dxa"/>
            <w:tcBorders>
              <w:top w:val="single" w:color="auto" w:sz="4" w:space="0"/>
              <w:left w:val="single" w:color="auto" w:sz="4" w:space="0"/>
              <w:right w:val="single" w:color="auto" w:sz="4" w:space="0"/>
            </w:tcBorders>
            <w:noWrap w:val="0"/>
            <w:vAlign w:val="center"/>
          </w:tcPr>
          <w:p w14:paraId="78A553D1">
            <w:pPr>
              <w:pageBreakBefore w:val="0"/>
              <w:widowControl/>
              <w:kinsoku/>
              <w:overflowPunct/>
              <w:topLinePunct w:val="0"/>
              <w:bidi w:val="0"/>
              <w:spacing w:line="360" w:lineRule="auto"/>
              <w:jc w:val="center"/>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最终结算金额以实际发生的金额为准</w:t>
            </w:r>
          </w:p>
        </w:tc>
      </w:tr>
      <w:bookmarkEnd w:id="17"/>
    </w:tbl>
    <w:p w14:paraId="2032166A">
      <w:pPr>
        <w:pageBreakBefore w:val="0"/>
        <w:kinsoku/>
        <w:overflowPunct/>
        <w:topLinePunct w:val="0"/>
        <w:bidi w:val="0"/>
        <w:spacing w:line="360" w:lineRule="auto"/>
        <w:outlineLvl w:val="1"/>
        <w:rPr>
          <w:rFonts w:hint="eastAsia" w:ascii="仿宋" w:hAnsi="仿宋" w:eastAsia="仿宋" w:cs="仿宋"/>
          <w:bCs/>
          <w:color w:val="auto"/>
          <w:sz w:val="24"/>
          <w:szCs w:val="24"/>
          <w:lang w:eastAsia="zh-CN"/>
        </w:rPr>
      </w:pPr>
      <w:bookmarkStart w:id="18" w:name="_Toc19437"/>
      <w:bookmarkStart w:id="19" w:name="_Toc15576"/>
      <w:bookmarkStart w:id="20" w:name="_Toc6462"/>
      <w:bookmarkStart w:id="21" w:name="_Toc22399"/>
      <w:bookmarkStart w:id="22" w:name="_Toc15727"/>
      <w:bookmarkStart w:id="23" w:name="_Toc25190"/>
      <w:bookmarkStart w:id="24" w:name="_Toc3336"/>
      <w:bookmarkStart w:id="25" w:name="_Toc20980"/>
      <w:bookmarkStart w:id="26" w:name="_Toc4112"/>
      <w:bookmarkStart w:id="27" w:name="_Toc427"/>
      <w:bookmarkStart w:id="28" w:name="_Toc1790"/>
      <w:bookmarkStart w:id="29" w:name="_Toc373860293"/>
      <w:bookmarkStart w:id="30" w:name="_Toc317775178"/>
      <w:r>
        <w:rPr>
          <w:rFonts w:hint="eastAsia" w:ascii="仿宋" w:hAnsi="仿宋" w:eastAsia="仿宋" w:cs="仿宋"/>
          <w:b/>
          <w:color w:val="auto"/>
          <w:sz w:val="24"/>
          <w:szCs w:val="24"/>
        </w:rPr>
        <w:t>二、资格</w:t>
      </w:r>
      <w:bookmarkEnd w:id="18"/>
      <w:bookmarkEnd w:id="19"/>
      <w:bookmarkEnd w:id="20"/>
      <w:bookmarkEnd w:id="21"/>
      <w:bookmarkEnd w:id="22"/>
      <w:bookmarkEnd w:id="23"/>
      <w:bookmarkEnd w:id="24"/>
      <w:bookmarkEnd w:id="25"/>
      <w:bookmarkEnd w:id="26"/>
      <w:bookmarkEnd w:id="27"/>
      <w:bookmarkEnd w:id="28"/>
      <w:r>
        <w:rPr>
          <w:rFonts w:hint="eastAsia" w:ascii="仿宋" w:hAnsi="仿宋" w:eastAsia="仿宋" w:cs="仿宋"/>
          <w:b/>
          <w:color w:val="auto"/>
          <w:sz w:val="24"/>
          <w:szCs w:val="24"/>
          <w:lang w:eastAsia="zh-CN"/>
        </w:rPr>
        <w:t>条件</w:t>
      </w:r>
    </w:p>
    <w:p w14:paraId="08B3B057">
      <w:pPr>
        <w:pageBreakBefore w:val="0"/>
        <w:kinsoku/>
        <w:overflowPunct/>
        <w:topLinePunct w:val="0"/>
        <w:bidi w:val="0"/>
        <w:spacing w:line="360" w:lineRule="auto"/>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（一）一般资质条件</w:t>
      </w:r>
    </w:p>
    <w:p w14:paraId="727D1649">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1.具有独立承担民事责任的能力；</w:t>
      </w:r>
    </w:p>
    <w:p w14:paraId="63327A68">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2.具有良好的商业信誉和健全的财务会计制度；</w:t>
      </w:r>
    </w:p>
    <w:p w14:paraId="3F31C630">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3.具有履行合同所必需的设备和专业技术能力；</w:t>
      </w:r>
    </w:p>
    <w:p w14:paraId="553D498C">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4.有依法缴纳税收和社会保障资金的良好记录；</w:t>
      </w:r>
    </w:p>
    <w:p w14:paraId="69A5C0A6">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5.参加政府采购活动前三年内，在经营活动中没有重大违法记录</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不限于被罚款2000元及以上、法人及厨师有行政处罚或刑拘史等）</w:t>
      </w:r>
      <w:r>
        <w:rPr>
          <w:rFonts w:hint="eastAsia" w:ascii="仿宋" w:hAnsi="仿宋" w:eastAsia="仿宋" w:cs="仿宋"/>
          <w:bCs/>
          <w:color w:val="auto"/>
          <w:sz w:val="24"/>
          <w:szCs w:val="24"/>
        </w:rPr>
        <w:t>；</w:t>
      </w:r>
    </w:p>
    <w:p w14:paraId="6DD6E99A">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6.法律、行政法规规定的其他条件。</w:t>
      </w:r>
    </w:p>
    <w:bookmarkEnd w:id="29"/>
    <w:bookmarkEnd w:id="30"/>
    <w:p w14:paraId="2E20F350">
      <w:pPr>
        <w:pageBreakBefore w:val="0"/>
        <w:kinsoku/>
        <w:overflowPunct/>
        <w:topLinePunct w:val="0"/>
        <w:bidi w:val="0"/>
        <w:spacing w:line="360" w:lineRule="auto"/>
        <w:ind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（二）特定资质条件</w:t>
      </w:r>
    </w:p>
    <w:p w14:paraId="29E09D70">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供应商须提供有效的《食品流通许可证》或《食品经营许可证》，提供相应证书复印件加盖供应商公章。</w:t>
      </w:r>
    </w:p>
    <w:p w14:paraId="4667F05B">
      <w:pPr>
        <w:pStyle w:val="3"/>
        <w:spacing w:before="120" w:beforeLines="50" w:after="120" w:afterLines="50" w:line="360" w:lineRule="auto"/>
        <w:rPr>
          <w:rFonts w:hint="eastAsia" w:ascii="宋体" w:hAnsi="宋体" w:eastAsia="宋体" w:cs="宋体"/>
          <w:snapToGrid w:val="0"/>
          <w:color w:val="auto"/>
          <w:sz w:val="24"/>
          <w:szCs w:val="24"/>
          <w:highlight w:val="none"/>
        </w:rPr>
      </w:pPr>
      <w:bookmarkStart w:id="31" w:name="_Toc17782"/>
      <w:bookmarkStart w:id="32" w:name="_Toc277082539"/>
      <w:bookmarkStart w:id="33" w:name="_Toc287607731"/>
      <w:bookmarkStart w:id="34" w:name="_Toc32422"/>
      <w:bookmarkStart w:id="35" w:name="_Toc200359430"/>
      <w:bookmarkStart w:id="36" w:name="_Toc200359241"/>
      <w:bookmarkStart w:id="37" w:name="_Toc24722"/>
      <w:bookmarkStart w:id="38" w:name="_Toc11236"/>
      <w:bookmarkStart w:id="39" w:name="_Toc224103302"/>
      <w:r>
        <w:rPr>
          <w:rFonts w:hint="eastAsia" w:ascii="宋体" w:hAnsi="宋体" w:eastAsia="宋体" w:cs="宋体"/>
          <w:snapToGrid w:val="0"/>
          <w:color w:val="auto"/>
          <w:sz w:val="24"/>
          <w:szCs w:val="24"/>
          <w:highlight w:val="none"/>
          <w:lang w:val="en-US" w:eastAsia="zh-CN"/>
        </w:rPr>
        <w:t>三、竞采文件</w:t>
      </w:r>
      <w:r>
        <w:rPr>
          <w:rFonts w:hint="eastAsia" w:ascii="宋体" w:hAnsi="宋体" w:eastAsia="宋体" w:cs="宋体"/>
          <w:snapToGrid w:val="0"/>
          <w:color w:val="auto"/>
          <w:sz w:val="24"/>
          <w:szCs w:val="24"/>
          <w:highlight w:val="none"/>
        </w:rPr>
        <w:t>的获取</w:t>
      </w:r>
      <w:bookmarkEnd w:id="31"/>
      <w:bookmarkEnd w:id="32"/>
      <w:bookmarkEnd w:id="33"/>
      <w:bookmarkEnd w:id="34"/>
      <w:bookmarkEnd w:id="35"/>
      <w:bookmarkEnd w:id="36"/>
      <w:bookmarkEnd w:id="37"/>
      <w:bookmarkEnd w:id="38"/>
      <w:bookmarkEnd w:id="39"/>
    </w:p>
    <w:p w14:paraId="46BDA4E7">
      <w:pPr>
        <w:pageBreakBefore w:val="0"/>
        <w:kinsoku/>
        <w:overflowPunct/>
        <w:topLinePunct w:val="0"/>
        <w:bidi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凡有意参加</w:t>
      </w:r>
      <w:r>
        <w:rPr>
          <w:rFonts w:hint="eastAsia" w:ascii="仿宋" w:hAnsi="仿宋" w:eastAsia="仿宋" w:cs="仿宋"/>
          <w:bCs/>
          <w:color w:val="auto"/>
          <w:sz w:val="24"/>
          <w:szCs w:val="24"/>
          <w:lang w:val="en-US" w:eastAsia="zh-CN"/>
        </w:rPr>
        <w:t>本次竞采</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采购公告</w:t>
      </w:r>
      <w:r>
        <w:rPr>
          <w:rFonts w:hint="eastAsia" w:ascii="仿宋" w:hAnsi="仿宋" w:eastAsia="仿宋" w:cs="仿宋"/>
          <w:bCs/>
          <w:color w:val="auto"/>
          <w:sz w:val="24"/>
          <w:szCs w:val="24"/>
        </w:rPr>
        <w:t>发布之日起（</w:t>
      </w:r>
      <w:r>
        <w:rPr>
          <w:rFonts w:hint="eastAsia" w:ascii="仿宋" w:hAnsi="仿宋" w:eastAsia="仿宋" w:cs="仿宋"/>
          <w:bCs/>
          <w:color w:val="FF0000"/>
          <w:sz w:val="24"/>
          <w:szCs w:val="24"/>
        </w:rPr>
        <w:t>202</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rPr>
        <w:t>年</w:t>
      </w:r>
      <w:r>
        <w:rPr>
          <w:rFonts w:hint="eastAsia" w:ascii="仿宋" w:hAnsi="仿宋" w:eastAsia="仿宋" w:cs="仿宋"/>
          <w:bCs/>
          <w:color w:val="FF0000"/>
          <w:sz w:val="24"/>
          <w:szCs w:val="24"/>
          <w:lang w:val="en-US" w:eastAsia="zh-CN"/>
        </w:rPr>
        <w:t>10</w:t>
      </w:r>
      <w:r>
        <w:rPr>
          <w:rFonts w:hint="eastAsia" w:ascii="仿宋" w:hAnsi="仿宋" w:eastAsia="仿宋" w:cs="仿宋"/>
          <w:bCs/>
          <w:color w:val="FF0000"/>
          <w:sz w:val="24"/>
          <w:szCs w:val="24"/>
        </w:rPr>
        <w:t>月</w:t>
      </w:r>
      <w:r>
        <w:rPr>
          <w:rFonts w:hint="eastAsia" w:ascii="仿宋" w:hAnsi="仿宋" w:eastAsia="仿宋" w:cs="仿宋"/>
          <w:bCs/>
          <w:color w:val="FF0000"/>
          <w:sz w:val="24"/>
          <w:szCs w:val="24"/>
          <w:lang w:val="en-US" w:eastAsia="zh-CN"/>
        </w:rPr>
        <w:t>28</w:t>
      </w:r>
      <w:r>
        <w:rPr>
          <w:rFonts w:hint="eastAsia" w:ascii="仿宋" w:hAnsi="仿宋" w:eastAsia="仿宋" w:cs="仿宋"/>
          <w:bCs/>
          <w:color w:val="FF0000"/>
          <w:sz w:val="24"/>
          <w:szCs w:val="24"/>
        </w:rPr>
        <w:t>日</w:t>
      </w:r>
      <w:r>
        <w:rPr>
          <w:rFonts w:hint="eastAsia" w:ascii="仿宋" w:hAnsi="仿宋" w:eastAsia="仿宋" w:cs="仿宋"/>
          <w:bCs/>
          <w:color w:val="auto"/>
          <w:sz w:val="24"/>
          <w:szCs w:val="24"/>
        </w:rPr>
        <w:t>），在重庆市垫江县人民政府网（http://www.cqsdj.gov.cn</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上下载项目的</w:t>
      </w:r>
      <w:r>
        <w:rPr>
          <w:rFonts w:hint="eastAsia" w:ascii="仿宋" w:hAnsi="仿宋" w:eastAsia="仿宋" w:cs="仿宋"/>
          <w:bCs/>
          <w:color w:val="auto"/>
          <w:sz w:val="24"/>
          <w:szCs w:val="24"/>
          <w:lang w:val="en-US" w:eastAsia="zh-CN"/>
        </w:rPr>
        <w:t>竞采</w:t>
      </w:r>
      <w:r>
        <w:rPr>
          <w:rFonts w:hint="eastAsia" w:ascii="仿宋" w:hAnsi="仿宋" w:eastAsia="仿宋" w:cs="仿宋"/>
          <w:bCs/>
          <w:color w:val="auto"/>
          <w:sz w:val="24"/>
          <w:szCs w:val="24"/>
        </w:rPr>
        <w:t>文件、答疑、补遗</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限价等竞</w:t>
      </w:r>
      <w:r>
        <w:rPr>
          <w:rFonts w:hint="eastAsia" w:ascii="仿宋" w:hAnsi="仿宋" w:eastAsia="仿宋" w:cs="仿宋"/>
          <w:bCs/>
          <w:color w:val="auto"/>
          <w:sz w:val="24"/>
          <w:szCs w:val="24"/>
          <w:lang w:val="en-US" w:eastAsia="zh-CN"/>
        </w:rPr>
        <w:t>采资料，</w:t>
      </w:r>
      <w:r>
        <w:rPr>
          <w:rFonts w:hint="eastAsia" w:ascii="仿宋" w:hAnsi="仿宋" w:eastAsia="仿宋" w:cs="仿宋"/>
          <w:bCs/>
          <w:color w:val="auto"/>
          <w:sz w:val="24"/>
          <w:szCs w:val="24"/>
        </w:rPr>
        <w:t>截止时间前公布的所有相关资料，所有提交竞</w:t>
      </w:r>
      <w:r>
        <w:rPr>
          <w:rFonts w:hint="eastAsia" w:ascii="仿宋" w:hAnsi="仿宋" w:eastAsia="仿宋" w:cs="仿宋"/>
          <w:bCs/>
          <w:color w:val="auto"/>
          <w:sz w:val="24"/>
          <w:szCs w:val="24"/>
          <w:lang w:val="en-US" w:eastAsia="zh-CN"/>
        </w:rPr>
        <w:t>采</w:t>
      </w:r>
      <w:r>
        <w:rPr>
          <w:rFonts w:hint="eastAsia" w:ascii="仿宋" w:hAnsi="仿宋" w:eastAsia="仿宋" w:cs="仿宋"/>
          <w:bCs/>
          <w:color w:val="auto"/>
          <w:sz w:val="24"/>
          <w:szCs w:val="24"/>
        </w:rPr>
        <w:t>文件的</w:t>
      </w:r>
      <w:r>
        <w:rPr>
          <w:rFonts w:hint="eastAsia" w:ascii="仿宋" w:hAnsi="仿宋" w:eastAsia="仿宋" w:cs="仿宋"/>
          <w:bCs/>
          <w:color w:val="auto"/>
          <w:sz w:val="24"/>
          <w:szCs w:val="24"/>
          <w:lang w:val="en-US" w:eastAsia="zh-CN"/>
        </w:rPr>
        <w:t>供应商</w:t>
      </w:r>
      <w:r>
        <w:rPr>
          <w:rFonts w:hint="eastAsia" w:ascii="仿宋" w:hAnsi="仿宋" w:eastAsia="仿宋" w:cs="仿宋"/>
          <w:bCs/>
          <w:color w:val="auto"/>
          <w:sz w:val="24"/>
          <w:szCs w:val="24"/>
        </w:rPr>
        <w:t>均被视为已完全知晓并认可本</w:t>
      </w:r>
      <w:r>
        <w:rPr>
          <w:rFonts w:hint="eastAsia" w:ascii="仿宋" w:hAnsi="仿宋" w:eastAsia="仿宋" w:cs="仿宋"/>
          <w:bCs/>
          <w:color w:val="auto"/>
          <w:sz w:val="24"/>
          <w:szCs w:val="24"/>
          <w:lang w:val="en-US" w:eastAsia="zh-CN"/>
        </w:rPr>
        <w:t>次采购人</w:t>
      </w:r>
      <w:r>
        <w:rPr>
          <w:rFonts w:hint="eastAsia" w:ascii="仿宋" w:hAnsi="仿宋" w:eastAsia="仿宋" w:cs="仿宋"/>
          <w:bCs/>
          <w:color w:val="auto"/>
          <w:sz w:val="24"/>
          <w:szCs w:val="24"/>
        </w:rPr>
        <w:t>发出的</w:t>
      </w:r>
      <w:r>
        <w:rPr>
          <w:rFonts w:hint="eastAsia" w:ascii="仿宋" w:hAnsi="仿宋" w:eastAsia="仿宋" w:cs="仿宋"/>
          <w:bCs/>
          <w:color w:val="auto"/>
          <w:sz w:val="24"/>
          <w:szCs w:val="24"/>
          <w:lang w:val="en-US" w:eastAsia="zh-CN"/>
        </w:rPr>
        <w:t>竞采</w:t>
      </w:r>
      <w:r>
        <w:rPr>
          <w:rFonts w:hint="eastAsia" w:ascii="仿宋" w:hAnsi="仿宋" w:eastAsia="仿宋" w:cs="仿宋"/>
          <w:bCs/>
          <w:color w:val="auto"/>
          <w:sz w:val="24"/>
          <w:szCs w:val="24"/>
        </w:rPr>
        <w:t>文件、答疑、补遗、限价等开标前的有关资料。</w:t>
      </w:r>
    </w:p>
    <w:p w14:paraId="40ACB672">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2"/>
          <w:sz w:val="24"/>
          <w:szCs w:val="24"/>
          <w:lang w:val="en-US" w:eastAsia="zh-CN" w:bidi="ar-SA"/>
        </w:rPr>
      </w:pPr>
      <w:bookmarkStart w:id="40" w:name="_Toc27060"/>
      <w:bookmarkStart w:id="41" w:name="_Toc32102"/>
      <w:bookmarkStart w:id="42" w:name="_Toc24244"/>
      <w:bookmarkStart w:id="43" w:name="_Toc21908"/>
      <w:bookmarkStart w:id="44" w:name="_Toc14384"/>
      <w:r>
        <w:rPr>
          <w:rFonts w:hint="eastAsia" w:ascii="仿宋" w:hAnsi="仿宋" w:eastAsia="仿宋" w:cs="仿宋"/>
          <w:b/>
          <w:color w:val="auto"/>
          <w:kern w:val="2"/>
          <w:sz w:val="24"/>
          <w:szCs w:val="24"/>
          <w:lang w:val="en-US" w:eastAsia="zh-CN" w:bidi="ar-SA"/>
        </w:rPr>
        <w:t>四、项目</w:t>
      </w:r>
      <w:bookmarkEnd w:id="40"/>
      <w:bookmarkEnd w:id="41"/>
      <w:bookmarkEnd w:id="42"/>
      <w:bookmarkEnd w:id="43"/>
      <w:bookmarkEnd w:id="44"/>
      <w:r>
        <w:rPr>
          <w:rFonts w:hint="eastAsia" w:ascii="仿宋" w:hAnsi="仿宋" w:eastAsia="仿宋" w:cs="仿宋"/>
          <w:b/>
          <w:color w:val="auto"/>
          <w:kern w:val="2"/>
          <w:sz w:val="24"/>
          <w:szCs w:val="24"/>
          <w:lang w:val="en-US" w:eastAsia="zh-CN" w:bidi="ar-SA"/>
        </w:rPr>
        <w:t>服务内容及标准要求</w:t>
      </w:r>
    </w:p>
    <w:p w14:paraId="2CAD0B5A">
      <w:pPr>
        <w:snapToGrid w:val="0"/>
        <w:spacing w:line="360" w:lineRule="auto"/>
        <w:jc w:val="left"/>
        <w:rPr>
          <w:rFonts w:hint="eastAsia" w:ascii="仿宋" w:hAnsi="仿宋" w:eastAsia="仿宋" w:cs="仿宋"/>
          <w:b/>
          <w:bCs/>
          <w:color w:val="auto"/>
          <w:sz w:val="24"/>
          <w:szCs w:val="24"/>
          <w:lang w:eastAsia="zh-CN"/>
        </w:rPr>
      </w:pPr>
      <w:bookmarkStart w:id="45" w:name="_Toc12024"/>
      <w:bookmarkStart w:id="46" w:name="_Toc13693"/>
      <w:bookmarkStart w:id="47" w:name="_Toc27748"/>
      <w:bookmarkStart w:id="48" w:name="_Toc7586"/>
      <w:bookmarkStart w:id="49" w:name="_Toc1224"/>
      <w:bookmarkStart w:id="50" w:name="_Toc14200"/>
      <w:bookmarkStart w:id="51" w:name="_Toc480466700"/>
      <w:r>
        <w:rPr>
          <w:rFonts w:hint="eastAsia" w:ascii="仿宋" w:hAnsi="仿宋" w:eastAsia="仿宋" w:cs="仿宋"/>
          <w:b/>
          <w:bCs/>
          <w:color w:val="auto"/>
          <w:sz w:val="24"/>
          <w:szCs w:val="24"/>
          <w:lang w:eastAsia="zh-CN"/>
        </w:rPr>
        <w:t>（一）服务内容：</w:t>
      </w:r>
    </w:p>
    <w:p w14:paraId="6FA6E4D4">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1.</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需提供早、中、晚三餐，就餐职工数约</w:t>
      </w:r>
      <w:r>
        <w:rPr>
          <w:rFonts w:hint="eastAsia" w:ascii="仿宋" w:hAnsi="仿宋" w:eastAsia="仿宋" w:cs="仿宋"/>
          <w:color w:val="auto"/>
          <w:sz w:val="24"/>
          <w:szCs w:val="24"/>
          <w:lang w:val="en-US" w:eastAsia="zh-CN"/>
        </w:rPr>
        <w:t>82</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lang w:val="en-US" w:eastAsia="zh-CN"/>
        </w:rPr>
        <w:t>以实际为准）</w:t>
      </w:r>
      <w:r>
        <w:rPr>
          <w:rFonts w:hint="eastAsia" w:ascii="仿宋" w:hAnsi="仿宋" w:eastAsia="仿宋" w:cs="仿宋"/>
          <w:color w:val="auto"/>
          <w:sz w:val="24"/>
          <w:szCs w:val="24"/>
          <w:lang w:eastAsia="zh-CN"/>
        </w:rPr>
        <w:t>，餐标：</w:t>
      </w:r>
      <w:r>
        <w:rPr>
          <w:rFonts w:hint="eastAsia" w:ascii="仿宋" w:hAnsi="仿宋" w:eastAsia="仿宋" w:cs="仿宋"/>
          <w:color w:val="auto"/>
          <w:sz w:val="24"/>
          <w:szCs w:val="24"/>
          <w:lang w:val="en-US" w:eastAsia="zh-CN"/>
        </w:rPr>
        <w:t>早餐5元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人，中餐12元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lang w:eastAsia="zh-CN"/>
        </w:rPr>
        <w:t>值班晚餐</w:t>
      </w:r>
      <w:r>
        <w:rPr>
          <w:rFonts w:hint="eastAsia" w:ascii="仿宋" w:hAnsi="仿宋" w:eastAsia="仿宋" w:cs="仿宋"/>
          <w:color w:val="auto"/>
          <w:sz w:val="24"/>
          <w:szCs w:val="24"/>
          <w:lang w:val="en-US" w:eastAsia="zh-CN"/>
        </w:rPr>
        <w:t>8元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lang w:eastAsia="zh-CN"/>
        </w:rPr>
        <w:t>要本着科学搭配、</w:t>
      </w:r>
      <w:r>
        <w:rPr>
          <w:rFonts w:hint="eastAsia" w:ascii="仿宋" w:hAnsi="仿宋" w:eastAsia="仿宋" w:cs="仿宋"/>
          <w:color w:val="auto"/>
          <w:sz w:val="24"/>
          <w:szCs w:val="24"/>
          <w:lang w:val="en-US" w:eastAsia="zh-CN"/>
        </w:rPr>
        <w:t>食材新鲜、</w:t>
      </w:r>
      <w:r>
        <w:rPr>
          <w:rFonts w:hint="eastAsia" w:ascii="仿宋" w:hAnsi="仿宋" w:eastAsia="仿宋" w:cs="仿宋"/>
          <w:color w:val="auto"/>
          <w:sz w:val="24"/>
          <w:szCs w:val="24"/>
          <w:lang w:eastAsia="zh-CN"/>
        </w:rPr>
        <w:t>合理膳食、营养健康、低盐少油的原则为职工提供工作餐，早餐提供不少于3种餐食，午餐不少于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荤2素</w:t>
      </w:r>
      <w:r>
        <w:rPr>
          <w:rFonts w:hint="eastAsia" w:ascii="仿宋" w:hAnsi="仿宋" w:eastAsia="仿宋" w:cs="仿宋"/>
          <w:color w:val="auto"/>
          <w:sz w:val="24"/>
          <w:szCs w:val="24"/>
          <w:lang w:val="en-US" w:eastAsia="zh-CN"/>
        </w:rPr>
        <w:t>一汤</w:t>
      </w:r>
      <w:r>
        <w:rPr>
          <w:rFonts w:hint="eastAsia" w:ascii="仿宋" w:hAnsi="仿宋" w:eastAsia="仿宋" w:cs="仿宋"/>
          <w:color w:val="auto"/>
          <w:sz w:val="24"/>
          <w:szCs w:val="24"/>
          <w:lang w:eastAsia="zh-CN"/>
        </w:rPr>
        <w:t>，晚餐不少于1荤2素</w:t>
      </w:r>
      <w:r>
        <w:rPr>
          <w:rFonts w:hint="eastAsia" w:ascii="仿宋" w:hAnsi="仿宋" w:eastAsia="仿宋" w:cs="仿宋"/>
          <w:color w:val="auto"/>
          <w:sz w:val="24"/>
          <w:szCs w:val="24"/>
          <w:lang w:val="en-US" w:eastAsia="zh-CN"/>
        </w:rPr>
        <w:t>一汤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后续餐标、菜品种类等变化，经双方协商后重新确定</w:t>
      </w:r>
      <w:r>
        <w:rPr>
          <w:rFonts w:hint="eastAsia" w:ascii="仿宋" w:hAnsi="仿宋" w:eastAsia="仿宋" w:cs="仿宋"/>
          <w:color w:val="auto"/>
          <w:sz w:val="24"/>
          <w:szCs w:val="24"/>
          <w:lang w:eastAsia="zh-CN"/>
        </w:rPr>
        <w:t>。</w:t>
      </w:r>
    </w:p>
    <w:p w14:paraId="762B1E5E">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2.清洗、消毒、食品卫生、食品安全等食堂相关工作。</w:t>
      </w:r>
    </w:p>
    <w:p w14:paraId="539FA162">
      <w:pPr>
        <w:snapToGrid w:val="0"/>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食堂物品保管、清洁卫生工作。</w:t>
      </w:r>
    </w:p>
    <w:p w14:paraId="2433A145">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食堂其他工作及食堂临时性工作。</w:t>
      </w:r>
    </w:p>
    <w:p w14:paraId="29B358C2">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（二）服务时间：以采购人安排作息时间为准。</w:t>
      </w:r>
    </w:p>
    <w:p w14:paraId="7D15FB29">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（三）服务要求：</w:t>
      </w:r>
    </w:p>
    <w:p w14:paraId="43EB0444">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 按照高效精干、保障有力的原则，结合本项目服务内容，供应商配置不少</w:t>
      </w:r>
      <w:r>
        <w:rPr>
          <w:rFonts w:hint="eastAsia" w:ascii="仿宋" w:hAnsi="仿宋" w:eastAsia="仿宋" w:cs="仿宋"/>
          <w:color w:val="000000" w:themeColor="text1"/>
          <w:sz w:val="24"/>
          <w:szCs w:val="24"/>
          <w:lang w:eastAsia="zh-CN"/>
          <w14:textFill>
            <w14:solidFill>
              <w14:schemeClr w14:val="tx1"/>
            </w14:solidFill>
          </w14:textFill>
        </w:rPr>
        <w:t>于</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名</w:t>
      </w:r>
      <w:r>
        <w:rPr>
          <w:rFonts w:hint="eastAsia" w:ascii="仿宋" w:hAnsi="仿宋" w:eastAsia="仿宋" w:cs="仿宋"/>
          <w:color w:val="auto"/>
          <w:sz w:val="24"/>
          <w:szCs w:val="24"/>
          <w:lang w:eastAsia="zh-CN"/>
        </w:rPr>
        <w:t>工作人员的服务岗位。首次服务工作人员年龄应在18-5</w:t>
      </w:r>
      <w:r>
        <w:rPr>
          <w:rFonts w:hint="default"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周岁（如特殊情况可适当放宽，但需经采购人同意），身心健康，具有良好的人际交往和语言沟通能力，无不良记录及嗜好。</w:t>
      </w:r>
    </w:p>
    <w:tbl>
      <w:tblPr>
        <w:tblStyle w:val="22"/>
        <w:tblW w:w="0" w:type="auto"/>
        <w:tblInd w:w="93" w:type="dxa"/>
        <w:tblLayout w:type="fixed"/>
        <w:tblCellMar>
          <w:top w:w="0" w:type="dxa"/>
          <w:left w:w="108" w:type="dxa"/>
          <w:bottom w:w="0" w:type="dxa"/>
          <w:right w:w="108" w:type="dxa"/>
        </w:tblCellMar>
      </w:tblPr>
      <w:tblGrid>
        <w:gridCol w:w="441"/>
        <w:gridCol w:w="1134"/>
        <w:gridCol w:w="708"/>
        <w:gridCol w:w="1276"/>
        <w:gridCol w:w="5433"/>
      </w:tblGrid>
      <w:tr w14:paraId="64066207">
        <w:tblPrEx>
          <w:tblCellMar>
            <w:top w:w="0" w:type="dxa"/>
            <w:left w:w="108" w:type="dxa"/>
            <w:bottom w:w="0" w:type="dxa"/>
            <w:right w:w="108" w:type="dxa"/>
          </w:tblCellMar>
        </w:tblPrEx>
        <w:trPr>
          <w:trHeight w:val="450" w:hRule="atLeast"/>
        </w:trPr>
        <w:tc>
          <w:tcPr>
            <w:tcW w:w="441" w:type="dxa"/>
            <w:tcBorders>
              <w:top w:val="single" w:color="auto" w:sz="4" w:space="0"/>
              <w:left w:val="single" w:color="auto" w:sz="4" w:space="0"/>
              <w:bottom w:val="single" w:color="auto" w:sz="4" w:space="0"/>
              <w:right w:val="single" w:color="auto" w:sz="4" w:space="0"/>
            </w:tcBorders>
            <w:noWrap w:val="0"/>
            <w:textDirection w:val="tbRlV"/>
            <w:vAlign w:val="center"/>
          </w:tcPr>
          <w:p w14:paraId="37B1071D">
            <w:pPr>
              <w:snapToGrid w:val="0"/>
              <w:spacing w:line="360" w:lineRule="auto"/>
              <w:jc w:val="left"/>
              <w:rPr>
                <w:rFonts w:hint="eastAsia" w:ascii="仿宋" w:hAnsi="仿宋" w:eastAsia="仿宋" w:cs="仿宋"/>
                <w:color w:val="auto"/>
                <w:sz w:val="24"/>
                <w:szCs w:val="24"/>
                <w:lang w:eastAsia="zh-CN"/>
              </w:rPr>
            </w:pPr>
          </w:p>
        </w:tc>
        <w:tc>
          <w:tcPr>
            <w:tcW w:w="1134" w:type="dxa"/>
            <w:tcBorders>
              <w:top w:val="single" w:color="auto" w:sz="4" w:space="0"/>
              <w:left w:val="nil"/>
              <w:bottom w:val="single" w:color="auto" w:sz="4" w:space="0"/>
              <w:right w:val="single" w:color="auto" w:sz="4" w:space="0"/>
            </w:tcBorders>
            <w:noWrap w:val="0"/>
            <w:vAlign w:val="center"/>
          </w:tcPr>
          <w:p w14:paraId="76E47E64">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岗位</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46487CD">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人数</w:t>
            </w:r>
          </w:p>
        </w:tc>
        <w:tc>
          <w:tcPr>
            <w:tcW w:w="1276" w:type="dxa"/>
            <w:tcBorders>
              <w:top w:val="single" w:color="auto" w:sz="4" w:space="0"/>
              <w:left w:val="nil"/>
              <w:bottom w:val="single" w:color="auto" w:sz="4" w:space="0"/>
              <w:right w:val="single" w:color="auto" w:sz="4" w:space="0"/>
            </w:tcBorders>
            <w:noWrap w:val="0"/>
            <w:vAlign w:val="center"/>
          </w:tcPr>
          <w:p w14:paraId="6CE25E2B">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年龄</w:t>
            </w:r>
          </w:p>
        </w:tc>
        <w:tc>
          <w:tcPr>
            <w:tcW w:w="5433" w:type="dxa"/>
            <w:tcBorders>
              <w:top w:val="single" w:color="auto" w:sz="4" w:space="0"/>
              <w:left w:val="nil"/>
              <w:bottom w:val="single" w:color="auto" w:sz="4" w:space="0"/>
              <w:right w:val="single" w:color="auto" w:sz="4" w:space="0"/>
            </w:tcBorders>
            <w:noWrap w:val="0"/>
            <w:vAlign w:val="center"/>
          </w:tcPr>
          <w:p w14:paraId="07B7561E">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专业要求</w:t>
            </w:r>
          </w:p>
        </w:tc>
      </w:tr>
      <w:tr w14:paraId="4474A775">
        <w:tblPrEx>
          <w:tblCellMar>
            <w:top w:w="0" w:type="dxa"/>
            <w:left w:w="108" w:type="dxa"/>
            <w:bottom w:w="0" w:type="dxa"/>
            <w:right w:w="108" w:type="dxa"/>
          </w:tblCellMar>
        </w:tblPrEx>
        <w:trPr>
          <w:trHeight w:val="707" w:hRule="atLeast"/>
        </w:trPr>
        <w:tc>
          <w:tcPr>
            <w:tcW w:w="441" w:type="dxa"/>
            <w:vMerge w:val="restart"/>
            <w:tcBorders>
              <w:top w:val="single" w:color="auto" w:sz="4" w:space="0"/>
              <w:left w:val="single" w:color="auto" w:sz="4" w:space="0"/>
              <w:bottom w:val="single" w:color="auto" w:sz="4" w:space="0"/>
              <w:right w:val="single" w:color="auto" w:sz="4" w:space="0"/>
            </w:tcBorders>
            <w:noWrap w:val="0"/>
            <w:vAlign w:val="center"/>
          </w:tcPr>
          <w:p w14:paraId="770C3A64">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人员素质要求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E5206C">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厨师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3FF39B8">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0A2AEA3">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男女不限，</w:t>
            </w:r>
            <w:r>
              <w:rPr>
                <w:rFonts w:hint="default" w:ascii="仿宋" w:hAnsi="仿宋" w:eastAsia="仿宋" w:cs="仿宋"/>
                <w:color w:val="auto"/>
                <w:sz w:val="24"/>
                <w:szCs w:val="24"/>
                <w:lang w:val="en-US" w:eastAsia="zh-CN"/>
              </w:rPr>
              <w:t>22</w:t>
            </w:r>
            <w:r>
              <w:rPr>
                <w:rFonts w:hint="eastAsia" w:ascii="仿宋" w:hAnsi="仿宋" w:eastAsia="仿宋" w:cs="仿宋"/>
                <w:color w:val="auto"/>
                <w:sz w:val="24"/>
                <w:szCs w:val="24"/>
                <w:lang w:eastAsia="zh-CN"/>
              </w:rPr>
              <w:t>岁以上，5</w:t>
            </w:r>
            <w:r>
              <w:rPr>
                <w:rFonts w:hint="default"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岁以下</w:t>
            </w:r>
          </w:p>
        </w:tc>
        <w:tc>
          <w:tcPr>
            <w:tcW w:w="5433" w:type="dxa"/>
            <w:tcBorders>
              <w:top w:val="single" w:color="auto" w:sz="4" w:space="0"/>
              <w:left w:val="single" w:color="auto" w:sz="4" w:space="0"/>
              <w:bottom w:val="single" w:color="auto" w:sz="4" w:space="0"/>
              <w:right w:val="single" w:color="auto" w:sz="4" w:space="0"/>
            </w:tcBorders>
            <w:noWrap w:val="0"/>
            <w:vAlign w:val="center"/>
          </w:tcPr>
          <w:p w14:paraId="3D9977A7">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1.具有较强服务意识和沟通能力，具有较强组织协调及管理能力，身体健康、精力充沛；</w:t>
            </w:r>
          </w:p>
          <w:p w14:paraId="7A772E33">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2.具有强烈的责任心，勇于开拓和创新，作风干练；</w:t>
            </w:r>
          </w:p>
          <w:p w14:paraId="5A06EFF4">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3.拥有较高的烹饪技术，了解和熟悉食品材料的产地、规格、质量、一般进货价；</w:t>
            </w:r>
          </w:p>
          <w:p w14:paraId="3371B251">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4.对成本控制、食品营养学、厨房的设备使用管理知识拥有相当的基础。</w:t>
            </w:r>
          </w:p>
          <w:p w14:paraId="6FCDA10C">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5.具有三年以上厨师工作经验。</w:t>
            </w:r>
          </w:p>
          <w:p w14:paraId="7699B7E8">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需具有厨房相关工作管理经验，身体健康。制作菜单及菜谱，根据季节变化，不断推出创新菜，主要烹饪适合学生营养餐的菜品；监督食品质量，使用、管理与维护整个厨房设备；全面检查菜点质量，杜绝不符合规格及质量要求的成品和半成品。</w:t>
            </w:r>
          </w:p>
          <w:p w14:paraId="5EFDAF71">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7.要负责炒小菜及蒸饭。</w:t>
            </w:r>
          </w:p>
          <w:p w14:paraId="14C3F31B">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8.其他临时性工作。</w:t>
            </w:r>
          </w:p>
        </w:tc>
      </w:tr>
      <w:tr w14:paraId="44112184">
        <w:tblPrEx>
          <w:tblCellMar>
            <w:top w:w="0" w:type="dxa"/>
            <w:left w:w="108" w:type="dxa"/>
            <w:bottom w:w="0" w:type="dxa"/>
            <w:right w:w="108" w:type="dxa"/>
          </w:tblCellMar>
        </w:tblPrEx>
        <w:trPr>
          <w:trHeight w:val="375" w:hRule="atLeast"/>
        </w:trPr>
        <w:tc>
          <w:tcPr>
            <w:tcW w:w="441" w:type="dxa"/>
            <w:vMerge w:val="continue"/>
            <w:tcBorders>
              <w:top w:val="single" w:color="auto" w:sz="4" w:space="0"/>
              <w:left w:val="single" w:color="auto" w:sz="4" w:space="0"/>
              <w:bottom w:val="single" w:color="auto" w:sz="4" w:space="0"/>
              <w:right w:val="single" w:color="auto" w:sz="4" w:space="0"/>
            </w:tcBorders>
            <w:noWrap w:val="0"/>
            <w:vAlign w:val="center"/>
          </w:tcPr>
          <w:p w14:paraId="122C9C39">
            <w:pPr>
              <w:snapToGrid w:val="0"/>
              <w:spacing w:line="360" w:lineRule="auto"/>
              <w:jc w:val="left"/>
              <w:rPr>
                <w:rFonts w:hint="eastAsia" w:ascii="仿宋" w:hAnsi="仿宋" w:eastAsia="仿宋" w:cs="仿宋"/>
                <w:color w:val="auto"/>
                <w:sz w:val="24"/>
                <w:szCs w:val="24"/>
                <w:lang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F73EB7">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杂工</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1368367">
            <w:pPr>
              <w:snapToGrid w:val="0"/>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DF2BA48">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男女不限，</w:t>
            </w:r>
            <w:r>
              <w:rPr>
                <w:rFonts w:hint="default" w:ascii="仿宋" w:hAnsi="仿宋" w:eastAsia="仿宋" w:cs="仿宋"/>
                <w:color w:val="auto"/>
                <w:sz w:val="24"/>
                <w:szCs w:val="24"/>
                <w:lang w:val="en-US" w:eastAsia="zh-CN"/>
              </w:rPr>
              <w:t>18</w:t>
            </w:r>
            <w:r>
              <w:rPr>
                <w:rFonts w:hint="eastAsia" w:ascii="仿宋" w:hAnsi="仿宋" w:eastAsia="仿宋" w:cs="仿宋"/>
                <w:color w:val="auto"/>
                <w:sz w:val="24"/>
                <w:szCs w:val="24"/>
                <w:lang w:eastAsia="zh-CN"/>
              </w:rPr>
              <w:t>岁以上，5</w:t>
            </w:r>
            <w:r>
              <w:rPr>
                <w:rFonts w:hint="default"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岁以下</w:t>
            </w:r>
          </w:p>
        </w:tc>
        <w:tc>
          <w:tcPr>
            <w:tcW w:w="5433" w:type="dxa"/>
            <w:tcBorders>
              <w:top w:val="single" w:color="auto" w:sz="4" w:space="0"/>
              <w:left w:val="single" w:color="auto" w:sz="4" w:space="0"/>
              <w:bottom w:val="single" w:color="auto" w:sz="4" w:space="0"/>
              <w:right w:val="single" w:color="auto" w:sz="4" w:space="0"/>
            </w:tcBorders>
            <w:noWrap w:val="0"/>
            <w:vAlign w:val="center"/>
          </w:tcPr>
          <w:p w14:paraId="1E762B21">
            <w:pPr>
              <w:snapToGrid w:val="0"/>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主要负责厨房备料、菜品清洗、分餐及食堂清洁、餐具清洗消毒服务及其他临时性工作。服从卫生院安排，有较强服务意识，形象良好、工作认真。</w:t>
            </w:r>
          </w:p>
        </w:tc>
      </w:tr>
      <w:tr w14:paraId="0860FFFB">
        <w:tblPrEx>
          <w:tblCellMar>
            <w:top w:w="0" w:type="dxa"/>
            <w:left w:w="108" w:type="dxa"/>
            <w:bottom w:w="0" w:type="dxa"/>
            <w:right w:w="108" w:type="dxa"/>
          </w:tblCellMar>
        </w:tblPrEx>
        <w:trPr>
          <w:trHeight w:val="375" w:hRule="atLeast"/>
        </w:trPr>
        <w:tc>
          <w:tcPr>
            <w:tcW w:w="8992" w:type="dxa"/>
            <w:gridSpan w:val="5"/>
            <w:tcBorders>
              <w:top w:val="single" w:color="auto" w:sz="4" w:space="0"/>
              <w:left w:val="single" w:color="auto" w:sz="4" w:space="0"/>
              <w:bottom w:val="single" w:color="auto" w:sz="4" w:space="0"/>
              <w:right w:val="single" w:color="auto" w:sz="4" w:space="0"/>
            </w:tcBorders>
            <w:noWrap w:val="0"/>
            <w:vAlign w:val="center"/>
          </w:tcPr>
          <w:p w14:paraId="05002015">
            <w:pPr>
              <w:snapToGrid w:val="0"/>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eastAsia="zh-CN"/>
              </w:rPr>
              <w:t>注：以上服务人员必须持有有效的体检健康证明（</w:t>
            </w:r>
            <w:r>
              <w:rPr>
                <w:rFonts w:hint="eastAsia" w:ascii="仿宋" w:hAnsi="仿宋" w:eastAsia="仿宋" w:cs="仿宋"/>
                <w:color w:val="auto"/>
                <w:sz w:val="24"/>
                <w:szCs w:val="24"/>
                <w:highlight w:val="none"/>
                <w:lang w:val="en-US" w:eastAsia="zh-CN"/>
              </w:rPr>
              <w:t>二甲及以上医院</w:t>
            </w:r>
            <w:r>
              <w:rPr>
                <w:rFonts w:hint="eastAsia" w:ascii="仿宋" w:hAnsi="仿宋" w:eastAsia="仿宋" w:cs="仿宋"/>
                <w:color w:val="auto"/>
                <w:sz w:val="24"/>
                <w:szCs w:val="24"/>
                <w:highlight w:val="none"/>
                <w:lang w:eastAsia="zh-CN"/>
              </w:rPr>
              <w:t>），否则不得聘用上岗。</w:t>
            </w:r>
          </w:p>
        </w:tc>
      </w:tr>
    </w:tbl>
    <w:p w14:paraId="229AF0B4">
      <w:pPr>
        <w:numPr>
          <w:ilvl w:val="0"/>
          <w:numId w:val="2"/>
        </w:num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上述人员岗位安排为最低要求，响应文件中须明确具体人员及对应服务岗位，提供配置的服务人员的劳动合同（格式自拟，但合同期限必须包含本项目完整服务期限）、身份证、配置服务人员基本信息表（格式自拟）；采购人在项目实施过程中，若有岗位的调整，需增加安排人员，供应商应无条件积极配合增加人员安排。</w:t>
      </w:r>
    </w:p>
    <w:p w14:paraId="45B1A2C6">
      <w:pPr>
        <w:adjustRightInd w:val="0"/>
        <w:snapToGrid w:val="0"/>
        <w:spacing w:line="400" w:lineRule="exact"/>
        <w:ind w:firstLine="482" w:firstLineChars="200"/>
        <w:outlineLvl w:val="2"/>
        <w:rPr>
          <w:rFonts w:hint="eastAsia" w:ascii="仿宋" w:hAnsi="仿宋" w:eastAsia="仿宋" w:cs="微软雅黑"/>
          <w:sz w:val="24"/>
          <w:szCs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微软雅黑"/>
          <w:sz w:val="24"/>
          <w:szCs w:val="24"/>
          <w:highlight w:val="none"/>
        </w:rPr>
        <w:t>食品原材料要求</w:t>
      </w:r>
    </w:p>
    <w:p w14:paraId="348AF9B1">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lang w:eastAsia="zh-CN"/>
        </w:rPr>
        <w:t>1.</w:t>
      </w:r>
      <w:r>
        <w:rPr>
          <w:rFonts w:hint="eastAsia" w:ascii="仿宋" w:hAnsi="仿宋" w:eastAsia="仿宋" w:cs="微软雅黑"/>
          <w:sz w:val="24"/>
          <w:szCs w:val="24"/>
          <w:highlight w:val="none"/>
        </w:rPr>
        <w:t>所有食品原材料需从正规渠道进货，不得进散装油。</w:t>
      </w:r>
    </w:p>
    <w:p w14:paraId="11FF680D">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（1）选择的供货者应具有相关合法资质。</w:t>
      </w:r>
    </w:p>
    <w:p w14:paraId="032D9DD6">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（2）建立供货者评价和退出机制，对供货者的食品安全状况等进行评价，将符合食品安全管理要求的列入供货者名录，及时更换不符合要求的供货者。</w:t>
      </w:r>
    </w:p>
    <w:p w14:paraId="6A2F3FF4">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lang w:eastAsia="zh-CN"/>
        </w:rPr>
        <w:t>2.</w:t>
      </w:r>
      <w:r>
        <w:rPr>
          <w:rFonts w:hint="eastAsia" w:ascii="仿宋" w:hAnsi="仿宋" w:eastAsia="仿宋" w:cs="微软雅黑"/>
          <w:sz w:val="24"/>
          <w:szCs w:val="24"/>
          <w:highlight w:val="none"/>
        </w:rPr>
        <w:t>食材质量验收要求</w:t>
      </w:r>
    </w:p>
    <w:p w14:paraId="4819B7FC">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为保障用餐人员的餐饮需求，中标人应保证其采购的食材质量，采购人有权对食材的质量进行验收及监督。</w:t>
      </w:r>
    </w:p>
    <w:p w14:paraId="67A68071">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2.1蔬菜类</w:t>
      </w:r>
    </w:p>
    <w:p w14:paraId="079233B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2.1.1质量验收要求</w:t>
      </w:r>
    </w:p>
    <w:p w14:paraId="6ECC41AE">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2.1.1.1所有蔬菜必须符合国家有关标准，保证新鲜、无异味、无霉烂变质。所有蔬菜应保证无农药等有害物质的留存。</w:t>
      </w:r>
    </w:p>
    <w:p w14:paraId="0E9CD1C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 xml:space="preserve">2.1.1.2所有蔬菜必须保证食用安全，符合国家食品卫生标准。具体质量要求为： </w:t>
      </w:r>
    </w:p>
    <w:p w14:paraId="59B42A6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2.1.1.2.1从蔬菜色泽看，各种蔬菜都应具有本品种固有的颜色，大多数有发亮的光泽，以此显示蔬菜的成熟度及鲜嫩程度；</w:t>
      </w:r>
    </w:p>
    <w:p w14:paraId="2717D7B3">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2.1.1.2.2从蔬菜气味看，多数蔬菜具有清馨、甘辛香、甜酸香等气味，可凭嗅觉识别不同品种的质量，不允许有腐烂变质的亚硝酸盐味和其他异常气味；</w:t>
      </w:r>
    </w:p>
    <w:p w14:paraId="069401C9">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2.1.1.2.3从蔬菜滋味看，因品种不同而各异，多数蔬菜滋味甘淡、甜酸、清爽鲜美，少数具有辛酸、苦涩等特殊风味以刺激食欲，如失去本品种原有的滋味即为异常；</w:t>
      </w:r>
    </w:p>
    <w:p w14:paraId="066D6C7E">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2.1.1.2.4从蔬菜形态看，应尽量避免由于客观因素而造成的各种非正常、不新鲜的蔬菜，例如萎蔫、枯塌、损伤、病变、虫害侵蚀等引起的形态异常等。</w:t>
      </w:r>
    </w:p>
    <w:p w14:paraId="12EDBC48">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2.1.1.3供应和管理要求</w:t>
      </w:r>
    </w:p>
    <w:p w14:paraId="7B087BE6">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2.1.1.3.1蔬菜供应的品种安排，品种根据季节安排，但要确保每周有5个品种以上。</w:t>
      </w:r>
    </w:p>
    <w:p w14:paraId="1C56E022">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2.1.1.3.2来源必须清晰，蔬菜来源须为自有基地、商品菜基地或蔬菜专业流通市场。</w:t>
      </w:r>
    </w:p>
    <w:p w14:paraId="62BA687D">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2.2肉类（含生鲜、冻品、鱼类、熟食等）：</w:t>
      </w:r>
    </w:p>
    <w:p w14:paraId="6A42F875">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2.2.1质量验收要求</w:t>
      </w:r>
    </w:p>
    <w:p w14:paraId="183B2AD4">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2.2.1.1所供肉类应保持较好的外观和质量等级，符合国家食品部门的有关标准，保证无异味、无霉烂变质，肉类保证来源于正规肉屠宰场，供货时须提交屠宰场的验收单及当批次有效的动物检疫合格证复印件（原件备查），新鲜肉确保每日新鲜，为当天正规屠宰场宰杀的新鲜肉；严禁使用冷冻肉及僵尸冻品。</w:t>
      </w:r>
    </w:p>
    <w:p w14:paraId="27F18D56">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2.2.1.2家禽类（鸡、鸭等）需去净毛和内脏。</w:t>
      </w:r>
    </w:p>
    <w:p w14:paraId="0E64AD90">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2.2.1.3鲜鱼类鱼体饱满结实、新鲜，无腐烂异味，肉质紧密有弹性，无离骨脱刺现象。鲜鱼类来源可靠放心，无毒、无害、无污染。冷冻鱼类（如耗儿鱼、带鱼等）要求鱼眼睛清亮，角膜透明，鳞片上覆有冻结的透明黏液层，皮肤天然色泽明显。</w:t>
      </w:r>
    </w:p>
    <w:p w14:paraId="7B0FEF18">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2.2.2供应和管理要求</w:t>
      </w:r>
    </w:p>
    <w:p w14:paraId="2B42C2BA">
      <w:pPr>
        <w:adjustRightInd w:val="0"/>
        <w:snapToGrid w:val="0"/>
        <w:spacing w:line="400" w:lineRule="exact"/>
        <w:ind w:firstLine="480" w:firstLineChars="200"/>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2.2.2.1提供货物应符合下列的《生产（供应）企业资质证明》：</w:t>
      </w:r>
    </w:p>
    <w:p w14:paraId="22D968DA">
      <w:pPr>
        <w:adjustRightInd w:val="0"/>
        <w:snapToGrid w:val="0"/>
        <w:spacing w:line="400" w:lineRule="exact"/>
        <w:ind w:firstLine="480" w:firstLineChars="200"/>
        <w:jc w:val="center"/>
        <w:rPr>
          <w:rFonts w:hint="eastAsia" w:ascii="仿宋" w:hAnsi="仿宋" w:eastAsia="仿宋" w:cs="微软雅黑"/>
          <w:sz w:val="24"/>
          <w:szCs w:val="24"/>
          <w:highlight w:val="none"/>
        </w:rPr>
      </w:pPr>
      <w:r>
        <w:rPr>
          <w:rFonts w:hint="eastAsia" w:ascii="仿宋" w:hAnsi="仿宋" w:eastAsia="仿宋" w:cs="微软雅黑"/>
          <w:sz w:val="24"/>
          <w:szCs w:val="24"/>
          <w:highlight w:val="none"/>
        </w:rPr>
        <w:t>生产（供应）企业资质证明（首次供应时提供）</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8016"/>
      </w:tblGrid>
      <w:tr w14:paraId="1EA3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1CA79A5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4163" w:type="pct"/>
            <w:noWrap w:val="0"/>
            <w:vAlign w:val="center"/>
          </w:tcPr>
          <w:p w14:paraId="02289D5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资质证明</w:t>
            </w:r>
          </w:p>
        </w:tc>
      </w:tr>
      <w:tr w14:paraId="1E2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1E0B5F5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畜禽</w:t>
            </w:r>
          </w:p>
        </w:tc>
        <w:tc>
          <w:tcPr>
            <w:tcW w:w="4163" w:type="pct"/>
            <w:noWrap w:val="0"/>
            <w:vAlign w:val="center"/>
          </w:tcPr>
          <w:p w14:paraId="1923E0A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动物防疫合格证》</w:t>
            </w:r>
          </w:p>
        </w:tc>
      </w:tr>
      <w:tr w14:paraId="3156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46EB3A4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肉制品</w:t>
            </w:r>
          </w:p>
        </w:tc>
        <w:tc>
          <w:tcPr>
            <w:tcW w:w="4163" w:type="pct"/>
            <w:noWrap w:val="0"/>
            <w:vAlign w:val="center"/>
          </w:tcPr>
          <w:p w14:paraId="31502B3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w:t>
            </w:r>
          </w:p>
          <w:p w14:paraId="77D9DEE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《食品生产许可证》或《食品经营许可证》</w:t>
            </w:r>
          </w:p>
        </w:tc>
      </w:tr>
      <w:tr w14:paraId="0639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6" w:type="pct"/>
            <w:noWrap w:val="0"/>
            <w:vAlign w:val="center"/>
          </w:tcPr>
          <w:p w14:paraId="454D822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水产品</w:t>
            </w:r>
          </w:p>
        </w:tc>
        <w:tc>
          <w:tcPr>
            <w:tcW w:w="4163" w:type="pct"/>
            <w:noWrap w:val="0"/>
            <w:vAlign w:val="center"/>
          </w:tcPr>
          <w:p w14:paraId="284CAAA2">
            <w:pPr>
              <w:spacing w:line="360" w:lineRule="auto"/>
              <w:ind w:left="10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w:t>
            </w:r>
          </w:p>
        </w:tc>
      </w:tr>
    </w:tbl>
    <w:p w14:paraId="2C5C76D5">
      <w:pPr>
        <w:autoSpaceDE w:val="0"/>
        <w:autoSpaceDN w:val="0"/>
        <w:adjustRightInd w:val="0"/>
        <w:snapToGrid w:val="0"/>
        <w:spacing w:line="400" w:lineRule="exact"/>
        <w:ind w:left="476"/>
        <w:jc w:val="left"/>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2.2.2.2产品票证要求：</w:t>
      </w:r>
    </w:p>
    <w:p w14:paraId="3BB808A0">
      <w:pPr>
        <w:autoSpaceDE w:val="0"/>
        <w:autoSpaceDN w:val="0"/>
        <w:adjustRightInd w:val="0"/>
        <w:snapToGrid w:val="0"/>
        <w:spacing w:line="400" w:lineRule="exact"/>
        <w:ind w:left="476"/>
        <w:jc w:val="left"/>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2.2.2.2.1新鲜肉类票证要求：</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3283"/>
        <w:gridCol w:w="4750"/>
      </w:tblGrid>
      <w:tr w14:paraId="426D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noWrap w:val="0"/>
            <w:vAlign w:val="center"/>
          </w:tcPr>
          <w:p w14:paraId="3C7FF25F">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货物类别</w:t>
            </w:r>
          </w:p>
        </w:tc>
        <w:tc>
          <w:tcPr>
            <w:tcW w:w="1705" w:type="pct"/>
            <w:noWrap w:val="0"/>
            <w:vAlign w:val="center"/>
          </w:tcPr>
          <w:p w14:paraId="1A45B7DB">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产品票证名称</w:t>
            </w:r>
          </w:p>
        </w:tc>
        <w:tc>
          <w:tcPr>
            <w:tcW w:w="2467" w:type="pct"/>
            <w:noWrap w:val="0"/>
            <w:vAlign w:val="center"/>
          </w:tcPr>
          <w:p w14:paraId="6E59DF5A">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验收索证要求</w:t>
            </w:r>
          </w:p>
        </w:tc>
      </w:tr>
      <w:tr w14:paraId="3E72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vMerge w:val="restart"/>
            <w:noWrap w:val="0"/>
            <w:vAlign w:val="center"/>
          </w:tcPr>
          <w:p w14:paraId="42C27F07">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猪肉类</w:t>
            </w:r>
          </w:p>
        </w:tc>
        <w:tc>
          <w:tcPr>
            <w:tcW w:w="1705" w:type="pct"/>
            <w:noWrap w:val="0"/>
            <w:vAlign w:val="center"/>
          </w:tcPr>
          <w:p w14:paraId="41E1EF93">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《动物产品检疫合格证》</w:t>
            </w:r>
          </w:p>
        </w:tc>
        <w:tc>
          <w:tcPr>
            <w:tcW w:w="2467" w:type="pct"/>
            <w:noWrap w:val="0"/>
            <w:vAlign w:val="center"/>
          </w:tcPr>
          <w:p w14:paraId="50E3CAF3">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要求有生产名称、地址、产品名称、产地和目的地，官方兽医签字</w:t>
            </w:r>
            <w:r>
              <w:rPr>
                <w:rFonts w:hint="eastAsia" w:ascii="仿宋" w:hAnsi="仿宋" w:eastAsia="仿宋" w:cs="仿宋"/>
                <w:sz w:val="24"/>
                <w:szCs w:val="24"/>
                <w:highlight w:val="none"/>
                <w:lang w:eastAsia="zh-CN"/>
              </w:rPr>
              <w:t>、加</w:t>
            </w:r>
            <w:r>
              <w:rPr>
                <w:rFonts w:hint="eastAsia" w:ascii="仿宋" w:hAnsi="仿宋" w:eastAsia="仿宋" w:cs="仿宋"/>
                <w:sz w:val="24"/>
                <w:szCs w:val="24"/>
                <w:highlight w:val="none"/>
              </w:rPr>
              <w:t>盖检验检疫专用章。</w:t>
            </w:r>
          </w:p>
        </w:tc>
      </w:tr>
      <w:tr w14:paraId="165B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vMerge w:val="continue"/>
            <w:noWrap w:val="0"/>
            <w:vAlign w:val="center"/>
          </w:tcPr>
          <w:p w14:paraId="697D0418">
            <w:pPr>
              <w:autoSpaceDE w:val="0"/>
              <w:autoSpaceDN w:val="0"/>
              <w:adjustRightInd w:val="0"/>
              <w:snapToGrid w:val="0"/>
              <w:jc w:val="center"/>
              <w:rPr>
                <w:rFonts w:hint="eastAsia" w:ascii="仿宋" w:hAnsi="仿宋" w:eastAsia="仿宋" w:cs="仿宋"/>
                <w:sz w:val="24"/>
                <w:szCs w:val="24"/>
                <w:highlight w:val="none"/>
              </w:rPr>
            </w:pPr>
          </w:p>
        </w:tc>
        <w:tc>
          <w:tcPr>
            <w:tcW w:w="1705" w:type="pct"/>
            <w:noWrap w:val="0"/>
            <w:vAlign w:val="center"/>
          </w:tcPr>
          <w:p w14:paraId="3E6C98DC">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《畜产品检验合格证》</w:t>
            </w:r>
          </w:p>
        </w:tc>
        <w:tc>
          <w:tcPr>
            <w:tcW w:w="2467" w:type="pct"/>
            <w:noWrap w:val="0"/>
            <w:vAlign w:val="center"/>
          </w:tcPr>
          <w:p w14:paraId="706C68F6">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有委托方、送往单位、屠宰场检验专用章、出厂时间和单号</w:t>
            </w:r>
          </w:p>
        </w:tc>
      </w:tr>
      <w:tr w14:paraId="2AA4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noWrap w:val="0"/>
            <w:vAlign w:val="center"/>
          </w:tcPr>
          <w:p w14:paraId="69C10965">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三鸟类</w:t>
            </w:r>
          </w:p>
        </w:tc>
        <w:tc>
          <w:tcPr>
            <w:tcW w:w="1705" w:type="pct"/>
            <w:noWrap w:val="0"/>
            <w:vAlign w:val="center"/>
          </w:tcPr>
          <w:p w14:paraId="5F9E47A3">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《动物产品检疫合格证》</w:t>
            </w:r>
          </w:p>
        </w:tc>
        <w:tc>
          <w:tcPr>
            <w:tcW w:w="2467" w:type="pct"/>
            <w:noWrap w:val="0"/>
            <w:vAlign w:val="center"/>
          </w:tcPr>
          <w:p w14:paraId="457E5266">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要求有生产名称、地址、产品名称、产地和目的地，官方兽医签字</w:t>
            </w:r>
            <w:r>
              <w:rPr>
                <w:rFonts w:hint="eastAsia" w:ascii="仿宋" w:hAnsi="仿宋" w:eastAsia="仿宋" w:cs="仿宋"/>
                <w:sz w:val="24"/>
                <w:szCs w:val="24"/>
                <w:highlight w:val="none"/>
                <w:lang w:eastAsia="zh-CN"/>
              </w:rPr>
              <w:t>、加</w:t>
            </w:r>
            <w:r>
              <w:rPr>
                <w:rFonts w:hint="eastAsia" w:ascii="仿宋" w:hAnsi="仿宋" w:eastAsia="仿宋" w:cs="仿宋"/>
                <w:sz w:val="24"/>
                <w:szCs w:val="24"/>
                <w:highlight w:val="none"/>
              </w:rPr>
              <w:t>盖检验检疫专用章。</w:t>
            </w:r>
          </w:p>
        </w:tc>
      </w:tr>
      <w:tr w14:paraId="6348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pct"/>
            <w:noWrap w:val="0"/>
            <w:vAlign w:val="center"/>
          </w:tcPr>
          <w:p w14:paraId="530820EB">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牛肉、羊肉</w:t>
            </w:r>
          </w:p>
        </w:tc>
        <w:tc>
          <w:tcPr>
            <w:tcW w:w="1705" w:type="pct"/>
            <w:noWrap w:val="0"/>
            <w:vAlign w:val="center"/>
          </w:tcPr>
          <w:p w14:paraId="7C47AD7A">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《动物产品检疫合格证》</w:t>
            </w:r>
          </w:p>
        </w:tc>
        <w:tc>
          <w:tcPr>
            <w:tcW w:w="2467" w:type="pct"/>
            <w:noWrap w:val="0"/>
            <w:vAlign w:val="center"/>
          </w:tcPr>
          <w:p w14:paraId="051DE077">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要求有生产名称、地址、产品名称、产地和目的地，官方兽医签字</w:t>
            </w:r>
            <w:r>
              <w:rPr>
                <w:rFonts w:hint="eastAsia" w:ascii="仿宋" w:hAnsi="仿宋" w:eastAsia="仿宋" w:cs="仿宋"/>
                <w:sz w:val="24"/>
                <w:szCs w:val="24"/>
                <w:highlight w:val="none"/>
                <w:lang w:eastAsia="zh-CN"/>
              </w:rPr>
              <w:t>、加</w:t>
            </w:r>
            <w:r>
              <w:rPr>
                <w:rFonts w:hint="eastAsia" w:ascii="仿宋" w:hAnsi="仿宋" w:eastAsia="仿宋" w:cs="仿宋"/>
                <w:sz w:val="24"/>
                <w:szCs w:val="24"/>
                <w:highlight w:val="none"/>
              </w:rPr>
              <w:t>盖检验检疫专用章。</w:t>
            </w:r>
          </w:p>
        </w:tc>
      </w:tr>
    </w:tbl>
    <w:p w14:paraId="6B5712DA">
      <w:pPr>
        <w:autoSpaceDE w:val="0"/>
        <w:autoSpaceDN w:val="0"/>
        <w:adjustRightInd w:val="0"/>
        <w:snapToGrid w:val="0"/>
        <w:spacing w:line="400" w:lineRule="exact"/>
        <w:ind w:left="476"/>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2.2.2.2冻品货物票证要求：</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3831"/>
        <w:gridCol w:w="4116"/>
      </w:tblGrid>
      <w:tr w14:paraId="5FEB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70" w:type="pct"/>
            <w:noWrap w:val="0"/>
            <w:vAlign w:val="center"/>
          </w:tcPr>
          <w:p w14:paraId="247A62AE">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货物类别</w:t>
            </w:r>
          </w:p>
        </w:tc>
        <w:tc>
          <w:tcPr>
            <w:tcW w:w="1990" w:type="pct"/>
            <w:noWrap w:val="0"/>
            <w:vAlign w:val="center"/>
          </w:tcPr>
          <w:p w14:paraId="2855F5AE">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产品票证名称</w:t>
            </w:r>
          </w:p>
        </w:tc>
        <w:tc>
          <w:tcPr>
            <w:tcW w:w="2138" w:type="pct"/>
            <w:noWrap w:val="0"/>
            <w:vAlign w:val="center"/>
          </w:tcPr>
          <w:p w14:paraId="7A6BC1F0">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验收索证要求</w:t>
            </w:r>
          </w:p>
        </w:tc>
      </w:tr>
      <w:tr w14:paraId="54C7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70" w:type="pct"/>
            <w:noWrap w:val="0"/>
            <w:vAlign w:val="center"/>
          </w:tcPr>
          <w:p w14:paraId="72185100">
            <w:pPr>
              <w:autoSpaceDE w:val="0"/>
              <w:autoSpaceDN w:val="0"/>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水产品</w:t>
            </w:r>
          </w:p>
        </w:tc>
        <w:tc>
          <w:tcPr>
            <w:tcW w:w="1990" w:type="pct"/>
            <w:noWrap w:val="0"/>
            <w:vAlign w:val="center"/>
          </w:tcPr>
          <w:p w14:paraId="2857D782">
            <w:pPr>
              <w:autoSpaceDE w:val="0"/>
              <w:autoSpaceDN w:val="0"/>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贮存地的出入库检疫证明，水产品成型标准为个体单独冷冻</w:t>
            </w:r>
            <w:r>
              <w:rPr>
                <w:rFonts w:hint="eastAsia" w:ascii="仿宋" w:hAnsi="仿宋" w:eastAsia="仿宋" w:cs="仿宋"/>
                <w:sz w:val="24"/>
                <w:szCs w:val="24"/>
                <w:highlight w:val="none"/>
                <w:lang w:eastAsia="zh-CN"/>
              </w:rPr>
              <w:t>成形</w:t>
            </w:r>
            <w:r>
              <w:rPr>
                <w:rFonts w:hint="eastAsia" w:ascii="仿宋" w:hAnsi="仿宋" w:eastAsia="仿宋" w:cs="仿宋"/>
                <w:sz w:val="24"/>
                <w:szCs w:val="24"/>
                <w:highlight w:val="none"/>
              </w:rPr>
              <w:t>。</w:t>
            </w:r>
          </w:p>
        </w:tc>
        <w:tc>
          <w:tcPr>
            <w:tcW w:w="2138" w:type="pct"/>
            <w:noWrap w:val="0"/>
            <w:vAlign w:val="center"/>
          </w:tcPr>
          <w:p w14:paraId="21E8CDA4">
            <w:pPr>
              <w:autoSpaceDE w:val="0"/>
              <w:autoSpaceDN w:val="0"/>
              <w:adjustRightInd w:val="0"/>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交货时提供本批次产品的出厂（库）检验合格证，随车同行。</w:t>
            </w:r>
          </w:p>
        </w:tc>
      </w:tr>
    </w:tbl>
    <w:p w14:paraId="014FCA26">
      <w:pPr>
        <w:spacing w:line="400" w:lineRule="exact"/>
        <w:ind w:firstLine="456" w:firstLineChars="200"/>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2.3粮油类</w:t>
      </w:r>
    </w:p>
    <w:p w14:paraId="634F2C61">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3.1食用油品质量要求：</w:t>
      </w:r>
    </w:p>
    <w:p w14:paraId="6B15FEE8">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3.1.1基本要求：</w:t>
      </w:r>
      <w:r>
        <w:rPr>
          <w:rFonts w:hint="eastAsia" w:ascii="仿宋" w:hAnsi="仿宋" w:eastAsia="仿宋" w:cs="仿宋"/>
          <w:sz w:val="24"/>
          <w:szCs w:val="24"/>
          <w:highlight w:val="none"/>
          <w:lang w:val="en-US" w:eastAsia="zh-CN"/>
        </w:rPr>
        <w:t>为了全院职工的健康饮食，要求</w:t>
      </w:r>
      <w:r>
        <w:rPr>
          <w:rFonts w:hint="eastAsia" w:ascii="仿宋" w:hAnsi="仿宋" w:eastAsia="仿宋" w:cs="仿宋"/>
          <w:sz w:val="24"/>
          <w:szCs w:val="24"/>
          <w:highlight w:val="none"/>
        </w:rPr>
        <w:t>使用原装≤20公斤，不得使用分装或散装食用油。外包装完好，有SC标志，标明品名、厂名、重量、生产日期、保质期或保存期、执行标准，剩余保质期不少于三分之二，具有产品合格证，非转基因</w:t>
      </w:r>
      <w:r>
        <w:rPr>
          <w:rFonts w:hint="eastAsia" w:ascii="仿宋" w:hAnsi="仿宋" w:eastAsia="仿宋" w:cs="仿宋"/>
          <w:b/>
          <w:bCs/>
          <w:sz w:val="24"/>
          <w:szCs w:val="24"/>
          <w:highlight w:val="none"/>
        </w:rPr>
        <w:t>，加工工艺为压榨</w:t>
      </w:r>
      <w:r>
        <w:rPr>
          <w:rFonts w:hint="eastAsia" w:ascii="仿宋" w:hAnsi="仿宋" w:eastAsia="仿宋" w:cs="仿宋"/>
          <w:sz w:val="24"/>
          <w:szCs w:val="24"/>
          <w:highlight w:val="none"/>
        </w:rPr>
        <w:t>。使用的食用油</w:t>
      </w:r>
      <w:r>
        <w:rPr>
          <w:rFonts w:hint="eastAsia" w:ascii="仿宋" w:hAnsi="仿宋" w:eastAsia="仿宋" w:cs="仿宋"/>
          <w:sz w:val="24"/>
          <w:szCs w:val="24"/>
          <w:highlight w:val="none"/>
          <w:lang w:eastAsia="zh-CN"/>
        </w:rPr>
        <w:t>须</w:t>
      </w:r>
      <w:r>
        <w:rPr>
          <w:rFonts w:hint="eastAsia" w:ascii="仿宋" w:hAnsi="仿宋" w:eastAsia="仿宋" w:cs="仿宋"/>
          <w:sz w:val="24"/>
          <w:szCs w:val="24"/>
          <w:highlight w:val="none"/>
        </w:rPr>
        <w:t>经采购人确认认可后方可使用，不得随意更换。</w:t>
      </w:r>
    </w:p>
    <w:p w14:paraId="49FC4B90">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3.1.2食用油生产企业的资质证明（首次供应时提供）：《企业法人营业执照》，《食品流通许可证》或《食品经营许可证》（经销商或者代理商须提供），《全国工业产品生产许可证》或《食品生产许可证》（生产制造商须提供）。</w:t>
      </w:r>
    </w:p>
    <w:p w14:paraId="74E45515">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3.2大米质量标准：有SC标志，标明加工厂名称、品名、生产日期、保质期或保存期，供货时的剩余保质期不少于三分之二，质量等级、产品标准号、产品合格证，质量符合大米国家标准与国家粮食卫生标准。</w:t>
      </w:r>
    </w:p>
    <w:p w14:paraId="7E31E6CA">
      <w:pPr>
        <w:spacing w:line="400" w:lineRule="exact"/>
        <w:ind w:firstLine="456" w:firstLineChars="200"/>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3.3面粉必须符合国家食品安全标准，取得食品生产许可证，具有产品合格证，在保质期内，有SC标志。</w:t>
      </w:r>
    </w:p>
    <w:p w14:paraId="0C39748E">
      <w:pPr>
        <w:spacing w:line="400" w:lineRule="exact"/>
        <w:ind w:firstLine="456" w:firstLineChars="200"/>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2.4干货、副食品类</w:t>
      </w:r>
    </w:p>
    <w:p w14:paraId="0C74C7CD">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pacing w:val="-6"/>
          <w:sz w:val="24"/>
          <w:szCs w:val="24"/>
          <w:highlight w:val="none"/>
        </w:rPr>
        <w:t>4.1质量要求：</w:t>
      </w:r>
    </w:p>
    <w:p w14:paraId="3CFF94A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4.1.1干货、副食品质量基本标准要求符合国家相关行业标准，干爽，不霉烂、整齐、均匀、完整，无虫蛀、无杂质，保持应有的色泽。确保产品质量稳定，保证营养丰富、绿色安全、易存放、食用方便，保质期长。从加工、包装、运输、贮存到销售全部符合国家规定标准，副食品必须具有QS食品质量认证标志。采购人可根据实际情况对需要的干货制品进行品质抽检，对质量未达到国家标准的干货制品采购人有权拒绝</w:t>
      </w:r>
      <w:r>
        <w:rPr>
          <w:rFonts w:hint="eastAsia" w:ascii="仿宋" w:hAnsi="仿宋" w:eastAsia="仿宋" w:cs="仿宋"/>
          <w:sz w:val="24"/>
          <w:szCs w:val="24"/>
          <w:highlight w:val="none"/>
          <w:lang w:eastAsia="zh-CN"/>
        </w:rPr>
        <w:t>接收</w:t>
      </w:r>
      <w:r>
        <w:rPr>
          <w:rFonts w:hint="eastAsia" w:ascii="仿宋" w:hAnsi="仿宋" w:eastAsia="仿宋" w:cs="仿宋"/>
          <w:sz w:val="24"/>
          <w:szCs w:val="24"/>
          <w:highlight w:val="none"/>
        </w:rPr>
        <w:t>。</w:t>
      </w:r>
    </w:p>
    <w:p w14:paraId="5883EC2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4.1.2标签标识：标明产品名称、净含量、生产者名称和地址、生产日期、保质期、产品标准号、质量等级、生产许可证号、产品批号等内容。</w:t>
      </w:r>
    </w:p>
    <w:p w14:paraId="1DDBC906">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4.1.3品牌要求：在满足质量要求的前提下，按照采购人的要求验收货品。</w:t>
      </w:r>
    </w:p>
    <w:p w14:paraId="45A63357">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4.1.4质量要求：符合国家食品标准，提供的货品剩余保存期不少于保质期的三分之二。</w:t>
      </w:r>
    </w:p>
    <w:p w14:paraId="527D7891">
      <w:pPr>
        <w:spacing w:line="400" w:lineRule="exact"/>
        <w:ind w:firstLine="456" w:firstLineChars="200"/>
        <w:rPr>
          <w:rFonts w:hint="eastAsia" w:ascii="仿宋" w:hAnsi="仿宋" w:eastAsia="仿宋" w:cs="仿宋"/>
          <w:bCs/>
          <w:spacing w:val="-6"/>
          <w:sz w:val="24"/>
          <w:szCs w:val="24"/>
          <w:highlight w:val="none"/>
        </w:rPr>
      </w:pPr>
      <w:r>
        <w:rPr>
          <w:rFonts w:hint="eastAsia" w:ascii="仿宋" w:hAnsi="仿宋" w:eastAsia="仿宋" w:cs="仿宋"/>
          <w:bCs/>
          <w:spacing w:val="-6"/>
          <w:sz w:val="24"/>
          <w:szCs w:val="24"/>
          <w:highlight w:val="none"/>
        </w:rPr>
        <w:t>2.5几种主要副食品的质量要求：</w:t>
      </w:r>
    </w:p>
    <w:p w14:paraId="6AC5B0EE">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5.1鸡蛋：蛋壳清洁完整，色泽鲜明，无破损、裂纹，无霉斑，灯光透视时，整个蛋呈</w:t>
      </w:r>
      <w:r>
        <w:rPr>
          <w:rFonts w:hint="eastAsia" w:ascii="仿宋" w:hAnsi="仿宋" w:eastAsia="仿宋" w:cs="仿宋"/>
          <w:sz w:val="24"/>
          <w:szCs w:val="24"/>
          <w:highlight w:val="none"/>
          <w:lang w:eastAsia="zh-CN"/>
        </w:rPr>
        <w:t>橘黄色</w:t>
      </w:r>
      <w:r>
        <w:rPr>
          <w:rFonts w:hint="eastAsia" w:ascii="仿宋" w:hAnsi="仿宋" w:eastAsia="仿宋" w:cs="仿宋"/>
          <w:sz w:val="24"/>
          <w:szCs w:val="24"/>
          <w:highlight w:val="none"/>
        </w:rPr>
        <w:t>至橙红色，蛋黄不见或略见阴影，没有霉味、酸味，臭味等不良气味，打开后蛋黄凸起、完整、有韧性，蛋白澄清、透明、稀稠分明，无异味。</w:t>
      </w:r>
    </w:p>
    <w:p w14:paraId="13E8F80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5.2皮蛋：外表泥状包料完整、无霉斑，包料除掉后蛋壳亦完整无损，灯光透照蛋内容物凝固不动，打开观察，整个蛋凝固、不粘壳、清洁而有弹性、呈半透明的棕黄色，闻起来有芳香，无辛辣气。（原则上少用或不用）</w:t>
      </w:r>
    </w:p>
    <w:p w14:paraId="0ED94A4D">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5.3咸蛋：蛋壳完整无损，无裂纹或霉斑，摇动时有轻度水荡漾感觉，灯光透视蛋黄凝结、呈橙黄色且靠近蛋壳，蛋清呈白色水样透明，生蛋打开可见蛋清稀薄透明，蛋黄呈红色或淡红色，浓缩</w:t>
      </w:r>
      <w:r>
        <w:rPr>
          <w:rFonts w:hint="eastAsia" w:ascii="仿宋" w:hAnsi="仿宋" w:eastAsia="仿宋" w:cs="仿宋"/>
          <w:sz w:val="24"/>
          <w:szCs w:val="24"/>
          <w:highlight w:val="none"/>
          <w:lang w:eastAsia="zh-CN"/>
        </w:rPr>
        <w:t>黏度</w:t>
      </w:r>
      <w:r>
        <w:rPr>
          <w:rFonts w:hint="eastAsia" w:ascii="仿宋" w:hAnsi="仿宋" w:eastAsia="仿宋" w:cs="仿宋"/>
          <w:sz w:val="24"/>
          <w:szCs w:val="24"/>
          <w:highlight w:val="none"/>
        </w:rPr>
        <w:t>增强，但不硬固，煮熟后打开，可见蛋清白嫩，蛋黄口味有细沙感，富于油脂，品尝则有咸蛋固有的香味。</w:t>
      </w:r>
    </w:p>
    <w:p w14:paraId="6EE54665">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5.4豆腐：豆腐呈均匀的乳白色或淡黄色，稍有光泽，块形完整，软硬适度，富有一定的弹性，质地细嫩、结构均匀、无杂质，具有豆腐特有的香味，取样</w:t>
      </w:r>
      <w:r>
        <w:rPr>
          <w:rFonts w:hint="eastAsia" w:ascii="仿宋" w:hAnsi="仿宋" w:eastAsia="仿宋" w:cs="仿宋"/>
          <w:sz w:val="24"/>
          <w:szCs w:val="24"/>
          <w:highlight w:val="none"/>
          <w:lang w:eastAsia="zh-CN"/>
        </w:rPr>
        <w:t>品</w:t>
      </w:r>
      <w:r>
        <w:rPr>
          <w:rFonts w:hint="eastAsia" w:ascii="仿宋" w:hAnsi="仿宋" w:eastAsia="仿宋" w:cs="仿宋"/>
          <w:sz w:val="24"/>
          <w:szCs w:val="24"/>
          <w:highlight w:val="none"/>
        </w:rPr>
        <w:t>尝时口感细腻鲜嫩，味道纯正清香。</w:t>
      </w:r>
    </w:p>
    <w:p w14:paraId="5E816C0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5.5腐竹：为枝条或片叶状，质脆易折，条状折断有空心，无霉斑、杂质、虫蛀。呈淡黄色，有光泽。具有腐竹固有的香味，无其他任何异味，取样</w:t>
      </w:r>
      <w:r>
        <w:rPr>
          <w:rFonts w:hint="eastAsia" w:ascii="仿宋" w:hAnsi="仿宋" w:eastAsia="仿宋" w:cs="仿宋"/>
          <w:sz w:val="24"/>
          <w:szCs w:val="24"/>
          <w:highlight w:val="none"/>
          <w:lang w:eastAsia="zh-CN"/>
        </w:rPr>
        <w:t>品</w:t>
      </w:r>
      <w:r>
        <w:rPr>
          <w:rFonts w:hint="eastAsia" w:ascii="仿宋" w:hAnsi="仿宋" w:eastAsia="仿宋" w:cs="仿宋"/>
          <w:sz w:val="24"/>
          <w:szCs w:val="24"/>
          <w:highlight w:val="none"/>
        </w:rPr>
        <w:t>尝其滋味，具有腐竹固有的鲜香滋味。</w:t>
      </w:r>
    </w:p>
    <w:p w14:paraId="2862C325">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5.6大豆：豆皮色呈各种大豆固有的颜色，光彩油亮，洁净而有光泽，颗粒饱满，整齐均匀，无虫蛀粒，无杂质，无霉变。</w:t>
      </w:r>
    </w:p>
    <w:p w14:paraId="613071E0">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5.7花生：果荚呈土黄色或白色，果仁呈各不同品种所特有的颜色，色泽分布均匀一致，带荚花生和去荚果仁均颗粒饱满、形态完整、大小均匀，子叶肥厚而有光泽，无杂质，具有花生特有的气味、香味，无任何异味。</w:t>
      </w:r>
    </w:p>
    <w:p w14:paraId="2AE521ED">
      <w:pPr>
        <w:autoSpaceDE w:val="0"/>
        <w:autoSpaceDN w:val="0"/>
        <w:adjustRightInd w:val="0"/>
        <w:snapToGrid w:val="0"/>
        <w:spacing w:line="400" w:lineRule="exact"/>
        <w:ind w:firstLine="456" w:firstLineChars="200"/>
        <w:jc w:val="left"/>
        <w:rPr>
          <w:rFonts w:hint="eastAsia" w:ascii="仿宋" w:hAnsi="仿宋" w:eastAsia="仿宋" w:cs="仿宋"/>
          <w:b/>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5.8食糖：干燥，晶粒松散，不粘手，不结块，无肉眼可见的杂质，白糖的水溶液应清晰透明无杂质。</w:t>
      </w:r>
    </w:p>
    <w:p w14:paraId="1E9D4267">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5.9供应和管理要求</w:t>
      </w:r>
    </w:p>
    <w:p w14:paraId="2F3E70B8">
      <w:pPr>
        <w:autoSpaceDE w:val="0"/>
        <w:autoSpaceDN w:val="0"/>
        <w:adjustRightInd w:val="0"/>
        <w:snapToGrid w:val="0"/>
        <w:spacing w:line="400" w:lineRule="exact"/>
        <w:ind w:firstLine="456" w:firstLineChars="200"/>
        <w:jc w:val="left"/>
        <w:rPr>
          <w:rFonts w:hint="eastAsia" w:ascii="仿宋" w:hAnsi="仿宋" w:eastAsia="仿宋" w:cs="仿宋"/>
          <w:sz w:val="24"/>
          <w:szCs w:val="24"/>
          <w:highlight w:val="none"/>
        </w:rPr>
      </w:pPr>
      <w:r>
        <w:rPr>
          <w:rFonts w:hint="eastAsia" w:ascii="仿宋" w:hAnsi="仿宋" w:eastAsia="仿宋" w:cs="仿宋"/>
          <w:bCs/>
          <w:spacing w:val="-6"/>
          <w:sz w:val="24"/>
          <w:szCs w:val="24"/>
          <w:highlight w:val="none"/>
        </w:rPr>
        <w:t>2.</w:t>
      </w:r>
      <w:r>
        <w:rPr>
          <w:rFonts w:hint="eastAsia" w:ascii="仿宋" w:hAnsi="仿宋" w:eastAsia="仿宋" w:cs="仿宋"/>
          <w:sz w:val="24"/>
          <w:szCs w:val="24"/>
          <w:highlight w:val="none"/>
        </w:rPr>
        <w:t>5.9.1供应要求的资质证明：</w:t>
      </w:r>
    </w:p>
    <w:p w14:paraId="12267A6E">
      <w:pPr>
        <w:autoSpaceDE w:val="0"/>
        <w:autoSpaceDN w:val="0"/>
        <w:adjustRightInd w:val="0"/>
        <w:snapToGrid w:val="0"/>
        <w:spacing w:line="4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生产（供应）企业的资质证明：（首次供应时提供）</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7288"/>
      </w:tblGrid>
      <w:tr w14:paraId="6029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pct"/>
            <w:noWrap w:val="0"/>
            <w:vAlign w:val="center"/>
          </w:tcPr>
          <w:p w14:paraId="6231235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3785" w:type="pct"/>
            <w:noWrap w:val="0"/>
            <w:vAlign w:val="center"/>
          </w:tcPr>
          <w:p w14:paraId="6A9D8C7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资质证明</w:t>
            </w:r>
          </w:p>
        </w:tc>
      </w:tr>
      <w:tr w14:paraId="36B8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pct"/>
            <w:noWrap w:val="0"/>
            <w:vAlign w:val="center"/>
          </w:tcPr>
          <w:p w14:paraId="34025C5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副食品</w:t>
            </w:r>
          </w:p>
        </w:tc>
        <w:tc>
          <w:tcPr>
            <w:tcW w:w="3785" w:type="pct"/>
            <w:noWrap w:val="0"/>
            <w:vAlign w:val="center"/>
          </w:tcPr>
          <w:p w14:paraId="7D028FC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《企业法人营业执照》</w:t>
            </w:r>
          </w:p>
        </w:tc>
      </w:tr>
    </w:tbl>
    <w:p w14:paraId="758C4A1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产品票证要求：</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2411"/>
        <w:gridCol w:w="5172"/>
      </w:tblGrid>
      <w:tr w14:paraId="467D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pct"/>
            <w:noWrap w:val="0"/>
            <w:vAlign w:val="center"/>
          </w:tcPr>
          <w:p w14:paraId="4257D98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252" w:type="pct"/>
            <w:noWrap w:val="0"/>
            <w:vAlign w:val="center"/>
          </w:tcPr>
          <w:p w14:paraId="0F3A56C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产品资质名称</w:t>
            </w:r>
          </w:p>
        </w:tc>
        <w:tc>
          <w:tcPr>
            <w:tcW w:w="2686" w:type="pct"/>
            <w:noWrap w:val="0"/>
            <w:vAlign w:val="center"/>
          </w:tcPr>
          <w:p w14:paraId="64956A6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验收索证要求</w:t>
            </w:r>
          </w:p>
        </w:tc>
      </w:tr>
      <w:tr w14:paraId="5696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pct"/>
            <w:noWrap w:val="0"/>
            <w:vAlign w:val="center"/>
          </w:tcPr>
          <w:p w14:paraId="53AFD1A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副食品</w:t>
            </w:r>
          </w:p>
        </w:tc>
        <w:tc>
          <w:tcPr>
            <w:tcW w:w="1252" w:type="pct"/>
            <w:noWrap w:val="0"/>
            <w:vAlign w:val="center"/>
          </w:tcPr>
          <w:p w14:paraId="3E4386A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货物清单</w:t>
            </w:r>
          </w:p>
        </w:tc>
        <w:tc>
          <w:tcPr>
            <w:tcW w:w="2686" w:type="pct"/>
            <w:noWrap w:val="0"/>
            <w:vAlign w:val="center"/>
          </w:tcPr>
          <w:p w14:paraId="117E511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加盖中标人公章的货物清单（送货单）</w:t>
            </w:r>
          </w:p>
        </w:tc>
      </w:tr>
    </w:tbl>
    <w:p w14:paraId="7AFE0F0B">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lang w:eastAsia="zh-CN"/>
        </w:rPr>
        <w:t>3.</w:t>
      </w:r>
      <w:r>
        <w:rPr>
          <w:rFonts w:hint="eastAsia" w:ascii="仿宋" w:hAnsi="仿宋" w:eastAsia="仿宋" w:cs="微软雅黑"/>
          <w:sz w:val="24"/>
          <w:szCs w:val="24"/>
          <w:highlight w:val="none"/>
        </w:rPr>
        <w:t>原料运输</w:t>
      </w:r>
    </w:p>
    <w:p w14:paraId="1EAFF113">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1）运输前，对运输车辆或容器进行清洁，防止食品受到污染。运输过程中，做好防尘、防水，食品与非食品、不同类型的食品原料（包括：动物性食品、植物性食品、水产品，下同）应分隔，食品包装完整、清洁，防止食品受到污染。</w:t>
      </w:r>
    </w:p>
    <w:p w14:paraId="1F546A50">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（2）运输食品的温度、湿度应符合相关食品安全要求。</w:t>
      </w:r>
    </w:p>
    <w:p w14:paraId="21A12505">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（3）所有食品所用原料不得腐烂变质，不得进购和加工制作无产地、无厂名、无生产日期、无保质期的或超过保质期的食品。</w:t>
      </w:r>
    </w:p>
    <w:p w14:paraId="74F20692">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lang w:eastAsia="zh-CN"/>
        </w:rPr>
        <w:t>4.</w:t>
      </w:r>
      <w:r>
        <w:rPr>
          <w:rFonts w:hint="eastAsia" w:ascii="仿宋" w:hAnsi="仿宋" w:eastAsia="仿宋" w:cs="微软雅黑"/>
          <w:sz w:val="24"/>
          <w:szCs w:val="24"/>
          <w:highlight w:val="none"/>
        </w:rPr>
        <w:t>干副产品、水产品、蔬菜、零星物资等由中标方自行定点采购，商家（企业）供货商资质材料必须向院方备案。</w:t>
      </w:r>
    </w:p>
    <w:p w14:paraId="16D1C66F">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lang w:eastAsia="zh-CN"/>
        </w:rPr>
        <w:t>5.</w:t>
      </w:r>
      <w:r>
        <w:rPr>
          <w:rFonts w:hint="eastAsia" w:ascii="仿宋" w:hAnsi="仿宋" w:eastAsia="仿宋" w:cs="微软雅黑"/>
          <w:sz w:val="24"/>
          <w:szCs w:val="24"/>
          <w:highlight w:val="none"/>
        </w:rPr>
        <w:t>中标人采购大宗物资（即米、面粉、食用油、畜禽肉类等）必须与供货单位签订采购合同，选择的定点供货单位及采购品种、每日送货单等必须报院方备案。</w:t>
      </w:r>
    </w:p>
    <w:p w14:paraId="60A8FDDD">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lang w:eastAsia="zh-CN"/>
        </w:rPr>
        <w:t>6.</w:t>
      </w:r>
      <w:r>
        <w:rPr>
          <w:rFonts w:hint="eastAsia" w:ascii="仿宋" w:hAnsi="仿宋" w:eastAsia="仿宋" w:cs="微软雅黑"/>
          <w:sz w:val="24"/>
          <w:szCs w:val="24"/>
          <w:highlight w:val="none"/>
        </w:rPr>
        <w:t>进货查验</w:t>
      </w:r>
    </w:p>
    <w:p w14:paraId="44FB50D6">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入库查验和记录，包括但不限于：外观查验、时间查验、温度查验等。</w:t>
      </w:r>
    </w:p>
    <w:p w14:paraId="0BA76029">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lang w:eastAsia="zh-CN"/>
        </w:rPr>
        <w:t>7.</w:t>
      </w:r>
      <w:r>
        <w:rPr>
          <w:rFonts w:hint="eastAsia" w:ascii="仿宋" w:hAnsi="仿宋" w:eastAsia="仿宋" w:cs="微软雅黑"/>
          <w:sz w:val="24"/>
          <w:szCs w:val="24"/>
          <w:highlight w:val="none"/>
        </w:rPr>
        <w:t>原料贮存</w:t>
      </w:r>
    </w:p>
    <w:p w14:paraId="449346D7">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（1）分区、分架、分类、离墙、离地存放食品。</w:t>
      </w:r>
    </w:p>
    <w:p w14:paraId="6F20BDEB">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（2）分隔或分离贮存不同类型的食品原料。</w:t>
      </w:r>
    </w:p>
    <w:p w14:paraId="247944AD">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（3）在散装食品（食用农产品除外）储存位置，应标明食品的名称、生产日期或者生产批号、使用期限等内容，宜使用密闭容器储存。</w:t>
      </w:r>
    </w:p>
    <w:p w14:paraId="65C613E2">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（4）按照食品安全要求储存原料。</w:t>
      </w:r>
    </w:p>
    <w:p w14:paraId="21A2A95B">
      <w:pPr>
        <w:adjustRightInd w:val="0"/>
        <w:snapToGrid w:val="0"/>
        <w:spacing w:line="400" w:lineRule="exact"/>
        <w:ind w:firstLine="480" w:firstLineChars="200"/>
        <w:outlineLvl w:val="2"/>
        <w:rPr>
          <w:rFonts w:hint="eastAsia" w:ascii="仿宋" w:hAnsi="仿宋" w:eastAsia="仿宋" w:cs="微软雅黑"/>
          <w:sz w:val="24"/>
          <w:szCs w:val="24"/>
          <w:highlight w:val="none"/>
        </w:rPr>
      </w:pPr>
      <w:r>
        <w:rPr>
          <w:rFonts w:hint="eastAsia" w:ascii="仿宋" w:hAnsi="仿宋" w:eastAsia="仿宋" w:cs="微软雅黑"/>
          <w:sz w:val="24"/>
          <w:szCs w:val="24"/>
          <w:highlight w:val="none"/>
        </w:rPr>
        <w:t>（5）遵循先进、先出、先用的原则，使用食品原料、食品添加剂、食品相关产品。</w:t>
      </w:r>
    </w:p>
    <w:p w14:paraId="437748DB">
      <w:pPr>
        <w:snapToGrid w:val="0"/>
        <w:spacing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微软雅黑"/>
          <w:sz w:val="24"/>
          <w:szCs w:val="24"/>
          <w:highlight w:val="none"/>
          <w:lang w:eastAsia="zh-CN"/>
        </w:rPr>
        <w:t>8.</w:t>
      </w:r>
      <w:r>
        <w:rPr>
          <w:rFonts w:hint="eastAsia" w:ascii="仿宋" w:hAnsi="仿宋" w:eastAsia="仿宋" w:cs="微软雅黑"/>
          <w:sz w:val="24"/>
          <w:szCs w:val="24"/>
          <w:highlight w:val="none"/>
        </w:rPr>
        <w:t>医院有权对中标人每天采购的物资进行监督、检查和登记，对发现的安全、质量、卫生等问题有权立即纠正并严肃处理，中标人必须服从。</w:t>
      </w:r>
    </w:p>
    <w:p w14:paraId="33230FE6">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（五）管理方式</w:t>
      </w:r>
    </w:p>
    <w:p w14:paraId="07A658F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1.采购方提供餐厅营运所必需的设备设施和正常经营所需的条件，供应方在遵从采购方要求的伙食结构及标准的前提下，由供应方负责对厨房及餐厅进行管理。</w:t>
      </w:r>
    </w:p>
    <w:p w14:paraId="0EA17D3A">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2.采购方提供厨房、餐厅经营所需的所有设备设施及水、电、燃气设施，由</w:t>
      </w:r>
      <w:r>
        <w:rPr>
          <w:rFonts w:hint="eastAsia" w:ascii="仿宋" w:hAnsi="仿宋" w:eastAsia="仿宋" w:cs="仿宋"/>
          <w:color w:val="auto"/>
          <w:sz w:val="24"/>
          <w:szCs w:val="24"/>
          <w:lang w:val="en-US" w:eastAsia="zh-CN"/>
        </w:rPr>
        <w:t>中标供应商</w:t>
      </w:r>
      <w:r>
        <w:rPr>
          <w:rFonts w:hint="eastAsia" w:ascii="仿宋" w:hAnsi="仿宋" w:eastAsia="仿宋" w:cs="仿宋"/>
          <w:color w:val="auto"/>
          <w:sz w:val="24"/>
          <w:szCs w:val="24"/>
          <w:lang w:eastAsia="zh-CN"/>
        </w:rPr>
        <w:t>承担其费用。</w:t>
      </w:r>
    </w:p>
    <w:p w14:paraId="6EA19976">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3.用餐时间：根据采购人作息时间执行。</w:t>
      </w:r>
    </w:p>
    <w:p w14:paraId="187CD95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加班餐等：临时决定，但需提前时间通知供应方现场管理人员。</w:t>
      </w:r>
    </w:p>
    <w:p w14:paraId="019572FA">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4.餐厅员工的招聘由供应方负责，但供应方须提交一份员工名单，有关证明文件副本应呈送采购方备案，如有任何变更，须在一周内以书面形式通知采购方。</w:t>
      </w:r>
    </w:p>
    <w:p w14:paraId="61F5129F">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5.所聘员工必须接受</w:t>
      </w:r>
      <w:r>
        <w:rPr>
          <w:rFonts w:hint="eastAsia" w:ascii="仿宋" w:hAnsi="仿宋" w:eastAsia="仿宋" w:cs="仿宋"/>
          <w:color w:val="auto"/>
          <w:sz w:val="24"/>
          <w:szCs w:val="24"/>
          <w:lang w:val="en-US" w:eastAsia="zh-CN"/>
        </w:rPr>
        <w:t>健康</w:t>
      </w:r>
      <w:r>
        <w:rPr>
          <w:rFonts w:hint="eastAsia" w:ascii="仿宋" w:hAnsi="仿宋" w:eastAsia="仿宋" w:cs="仿宋"/>
          <w:color w:val="auto"/>
          <w:sz w:val="24"/>
          <w:szCs w:val="24"/>
          <w:lang w:eastAsia="zh-CN"/>
        </w:rPr>
        <w:t>体检，体检合格者方可录用。</w:t>
      </w:r>
    </w:p>
    <w:p w14:paraId="0156D8A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6.所聘员工必须穿戴整洁制服；员工必须遵守采购方的有关规定。   </w:t>
      </w:r>
    </w:p>
    <w:p w14:paraId="1194BD7E">
      <w:pPr>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7.食堂一切安全由供应商负责，禁止私拉乱接水电气等。</w:t>
      </w:r>
      <w:r>
        <w:rPr>
          <w:rFonts w:hint="eastAsia" w:ascii="仿宋" w:hAnsi="仿宋" w:eastAsia="仿宋" w:cs="仿宋"/>
          <w:color w:val="auto"/>
          <w:sz w:val="24"/>
          <w:szCs w:val="24"/>
          <w:highlight w:val="none"/>
          <w:lang w:eastAsia="zh-CN"/>
        </w:rPr>
        <w:t xml:space="preserve"> </w:t>
      </w:r>
    </w:p>
    <w:p w14:paraId="14F955E4">
      <w:pPr>
        <w:snapToGrid w:val="0"/>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lang w:eastAsia="zh-CN"/>
        </w:rPr>
        <w:t>）供应方的权利和义务</w:t>
      </w:r>
    </w:p>
    <w:p w14:paraId="352422C2">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1.必须严格遵守并执行《中华人民共和国动物防疫法》《中华人民共和国食品安全法》及有关食品卫生方面的法律法规。</w:t>
      </w:r>
    </w:p>
    <w:p w14:paraId="3223FD79">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2.负责在采购方处承接食堂业务所必须的申报手续（消防及环保除外）及政府各部门对开办食堂所涉及的所有审批。供应方给予必要的配合。</w:t>
      </w:r>
    </w:p>
    <w:p w14:paraId="301D7B9B">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职工餐厅的产品质量和标准必须符合国家食品卫生的要求，餐标应符合采购方的要求，每餐所加工食品均应按相关要求留样。职工不应带饭菜离开饭堂并注意避免随意倒掉饭菜（食堂人员有权制止此种现象，并做好记录，有权向采购方管理部门反映，由采购方管理部门做出处理）。</w:t>
      </w:r>
    </w:p>
    <w:p w14:paraId="54B94C05">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4.维护餐厅的清洁和卫生，防止因餐厅环境的不卫生而引发的传染疾病。所有器具、餐用具必须使用消毒清洗剂清洗，并使用消毒柜消毒。</w:t>
      </w:r>
    </w:p>
    <w:p w14:paraId="0CA1F6AB">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5.员工须正确使用采购方提供的厨房设备和器具，并进行定期清洁和养护。对涉及消防安全及用电安全的设备，应按照相应规范进行操作。如因违规操作造成事故及损失由供应方承担。</w:t>
      </w:r>
    </w:p>
    <w:p w14:paraId="6A9F4620">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6.所使用之食物原料必须新鲜并适合食用，腐烂败坏部分必须清除；原料及食物之洗切、加工必须符合有关的卫生标准；烹饪好的食物必须注意保温并严防虫蝇；及时清理垃圾。</w:t>
      </w:r>
    </w:p>
    <w:p w14:paraId="29CDAF79">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供应方对食堂所在地的所有区域及门窗等的卫生进行清扫和整理，依照相关要求开展有计划的清洁作业。定期按规定进行除害，并确保厨具设备和食品不被污染。如出现因食用供应方制作的食品而造成采购方职工的疾病等，由供应方承担相应的责任及费用。供应方负责对每餐食物进行留样48小时。</w:t>
      </w:r>
    </w:p>
    <w:p w14:paraId="79A2B659">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8.接受来自政府职能部门（如消防、卫生、市场监管等等）的检查，对检查不合格的内容，应按要求整改直至合格，</w:t>
      </w:r>
      <w:r>
        <w:rPr>
          <w:rFonts w:hint="eastAsia" w:ascii="仿宋" w:hAnsi="仿宋" w:eastAsia="仿宋" w:cs="仿宋"/>
          <w:color w:val="auto"/>
          <w:sz w:val="24"/>
          <w:szCs w:val="24"/>
          <w:lang w:val="en-US" w:eastAsia="zh-CN"/>
        </w:rPr>
        <w:t>并承担相关部门的处罚</w:t>
      </w:r>
      <w:r>
        <w:rPr>
          <w:rFonts w:hint="eastAsia" w:ascii="仿宋" w:hAnsi="仿宋" w:eastAsia="仿宋" w:cs="仿宋"/>
          <w:color w:val="auto"/>
          <w:sz w:val="24"/>
          <w:szCs w:val="24"/>
          <w:lang w:eastAsia="zh-CN"/>
        </w:rPr>
        <w:t>。</w:t>
      </w:r>
    </w:p>
    <w:p w14:paraId="773E54C1">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9.管理人员须与采购人相关管理部门人员紧密合作并服从指导，努力提高饭菜质量，改善餐厅卫生状况。</w:t>
      </w:r>
    </w:p>
    <w:p w14:paraId="1724FE12">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default"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卫生院</w:t>
      </w:r>
      <w:r>
        <w:rPr>
          <w:rFonts w:hint="eastAsia" w:ascii="仿宋" w:hAnsi="仿宋" w:eastAsia="仿宋" w:cs="仿宋"/>
          <w:color w:val="auto"/>
          <w:sz w:val="24"/>
          <w:szCs w:val="24"/>
          <w:lang w:eastAsia="zh-CN"/>
        </w:rPr>
        <w:t>每</w:t>
      </w:r>
      <w:r>
        <w:rPr>
          <w:rFonts w:hint="eastAsia" w:ascii="仿宋" w:hAnsi="仿宋" w:eastAsia="仿宋" w:cs="仿宋"/>
          <w:color w:val="auto"/>
          <w:sz w:val="24"/>
          <w:szCs w:val="24"/>
          <w:lang w:val="en-US" w:eastAsia="zh-CN"/>
        </w:rPr>
        <w:t>月</w:t>
      </w:r>
      <w:r>
        <w:rPr>
          <w:rFonts w:hint="eastAsia" w:ascii="仿宋" w:hAnsi="仿宋" w:eastAsia="仿宋" w:cs="仿宋"/>
          <w:color w:val="auto"/>
          <w:sz w:val="24"/>
          <w:szCs w:val="24"/>
          <w:lang w:eastAsia="zh-CN"/>
        </w:rPr>
        <w:t>不少于一次抽查，对不合格人员给予调换。</w:t>
      </w:r>
    </w:p>
    <w:p w14:paraId="38FC378A">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default"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.供应商对</w:t>
      </w:r>
      <w:r>
        <w:rPr>
          <w:rFonts w:hint="eastAsia" w:ascii="仿宋" w:hAnsi="仿宋" w:eastAsia="仿宋" w:cs="仿宋"/>
          <w:color w:val="auto"/>
          <w:sz w:val="24"/>
          <w:szCs w:val="24"/>
          <w:lang w:val="en-US" w:eastAsia="zh-CN"/>
        </w:rPr>
        <w:t>员工因</w:t>
      </w:r>
      <w:r>
        <w:rPr>
          <w:rFonts w:hint="eastAsia" w:ascii="仿宋" w:hAnsi="仿宋" w:eastAsia="仿宋" w:cs="仿宋"/>
          <w:color w:val="auto"/>
          <w:sz w:val="24"/>
          <w:szCs w:val="24"/>
          <w:lang w:eastAsia="zh-CN"/>
        </w:rPr>
        <w:t>各种原因不能出勤时应及时派出替补人员，不得因人员不足而延误食堂的正常运营。</w:t>
      </w:r>
    </w:p>
    <w:p w14:paraId="791239D6">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.供应商必须对食堂人员进行安全、操作规范等培训，培训记录交采购人管理人员一份。</w:t>
      </w:r>
    </w:p>
    <w:p w14:paraId="7045A754">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.供应商员工应遵守采购人的适用于餐厅管理及其他方面的管理规定，员工不得在工作区域内吸烟，员工不得在工作前饮酒等。</w:t>
      </w:r>
    </w:p>
    <w:p w14:paraId="68A3966C">
      <w:pPr>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.所有员工</w:t>
      </w:r>
      <w:r>
        <w:rPr>
          <w:rFonts w:hint="eastAsia" w:ascii="仿宋" w:hAnsi="仿宋" w:eastAsia="仿宋" w:cs="仿宋"/>
          <w:color w:val="auto"/>
          <w:sz w:val="24"/>
          <w:szCs w:val="24"/>
          <w:lang w:val="en-US" w:eastAsia="zh-CN"/>
        </w:rPr>
        <w:t>工资、福利、</w:t>
      </w:r>
      <w:r>
        <w:rPr>
          <w:rFonts w:hint="eastAsia" w:ascii="仿宋" w:hAnsi="仿宋" w:eastAsia="仿宋" w:cs="仿宋"/>
          <w:color w:val="auto"/>
          <w:sz w:val="24"/>
          <w:szCs w:val="24"/>
          <w:lang w:eastAsia="zh-CN"/>
        </w:rPr>
        <w:t>保险</w:t>
      </w:r>
      <w:r>
        <w:rPr>
          <w:rFonts w:hint="eastAsia" w:ascii="仿宋" w:hAnsi="仿宋" w:eastAsia="仿宋" w:cs="仿宋"/>
          <w:color w:val="auto"/>
          <w:sz w:val="24"/>
          <w:szCs w:val="24"/>
          <w:lang w:val="en-US" w:eastAsia="zh-CN"/>
        </w:rPr>
        <w:t>等由供应商负责承担，在服务期间供应商员工的安全及人身伤害由供应商全部负责承担</w:t>
      </w:r>
      <w:r>
        <w:rPr>
          <w:rFonts w:hint="eastAsia" w:ascii="仿宋" w:hAnsi="仿宋" w:eastAsia="仿宋" w:cs="仿宋"/>
          <w:color w:val="auto"/>
          <w:sz w:val="24"/>
          <w:szCs w:val="24"/>
          <w:lang w:eastAsia="zh-CN"/>
        </w:rPr>
        <w:t>。</w:t>
      </w:r>
    </w:p>
    <w:p w14:paraId="67608B25">
      <w:pPr>
        <w:snapToGrid w:val="0"/>
        <w:spacing w:line="360" w:lineRule="auto"/>
        <w:ind w:firstLine="480" w:firstLineChars="200"/>
        <w:jc w:val="left"/>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15.食堂餐饮相关手续由供应商自行完善，产生相关的费用由供应商自行承担。</w:t>
      </w:r>
    </w:p>
    <w:p w14:paraId="6DE2E0ED">
      <w:pPr>
        <w:numPr>
          <w:ilvl w:val="0"/>
          <w:numId w:val="3"/>
        </w:numPr>
        <w:spacing w:line="360" w:lineRule="exact"/>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考核标准及服务期限</w:t>
      </w:r>
    </w:p>
    <w:p w14:paraId="3978B8C3">
      <w:pPr>
        <w:pStyle w:val="8"/>
        <w:rPr>
          <w:rFonts w:hint="eastAsia"/>
          <w:b w:val="0"/>
          <w:bCs w:val="0"/>
          <w:lang w:val="en-US" w:eastAsia="zh-CN"/>
        </w:rPr>
      </w:pPr>
      <w:r>
        <w:rPr>
          <w:rFonts w:hint="eastAsia" w:ascii="仿宋" w:hAnsi="仿宋" w:eastAsia="仿宋" w:cs="仿宋"/>
          <w:b w:val="0"/>
          <w:bCs w:val="0"/>
          <w:color w:val="000000"/>
          <w:kern w:val="2"/>
          <w:sz w:val="24"/>
          <w:szCs w:val="24"/>
          <w:lang w:val="en-US" w:eastAsia="zh-CN" w:bidi="ar-SA"/>
        </w:rPr>
        <w:t>（一）考核标准</w:t>
      </w:r>
    </w:p>
    <w:p w14:paraId="2EF3853E">
      <w:pPr>
        <w:numPr>
          <w:ilvl w:val="0"/>
          <w:numId w:val="0"/>
        </w:num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1.考核时间</w:t>
      </w:r>
    </w:p>
    <w:p w14:paraId="77912F3F">
      <w:pPr>
        <w:snapToGrid w:val="0"/>
        <w:spacing w:line="40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每月进行考核。</w:t>
      </w:r>
    </w:p>
    <w:p w14:paraId="423392B7">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2.考核内容及办法</w:t>
      </w:r>
    </w:p>
    <w:p w14:paraId="399CF0DD">
      <w:pPr>
        <w:numPr>
          <w:ilvl w:val="0"/>
          <w:numId w:val="4"/>
        </w:num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遵守工作纪律。中标供应商提供服务的工作人员实行按时考勤制及请销假制度，确保服务期间服务不断档；规范着装、仪容仪表干净整洁。未按规定执行，影响恶劣的1次扣10分；</w:t>
      </w:r>
    </w:p>
    <w:p w14:paraId="6A5A2097">
      <w:pPr>
        <w:numPr>
          <w:ilvl w:val="0"/>
          <w:numId w:val="0"/>
        </w:num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保证服务质量，保持工作场地整洁。中标供应商提供服务的工作人员在负责食堂提供饭菜过程中注重行为规范、服务语言及服务态度；保持工作区域和现场干净整洁，标识标牌摆放整齐，餐具及时清理、整理、消毒等，爱护公物，按规定使用服务设备。未按规定执行，经查属实的1次扣10分。</w:t>
      </w:r>
    </w:p>
    <w:p w14:paraId="4B7CA916">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规范操作管理。中标供应商提供服务的工作人员应具备较强的业务能力，正确、安全使用采购人提供的工作设备，保证自身及食堂用餐人员的人身安全。经检查未按规定执行一次扣10分，造成事故扣20分一次。</w:t>
      </w:r>
    </w:p>
    <w:p w14:paraId="2831E0A2">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加强作风建设。中标供应商提供服务的工作人员不得利用工作之便谋取私利，不得将食堂物资私自带出食堂，不得收受食堂物资供应方的宴请、礼品等。工作人员有以上行为或有违反廉政制度行为的，1次扣20分。</w:t>
      </w:r>
    </w:p>
    <w:p w14:paraId="4571F973">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3.考核标准</w:t>
      </w:r>
    </w:p>
    <w:p w14:paraId="0B4A78CB">
      <w:pPr>
        <w:spacing w:line="36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根据以上考核内容按年进行量化后综合考核，考核结果分为合格和不合格两种类型。合格：考核得分高于70分（含）以上；不合格：考核得分低于70分。供应商考核不合格，采购人有权单方面解除合同。</w:t>
      </w:r>
    </w:p>
    <w:p w14:paraId="5FBBBD2D">
      <w:pPr>
        <w:pStyle w:val="8"/>
        <w:numPr>
          <w:ilvl w:val="0"/>
          <w:numId w:val="5"/>
        </w:num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服务期限</w:t>
      </w:r>
    </w:p>
    <w:p w14:paraId="75F91ABF">
      <w:pPr>
        <w:numPr>
          <w:ilvl w:val="0"/>
          <w:numId w:val="0"/>
        </w:numPr>
        <w:rPr>
          <w:rFonts w:hint="eastAsia" w:ascii="仿宋" w:hAnsi="仿宋" w:eastAsia="仿宋" w:cs="仿宋"/>
          <w:color w:val="000000"/>
          <w:kern w:val="2"/>
          <w:sz w:val="24"/>
          <w:szCs w:val="24"/>
          <w:lang w:val="en-US" w:eastAsia="zh-CN" w:bidi="ar-SA"/>
        </w:rPr>
      </w:pPr>
      <w:r>
        <w:rPr>
          <w:rFonts w:hint="eastAsia"/>
          <w:lang w:val="en-US" w:eastAsia="zh-CN"/>
        </w:rPr>
        <w:t xml:space="preserve"> </w:t>
      </w:r>
      <w:r>
        <w:rPr>
          <w:rFonts w:hint="eastAsia" w:ascii="仿宋" w:hAnsi="仿宋" w:eastAsia="仿宋" w:cs="仿宋"/>
          <w:color w:val="FF0000"/>
          <w:kern w:val="2"/>
          <w:sz w:val="24"/>
          <w:szCs w:val="24"/>
          <w:lang w:val="en-US" w:eastAsia="zh-CN" w:bidi="ar-SA"/>
        </w:rPr>
        <w:t xml:space="preserve"> 服务期限一年。</w:t>
      </w:r>
    </w:p>
    <w:p w14:paraId="13B220B2">
      <w:pPr>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rPr>
        <w:t>、联系方式</w:t>
      </w:r>
      <w:bookmarkEnd w:id="45"/>
      <w:bookmarkEnd w:id="46"/>
      <w:bookmarkEnd w:id="47"/>
      <w:bookmarkEnd w:id="48"/>
      <w:bookmarkEnd w:id="49"/>
      <w:bookmarkEnd w:id="50"/>
      <w:bookmarkEnd w:id="51"/>
    </w:p>
    <w:p w14:paraId="2172CE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采购人：重庆市垫江县</w:t>
      </w:r>
      <w:r>
        <w:rPr>
          <w:rFonts w:hint="eastAsia" w:ascii="仿宋" w:hAnsi="仿宋" w:eastAsia="仿宋" w:cs="仿宋"/>
          <w:color w:val="auto"/>
          <w:sz w:val="24"/>
          <w:szCs w:val="24"/>
          <w:lang w:eastAsia="zh-CN"/>
        </w:rPr>
        <w:t>澄溪镇</w:t>
      </w:r>
      <w:r>
        <w:rPr>
          <w:rFonts w:hint="eastAsia" w:ascii="仿宋" w:hAnsi="仿宋" w:eastAsia="仿宋" w:cs="仿宋"/>
          <w:color w:val="auto"/>
          <w:sz w:val="24"/>
          <w:szCs w:val="24"/>
        </w:rPr>
        <w:t>卫生院</w:t>
      </w:r>
    </w:p>
    <w:p w14:paraId="33EC69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姜</w:t>
      </w:r>
      <w:r>
        <w:rPr>
          <w:rFonts w:hint="eastAsia" w:ascii="仿宋" w:hAnsi="仿宋" w:eastAsia="仿宋" w:cs="仿宋"/>
          <w:color w:val="auto"/>
          <w:sz w:val="24"/>
          <w:szCs w:val="24"/>
        </w:rPr>
        <w:t>老师</w:t>
      </w:r>
    </w:p>
    <w:p w14:paraId="08DEC3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  话：1</w:t>
      </w:r>
      <w:r>
        <w:rPr>
          <w:rFonts w:hint="eastAsia" w:ascii="仿宋" w:hAnsi="仿宋" w:eastAsia="仿宋" w:cs="仿宋"/>
          <w:color w:val="auto"/>
          <w:sz w:val="24"/>
          <w:szCs w:val="24"/>
          <w:lang w:val="en-US" w:eastAsia="zh-CN"/>
        </w:rPr>
        <w:t>3996701588</w:t>
      </w:r>
      <w:r>
        <w:rPr>
          <w:rFonts w:hint="eastAsia" w:ascii="仿宋" w:hAnsi="仿宋" w:eastAsia="仿宋" w:cs="仿宋"/>
          <w:color w:val="auto"/>
          <w:sz w:val="24"/>
          <w:szCs w:val="24"/>
        </w:rPr>
        <w:t xml:space="preserve"> </w:t>
      </w:r>
    </w:p>
    <w:p w14:paraId="7B0D77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  址：垫江县</w:t>
      </w:r>
      <w:r>
        <w:rPr>
          <w:rFonts w:hint="eastAsia" w:ascii="仿宋" w:hAnsi="仿宋" w:eastAsia="仿宋" w:cs="仿宋"/>
          <w:color w:val="auto"/>
          <w:sz w:val="24"/>
          <w:szCs w:val="24"/>
          <w:lang w:eastAsia="zh-CN"/>
        </w:rPr>
        <w:t>澄溪镇</w:t>
      </w:r>
      <w:r>
        <w:rPr>
          <w:rFonts w:hint="eastAsia" w:ascii="仿宋" w:hAnsi="仿宋" w:eastAsia="仿宋" w:cs="仿宋"/>
          <w:color w:val="auto"/>
          <w:sz w:val="24"/>
          <w:szCs w:val="24"/>
          <w:lang w:val="en-US" w:eastAsia="zh-CN"/>
        </w:rPr>
        <w:t>泽生路69号</w:t>
      </w:r>
    </w:p>
    <w:p w14:paraId="2F296EC6">
      <w:pPr>
        <w:pageBreakBefore w:val="0"/>
        <w:kinsoku/>
        <w:overflowPunct/>
        <w:topLinePunct w:val="0"/>
        <w:bidi w:val="0"/>
        <w:snapToGrid w:val="0"/>
        <w:spacing w:line="360" w:lineRule="auto"/>
        <w:rPr>
          <w:rFonts w:hint="eastAsia" w:ascii="仿宋" w:hAnsi="仿宋" w:eastAsia="仿宋" w:cs="仿宋"/>
          <w:b/>
          <w:color w:val="auto"/>
          <w:kern w:val="2"/>
          <w:sz w:val="24"/>
          <w:szCs w:val="24"/>
          <w:lang w:val="en-US" w:eastAsia="zh-CN" w:bidi="ar-SA"/>
        </w:rPr>
      </w:pPr>
      <w:bookmarkStart w:id="52" w:name="_Toc12966"/>
      <w:bookmarkStart w:id="53" w:name="_Toc17451"/>
      <w:bookmarkStart w:id="54" w:name="_Toc26584"/>
      <w:bookmarkStart w:id="55" w:name="_Toc28153"/>
      <w:bookmarkStart w:id="56" w:name="_Toc6952"/>
      <w:r>
        <w:rPr>
          <w:rFonts w:hint="eastAsia" w:ascii="仿宋" w:hAnsi="仿宋" w:eastAsia="仿宋" w:cs="仿宋"/>
          <w:b/>
          <w:color w:val="auto"/>
          <w:kern w:val="2"/>
          <w:sz w:val="24"/>
          <w:szCs w:val="24"/>
          <w:lang w:val="en-US" w:eastAsia="zh-CN" w:bidi="ar-SA"/>
        </w:rPr>
        <w:t>七、知识产权</w:t>
      </w:r>
      <w:bookmarkEnd w:id="52"/>
      <w:bookmarkEnd w:id="53"/>
      <w:bookmarkEnd w:id="54"/>
      <w:bookmarkEnd w:id="55"/>
      <w:bookmarkEnd w:id="56"/>
    </w:p>
    <w:p w14:paraId="0B298116">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采购人在中华人民共和国境内使用成交竞标人提供的货物及服务时免受第三方提出的侵犯其专利权或其他知识产权的起诉。如果第三方提出侵权指控，成交竞标人应承担由此而引起的一切法律责任和费用。</w:t>
      </w:r>
    </w:p>
    <w:p w14:paraId="17EE84F1">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2"/>
          <w:sz w:val="24"/>
          <w:szCs w:val="24"/>
          <w:lang w:val="en-US" w:eastAsia="zh-CN" w:bidi="ar-SA"/>
        </w:rPr>
      </w:pPr>
      <w:bookmarkStart w:id="57" w:name="_Toc7471"/>
      <w:bookmarkStart w:id="58" w:name="_Toc24345"/>
      <w:bookmarkStart w:id="59" w:name="_Toc2449"/>
      <w:bookmarkStart w:id="60" w:name="_Toc10130"/>
      <w:bookmarkStart w:id="61" w:name="_Toc7809"/>
      <w:r>
        <w:rPr>
          <w:rFonts w:hint="eastAsia" w:ascii="仿宋" w:hAnsi="仿宋" w:eastAsia="仿宋" w:cs="仿宋"/>
          <w:b/>
          <w:color w:val="auto"/>
          <w:kern w:val="2"/>
          <w:sz w:val="24"/>
          <w:szCs w:val="24"/>
          <w:lang w:val="en-US" w:eastAsia="zh-CN" w:bidi="ar-SA"/>
        </w:rPr>
        <w:t>八、</w:t>
      </w:r>
      <w:bookmarkEnd w:id="57"/>
      <w:bookmarkEnd w:id="58"/>
      <w:bookmarkEnd w:id="59"/>
      <w:bookmarkEnd w:id="60"/>
      <w:bookmarkEnd w:id="61"/>
      <w:r>
        <w:rPr>
          <w:rFonts w:hint="eastAsia" w:ascii="仿宋" w:hAnsi="仿宋" w:eastAsia="仿宋" w:cs="仿宋"/>
          <w:b/>
          <w:color w:val="auto"/>
          <w:kern w:val="2"/>
          <w:sz w:val="24"/>
          <w:szCs w:val="24"/>
          <w:lang w:val="en-US" w:eastAsia="zh-CN" w:bidi="ar-SA"/>
        </w:rPr>
        <w:t>结算方式</w:t>
      </w:r>
    </w:p>
    <w:p w14:paraId="0D1375F0">
      <w:pPr>
        <w:pStyle w:val="16"/>
        <w:keepNext w:val="0"/>
        <w:keepLines w:val="0"/>
        <w:pageBreakBefore w:val="0"/>
        <w:widowControl w:val="0"/>
        <w:tabs>
          <w:tab w:val="right" w:leader="dot" w:pos="9120"/>
        </w:tabs>
        <w:kinsoku/>
        <w:overflowPunct/>
        <w:topLinePunct w:val="0"/>
        <w:autoSpaceDE/>
        <w:autoSpaceDN/>
        <w:bidi w:val="0"/>
        <w:adjustRightInd/>
        <w:spacing w:line="360" w:lineRule="auto"/>
        <w:ind w:firstLine="480" w:firstLineChars="200"/>
        <w:jc w:val="left"/>
        <w:textAlignment w:val="auto"/>
        <w:rPr>
          <w:rFonts w:hint="eastAsia"/>
          <w:color w:val="auto"/>
        </w:rPr>
      </w:pPr>
      <w:r>
        <w:rPr>
          <w:rFonts w:hint="eastAsia" w:ascii="仿宋" w:hAnsi="仿宋" w:eastAsia="仿宋" w:cs="仿宋"/>
          <w:color w:val="auto"/>
          <w:kern w:val="2"/>
          <w:sz w:val="24"/>
          <w:szCs w:val="24"/>
          <w:lang w:val="en-US" w:eastAsia="zh-CN" w:bidi="ar-SA"/>
        </w:rPr>
        <w:t>按月结算，成交供应商应在每月8日前凭发票及其它相关资料，申请付款，采购人审核通过后，以银行转账的方式支付。</w:t>
      </w:r>
      <w:r>
        <w:rPr>
          <w:rFonts w:hint="eastAsia" w:ascii="仿宋" w:hAnsi="仿宋" w:eastAsia="仿宋" w:cs="仿宋"/>
          <w:bCs/>
          <w:color w:val="auto"/>
          <w:sz w:val="24"/>
          <w:szCs w:val="24"/>
          <w:lang w:val="en-US" w:eastAsia="zh-CN"/>
        </w:rPr>
        <w:t>最终结算金额以实际发生的金额为准。</w:t>
      </w:r>
    </w:p>
    <w:p w14:paraId="0A04BF92">
      <w:pPr>
        <w:pStyle w:val="4"/>
        <w:pageBreakBefore w:val="0"/>
        <w:kinsoku/>
        <w:overflowPunct/>
        <w:topLinePunct w:val="0"/>
        <w:bidi w:val="0"/>
        <w:spacing w:before="0" w:after="0" w:line="360" w:lineRule="auto"/>
        <w:jc w:val="left"/>
        <w:rPr>
          <w:rFonts w:hint="eastAsia" w:ascii="仿宋" w:hAnsi="仿宋" w:eastAsia="仿宋" w:cs="仿宋"/>
          <w:color w:val="auto"/>
          <w:sz w:val="24"/>
          <w:szCs w:val="24"/>
        </w:rPr>
      </w:pPr>
      <w:r>
        <w:rPr>
          <w:rFonts w:hint="eastAsia" w:ascii="仿宋" w:hAnsi="仿宋" w:eastAsia="仿宋" w:cs="仿宋"/>
          <w:b/>
          <w:color w:val="auto"/>
          <w:kern w:val="2"/>
          <w:sz w:val="24"/>
          <w:szCs w:val="24"/>
          <w:lang w:val="en-US" w:eastAsia="zh-CN" w:bidi="ar-SA"/>
        </w:rPr>
        <w:t>九、评审程序</w:t>
      </w:r>
      <w:r>
        <w:rPr>
          <w:rFonts w:hint="eastAsia" w:ascii="仿宋" w:hAnsi="仿宋" w:eastAsia="仿宋" w:cs="仿宋"/>
          <w:color w:val="auto"/>
          <w:sz w:val="24"/>
          <w:szCs w:val="24"/>
        </w:rPr>
        <w:t>及方法</w:t>
      </w:r>
    </w:p>
    <w:p w14:paraId="1BA238A5">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（一）按竞采文件规定的截止时间进行，由本项目的评审小组对各供应商的响应文件进行评审。</w:t>
      </w:r>
    </w:p>
    <w:p w14:paraId="7C09BACA">
      <w:pPr>
        <w:pStyle w:val="7"/>
        <w:pageBreakBefore w:val="0"/>
        <w:kinsoku/>
        <w:overflowPunct/>
        <w:topLinePunct w:val="0"/>
        <w:bidi w:val="0"/>
        <w:spacing w:line="360" w:lineRule="auto"/>
        <w:jc w:val="left"/>
        <w:rPr>
          <w:rFonts w:hint="eastAsia" w:ascii="仿宋" w:hAnsi="仿宋" w:eastAsia="仿宋" w:cs="仿宋"/>
          <w:color w:val="auto"/>
          <w:szCs w:val="24"/>
        </w:rPr>
      </w:pPr>
      <w:r>
        <w:rPr>
          <w:rFonts w:hint="eastAsia" w:ascii="仿宋" w:hAnsi="仿宋" w:eastAsia="仿宋" w:cs="仿宋"/>
          <w:color w:val="auto"/>
          <w:szCs w:val="24"/>
        </w:rPr>
        <w:t>（二）评审小组</w:t>
      </w:r>
      <w:r>
        <w:rPr>
          <w:rFonts w:hint="eastAsia" w:ascii="仿宋" w:hAnsi="仿宋" w:eastAsia="仿宋" w:cs="仿宋"/>
          <w:color w:val="auto"/>
          <w:szCs w:val="24"/>
          <w:lang w:eastAsia="zh-CN"/>
        </w:rPr>
        <w:t>（</w:t>
      </w:r>
      <w:r>
        <w:rPr>
          <w:rFonts w:hint="eastAsia" w:ascii="仿宋" w:hAnsi="仿宋" w:eastAsia="仿宋" w:cs="仿宋"/>
          <w:color w:val="auto"/>
          <w:szCs w:val="24"/>
          <w:lang w:val="en-US" w:eastAsia="zh-CN"/>
        </w:rPr>
        <w:t>评审小组成员由采购人单位内员工随机抽取组成）</w:t>
      </w:r>
      <w:r>
        <w:rPr>
          <w:rFonts w:hint="eastAsia" w:ascii="仿宋" w:hAnsi="仿宋" w:eastAsia="仿宋" w:cs="仿宋"/>
          <w:color w:val="auto"/>
          <w:szCs w:val="24"/>
        </w:rPr>
        <w:t>对各供应商的资格条件、响应文件的有效性、完整性和响应程度进行审查。各供应商只有在完全符合要求的前提下，才能参与正式评审。</w:t>
      </w:r>
    </w:p>
    <w:p w14:paraId="7C488D7D">
      <w:pPr>
        <w:pStyle w:val="7"/>
        <w:pageBreakBefore w:val="0"/>
        <w:kinsoku/>
        <w:overflowPunct/>
        <w:topLinePunct w:val="0"/>
        <w:bidi w:val="0"/>
        <w:spacing w:line="360" w:lineRule="auto"/>
        <w:jc w:val="left"/>
        <w:rPr>
          <w:rFonts w:hint="eastAsia" w:ascii="仿宋" w:hAnsi="仿宋" w:eastAsia="仿宋" w:cs="仿宋"/>
          <w:color w:val="auto"/>
          <w:kern w:val="0"/>
          <w:szCs w:val="24"/>
        </w:rPr>
      </w:pPr>
      <w:r>
        <w:rPr>
          <w:rFonts w:hint="eastAsia" w:ascii="仿宋" w:hAnsi="仿宋" w:eastAsia="仿宋" w:cs="仿宋"/>
          <w:color w:val="auto"/>
          <w:szCs w:val="24"/>
          <w:lang w:eastAsia="zh-CN"/>
        </w:rPr>
        <w:t>1.</w:t>
      </w:r>
      <w:r>
        <w:rPr>
          <w:rFonts w:hint="eastAsia" w:ascii="仿宋" w:hAnsi="仿宋" w:eastAsia="仿宋" w:cs="仿宋"/>
          <w:color w:val="auto"/>
          <w:kern w:val="0"/>
          <w:szCs w:val="24"/>
        </w:rPr>
        <w:t>资格性检查。依据竞采文件的规定，评审小组对响应文件进行资格性审查，有一条</w:t>
      </w:r>
      <w:r>
        <w:rPr>
          <w:rFonts w:hint="eastAsia" w:ascii="仿宋" w:hAnsi="仿宋" w:eastAsia="仿宋" w:cs="仿宋"/>
          <w:color w:val="auto"/>
          <w:kern w:val="0"/>
          <w:szCs w:val="24"/>
          <w:lang w:val="en-US" w:eastAsia="zh-CN"/>
        </w:rPr>
        <w:t>不</w:t>
      </w:r>
      <w:r>
        <w:rPr>
          <w:rFonts w:hint="eastAsia" w:ascii="仿宋" w:hAnsi="仿宋" w:eastAsia="仿宋" w:cs="仿宋"/>
          <w:color w:val="auto"/>
          <w:kern w:val="0"/>
          <w:szCs w:val="24"/>
        </w:rPr>
        <w:t>符合要求的，其响应文件按无效竞采处理。资格性检查资料表如下：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44"/>
        <w:gridCol w:w="3419"/>
        <w:gridCol w:w="4433"/>
      </w:tblGrid>
      <w:tr w14:paraId="6786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76" w:type="dxa"/>
            <w:noWrap w:val="0"/>
            <w:vAlign w:val="center"/>
          </w:tcPr>
          <w:p w14:paraId="57645E68">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4963" w:type="dxa"/>
            <w:gridSpan w:val="2"/>
            <w:noWrap w:val="0"/>
            <w:vAlign w:val="center"/>
          </w:tcPr>
          <w:p w14:paraId="0AF84E08">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检查因素</w:t>
            </w:r>
          </w:p>
        </w:tc>
        <w:tc>
          <w:tcPr>
            <w:tcW w:w="4433" w:type="dxa"/>
            <w:noWrap w:val="0"/>
            <w:vAlign w:val="center"/>
          </w:tcPr>
          <w:p w14:paraId="00CBA6E0">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检查内容</w:t>
            </w:r>
          </w:p>
        </w:tc>
      </w:tr>
      <w:tr w14:paraId="33CA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76" w:type="dxa"/>
            <w:vMerge w:val="restart"/>
            <w:noWrap w:val="0"/>
            <w:vAlign w:val="center"/>
          </w:tcPr>
          <w:p w14:paraId="3365DEAF">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544" w:type="dxa"/>
            <w:vMerge w:val="restart"/>
            <w:noWrap w:val="0"/>
            <w:vAlign w:val="center"/>
          </w:tcPr>
          <w:p w14:paraId="51707BCA">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应符合基本资格条件</w:t>
            </w:r>
          </w:p>
        </w:tc>
        <w:tc>
          <w:tcPr>
            <w:tcW w:w="3419" w:type="dxa"/>
            <w:noWrap w:val="0"/>
            <w:vAlign w:val="center"/>
          </w:tcPr>
          <w:p w14:paraId="0843501E">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4433" w:type="dxa"/>
            <w:noWrap w:val="0"/>
            <w:vAlign w:val="center"/>
          </w:tcPr>
          <w:p w14:paraId="6144C0F2">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供应商法人营业执照或事业单位法人证书或个体工商户营业执照、组织机构代码证扫描件（注</w:t>
            </w:r>
            <w:r>
              <w:rPr>
                <w:rFonts w:hint="eastAsia" w:ascii="仿宋" w:hAnsi="仿宋" w:eastAsia="仿宋" w:cs="仿宋"/>
                <w:color w:val="auto"/>
                <w:kern w:val="0"/>
                <w:sz w:val="21"/>
                <w:szCs w:val="21"/>
              </w:rPr>
              <w:fldChar w:fldCharType="begin"/>
            </w:r>
            <w:r>
              <w:rPr>
                <w:rFonts w:hint="eastAsia" w:ascii="仿宋" w:hAnsi="仿宋" w:eastAsia="仿宋" w:cs="仿宋"/>
                <w:color w:val="auto"/>
                <w:kern w:val="0"/>
                <w:sz w:val="21"/>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sz w:val="21"/>
                <w:szCs w:val="21"/>
              </w:rPr>
              <w:instrText xml:space="preserve">,1)</w:instrText>
            </w:r>
            <w:r>
              <w:rPr>
                <w:rFonts w:hint="eastAsia" w:ascii="仿宋" w:hAnsi="仿宋" w:eastAsia="仿宋" w:cs="仿宋"/>
                <w:color w:val="auto"/>
                <w:kern w:val="0"/>
                <w:sz w:val="21"/>
                <w:szCs w:val="21"/>
              </w:rPr>
              <w:fldChar w:fldCharType="end"/>
            </w:r>
            <w:r>
              <w:rPr>
                <w:rFonts w:hint="eastAsia" w:ascii="仿宋" w:hAnsi="仿宋" w:eastAsia="仿宋" w:cs="仿宋"/>
                <w:color w:val="auto"/>
                <w:sz w:val="21"/>
                <w:szCs w:val="21"/>
              </w:rPr>
              <w:t xml:space="preserve">）； </w:t>
            </w:r>
          </w:p>
          <w:p w14:paraId="43029C76">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供应商法定代表人身份证明和法定代表人授权代表委托书。</w:t>
            </w:r>
          </w:p>
        </w:tc>
      </w:tr>
      <w:tr w14:paraId="206E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76" w:type="dxa"/>
            <w:vMerge w:val="continue"/>
            <w:noWrap w:val="0"/>
            <w:vAlign w:val="center"/>
          </w:tcPr>
          <w:p w14:paraId="241ED863">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03A940B8">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3A5D3D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4433" w:type="dxa"/>
            <w:vMerge w:val="restart"/>
            <w:noWrap w:val="0"/>
            <w:vAlign w:val="center"/>
          </w:tcPr>
          <w:p w14:paraId="5908F41D">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供应商提供书面声明（见格式文件）</w:t>
            </w:r>
          </w:p>
        </w:tc>
      </w:tr>
      <w:tr w14:paraId="07EC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6" w:type="dxa"/>
            <w:vMerge w:val="continue"/>
            <w:noWrap w:val="0"/>
            <w:vAlign w:val="center"/>
          </w:tcPr>
          <w:p w14:paraId="1BC84566">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5D4282F7">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510A54D7">
            <w:pPr>
              <w:pageBreakBefore w:val="0"/>
              <w:kinsoku/>
              <w:overflowPunct/>
              <w:topLinePunct w:val="0"/>
              <w:bidi w:val="0"/>
              <w:spacing w:line="36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4433" w:type="dxa"/>
            <w:vMerge w:val="continue"/>
            <w:noWrap w:val="0"/>
            <w:vAlign w:val="center"/>
          </w:tcPr>
          <w:p w14:paraId="08D15183">
            <w:pPr>
              <w:pageBreakBefore w:val="0"/>
              <w:kinsoku/>
              <w:overflowPunct/>
              <w:topLinePunct w:val="0"/>
              <w:bidi w:val="0"/>
              <w:spacing w:line="360" w:lineRule="auto"/>
              <w:jc w:val="left"/>
              <w:rPr>
                <w:rFonts w:hint="eastAsia" w:ascii="仿宋" w:hAnsi="仿宋" w:eastAsia="仿宋" w:cs="仿宋"/>
                <w:color w:val="auto"/>
                <w:sz w:val="21"/>
                <w:szCs w:val="21"/>
              </w:rPr>
            </w:pPr>
          </w:p>
        </w:tc>
      </w:tr>
      <w:tr w14:paraId="42E2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6" w:type="dxa"/>
            <w:vMerge w:val="continue"/>
            <w:noWrap w:val="0"/>
            <w:vAlign w:val="center"/>
          </w:tcPr>
          <w:p w14:paraId="324BF101">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3CF2C7BF">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9C99AA2">
            <w:pPr>
              <w:pageBreakBefore w:val="0"/>
              <w:kinsoku/>
              <w:overflowPunct/>
              <w:topLinePunct w:val="0"/>
              <w:bidi w:val="0"/>
              <w:spacing w:line="360" w:lineRule="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4433" w:type="dxa"/>
            <w:vMerge w:val="continue"/>
            <w:noWrap w:val="0"/>
            <w:vAlign w:val="center"/>
          </w:tcPr>
          <w:p w14:paraId="76FAD2D2">
            <w:pPr>
              <w:pageBreakBefore w:val="0"/>
              <w:kinsoku/>
              <w:overflowPunct/>
              <w:topLinePunct w:val="0"/>
              <w:bidi w:val="0"/>
              <w:spacing w:line="360" w:lineRule="auto"/>
              <w:jc w:val="left"/>
              <w:rPr>
                <w:rFonts w:hint="eastAsia" w:ascii="仿宋" w:hAnsi="仿宋" w:eastAsia="仿宋" w:cs="仿宋"/>
                <w:color w:val="auto"/>
                <w:sz w:val="21"/>
                <w:szCs w:val="21"/>
              </w:rPr>
            </w:pPr>
          </w:p>
        </w:tc>
      </w:tr>
      <w:tr w14:paraId="6624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6" w:type="dxa"/>
            <w:vMerge w:val="continue"/>
            <w:noWrap w:val="0"/>
            <w:vAlign w:val="center"/>
          </w:tcPr>
          <w:p w14:paraId="465C1955">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6D843463">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9ED11A5">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（5）参加政府采购活动前三年内，在经营活动中没有重大违法记录（注②）</w:t>
            </w:r>
          </w:p>
        </w:tc>
        <w:tc>
          <w:tcPr>
            <w:tcW w:w="4433" w:type="dxa"/>
            <w:noWrap w:val="0"/>
            <w:vAlign w:val="center"/>
          </w:tcPr>
          <w:p w14:paraId="2BD853B1">
            <w:pPr>
              <w:pageBreakBefore w:val="0"/>
              <w:kinsoku/>
              <w:overflowPunct/>
              <w:topLinePunct w:val="0"/>
              <w:bidi w:val="0"/>
              <w:spacing w:line="360" w:lineRule="auto"/>
              <w:jc w:val="left"/>
              <w:rPr>
                <w:rFonts w:hint="eastAsia" w:ascii="仿宋" w:hAnsi="仿宋" w:eastAsia="仿宋" w:cs="仿宋"/>
                <w:bCs/>
                <w:color w:val="auto"/>
                <w:sz w:val="21"/>
                <w:szCs w:val="21"/>
              </w:rPr>
            </w:pPr>
            <w:r>
              <w:rPr>
                <w:rFonts w:hint="eastAsia" w:ascii="仿宋" w:hAnsi="仿宋" w:eastAsia="仿宋" w:cs="仿宋"/>
                <w:bCs/>
                <w:color w:val="auto"/>
                <w:sz w:val="21"/>
                <w:szCs w:val="21"/>
              </w:rPr>
              <w:t>1.供应商提供书面声明（见格式文件）；</w:t>
            </w:r>
          </w:p>
          <w:p w14:paraId="70F8DC15">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bCs/>
                <w:color w:val="auto"/>
                <w:sz w:val="21"/>
                <w:szCs w:val="21"/>
              </w:rPr>
              <w:t>2.采购人或采购代理机构将通过 “信用中国”网站</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www.creditchina.gov.cn</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、"中国政府采购网"</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www.ccgp.gov.cn</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rPr>
              <w:t>等渠道查询供应商信用记录，对列入失信被执行人、重大税收违法案件当事人名单、政府采购严重违法失信行为记录名单的供应商将拒绝其参与竞采活动。</w:t>
            </w:r>
          </w:p>
        </w:tc>
      </w:tr>
      <w:tr w14:paraId="0DFB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6" w:type="dxa"/>
            <w:vMerge w:val="continue"/>
            <w:noWrap w:val="0"/>
            <w:vAlign w:val="center"/>
          </w:tcPr>
          <w:p w14:paraId="7D45C8F7">
            <w:pPr>
              <w:pageBreakBefore w:val="0"/>
              <w:kinsoku/>
              <w:overflowPunct/>
              <w:topLinePunct w:val="0"/>
              <w:bidi w:val="0"/>
              <w:spacing w:line="360" w:lineRule="auto"/>
              <w:jc w:val="center"/>
              <w:rPr>
                <w:rFonts w:hint="eastAsia" w:ascii="仿宋" w:hAnsi="仿宋" w:eastAsia="仿宋" w:cs="仿宋"/>
                <w:color w:val="auto"/>
                <w:sz w:val="21"/>
                <w:szCs w:val="21"/>
              </w:rPr>
            </w:pPr>
          </w:p>
        </w:tc>
        <w:tc>
          <w:tcPr>
            <w:tcW w:w="1544" w:type="dxa"/>
            <w:vMerge w:val="continue"/>
            <w:noWrap w:val="0"/>
            <w:vAlign w:val="center"/>
          </w:tcPr>
          <w:p w14:paraId="233EBC95">
            <w:pPr>
              <w:pageBreakBefore w:val="0"/>
              <w:kinsoku/>
              <w:overflowPunct/>
              <w:topLinePunct w:val="0"/>
              <w:bidi w:val="0"/>
              <w:spacing w:line="360" w:lineRule="auto"/>
              <w:jc w:val="center"/>
              <w:rPr>
                <w:rFonts w:hint="eastAsia" w:ascii="仿宋" w:hAnsi="仿宋" w:eastAsia="仿宋" w:cs="仿宋"/>
                <w:color w:val="auto"/>
                <w:sz w:val="21"/>
                <w:szCs w:val="21"/>
                <w:lang w:val="zh-CN"/>
              </w:rPr>
            </w:pPr>
          </w:p>
        </w:tc>
        <w:tc>
          <w:tcPr>
            <w:tcW w:w="3419" w:type="dxa"/>
            <w:noWrap w:val="0"/>
            <w:vAlign w:val="center"/>
          </w:tcPr>
          <w:p w14:paraId="0870C44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4433" w:type="dxa"/>
            <w:noWrap w:val="0"/>
            <w:vAlign w:val="center"/>
          </w:tcPr>
          <w:p w14:paraId="5795BE4D">
            <w:pPr>
              <w:pageBreakBefore w:val="0"/>
              <w:kinsoku/>
              <w:overflowPunct/>
              <w:topLinePunct w:val="0"/>
              <w:bidi w:val="0"/>
              <w:spacing w:line="360" w:lineRule="auto"/>
              <w:rPr>
                <w:rFonts w:hint="eastAsia" w:ascii="仿宋" w:hAnsi="仿宋" w:eastAsia="仿宋" w:cs="仿宋"/>
                <w:color w:val="auto"/>
                <w:sz w:val="21"/>
                <w:szCs w:val="21"/>
              </w:rPr>
            </w:pPr>
          </w:p>
        </w:tc>
      </w:tr>
      <w:tr w14:paraId="37D6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6" w:type="dxa"/>
            <w:noWrap w:val="0"/>
            <w:vAlign w:val="center"/>
          </w:tcPr>
          <w:p w14:paraId="0C35F7EC">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544" w:type="dxa"/>
            <w:noWrap w:val="0"/>
            <w:vAlign w:val="center"/>
          </w:tcPr>
          <w:p w14:paraId="6336B601">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zh-CN"/>
              </w:rPr>
              <w:t>特定资格条件</w:t>
            </w:r>
          </w:p>
        </w:tc>
        <w:tc>
          <w:tcPr>
            <w:tcW w:w="7852" w:type="dxa"/>
            <w:gridSpan w:val="2"/>
            <w:noWrap w:val="0"/>
            <w:vAlign w:val="center"/>
          </w:tcPr>
          <w:p w14:paraId="5498AC0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符合第一篇“二、供应商资格→（二）特定资格条件”的要求。</w:t>
            </w:r>
          </w:p>
        </w:tc>
      </w:tr>
    </w:tbl>
    <w:p w14:paraId="0A4E1EB7">
      <w:pPr>
        <w:pageBreakBefore w:val="0"/>
        <w:kinsoku/>
        <w:overflowPunct/>
        <w:topLinePunct w:val="0"/>
        <w:bidi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①供应商按“三证合一”登记制度办理营业执照的，组织机构代码证和税务登记证（副本）以供应商所提供的营业执照（副本）扫描件为准。</w:t>
      </w:r>
    </w:p>
    <w:p w14:paraId="080FE89B">
      <w:pPr>
        <w:pageBreakBefore w:val="0"/>
        <w:kinsoku/>
        <w:overflowPunct/>
        <w:topLinePunct w:val="0"/>
        <w:bidi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17DEEEA3">
      <w:pPr>
        <w:pageBreakBefore w:val="0"/>
        <w:kinsoku/>
        <w:overflowPunct/>
        <w:topLinePunct w:val="0"/>
        <w:bidi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2.</w:t>
      </w:r>
      <w:r>
        <w:rPr>
          <w:rFonts w:hint="eastAsia" w:ascii="仿宋" w:hAnsi="仿宋" w:eastAsia="仿宋" w:cs="仿宋"/>
          <w:color w:val="auto"/>
          <w:kern w:val="0"/>
          <w:sz w:val="24"/>
          <w:szCs w:val="24"/>
        </w:rPr>
        <w:t>符合性检查。依据竞采文件的规定，评审小组对响应文件进行符合性审查，有一条</w:t>
      </w:r>
      <w:r>
        <w:rPr>
          <w:rFonts w:hint="eastAsia" w:ascii="仿宋" w:hAnsi="仿宋" w:eastAsia="仿宋" w:cs="仿宋"/>
          <w:color w:val="auto"/>
          <w:kern w:val="0"/>
          <w:sz w:val="24"/>
          <w:szCs w:val="24"/>
          <w:lang w:val="en-US" w:eastAsia="zh-CN"/>
        </w:rPr>
        <w:t>不</w:t>
      </w:r>
      <w:r>
        <w:rPr>
          <w:rFonts w:hint="eastAsia" w:ascii="仿宋" w:hAnsi="仿宋" w:eastAsia="仿宋" w:cs="仿宋"/>
          <w:color w:val="auto"/>
          <w:kern w:val="0"/>
          <w:sz w:val="24"/>
          <w:szCs w:val="24"/>
        </w:rPr>
        <w:t>符合要求的，其响应文件按无效竞采处理，符合性检查资料表如下：</w:t>
      </w:r>
    </w:p>
    <w:tbl>
      <w:tblPr>
        <w:tblStyle w:val="22"/>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75"/>
        <w:gridCol w:w="2055"/>
        <w:gridCol w:w="6375"/>
      </w:tblGrid>
      <w:tr w14:paraId="065B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noWrap w:val="0"/>
            <w:vAlign w:val="center"/>
          </w:tcPr>
          <w:p w14:paraId="203B0A19">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序号</w:t>
            </w:r>
          </w:p>
        </w:tc>
        <w:tc>
          <w:tcPr>
            <w:tcW w:w="3030" w:type="dxa"/>
            <w:gridSpan w:val="2"/>
            <w:noWrap w:val="0"/>
            <w:vAlign w:val="center"/>
          </w:tcPr>
          <w:p w14:paraId="40A21C8C">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评审因素</w:t>
            </w:r>
          </w:p>
        </w:tc>
        <w:tc>
          <w:tcPr>
            <w:tcW w:w="6375" w:type="dxa"/>
            <w:noWrap w:val="0"/>
            <w:vAlign w:val="center"/>
          </w:tcPr>
          <w:p w14:paraId="303AA9A1">
            <w:pPr>
              <w:pageBreakBefore w:val="0"/>
              <w:kinsoku/>
              <w:overflowPunct/>
              <w:topLinePunct w:val="0"/>
              <w:bidi w:val="0"/>
              <w:spacing w:line="360" w:lineRule="auto"/>
              <w:jc w:val="center"/>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评审标准</w:t>
            </w:r>
          </w:p>
        </w:tc>
      </w:tr>
      <w:tr w14:paraId="71C1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noWrap w:val="0"/>
            <w:vAlign w:val="center"/>
          </w:tcPr>
          <w:p w14:paraId="71D3E5D5">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975" w:type="dxa"/>
            <w:vMerge w:val="restart"/>
            <w:noWrap w:val="0"/>
            <w:vAlign w:val="center"/>
          </w:tcPr>
          <w:p w14:paraId="057C8B5B">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有效性审查</w:t>
            </w:r>
          </w:p>
        </w:tc>
        <w:tc>
          <w:tcPr>
            <w:tcW w:w="2055" w:type="dxa"/>
            <w:noWrap w:val="0"/>
            <w:vAlign w:val="center"/>
          </w:tcPr>
          <w:p w14:paraId="37F5E211">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响应文件签署</w:t>
            </w:r>
          </w:p>
        </w:tc>
        <w:tc>
          <w:tcPr>
            <w:tcW w:w="6375" w:type="dxa"/>
            <w:noWrap w:val="0"/>
            <w:vAlign w:val="center"/>
          </w:tcPr>
          <w:p w14:paraId="32B25A3F">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sz w:val="21"/>
                <w:szCs w:val="21"/>
              </w:rPr>
              <w:t>响应文件上法定代表人或其授权代表人的签字齐全，响应文件的签字、盖章符合竞采文件要求。</w:t>
            </w:r>
          </w:p>
        </w:tc>
      </w:tr>
      <w:tr w14:paraId="773E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675" w:type="dxa"/>
            <w:vMerge w:val="continue"/>
            <w:noWrap w:val="0"/>
            <w:vAlign w:val="center"/>
          </w:tcPr>
          <w:p w14:paraId="75B7F675">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56337254">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0C9560A8">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6375" w:type="dxa"/>
            <w:noWrap w:val="0"/>
            <w:vAlign w:val="center"/>
          </w:tcPr>
          <w:p w14:paraId="75B3A5BB">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法定代表人身份证明及授权委托书有效，符合竞采文件规定的格式，签字或盖章齐全。</w:t>
            </w:r>
          </w:p>
        </w:tc>
      </w:tr>
      <w:tr w14:paraId="4510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noWrap w:val="0"/>
            <w:vAlign w:val="center"/>
          </w:tcPr>
          <w:p w14:paraId="66714D0C">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1E89E7AF">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3D0C3355">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6375" w:type="dxa"/>
            <w:noWrap w:val="0"/>
            <w:vAlign w:val="center"/>
          </w:tcPr>
          <w:p w14:paraId="2EAEB035">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sz w:val="21"/>
                <w:szCs w:val="21"/>
                <w:lang w:val="zh-CN"/>
              </w:rPr>
              <w:t>每个分包只能有一个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02CA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noWrap w:val="0"/>
            <w:vAlign w:val="center"/>
          </w:tcPr>
          <w:p w14:paraId="08A6A13B">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20EB9C94">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1CA15CAB">
            <w:pPr>
              <w:pageBreakBefore w:val="0"/>
              <w:kinsoku/>
              <w:overflowPunct/>
              <w:topLinePunct w:val="0"/>
              <w:bidi w:val="0"/>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联合体</w:t>
            </w:r>
          </w:p>
        </w:tc>
        <w:tc>
          <w:tcPr>
            <w:tcW w:w="6375" w:type="dxa"/>
            <w:noWrap w:val="0"/>
            <w:vAlign w:val="center"/>
          </w:tcPr>
          <w:p w14:paraId="05516E5B">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本项目不接受联合体参与竞采。</w:t>
            </w:r>
          </w:p>
        </w:tc>
      </w:tr>
      <w:tr w14:paraId="709E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5" w:type="dxa"/>
            <w:vMerge w:val="restart"/>
            <w:noWrap w:val="0"/>
            <w:vAlign w:val="center"/>
          </w:tcPr>
          <w:p w14:paraId="1C18D93F">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975" w:type="dxa"/>
            <w:vMerge w:val="restart"/>
            <w:noWrap w:val="0"/>
            <w:vAlign w:val="center"/>
          </w:tcPr>
          <w:p w14:paraId="6DC0D538">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完整性审查</w:t>
            </w:r>
          </w:p>
        </w:tc>
        <w:tc>
          <w:tcPr>
            <w:tcW w:w="2055" w:type="dxa"/>
            <w:noWrap w:val="0"/>
            <w:vAlign w:val="center"/>
          </w:tcPr>
          <w:p w14:paraId="749281A3">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6375" w:type="dxa"/>
            <w:noWrap w:val="0"/>
            <w:vAlign w:val="center"/>
          </w:tcPr>
          <w:p w14:paraId="15D77ADF">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文件符合竞采文件要求。</w:t>
            </w:r>
          </w:p>
        </w:tc>
      </w:tr>
      <w:tr w14:paraId="4DC4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5" w:type="dxa"/>
            <w:vMerge w:val="continue"/>
            <w:noWrap w:val="0"/>
            <w:vAlign w:val="center"/>
          </w:tcPr>
          <w:p w14:paraId="721398F9">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975" w:type="dxa"/>
            <w:vMerge w:val="continue"/>
            <w:noWrap w:val="0"/>
            <w:vAlign w:val="center"/>
          </w:tcPr>
          <w:p w14:paraId="7F2F8796">
            <w:pPr>
              <w:pageBreakBefore w:val="0"/>
              <w:kinsoku/>
              <w:overflowPunct/>
              <w:topLinePunct w:val="0"/>
              <w:bidi w:val="0"/>
              <w:spacing w:line="360" w:lineRule="auto"/>
              <w:jc w:val="center"/>
              <w:rPr>
                <w:rFonts w:hint="eastAsia" w:ascii="仿宋" w:hAnsi="仿宋" w:eastAsia="仿宋" w:cs="仿宋"/>
                <w:color w:val="auto"/>
                <w:kern w:val="0"/>
                <w:sz w:val="21"/>
                <w:szCs w:val="21"/>
              </w:rPr>
            </w:pPr>
          </w:p>
        </w:tc>
        <w:tc>
          <w:tcPr>
            <w:tcW w:w="2055" w:type="dxa"/>
            <w:noWrap w:val="0"/>
            <w:vAlign w:val="center"/>
          </w:tcPr>
          <w:p w14:paraId="0742DB34">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文件内容</w:t>
            </w:r>
          </w:p>
        </w:tc>
        <w:tc>
          <w:tcPr>
            <w:tcW w:w="6375" w:type="dxa"/>
            <w:noWrap w:val="0"/>
            <w:vAlign w:val="center"/>
          </w:tcPr>
          <w:p w14:paraId="32C5AD3D">
            <w:pPr>
              <w:pageBreakBefore w:val="0"/>
              <w:kinsoku/>
              <w:overflowPunct/>
              <w:topLinePunct w:val="0"/>
              <w:bidi w:val="0"/>
              <w:spacing w:line="360" w:lineRule="auto"/>
              <w:jc w:val="left"/>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文件内容齐全、无遗漏。</w:t>
            </w:r>
          </w:p>
        </w:tc>
      </w:tr>
      <w:tr w14:paraId="202A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restart"/>
            <w:noWrap w:val="0"/>
            <w:vAlign w:val="center"/>
          </w:tcPr>
          <w:p w14:paraId="18E674F0">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975" w:type="dxa"/>
            <w:vMerge w:val="restart"/>
            <w:noWrap w:val="0"/>
            <w:vAlign w:val="center"/>
          </w:tcPr>
          <w:p w14:paraId="18F41824">
            <w:pPr>
              <w:pageBreakBefore w:val="0"/>
              <w:kinsoku/>
              <w:overflowPunct/>
              <w:topLinePunct w:val="0"/>
              <w:bidi w:val="0"/>
              <w:spacing w:line="360" w:lineRule="auto"/>
              <w:jc w:val="center"/>
              <w:rPr>
                <w:rFonts w:hint="eastAsia" w:ascii="仿宋" w:hAnsi="仿宋" w:eastAsia="仿宋" w:cs="仿宋"/>
                <w:color w:val="auto"/>
                <w:sz w:val="21"/>
                <w:szCs w:val="21"/>
                <w:lang w:val="zh-CN"/>
              </w:rPr>
            </w:pPr>
            <w:r>
              <w:rPr>
                <w:rFonts w:hint="eastAsia" w:ascii="仿宋" w:hAnsi="仿宋" w:eastAsia="仿宋" w:cs="仿宋"/>
                <w:color w:val="auto"/>
                <w:kern w:val="0"/>
                <w:sz w:val="21"/>
                <w:szCs w:val="21"/>
              </w:rPr>
              <w:t>竞采文件的响应程度审查</w:t>
            </w:r>
          </w:p>
        </w:tc>
        <w:tc>
          <w:tcPr>
            <w:tcW w:w="2055" w:type="dxa"/>
            <w:noWrap w:val="0"/>
            <w:vAlign w:val="center"/>
          </w:tcPr>
          <w:p w14:paraId="0D92DFFD">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服务部分</w:t>
            </w:r>
          </w:p>
        </w:tc>
        <w:tc>
          <w:tcPr>
            <w:tcW w:w="6375" w:type="dxa"/>
            <w:noWrap w:val="0"/>
            <w:vAlign w:val="center"/>
          </w:tcPr>
          <w:p w14:paraId="03762B0F">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符合竞采文件要求。</w:t>
            </w:r>
          </w:p>
        </w:tc>
      </w:tr>
      <w:tr w14:paraId="7D0F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continue"/>
            <w:noWrap w:val="0"/>
            <w:vAlign w:val="center"/>
          </w:tcPr>
          <w:p w14:paraId="30818C0A">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975" w:type="dxa"/>
            <w:vMerge w:val="continue"/>
            <w:noWrap w:val="0"/>
            <w:vAlign w:val="center"/>
          </w:tcPr>
          <w:p w14:paraId="5CDB4FB7">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2055" w:type="dxa"/>
            <w:noWrap w:val="0"/>
            <w:vAlign w:val="center"/>
          </w:tcPr>
          <w:p w14:paraId="1A86BE00">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商务部分</w:t>
            </w:r>
          </w:p>
        </w:tc>
        <w:tc>
          <w:tcPr>
            <w:tcW w:w="6375" w:type="dxa"/>
            <w:noWrap w:val="0"/>
            <w:vAlign w:val="center"/>
          </w:tcPr>
          <w:p w14:paraId="727BC564">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符合竞采文件要求。</w:t>
            </w:r>
          </w:p>
        </w:tc>
      </w:tr>
      <w:tr w14:paraId="7105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continue"/>
            <w:noWrap w:val="0"/>
            <w:vAlign w:val="center"/>
          </w:tcPr>
          <w:p w14:paraId="08797C40">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975" w:type="dxa"/>
            <w:vMerge w:val="continue"/>
            <w:noWrap w:val="0"/>
            <w:vAlign w:val="center"/>
          </w:tcPr>
          <w:p w14:paraId="66C42DD5">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2055" w:type="dxa"/>
            <w:noWrap w:val="0"/>
            <w:vAlign w:val="center"/>
          </w:tcPr>
          <w:p w14:paraId="191D3E6B">
            <w:pPr>
              <w:pageBreakBefore w:val="0"/>
              <w:kinsoku/>
              <w:overflowPunct/>
              <w:topLinePunct w:val="0"/>
              <w:bidi w:val="0"/>
              <w:spacing w:line="360" w:lineRule="auto"/>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竞采有效期</w:t>
            </w:r>
          </w:p>
        </w:tc>
        <w:tc>
          <w:tcPr>
            <w:tcW w:w="6375" w:type="dxa"/>
            <w:noWrap w:val="0"/>
            <w:vAlign w:val="center"/>
          </w:tcPr>
          <w:p w14:paraId="4E5F7D6B">
            <w:pPr>
              <w:pageBreakBefore w:val="0"/>
              <w:kinsoku/>
              <w:overflowPunct/>
              <w:topLinePunct w:val="0"/>
              <w:bidi w:val="0"/>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lang w:val="zh-CN"/>
              </w:rPr>
              <w:t>响应文件及有关承诺文件有效期为提交响应文件截止</w:t>
            </w:r>
            <w:r>
              <w:rPr>
                <w:rFonts w:hint="eastAsia" w:ascii="仿宋" w:hAnsi="仿宋" w:eastAsia="仿宋" w:cs="仿宋"/>
                <w:color w:val="auto"/>
                <w:sz w:val="21"/>
                <w:szCs w:val="21"/>
              </w:rPr>
              <w:t>之日</w:t>
            </w:r>
            <w:r>
              <w:rPr>
                <w:rFonts w:hint="eastAsia" w:ascii="仿宋" w:hAnsi="仿宋" w:eastAsia="仿宋" w:cs="仿宋"/>
                <w:color w:val="auto"/>
                <w:sz w:val="21"/>
                <w:szCs w:val="21"/>
                <w:lang w:val="zh-CN"/>
              </w:rPr>
              <w:t>起90天。</w:t>
            </w:r>
          </w:p>
        </w:tc>
      </w:tr>
      <w:tr w14:paraId="1191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75" w:type="dxa"/>
            <w:vMerge w:val="continue"/>
            <w:noWrap w:val="0"/>
            <w:vAlign w:val="center"/>
          </w:tcPr>
          <w:p w14:paraId="3E0B8F05">
            <w:pPr>
              <w:pageBreakBefore w:val="0"/>
              <w:kinsoku/>
              <w:overflowPunct/>
              <w:topLinePunct w:val="0"/>
              <w:bidi w:val="0"/>
              <w:spacing w:line="360" w:lineRule="auto"/>
              <w:jc w:val="left"/>
              <w:rPr>
                <w:rFonts w:hint="eastAsia" w:ascii="仿宋" w:hAnsi="仿宋" w:eastAsia="仿宋" w:cs="仿宋"/>
                <w:color w:val="auto"/>
                <w:kern w:val="0"/>
                <w:sz w:val="21"/>
                <w:szCs w:val="21"/>
              </w:rPr>
            </w:pPr>
          </w:p>
        </w:tc>
        <w:tc>
          <w:tcPr>
            <w:tcW w:w="975" w:type="dxa"/>
            <w:vMerge w:val="continue"/>
            <w:noWrap w:val="0"/>
            <w:vAlign w:val="center"/>
          </w:tcPr>
          <w:p w14:paraId="6DF6107D">
            <w:pPr>
              <w:pageBreakBefore w:val="0"/>
              <w:kinsoku/>
              <w:overflowPunct/>
              <w:topLinePunct w:val="0"/>
              <w:bidi w:val="0"/>
              <w:spacing w:line="360" w:lineRule="auto"/>
              <w:jc w:val="left"/>
              <w:rPr>
                <w:rFonts w:hint="eastAsia" w:ascii="仿宋" w:hAnsi="仿宋" w:eastAsia="仿宋" w:cs="仿宋"/>
                <w:color w:val="auto"/>
                <w:sz w:val="21"/>
                <w:szCs w:val="21"/>
                <w:lang w:val="zh-CN"/>
              </w:rPr>
            </w:pPr>
          </w:p>
        </w:tc>
        <w:tc>
          <w:tcPr>
            <w:tcW w:w="2055" w:type="dxa"/>
            <w:noWrap w:val="0"/>
            <w:vAlign w:val="center"/>
          </w:tcPr>
          <w:p w14:paraId="1FECA523">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实质性内容响应</w:t>
            </w:r>
          </w:p>
        </w:tc>
        <w:tc>
          <w:tcPr>
            <w:tcW w:w="6375" w:type="dxa"/>
            <w:noWrap w:val="0"/>
            <w:vAlign w:val="center"/>
          </w:tcPr>
          <w:p w14:paraId="6D5FAAB3">
            <w:pPr>
              <w:pageBreakBefore w:val="0"/>
              <w:kinsoku/>
              <w:overflowPunct/>
              <w:topLinePunct w:val="0"/>
              <w:bidi w:val="0"/>
              <w:spacing w:line="360" w:lineRule="auto"/>
              <w:jc w:val="left"/>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符合竞采文件规定的其他实质性要求。</w:t>
            </w:r>
          </w:p>
        </w:tc>
      </w:tr>
    </w:tbl>
    <w:p w14:paraId="050188D5">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11D9E5">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w:t>
      </w:r>
    </w:p>
    <w:p w14:paraId="419C76E8">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（五）在竞采过程中竞采的任何一方不得向他人透露与竞采有关的服务资料、价格或其他信息。</w:t>
      </w:r>
    </w:p>
    <w:p w14:paraId="07DFDDDA">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（六）供应商在竞采时作出的所有书面承诺须由法定代表人或其授权代表签字。</w:t>
      </w:r>
    </w:p>
    <w:p w14:paraId="4A866AFF">
      <w:pPr>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七）评审小组采用综合评分法对提交报价的供应商的响应文件和报价进行综合评分。综合评分法，是指响应文件满足竞采文件全部实质性要求且按照评审因素的量化指标评审得分最高的供应商为成交候选供应商的评审方法。</w:t>
      </w:r>
    </w:p>
    <w:p w14:paraId="4657B8F2">
      <w:pPr>
        <w:pageBreakBefore w:val="0"/>
        <w:kinsoku/>
        <w:overflowPunct/>
        <w:topLinePunct w:val="0"/>
        <w:bidi w:val="0"/>
        <w:spacing w:line="360" w:lineRule="auto"/>
        <w:ind w:firstLine="480" w:firstLineChars="200"/>
        <w:jc w:val="left"/>
        <w:rPr>
          <w:rFonts w:hint="eastAsia"/>
          <w:color w:val="auto"/>
        </w:rPr>
      </w:pPr>
      <w:r>
        <w:rPr>
          <w:rFonts w:hint="eastAsia" w:ascii="仿宋" w:hAnsi="仿宋" w:eastAsia="仿宋" w:cs="仿宋"/>
          <w:color w:val="auto"/>
          <w:sz w:val="24"/>
          <w:szCs w:val="24"/>
        </w:rPr>
        <w:t>（八）评审小组各成员独立对每个有效响应（通过资格性检查、符合性检查的供应商）的文件进行评价、打分，然后汇总每个供应商每项评分因素的得分，并根据综合评分情况按照评审得分由高到低顺序推荐</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名成交候选供应商，并编写评审报告。若供应商的评审得分相同的，按照报价由低到高的顺序排列推荐。评审得分且报价相同的，按照服务部分得分高低顺序排列推荐。以上都相同的，按采购人意见推荐。</w:t>
      </w:r>
    </w:p>
    <w:p w14:paraId="03805062">
      <w:pPr>
        <w:pageBreakBefore w:val="0"/>
        <w:kinsoku/>
        <w:overflowPunct/>
        <w:topLinePunct w:val="0"/>
        <w:bidi w:val="0"/>
        <w:spacing w:line="360" w:lineRule="auto"/>
        <w:ind w:firstLine="241" w:firstLineChars="100"/>
        <w:outlineLvl w:val="1"/>
        <w:rPr>
          <w:rFonts w:hint="eastAsia"/>
          <w:color w:val="auto"/>
        </w:rPr>
      </w:pPr>
      <w:r>
        <w:rPr>
          <w:rFonts w:hint="eastAsia" w:ascii="仿宋" w:hAnsi="仿宋" w:eastAsia="仿宋" w:cs="仿宋"/>
          <w:b/>
          <w:color w:val="auto"/>
          <w:sz w:val="24"/>
          <w:szCs w:val="24"/>
        </w:rPr>
        <w:t>评审标准</w:t>
      </w:r>
    </w:p>
    <w:tbl>
      <w:tblPr>
        <w:tblStyle w:val="22"/>
        <w:tblW w:w="10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78"/>
        <w:gridCol w:w="867"/>
        <w:gridCol w:w="5950"/>
        <w:gridCol w:w="1171"/>
      </w:tblGrid>
      <w:tr w14:paraId="5016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2FCE4EE">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1178" w:type="dxa"/>
            <w:noWrap w:val="0"/>
            <w:vAlign w:val="center"/>
          </w:tcPr>
          <w:p w14:paraId="31F1EFB7">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评分因素</w:t>
            </w:r>
          </w:p>
          <w:p w14:paraId="41CB874F">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及权重</w:t>
            </w:r>
          </w:p>
        </w:tc>
        <w:tc>
          <w:tcPr>
            <w:tcW w:w="867" w:type="dxa"/>
            <w:noWrap w:val="0"/>
            <w:vAlign w:val="center"/>
          </w:tcPr>
          <w:p w14:paraId="5BB39084">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分值</w:t>
            </w:r>
          </w:p>
        </w:tc>
        <w:tc>
          <w:tcPr>
            <w:tcW w:w="5950" w:type="dxa"/>
            <w:noWrap w:val="0"/>
            <w:vAlign w:val="center"/>
          </w:tcPr>
          <w:p w14:paraId="65418E19">
            <w:pPr>
              <w:pageBreakBefore w:val="0"/>
              <w:kinsoku/>
              <w:overflowPunct/>
              <w:topLinePunct w:val="0"/>
              <w:bidi w:val="0"/>
              <w:spacing w:line="360" w:lineRule="auto"/>
              <w:ind w:firstLine="28"/>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评分标准</w:t>
            </w:r>
          </w:p>
        </w:tc>
        <w:tc>
          <w:tcPr>
            <w:tcW w:w="1171" w:type="dxa"/>
            <w:noWrap w:val="0"/>
            <w:vAlign w:val="center"/>
          </w:tcPr>
          <w:p w14:paraId="33CFB280">
            <w:pPr>
              <w:pStyle w:val="33"/>
              <w:pageBreakBefore w:val="0"/>
              <w:kinsoku/>
              <w:overflowPunct/>
              <w:topLinePunct w:val="0"/>
              <w:bidi w:val="0"/>
              <w:spacing w:before="0" w:after="0"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说明</w:t>
            </w:r>
          </w:p>
        </w:tc>
      </w:tr>
      <w:tr w14:paraId="0C2E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noWrap w:val="0"/>
            <w:vAlign w:val="center"/>
          </w:tcPr>
          <w:p w14:paraId="535CA6DB">
            <w:pPr>
              <w:pageBreakBefore w:val="0"/>
              <w:kinsoku/>
              <w:overflowPunct/>
              <w:topLinePunct w:val="0"/>
              <w:bidi w:val="0"/>
              <w:spacing w:line="360" w:lineRule="auto"/>
              <w:ind w:firstLine="28"/>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p>
        </w:tc>
        <w:tc>
          <w:tcPr>
            <w:tcW w:w="1178" w:type="dxa"/>
            <w:vMerge w:val="restart"/>
            <w:noWrap w:val="0"/>
            <w:vAlign w:val="center"/>
          </w:tcPr>
          <w:p w14:paraId="68E2B333">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服务部分</w:t>
            </w:r>
          </w:p>
          <w:p w14:paraId="15101C01">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70</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w:t>
            </w:r>
          </w:p>
        </w:tc>
        <w:tc>
          <w:tcPr>
            <w:tcW w:w="867" w:type="dxa"/>
            <w:vMerge w:val="restart"/>
            <w:noWrap w:val="0"/>
            <w:vAlign w:val="center"/>
          </w:tcPr>
          <w:p w14:paraId="6382ADF4">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0</w:t>
            </w:r>
          </w:p>
        </w:tc>
        <w:tc>
          <w:tcPr>
            <w:tcW w:w="5950" w:type="dxa"/>
            <w:noWrap w:val="0"/>
            <w:vAlign w:val="center"/>
          </w:tcPr>
          <w:p w14:paraId="7912F219">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食材供货方案（</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700AFF16">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供应商根据本项目实际情况制定食材供货方案。评审小组根据方案的可行性、完整性、科学性、细化程度进行评标。本项最高得分</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6A52B267">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16</w:t>
            </w:r>
            <w:r>
              <w:rPr>
                <w:rFonts w:hint="eastAsia" w:ascii="仿宋" w:hAnsi="仿宋" w:eastAsia="仿宋" w:cs="仿宋"/>
                <w:color w:val="auto"/>
                <w:sz w:val="21"/>
                <w:szCs w:val="21"/>
              </w:rPr>
              <w:t>分；</w:t>
            </w:r>
          </w:p>
          <w:p w14:paraId="2F95BEA9">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34FABF37">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分；</w:t>
            </w:r>
          </w:p>
          <w:p w14:paraId="593A50F5">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分。</w:t>
            </w:r>
          </w:p>
        </w:tc>
        <w:tc>
          <w:tcPr>
            <w:tcW w:w="1171" w:type="dxa"/>
            <w:vMerge w:val="restart"/>
            <w:noWrap w:val="0"/>
            <w:vAlign w:val="center"/>
          </w:tcPr>
          <w:p w14:paraId="4BDB4BF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评审小组综合比较各供应商提供的方案，独立评审打分。服务部分得分以各评委的算术平均值为最后得分（不能整除的，保留两位小数）。</w:t>
            </w:r>
          </w:p>
          <w:p w14:paraId="2FA5FC0D">
            <w:pPr>
              <w:pageBreakBefore w:val="0"/>
              <w:kinsoku/>
              <w:overflowPunct/>
              <w:topLinePunct w:val="0"/>
              <w:bidi w:val="0"/>
              <w:spacing w:line="360" w:lineRule="auto"/>
              <w:rPr>
                <w:rFonts w:hint="eastAsia" w:ascii="仿宋" w:hAnsi="仿宋" w:eastAsia="仿宋" w:cs="仿宋"/>
                <w:color w:val="auto"/>
                <w:sz w:val="21"/>
                <w:szCs w:val="21"/>
              </w:rPr>
            </w:pPr>
          </w:p>
        </w:tc>
      </w:tr>
      <w:tr w14:paraId="12BF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1E71E411">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1178" w:type="dxa"/>
            <w:vMerge w:val="continue"/>
            <w:noWrap w:val="0"/>
            <w:vAlign w:val="center"/>
          </w:tcPr>
          <w:p w14:paraId="3A955240">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867" w:type="dxa"/>
            <w:vMerge w:val="continue"/>
            <w:noWrap w:val="0"/>
            <w:vAlign w:val="center"/>
          </w:tcPr>
          <w:p w14:paraId="172E8A23">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5950" w:type="dxa"/>
            <w:noWrap w:val="0"/>
            <w:vAlign w:val="center"/>
          </w:tcPr>
          <w:p w14:paraId="47666CD0">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配送服务方案（</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7223380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供应商根据本项目实际情况制定配送服务方案。评审小组根据方案的可行性、完整性、科学性、细化程度进行评标。本项最高得分</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5F722C9B">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58686032">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分；</w:t>
            </w:r>
          </w:p>
          <w:p w14:paraId="0FACBE25">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w:t>
            </w:r>
          </w:p>
          <w:p w14:paraId="47180116">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分。</w:t>
            </w:r>
          </w:p>
        </w:tc>
        <w:tc>
          <w:tcPr>
            <w:tcW w:w="1171" w:type="dxa"/>
            <w:vMerge w:val="continue"/>
            <w:noWrap w:val="0"/>
            <w:vAlign w:val="center"/>
          </w:tcPr>
          <w:p w14:paraId="520357BD">
            <w:pPr>
              <w:pageBreakBefore w:val="0"/>
              <w:kinsoku/>
              <w:overflowPunct/>
              <w:topLinePunct w:val="0"/>
              <w:bidi w:val="0"/>
              <w:spacing w:line="360" w:lineRule="auto"/>
              <w:ind w:firstLine="28"/>
              <w:jc w:val="left"/>
              <w:rPr>
                <w:rFonts w:hint="eastAsia" w:ascii="仿宋" w:hAnsi="仿宋" w:eastAsia="仿宋" w:cs="仿宋"/>
                <w:color w:val="auto"/>
                <w:sz w:val="21"/>
                <w:szCs w:val="21"/>
              </w:rPr>
            </w:pPr>
          </w:p>
        </w:tc>
      </w:tr>
      <w:tr w14:paraId="2DB1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02FE76E9">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1178" w:type="dxa"/>
            <w:vMerge w:val="continue"/>
            <w:noWrap w:val="0"/>
            <w:vAlign w:val="center"/>
          </w:tcPr>
          <w:p w14:paraId="698ADAB5">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867" w:type="dxa"/>
            <w:vMerge w:val="continue"/>
            <w:noWrap w:val="0"/>
            <w:vAlign w:val="center"/>
          </w:tcPr>
          <w:p w14:paraId="0A9BAF1E">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5950" w:type="dxa"/>
            <w:noWrap w:val="0"/>
            <w:vAlign w:val="center"/>
          </w:tcPr>
          <w:p w14:paraId="2CD0EE87">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食品安全管控方案（</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49697F7C">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供应商根据本项目实际情况制定食品质量安全管控方案。评审小组根据方案的可行性、完整性、科学性、细化程度进行评标。本项最高得分</w:t>
            </w:r>
            <w:r>
              <w:rPr>
                <w:rFonts w:hint="eastAsia" w:ascii="仿宋" w:hAnsi="仿宋" w:eastAsia="仿宋" w:cs="仿宋"/>
                <w:color w:val="auto"/>
                <w:sz w:val="21"/>
                <w:szCs w:val="21"/>
                <w:lang w:val="en-US" w:eastAsia="zh-CN"/>
              </w:rPr>
              <w:t>25</w:t>
            </w:r>
            <w:r>
              <w:rPr>
                <w:rFonts w:hint="eastAsia" w:ascii="仿宋" w:hAnsi="仿宋" w:eastAsia="仿宋" w:cs="仿宋"/>
                <w:color w:val="auto"/>
                <w:sz w:val="21"/>
                <w:szCs w:val="21"/>
              </w:rPr>
              <w:t>分。</w:t>
            </w:r>
          </w:p>
          <w:p w14:paraId="7AF37457">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分；</w:t>
            </w:r>
          </w:p>
          <w:p w14:paraId="1670C17C">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16</w:t>
            </w:r>
            <w:r>
              <w:rPr>
                <w:rFonts w:hint="eastAsia" w:ascii="仿宋" w:hAnsi="仿宋" w:eastAsia="仿宋" w:cs="仿宋"/>
                <w:color w:val="auto"/>
                <w:sz w:val="21"/>
                <w:szCs w:val="21"/>
              </w:rPr>
              <w:t>分；</w:t>
            </w:r>
          </w:p>
          <w:p w14:paraId="5D54F816">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4765362C">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w:t>
            </w:r>
          </w:p>
        </w:tc>
        <w:tc>
          <w:tcPr>
            <w:tcW w:w="1171" w:type="dxa"/>
            <w:vMerge w:val="continue"/>
            <w:noWrap w:val="0"/>
            <w:vAlign w:val="center"/>
          </w:tcPr>
          <w:p w14:paraId="0802F76D">
            <w:pPr>
              <w:pageBreakBefore w:val="0"/>
              <w:kinsoku/>
              <w:overflowPunct/>
              <w:topLinePunct w:val="0"/>
              <w:bidi w:val="0"/>
              <w:spacing w:line="360" w:lineRule="auto"/>
              <w:ind w:firstLine="28"/>
              <w:jc w:val="left"/>
              <w:rPr>
                <w:rFonts w:hint="eastAsia" w:ascii="仿宋" w:hAnsi="仿宋" w:eastAsia="仿宋" w:cs="仿宋"/>
                <w:color w:val="auto"/>
                <w:sz w:val="21"/>
                <w:szCs w:val="21"/>
              </w:rPr>
            </w:pPr>
          </w:p>
        </w:tc>
      </w:tr>
      <w:tr w14:paraId="0585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center"/>
          </w:tcPr>
          <w:p w14:paraId="47A2DE8D">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1178" w:type="dxa"/>
            <w:vMerge w:val="continue"/>
            <w:noWrap w:val="0"/>
            <w:vAlign w:val="center"/>
          </w:tcPr>
          <w:p w14:paraId="591C4C6F">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867" w:type="dxa"/>
            <w:vMerge w:val="continue"/>
            <w:noWrap w:val="0"/>
            <w:vAlign w:val="center"/>
          </w:tcPr>
          <w:p w14:paraId="6B66DA9F">
            <w:pPr>
              <w:pageBreakBefore w:val="0"/>
              <w:kinsoku/>
              <w:overflowPunct/>
              <w:topLinePunct w:val="0"/>
              <w:bidi w:val="0"/>
              <w:spacing w:line="360" w:lineRule="auto"/>
              <w:ind w:firstLine="28"/>
              <w:jc w:val="center"/>
              <w:rPr>
                <w:rFonts w:hint="eastAsia" w:ascii="仿宋" w:hAnsi="仿宋" w:eastAsia="仿宋" w:cs="仿宋"/>
                <w:color w:val="auto"/>
                <w:sz w:val="21"/>
                <w:szCs w:val="21"/>
              </w:rPr>
            </w:pPr>
          </w:p>
        </w:tc>
        <w:tc>
          <w:tcPr>
            <w:tcW w:w="5950" w:type="dxa"/>
            <w:noWrap w:val="0"/>
            <w:vAlign w:val="center"/>
          </w:tcPr>
          <w:p w14:paraId="595AEF4D">
            <w:pPr>
              <w:pageBreakBefore w:val="0"/>
              <w:kinsoku/>
              <w:overflowPunct/>
              <w:topLinePunct w:val="0"/>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应急方案（</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2102081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供应商根据本项目实际情况制定应急方案。评审小组根据方案的可行性、完整性、科学性、细化程度进行评标。本项最高得分</w:t>
            </w: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分。</w:t>
            </w:r>
          </w:p>
          <w:p w14:paraId="13EEA810">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方案最为可行、完整、科学且细化程度高的，得</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分；</w:t>
            </w:r>
          </w:p>
          <w:p w14:paraId="6E453504">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方案可行，细化程度高，较为完整、科学的，得</w:t>
            </w: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分；</w:t>
            </w:r>
          </w:p>
          <w:p w14:paraId="5D512DB2">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方案较为可行、细化程度不高，较为完整、科学的，得</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分；</w:t>
            </w:r>
          </w:p>
          <w:p w14:paraId="19B82662">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t>方案可行性不强、完整性差、科学性和细化程度不高的，得</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分。</w:t>
            </w:r>
          </w:p>
        </w:tc>
        <w:tc>
          <w:tcPr>
            <w:tcW w:w="1171" w:type="dxa"/>
            <w:vMerge w:val="continue"/>
            <w:noWrap w:val="0"/>
            <w:vAlign w:val="center"/>
          </w:tcPr>
          <w:p w14:paraId="732C138C">
            <w:pPr>
              <w:pageBreakBefore w:val="0"/>
              <w:kinsoku/>
              <w:overflowPunct/>
              <w:topLinePunct w:val="0"/>
              <w:bidi w:val="0"/>
              <w:spacing w:line="360" w:lineRule="auto"/>
              <w:rPr>
                <w:rFonts w:hint="eastAsia" w:ascii="仿宋" w:hAnsi="仿宋" w:eastAsia="仿宋" w:cs="仿宋"/>
                <w:color w:val="auto"/>
                <w:sz w:val="21"/>
                <w:szCs w:val="21"/>
              </w:rPr>
            </w:pPr>
          </w:p>
        </w:tc>
      </w:tr>
      <w:tr w14:paraId="68E3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5FD958">
            <w:pPr>
              <w:pageBreakBefore w:val="0"/>
              <w:kinsoku/>
              <w:overflowPunct/>
              <w:topLinePunct w:val="0"/>
              <w:bidi w:val="0"/>
              <w:spacing w:line="360" w:lineRule="auto"/>
              <w:ind w:firstLine="28"/>
              <w:jc w:val="center"/>
              <w:rPr>
                <w:rFonts w:hint="eastAsia" w:ascii="仿宋" w:hAnsi="仿宋" w:eastAsia="仿宋" w:cs="仿宋"/>
                <w:color w:val="auto"/>
                <w:sz w:val="21"/>
                <w:szCs w:val="21"/>
                <w:highlight w:val="none"/>
                <w:lang w:val="en-US" w:eastAsia="zh-CN"/>
              </w:rPr>
            </w:pPr>
            <w:bookmarkStart w:id="62" w:name="_Toc12526"/>
            <w:bookmarkStart w:id="63" w:name="_Toc16674"/>
            <w:bookmarkStart w:id="64" w:name="_Toc19655"/>
            <w:bookmarkStart w:id="65" w:name="_Toc9669"/>
            <w:bookmarkStart w:id="66" w:name="_Toc25355"/>
            <w:r>
              <w:rPr>
                <w:rFonts w:hint="eastAsia" w:ascii="仿宋" w:hAnsi="仿宋" w:eastAsia="仿宋" w:cs="仿宋"/>
                <w:color w:val="auto"/>
                <w:sz w:val="21"/>
                <w:szCs w:val="21"/>
                <w:highlight w:val="none"/>
                <w:lang w:val="en-US" w:eastAsia="zh-CN"/>
              </w:rPr>
              <w:t>2、</w:t>
            </w:r>
          </w:p>
        </w:tc>
        <w:tc>
          <w:tcPr>
            <w:tcW w:w="1178" w:type="dxa"/>
            <w:noWrap w:val="0"/>
            <w:vAlign w:val="center"/>
          </w:tcPr>
          <w:p w14:paraId="585F9B6E">
            <w:pPr>
              <w:pageBreakBefore w:val="0"/>
              <w:kinsoku/>
              <w:overflowPunct/>
              <w:topLinePunct w:val="0"/>
              <w:bidi w:val="0"/>
              <w:spacing w:line="360" w:lineRule="auto"/>
              <w:ind w:firstLine="28"/>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技术实力（</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eastAsia="zh-CN"/>
              </w:rPr>
              <w:t>）</w:t>
            </w:r>
          </w:p>
        </w:tc>
        <w:tc>
          <w:tcPr>
            <w:tcW w:w="867" w:type="dxa"/>
            <w:noWrap w:val="0"/>
            <w:vAlign w:val="center"/>
          </w:tcPr>
          <w:p w14:paraId="11454030">
            <w:pPr>
              <w:pageBreakBefore w:val="0"/>
              <w:kinsoku/>
              <w:overflowPunct/>
              <w:topLinePunct w:val="0"/>
              <w:bidi w:val="0"/>
              <w:spacing w:line="360" w:lineRule="auto"/>
              <w:ind w:firstLine="2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5950" w:type="dxa"/>
            <w:noWrap w:val="0"/>
            <w:vAlign w:val="center"/>
          </w:tcPr>
          <w:p w14:paraId="377D84A8">
            <w:pPr>
              <w:pageBreakBefore w:val="0"/>
              <w:kinsoku/>
              <w:overflowPunct/>
              <w:topLinePunct w:val="0"/>
              <w:bidi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供应商响应文件递交响应文件当天，供应商配置的服务人员中须不少于</w:t>
            </w:r>
            <w:r>
              <w:rPr>
                <w:rFonts w:hint="eastAsia" w:ascii="仿宋" w:hAnsi="仿宋" w:eastAsia="仿宋" w:cs="仿宋"/>
                <w:color w:val="auto"/>
                <w:sz w:val="21"/>
                <w:szCs w:val="21"/>
                <w:highlight w:val="none"/>
                <w:lang w:val="en-US" w:eastAsia="zh-CN"/>
              </w:rPr>
              <w:t>2名（厨师必须到场）随行到场进行试菜，采购人配备统一食材原料（具体食材以采购人食堂当天采购食材为准），由各供应商随行的本项目服务人员进行加工烹饪荤菜一份（主食材统一，其他辅助食材由各供应商在当天采购食材自行选择，加工烹饪总时长不超过20分钟）。由采购人在院内职工中随机抽取的5名职工（与供应商或厨师有亲属、亲戚关系的回避）共同进行试菜，从刀工、色、香、味4</w:t>
            </w:r>
            <w:bookmarkStart w:id="125" w:name="_GoBack"/>
            <w:r>
              <w:rPr>
                <w:rFonts w:hint="eastAsia" w:ascii="仿宋" w:hAnsi="仿宋" w:eastAsia="仿宋" w:cs="仿宋"/>
                <w:color w:val="auto"/>
                <w:sz w:val="21"/>
                <w:szCs w:val="21"/>
                <w:highlight w:val="none"/>
                <w:lang w:val="en-US" w:eastAsia="zh-CN"/>
              </w:rPr>
              <w:t>个</w:t>
            </w:r>
            <w:bookmarkEnd w:id="125"/>
            <w:r>
              <w:rPr>
                <w:rFonts w:hint="eastAsia" w:ascii="仿宋" w:hAnsi="仿宋" w:eastAsia="仿宋" w:cs="仿宋"/>
                <w:color w:val="auto"/>
                <w:sz w:val="21"/>
                <w:szCs w:val="21"/>
                <w:highlight w:val="none"/>
                <w:lang w:val="en-US" w:eastAsia="zh-CN"/>
              </w:rPr>
              <w:t>方面进行横向对比评分：</w:t>
            </w:r>
          </w:p>
          <w:p w14:paraId="753C3E2F">
            <w:pPr>
              <w:pageBreakBefore w:val="0"/>
              <w:numPr>
                <w:ilvl w:val="0"/>
                <w:numId w:val="6"/>
              </w:numPr>
              <w:kinsoku/>
              <w:overflowPunct/>
              <w:topLinePunct w:val="0"/>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刀工：</w:t>
            </w:r>
            <w:r>
              <w:rPr>
                <w:rFonts w:hint="eastAsia" w:ascii="仿宋" w:hAnsi="仿宋" w:eastAsia="仿宋" w:cs="仿宋"/>
                <w:color w:val="auto"/>
                <w:sz w:val="21"/>
                <w:szCs w:val="21"/>
                <w:lang w:val="en-US" w:eastAsia="zh-CN"/>
              </w:rPr>
              <w:t>在0-6分内根据食材大小、厚薄、长短、粗细是否均匀进行横向对比评分；</w:t>
            </w:r>
          </w:p>
          <w:p w14:paraId="54B6E8C5">
            <w:pPr>
              <w:pageBreakBefore w:val="0"/>
              <w:numPr>
                <w:ilvl w:val="0"/>
                <w:numId w:val="6"/>
              </w:numPr>
              <w:kinsoku/>
              <w:overflowPunct/>
              <w:topLinePunct w:val="0"/>
              <w:bidi w:val="0"/>
              <w:spacing w:line="36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色：在0-8分内根据菜品色泽搭配是否自然、悦目、和谐、协调进行横向对比评分；</w:t>
            </w:r>
          </w:p>
          <w:p w14:paraId="290FFBB7">
            <w:pPr>
              <w:pageBreakBefore w:val="0"/>
              <w:numPr>
                <w:ilvl w:val="0"/>
                <w:numId w:val="6"/>
              </w:numPr>
              <w:kinsoku/>
              <w:overflowPunct/>
              <w:topLinePunct w:val="0"/>
              <w:bidi w:val="0"/>
              <w:spacing w:line="36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香：在0-8分内根据菜品香气谁更能引起食欲进行横向对比评分；</w:t>
            </w:r>
          </w:p>
          <w:p w14:paraId="04D0ECC1">
            <w:pPr>
              <w:pageBreakBefore w:val="0"/>
              <w:numPr>
                <w:ilvl w:val="0"/>
                <w:numId w:val="6"/>
              </w:numPr>
              <w:kinsoku/>
              <w:overflowPunct/>
              <w:topLinePunct w:val="0"/>
              <w:bidi w:val="0"/>
              <w:spacing w:line="36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味：</w:t>
            </w:r>
            <w:r>
              <w:rPr>
                <w:rFonts w:hint="eastAsia" w:ascii="仿宋" w:hAnsi="仿宋" w:eastAsia="仿宋" w:cs="仿宋"/>
                <w:color w:val="auto"/>
                <w:sz w:val="21"/>
                <w:szCs w:val="21"/>
                <w:lang w:val="en-US" w:eastAsia="zh-CN"/>
              </w:rPr>
              <w:t>在0-8分内根据菜品滋味咸淡适中，或清新爽口，或醇厚柔和，无异味，火候运用得当，菜肴质地鲜明，口感适中，老嫩软脆适宜等方面进行横向对比评分。</w:t>
            </w:r>
          </w:p>
        </w:tc>
        <w:tc>
          <w:tcPr>
            <w:tcW w:w="1171" w:type="dxa"/>
            <w:noWrap w:val="0"/>
            <w:vAlign w:val="center"/>
          </w:tcPr>
          <w:p w14:paraId="4551CE70">
            <w:pPr>
              <w:pageBreakBefore w:val="0"/>
              <w:kinsoku/>
              <w:overflowPunct/>
              <w:topLinePunct w:val="0"/>
              <w:bidi w:val="0"/>
              <w:spacing w:line="36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所有试菜人对同一供应商评分总分中去掉一个最高和一个最低总分后的算术平均值即为该供应商的技术实力得分。</w:t>
            </w:r>
          </w:p>
        </w:tc>
      </w:tr>
    </w:tbl>
    <w:p w14:paraId="5261FE28">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p>
    <w:p w14:paraId="44884CF7">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附评分表：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3812"/>
        <w:gridCol w:w="1175"/>
      </w:tblGrid>
      <w:tr w14:paraId="6508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9" w:type="dxa"/>
            <w:vMerge w:val="restart"/>
          </w:tcPr>
          <w:p w14:paraId="466D7DEF">
            <w:pPr>
              <w:pStyle w:val="16"/>
              <w:pageBreakBefore w:val="0"/>
              <w:tabs>
                <w:tab w:val="right" w:leader="dot" w:pos="9120"/>
              </w:tabs>
              <w:kinsoku/>
              <w:overflowPunct/>
              <w:topLinePunct w:val="0"/>
              <w:bidi w:val="0"/>
              <w:spacing w:line="360" w:lineRule="auto"/>
              <w:jc w:val="center"/>
              <w:outlineLvl w:val="0"/>
              <w:rPr>
                <w:rFonts w:hint="eastAsia" w:ascii="仿宋" w:hAnsi="仿宋" w:eastAsia="仿宋" w:cs="仿宋"/>
                <w:b/>
                <w:color w:val="auto"/>
                <w:kern w:val="0"/>
                <w:sz w:val="24"/>
                <w:szCs w:val="24"/>
                <w:vertAlign w:val="baseline"/>
                <w:lang w:val="en-US" w:eastAsia="zh-CN" w:bidi="ar-SA"/>
              </w:rPr>
            </w:pPr>
          </w:p>
          <w:p w14:paraId="47C9EED5">
            <w:pPr>
              <w:pStyle w:val="16"/>
              <w:pageBreakBefore w:val="0"/>
              <w:tabs>
                <w:tab w:val="right" w:leader="dot" w:pos="9120"/>
              </w:tabs>
              <w:kinsoku/>
              <w:overflowPunct/>
              <w:topLinePunct w:val="0"/>
              <w:bidi w:val="0"/>
              <w:spacing w:line="360" w:lineRule="auto"/>
              <w:jc w:val="center"/>
              <w:outlineLvl w:val="0"/>
              <w:rPr>
                <w:rFonts w:hint="eastAsia" w:ascii="仿宋" w:hAnsi="仿宋" w:eastAsia="仿宋" w:cs="仿宋"/>
                <w:b/>
                <w:color w:val="auto"/>
                <w:kern w:val="0"/>
                <w:sz w:val="24"/>
                <w:szCs w:val="24"/>
                <w:vertAlign w:val="baseline"/>
                <w:lang w:val="en-US" w:eastAsia="zh-CN" w:bidi="ar-SA"/>
              </w:rPr>
            </w:pPr>
          </w:p>
          <w:p w14:paraId="24969538">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服务部分</w:t>
            </w:r>
          </w:p>
        </w:tc>
        <w:tc>
          <w:tcPr>
            <w:tcW w:w="3812" w:type="dxa"/>
          </w:tcPr>
          <w:p w14:paraId="18469C3C">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p>
        </w:tc>
        <w:tc>
          <w:tcPr>
            <w:tcW w:w="1175" w:type="dxa"/>
          </w:tcPr>
          <w:p w14:paraId="3836092F">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得分</w:t>
            </w:r>
          </w:p>
        </w:tc>
      </w:tr>
      <w:tr w14:paraId="0F67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589BF650">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shd w:val="clear" w:color="auto" w:fill="auto"/>
            <w:vAlign w:val="top"/>
          </w:tcPr>
          <w:p w14:paraId="22EC7DF2">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食材供货方案（20分）</w:t>
            </w:r>
          </w:p>
        </w:tc>
        <w:tc>
          <w:tcPr>
            <w:tcW w:w="1175" w:type="dxa"/>
          </w:tcPr>
          <w:p w14:paraId="5D4D218A">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1FD6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257C2994">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55860148">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配送服务方案（20分）</w:t>
            </w:r>
          </w:p>
        </w:tc>
        <w:tc>
          <w:tcPr>
            <w:tcW w:w="1175" w:type="dxa"/>
          </w:tcPr>
          <w:p w14:paraId="291B3498">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15C0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3D8BE1A8">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43D72D53">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食品安全管控方案（15分）</w:t>
            </w:r>
          </w:p>
        </w:tc>
        <w:tc>
          <w:tcPr>
            <w:tcW w:w="1175" w:type="dxa"/>
          </w:tcPr>
          <w:p w14:paraId="7B147A7D">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721D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7FFAA172">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35C145D8">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应急方案（15分）</w:t>
            </w:r>
          </w:p>
        </w:tc>
        <w:tc>
          <w:tcPr>
            <w:tcW w:w="1175" w:type="dxa"/>
          </w:tcPr>
          <w:p w14:paraId="4F45D5B9">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2D62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restart"/>
          </w:tcPr>
          <w:p w14:paraId="3DFE269F">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p w14:paraId="6670CD5C">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p w14:paraId="45F759BF">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技术部分</w:t>
            </w:r>
          </w:p>
        </w:tc>
        <w:tc>
          <w:tcPr>
            <w:tcW w:w="3812" w:type="dxa"/>
          </w:tcPr>
          <w:p w14:paraId="404D3C02">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刀工（0-8分）</w:t>
            </w:r>
          </w:p>
        </w:tc>
        <w:tc>
          <w:tcPr>
            <w:tcW w:w="1175" w:type="dxa"/>
          </w:tcPr>
          <w:p w14:paraId="3EEC3050">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667C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649A754A">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4C73DC04">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色（0-8分）</w:t>
            </w:r>
          </w:p>
        </w:tc>
        <w:tc>
          <w:tcPr>
            <w:tcW w:w="1175" w:type="dxa"/>
          </w:tcPr>
          <w:p w14:paraId="37C251F3">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0B72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4F848BB7">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68CC346F">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香（0-8分）</w:t>
            </w:r>
          </w:p>
        </w:tc>
        <w:tc>
          <w:tcPr>
            <w:tcW w:w="1175" w:type="dxa"/>
          </w:tcPr>
          <w:p w14:paraId="62EB729E">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3CB5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Merge w:val="continue"/>
          </w:tcPr>
          <w:p w14:paraId="55328AC6">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c>
          <w:tcPr>
            <w:tcW w:w="3812" w:type="dxa"/>
          </w:tcPr>
          <w:p w14:paraId="57B84E60">
            <w:pPr>
              <w:pStyle w:val="16"/>
              <w:pageBreakBefore w:val="0"/>
              <w:tabs>
                <w:tab w:val="right" w:leader="dot" w:pos="9120"/>
              </w:tabs>
              <w:kinsoku/>
              <w:overflowPunct/>
              <w:topLinePunct w:val="0"/>
              <w:bidi w:val="0"/>
              <w:spacing w:line="360" w:lineRule="auto"/>
              <w:jc w:val="left"/>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味（0-8分）</w:t>
            </w:r>
          </w:p>
        </w:tc>
        <w:tc>
          <w:tcPr>
            <w:tcW w:w="1175" w:type="dxa"/>
          </w:tcPr>
          <w:p w14:paraId="784EE952">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r w14:paraId="6AC8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1" w:type="dxa"/>
            <w:gridSpan w:val="2"/>
          </w:tcPr>
          <w:p w14:paraId="31A9D210">
            <w:pPr>
              <w:pStyle w:val="16"/>
              <w:pageBreakBefore w:val="0"/>
              <w:tabs>
                <w:tab w:val="right" w:leader="dot" w:pos="9120"/>
              </w:tabs>
              <w:kinsoku/>
              <w:overflowPunct/>
              <w:topLinePunct w:val="0"/>
              <w:bidi w:val="0"/>
              <w:spacing w:line="360" w:lineRule="auto"/>
              <w:jc w:val="center"/>
              <w:outlineLvl w:val="0"/>
              <w:rPr>
                <w:rFonts w:hint="default" w:ascii="仿宋" w:hAnsi="仿宋" w:eastAsia="仿宋" w:cs="仿宋"/>
                <w:b/>
                <w:color w:val="auto"/>
                <w:kern w:val="0"/>
                <w:sz w:val="24"/>
                <w:szCs w:val="24"/>
                <w:vertAlign w:val="baseline"/>
                <w:lang w:val="en-US" w:eastAsia="zh-CN" w:bidi="ar-SA"/>
              </w:rPr>
            </w:pPr>
            <w:r>
              <w:rPr>
                <w:rFonts w:hint="eastAsia" w:ascii="仿宋" w:hAnsi="仿宋" w:eastAsia="仿宋" w:cs="仿宋"/>
                <w:b/>
                <w:color w:val="auto"/>
                <w:kern w:val="0"/>
                <w:sz w:val="24"/>
                <w:szCs w:val="24"/>
                <w:vertAlign w:val="baseline"/>
                <w:lang w:val="en-US" w:eastAsia="zh-CN" w:bidi="ar-SA"/>
              </w:rPr>
              <w:t>总分</w:t>
            </w:r>
          </w:p>
        </w:tc>
        <w:tc>
          <w:tcPr>
            <w:tcW w:w="1175" w:type="dxa"/>
          </w:tcPr>
          <w:p w14:paraId="09AA6AF9">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vertAlign w:val="baseline"/>
                <w:lang w:val="en-US" w:eastAsia="zh-CN" w:bidi="ar-SA"/>
              </w:rPr>
            </w:pPr>
          </w:p>
        </w:tc>
      </w:tr>
    </w:tbl>
    <w:p w14:paraId="1AE381DF">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r>
        <w:rPr>
          <w:rFonts w:hint="eastAsia" w:ascii="仿宋" w:hAnsi="仿宋" w:eastAsia="仿宋" w:cs="仿宋"/>
          <w:b/>
          <w:color w:val="auto"/>
          <w:kern w:val="0"/>
          <w:sz w:val="24"/>
          <w:szCs w:val="24"/>
          <w:lang w:val="en-US" w:eastAsia="zh-CN" w:bidi="ar-SA"/>
        </w:rPr>
        <w:t>十、</w:t>
      </w:r>
      <w:bookmarkEnd w:id="62"/>
      <w:bookmarkEnd w:id="63"/>
      <w:r>
        <w:rPr>
          <w:rFonts w:hint="eastAsia" w:ascii="仿宋" w:hAnsi="仿宋" w:eastAsia="仿宋" w:cs="仿宋"/>
          <w:b/>
          <w:color w:val="auto"/>
          <w:kern w:val="0"/>
          <w:sz w:val="24"/>
          <w:szCs w:val="24"/>
          <w:lang w:val="en-US" w:eastAsia="zh-CN" w:bidi="ar-SA"/>
        </w:rPr>
        <w:t>供应商提交响应文件</w:t>
      </w:r>
      <w:bookmarkEnd w:id="64"/>
      <w:bookmarkEnd w:id="65"/>
      <w:bookmarkEnd w:id="66"/>
    </w:p>
    <w:p w14:paraId="23F69B9B">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r>
        <w:rPr>
          <w:rFonts w:hint="eastAsia" w:ascii="仿宋" w:hAnsi="仿宋" w:eastAsia="仿宋" w:cs="仿宋"/>
          <w:color w:val="000000"/>
          <w:sz w:val="24"/>
          <w:szCs w:val="24"/>
          <w:lang w:val="en-US" w:eastAsia="zh-CN"/>
        </w:rPr>
        <w:t>响应文件递交截止时间：</w:t>
      </w:r>
      <w:r>
        <w:rPr>
          <w:rFonts w:hint="eastAsia" w:ascii="仿宋" w:hAnsi="仿宋" w:eastAsia="仿宋" w:cs="仿宋"/>
          <w:color w:val="FF0000"/>
          <w:sz w:val="24"/>
          <w:szCs w:val="24"/>
          <w:lang w:val="en-US" w:eastAsia="zh-CN"/>
        </w:rPr>
        <w:t>2025年10月31日9</w:t>
      </w:r>
      <w:r>
        <w:rPr>
          <w:rFonts w:hint="default" w:ascii="仿宋" w:hAnsi="仿宋" w:eastAsia="仿宋" w:cs="仿宋"/>
          <w:color w:val="FF0000"/>
          <w:sz w:val="24"/>
          <w:szCs w:val="24"/>
          <w:lang w:val="en-US" w:eastAsia="zh-CN"/>
        </w:rPr>
        <w:t>:00-9</w:t>
      </w:r>
      <w:r>
        <w:rPr>
          <w:rFonts w:hint="eastAsia" w:ascii="仿宋" w:hAnsi="仿宋" w:eastAsia="仿宋" w:cs="仿宋"/>
          <w:color w:val="FF0000"/>
          <w:sz w:val="24"/>
          <w:szCs w:val="24"/>
          <w:lang w:val="en-US" w:eastAsia="zh-CN"/>
        </w:rPr>
        <w:t>:</w:t>
      </w:r>
      <w:r>
        <w:rPr>
          <w:rFonts w:hint="default" w:ascii="仿宋" w:hAnsi="仿宋" w:eastAsia="仿宋" w:cs="仿宋"/>
          <w:color w:val="FF0000"/>
          <w:sz w:val="24"/>
          <w:szCs w:val="24"/>
          <w:lang w:val="en-US" w:eastAsia="zh-CN"/>
        </w:rPr>
        <w:t>3</w:t>
      </w:r>
      <w:r>
        <w:rPr>
          <w:rFonts w:hint="eastAsia" w:ascii="仿宋" w:hAnsi="仿宋" w:eastAsia="仿宋" w:cs="仿宋"/>
          <w:color w:val="FF0000"/>
          <w:sz w:val="24"/>
          <w:szCs w:val="24"/>
          <w:lang w:val="en-US" w:eastAsia="zh-CN"/>
        </w:rPr>
        <w:t>0</w:t>
      </w:r>
    </w:p>
    <w:p w14:paraId="0F5D3B96">
      <w:pPr>
        <w:keepNext w:val="0"/>
        <w:keepLines w:val="0"/>
        <w:widowControl w:val="0"/>
        <w:suppressLineNumbers w:val="0"/>
        <w:spacing w:before="0" w:beforeAutospacing="0" w:after="0" w:afterAutospacing="0" w:line="360" w:lineRule="auto"/>
        <w:ind w:left="0" w:right="0" w:firstLine="480" w:firstLineChars="200"/>
        <w:jc w:val="both"/>
        <w:rPr>
          <w:rFonts w:hint="default"/>
          <w:lang w:val="en-US" w:eastAsia="zh-CN"/>
        </w:rPr>
      </w:pPr>
      <w:r>
        <w:rPr>
          <w:rFonts w:hint="eastAsia" w:ascii="仿宋" w:hAnsi="仿宋" w:eastAsia="仿宋" w:cs="仿宋"/>
          <w:b w:val="0"/>
          <w:color w:val="auto"/>
          <w:kern w:val="2"/>
          <w:sz w:val="24"/>
          <w:szCs w:val="24"/>
          <w:lang w:val="en-US" w:eastAsia="zh-CN" w:bidi="ar-SA"/>
        </w:rPr>
        <w:t>2.</w:t>
      </w:r>
      <w:r>
        <w:rPr>
          <w:rFonts w:hint="eastAsia" w:ascii="仿宋" w:hAnsi="仿宋" w:eastAsia="仿宋" w:cs="仿宋"/>
          <w:color w:val="000000"/>
          <w:sz w:val="24"/>
          <w:szCs w:val="24"/>
          <w:lang w:val="en-US" w:eastAsia="zh-CN"/>
        </w:rPr>
        <w:t>响应文件递交地址：</w:t>
      </w:r>
      <w:r>
        <w:rPr>
          <w:rFonts w:hint="eastAsia" w:ascii="仿宋" w:hAnsi="仿宋" w:eastAsia="仿宋" w:cs="仿宋"/>
          <w:kern w:val="2"/>
          <w:sz w:val="24"/>
          <w:szCs w:val="24"/>
          <w:lang w:val="en-US" w:eastAsia="zh-CN" w:bidi="ar"/>
        </w:rPr>
        <w:t>垫江县澄溪镇卫生院9楼党建会议室</w:t>
      </w:r>
    </w:p>
    <w:p w14:paraId="768B9A27">
      <w:pPr>
        <w:pageBreakBefore w:val="0"/>
        <w:kinsoku/>
        <w:wordWrap w:val="0"/>
        <w:overflowPunct/>
        <w:topLinePunct w:val="0"/>
        <w:bidi w:val="0"/>
        <w:spacing w:line="360" w:lineRule="auto"/>
        <w:ind w:firstLine="480" w:firstLineChars="200"/>
        <w:textAlignment w:val="auto"/>
        <w:rPr>
          <w:rFonts w:hint="eastAsia"/>
          <w:color w:val="auto"/>
        </w:rPr>
      </w:pPr>
      <w:r>
        <w:rPr>
          <w:rFonts w:hint="eastAsia" w:ascii="仿宋" w:hAnsi="仿宋" w:eastAsia="仿宋" w:cs="仿宋"/>
          <w:b w:val="0"/>
          <w:color w:val="auto"/>
          <w:kern w:val="2"/>
          <w:sz w:val="24"/>
          <w:szCs w:val="24"/>
          <w:lang w:val="en-US" w:eastAsia="zh-CN" w:bidi="ar-SA"/>
        </w:rPr>
        <w:t>3.供应商制作需递交响应文件，须按照要求制作，规定签字、盖章的地方必须按其规定签字、盖章，未按要求制作响应文件的按无效投标处理。</w:t>
      </w:r>
    </w:p>
    <w:p w14:paraId="4F2F79D7">
      <w:pPr>
        <w:pStyle w:val="20"/>
        <w:pageBreakBefore w:val="0"/>
        <w:kinsoku/>
        <w:overflowPunct/>
        <w:topLinePunct w:val="0"/>
        <w:bidi w:val="0"/>
        <w:spacing w:line="360" w:lineRule="auto"/>
        <w:ind w:left="0" w:leftChars="0" w:firstLine="0" w:firstLineChars="0"/>
        <w:rPr>
          <w:rFonts w:hint="eastAsia" w:ascii="仿宋" w:hAnsi="仿宋" w:eastAsia="仿宋" w:cs="仿宋"/>
          <w:b/>
          <w:color w:val="auto"/>
          <w:kern w:val="0"/>
          <w:sz w:val="24"/>
          <w:szCs w:val="24"/>
          <w:lang w:val="en-US" w:eastAsia="zh-CN" w:bidi="ar-SA"/>
        </w:rPr>
      </w:pPr>
      <w:bookmarkStart w:id="67" w:name="_Toc11648"/>
      <w:bookmarkStart w:id="68" w:name="_Toc6121"/>
      <w:bookmarkStart w:id="69" w:name="_Toc13941"/>
      <w:bookmarkStart w:id="70" w:name="_Toc28797"/>
      <w:bookmarkStart w:id="71" w:name="_Toc16894"/>
      <w:r>
        <w:rPr>
          <w:rFonts w:hint="eastAsia" w:ascii="仿宋" w:hAnsi="仿宋" w:eastAsia="仿宋" w:cs="仿宋"/>
          <w:b/>
          <w:color w:val="auto"/>
          <w:kern w:val="0"/>
          <w:sz w:val="24"/>
          <w:szCs w:val="24"/>
          <w:lang w:val="en-US" w:eastAsia="zh-CN" w:bidi="ar-SA"/>
        </w:rPr>
        <w:t>十一、其他</w:t>
      </w:r>
      <w:bookmarkEnd w:id="67"/>
      <w:bookmarkEnd w:id="68"/>
      <w:bookmarkEnd w:id="69"/>
      <w:bookmarkEnd w:id="70"/>
      <w:bookmarkEnd w:id="71"/>
    </w:p>
    <w:p w14:paraId="05508813">
      <w:pPr>
        <w:pStyle w:val="20"/>
        <w:pageBreakBefore w:val="0"/>
        <w:kinsoku/>
        <w:overflowPunct/>
        <w:topLinePunct w:val="0"/>
        <w:bidi w:val="0"/>
        <w:spacing w:line="360" w:lineRule="auto"/>
        <w:rPr>
          <w:rFonts w:hint="eastAsia"/>
          <w:color w:val="auto"/>
          <w:lang w:val="en-US" w:eastAsia="zh-CN"/>
        </w:rPr>
      </w:pPr>
      <w:r>
        <w:rPr>
          <w:rFonts w:hint="eastAsia"/>
          <w:color w:val="auto"/>
          <w:lang w:val="en-US" w:eastAsia="zh-CN"/>
        </w:rPr>
        <w:t>1.其他未尽事宜由供需双方在采购合同中详细约定。</w:t>
      </w:r>
    </w:p>
    <w:p w14:paraId="535DED79">
      <w:pPr>
        <w:pStyle w:val="20"/>
        <w:pageBreakBefore w:val="0"/>
        <w:kinsoku/>
        <w:overflowPunct/>
        <w:topLinePunct w:val="0"/>
        <w:bidi w:val="0"/>
        <w:spacing w:line="360" w:lineRule="auto"/>
        <w:rPr>
          <w:rFonts w:hint="default"/>
          <w:lang w:val="en-US" w:eastAsia="zh-CN"/>
        </w:rPr>
      </w:pPr>
      <w:r>
        <w:rPr>
          <w:rFonts w:hint="eastAsia"/>
          <w:color w:val="auto"/>
          <w:lang w:val="en-US" w:eastAsia="zh-CN"/>
        </w:rPr>
        <w:t>2.中标供应商在服务期间厨师必须为递交响应文件当天试菜厨师，在服务过程中遇到不可抗力因素确需更换厨师，必须经得采购人同意方可更换。</w:t>
      </w:r>
      <w:r>
        <w:rPr>
          <w:rFonts w:hint="eastAsia"/>
          <w:lang w:val="en-US" w:eastAsia="zh-CN"/>
        </w:rPr>
        <w:t xml:space="preserve">  </w:t>
      </w:r>
    </w:p>
    <w:p w14:paraId="103B1DCF">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bookmarkStart w:id="72" w:name="_Toc9621"/>
      <w:bookmarkStart w:id="73" w:name="_Toc16629"/>
      <w:bookmarkStart w:id="74" w:name="_Toc13928"/>
      <w:bookmarkStart w:id="75" w:name="_Toc12801"/>
      <w:bookmarkStart w:id="76" w:name="_Toc5756"/>
      <w:bookmarkStart w:id="77" w:name="_Toc14845"/>
      <w:r>
        <w:rPr>
          <w:rFonts w:hint="eastAsia" w:ascii="仿宋" w:hAnsi="仿宋" w:eastAsia="仿宋" w:cs="仿宋"/>
          <w:b/>
          <w:color w:val="auto"/>
          <w:kern w:val="0"/>
          <w:sz w:val="24"/>
          <w:szCs w:val="24"/>
          <w:lang w:val="en-US" w:eastAsia="zh-CN" w:bidi="ar-SA"/>
        </w:rPr>
        <w:t>十二、无效响应</w:t>
      </w:r>
      <w:bookmarkEnd w:id="72"/>
      <w:bookmarkEnd w:id="73"/>
      <w:bookmarkEnd w:id="74"/>
      <w:bookmarkEnd w:id="75"/>
      <w:bookmarkEnd w:id="76"/>
      <w:bookmarkEnd w:id="77"/>
    </w:p>
    <w:p w14:paraId="075676AF">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供应商发生以下条款情况之一者，视为无效响应，其响应文件将被拒绝：</w:t>
      </w:r>
    </w:p>
    <w:p w14:paraId="668CFB7F">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供应商不符合规定的基本资格条件或特定资格条件的；</w:t>
      </w:r>
    </w:p>
    <w:p w14:paraId="4147876F">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供应商所提交的响应文件不按响应文件要求规定签字、盖章；</w:t>
      </w:r>
    </w:p>
    <w:p w14:paraId="51E9542E">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法定代表人为同一个人的两个及两个以上法人，母公司、全资子公司及其控股公司，在同一分包采购中同时参与投标；</w:t>
      </w:r>
    </w:p>
    <w:p w14:paraId="4886737A">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单位负责人为同一人或者存在直接控股、管理关系的不同供应商，参加同一合同项下的政府采购活动的；</w:t>
      </w:r>
    </w:p>
    <w:p w14:paraId="792D10FE">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为采购项目提供整体设计、规范编制或者项目管理、监理、检测等服务的供应商，再参加该采购项目的其他采购活动；</w:t>
      </w:r>
    </w:p>
    <w:p w14:paraId="374DEE4A">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供应商的服务期、质量保证期及投标有效期不满足采购文件要求的；</w:t>
      </w:r>
    </w:p>
    <w:p w14:paraId="272A3162">
      <w:pPr>
        <w:pageBreakBefore w:val="0"/>
        <w:numPr>
          <w:ilvl w:val="0"/>
          <w:numId w:val="7"/>
        </w:numPr>
        <w:kinsoku/>
        <w:wordWrap w:val="0"/>
        <w:overflowPunct/>
        <w:topLinePunct w:val="0"/>
        <w:bidi w:val="0"/>
        <w:spacing w:line="360" w:lineRule="auto"/>
        <w:ind w:left="0" w:leftChars="0" w:firstLine="420" w:firstLineChars="0"/>
        <w:textAlignment w:val="auto"/>
        <w:rPr>
          <w:rFonts w:hint="eastAsia" w:ascii="仿宋" w:hAnsi="仿宋" w:eastAsia="仿宋" w:cs="仿宋"/>
          <w:color w:val="auto"/>
          <w:lang w:val="en-US" w:eastAsia="zh-CN"/>
        </w:rPr>
      </w:pPr>
      <w:r>
        <w:rPr>
          <w:rFonts w:hint="eastAsia" w:ascii="仿宋" w:hAnsi="仿宋" w:eastAsia="仿宋" w:cs="仿宋"/>
          <w:b w:val="0"/>
          <w:color w:val="auto"/>
          <w:kern w:val="2"/>
          <w:sz w:val="24"/>
          <w:szCs w:val="24"/>
          <w:lang w:val="en-US" w:eastAsia="zh-CN" w:bidi="ar-SA"/>
        </w:rPr>
        <w:t>供应商响应文件内容有与国家现行法律法规相违背的内容，或附有采购人无法接受的条件。</w:t>
      </w:r>
    </w:p>
    <w:p w14:paraId="65FA133B">
      <w:pPr>
        <w:pStyle w:val="16"/>
        <w:pageBreakBefore w:val="0"/>
        <w:tabs>
          <w:tab w:val="right" w:leader="dot" w:pos="9120"/>
        </w:tabs>
        <w:kinsoku/>
        <w:overflowPunct/>
        <w:topLinePunct w:val="0"/>
        <w:bidi w:val="0"/>
        <w:spacing w:line="360" w:lineRule="auto"/>
        <w:jc w:val="left"/>
        <w:outlineLvl w:val="0"/>
        <w:rPr>
          <w:rFonts w:hint="eastAsia" w:ascii="仿宋" w:hAnsi="仿宋" w:eastAsia="仿宋" w:cs="仿宋"/>
          <w:b/>
          <w:color w:val="auto"/>
          <w:kern w:val="0"/>
          <w:sz w:val="24"/>
          <w:szCs w:val="24"/>
          <w:lang w:val="en-US" w:eastAsia="zh-CN" w:bidi="ar-SA"/>
        </w:rPr>
      </w:pPr>
      <w:bookmarkStart w:id="78" w:name="_Toc28296"/>
      <w:bookmarkStart w:id="79" w:name="_Toc14847"/>
      <w:bookmarkStart w:id="80" w:name="_Toc760"/>
      <w:r>
        <w:rPr>
          <w:rFonts w:hint="eastAsia" w:ascii="仿宋" w:hAnsi="仿宋" w:eastAsia="仿宋" w:cs="仿宋"/>
          <w:b/>
          <w:color w:val="auto"/>
          <w:kern w:val="0"/>
          <w:sz w:val="24"/>
          <w:szCs w:val="24"/>
          <w:lang w:val="en-US" w:eastAsia="zh-CN" w:bidi="ar-SA"/>
        </w:rPr>
        <w:t>十三、废标条款</w:t>
      </w:r>
      <w:bookmarkEnd w:id="78"/>
      <w:bookmarkEnd w:id="79"/>
      <w:bookmarkEnd w:id="80"/>
    </w:p>
    <w:p w14:paraId="45F9888D">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出现下列情形之一的，采购人或者采购代理机构应当终止竞采采购活动，发布项目终止公告并说明原因，重新开展采购活动：</w:t>
      </w:r>
    </w:p>
    <w:p w14:paraId="094D1B50">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　　1.因情况变化，不再符合规定的竞采采购方式适用情形的；</w:t>
      </w:r>
    </w:p>
    <w:p w14:paraId="2C7B41C6">
      <w:pPr>
        <w:pageBreakBefore w:val="0"/>
        <w:kinsoku/>
        <w:wordWrap w:val="0"/>
        <w:overflowPunct/>
        <w:topLinePunct w:val="0"/>
        <w:bidi w:val="0"/>
        <w:spacing w:line="360" w:lineRule="auto"/>
        <w:ind w:firstLine="480"/>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　　2.出现影响采购公正的违法、违规行为的；</w:t>
      </w:r>
    </w:p>
    <w:p w14:paraId="457E7B8B">
      <w:pPr>
        <w:pageBreakBefore w:val="0"/>
        <w:kinsoku/>
        <w:overflowPunct/>
        <w:topLinePunct w:val="0"/>
        <w:bidi w:val="0"/>
        <w:spacing w:line="360" w:lineRule="auto"/>
        <w:rPr>
          <w:rFonts w:hint="eastAsia"/>
          <w:color w:val="auto"/>
          <w:lang w:val="en-US" w:eastAsia="zh-CN"/>
        </w:rPr>
      </w:pPr>
      <w:r>
        <w:rPr>
          <w:rFonts w:hint="eastAsia" w:ascii="仿宋" w:hAnsi="仿宋" w:eastAsia="仿宋" w:cs="仿宋"/>
          <w:b w:val="0"/>
          <w:color w:val="auto"/>
          <w:kern w:val="2"/>
          <w:sz w:val="24"/>
          <w:szCs w:val="24"/>
          <w:lang w:val="en-US" w:eastAsia="zh-CN" w:bidi="ar-SA"/>
        </w:rPr>
        <w:t>　　    3.在采购过程中符合竞争要求的供应商不足3家的。</w:t>
      </w:r>
      <w:bookmarkEnd w:id="0"/>
      <w:bookmarkEnd w:id="1"/>
      <w:bookmarkEnd w:id="2"/>
      <w:bookmarkEnd w:id="3"/>
      <w:bookmarkEnd w:id="4"/>
      <w:bookmarkEnd w:id="15"/>
      <w:bookmarkEnd w:id="16"/>
    </w:p>
    <w:p w14:paraId="46A77DCE">
      <w:pPr>
        <w:rPr>
          <w:rFonts w:hint="eastAsia"/>
          <w:b/>
          <w:bCs/>
          <w:color w:val="auto"/>
          <w:lang w:val="en-US" w:eastAsia="zh-CN"/>
        </w:rPr>
      </w:pPr>
      <w:r>
        <w:rPr>
          <w:rFonts w:hint="eastAsia"/>
          <w:b/>
          <w:bCs/>
          <w:color w:val="auto"/>
          <w:lang w:val="en-US" w:eastAsia="zh-CN"/>
        </w:rPr>
        <w:br w:type="page"/>
      </w:r>
    </w:p>
    <w:p w14:paraId="350307DC">
      <w:pPr>
        <w:pStyle w:val="20"/>
        <w:pageBreakBefore w:val="0"/>
        <w:kinsoku/>
        <w:overflowPunct/>
        <w:topLinePunct w:val="0"/>
        <w:bidi w:val="0"/>
        <w:spacing w:line="360" w:lineRule="auto"/>
        <w:ind w:left="0" w:leftChars="0" w:firstLine="0" w:firstLineChars="0"/>
        <w:rPr>
          <w:rFonts w:hint="eastAsia"/>
          <w:b/>
          <w:bCs/>
          <w:color w:val="auto"/>
          <w:lang w:val="en-US" w:eastAsia="zh-CN"/>
        </w:rPr>
      </w:pPr>
      <w:r>
        <w:rPr>
          <w:rFonts w:hint="eastAsia"/>
          <w:b/>
          <w:bCs/>
          <w:color w:val="auto"/>
          <w:lang w:val="en-US" w:eastAsia="zh-CN"/>
        </w:rPr>
        <w:t>附件：响应文件格式</w:t>
      </w:r>
    </w:p>
    <w:p w14:paraId="2B20391A">
      <w:pPr>
        <w:pageBreakBefore w:val="0"/>
        <w:tabs>
          <w:tab w:val="left" w:pos="5955"/>
        </w:tabs>
        <w:kinsoku/>
        <w:overflowPunct/>
        <w:topLinePunct w:val="0"/>
        <w:autoSpaceDE w:val="0"/>
        <w:autoSpaceDN w:val="0"/>
        <w:bidi w:val="0"/>
        <w:adjustRightInd w:val="0"/>
        <w:snapToGrid w:val="0"/>
        <w:spacing w:line="360" w:lineRule="auto"/>
        <w:ind w:firstLine="664" w:firstLineChars="245"/>
        <w:jc w:val="left"/>
        <w:rPr>
          <w:rFonts w:hint="eastAsia" w:ascii="仿宋" w:hAnsi="仿宋" w:eastAsia="仿宋" w:cs="仿宋"/>
          <w:b/>
          <w:color w:val="auto"/>
          <w:kern w:val="0"/>
          <w:sz w:val="27"/>
          <w:szCs w:val="27"/>
        </w:rPr>
      </w:pPr>
      <w:r>
        <w:rPr>
          <w:rFonts w:hint="eastAsia" w:ascii="仿宋" w:hAnsi="仿宋" w:eastAsia="仿宋" w:cs="仿宋"/>
          <w:b/>
          <w:color w:val="auto"/>
          <w:kern w:val="0"/>
          <w:sz w:val="27"/>
          <w:szCs w:val="27"/>
          <w:u w:val="single"/>
        </w:rPr>
        <w:tab/>
      </w:r>
      <w:r>
        <w:rPr>
          <w:rFonts w:hint="eastAsia" w:ascii="仿宋" w:hAnsi="仿宋" w:eastAsia="仿宋" w:cs="仿宋"/>
          <w:b/>
          <w:color w:val="auto"/>
          <w:w w:val="99"/>
          <w:kern w:val="0"/>
          <w:sz w:val="27"/>
          <w:szCs w:val="27"/>
        </w:rPr>
        <w:t>（项目名称</w:t>
      </w:r>
      <w:r>
        <w:rPr>
          <w:rFonts w:hint="eastAsia" w:ascii="仿宋" w:hAnsi="仿宋" w:eastAsia="仿宋" w:cs="仿宋"/>
          <w:b/>
          <w:color w:val="auto"/>
          <w:spacing w:val="1"/>
          <w:w w:val="99"/>
          <w:kern w:val="0"/>
          <w:sz w:val="27"/>
          <w:szCs w:val="27"/>
        </w:rPr>
        <w:t>）</w:t>
      </w:r>
    </w:p>
    <w:p w14:paraId="7AE4387C">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6D562A71">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194CB48D">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6A230C46">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1DC61578">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42"/>
          <w:szCs w:val="42"/>
        </w:rPr>
      </w:pPr>
    </w:p>
    <w:p w14:paraId="3FCF9DF8">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81"/>
          <w:szCs w:val="81"/>
        </w:rPr>
      </w:pPr>
      <w:r>
        <w:rPr>
          <w:rFonts w:hint="eastAsia" w:ascii="仿宋" w:hAnsi="仿宋" w:eastAsia="仿宋" w:cs="仿宋"/>
          <w:b/>
          <w:color w:val="auto"/>
          <w:kern w:val="0"/>
          <w:sz w:val="81"/>
          <w:szCs w:val="81"/>
        </w:rPr>
        <w:t>响  应  文  件</w:t>
      </w:r>
    </w:p>
    <w:p w14:paraId="183DE729">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15"/>
          <w:szCs w:val="15"/>
        </w:rPr>
      </w:pPr>
    </w:p>
    <w:p w14:paraId="691B18CE">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7FAD04ED">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2EE5BB3D">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1C9C8E6D">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78F9B522">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42EF2817">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2D8A9FDB">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62D87B87">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1414FEDE">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588C03CB">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3ED3FB21">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3D2CF6D3">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b/>
          <w:color w:val="auto"/>
          <w:kern w:val="0"/>
          <w:sz w:val="19"/>
          <w:szCs w:val="19"/>
        </w:rPr>
      </w:pPr>
    </w:p>
    <w:p w14:paraId="0D66E33F">
      <w:pPr>
        <w:pageBreakBefore w:val="0"/>
        <w:tabs>
          <w:tab w:val="left" w:pos="6080"/>
          <w:tab w:val="left" w:pos="6640"/>
        </w:tabs>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w w:val="99"/>
          <w:kern w:val="0"/>
          <w:sz w:val="27"/>
          <w:szCs w:val="27"/>
        </w:rPr>
      </w:pPr>
      <w:r>
        <w:rPr>
          <w:rFonts w:hint="eastAsia" w:ascii="仿宋" w:hAnsi="仿宋" w:eastAsia="仿宋" w:cs="仿宋"/>
          <w:b/>
          <w:color w:val="auto"/>
          <w:w w:val="99"/>
          <w:kern w:val="0"/>
          <w:sz w:val="27"/>
          <w:szCs w:val="27"/>
        </w:rPr>
        <w:t>供应商</w:t>
      </w:r>
      <w:r>
        <w:rPr>
          <w:rFonts w:hint="eastAsia" w:ascii="仿宋" w:hAnsi="仿宋" w:eastAsia="仿宋" w:cs="仿宋"/>
          <w:b/>
          <w:color w:val="auto"/>
          <w:spacing w:val="1"/>
          <w:w w:val="99"/>
          <w:kern w:val="0"/>
          <w:sz w:val="27"/>
          <w:szCs w:val="27"/>
        </w:rPr>
        <w:t>：</w:t>
      </w:r>
      <w:r>
        <w:rPr>
          <w:rFonts w:hint="eastAsia" w:ascii="仿宋" w:hAnsi="仿宋" w:eastAsia="仿宋" w:cs="仿宋"/>
          <w:b/>
          <w:color w:val="auto"/>
          <w:w w:val="198"/>
          <w:kern w:val="0"/>
          <w:sz w:val="27"/>
          <w:szCs w:val="27"/>
          <w:u w:val="single"/>
        </w:rPr>
        <w:t>　　　　 　　</w:t>
      </w:r>
      <w:r>
        <w:rPr>
          <w:rFonts w:hint="eastAsia" w:ascii="仿宋" w:hAnsi="仿宋" w:eastAsia="仿宋" w:cs="仿宋"/>
          <w:b/>
          <w:color w:val="auto"/>
          <w:w w:val="99"/>
          <w:kern w:val="0"/>
          <w:sz w:val="27"/>
          <w:szCs w:val="27"/>
        </w:rPr>
        <w:t>（盖单位公章）</w:t>
      </w:r>
    </w:p>
    <w:p w14:paraId="7F1F9D60">
      <w:pPr>
        <w:pageBreakBefore w:val="0"/>
        <w:tabs>
          <w:tab w:val="left" w:pos="6080"/>
          <w:tab w:val="left" w:pos="6640"/>
        </w:tabs>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27"/>
          <w:szCs w:val="27"/>
        </w:rPr>
      </w:pPr>
      <w:r>
        <w:rPr>
          <w:rFonts w:hint="eastAsia" w:ascii="仿宋" w:hAnsi="仿宋" w:eastAsia="仿宋" w:cs="仿宋"/>
          <w:b/>
          <w:color w:val="auto"/>
          <w:w w:val="99"/>
          <w:kern w:val="0"/>
          <w:sz w:val="27"/>
          <w:szCs w:val="27"/>
        </w:rPr>
        <w:t>法定代表人或其委托代理人：</w:t>
      </w:r>
      <w:r>
        <w:rPr>
          <w:rFonts w:hint="eastAsia" w:ascii="仿宋" w:hAnsi="仿宋" w:eastAsia="仿宋" w:cs="仿宋"/>
          <w:b/>
          <w:color w:val="auto"/>
          <w:w w:val="198"/>
          <w:kern w:val="0"/>
          <w:sz w:val="27"/>
          <w:szCs w:val="27"/>
          <w:u w:val="single"/>
        </w:rPr>
        <w:t>　　 　</w:t>
      </w:r>
      <w:r>
        <w:rPr>
          <w:rFonts w:hint="eastAsia" w:ascii="仿宋" w:hAnsi="仿宋" w:eastAsia="仿宋" w:cs="仿宋"/>
          <w:b/>
          <w:color w:val="auto"/>
          <w:w w:val="99"/>
          <w:kern w:val="0"/>
          <w:sz w:val="27"/>
          <w:szCs w:val="27"/>
        </w:rPr>
        <w:t>（签字）</w:t>
      </w:r>
    </w:p>
    <w:p w14:paraId="3DCEBAA9">
      <w:pPr>
        <w:pageBreakBefore w:val="0"/>
        <w:tabs>
          <w:tab w:val="left" w:pos="3280"/>
          <w:tab w:val="left" w:pos="4680"/>
          <w:tab w:val="left" w:pos="6080"/>
        </w:tabs>
        <w:kinsoku/>
        <w:overflowPunct/>
        <w:topLinePunct w:val="0"/>
        <w:autoSpaceDE w:val="0"/>
        <w:autoSpaceDN w:val="0"/>
        <w:bidi w:val="0"/>
        <w:adjustRightInd w:val="0"/>
        <w:snapToGrid w:val="0"/>
        <w:spacing w:line="360" w:lineRule="auto"/>
        <w:jc w:val="center"/>
        <w:rPr>
          <w:rFonts w:hint="eastAsia" w:ascii="仿宋" w:hAnsi="仿宋" w:eastAsia="仿宋" w:cs="仿宋"/>
          <w:color w:val="auto"/>
          <w:kern w:val="0"/>
          <w:sz w:val="23"/>
          <w:szCs w:val="23"/>
        </w:rPr>
      </w:pPr>
      <w:r>
        <w:rPr>
          <w:rFonts w:hint="eastAsia" w:ascii="仿宋" w:hAnsi="仿宋" w:eastAsia="仿宋" w:cs="仿宋"/>
          <w:b/>
          <w:color w:val="auto"/>
          <w:w w:val="99"/>
          <w:kern w:val="0"/>
          <w:sz w:val="27"/>
          <w:szCs w:val="27"/>
        </w:rPr>
        <w:t xml:space="preserve">     年   月   日</w:t>
      </w:r>
    </w:p>
    <w:p w14:paraId="6ED05296">
      <w:pPr>
        <w:pageBreakBefore w:val="0"/>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32"/>
          <w:szCs w:val="32"/>
        </w:rPr>
      </w:pPr>
    </w:p>
    <w:p w14:paraId="71B1328B">
      <w:pPr>
        <w:pageBreakBefore w:val="0"/>
        <w:kinsoku/>
        <w:overflowPunct/>
        <w:topLinePunct w:val="0"/>
        <w:autoSpaceDE w:val="0"/>
        <w:autoSpaceDN w:val="0"/>
        <w:bidi w:val="0"/>
        <w:adjustRightInd w:val="0"/>
        <w:snapToGrid w:val="0"/>
        <w:spacing w:line="360" w:lineRule="auto"/>
        <w:jc w:val="both"/>
        <w:rPr>
          <w:rFonts w:hint="eastAsia" w:ascii="仿宋" w:hAnsi="仿宋" w:eastAsia="仿宋" w:cs="仿宋"/>
          <w:b/>
          <w:color w:val="auto"/>
          <w:kern w:val="0"/>
          <w:sz w:val="32"/>
          <w:szCs w:val="32"/>
        </w:rPr>
      </w:pPr>
    </w:p>
    <w:p w14:paraId="64DA37C1">
      <w:pP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p>
    <w:p w14:paraId="6037CB16">
      <w:pPr>
        <w:pageBreakBefore w:val="0"/>
        <w:kinsoku/>
        <w:overflowPunct/>
        <w:topLinePunct w:val="0"/>
        <w:autoSpaceDE w:val="0"/>
        <w:autoSpaceDN w:val="0"/>
        <w:bidi w:val="0"/>
        <w:adjustRightInd w:val="0"/>
        <w:snapToGrid w:val="0"/>
        <w:spacing w:line="360" w:lineRule="auto"/>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目     录</w:t>
      </w:r>
    </w:p>
    <w:p w14:paraId="3D20FF58">
      <w:pPr>
        <w:pageBreakBefore w:val="0"/>
        <w:kinsoku/>
        <w:overflowPunct/>
        <w:topLinePunct w:val="0"/>
        <w:autoSpaceDE w:val="0"/>
        <w:autoSpaceDN w:val="0"/>
        <w:bidi w:val="0"/>
        <w:adjustRightInd w:val="0"/>
        <w:snapToGrid w:val="0"/>
        <w:spacing w:line="360" w:lineRule="auto"/>
        <w:jc w:val="left"/>
        <w:rPr>
          <w:rFonts w:hint="eastAsia" w:ascii="仿宋" w:hAnsi="仿宋" w:eastAsia="仿宋" w:cs="仿宋"/>
          <w:color w:val="auto"/>
          <w:kern w:val="0"/>
          <w:sz w:val="24"/>
          <w:szCs w:val="21"/>
        </w:rPr>
      </w:pPr>
    </w:p>
    <w:p w14:paraId="2715C3E7">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一、服务部分</w:t>
      </w:r>
    </w:p>
    <w:p w14:paraId="3894D1EF">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（一）服务响应偏离表</w:t>
      </w:r>
    </w:p>
    <w:p w14:paraId="783767A6">
      <w:pPr>
        <w:pageBreakBefore w:val="0"/>
        <w:kinsoku/>
        <w:overflowPunct/>
        <w:topLinePunct w:val="0"/>
        <w:bidi w:val="0"/>
        <w:spacing w:line="360" w:lineRule="auto"/>
        <w:ind w:firstLine="480" w:firstLineChars="200"/>
        <w:rPr>
          <w:rFonts w:hint="eastAsia"/>
          <w:color w:val="auto"/>
        </w:rPr>
      </w:pPr>
      <w:r>
        <w:rPr>
          <w:rFonts w:hint="eastAsia" w:ascii="仿宋" w:hAnsi="仿宋" w:eastAsia="仿宋" w:cs="仿宋"/>
          <w:color w:val="auto"/>
          <w:sz w:val="24"/>
          <w:szCs w:val="24"/>
        </w:rPr>
        <w:t>（二）服务方案（格式自定）</w:t>
      </w:r>
    </w:p>
    <w:p w14:paraId="52148F13">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、商务部分</w:t>
      </w:r>
    </w:p>
    <w:p w14:paraId="5E745651">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（一）商务响应偏离表</w:t>
      </w:r>
    </w:p>
    <w:p w14:paraId="525EDC36">
      <w:pPr>
        <w:pageBreakBefore w:val="0"/>
        <w:kinsoku/>
        <w:overflowPunct/>
        <w:topLinePunct w:val="0"/>
        <w:bidi w:val="0"/>
        <w:spacing w:line="360" w:lineRule="auto"/>
        <w:ind w:firstLine="480" w:firstLineChars="200"/>
        <w:rPr>
          <w:rFonts w:hint="eastAsia"/>
          <w:color w:val="auto"/>
        </w:rPr>
      </w:pPr>
      <w:r>
        <w:rPr>
          <w:rFonts w:hint="eastAsia" w:ascii="仿宋" w:hAnsi="仿宋" w:eastAsia="仿宋" w:cs="仿宋"/>
          <w:color w:val="auto"/>
          <w:sz w:val="24"/>
          <w:szCs w:val="24"/>
        </w:rPr>
        <w:t>（二）其他商务承诺（自附）</w:t>
      </w:r>
    </w:p>
    <w:p w14:paraId="02EA0AC1">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、资格条件及其他</w:t>
      </w:r>
    </w:p>
    <w:p w14:paraId="0CDD184F">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（一）法人营业执照（副本）或事业单位法人证书（副本）或个体工商户营业执照或有效的自然人身份证明或社会团体法人登记证书复印件</w:t>
      </w:r>
    </w:p>
    <w:p w14:paraId="19E78C68">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（二）法定代表人身份证明书（格式）</w:t>
      </w:r>
    </w:p>
    <w:p w14:paraId="3AAE1336">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（三）法定代表人授权委托书（格式）</w:t>
      </w:r>
    </w:p>
    <w:p w14:paraId="7163DF15">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（四）基本资格条件承诺函（格式）</w:t>
      </w:r>
    </w:p>
    <w:p w14:paraId="4AD81BD8">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（五）特定资格条件证明文件</w:t>
      </w:r>
    </w:p>
    <w:p w14:paraId="1A745EAF">
      <w:pPr>
        <w:pageBreakBefore w:val="0"/>
        <w:kinsoku/>
        <w:overflowPunct/>
        <w:topLinePunct w:val="0"/>
        <w:bidi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rPr>
        <w:t>、其他应提供的资料</w:t>
      </w:r>
    </w:p>
    <w:p w14:paraId="6EBDA983">
      <w:pPr>
        <w:pageBreakBefore w:val="0"/>
        <w:kinsoku/>
        <w:overflowPunct/>
        <w:topLinePunct w:val="0"/>
        <w:bidi w:val="0"/>
        <w:spacing w:line="360" w:lineRule="auto"/>
        <w:ind w:firstLine="480" w:firstLineChars="200"/>
        <w:rPr>
          <w:rFonts w:hint="eastAsia" w:ascii="仿宋" w:hAnsi="仿宋" w:eastAsia="仿宋" w:cs="仿宋"/>
          <w:color w:val="auto"/>
          <w:sz w:val="24"/>
          <w:szCs w:val="24"/>
          <w:bdr w:val="single" w:color="auto" w:sz="4" w:space="0"/>
        </w:rPr>
        <w:sectPr>
          <w:headerReference r:id="rId4" w:type="default"/>
          <w:footerReference r:id="rId5" w:type="default"/>
          <w:pgSz w:w="11907" w:h="16840"/>
          <w:pgMar w:top="1134" w:right="1191" w:bottom="1134" w:left="1304" w:header="851" w:footer="850" w:gutter="0"/>
          <w:pgNumType w:fmt="numberInDash"/>
          <w:cols w:space="720" w:num="1"/>
        </w:sectPr>
      </w:pPr>
      <w:r>
        <w:rPr>
          <w:rFonts w:hint="eastAsia" w:ascii="仿宋" w:hAnsi="仿宋" w:eastAsia="仿宋" w:cs="仿宋"/>
          <w:color w:val="auto"/>
          <w:sz w:val="24"/>
          <w:szCs w:val="24"/>
        </w:rPr>
        <w:t>（一）其他与项目有关的资料（自附）</w:t>
      </w:r>
    </w:p>
    <w:p w14:paraId="777C137E">
      <w:pPr>
        <w:pStyle w:val="3"/>
        <w:pageBreakBefore w:val="0"/>
        <w:kinsoku/>
        <w:overflowPunct/>
        <w:topLinePunct w:val="0"/>
        <w:bidi w:val="0"/>
        <w:spacing w:before="0" w:after="0" w:line="360" w:lineRule="auto"/>
        <w:rPr>
          <w:rFonts w:hint="eastAsia" w:ascii="仿宋" w:hAnsi="仿宋" w:eastAsia="仿宋" w:cs="仿宋"/>
          <w:color w:val="auto"/>
          <w:sz w:val="28"/>
        </w:rPr>
      </w:pPr>
      <w:bookmarkStart w:id="81" w:name="_Toc15891"/>
      <w:bookmarkStart w:id="82" w:name="_Toc75793541"/>
      <w:bookmarkStart w:id="83" w:name="_Toc7244"/>
      <w:bookmarkStart w:id="84" w:name="_Toc493178790"/>
      <w:bookmarkStart w:id="85" w:name="_Toc1862"/>
      <w:bookmarkStart w:id="86" w:name="_Toc2784"/>
      <w:bookmarkStart w:id="87" w:name="_Toc14980"/>
      <w:bookmarkStart w:id="88" w:name="_Toc29441"/>
      <w:bookmarkStart w:id="89" w:name="_Toc15573"/>
      <w:bookmarkStart w:id="90" w:name="_Toc21203"/>
      <w:bookmarkStart w:id="91" w:name="_Toc3224"/>
      <w:bookmarkStart w:id="92" w:name="_Toc17950"/>
      <w:bookmarkStart w:id="93" w:name="_Toc11188"/>
      <w:bookmarkStart w:id="94" w:name="_Toc3836"/>
      <w:bookmarkStart w:id="95" w:name="_Toc5166"/>
      <w:bookmarkStart w:id="96" w:name="_Toc21779"/>
      <w:bookmarkStart w:id="97" w:name="_Toc8565"/>
      <w:bookmarkStart w:id="98" w:name="_Toc1842"/>
      <w:bookmarkStart w:id="99" w:name="_Toc2386"/>
      <w:bookmarkStart w:id="100" w:name="_Toc26723"/>
      <w:bookmarkStart w:id="101" w:name="_Toc31344"/>
      <w:bookmarkStart w:id="102" w:name="_Toc13820"/>
      <w:bookmarkStart w:id="103" w:name="_Toc23774"/>
      <w:r>
        <w:rPr>
          <w:rFonts w:hint="eastAsia" w:ascii="仿宋" w:hAnsi="仿宋" w:eastAsia="仿宋" w:cs="仿宋"/>
          <w:color w:val="auto"/>
          <w:sz w:val="28"/>
          <w:lang w:val="en-US" w:eastAsia="zh-CN"/>
        </w:rPr>
        <w:t>一</w:t>
      </w:r>
      <w:r>
        <w:rPr>
          <w:rFonts w:hint="eastAsia" w:ascii="仿宋" w:hAnsi="仿宋" w:eastAsia="仿宋" w:cs="仿宋"/>
          <w:color w:val="auto"/>
          <w:sz w:val="28"/>
        </w:rPr>
        <w:t>、服务文件</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3D0770D">
      <w:pPr>
        <w:pageBreakBefore w:val="0"/>
        <w:tabs>
          <w:tab w:val="left" w:pos="6300"/>
        </w:tabs>
        <w:kinsoku/>
        <w:overflowPunct/>
        <w:topLinePunct w:val="0"/>
        <w:bidi w:val="0"/>
        <w:snapToGrid w:val="0"/>
        <w:spacing w:line="360" w:lineRule="auto"/>
        <w:ind w:firstLine="562" w:firstLineChars="200"/>
        <w:jc w:val="center"/>
        <w:rPr>
          <w:rFonts w:hint="eastAsia" w:ascii="仿宋" w:hAnsi="仿宋" w:eastAsia="仿宋" w:cs="仿宋"/>
          <w:b/>
          <w:bCs/>
          <w:color w:val="auto"/>
          <w:szCs w:val="28"/>
        </w:rPr>
      </w:pPr>
      <w:r>
        <w:rPr>
          <w:rFonts w:hint="eastAsia" w:ascii="仿宋" w:hAnsi="仿宋" w:eastAsia="仿宋" w:cs="仿宋"/>
          <w:b/>
          <w:bCs/>
          <w:color w:val="auto"/>
          <w:szCs w:val="28"/>
        </w:rPr>
        <w:t>（一）服务响应偏离表</w:t>
      </w:r>
    </w:p>
    <w:p w14:paraId="4A633DE7">
      <w:pPr>
        <w:pStyle w:val="12"/>
        <w:pageBreakBefore w:val="0"/>
        <w:tabs>
          <w:tab w:val="left" w:pos="6300"/>
        </w:tabs>
        <w:kinsoku/>
        <w:overflowPunct/>
        <w:topLinePunct w:val="0"/>
        <w:bidi w:val="0"/>
        <w:snapToGrid w:val="0"/>
        <w:spacing w:line="360" w:lineRule="auto"/>
        <w:ind w:firstLine="420" w:firstLineChars="200"/>
        <w:outlineLvl w:val="0"/>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EA6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1D2E535A">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658" w:type="dxa"/>
            <w:noWrap w:val="0"/>
            <w:vAlign w:val="center"/>
          </w:tcPr>
          <w:p w14:paraId="3B9812A6">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采购需求</w:t>
            </w:r>
          </w:p>
        </w:tc>
        <w:tc>
          <w:tcPr>
            <w:tcW w:w="2759" w:type="dxa"/>
            <w:noWrap w:val="0"/>
            <w:vAlign w:val="center"/>
          </w:tcPr>
          <w:p w14:paraId="291704C0">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067" w:type="dxa"/>
            <w:noWrap w:val="0"/>
            <w:vAlign w:val="center"/>
          </w:tcPr>
          <w:p w14:paraId="247A50BC">
            <w:pPr>
              <w:pageBreakBefore w:val="0"/>
              <w:tabs>
                <w:tab w:val="left" w:pos="6300"/>
              </w:tabs>
              <w:kinsoku/>
              <w:overflowPunct/>
              <w:topLinePunct w:val="0"/>
              <w:bidi w:val="0"/>
              <w:snapToGrid w:val="0"/>
              <w:spacing w:line="360" w:lineRule="auto"/>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差异说明</w:t>
            </w:r>
          </w:p>
        </w:tc>
      </w:tr>
      <w:tr w14:paraId="4026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4EDCF6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1622619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0E5F2EC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4B5C4A6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5D6B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3510CD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2B6D022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118AC2B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04E3280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2839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51AAE8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65DD578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70D6A81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279BB9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91C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CF75FB9">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537C288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3A47496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09B64F78">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85A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6A96AA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5959001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23AE1A1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3560DF7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75CF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0E0C9D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584A8D6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2D369DB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CC2996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0E90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F430FC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1E59884A">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549F027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9E55549">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4339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B91CDE7">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41A48997">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53D9DEE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182E74A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04B1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5B85DE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49E1D43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2355FF2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62F240B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C69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74DB3E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658" w:type="dxa"/>
            <w:noWrap w:val="0"/>
            <w:vAlign w:val="center"/>
          </w:tcPr>
          <w:p w14:paraId="13DA5C5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759" w:type="dxa"/>
            <w:noWrap w:val="0"/>
            <w:vAlign w:val="center"/>
          </w:tcPr>
          <w:p w14:paraId="41E8D199">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067" w:type="dxa"/>
            <w:noWrap w:val="0"/>
            <w:vAlign w:val="center"/>
          </w:tcPr>
          <w:p w14:paraId="4A315DF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bl>
    <w:p w14:paraId="723DD665">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                                      法人授权代表：</w:t>
      </w:r>
    </w:p>
    <w:p w14:paraId="37FD6481">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p>
    <w:p w14:paraId="7D72E9CD">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（供应商公章）                               （签字或盖章）</w:t>
      </w:r>
    </w:p>
    <w:p w14:paraId="0EA28CD0">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77C49574">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注：</w:t>
      </w:r>
    </w:p>
    <w:p w14:paraId="324D0213">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eastAsia="zh-CN"/>
        </w:rPr>
        <w:t>1.</w:t>
      </w:r>
      <w:r>
        <w:rPr>
          <w:rFonts w:hint="eastAsia" w:ascii="仿宋" w:hAnsi="仿宋" w:eastAsia="仿宋" w:cs="仿宋"/>
          <w:color w:val="auto"/>
          <w:sz w:val="21"/>
          <w:szCs w:val="21"/>
        </w:rPr>
        <w:t>本表即为对本项目“项目服务需求”中所列条款进行比较和响应；</w:t>
      </w:r>
    </w:p>
    <w:p w14:paraId="254AC28A">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eastAsia="zh-CN"/>
        </w:rPr>
        <w:t>2.</w:t>
      </w:r>
      <w:r>
        <w:rPr>
          <w:rFonts w:hint="eastAsia" w:ascii="仿宋" w:hAnsi="仿宋" w:eastAsia="仿宋" w:cs="仿宋"/>
          <w:color w:val="auto"/>
          <w:sz w:val="21"/>
          <w:szCs w:val="21"/>
        </w:rPr>
        <w:t>该表必须按照竞采文件要求</w:t>
      </w:r>
      <w:r>
        <w:rPr>
          <w:rFonts w:hint="eastAsia" w:ascii="仿宋" w:hAnsi="仿宋" w:eastAsia="仿宋" w:cs="仿宋"/>
          <w:b/>
          <w:bCs/>
          <w:color w:val="auto"/>
          <w:sz w:val="21"/>
          <w:szCs w:val="21"/>
        </w:rPr>
        <w:t>逐条</w:t>
      </w:r>
      <w:r>
        <w:rPr>
          <w:rFonts w:hint="eastAsia" w:ascii="仿宋" w:hAnsi="仿宋" w:eastAsia="仿宋" w:cs="仿宋"/>
          <w:color w:val="auto"/>
          <w:sz w:val="21"/>
          <w:szCs w:val="21"/>
        </w:rPr>
        <w:t>如实填写，根据响应情况在“差异说明”项填写正偏离或负偏离及原因，完全符合的填写“无差异”；</w:t>
      </w:r>
    </w:p>
    <w:p w14:paraId="412EC268">
      <w:pPr>
        <w:pageBreakBefore w:val="0"/>
        <w:tabs>
          <w:tab w:val="left" w:pos="6300"/>
        </w:tabs>
        <w:kinsoku/>
        <w:overflowPunct/>
        <w:topLinePunct w:val="0"/>
        <w:bidi w:val="0"/>
        <w:snapToGrid w:val="0"/>
        <w:spacing w:line="360" w:lineRule="auto"/>
        <w:ind w:firstLine="420" w:firstLineChars="200"/>
        <w:jc w:val="left"/>
        <w:rPr>
          <w:rFonts w:hint="eastAsia" w:ascii="仿宋" w:hAnsi="仿宋" w:eastAsia="仿宋" w:cs="仿宋"/>
          <w:color w:val="auto"/>
          <w:sz w:val="21"/>
          <w:szCs w:val="21"/>
        </w:rPr>
      </w:pPr>
      <w:r>
        <w:rPr>
          <w:rFonts w:hint="eastAsia" w:ascii="仿宋" w:hAnsi="仿宋" w:eastAsia="仿宋" w:cs="仿宋"/>
          <w:color w:val="auto"/>
          <w:sz w:val="21"/>
          <w:szCs w:val="21"/>
          <w:lang w:eastAsia="zh-CN"/>
        </w:rPr>
        <w:t>3.</w:t>
      </w:r>
      <w:r>
        <w:rPr>
          <w:rFonts w:hint="eastAsia" w:ascii="仿宋" w:hAnsi="仿宋" w:eastAsia="仿宋" w:cs="仿宋"/>
          <w:color w:val="auto"/>
          <w:sz w:val="21"/>
          <w:szCs w:val="21"/>
        </w:rPr>
        <w:t>该表可扩展，并签字或盖章；</w:t>
      </w:r>
    </w:p>
    <w:p w14:paraId="72CC4284">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eastAsia="zh-CN"/>
        </w:rPr>
        <w:t>4.</w:t>
      </w:r>
      <w:r>
        <w:rPr>
          <w:rFonts w:hint="eastAsia" w:ascii="仿宋" w:hAnsi="仿宋" w:eastAsia="仿宋" w:cs="仿宋"/>
          <w:color w:val="auto"/>
          <w:sz w:val="21"/>
          <w:szCs w:val="21"/>
        </w:rPr>
        <w:t>可附相关技术支撑材料。（格式自定）；</w:t>
      </w:r>
    </w:p>
    <w:p w14:paraId="75A5113D">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eastAsia="zh-CN"/>
        </w:rPr>
        <w:t>5.</w:t>
      </w:r>
      <w:r>
        <w:rPr>
          <w:rFonts w:hint="eastAsia" w:ascii="仿宋" w:hAnsi="仿宋" w:eastAsia="仿宋" w:cs="仿宋"/>
          <w:color w:val="auto"/>
          <w:sz w:val="21"/>
          <w:szCs w:val="21"/>
        </w:rPr>
        <w:t>若“响应情况”栏中仅填写“无偏离”或“有偏离”等内容而未作实质性参数描述，该供应商将失去成为成交供应商的资格，仅保留其合格供应商的身份。</w:t>
      </w:r>
    </w:p>
    <w:p w14:paraId="40383E97">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p>
    <w:p w14:paraId="4586C4E8">
      <w:pPr>
        <w:pageBreakBefore w:val="0"/>
        <w:kinsoku/>
        <w:overflowPunct/>
        <w:topLinePunct w:val="0"/>
        <w:bidi w:val="0"/>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794431BB">
      <w:pPr>
        <w:pageBreakBefore w:val="0"/>
        <w:kinsoku/>
        <w:overflowPunct/>
        <w:topLinePunct w:val="0"/>
        <w:bidi w:val="0"/>
        <w:snapToGrid w:val="0"/>
        <w:spacing w:line="360" w:lineRule="auto"/>
        <w:jc w:val="center"/>
        <w:rPr>
          <w:rFonts w:hint="eastAsia" w:ascii="仿宋" w:hAnsi="仿宋" w:eastAsia="仿宋" w:cs="仿宋"/>
          <w:b/>
          <w:bCs/>
          <w:color w:val="auto"/>
          <w:szCs w:val="28"/>
        </w:rPr>
      </w:pPr>
      <w:r>
        <w:rPr>
          <w:rFonts w:hint="eastAsia" w:ascii="仿宋" w:hAnsi="仿宋" w:eastAsia="仿宋" w:cs="仿宋"/>
          <w:b/>
          <w:bCs/>
          <w:color w:val="auto"/>
          <w:szCs w:val="28"/>
        </w:rPr>
        <w:t>（二）服务方案（格式自定）</w:t>
      </w:r>
    </w:p>
    <w:p w14:paraId="5B8AAB20">
      <w:pPr>
        <w:pageBreakBefore w:val="0"/>
        <w:tabs>
          <w:tab w:val="left" w:pos="6300"/>
        </w:tabs>
        <w:kinsoku/>
        <w:overflowPunct/>
        <w:topLinePunct w:val="0"/>
        <w:bidi w:val="0"/>
        <w:snapToGrid w:val="0"/>
        <w:spacing w:line="360" w:lineRule="auto"/>
        <w:ind w:firstLine="570"/>
        <w:jc w:val="center"/>
        <w:rPr>
          <w:rFonts w:hint="eastAsia" w:ascii="仿宋" w:hAnsi="仿宋" w:eastAsia="仿宋" w:cs="仿宋"/>
          <w:color w:val="auto"/>
          <w:sz w:val="21"/>
          <w:szCs w:val="21"/>
        </w:rPr>
      </w:pPr>
    </w:p>
    <w:p w14:paraId="7CA56483">
      <w:pPr>
        <w:pStyle w:val="27"/>
        <w:pageBreakBefore w:val="0"/>
        <w:kinsoku/>
        <w:overflowPunct/>
        <w:topLinePunct w:val="0"/>
        <w:bidi w:val="0"/>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供应商根据本竞采文件“ 资格审查及评标办法→评审标准→服务部分”中的要求提供服务方案。</w:t>
      </w:r>
    </w:p>
    <w:p w14:paraId="1D552F20">
      <w:pPr>
        <w:pStyle w:val="8"/>
        <w:pageBreakBefore w:val="0"/>
        <w:kinsoku/>
        <w:overflowPunct/>
        <w:topLinePunct w:val="0"/>
        <w:bidi w:val="0"/>
        <w:spacing w:line="360" w:lineRule="auto"/>
        <w:ind w:firstLine="640" w:firstLineChars="200"/>
        <w:rPr>
          <w:rFonts w:hint="eastAsia" w:ascii="仿宋" w:hAnsi="仿宋" w:eastAsia="仿宋" w:cs="仿宋"/>
          <w:color w:val="auto"/>
        </w:rPr>
      </w:pPr>
    </w:p>
    <w:p w14:paraId="379819FF">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p>
    <w:p w14:paraId="78BAAFDF">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p>
    <w:p w14:paraId="47E6F793">
      <w:pPr>
        <w:pageBreakBefore w:val="0"/>
        <w:kinsoku/>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Cs w:val="28"/>
        </w:rPr>
        <w:br w:type="page"/>
      </w:r>
    </w:p>
    <w:p w14:paraId="51EE0A85">
      <w:pPr>
        <w:pStyle w:val="4"/>
        <w:pageBreakBefore w:val="0"/>
        <w:kinsoku/>
        <w:overflowPunct/>
        <w:topLinePunct w:val="0"/>
        <w:bidi w:val="0"/>
        <w:spacing w:before="0" w:after="0" w:line="360" w:lineRule="auto"/>
        <w:ind w:firstLine="562" w:firstLineChars="200"/>
        <w:jc w:val="left"/>
        <w:rPr>
          <w:rFonts w:hint="eastAsia" w:ascii="仿宋" w:hAnsi="仿宋" w:eastAsia="仿宋" w:cs="仿宋"/>
          <w:color w:val="auto"/>
          <w:sz w:val="28"/>
          <w:szCs w:val="28"/>
        </w:rPr>
      </w:pPr>
      <w:bookmarkStart w:id="104" w:name="_Toc17857"/>
      <w:bookmarkStart w:id="105" w:name="_Toc277082657"/>
      <w:bookmarkStart w:id="106" w:name="_Toc287607883"/>
      <w:bookmarkStart w:id="107" w:name="_Toc498"/>
      <w:bookmarkStart w:id="108" w:name="_Toc224103511"/>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、商务部分</w:t>
      </w:r>
      <w:bookmarkEnd w:id="104"/>
    </w:p>
    <w:p w14:paraId="221E0AAC">
      <w:pPr>
        <w:pageBreakBefore w:val="0"/>
        <w:kinsoku/>
        <w:overflowPunct/>
        <w:topLinePunct w:val="0"/>
        <w:bidi w:val="0"/>
        <w:snapToGrid w:val="0"/>
        <w:spacing w:line="360" w:lineRule="auto"/>
        <w:jc w:val="center"/>
        <w:rPr>
          <w:rFonts w:hint="eastAsia" w:ascii="仿宋" w:hAnsi="仿宋" w:eastAsia="仿宋" w:cs="仿宋"/>
          <w:b/>
          <w:color w:val="auto"/>
          <w:szCs w:val="28"/>
        </w:rPr>
      </w:pPr>
      <w:r>
        <w:rPr>
          <w:rFonts w:hint="eastAsia" w:ascii="仿宋" w:hAnsi="仿宋" w:eastAsia="仿宋" w:cs="仿宋"/>
          <w:b/>
          <w:color w:val="auto"/>
          <w:szCs w:val="28"/>
        </w:rPr>
        <w:t>（一）商务响应偏离表</w:t>
      </w:r>
    </w:p>
    <w:p w14:paraId="1E0C2A6D">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对于竞采文件的商务要求，如有任何偏离请如实填写下表：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29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463E3CA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179" w:type="dxa"/>
            <w:noWrap w:val="0"/>
            <w:vAlign w:val="center"/>
          </w:tcPr>
          <w:p w14:paraId="655CF19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项目需求</w:t>
            </w:r>
          </w:p>
        </w:tc>
        <w:tc>
          <w:tcPr>
            <w:tcW w:w="2434" w:type="dxa"/>
            <w:noWrap w:val="0"/>
            <w:vAlign w:val="center"/>
          </w:tcPr>
          <w:p w14:paraId="3EEE426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响应情况</w:t>
            </w:r>
          </w:p>
        </w:tc>
        <w:tc>
          <w:tcPr>
            <w:tcW w:w="2355" w:type="dxa"/>
            <w:noWrap w:val="0"/>
            <w:vAlign w:val="center"/>
          </w:tcPr>
          <w:p w14:paraId="0BF8340C">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r>
              <w:rPr>
                <w:rFonts w:hint="eastAsia" w:ascii="仿宋" w:hAnsi="仿宋" w:eastAsia="仿宋" w:cs="仿宋"/>
                <w:color w:val="auto"/>
                <w:sz w:val="24"/>
                <w:szCs w:val="24"/>
              </w:rPr>
              <w:t>偏离说明</w:t>
            </w:r>
          </w:p>
        </w:tc>
      </w:tr>
      <w:tr w14:paraId="675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B8A554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73CF885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0432ECE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3F4C5198">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3058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F5930E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4432EBD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6967F1A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71046A9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21F6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8DC9D56">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791C8E11">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483EFC6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4D6312E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5BEE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7B7D87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537D54BF">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01E38AB5">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2D2818DE">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6C36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E42DBBB">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09668583">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13230052">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231D8BF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r w14:paraId="1009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7635834">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3179" w:type="dxa"/>
            <w:noWrap w:val="0"/>
            <w:vAlign w:val="center"/>
          </w:tcPr>
          <w:p w14:paraId="602556E0">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434" w:type="dxa"/>
            <w:noWrap w:val="0"/>
            <w:vAlign w:val="center"/>
          </w:tcPr>
          <w:p w14:paraId="65D1E496">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c>
          <w:tcPr>
            <w:tcW w:w="2355" w:type="dxa"/>
            <w:noWrap w:val="0"/>
            <w:vAlign w:val="center"/>
          </w:tcPr>
          <w:p w14:paraId="133DA14D">
            <w:pPr>
              <w:pageBreakBefore w:val="0"/>
              <w:tabs>
                <w:tab w:val="left" w:pos="6300"/>
              </w:tabs>
              <w:kinsoku/>
              <w:overflowPunct/>
              <w:topLinePunct w:val="0"/>
              <w:bidi w:val="0"/>
              <w:snapToGrid w:val="0"/>
              <w:spacing w:line="360" w:lineRule="auto"/>
              <w:ind w:firstLine="480" w:firstLineChars="200"/>
              <w:jc w:val="center"/>
              <w:outlineLvl w:val="0"/>
              <w:rPr>
                <w:rFonts w:hint="eastAsia" w:ascii="仿宋" w:hAnsi="仿宋" w:eastAsia="仿宋" w:cs="仿宋"/>
                <w:color w:val="auto"/>
                <w:sz w:val="24"/>
                <w:szCs w:val="24"/>
              </w:rPr>
            </w:pPr>
          </w:p>
        </w:tc>
      </w:tr>
    </w:tbl>
    <w:p w14:paraId="0E6A8225">
      <w:pPr>
        <w:pageBreakBefore w:val="0"/>
        <w:kinsoku/>
        <w:overflowPunct/>
        <w:topLinePunct w:val="0"/>
        <w:bidi w:val="0"/>
        <w:snapToGrid w:val="0"/>
        <w:spacing w:line="360" w:lineRule="auto"/>
        <w:ind w:firstLine="480" w:firstLineChars="200"/>
        <w:rPr>
          <w:rFonts w:hint="eastAsia" w:ascii="仿宋" w:hAnsi="仿宋" w:eastAsia="仿宋" w:cs="仿宋"/>
          <w:color w:val="auto"/>
          <w:sz w:val="24"/>
          <w:szCs w:val="24"/>
        </w:rPr>
      </w:pPr>
    </w:p>
    <w:p w14:paraId="6DDAEC14">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                                      法人授权代表：</w:t>
      </w:r>
    </w:p>
    <w:p w14:paraId="76126088">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p>
    <w:p w14:paraId="5ACF6ED5">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（供应商公章）                                 （签字或盖章）</w:t>
      </w:r>
    </w:p>
    <w:p w14:paraId="7C897838">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5A64638E">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注：</w:t>
      </w:r>
    </w:p>
    <w:p w14:paraId="4A874508">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eastAsia="zh-CN"/>
        </w:rPr>
        <w:t>1.</w:t>
      </w:r>
      <w:r>
        <w:rPr>
          <w:rFonts w:hint="eastAsia" w:ascii="仿宋" w:hAnsi="仿宋" w:eastAsia="仿宋" w:cs="仿宋"/>
          <w:color w:val="auto"/>
          <w:sz w:val="21"/>
          <w:szCs w:val="21"/>
        </w:rPr>
        <w:t>本表即为对本项目“ 项目商务需求”中所列服务要求进行比较和响应；</w:t>
      </w:r>
    </w:p>
    <w:p w14:paraId="5690A35A">
      <w:pPr>
        <w:pageBreakBefore w:val="0"/>
        <w:tabs>
          <w:tab w:val="left" w:pos="6300"/>
        </w:tabs>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eastAsia="zh-CN"/>
        </w:rPr>
        <w:t>2.</w:t>
      </w:r>
      <w:r>
        <w:rPr>
          <w:rFonts w:hint="eastAsia" w:ascii="仿宋" w:hAnsi="仿宋" w:eastAsia="仿宋" w:cs="仿宋"/>
          <w:color w:val="auto"/>
          <w:sz w:val="21"/>
          <w:szCs w:val="21"/>
        </w:rPr>
        <w:t>该表必须按照采购要求</w:t>
      </w:r>
      <w:r>
        <w:rPr>
          <w:rFonts w:hint="eastAsia" w:ascii="仿宋" w:hAnsi="仿宋" w:eastAsia="仿宋" w:cs="仿宋"/>
          <w:b/>
          <w:bCs/>
          <w:color w:val="auto"/>
          <w:sz w:val="21"/>
          <w:szCs w:val="21"/>
        </w:rPr>
        <w:t>逐条</w:t>
      </w:r>
      <w:r>
        <w:rPr>
          <w:rFonts w:hint="eastAsia" w:ascii="仿宋" w:hAnsi="仿宋" w:eastAsia="仿宋" w:cs="仿宋"/>
          <w:color w:val="auto"/>
          <w:sz w:val="21"/>
          <w:szCs w:val="21"/>
        </w:rPr>
        <w:t>如实填写，根据响应情况在“差异说明”项填写正偏离或负偏离及原因，完全符合的填写“无差异”；</w:t>
      </w:r>
    </w:p>
    <w:p w14:paraId="6ED9CB84">
      <w:pPr>
        <w:pageBreakBefore w:val="0"/>
        <w:kinsoku/>
        <w:overflowPunct/>
        <w:topLinePunct w:val="0"/>
        <w:bidi w:val="0"/>
        <w:snapToGrid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eastAsia="zh-CN"/>
        </w:rPr>
        <w:t>3.</w:t>
      </w:r>
      <w:r>
        <w:rPr>
          <w:rFonts w:hint="eastAsia" w:ascii="仿宋" w:hAnsi="仿宋" w:eastAsia="仿宋" w:cs="仿宋"/>
          <w:color w:val="auto"/>
          <w:sz w:val="21"/>
          <w:szCs w:val="21"/>
        </w:rPr>
        <w:t>该表可扩展，并签字或盖章。</w:t>
      </w:r>
    </w:p>
    <w:p w14:paraId="35B25DEC">
      <w:pPr>
        <w:pageBreakBefore w:val="0"/>
        <w:kinsoku/>
        <w:overflowPunct/>
        <w:topLinePunct w:val="0"/>
        <w:bidi w:val="0"/>
        <w:snapToGrid w:val="0"/>
        <w:spacing w:line="360" w:lineRule="auto"/>
        <w:ind w:firstLine="420" w:firstLineChars="200"/>
        <w:rPr>
          <w:rFonts w:hint="eastAsia" w:ascii="仿宋" w:hAnsi="仿宋" w:eastAsia="仿宋" w:cs="仿宋"/>
          <w:b/>
          <w:color w:val="auto"/>
          <w:sz w:val="21"/>
          <w:szCs w:val="21"/>
        </w:rPr>
        <w:sectPr>
          <w:headerReference r:id="rId6" w:type="default"/>
          <w:pgSz w:w="11905" w:h="16838"/>
          <w:pgMar w:top="1417" w:right="1417" w:bottom="1417" w:left="1417" w:header="850" w:footer="850" w:gutter="0"/>
          <w:cols w:space="720" w:num="1"/>
          <w:docGrid w:linePitch="380" w:charSpace="0"/>
        </w:sectPr>
      </w:pPr>
      <w:r>
        <w:rPr>
          <w:rFonts w:hint="eastAsia" w:ascii="仿宋" w:hAnsi="仿宋" w:eastAsia="仿宋" w:cs="仿宋"/>
          <w:color w:val="auto"/>
          <w:sz w:val="21"/>
          <w:szCs w:val="21"/>
          <w:lang w:eastAsia="zh-CN"/>
        </w:rPr>
        <w:t>4.</w:t>
      </w:r>
      <w:r>
        <w:rPr>
          <w:rFonts w:hint="eastAsia" w:ascii="仿宋" w:hAnsi="仿宋" w:eastAsia="仿宋" w:cs="仿宋"/>
          <w:color w:val="auto"/>
          <w:sz w:val="21"/>
          <w:szCs w:val="21"/>
        </w:rPr>
        <w:t>若“响应情况”栏中仅填写“无偏离”或“有偏离”等内容而未作实质性参数描述，该供应商将失去成为成交供应商的资格，仅保留其合格供应商的身份。</w:t>
      </w:r>
    </w:p>
    <w:p w14:paraId="40F0E862">
      <w:pPr>
        <w:pageBreakBefore w:val="0"/>
        <w:tabs>
          <w:tab w:val="left" w:pos="6300"/>
        </w:tabs>
        <w:kinsoku/>
        <w:overflowPunct/>
        <w:topLinePunct w:val="0"/>
        <w:bidi w:val="0"/>
        <w:snapToGrid w:val="0"/>
        <w:spacing w:line="360" w:lineRule="auto"/>
        <w:jc w:val="center"/>
        <w:rPr>
          <w:rFonts w:hint="eastAsia" w:ascii="仿宋" w:hAnsi="仿宋" w:eastAsia="仿宋" w:cs="仿宋"/>
          <w:b/>
          <w:bCs/>
          <w:color w:val="auto"/>
          <w:szCs w:val="28"/>
        </w:rPr>
      </w:pPr>
      <w:r>
        <w:rPr>
          <w:rFonts w:hint="eastAsia" w:ascii="仿宋" w:hAnsi="仿宋" w:eastAsia="仿宋" w:cs="仿宋"/>
          <w:b/>
          <w:bCs/>
          <w:color w:val="auto"/>
          <w:szCs w:val="28"/>
        </w:rPr>
        <w:t>（二）其他商务承诺（自附）</w:t>
      </w:r>
    </w:p>
    <w:p w14:paraId="6120CACC">
      <w:pPr>
        <w:pStyle w:val="3"/>
        <w:pageBreakBefore w:val="0"/>
        <w:kinsoku/>
        <w:overflowPunct/>
        <w:topLinePunct w:val="0"/>
        <w:bidi w:val="0"/>
        <w:spacing w:before="0" w:after="0" w:line="360" w:lineRule="auto"/>
        <w:rPr>
          <w:rFonts w:hint="eastAsia" w:ascii="仿宋" w:hAnsi="仿宋" w:eastAsia="仿宋" w:cs="仿宋"/>
          <w:color w:val="auto"/>
          <w:sz w:val="28"/>
        </w:rPr>
      </w:pPr>
      <w:r>
        <w:rPr>
          <w:rFonts w:hint="eastAsia" w:ascii="仿宋" w:hAnsi="仿宋" w:eastAsia="仿宋" w:cs="仿宋"/>
          <w:color w:val="auto"/>
          <w:sz w:val="24"/>
          <w:szCs w:val="24"/>
        </w:rPr>
        <w:br w:type="page"/>
      </w:r>
      <w:bookmarkEnd w:id="105"/>
      <w:bookmarkEnd w:id="106"/>
      <w:bookmarkEnd w:id="107"/>
      <w:bookmarkEnd w:id="108"/>
      <w:bookmarkStart w:id="109" w:name="_Toc13257"/>
      <w:bookmarkStart w:id="110" w:name="_Toc16508"/>
      <w:bookmarkStart w:id="111" w:name="_Toc26544"/>
      <w:bookmarkStart w:id="112" w:name="_Toc5027"/>
      <w:bookmarkStart w:id="113" w:name="_Toc297303196"/>
      <w:bookmarkStart w:id="114" w:name="_Toc325910675"/>
      <w:bookmarkStart w:id="115" w:name="_Toc322559743"/>
      <w:bookmarkStart w:id="116" w:name="_Toc330980530"/>
      <w:r>
        <w:rPr>
          <w:rFonts w:hint="eastAsia" w:ascii="仿宋" w:hAnsi="仿宋" w:eastAsia="仿宋" w:cs="仿宋"/>
          <w:color w:val="auto"/>
          <w:sz w:val="28"/>
          <w:lang w:val="en-US" w:eastAsia="zh-CN"/>
        </w:rPr>
        <w:t>三</w:t>
      </w:r>
      <w:r>
        <w:rPr>
          <w:rFonts w:hint="eastAsia" w:ascii="仿宋" w:hAnsi="仿宋" w:eastAsia="仿宋" w:cs="仿宋"/>
          <w:color w:val="auto"/>
          <w:sz w:val="28"/>
        </w:rPr>
        <w:t>、资格条件及其他</w:t>
      </w:r>
      <w:bookmarkEnd w:id="109"/>
      <w:bookmarkEnd w:id="110"/>
      <w:bookmarkEnd w:id="111"/>
      <w:bookmarkEnd w:id="112"/>
    </w:p>
    <w:bookmarkEnd w:id="113"/>
    <w:bookmarkEnd w:id="114"/>
    <w:bookmarkEnd w:id="115"/>
    <w:bookmarkEnd w:id="116"/>
    <w:p w14:paraId="0CF47CF5">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（一）法人营业执照（副本）或事业单位法人证书（副本）或个体工商户营业执照或有效的自然人身份证明或社会团体法人登记证书复印件</w:t>
      </w:r>
    </w:p>
    <w:p w14:paraId="61C223F4">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0862E3A1">
      <w:pPr>
        <w:pStyle w:val="38"/>
        <w:pageBreakBefore w:val="0"/>
        <w:kinsoku/>
        <w:overflowPunct/>
        <w:topLinePunct w:val="0"/>
        <w:bidi w:val="0"/>
        <w:spacing w:line="360" w:lineRule="auto"/>
        <w:rPr>
          <w:rFonts w:hint="eastAsia" w:ascii="仿宋" w:hAnsi="仿宋" w:eastAsia="仿宋" w:cs="仿宋"/>
          <w:color w:val="auto"/>
          <w:sz w:val="24"/>
          <w:szCs w:val="24"/>
        </w:rPr>
      </w:pPr>
    </w:p>
    <w:p w14:paraId="3BF2CBCB">
      <w:pPr>
        <w:pStyle w:val="38"/>
        <w:pageBreakBefore w:val="0"/>
        <w:kinsoku/>
        <w:overflowPunct/>
        <w:topLinePunct w:val="0"/>
        <w:bidi w:val="0"/>
        <w:spacing w:line="360" w:lineRule="auto"/>
        <w:rPr>
          <w:rFonts w:hint="eastAsia" w:ascii="仿宋" w:hAnsi="仿宋" w:eastAsia="仿宋" w:cs="仿宋"/>
          <w:color w:val="auto"/>
          <w:sz w:val="24"/>
          <w:szCs w:val="24"/>
        </w:rPr>
      </w:pPr>
    </w:p>
    <w:p w14:paraId="7E3A47F5">
      <w:pPr>
        <w:pStyle w:val="38"/>
        <w:pageBreakBefore w:val="0"/>
        <w:kinsoku/>
        <w:overflowPunct/>
        <w:topLinePunct w:val="0"/>
        <w:bidi w:val="0"/>
        <w:spacing w:line="360" w:lineRule="auto"/>
        <w:rPr>
          <w:rFonts w:hint="eastAsia" w:ascii="仿宋" w:hAnsi="仿宋" w:eastAsia="仿宋" w:cs="仿宋"/>
          <w:color w:val="auto"/>
          <w:sz w:val="24"/>
          <w:szCs w:val="24"/>
        </w:rPr>
      </w:pPr>
    </w:p>
    <w:p w14:paraId="05D502EB">
      <w:pPr>
        <w:pStyle w:val="38"/>
        <w:pageBreakBefore w:val="0"/>
        <w:kinsoku/>
        <w:overflowPunct/>
        <w:topLinePunct w:val="0"/>
        <w:bidi w:val="0"/>
        <w:spacing w:line="360" w:lineRule="auto"/>
        <w:rPr>
          <w:rFonts w:hint="eastAsia" w:ascii="仿宋" w:hAnsi="仿宋" w:eastAsia="仿宋" w:cs="仿宋"/>
          <w:color w:val="auto"/>
          <w:sz w:val="24"/>
          <w:szCs w:val="24"/>
        </w:rPr>
      </w:pPr>
    </w:p>
    <w:p w14:paraId="7368CD6B">
      <w:pPr>
        <w:pStyle w:val="38"/>
        <w:pageBreakBefore w:val="0"/>
        <w:kinsoku/>
        <w:overflowPunct/>
        <w:topLinePunct w:val="0"/>
        <w:bidi w:val="0"/>
        <w:spacing w:line="360" w:lineRule="auto"/>
        <w:rPr>
          <w:rFonts w:hint="eastAsia" w:ascii="仿宋" w:hAnsi="仿宋" w:eastAsia="仿宋" w:cs="仿宋"/>
          <w:color w:val="auto"/>
          <w:sz w:val="24"/>
          <w:szCs w:val="24"/>
        </w:rPr>
      </w:pPr>
    </w:p>
    <w:p w14:paraId="2EE37EDD">
      <w:pPr>
        <w:pStyle w:val="38"/>
        <w:pageBreakBefore w:val="0"/>
        <w:kinsoku/>
        <w:overflowPunct/>
        <w:topLinePunct w:val="0"/>
        <w:bidi w:val="0"/>
        <w:spacing w:line="360" w:lineRule="auto"/>
        <w:rPr>
          <w:rFonts w:hint="eastAsia" w:ascii="仿宋" w:hAnsi="仿宋" w:eastAsia="仿宋" w:cs="仿宋"/>
          <w:color w:val="auto"/>
          <w:sz w:val="24"/>
          <w:szCs w:val="24"/>
        </w:rPr>
      </w:pPr>
    </w:p>
    <w:p w14:paraId="69261E18">
      <w:pPr>
        <w:pStyle w:val="38"/>
        <w:pageBreakBefore w:val="0"/>
        <w:kinsoku/>
        <w:overflowPunct/>
        <w:topLinePunct w:val="0"/>
        <w:bidi w:val="0"/>
        <w:spacing w:line="360" w:lineRule="auto"/>
        <w:rPr>
          <w:rFonts w:hint="eastAsia" w:ascii="仿宋" w:hAnsi="仿宋" w:eastAsia="仿宋" w:cs="仿宋"/>
          <w:color w:val="auto"/>
          <w:sz w:val="24"/>
          <w:szCs w:val="24"/>
        </w:rPr>
      </w:pPr>
    </w:p>
    <w:p w14:paraId="3CE506C1">
      <w:pPr>
        <w:pStyle w:val="38"/>
        <w:pageBreakBefore w:val="0"/>
        <w:kinsoku/>
        <w:overflowPunct/>
        <w:topLinePunct w:val="0"/>
        <w:bidi w:val="0"/>
        <w:spacing w:line="360" w:lineRule="auto"/>
        <w:rPr>
          <w:rFonts w:hint="eastAsia" w:ascii="仿宋" w:hAnsi="仿宋" w:eastAsia="仿宋" w:cs="仿宋"/>
          <w:color w:val="auto"/>
          <w:sz w:val="24"/>
          <w:szCs w:val="24"/>
        </w:rPr>
      </w:pPr>
    </w:p>
    <w:p w14:paraId="76D6D769">
      <w:pPr>
        <w:pStyle w:val="38"/>
        <w:pageBreakBefore w:val="0"/>
        <w:kinsoku/>
        <w:overflowPunct/>
        <w:topLinePunct w:val="0"/>
        <w:bidi w:val="0"/>
        <w:spacing w:line="360" w:lineRule="auto"/>
        <w:rPr>
          <w:rFonts w:hint="eastAsia" w:ascii="仿宋" w:hAnsi="仿宋" w:eastAsia="仿宋" w:cs="仿宋"/>
          <w:color w:val="auto"/>
          <w:sz w:val="24"/>
          <w:szCs w:val="24"/>
        </w:rPr>
      </w:pPr>
    </w:p>
    <w:p w14:paraId="184BA2A9">
      <w:pPr>
        <w:pStyle w:val="38"/>
        <w:pageBreakBefore w:val="0"/>
        <w:kinsoku/>
        <w:overflowPunct/>
        <w:topLinePunct w:val="0"/>
        <w:bidi w:val="0"/>
        <w:spacing w:line="360" w:lineRule="auto"/>
        <w:rPr>
          <w:rFonts w:hint="eastAsia" w:ascii="仿宋" w:hAnsi="仿宋" w:eastAsia="仿宋" w:cs="仿宋"/>
          <w:color w:val="auto"/>
          <w:sz w:val="24"/>
          <w:szCs w:val="24"/>
        </w:rPr>
      </w:pPr>
    </w:p>
    <w:p w14:paraId="58756887">
      <w:pPr>
        <w:pStyle w:val="38"/>
        <w:pageBreakBefore w:val="0"/>
        <w:kinsoku/>
        <w:overflowPunct/>
        <w:topLinePunct w:val="0"/>
        <w:bidi w:val="0"/>
        <w:spacing w:line="360" w:lineRule="auto"/>
        <w:rPr>
          <w:rFonts w:hint="eastAsia" w:ascii="仿宋" w:hAnsi="仿宋" w:eastAsia="仿宋" w:cs="仿宋"/>
          <w:color w:val="auto"/>
          <w:sz w:val="24"/>
          <w:szCs w:val="24"/>
        </w:rPr>
      </w:pPr>
    </w:p>
    <w:p w14:paraId="05EFCB17">
      <w:pPr>
        <w:pStyle w:val="38"/>
        <w:pageBreakBefore w:val="0"/>
        <w:kinsoku/>
        <w:overflowPunct/>
        <w:topLinePunct w:val="0"/>
        <w:bidi w:val="0"/>
        <w:spacing w:line="360" w:lineRule="auto"/>
        <w:rPr>
          <w:rFonts w:hint="eastAsia" w:ascii="仿宋" w:hAnsi="仿宋" w:eastAsia="仿宋" w:cs="仿宋"/>
          <w:color w:val="auto"/>
          <w:sz w:val="24"/>
          <w:szCs w:val="24"/>
        </w:rPr>
      </w:pPr>
    </w:p>
    <w:p w14:paraId="09B0861C">
      <w:pPr>
        <w:pStyle w:val="38"/>
        <w:pageBreakBefore w:val="0"/>
        <w:kinsoku/>
        <w:overflowPunct/>
        <w:topLinePunct w:val="0"/>
        <w:bidi w:val="0"/>
        <w:spacing w:line="360" w:lineRule="auto"/>
        <w:rPr>
          <w:rFonts w:hint="eastAsia" w:ascii="仿宋" w:hAnsi="仿宋" w:eastAsia="仿宋" w:cs="仿宋"/>
          <w:color w:val="auto"/>
          <w:sz w:val="24"/>
          <w:szCs w:val="24"/>
        </w:rPr>
      </w:pPr>
    </w:p>
    <w:p w14:paraId="2390385F">
      <w:pPr>
        <w:pStyle w:val="38"/>
        <w:pageBreakBefore w:val="0"/>
        <w:kinsoku/>
        <w:overflowPunct/>
        <w:topLinePunct w:val="0"/>
        <w:bidi w:val="0"/>
        <w:spacing w:line="360" w:lineRule="auto"/>
        <w:rPr>
          <w:rFonts w:hint="eastAsia" w:ascii="仿宋" w:hAnsi="仿宋" w:eastAsia="仿宋" w:cs="仿宋"/>
          <w:color w:val="auto"/>
          <w:sz w:val="24"/>
          <w:szCs w:val="24"/>
        </w:rPr>
      </w:pPr>
    </w:p>
    <w:p w14:paraId="6F496701">
      <w:pPr>
        <w:pStyle w:val="38"/>
        <w:pageBreakBefore w:val="0"/>
        <w:kinsoku/>
        <w:overflowPunct/>
        <w:topLinePunct w:val="0"/>
        <w:bidi w:val="0"/>
        <w:spacing w:line="360" w:lineRule="auto"/>
        <w:rPr>
          <w:rFonts w:hint="eastAsia" w:ascii="仿宋" w:hAnsi="仿宋" w:eastAsia="仿宋" w:cs="仿宋"/>
          <w:color w:val="auto"/>
          <w:sz w:val="24"/>
          <w:szCs w:val="24"/>
        </w:rPr>
      </w:pPr>
    </w:p>
    <w:p w14:paraId="54B66527">
      <w:pPr>
        <w:pStyle w:val="38"/>
        <w:pageBreakBefore w:val="0"/>
        <w:kinsoku/>
        <w:overflowPunct/>
        <w:topLinePunct w:val="0"/>
        <w:bidi w:val="0"/>
        <w:spacing w:line="360" w:lineRule="auto"/>
        <w:rPr>
          <w:rFonts w:hint="eastAsia" w:ascii="仿宋" w:hAnsi="仿宋" w:eastAsia="仿宋" w:cs="仿宋"/>
          <w:color w:val="auto"/>
          <w:sz w:val="24"/>
          <w:szCs w:val="24"/>
        </w:rPr>
      </w:pPr>
    </w:p>
    <w:p w14:paraId="12332061">
      <w:pPr>
        <w:pStyle w:val="38"/>
        <w:pageBreakBefore w:val="0"/>
        <w:kinsoku/>
        <w:overflowPunct/>
        <w:topLinePunct w:val="0"/>
        <w:bidi w:val="0"/>
        <w:spacing w:line="360" w:lineRule="auto"/>
        <w:rPr>
          <w:rFonts w:hint="eastAsia" w:ascii="仿宋" w:hAnsi="仿宋" w:eastAsia="仿宋" w:cs="仿宋"/>
          <w:color w:val="auto"/>
          <w:sz w:val="24"/>
          <w:szCs w:val="24"/>
        </w:rPr>
      </w:pPr>
    </w:p>
    <w:p w14:paraId="2ABD0F18">
      <w:pPr>
        <w:pStyle w:val="38"/>
        <w:pageBreakBefore w:val="0"/>
        <w:kinsoku/>
        <w:overflowPunct/>
        <w:topLinePunct w:val="0"/>
        <w:bidi w:val="0"/>
        <w:spacing w:line="360" w:lineRule="auto"/>
        <w:rPr>
          <w:rFonts w:hint="eastAsia" w:ascii="仿宋" w:hAnsi="仿宋" w:eastAsia="仿宋" w:cs="仿宋"/>
          <w:color w:val="auto"/>
          <w:sz w:val="24"/>
          <w:szCs w:val="24"/>
        </w:rPr>
      </w:pPr>
    </w:p>
    <w:p w14:paraId="588AF284">
      <w:pPr>
        <w:pStyle w:val="38"/>
        <w:pageBreakBefore w:val="0"/>
        <w:kinsoku/>
        <w:overflowPunct/>
        <w:topLinePunct w:val="0"/>
        <w:bidi w:val="0"/>
        <w:spacing w:line="360" w:lineRule="auto"/>
        <w:rPr>
          <w:rFonts w:hint="eastAsia" w:ascii="仿宋" w:hAnsi="仿宋" w:eastAsia="仿宋" w:cs="仿宋"/>
          <w:color w:val="auto"/>
          <w:sz w:val="24"/>
          <w:szCs w:val="24"/>
        </w:rPr>
      </w:pPr>
    </w:p>
    <w:p w14:paraId="6DADD2AF">
      <w:pPr>
        <w:pStyle w:val="38"/>
        <w:pageBreakBefore w:val="0"/>
        <w:kinsoku/>
        <w:overflowPunct/>
        <w:topLinePunct w:val="0"/>
        <w:bidi w:val="0"/>
        <w:spacing w:line="360" w:lineRule="auto"/>
        <w:rPr>
          <w:rFonts w:hint="eastAsia" w:ascii="仿宋" w:hAnsi="仿宋" w:eastAsia="仿宋" w:cs="仿宋"/>
          <w:color w:val="auto"/>
          <w:sz w:val="24"/>
          <w:szCs w:val="24"/>
        </w:rPr>
      </w:pPr>
    </w:p>
    <w:p w14:paraId="60990014">
      <w:pPr>
        <w:pStyle w:val="38"/>
        <w:pageBreakBefore w:val="0"/>
        <w:kinsoku/>
        <w:overflowPunct/>
        <w:topLinePunct w:val="0"/>
        <w:bidi w:val="0"/>
        <w:spacing w:line="360" w:lineRule="auto"/>
        <w:rPr>
          <w:rFonts w:hint="eastAsia" w:ascii="仿宋" w:hAnsi="仿宋" w:eastAsia="仿宋" w:cs="仿宋"/>
          <w:color w:val="auto"/>
          <w:sz w:val="24"/>
          <w:szCs w:val="24"/>
        </w:rPr>
      </w:pPr>
    </w:p>
    <w:p w14:paraId="79A81115">
      <w:pPr>
        <w:pStyle w:val="38"/>
        <w:pageBreakBefore w:val="0"/>
        <w:kinsoku/>
        <w:overflowPunct/>
        <w:topLinePunct w:val="0"/>
        <w:bidi w:val="0"/>
        <w:spacing w:line="360" w:lineRule="auto"/>
        <w:rPr>
          <w:rFonts w:hint="eastAsia" w:ascii="仿宋" w:hAnsi="仿宋" w:eastAsia="仿宋" w:cs="仿宋"/>
          <w:color w:val="auto"/>
          <w:sz w:val="24"/>
          <w:szCs w:val="24"/>
        </w:rPr>
      </w:pPr>
    </w:p>
    <w:p w14:paraId="2E5C8400">
      <w:pPr>
        <w:pStyle w:val="38"/>
        <w:pageBreakBefore w:val="0"/>
        <w:kinsoku/>
        <w:overflowPunct/>
        <w:topLinePunct w:val="0"/>
        <w:bidi w:val="0"/>
        <w:spacing w:line="360" w:lineRule="auto"/>
        <w:rPr>
          <w:rFonts w:hint="eastAsia" w:ascii="仿宋" w:hAnsi="仿宋" w:eastAsia="仿宋" w:cs="仿宋"/>
          <w:color w:val="auto"/>
          <w:sz w:val="24"/>
          <w:szCs w:val="24"/>
        </w:rPr>
      </w:pPr>
    </w:p>
    <w:p w14:paraId="230DC3A5">
      <w:pPr>
        <w:pStyle w:val="38"/>
        <w:pageBreakBefore w:val="0"/>
        <w:kinsoku/>
        <w:overflowPunct/>
        <w:topLinePunct w:val="0"/>
        <w:bidi w:val="0"/>
        <w:spacing w:line="360" w:lineRule="auto"/>
        <w:rPr>
          <w:rFonts w:hint="eastAsia" w:ascii="仿宋" w:hAnsi="仿宋" w:eastAsia="仿宋" w:cs="仿宋"/>
          <w:color w:val="auto"/>
          <w:sz w:val="24"/>
          <w:szCs w:val="24"/>
        </w:rPr>
      </w:pPr>
    </w:p>
    <w:p w14:paraId="4D7C5686">
      <w:pPr>
        <w:pageBreakBefore w:val="0"/>
        <w:kinsoku/>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说明：供应商按“多证合一”登记制度办理营业执照的，税务登记证（副本）和社会保险登记证以供应商所提供的营业执照（副本）复印件为准。</w:t>
      </w:r>
    </w:p>
    <w:p w14:paraId="3B4ED940">
      <w:pPr>
        <w:pageBreakBefore w:val="0"/>
        <w:widowControl/>
        <w:kinsoku/>
        <w:overflowPunct/>
        <w:topLinePunct w:val="0"/>
        <w:bidi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（二）法定代表人身份证明书（格式）</w:t>
      </w:r>
    </w:p>
    <w:p w14:paraId="00D60A0C">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C24CCD6">
      <w:pPr>
        <w:pageBreakBefore w:val="0"/>
        <w:tabs>
          <w:tab w:val="left" w:pos="6300"/>
        </w:tabs>
        <w:kinsoku/>
        <w:overflowPunct/>
        <w:topLinePunct w:val="0"/>
        <w:bidi w:val="0"/>
        <w:snapToGrid w:val="0"/>
        <w:spacing w:line="360" w:lineRule="auto"/>
        <w:ind w:firstLine="570"/>
        <w:jc w:val="center"/>
        <w:rPr>
          <w:rFonts w:hint="eastAsia" w:ascii="仿宋" w:hAnsi="仿宋" w:eastAsia="仿宋" w:cs="仿宋"/>
          <w:color w:val="auto"/>
          <w:sz w:val="24"/>
          <w:szCs w:val="24"/>
        </w:rPr>
      </w:pPr>
      <w:r>
        <w:rPr>
          <w:rFonts w:hint="eastAsia" w:ascii="仿宋" w:hAnsi="仿宋" w:eastAsia="仿宋" w:cs="仿宋"/>
          <w:color w:val="auto"/>
          <w:sz w:val="36"/>
          <w:szCs w:val="36"/>
        </w:rPr>
        <w:t>法定代表人身份证明书</w:t>
      </w:r>
    </w:p>
    <w:p w14:paraId="56E73B8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snapToGrid w:val="0"/>
          <w:color w:val="auto"/>
          <w:kern w:val="0"/>
          <w:sz w:val="24"/>
          <w:szCs w:val="24"/>
          <w:u w:val="single"/>
        </w:rPr>
        <w:t xml:space="preserve">　               </w:t>
      </w:r>
    </w:p>
    <w:p w14:paraId="5DADE221">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71B4A3A">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（采购代理机构名称）</w:t>
      </w:r>
      <w:r>
        <w:rPr>
          <w:rFonts w:hint="eastAsia" w:ascii="仿宋" w:hAnsi="仿宋" w:eastAsia="仿宋" w:cs="仿宋"/>
          <w:color w:val="auto"/>
          <w:sz w:val="24"/>
          <w:szCs w:val="24"/>
        </w:rPr>
        <w:t>：</w:t>
      </w:r>
    </w:p>
    <w:p w14:paraId="2AF221D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（法定代表人姓名）</w:t>
      </w:r>
      <w:r>
        <w:rPr>
          <w:rFonts w:hint="eastAsia" w:ascii="仿宋" w:hAnsi="仿宋" w:eastAsia="仿宋" w:cs="仿宋"/>
          <w:color w:val="auto"/>
          <w:sz w:val="24"/>
          <w:szCs w:val="24"/>
        </w:rPr>
        <w:t>在</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（供应商名称）</w:t>
      </w:r>
      <w:r>
        <w:rPr>
          <w:rFonts w:hint="eastAsia" w:ascii="仿宋" w:hAnsi="仿宋" w:eastAsia="仿宋" w:cs="仿宋"/>
          <w:color w:val="auto"/>
          <w:sz w:val="24"/>
          <w:szCs w:val="24"/>
        </w:rPr>
        <w:t>任</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（职务名称）</w:t>
      </w:r>
      <w:r>
        <w:rPr>
          <w:rFonts w:hint="eastAsia" w:ascii="仿宋" w:hAnsi="仿宋" w:eastAsia="仿宋" w:cs="仿宋"/>
          <w:color w:val="auto"/>
          <w:sz w:val="24"/>
          <w:szCs w:val="24"/>
        </w:rPr>
        <w:t>职务，是</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（供应商名称）</w:t>
      </w:r>
      <w:r>
        <w:rPr>
          <w:rFonts w:hint="eastAsia" w:ascii="仿宋" w:hAnsi="仿宋" w:eastAsia="仿宋" w:cs="仿宋"/>
          <w:color w:val="auto"/>
          <w:sz w:val="24"/>
          <w:szCs w:val="24"/>
        </w:rPr>
        <w:t>的法定代表人。</w:t>
      </w:r>
    </w:p>
    <w:p w14:paraId="22F1935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2C499C0">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52182688">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91012BC">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52F1916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56CEA07E">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（供应商公章）</w:t>
      </w:r>
    </w:p>
    <w:p w14:paraId="1F2E601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5277BD6">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p w14:paraId="54C2257D">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0AAAB0AF">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（附：法定代表人身份证正反面复印件）</w:t>
      </w:r>
    </w:p>
    <w:p w14:paraId="5E296A2B">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DFC06A4">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1CFF7F5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ADEB118">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3C78545A">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36C30FFE">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8B863A6">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column"/>
      </w:r>
      <w:r>
        <w:rPr>
          <w:rFonts w:hint="eastAsia" w:ascii="仿宋" w:hAnsi="仿宋" w:eastAsia="仿宋" w:cs="仿宋"/>
          <w:color w:val="auto"/>
          <w:sz w:val="24"/>
          <w:szCs w:val="24"/>
        </w:rPr>
        <w:t>（三）法定代表人授权委托书（格式）</w:t>
      </w:r>
    </w:p>
    <w:p w14:paraId="76D16AF6">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FE1BBA5">
      <w:pPr>
        <w:pageBreakBefore w:val="0"/>
        <w:tabs>
          <w:tab w:val="left" w:pos="6300"/>
        </w:tabs>
        <w:kinsoku/>
        <w:overflowPunct/>
        <w:topLinePunct w:val="0"/>
        <w:bidi w:val="0"/>
        <w:snapToGrid w:val="0"/>
        <w:spacing w:line="360" w:lineRule="auto"/>
        <w:ind w:firstLine="570"/>
        <w:jc w:val="center"/>
        <w:rPr>
          <w:rFonts w:hint="eastAsia" w:ascii="仿宋" w:hAnsi="仿宋" w:eastAsia="仿宋" w:cs="仿宋"/>
          <w:color w:val="auto"/>
          <w:sz w:val="44"/>
          <w:szCs w:val="44"/>
        </w:rPr>
      </w:pPr>
      <w:r>
        <w:rPr>
          <w:rFonts w:hint="eastAsia" w:ascii="仿宋" w:hAnsi="仿宋" w:eastAsia="仿宋" w:cs="仿宋"/>
          <w:color w:val="auto"/>
          <w:sz w:val="44"/>
          <w:szCs w:val="44"/>
        </w:rPr>
        <w:t>法定代表人授权委托书</w:t>
      </w:r>
    </w:p>
    <w:p w14:paraId="0C0C1E80">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p>
    <w:p w14:paraId="602EE8DF">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snapToGrid w:val="0"/>
          <w:color w:val="auto"/>
          <w:kern w:val="0"/>
          <w:sz w:val="24"/>
          <w:szCs w:val="24"/>
          <w:u w:val="single"/>
        </w:rPr>
        <w:t xml:space="preserve">　               </w:t>
      </w:r>
    </w:p>
    <w:p w14:paraId="13EEC129">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7B5F93B">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（采购代理机构名称）</w:t>
      </w:r>
      <w:r>
        <w:rPr>
          <w:rFonts w:hint="eastAsia" w:ascii="仿宋" w:hAnsi="仿宋" w:eastAsia="仿宋" w:cs="仿宋"/>
          <w:color w:val="auto"/>
          <w:sz w:val="24"/>
          <w:szCs w:val="24"/>
        </w:rPr>
        <w:t>：</w:t>
      </w:r>
    </w:p>
    <w:p w14:paraId="2A8A48C1">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（供应商法定代表人名称）</w:t>
      </w:r>
      <w:r>
        <w:rPr>
          <w:rFonts w:hint="eastAsia" w:ascii="仿宋" w:hAnsi="仿宋" w:eastAsia="仿宋" w:cs="仿宋"/>
          <w:color w:val="auto"/>
          <w:sz w:val="24"/>
          <w:szCs w:val="24"/>
        </w:rPr>
        <w:t>是</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（供应商名称）</w:t>
      </w:r>
      <w:r>
        <w:rPr>
          <w:rFonts w:hint="eastAsia" w:ascii="仿宋" w:hAnsi="仿宋" w:eastAsia="仿宋" w:cs="仿宋"/>
          <w:color w:val="auto"/>
          <w:sz w:val="24"/>
          <w:szCs w:val="24"/>
        </w:rPr>
        <w:t>的法定代表人，特授权</w:t>
      </w:r>
      <w:r>
        <w:rPr>
          <w:rFonts w:hint="eastAsia" w:ascii="仿宋" w:hAnsi="仿宋" w:eastAsia="仿宋" w:cs="仿宋"/>
          <w:snapToGrid w:val="0"/>
          <w:color w:val="auto"/>
          <w:kern w:val="0"/>
          <w:sz w:val="24"/>
          <w:szCs w:val="24"/>
          <w:u w:val="single"/>
        </w:rPr>
        <w:t xml:space="preserve">          </w:t>
      </w:r>
      <w:r>
        <w:rPr>
          <w:rFonts w:hint="eastAsia" w:ascii="仿宋" w:hAnsi="仿宋" w:eastAsia="仿宋" w:cs="仿宋"/>
          <w:color w:val="auto"/>
          <w:sz w:val="24"/>
          <w:szCs w:val="24"/>
          <w:u w:val="single"/>
        </w:rPr>
        <w:t>（被授权人姓名及身份证代码）</w:t>
      </w:r>
      <w:r>
        <w:rPr>
          <w:rFonts w:hint="eastAsia" w:ascii="仿宋" w:hAnsi="仿宋" w:eastAsia="仿宋" w:cs="仿宋"/>
          <w:color w:val="auto"/>
          <w:sz w:val="24"/>
          <w:szCs w:val="24"/>
        </w:rPr>
        <w:t>代表我单位全权办理上述项目的竞采、签约等具体工作，并签署全部有关文件、协议及合同。</w:t>
      </w:r>
    </w:p>
    <w:p w14:paraId="7C033DD6">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我单位对被授权人的签字负全部责任。</w:t>
      </w:r>
    </w:p>
    <w:p w14:paraId="0171D258">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撤销</w:t>
      </w:r>
      <w:r>
        <w:rPr>
          <w:rFonts w:hint="eastAsia" w:ascii="仿宋" w:hAnsi="仿宋" w:eastAsia="仿宋" w:cs="仿宋"/>
          <w:color w:val="auto"/>
          <w:sz w:val="24"/>
          <w:szCs w:val="24"/>
        </w:rPr>
        <w:t>授权的书面通知以前，本授权书一直有效。被授权人在授权书有效期内签署的所有文件不因授权</w:t>
      </w:r>
      <w:r>
        <w:rPr>
          <w:rFonts w:hint="eastAsia" w:ascii="仿宋" w:hAnsi="仿宋" w:eastAsia="仿宋" w:cs="仿宋"/>
          <w:color w:val="auto"/>
          <w:sz w:val="24"/>
          <w:szCs w:val="24"/>
          <w:lang w:eastAsia="zh-CN"/>
        </w:rPr>
        <w:t>的撤销</w:t>
      </w:r>
      <w:r>
        <w:rPr>
          <w:rFonts w:hint="eastAsia" w:ascii="仿宋" w:hAnsi="仿宋" w:eastAsia="仿宋" w:cs="仿宋"/>
          <w:color w:val="auto"/>
          <w:sz w:val="24"/>
          <w:szCs w:val="24"/>
        </w:rPr>
        <w:t>而失效。</w:t>
      </w:r>
    </w:p>
    <w:p w14:paraId="58D240C9">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241A52D5">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2ED0544">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被授权人：                                   供应商法定代表人：</w:t>
      </w:r>
    </w:p>
    <w:p w14:paraId="7F49184E">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（签字或盖章）                              （签字或盖章）</w:t>
      </w:r>
    </w:p>
    <w:p w14:paraId="45C1CE7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6B764123">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8CDF2A2">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（附：被授权人身份证正反面复印件）</w:t>
      </w:r>
    </w:p>
    <w:p w14:paraId="14D45098">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7E51917">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7DCE7755">
      <w:pPr>
        <w:pageBreakBefore w:val="0"/>
        <w:tabs>
          <w:tab w:val="left" w:pos="6300"/>
        </w:tabs>
        <w:kinsoku/>
        <w:overflowPunct/>
        <w:topLinePunct w:val="0"/>
        <w:bidi w:val="0"/>
        <w:snapToGrid w:val="0"/>
        <w:spacing w:line="360" w:lineRule="auto"/>
        <w:ind w:firstLine="570"/>
        <w:rPr>
          <w:rFonts w:hint="eastAsia" w:ascii="仿宋" w:hAnsi="仿宋" w:eastAsia="仿宋" w:cs="仿宋"/>
          <w:color w:val="auto"/>
          <w:sz w:val="24"/>
          <w:szCs w:val="24"/>
        </w:rPr>
      </w:pPr>
    </w:p>
    <w:p w14:paraId="48EF2855">
      <w:pPr>
        <w:pageBreakBefore w:val="0"/>
        <w:tabs>
          <w:tab w:val="left" w:pos="6300"/>
        </w:tabs>
        <w:kinsoku/>
        <w:overflowPunct/>
        <w:topLinePunct w:val="0"/>
        <w:bidi w:val="0"/>
        <w:snapToGrid w:val="0"/>
        <w:spacing w:line="360" w:lineRule="auto"/>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p>
    <w:p w14:paraId="2F5F7252">
      <w:pPr>
        <w:pageBreakBefore w:val="0"/>
        <w:tabs>
          <w:tab w:val="left" w:pos="6300"/>
        </w:tabs>
        <w:kinsoku/>
        <w:overflowPunct/>
        <w:topLinePunct w:val="0"/>
        <w:bidi w:val="0"/>
        <w:snapToGrid w:val="0"/>
        <w:spacing w:line="360" w:lineRule="auto"/>
        <w:ind w:right="480"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296871D3">
      <w:pPr>
        <w:pStyle w:val="8"/>
        <w:pageBreakBefore w:val="0"/>
        <w:kinsoku/>
        <w:overflowPunct/>
        <w:topLinePunct w:val="0"/>
        <w:bidi w:val="0"/>
        <w:spacing w:line="360" w:lineRule="auto"/>
        <w:rPr>
          <w:rFonts w:hint="eastAsia" w:ascii="仿宋" w:hAnsi="仿宋" w:eastAsia="仿宋" w:cs="仿宋"/>
          <w:color w:val="auto"/>
          <w:sz w:val="24"/>
          <w:szCs w:val="24"/>
        </w:rPr>
      </w:pPr>
    </w:p>
    <w:p w14:paraId="7E237338">
      <w:pPr>
        <w:pStyle w:val="8"/>
        <w:pageBreakBefore w:val="0"/>
        <w:kinsoku/>
        <w:overflowPunct/>
        <w:topLinePunct w:val="0"/>
        <w:bidi w:val="0"/>
        <w:spacing w:line="360" w:lineRule="auto"/>
        <w:rPr>
          <w:rFonts w:hint="eastAsia" w:ascii="仿宋" w:hAnsi="仿宋" w:eastAsia="仿宋" w:cs="仿宋"/>
          <w:color w:val="auto"/>
          <w:sz w:val="24"/>
          <w:szCs w:val="24"/>
        </w:rPr>
      </w:pPr>
    </w:p>
    <w:p w14:paraId="4C3B6CB6">
      <w:pPr>
        <w:pStyle w:val="8"/>
        <w:pageBreakBefore w:val="0"/>
        <w:kinsoku/>
        <w:overflowPunct/>
        <w:topLinePunct w:val="0"/>
        <w:bidi w:val="0"/>
        <w:spacing w:line="360" w:lineRule="auto"/>
        <w:rPr>
          <w:rFonts w:hint="eastAsia" w:ascii="仿宋" w:hAnsi="仿宋" w:eastAsia="仿宋" w:cs="仿宋"/>
          <w:color w:val="auto"/>
          <w:sz w:val="24"/>
          <w:szCs w:val="24"/>
        </w:rPr>
      </w:pPr>
    </w:p>
    <w:p w14:paraId="230403F9">
      <w:pPr>
        <w:pStyle w:val="8"/>
        <w:pageBreakBefore w:val="0"/>
        <w:kinsoku/>
        <w:overflowPunct/>
        <w:topLinePunct w:val="0"/>
        <w:bidi w:val="0"/>
        <w:spacing w:line="360" w:lineRule="auto"/>
        <w:rPr>
          <w:rFonts w:hint="eastAsia" w:ascii="仿宋" w:hAnsi="仿宋" w:eastAsia="仿宋" w:cs="仿宋"/>
          <w:color w:val="auto"/>
          <w:sz w:val="24"/>
          <w:szCs w:val="24"/>
        </w:rPr>
      </w:pPr>
    </w:p>
    <w:p w14:paraId="30F6E4B6">
      <w:pPr>
        <w:pStyle w:val="8"/>
        <w:pageBreakBefore w:val="0"/>
        <w:kinsoku/>
        <w:overflowPunct/>
        <w:topLinePunct w:val="0"/>
        <w:bidi w:val="0"/>
        <w:spacing w:line="360" w:lineRule="auto"/>
        <w:rPr>
          <w:rFonts w:hint="eastAsia" w:ascii="仿宋" w:hAnsi="仿宋" w:eastAsia="仿宋" w:cs="仿宋"/>
          <w:color w:val="auto"/>
          <w:sz w:val="24"/>
          <w:szCs w:val="24"/>
        </w:rPr>
      </w:pPr>
    </w:p>
    <w:p w14:paraId="5E28ABB7">
      <w:pPr>
        <w:pStyle w:val="8"/>
        <w:pageBreakBefore w:val="0"/>
        <w:kinsoku/>
        <w:overflowPunct/>
        <w:topLinePunct w:val="0"/>
        <w:bidi w:val="0"/>
        <w:spacing w:line="360" w:lineRule="auto"/>
        <w:rPr>
          <w:rFonts w:hint="eastAsia" w:ascii="仿宋" w:hAnsi="仿宋" w:eastAsia="仿宋" w:cs="仿宋"/>
          <w:color w:val="auto"/>
          <w:sz w:val="24"/>
          <w:szCs w:val="24"/>
        </w:rPr>
      </w:pPr>
    </w:p>
    <w:p w14:paraId="27F495A9">
      <w:pPr>
        <w:pStyle w:val="8"/>
        <w:pageBreakBefore w:val="0"/>
        <w:kinsoku/>
        <w:overflowPunct/>
        <w:topLinePunct w:val="0"/>
        <w:bidi w:val="0"/>
        <w:spacing w:line="360" w:lineRule="auto"/>
        <w:rPr>
          <w:rFonts w:hint="eastAsia" w:ascii="仿宋" w:hAnsi="仿宋" w:eastAsia="仿宋" w:cs="仿宋"/>
          <w:color w:val="auto"/>
          <w:sz w:val="24"/>
          <w:szCs w:val="24"/>
        </w:rPr>
      </w:pPr>
    </w:p>
    <w:p w14:paraId="24705FFD">
      <w:pPr>
        <w:pageBreakBefore w:val="0"/>
        <w:kinsoku/>
        <w:overflowPunct/>
        <w:topLinePunct w:val="0"/>
        <w:bidi w:val="0"/>
        <w:spacing w:line="360" w:lineRule="auto"/>
        <w:jc w:val="left"/>
        <w:rPr>
          <w:rFonts w:hint="eastAsia" w:ascii="仿宋" w:hAnsi="仿宋" w:eastAsia="仿宋" w:cs="仿宋"/>
          <w:b/>
          <w:bCs/>
          <w:color w:val="auto"/>
          <w:sz w:val="32"/>
          <w:szCs w:val="32"/>
          <w:lang w:val="zh-CN"/>
        </w:rPr>
      </w:pPr>
      <w:r>
        <w:rPr>
          <w:rFonts w:hint="eastAsia" w:ascii="仿宋" w:hAnsi="仿宋" w:eastAsia="仿宋" w:cs="仿宋"/>
          <w:color w:val="auto"/>
          <w:sz w:val="24"/>
          <w:szCs w:val="24"/>
        </w:rPr>
        <w:t>（四）</w:t>
      </w:r>
      <w:r>
        <w:rPr>
          <w:rFonts w:hint="eastAsia" w:ascii="仿宋" w:hAnsi="仿宋" w:eastAsia="仿宋" w:cs="仿宋"/>
          <w:color w:val="auto"/>
          <w:sz w:val="24"/>
          <w:szCs w:val="24"/>
          <w:lang w:val="zh-CN"/>
        </w:rPr>
        <w:t>基本资格条件承诺函</w:t>
      </w:r>
      <w:r>
        <w:rPr>
          <w:rFonts w:hint="eastAsia" w:ascii="仿宋" w:hAnsi="仿宋" w:eastAsia="仿宋" w:cs="仿宋"/>
          <w:color w:val="auto"/>
          <w:sz w:val="24"/>
          <w:szCs w:val="24"/>
        </w:rPr>
        <w:t>（格式）</w:t>
      </w:r>
    </w:p>
    <w:p w14:paraId="2459B946">
      <w:pPr>
        <w:pageBreakBefore w:val="0"/>
        <w:kinsoku/>
        <w:overflowPunct/>
        <w:topLinePunct w:val="0"/>
        <w:bidi w:val="0"/>
        <w:snapToGrid w:val="0"/>
        <w:spacing w:line="360" w:lineRule="auto"/>
        <w:rPr>
          <w:rFonts w:hint="eastAsia" w:ascii="仿宋" w:hAnsi="仿宋" w:eastAsia="仿宋" w:cs="仿宋"/>
          <w:color w:val="auto"/>
          <w:sz w:val="24"/>
          <w:szCs w:val="24"/>
        </w:rPr>
      </w:pPr>
    </w:p>
    <w:p w14:paraId="28DAC935">
      <w:pPr>
        <w:pageBreakBefore w:val="0"/>
        <w:kinsoku/>
        <w:overflowPunct/>
        <w:topLinePunct w:val="0"/>
        <w:bidi w:val="0"/>
        <w:spacing w:line="360" w:lineRule="auto"/>
        <w:jc w:val="center"/>
        <w:rPr>
          <w:rFonts w:hint="eastAsia" w:ascii="仿宋" w:hAnsi="仿宋" w:eastAsia="仿宋" w:cs="仿宋"/>
          <w:b/>
          <w:bCs/>
          <w:color w:val="auto"/>
          <w:sz w:val="32"/>
          <w:szCs w:val="32"/>
          <w:lang w:val="zh-CN"/>
        </w:rPr>
      </w:pPr>
      <w:bookmarkStart w:id="117" w:name="_Toc11824"/>
      <w:bookmarkStart w:id="118" w:name="_Toc486585244"/>
      <w:bookmarkStart w:id="119" w:name="_Toc486608281"/>
      <w:bookmarkStart w:id="120" w:name="_Toc29032"/>
      <w:bookmarkStart w:id="121" w:name="_Toc487204801"/>
      <w:r>
        <w:rPr>
          <w:rFonts w:hint="eastAsia" w:ascii="仿宋" w:hAnsi="仿宋" w:eastAsia="仿宋" w:cs="仿宋"/>
          <w:b/>
          <w:bCs/>
          <w:color w:val="auto"/>
          <w:sz w:val="32"/>
          <w:szCs w:val="32"/>
          <w:lang w:val="zh-CN"/>
        </w:rPr>
        <w:t>基本资格条件承诺函</w:t>
      </w:r>
    </w:p>
    <w:p w14:paraId="03D7671F">
      <w:pPr>
        <w:pageBreakBefore w:val="0"/>
        <w:tabs>
          <w:tab w:val="left" w:pos="6300"/>
        </w:tabs>
        <w:kinsoku/>
        <w:overflowPunct/>
        <w:topLinePunct w:val="0"/>
        <w:bidi w:val="0"/>
        <w:snapToGrid w:val="0"/>
        <w:spacing w:line="360" w:lineRule="auto"/>
        <w:rPr>
          <w:rFonts w:hint="eastAsia" w:ascii="仿宋" w:hAnsi="仿宋" w:eastAsia="仿宋" w:cs="仿宋"/>
          <w:color w:val="auto"/>
          <w:sz w:val="24"/>
        </w:rPr>
      </w:pPr>
    </w:p>
    <w:p w14:paraId="2E197BFD">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（采购代理机构名称）：</w:t>
      </w:r>
    </w:p>
    <w:p w14:paraId="67DF4F88">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（供应商名称）郑重承诺：</w:t>
      </w:r>
    </w:p>
    <w:p w14:paraId="2C497EB2">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40D0F37B">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重大税收违法案件当事人名单”中，也未列入中国政府采购网（www.ccgp.gov.cn）“政府采购严重违法失信行为记录名单”中。</w:t>
      </w:r>
    </w:p>
    <w:p w14:paraId="78C9DDEE">
      <w:pPr>
        <w:pageBreakBefore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3.我方在采购项目评审环节结束后，随时接受采购人、采购代理机构的检查验证，配合提供相关证明材料，证明符合《中华人民共和国政府采购法》规定的供应商基本资格条件。</w:t>
      </w:r>
    </w:p>
    <w:p w14:paraId="49E8CAB4">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我方对以上承诺负全部法律责任。</w:t>
      </w:r>
    </w:p>
    <w:p w14:paraId="2F5CE2AB">
      <w:pPr>
        <w:pageBreakBefore w:val="0"/>
        <w:tabs>
          <w:tab w:val="left" w:pos="6300"/>
        </w:tabs>
        <w:kinsoku/>
        <w:overflowPunct/>
        <w:topLinePunct w:val="0"/>
        <w:bidi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29AD77C0">
      <w:pPr>
        <w:pageBreakBefore w:val="0"/>
        <w:tabs>
          <w:tab w:val="left" w:pos="6300"/>
        </w:tabs>
        <w:kinsoku/>
        <w:overflowPunct/>
        <w:topLinePunct w:val="0"/>
        <w:bidi w:val="0"/>
        <w:snapToGrid w:val="0"/>
        <w:spacing w:line="360" w:lineRule="auto"/>
        <w:rPr>
          <w:rFonts w:hint="eastAsia" w:ascii="仿宋" w:hAnsi="仿宋" w:eastAsia="仿宋" w:cs="仿宋"/>
          <w:color w:val="auto"/>
          <w:sz w:val="24"/>
          <w:szCs w:val="24"/>
        </w:rPr>
      </w:pPr>
    </w:p>
    <w:p w14:paraId="76F73B0C">
      <w:pPr>
        <w:pageBreakBefore w:val="0"/>
        <w:tabs>
          <w:tab w:val="left" w:pos="6300"/>
        </w:tabs>
        <w:kinsoku/>
        <w:overflowPunct/>
        <w:topLinePunct w:val="0"/>
        <w:bidi w:val="0"/>
        <w:snapToGrid w:val="0"/>
        <w:spacing w:line="360" w:lineRule="auto"/>
        <w:ind w:right="424" w:firstLine="570"/>
        <w:jc w:val="right"/>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p>
    <w:p w14:paraId="74894E96">
      <w:pPr>
        <w:pageBreakBefore w:val="0"/>
        <w:kinsoku/>
        <w:overflowPunct/>
        <w:topLinePunct w:val="0"/>
        <w:bidi w:val="0"/>
        <w:spacing w:line="36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14:paraId="2339156F">
      <w:pPr>
        <w:pageBreakBefore w:val="0"/>
        <w:kinsoku/>
        <w:overflowPunct/>
        <w:topLinePunct w:val="0"/>
        <w:bidi w:val="0"/>
        <w:spacing w:line="360" w:lineRule="auto"/>
        <w:jc w:val="right"/>
        <w:rPr>
          <w:rFonts w:hint="eastAsia" w:ascii="仿宋" w:hAnsi="仿宋" w:eastAsia="仿宋" w:cs="仿宋"/>
          <w:color w:val="auto"/>
          <w:sz w:val="24"/>
          <w:szCs w:val="24"/>
        </w:rPr>
        <w:sectPr>
          <w:footerReference r:id="rId7" w:type="default"/>
          <w:pgSz w:w="11906" w:h="16838"/>
          <w:pgMar w:top="1134" w:right="1134" w:bottom="1134" w:left="1417" w:header="851" w:footer="992" w:gutter="0"/>
          <w:cols w:space="720" w:num="1"/>
          <w:docGrid w:type="lines" w:linePitch="312" w:charSpace="0"/>
        </w:sectPr>
      </w:pPr>
    </w:p>
    <w:p w14:paraId="4BCF007F">
      <w:pPr>
        <w:pageBreakBefore w:val="0"/>
        <w:kinsoku/>
        <w:overflowPunct/>
        <w:topLinePunct w:val="0"/>
        <w:bidi w:val="0"/>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（五）特定资格条件证明文件</w:t>
      </w:r>
    </w:p>
    <w:p w14:paraId="6C7DA866">
      <w:pPr>
        <w:pageBreakBefore w:val="0"/>
        <w:kinsoku/>
        <w:overflowPunct/>
        <w:topLinePunct w:val="0"/>
        <w:bidi w:val="0"/>
        <w:spacing w:line="360" w:lineRule="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22" w:name="_Toc27085"/>
      <w:bookmarkStart w:id="123" w:name="_Toc21193"/>
      <w:bookmarkStart w:id="124" w:name="_Toc23040"/>
      <w:r>
        <w:rPr>
          <w:rFonts w:hint="eastAsia" w:ascii="仿宋" w:hAnsi="仿宋" w:eastAsia="仿宋" w:cs="仿宋"/>
          <w:b/>
          <w:color w:val="auto"/>
          <w:lang w:val="en-US" w:eastAsia="zh-CN"/>
        </w:rPr>
        <w:t>四</w:t>
      </w:r>
      <w:r>
        <w:rPr>
          <w:rFonts w:hint="eastAsia" w:ascii="仿宋" w:hAnsi="仿宋" w:eastAsia="仿宋" w:cs="仿宋"/>
          <w:b/>
          <w:color w:val="auto"/>
        </w:rPr>
        <w:t>、其他应提供的资料</w:t>
      </w:r>
      <w:bookmarkEnd w:id="117"/>
      <w:bookmarkEnd w:id="118"/>
      <w:bookmarkEnd w:id="119"/>
      <w:bookmarkEnd w:id="120"/>
      <w:bookmarkEnd w:id="121"/>
      <w:bookmarkEnd w:id="122"/>
      <w:bookmarkEnd w:id="123"/>
      <w:bookmarkEnd w:id="124"/>
    </w:p>
    <w:p w14:paraId="4595AB38">
      <w:pPr>
        <w:pageBreakBefore w:val="0"/>
        <w:kinsoku/>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（一）其他与项目有关的资料（自附）</w:t>
      </w:r>
    </w:p>
    <w:p w14:paraId="3EDB1112">
      <w:pPr>
        <w:pStyle w:val="38"/>
        <w:pageBreakBefore w:val="0"/>
        <w:kinsoku/>
        <w:overflowPunct/>
        <w:topLinePunct w:val="0"/>
        <w:bidi w:val="0"/>
        <w:spacing w:line="360" w:lineRule="auto"/>
        <w:rPr>
          <w:rFonts w:hint="eastAsia" w:ascii="仿宋" w:hAnsi="仿宋" w:eastAsia="仿宋" w:cs="仿宋"/>
          <w:color w:val="auto"/>
          <w:sz w:val="24"/>
          <w:szCs w:val="24"/>
        </w:rPr>
      </w:pPr>
    </w:p>
    <w:p w14:paraId="1F7475E2">
      <w:pPr>
        <w:pStyle w:val="38"/>
        <w:pageBreakBefore w:val="0"/>
        <w:kinsoku/>
        <w:overflowPunct/>
        <w:topLinePunct w:val="0"/>
        <w:bidi w:val="0"/>
        <w:spacing w:line="360" w:lineRule="auto"/>
        <w:rPr>
          <w:rFonts w:hint="eastAsia" w:ascii="仿宋" w:hAnsi="仿宋" w:eastAsia="仿宋" w:cs="仿宋"/>
          <w:color w:val="auto"/>
          <w:sz w:val="24"/>
          <w:szCs w:val="24"/>
        </w:rPr>
      </w:pPr>
    </w:p>
    <w:p w14:paraId="7F5569FE">
      <w:pPr>
        <w:pStyle w:val="38"/>
        <w:pageBreakBefore w:val="0"/>
        <w:kinsoku/>
        <w:overflowPunct/>
        <w:topLinePunct w:val="0"/>
        <w:bidi w:val="0"/>
        <w:spacing w:line="360" w:lineRule="auto"/>
        <w:rPr>
          <w:rFonts w:hint="eastAsia" w:ascii="仿宋" w:hAnsi="仿宋" w:eastAsia="仿宋" w:cs="仿宋"/>
          <w:color w:val="auto"/>
          <w:sz w:val="24"/>
          <w:szCs w:val="24"/>
        </w:rPr>
      </w:pPr>
    </w:p>
    <w:p w14:paraId="36C3BF68">
      <w:pPr>
        <w:pStyle w:val="38"/>
        <w:pageBreakBefore w:val="0"/>
        <w:kinsoku/>
        <w:overflowPunct/>
        <w:topLinePunct w:val="0"/>
        <w:bidi w:val="0"/>
        <w:spacing w:line="360" w:lineRule="auto"/>
        <w:rPr>
          <w:rFonts w:hint="eastAsia" w:ascii="仿宋" w:hAnsi="仿宋" w:eastAsia="仿宋" w:cs="仿宋"/>
          <w:color w:val="auto"/>
          <w:sz w:val="24"/>
          <w:szCs w:val="24"/>
        </w:rPr>
      </w:pPr>
    </w:p>
    <w:p w14:paraId="0EC00441">
      <w:pPr>
        <w:pStyle w:val="38"/>
        <w:pageBreakBefore w:val="0"/>
        <w:kinsoku/>
        <w:overflowPunct/>
        <w:topLinePunct w:val="0"/>
        <w:bidi w:val="0"/>
        <w:spacing w:line="360" w:lineRule="auto"/>
        <w:rPr>
          <w:rFonts w:hint="eastAsia" w:ascii="仿宋" w:hAnsi="仿宋" w:eastAsia="仿宋" w:cs="仿宋"/>
          <w:color w:val="auto"/>
          <w:sz w:val="24"/>
          <w:szCs w:val="24"/>
        </w:rPr>
      </w:pPr>
    </w:p>
    <w:p w14:paraId="2ADC5D23">
      <w:pPr>
        <w:pStyle w:val="38"/>
        <w:pageBreakBefore w:val="0"/>
        <w:kinsoku/>
        <w:overflowPunct/>
        <w:topLinePunct w:val="0"/>
        <w:bidi w:val="0"/>
        <w:spacing w:line="360" w:lineRule="auto"/>
        <w:rPr>
          <w:rFonts w:hint="eastAsia" w:ascii="仿宋" w:hAnsi="仿宋" w:eastAsia="仿宋" w:cs="仿宋"/>
          <w:color w:val="auto"/>
          <w:sz w:val="24"/>
          <w:szCs w:val="24"/>
        </w:rPr>
      </w:pPr>
    </w:p>
    <w:p w14:paraId="12EF48F0">
      <w:pPr>
        <w:pStyle w:val="38"/>
        <w:pageBreakBefore w:val="0"/>
        <w:kinsoku/>
        <w:overflowPunct/>
        <w:topLinePunct w:val="0"/>
        <w:bidi w:val="0"/>
        <w:spacing w:line="360" w:lineRule="auto"/>
        <w:rPr>
          <w:rFonts w:hint="eastAsia" w:ascii="仿宋" w:hAnsi="仿宋" w:eastAsia="仿宋" w:cs="仿宋"/>
          <w:color w:val="auto"/>
          <w:sz w:val="24"/>
          <w:szCs w:val="24"/>
        </w:rPr>
      </w:pPr>
    </w:p>
    <w:p w14:paraId="7BE9F5A9">
      <w:pPr>
        <w:pStyle w:val="38"/>
        <w:pageBreakBefore w:val="0"/>
        <w:kinsoku/>
        <w:overflowPunct/>
        <w:topLinePunct w:val="0"/>
        <w:bidi w:val="0"/>
        <w:spacing w:line="360" w:lineRule="auto"/>
        <w:rPr>
          <w:rFonts w:hint="eastAsia" w:ascii="仿宋" w:hAnsi="仿宋" w:eastAsia="仿宋" w:cs="仿宋"/>
          <w:color w:val="auto"/>
          <w:sz w:val="24"/>
          <w:szCs w:val="24"/>
        </w:rPr>
      </w:pPr>
    </w:p>
    <w:p w14:paraId="48967AB9">
      <w:pPr>
        <w:pStyle w:val="38"/>
        <w:pageBreakBefore w:val="0"/>
        <w:kinsoku/>
        <w:overflowPunct/>
        <w:topLinePunct w:val="0"/>
        <w:bidi w:val="0"/>
        <w:spacing w:line="360" w:lineRule="auto"/>
        <w:rPr>
          <w:rFonts w:hint="eastAsia" w:ascii="仿宋" w:hAnsi="仿宋" w:eastAsia="仿宋" w:cs="仿宋"/>
          <w:color w:val="auto"/>
          <w:sz w:val="24"/>
          <w:szCs w:val="24"/>
        </w:rPr>
      </w:pPr>
    </w:p>
    <w:p w14:paraId="5373CF10">
      <w:pPr>
        <w:pStyle w:val="38"/>
        <w:pageBreakBefore w:val="0"/>
        <w:kinsoku/>
        <w:overflowPunct/>
        <w:topLinePunct w:val="0"/>
        <w:bidi w:val="0"/>
        <w:spacing w:line="360" w:lineRule="auto"/>
        <w:rPr>
          <w:rFonts w:hint="eastAsia" w:ascii="仿宋" w:hAnsi="仿宋" w:eastAsia="仿宋" w:cs="仿宋"/>
          <w:color w:val="auto"/>
          <w:sz w:val="24"/>
          <w:szCs w:val="24"/>
        </w:rPr>
      </w:pPr>
    </w:p>
    <w:p w14:paraId="1E5A7222">
      <w:pPr>
        <w:pStyle w:val="38"/>
        <w:pageBreakBefore w:val="0"/>
        <w:kinsoku/>
        <w:overflowPunct/>
        <w:topLinePunct w:val="0"/>
        <w:bidi w:val="0"/>
        <w:spacing w:line="360" w:lineRule="auto"/>
        <w:rPr>
          <w:rFonts w:hint="eastAsia" w:ascii="仿宋" w:hAnsi="仿宋" w:eastAsia="仿宋" w:cs="仿宋"/>
          <w:color w:val="auto"/>
          <w:sz w:val="24"/>
          <w:szCs w:val="24"/>
        </w:rPr>
      </w:pPr>
    </w:p>
    <w:p w14:paraId="425AA5D2">
      <w:pPr>
        <w:pStyle w:val="38"/>
        <w:pageBreakBefore w:val="0"/>
        <w:kinsoku/>
        <w:overflowPunct/>
        <w:topLinePunct w:val="0"/>
        <w:bidi w:val="0"/>
        <w:spacing w:line="360" w:lineRule="auto"/>
        <w:rPr>
          <w:rFonts w:hint="eastAsia" w:ascii="仿宋" w:hAnsi="仿宋" w:eastAsia="仿宋" w:cs="仿宋"/>
          <w:color w:val="auto"/>
          <w:sz w:val="24"/>
          <w:szCs w:val="24"/>
        </w:rPr>
      </w:pPr>
    </w:p>
    <w:p w14:paraId="39A87186">
      <w:pPr>
        <w:pStyle w:val="38"/>
        <w:pageBreakBefore w:val="0"/>
        <w:kinsoku/>
        <w:overflowPunct/>
        <w:topLinePunct w:val="0"/>
        <w:bidi w:val="0"/>
        <w:spacing w:line="360" w:lineRule="auto"/>
        <w:rPr>
          <w:rFonts w:hint="eastAsia" w:ascii="仿宋" w:hAnsi="仿宋" w:eastAsia="仿宋" w:cs="仿宋"/>
          <w:color w:val="auto"/>
          <w:sz w:val="24"/>
          <w:szCs w:val="24"/>
        </w:rPr>
      </w:pPr>
    </w:p>
    <w:p w14:paraId="08F48CEA">
      <w:pPr>
        <w:pStyle w:val="38"/>
        <w:pageBreakBefore w:val="0"/>
        <w:kinsoku/>
        <w:overflowPunct/>
        <w:topLinePunct w:val="0"/>
        <w:bidi w:val="0"/>
        <w:spacing w:line="360" w:lineRule="auto"/>
        <w:rPr>
          <w:rFonts w:hint="eastAsia" w:ascii="仿宋" w:hAnsi="仿宋" w:eastAsia="仿宋" w:cs="仿宋"/>
          <w:color w:val="auto"/>
          <w:sz w:val="24"/>
          <w:szCs w:val="24"/>
        </w:rPr>
      </w:pPr>
    </w:p>
    <w:p w14:paraId="05FCCC71">
      <w:pPr>
        <w:pStyle w:val="38"/>
        <w:pageBreakBefore w:val="0"/>
        <w:kinsoku/>
        <w:overflowPunct/>
        <w:topLinePunct w:val="0"/>
        <w:bidi w:val="0"/>
        <w:spacing w:line="360" w:lineRule="auto"/>
        <w:rPr>
          <w:rFonts w:hint="eastAsia" w:ascii="仿宋" w:hAnsi="仿宋" w:eastAsia="仿宋" w:cs="仿宋"/>
          <w:color w:val="auto"/>
          <w:sz w:val="24"/>
          <w:szCs w:val="24"/>
        </w:rPr>
      </w:pPr>
    </w:p>
    <w:p w14:paraId="2B0834C2">
      <w:pPr>
        <w:pStyle w:val="38"/>
        <w:pageBreakBefore w:val="0"/>
        <w:kinsoku/>
        <w:overflowPunct/>
        <w:topLinePunct w:val="0"/>
        <w:bidi w:val="0"/>
        <w:spacing w:line="360" w:lineRule="auto"/>
        <w:rPr>
          <w:rFonts w:hint="eastAsia" w:ascii="仿宋" w:hAnsi="仿宋" w:eastAsia="仿宋" w:cs="仿宋"/>
          <w:color w:val="auto"/>
          <w:sz w:val="24"/>
          <w:szCs w:val="24"/>
        </w:rPr>
      </w:pPr>
    </w:p>
    <w:p w14:paraId="210759A4">
      <w:pPr>
        <w:pStyle w:val="38"/>
        <w:pageBreakBefore w:val="0"/>
        <w:kinsoku/>
        <w:overflowPunct/>
        <w:topLinePunct w:val="0"/>
        <w:bidi w:val="0"/>
        <w:spacing w:line="360" w:lineRule="auto"/>
        <w:rPr>
          <w:rFonts w:hint="eastAsia" w:ascii="仿宋" w:hAnsi="仿宋" w:eastAsia="仿宋" w:cs="仿宋"/>
          <w:color w:val="auto"/>
          <w:sz w:val="24"/>
          <w:szCs w:val="24"/>
        </w:rPr>
      </w:pPr>
    </w:p>
    <w:p w14:paraId="63CDD544">
      <w:pPr>
        <w:pStyle w:val="8"/>
        <w:pageBreakBefore w:val="0"/>
        <w:kinsoku/>
        <w:overflowPunct/>
        <w:topLinePunct w:val="0"/>
        <w:bidi w:val="0"/>
        <w:spacing w:line="360" w:lineRule="auto"/>
        <w:rPr>
          <w:rFonts w:hint="eastAsia" w:ascii="仿宋" w:hAnsi="仿宋" w:eastAsia="仿宋" w:cs="仿宋"/>
          <w:color w:val="auto"/>
          <w:sz w:val="24"/>
          <w:szCs w:val="24"/>
        </w:rPr>
      </w:pPr>
    </w:p>
    <w:p w14:paraId="2FDBC3D5">
      <w:pPr>
        <w:pageBreakBefore w:val="0"/>
        <w:kinsoku/>
        <w:overflowPunct/>
        <w:topLinePunct w:val="0"/>
        <w:bidi w:val="0"/>
        <w:spacing w:line="360" w:lineRule="auto"/>
        <w:rPr>
          <w:rFonts w:hint="eastAsia" w:ascii="仿宋" w:hAnsi="仿宋" w:eastAsia="仿宋" w:cs="仿宋"/>
          <w:color w:val="auto"/>
          <w:sz w:val="24"/>
          <w:szCs w:val="24"/>
        </w:rPr>
      </w:pPr>
    </w:p>
    <w:p w14:paraId="2675DDF4">
      <w:pPr>
        <w:pStyle w:val="8"/>
        <w:pageBreakBefore w:val="0"/>
        <w:kinsoku/>
        <w:overflowPunct/>
        <w:topLinePunct w:val="0"/>
        <w:bidi w:val="0"/>
        <w:spacing w:line="360" w:lineRule="auto"/>
        <w:rPr>
          <w:rFonts w:hint="eastAsia" w:ascii="仿宋" w:hAnsi="仿宋" w:eastAsia="仿宋" w:cs="仿宋"/>
          <w:color w:val="auto"/>
          <w:sz w:val="24"/>
          <w:szCs w:val="24"/>
        </w:rPr>
      </w:pPr>
    </w:p>
    <w:p w14:paraId="1469F563">
      <w:pPr>
        <w:pageBreakBefore w:val="0"/>
        <w:kinsoku/>
        <w:overflowPunct/>
        <w:topLinePunct w:val="0"/>
        <w:bidi w:val="0"/>
        <w:spacing w:line="360" w:lineRule="auto"/>
        <w:rPr>
          <w:rFonts w:hint="eastAsia" w:ascii="仿宋" w:hAnsi="仿宋" w:eastAsia="仿宋" w:cs="仿宋"/>
          <w:color w:val="auto"/>
          <w:sz w:val="24"/>
          <w:szCs w:val="24"/>
        </w:rPr>
      </w:pPr>
    </w:p>
    <w:p w14:paraId="03C96945">
      <w:pPr>
        <w:pStyle w:val="8"/>
        <w:pageBreakBefore w:val="0"/>
        <w:kinsoku/>
        <w:overflowPunct/>
        <w:topLinePunct w:val="0"/>
        <w:bidi w:val="0"/>
        <w:spacing w:line="360" w:lineRule="auto"/>
        <w:rPr>
          <w:rFonts w:hint="eastAsia" w:ascii="仿宋" w:hAnsi="仿宋" w:eastAsia="仿宋" w:cs="仿宋"/>
          <w:color w:val="auto"/>
          <w:sz w:val="24"/>
          <w:szCs w:val="24"/>
        </w:rPr>
      </w:pPr>
    </w:p>
    <w:p w14:paraId="392D1E71">
      <w:pPr>
        <w:pageBreakBefore w:val="0"/>
        <w:kinsoku/>
        <w:overflowPunct/>
        <w:topLinePunct w:val="0"/>
        <w:bidi w:val="0"/>
        <w:spacing w:line="360" w:lineRule="auto"/>
        <w:jc w:val="center"/>
        <w:rPr>
          <w:rFonts w:hint="eastAsia" w:ascii="仿宋" w:hAnsi="仿宋" w:eastAsia="仿宋" w:cs="仿宋"/>
          <w:color w:val="auto"/>
        </w:rPr>
      </w:pPr>
      <w:r>
        <w:rPr>
          <w:rFonts w:hint="eastAsia" w:ascii="仿宋" w:hAnsi="仿宋" w:eastAsia="仿宋" w:cs="仿宋"/>
          <w:color w:val="auto"/>
          <w:sz w:val="24"/>
          <w:szCs w:val="24"/>
        </w:rPr>
        <w:t>（结束）</w:t>
      </w:r>
    </w:p>
    <w:p w14:paraId="52A3EB7B">
      <w:pPr>
        <w:pageBreakBefore w:val="0"/>
        <w:widowControl/>
        <w:kinsoku/>
        <w:overflowPunct/>
        <w:topLinePunct w:val="0"/>
        <w:bidi w:val="0"/>
        <w:spacing w:line="360" w:lineRule="auto"/>
        <w:jc w:val="center"/>
        <w:rPr>
          <w:rFonts w:hint="eastAsia" w:ascii="仿宋" w:hAnsi="仿宋" w:eastAsia="仿宋" w:cs="仿宋"/>
          <w:color w:val="auto"/>
          <w:sz w:val="24"/>
          <w:szCs w:val="24"/>
        </w:rPr>
      </w:pPr>
    </w:p>
    <w:p w14:paraId="30457F1F">
      <w:pPr>
        <w:pageBreakBefore w:val="0"/>
        <w:widowControl/>
        <w:kinsoku/>
        <w:overflowPunct/>
        <w:topLinePunct w:val="0"/>
        <w:bidi w:val="0"/>
        <w:spacing w:line="360" w:lineRule="auto"/>
        <w:jc w:val="center"/>
        <w:rPr>
          <w:rFonts w:hint="eastAsia" w:ascii="仿宋" w:hAnsi="仿宋" w:eastAsia="仿宋" w:cs="仿宋"/>
          <w:color w:val="auto"/>
          <w:sz w:val="24"/>
          <w:szCs w:val="24"/>
        </w:rPr>
      </w:pPr>
    </w:p>
    <w:p w14:paraId="58D01653">
      <w:pPr>
        <w:pageBreakBefore w:val="0"/>
        <w:widowControl/>
        <w:kinsoku/>
        <w:overflowPunct/>
        <w:topLinePunct w:val="0"/>
        <w:bidi w:val="0"/>
        <w:spacing w:line="360" w:lineRule="auto"/>
        <w:jc w:val="center"/>
        <w:rPr>
          <w:rFonts w:hint="eastAsia" w:ascii="仿宋" w:hAnsi="仿宋" w:eastAsia="仿宋" w:cs="仿宋"/>
          <w:color w:val="auto"/>
          <w:sz w:val="24"/>
          <w:szCs w:val="24"/>
        </w:rPr>
      </w:pPr>
    </w:p>
    <w:p w14:paraId="6AB9CC43">
      <w:pPr>
        <w:pStyle w:val="8"/>
        <w:pageBreakBefore w:val="0"/>
        <w:kinsoku/>
        <w:overflowPunct/>
        <w:topLinePunct w:val="0"/>
        <w:bidi w:val="0"/>
        <w:spacing w:line="360" w:lineRule="auto"/>
        <w:rPr>
          <w:rFonts w:hint="eastAsia" w:ascii="仿宋" w:hAnsi="仿宋" w:eastAsia="仿宋" w:cs="仿宋"/>
          <w:color w:val="auto"/>
        </w:rPr>
      </w:pPr>
    </w:p>
    <w:p w14:paraId="4D9A0C4E">
      <w:pPr>
        <w:pageBreakBefore w:val="0"/>
        <w:kinsoku/>
        <w:overflowPunct/>
        <w:topLinePunct w:val="0"/>
        <w:bidi w:val="0"/>
        <w:spacing w:line="360" w:lineRule="auto"/>
        <w:rPr>
          <w:rFonts w:hint="eastAsia" w:ascii="仿宋" w:hAnsi="仿宋" w:eastAsia="仿宋" w:cs="仿宋"/>
          <w:color w:val="auto"/>
          <w:sz w:val="24"/>
          <w:szCs w:val="24"/>
        </w:rPr>
      </w:pPr>
    </w:p>
    <w:sectPr>
      <w:headerReference r:id="rId8" w:type="default"/>
      <w:footerReference r:id="rId9" w:type="default"/>
      <w:pgSz w:w="11906" w:h="16838"/>
      <w:pgMar w:top="1134" w:right="1134"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44D0">
    <w:pPr>
      <w:pStyle w:val="14"/>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013D20D">
                          <w:pPr>
                            <w:pStyle w:val="14"/>
                            <w:jc w:val="center"/>
                          </w:pPr>
                          <w:r>
                            <w:rPr>
                              <w:rFonts w:ascii="宋体" w:hAnsi="宋体" w:cs="宋体"/>
                              <w:sz w:val="21"/>
                              <w:szCs w:val="21"/>
                            </w:rPr>
                            <w:fldChar w:fldCharType="begin"/>
                          </w:r>
                          <w:r>
                            <w:rPr>
                              <w:rStyle w:val="25"/>
                              <w:rFonts w:ascii="宋体" w:hAnsi="宋体" w:cs="宋体"/>
                              <w:sz w:val="21"/>
                              <w:szCs w:val="21"/>
                            </w:rPr>
                            <w:instrText xml:space="preserve"> PAGE </w:instrText>
                          </w:r>
                          <w:r>
                            <w:rPr>
                              <w:rFonts w:ascii="宋体" w:hAnsi="宋体" w:cs="宋体"/>
                              <w:sz w:val="21"/>
                              <w:szCs w:val="21"/>
                            </w:rPr>
                            <w:fldChar w:fldCharType="separate"/>
                          </w:r>
                          <w:r>
                            <w:rPr>
                              <w:rStyle w:val="25"/>
                              <w:rFonts w:ascii="宋体" w:hAnsi="宋体" w:cs="宋体"/>
                              <w:sz w:val="21"/>
                              <w:szCs w:val="21"/>
                            </w:rPr>
                            <w:t>- 19 -</w:t>
                          </w:r>
                          <w:r>
                            <w:rPr>
                              <w:rFonts w:ascii="宋体" w:hAnsi="宋体" w:cs="宋体"/>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14:paraId="1013D20D">
                    <w:pPr>
                      <w:pStyle w:val="14"/>
                      <w:jc w:val="center"/>
                    </w:pPr>
                    <w:r>
                      <w:rPr>
                        <w:rFonts w:ascii="宋体" w:hAnsi="宋体" w:cs="宋体"/>
                        <w:sz w:val="21"/>
                        <w:szCs w:val="21"/>
                      </w:rPr>
                      <w:fldChar w:fldCharType="begin"/>
                    </w:r>
                    <w:r>
                      <w:rPr>
                        <w:rStyle w:val="25"/>
                        <w:rFonts w:ascii="宋体" w:hAnsi="宋体" w:cs="宋体"/>
                        <w:sz w:val="21"/>
                        <w:szCs w:val="21"/>
                      </w:rPr>
                      <w:instrText xml:space="preserve"> PAGE </w:instrText>
                    </w:r>
                    <w:r>
                      <w:rPr>
                        <w:rFonts w:ascii="宋体" w:hAnsi="宋体" w:cs="宋体"/>
                        <w:sz w:val="21"/>
                        <w:szCs w:val="21"/>
                      </w:rPr>
                      <w:fldChar w:fldCharType="separate"/>
                    </w:r>
                    <w:r>
                      <w:rPr>
                        <w:rStyle w:val="25"/>
                        <w:rFonts w:ascii="宋体" w:hAnsi="宋体" w:cs="宋体"/>
                        <w:sz w:val="21"/>
                        <w:szCs w:val="21"/>
                      </w:rPr>
                      <w:t>- 19 -</w:t>
                    </w:r>
                    <w:r>
                      <w:rPr>
                        <w:rFonts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905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w="9525">
                        <a:noFill/>
                      </a:ln>
                      <a:effectLst/>
                    </wps:spPr>
                    <wps:txbx>
                      <w:txbxContent>
                        <w:p w14:paraId="589606AD">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27</w:t>
                          </w:r>
                          <w:r>
                            <w:rPr>
                              <w:rFonts w:ascii="宋体" w:hAnsi="宋体" w:cs="宋体"/>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xsx0gAAAAMBAAAPAAAAAAAAAAEA&#10;IAAAACIAAABkcnMvZG93bnJldi54bWxQSwECFAAUAAAACACHTuJAnK1eO9wBAACuAwAADgAAAAAA&#10;AAABACAAAAAhAQAAZHJzL2Uyb0RvYy54bWxQSwUGAAAAAAYABgBZAQAAbwUAAAAA&#10;">
              <v:fill on="f" focussize="0,0"/>
              <v:stroke on="f"/>
              <v:imagedata o:title=""/>
              <o:lock v:ext="edit" aspectratio="f"/>
              <v:textbox inset="0mm,0mm,0mm,0mm" style="mso-fit-shape-to-text:t;">
                <w:txbxContent>
                  <w:p w14:paraId="589606AD">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27</w:t>
                    </w:r>
                    <w:r>
                      <w:rPr>
                        <w:rFonts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D9E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w="9525">
                        <a:noFill/>
                      </a:ln>
                      <a:effectLst/>
                    </wps:spPr>
                    <wps:txbx>
                      <w:txbxContent>
                        <w:p w14:paraId="38EEF3EE">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32</w:t>
                          </w:r>
                          <w:r>
                            <w:rPr>
                              <w:rFonts w:ascii="宋体" w:hAnsi="宋体" w:cs="宋体"/>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8bMdIAAAADAQAADwAAAAAAAAAB&#10;ACAAAAAiAAAAZHJzL2Rvd25yZXYueG1sUEsBAhQAFAAAAAgAh07iQAu1koHdAQAArgMAAA4AAAAA&#10;AAAAAQAgAAAAIQEAAGRycy9lMm9Eb2MueG1sUEsFBgAAAAAGAAYAWQEAAHAFAAAAAA==&#10;">
              <v:fill on="f" focussize="0,0"/>
              <v:stroke on="f"/>
              <v:imagedata o:title=""/>
              <o:lock v:ext="edit" aspectratio="f"/>
              <v:textbox inset="0mm,0mm,0mm,0mm" style="mso-fit-shape-to-text:t;">
                <w:txbxContent>
                  <w:p w14:paraId="38EEF3EE">
                    <w:pPr>
                      <w:pStyle w:val="14"/>
                    </w:pPr>
                    <w:r>
                      <w:rPr>
                        <w:rFonts w:ascii="宋体" w:hAnsi="宋体" w:cs="宋体"/>
                      </w:rPr>
                      <w:fldChar w:fldCharType="begin"/>
                    </w:r>
                    <w:r>
                      <w:rPr>
                        <w:rFonts w:ascii="宋体" w:hAnsi="宋体" w:cs="宋体"/>
                      </w:rPr>
                      <w:instrText xml:space="preserve"> PAGE  \* MERGEFORMAT </w:instrText>
                    </w:r>
                    <w:r>
                      <w:rPr>
                        <w:rFonts w:ascii="宋体" w:hAnsi="宋体" w:cs="宋体"/>
                      </w:rPr>
                      <w:fldChar w:fldCharType="separate"/>
                    </w:r>
                    <w:r>
                      <w:rPr>
                        <w:rFonts w:ascii="宋体" w:hAnsi="宋体" w:cs="宋体"/>
                      </w:rPr>
                      <w:t>32</w:t>
                    </w:r>
                    <w:r>
                      <w:rPr>
                        <w:rFonts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9A67">
    <w:pPr>
      <w:pStyle w:val="15"/>
      <w:jc w:val="both"/>
      <w:rPr>
        <w:rFonts w:hint="eastAsia" w:ascii="仿宋" w:hAnsi="仿宋" w:eastAsia="仿宋" w:cs="仿宋"/>
        <w:sz w:val="21"/>
        <w:szCs w:val="21"/>
      </w:rPr>
    </w:pPr>
    <w:r>
      <w:rPr>
        <w:rFonts w:hint="eastAsia" w:ascii="仿宋" w:hAnsi="仿宋" w:eastAsia="仿宋" w:cs="仿宋"/>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88726">
    <w:pPr>
      <w:pStyle w:val="15"/>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DED9A">
    <w:pPr>
      <w:pStyle w:val="15"/>
      <w:pBdr>
        <w:top w:val="none" w:color="auto" w:sz="0" w:space="1"/>
        <w:left w:val="none" w:color="auto" w:sz="0" w:space="4"/>
        <w:bottom w:val="none" w:color="auto" w:sz="0" w:space="1"/>
        <w:right w:val="none" w:color="auto" w:sz="0" w:space="4"/>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9D50">
    <w:pPr>
      <w:pStyle w:val="15"/>
      <w:pBdr>
        <w:bottom w:val="none" w:color="auto" w:sz="0" w:space="0"/>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EAC8F"/>
    <w:multiLevelType w:val="singleLevel"/>
    <w:tmpl w:val="EB4EAC8F"/>
    <w:lvl w:ilvl="0" w:tentative="0">
      <w:start w:val="2"/>
      <w:numFmt w:val="decimal"/>
      <w:lvlText w:val="%1."/>
      <w:lvlJc w:val="left"/>
      <w:pPr>
        <w:tabs>
          <w:tab w:val="left" w:pos="312"/>
        </w:tabs>
      </w:pPr>
    </w:lvl>
  </w:abstractNum>
  <w:abstractNum w:abstractNumId="1">
    <w:nsid w:val="ECB3D115"/>
    <w:multiLevelType w:val="singleLevel"/>
    <w:tmpl w:val="ECB3D115"/>
    <w:lvl w:ilvl="0" w:tentative="0">
      <w:start w:val="1"/>
      <w:numFmt w:val="decimal"/>
      <w:suff w:val="nothing"/>
      <w:lvlText w:val="%1、"/>
      <w:lvlJc w:val="left"/>
    </w:lvl>
  </w:abstractNum>
  <w:abstractNum w:abstractNumId="2">
    <w:nsid w:val="0000000E"/>
    <w:multiLevelType w:val="multilevel"/>
    <w:tmpl w:val="0000000E"/>
    <w:lvl w:ilvl="0" w:tentative="0">
      <w:start w:val="1"/>
      <w:numFmt w:val="bullet"/>
      <w:pStyle w:val="3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3">
    <w:nsid w:val="063F2B77"/>
    <w:multiLevelType w:val="singleLevel"/>
    <w:tmpl w:val="063F2B77"/>
    <w:lvl w:ilvl="0" w:tentative="0">
      <w:start w:val="2"/>
      <w:numFmt w:val="chineseCounting"/>
      <w:suff w:val="nothing"/>
      <w:lvlText w:val="（%1）"/>
      <w:lvlJc w:val="left"/>
      <w:rPr>
        <w:rFonts w:hint="eastAsia"/>
      </w:rPr>
    </w:lvl>
  </w:abstractNum>
  <w:abstractNum w:abstractNumId="4">
    <w:nsid w:val="14412889"/>
    <w:multiLevelType w:val="singleLevel"/>
    <w:tmpl w:val="14412889"/>
    <w:lvl w:ilvl="0" w:tentative="0">
      <w:start w:val="5"/>
      <w:numFmt w:val="chineseCounting"/>
      <w:suff w:val="nothing"/>
      <w:lvlText w:val="%1、"/>
      <w:lvlJc w:val="left"/>
      <w:rPr>
        <w:rFonts w:hint="eastAsia"/>
      </w:rPr>
    </w:lvl>
  </w:abstractNum>
  <w:abstractNum w:abstractNumId="5">
    <w:nsid w:val="15A13975"/>
    <w:multiLevelType w:val="singleLevel"/>
    <w:tmpl w:val="15A13975"/>
    <w:lvl w:ilvl="0" w:tentative="0">
      <w:start w:val="1"/>
      <w:numFmt w:val="chineseCounting"/>
      <w:suff w:val="nothing"/>
      <w:lvlText w:val="（%1）"/>
      <w:lvlJc w:val="left"/>
      <w:pPr>
        <w:ind w:left="0" w:firstLine="420"/>
      </w:pPr>
      <w:rPr>
        <w:rFonts w:hint="eastAsia"/>
      </w:rPr>
    </w:lvl>
  </w:abstractNum>
  <w:abstractNum w:abstractNumId="6">
    <w:nsid w:val="54ED023F"/>
    <w:multiLevelType w:val="singleLevel"/>
    <w:tmpl w:val="54ED023F"/>
    <w:lvl w:ilvl="0" w:tentative="0">
      <w:start w:val="1"/>
      <w:numFmt w:val="decimal"/>
      <w:suff w:val="nothing"/>
      <w:lvlText w:val="（%1）"/>
      <w:lvlJc w:val="left"/>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ZTZiODY2MzQ4NGE1ZjVkM2YyZDM1YTFkNWJhMzkifQ=="/>
  </w:docVars>
  <w:rsids>
    <w:rsidRoot w:val="006C61F7"/>
    <w:rsid w:val="00043EE3"/>
    <w:rsid w:val="000510B6"/>
    <w:rsid w:val="001105B2"/>
    <w:rsid w:val="001A05AF"/>
    <w:rsid w:val="001C4FC9"/>
    <w:rsid w:val="001D3742"/>
    <w:rsid w:val="00210802"/>
    <w:rsid w:val="00212F68"/>
    <w:rsid w:val="002157FE"/>
    <w:rsid w:val="00217ADB"/>
    <w:rsid w:val="0029403A"/>
    <w:rsid w:val="002D6931"/>
    <w:rsid w:val="00331ECD"/>
    <w:rsid w:val="00355BE7"/>
    <w:rsid w:val="003D1D2D"/>
    <w:rsid w:val="0045657D"/>
    <w:rsid w:val="00476529"/>
    <w:rsid w:val="00525284"/>
    <w:rsid w:val="006155F1"/>
    <w:rsid w:val="00633C8D"/>
    <w:rsid w:val="00656184"/>
    <w:rsid w:val="0066082D"/>
    <w:rsid w:val="006C61F7"/>
    <w:rsid w:val="006E3B9C"/>
    <w:rsid w:val="006E527D"/>
    <w:rsid w:val="006F1D44"/>
    <w:rsid w:val="0076601D"/>
    <w:rsid w:val="00787026"/>
    <w:rsid w:val="007A00B1"/>
    <w:rsid w:val="007D700D"/>
    <w:rsid w:val="008F18A9"/>
    <w:rsid w:val="008F744C"/>
    <w:rsid w:val="0093400E"/>
    <w:rsid w:val="00946292"/>
    <w:rsid w:val="00957877"/>
    <w:rsid w:val="0099660C"/>
    <w:rsid w:val="00A20A40"/>
    <w:rsid w:val="00A66A28"/>
    <w:rsid w:val="00AE2775"/>
    <w:rsid w:val="00AF69AE"/>
    <w:rsid w:val="00B11DE3"/>
    <w:rsid w:val="00B815E9"/>
    <w:rsid w:val="00B83040"/>
    <w:rsid w:val="00BD63E5"/>
    <w:rsid w:val="00C97DC5"/>
    <w:rsid w:val="00CE527F"/>
    <w:rsid w:val="00D3648E"/>
    <w:rsid w:val="00D51A5A"/>
    <w:rsid w:val="00D70A33"/>
    <w:rsid w:val="00E14FE7"/>
    <w:rsid w:val="00E15AEF"/>
    <w:rsid w:val="00E7011D"/>
    <w:rsid w:val="014952AA"/>
    <w:rsid w:val="01916C5A"/>
    <w:rsid w:val="01934780"/>
    <w:rsid w:val="02396DE0"/>
    <w:rsid w:val="02445A7A"/>
    <w:rsid w:val="028118AD"/>
    <w:rsid w:val="031713E0"/>
    <w:rsid w:val="035148F2"/>
    <w:rsid w:val="035C5045"/>
    <w:rsid w:val="03B73B1E"/>
    <w:rsid w:val="03E5328D"/>
    <w:rsid w:val="043C3147"/>
    <w:rsid w:val="049C1FAD"/>
    <w:rsid w:val="04B50EB1"/>
    <w:rsid w:val="04DE6FC6"/>
    <w:rsid w:val="04E14DD2"/>
    <w:rsid w:val="0577171E"/>
    <w:rsid w:val="058C647B"/>
    <w:rsid w:val="059223A8"/>
    <w:rsid w:val="068B0CBE"/>
    <w:rsid w:val="06DA697F"/>
    <w:rsid w:val="07041C7C"/>
    <w:rsid w:val="07A6293B"/>
    <w:rsid w:val="07B238FF"/>
    <w:rsid w:val="07CF58E1"/>
    <w:rsid w:val="08845757"/>
    <w:rsid w:val="08D97EAE"/>
    <w:rsid w:val="08DF02AB"/>
    <w:rsid w:val="08F137F8"/>
    <w:rsid w:val="090369F3"/>
    <w:rsid w:val="094B5940"/>
    <w:rsid w:val="09563CBD"/>
    <w:rsid w:val="095B109F"/>
    <w:rsid w:val="095F3199"/>
    <w:rsid w:val="0A622F41"/>
    <w:rsid w:val="0A8518F7"/>
    <w:rsid w:val="0A9E2212"/>
    <w:rsid w:val="0B2D79F3"/>
    <w:rsid w:val="0B470BF6"/>
    <w:rsid w:val="0B835865"/>
    <w:rsid w:val="0BBC191D"/>
    <w:rsid w:val="0C1A4035"/>
    <w:rsid w:val="0C1B5A9E"/>
    <w:rsid w:val="0C272F14"/>
    <w:rsid w:val="0C5E79A0"/>
    <w:rsid w:val="0C6D3E1F"/>
    <w:rsid w:val="0C7C5886"/>
    <w:rsid w:val="0CE47BD9"/>
    <w:rsid w:val="0D196BD7"/>
    <w:rsid w:val="0D62348F"/>
    <w:rsid w:val="0DF6410A"/>
    <w:rsid w:val="0E144C7D"/>
    <w:rsid w:val="0E361350"/>
    <w:rsid w:val="0E514187"/>
    <w:rsid w:val="0E7C659C"/>
    <w:rsid w:val="0E83792A"/>
    <w:rsid w:val="0F253AE5"/>
    <w:rsid w:val="0F6A4434"/>
    <w:rsid w:val="0F870421"/>
    <w:rsid w:val="104E5D16"/>
    <w:rsid w:val="10855C5C"/>
    <w:rsid w:val="109C2F25"/>
    <w:rsid w:val="10F70E95"/>
    <w:rsid w:val="11262D37"/>
    <w:rsid w:val="11333889"/>
    <w:rsid w:val="11763BED"/>
    <w:rsid w:val="119C5379"/>
    <w:rsid w:val="11E06E41"/>
    <w:rsid w:val="120E1E62"/>
    <w:rsid w:val="12582E7C"/>
    <w:rsid w:val="126B6286"/>
    <w:rsid w:val="12D61E24"/>
    <w:rsid w:val="13824654"/>
    <w:rsid w:val="13AC16D1"/>
    <w:rsid w:val="143E6479"/>
    <w:rsid w:val="1468743A"/>
    <w:rsid w:val="149C34F4"/>
    <w:rsid w:val="14B720DC"/>
    <w:rsid w:val="14C17194"/>
    <w:rsid w:val="14FE1F43"/>
    <w:rsid w:val="15BD1974"/>
    <w:rsid w:val="15DB629E"/>
    <w:rsid w:val="16153436"/>
    <w:rsid w:val="1638324F"/>
    <w:rsid w:val="16A423CF"/>
    <w:rsid w:val="17773DA4"/>
    <w:rsid w:val="17884203"/>
    <w:rsid w:val="18085697"/>
    <w:rsid w:val="189F7A56"/>
    <w:rsid w:val="19126B92"/>
    <w:rsid w:val="19453F08"/>
    <w:rsid w:val="1A886C6A"/>
    <w:rsid w:val="1A8E38DF"/>
    <w:rsid w:val="1AA50C28"/>
    <w:rsid w:val="1B024F2D"/>
    <w:rsid w:val="1B520DB0"/>
    <w:rsid w:val="1B5763C6"/>
    <w:rsid w:val="1B761CBF"/>
    <w:rsid w:val="1BA56BEA"/>
    <w:rsid w:val="1BC51FA6"/>
    <w:rsid w:val="1BEF2B58"/>
    <w:rsid w:val="1CB2187A"/>
    <w:rsid w:val="1CBF2475"/>
    <w:rsid w:val="1CD13D54"/>
    <w:rsid w:val="1D3F6E1C"/>
    <w:rsid w:val="1D462E07"/>
    <w:rsid w:val="1D5759F2"/>
    <w:rsid w:val="1DB210F9"/>
    <w:rsid w:val="1DCD6280"/>
    <w:rsid w:val="1DD67A76"/>
    <w:rsid w:val="1E4A31FA"/>
    <w:rsid w:val="1EBF50DB"/>
    <w:rsid w:val="1EC4464D"/>
    <w:rsid w:val="1ECC70CB"/>
    <w:rsid w:val="1EF53B62"/>
    <w:rsid w:val="1F4B7FF0"/>
    <w:rsid w:val="1F861028"/>
    <w:rsid w:val="1FC57DA2"/>
    <w:rsid w:val="1FFB1A16"/>
    <w:rsid w:val="206B2F93"/>
    <w:rsid w:val="20C938C2"/>
    <w:rsid w:val="20EB418E"/>
    <w:rsid w:val="215350EF"/>
    <w:rsid w:val="216950F9"/>
    <w:rsid w:val="21B31E7D"/>
    <w:rsid w:val="21C843D7"/>
    <w:rsid w:val="21E8421C"/>
    <w:rsid w:val="22926E7C"/>
    <w:rsid w:val="22B50BEF"/>
    <w:rsid w:val="22C5630B"/>
    <w:rsid w:val="23481625"/>
    <w:rsid w:val="23765646"/>
    <w:rsid w:val="23DC1A5A"/>
    <w:rsid w:val="248D34AC"/>
    <w:rsid w:val="24B108F5"/>
    <w:rsid w:val="24C04230"/>
    <w:rsid w:val="253432D4"/>
    <w:rsid w:val="25881729"/>
    <w:rsid w:val="26132746"/>
    <w:rsid w:val="261455E0"/>
    <w:rsid w:val="261F571B"/>
    <w:rsid w:val="269B4B38"/>
    <w:rsid w:val="26AA5F44"/>
    <w:rsid w:val="26B710E9"/>
    <w:rsid w:val="2714160F"/>
    <w:rsid w:val="27467A5B"/>
    <w:rsid w:val="27984996"/>
    <w:rsid w:val="283E0F55"/>
    <w:rsid w:val="285848F2"/>
    <w:rsid w:val="28C66939"/>
    <w:rsid w:val="28C958F5"/>
    <w:rsid w:val="29037B8D"/>
    <w:rsid w:val="2939195F"/>
    <w:rsid w:val="296323DA"/>
    <w:rsid w:val="29A30A29"/>
    <w:rsid w:val="2A5B61F9"/>
    <w:rsid w:val="2B212F18"/>
    <w:rsid w:val="2B674A91"/>
    <w:rsid w:val="2B6C0812"/>
    <w:rsid w:val="2C62070F"/>
    <w:rsid w:val="2C6B1CD2"/>
    <w:rsid w:val="2D6D7CCB"/>
    <w:rsid w:val="2D753B05"/>
    <w:rsid w:val="2D796490"/>
    <w:rsid w:val="2DF901FA"/>
    <w:rsid w:val="2DFB52D7"/>
    <w:rsid w:val="2E2C5491"/>
    <w:rsid w:val="2E383EF0"/>
    <w:rsid w:val="2ECE1A83"/>
    <w:rsid w:val="2F051E27"/>
    <w:rsid w:val="2F1C5505"/>
    <w:rsid w:val="2FAF0127"/>
    <w:rsid w:val="2FF80EF4"/>
    <w:rsid w:val="302E2DC6"/>
    <w:rsid w:val="30BA3228"/>
    <w:rsid w:val="30C45537"/>
    <w:rsid w:val="30DA7A82"/>
    <w:rsid w:val="30F73B34"/>
    <w:rsid w:val="311C7A3E"/>
    <w:rsid w:val="31462B64"/>
    <w:rsid w:val="315216B2"/>
    <w:rsid w:val="31704B31"/>
    <w:rsid w:val="323F71CD"/>
    <w:rsid w:val="325A6A70"/>
    <w:rsid w:val="327E3770"/>
    <w:rsid w:val="32AD727A"/>
    <w:rsid w:val="33100D98"/>
    <w:rsid w:val="331210F9"/>
    <w:rsid w:val="33D836D0"/>
    <w:rsid w:val="34395421"/>
    <w:rsid w:val="345E3ECA"/>
    <w:rsid w:val="346E1392"/>
    <w:rsid w:val="348F7970"/>
    <w:rsid w:val="34B608DE"/>
    <w:rsid w:val="351B0B66"/>
    <w:rsid w:val="3586192A"/>
    <w:rsid w:val="35902B8C"/>
    <w:rsid w:val="359612C7"/>
    <w:rsid w:val="35AE2C2F"/>
    <w:rsid w:val="35C57DB1"/>
    <w:rsid w:val="35D703D8"/>
    <w:rsid w:val="36260A17"/>
    <w:rsid w:val="36340219"/>
    <w:rsid w:val="369462C9"/>
    <w:rsid w:val="36CD7D31"/>
    <w:rsid w:val="37095D3E"/>
    <w:rsid w:val="372937C5"/>
    <w:rsid w:val="37501E7D"/>
    <w:rsid w:val="376B0DD8"/>
    <w:rsid w:val="37DC5362"/>
    <w:rsid w:val="385B6C3F"/>
    <w:rsid w:val="387939C8"/>
    <w:rsid w:val="38966CD0"/>
    <w:rsid w:val="38C250CB"/>
    <w:rsid w:val="38CC7F9C"/>
    <w:rsid w:val="38D96720"/>
    <w:rsid w:val="38E56818"/>
    <w:rsid w:val="392A179E"/>
    <w:rsid w:val="392D5275"/>
    <w:rsid w:val="39432429"/>
    <w:rsid w:val="39B769B7"/>
    <w:rsid w:val="3A3B2ADA"/>
    <w:rsid w:val="3ABF45E8"/>
    <w:rsid w:val="3B2F65C0"/>
    <w:rsid w:val="3B3E1B96"/>
    <w:rsid w:val="3C0B4937"/>
    <w:rsid w:val="3C5E332E"/>
    <w:rsid w:val="3C8F6179"/>
    <w:rsid w:val="3C964E06"/>
    <w:rsid w:val="3CAE63AD"/>
    <w:rsid w:val="3D0C3546"/>
    <w:rsid w:val="3D163594"/>
    <w:rsid w:val="3D8D000C"/>
    <w:rsid w:val="3D943142"/>
    <w:rsid w:val="3DB70392"/>
    <w:rsid w:val="3DE57E7C"/>
    <w:rsid w:val="3E896A78"/>
    <w:rsid w:val="3E8D3D29"/>
    <w:rsid w:val="3EAB4B4D"/>
    <w:rsid w:val="3F8556A1"/>
    <w:rsid w:val="3FA175F9"/>
    <w:rsid w:val="3FA4757D"/>
    <w:rsid w:val="405014B2"/>
    <w:rsid w:val="40632F94"/>
    <w:rsid w:val="40646D0C"/>
    <w:rsid w:val="40860A30"/>
    <w:rsid w:val="40AC428D"/>
    <w:rsid w:val="413B5CBF"/>
    <w:rsid w:val="414C6B92"/>
    <w:rsid w:val="416D2186"/>
    <w:rsid w:val="41796FC9"/>
    <w:rsid w:val="42642FF3"/>
    <w:rsid w:val="427E1DB2"/>
    <w:rsid w:val="4332565D"/>
    <w:rsid w:val="4335673E"/>
    <w:rsid w:val="4412142E"/>
    <w:rsid w:val="444F0990"/>
    <w:rsid w:val="445A006E"/>
    <w:rsid w:val="44BD69EB"/>
    <w:rsid w:val="44E45F67"/>
    <w:rsid w:val="45014B29"/>
    <w:rsid w:val="45185D72"/>
    <w:rsid w:val="455C4456"/>
    <w:rsid w:val="45605CF4"/>
    <w:rsid w:val="458512DF"/>
    <w:rsid w:val="45A81AB6"/>
    <w:rsid w:val="45AD4CB1"/>
    <w:rsid w:val="466B4A83"/>
    <w:rsid w:val="46E841F3"/>
    <w:rsid w:val="47112547"/>
    <w:rsid w:val="47CB5B0F"/>
    <w:rsid w:val="480C60E1"/>
    <w:rsid w:val="48594C7C"/>
    <w:rsid w:val="48B1479A"/>
    <w:rsid w:val="48B71B9A"/>
    <w:rsid w:val="49277B41"/>
    <w:rsid w:val="493C6797"/>
    <w:rsid w:val="49472A58"/>
    <w:rsid w:val="4A742879"/>
    <w:rsid w:val="4A745395"/>
    <w:rsid w:val="4A840510"/>
    <w:rsid w:val="4ACC129E"/>
    <w:rsid w:val="4B48662F"/>
    <w:rsid w:val="4B4D4709"/>
    <w:rsid w:val="4C261319"/>
    <w:rsid w:val="4C526500"/>
    <w:rsid w:val="4C8D3147"/>
    <w:rsid w:val="4C8E75EA"/>
    <w:rsid w:val="4CA74208"/>
    <w:rsid w:val="4CB13C0F"/>
    <w:rsid w:val="4CE11333"/>
    <w:rsid w:val="4D644C9F"/>
    <w:rsid w:val="4D6B4075"/>
    <w:rsid w:val="4D8D0AE7"/>
    <w:rsid w:val="4E0A1EFF"/>
    <w:rsid w:val="4E1F10C6"/>
    <w:rsid w:val="4E712525"/>
    <w:rsid w:val="4F611CCC"/>
    <w:rsid w:val="4F7E3CB9"/>
    <w:rsid w:val="4FB07878"/>
    <w:rsid w:val="4FBB0102"/>
    <w:rsid w:val="500357B6"/>
    <w:rsid w:val="50107BF5"/>
    <w:rsid w:val="50460C4D"/>
    <w:rsid w:val="50555889"/>
    <w:rsid w:val="51E3650C"/>
    <w:rsid w:val="520D682B"/>
    <w:rsid w:val="526B5CD8"/>
    <w:rsid w:val="52D34532"/>
    <w:rsid w:val="533473FC"/>
    <w:rsid w:val="53CE746E"/>
    <w:rsid w:val="541224FD"/>
    <w:rsid w:val="542720D3"/>
    <w:rsid w:val="55670846"/>
    <w:rsid w:val="557507F6"/>
    <w:rsid w:val="55873CDC"/>
    <w:rsid w:val="55C435C2"/>
    <w:rsid w:val="56026953"/>
    <w:rsid w:val="569577C7"/>
    <w:rsid w:val="56B411C3"/>
    <w:rsid w:val="57342B3C"/>
    <w:rsid w:val="578301BD"/>
    <w:rsid w:val="57DE29A0"/>
    <w:rsid w:val="58607961"/>
    <w:rsid w:val="5875340D"/>
    <w:rsid w:val="58C12AF6"/>
    <w:rsid w:val="59480B21"/>
    <w:rsid w:val="5974509D"/>
    <w:rsid w:val="599E2E37"/>
    <w:rsid w:val="59AC1645"/>
    <w:rsid w:val="59CD3F15"/>
    <w:rsid w:val="59F3207E"/>
    <w:rsid w:val="5A620551"/>
    <w:rsid w:val="5ADD34EB"/>
    <w:rsid w:val="5BEC60DC"/>
    <w:rsid w:val="5C1635D8"/>
    <w:rsid w:val="5C341831"/>
    <w:rsid w:val="5D74232C"/>
    <w:rsid w:val="5D7C2A6A"/>
    <w:rsid w:val="5DB178C4"/>
    <w:rsid w:val="5E6C14F8"/>
    <w:rsid w:val="5EB63238"/>
    <w:rsid w:val="5ED15115"/>
    <w:rsid w:val="5EFB71CC"/>
    <w:rsid w:val="5F3A628A"/>
    <w:rsid w:val="5F702298"/>
    <w:rsid w:val="5FAB3BB8"/>
    <w:rsid w:val="5FDE5D3B"/>
    <w:rsid w:val="6098716E"/>
    <w:rsid w:val="60F577E0"/>
    <w:rsid w:val="61722646"/>
    <w:rsid w:val="6177093B"/>
    <w:rsid w:val="61776447"/>
    <w:rsid w:val="61AB1362"/>
    <w:rsid w:val="622975BD"/>
    <w:rsid w:val="627B22F6"/>
    <w:rsid w:val="6384309D"/>
    <w:rsid w:val="63B95A26"/>
    <w:rsid w:val="64026E0B"/>
    <w:rsid w:val="64A95378"/>
    <w:rsid w:val="64E42046"/>
    <w:rsid w:val="65A66A79"/>
    <w:rsid w:val="65D70ACA"/>
    <w:rsid w:val="66060634"/>
    <w:rsid w:val="6759039D"/>
    <w:rsid w:val="676B7B56"/>
    <w:rsid w:val="67B268D4"/>
    <w:rsid w:val="67D34DD8"/>
    <w:rsid w:val="67EB2911"/>
    <w:rsid w:val="680D5CBF"/>
    <w:rsid w:val="681A5D7E"/>
    <w:rsid w:val="683F57E5"/>
    <w:rsid w:val="68B910F3"/>
    <w:rsid w:val="68CB020A"/>
    <w:rsid w:val="69180510"/>
    <w:rsid w:val="697534E8"/>
    <w:rsid w:val="697B0613"/>
    <w:rsid w:val="6A23298E"/>
    <w:rsid w:val="6A557001"/>
    <w:rsid w:val="6A6B28C1"/>
    <w:rsid w:val="6B19231D"/>
    <w:rsid w:val="6CA96156"/>
    <w:rsid w:val="6CF4481C"/>
    <w:rsid w:val="6D8617C0"/>
    <w:rsid w:val="6DC068D8"/>
    <w:rsid w:val="6E526272"/>
    <w:rsid w:val="6EBF4F8A"/>
    <w:rsid w:val="6ECF59F1"/>
    <w:rsid w:val="6ED528DE"/>
    <w:rsid w:val="6EF74724"/>
    <w:rsid w:val="6F1C3C4B"/>
    <w:rsid w:val="6F235519"/>
    <w:rsid w:val="6F623EE8"/>
    <w:rsid w:val="6F7D41B8"/>
    <w:rsid w:val="6F9A000B"/>
    <w:rsid w:val="6FAB6032"/>
    <w:rsid w:val="6FF15B99"/>
    <w:rsid w:val="6FFF5286"/>
    <w:rsid w:val="702757D2"/>
    <w:rsid w:val="70381498"/>
    <w:rsid w:val="70974410"/>
    <w:rsid w:val="710E3FA6"/>
    <w:rsid w:val="71A861A9"/>
    <w:rsid w:val="71AD37BF"/>
    <w:rsid w:val="72720E72"/>
    <w:rsid w:val="72B82052"/>
    <w:rsid w:val="72B83866"/>
    <w:rsid w:val="72CB03A1"/>
    <w:rsid w:val="72EC6569"/>
    <w:rsid w:val="72F01BB6"/>
    <w:rsid w:val="72F316A6"/>
    <w:rsid w:val="738467A2"/>
    <w:rsid w:val="73A34E7A"/>
    <w:rsid w:val="73C93A29"/>
    <w:rsid w:val="73DE5EB2"/>
    <w:rsid w:val="74081181"/>
    <w:rsid w:val="7467660E"/>
    <w:rsid w:val="746A2094"/>
    <w:rsid w:val="74A92964"/>
    <w:rsid w:val="74D55507"/>
    <w:rsid w:val="75102343"/>
    <w:rsid w:val="752A4ABF"/>
    <w:rsid w:val="758F6276"/>
    <w:rsid w:val="75905ABC"/>
    <w:rsid w:val="7616788D"/>
    <w:rsid w:val="762F0913"/>
    <w:rsid w:val="764C57CD"/>
    <w:rsid w:val="765F1CBD"/>
    <w:rsid w:val="76767F28"/>
    <w:rsid w:val="76B86E8E"/>
    <w:rsid w:val="777A7420"/>
    <w:rsid w:val="777B7D71"/>
    <w:rsid w:val="78972AD3"/>
    <w:rsid w:val="78A70F68"/>
    <w:rsid w:val="78B156F7"/>
    <w:rsid w:val="78D67AA0"/>
    <w:rsid w:val="78E57CE3"/>
    <w:rsid w:val="790711EE"/>
    <w:rsid w:val="795D6D76"/>
    <w:rsid w:val="79700B2D"/>
    <w:rsid w:val="79815C5D"/>
    <w:rsid w:val="798B2638"/>
    <w:rsid w:val="79D27F63"/>
    <w:rsid w:val="7A052634"/>
    <w:rsid w:val="7A301431"/>
    <w:rsid w:val="7A3B22B0"/>
    <w:rsid w:val="7A9209B4"/>
    <w:rsid w:val="7AEA2B3B"/>
    <w:rsid w:val="7B5D5E92"/>
    <w:rsid w:val="7B7A2964"/>
    <w:rsid w:val="7BEB6C56"/>
    <w:rsid w:val="7C43544C"/>
    <w:rsid w:val="7C686910"/>
    <w:rsid w:val="7CBE77C8"/>
    <w:rsid w:val="7D990594"/>
    <w:rsid w:val="7DA22646"/>
    <w:rsid w:val="7DC63AA6"/>
    <w:rsid w:val="7E0C7AC0"/>
    <w:rsid w:val="7E5C45A3"/>
    <w:rsid w:val="7E977CD1"/>
    <w:rsid w:val="7E9E2E0E"/>
    <w:rsid w:val="7EDA732B"/>
    <w:rsid w:val="7F224044"/>
    <w:rsid w:val="7FE231CE"/>
    <w:rsid w:val="7FE878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snapToGrid w:val="0"/>
      <w:spacing w:line="360" w:lineRule="atLeast"/>
      <w:outlineLvl w:val="0"/>
    </w:pPr>
    <w:rPr>
      <w:rFonts w:ascii="宋体"/>
      <w:kern w:val="0"/>
      <w:sz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9"/>
    <w:qFormat/>
    <w:uiPriority w:val="99"/>
    <w:pPr>
      <w:keepNext/>
      <w:keepLines/>
      <w:spacing w:before="260" w:after="260" w:line="413" w:lineRule="auto"/>
      <w:outlineLvl w:val="2"/>
    </w:pPr>
    <w:rPr>
      <w:b/>
      <w:kern w:val="0"/>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sz w:val="21"/>
    </w:rPr>
  </w:style>
  <w:style w:type="paragraph" w:styleId="12">
    <w:name w:val="Date"/>
    <w:basedOn w:val="1"/>
    <w:next w:val="1"/>
    <w:qFormat/>
    <w:uiPriority w:val="0"/>
  </w:style>
  <w:style w:type="paragraph" w:styleId="13">
    <w:name w:val="Balloon Text"/>
    <w:basedOn w:val="1"/>
    <w:link w:val="30"/>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99"/>
    <w:pPr>
      <w:spacing w:line="180" w:lineRule="auto"/>
      <w:jc w:val="center"/>
    </w:pPr>
    <w:rPr>
      <w:sz w:val="30"/>
    </w:rPr>
  </w:style>
  <w:style w:type="paragraph" w:styleId="17">
    <w:name w:val="index 7"/>
    <w:basedOn w:val="1"/>
    <w:next w:val="1"/>
    <w:qFormat/>
    <w:uiPriority w:val="0"/>
    <w:pPr>
      <w:ind w:left="2520"/>
    </w:p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Body Text First Indent"/>
    <w:basedOn w:val="8"/>
    <w:next w:val="21"/>
    <w:qFormat/>
    <w:uiPriority w:val="99"/>
    <w:pPr>
      <w:spacing w:line="360" w:lineRule="auto"/>
      <w:ind w:firstLine="420"/>
    </w:pPr>
    <w:rPr>
      <w:rFonts w:ascii="宋体" w:hAnsi="宋体"/>
      <w:sz w:val="24"/>
    </w:rPr>
  </w:style>
  <w:style w:type="paragraph" w:styleId="21">
    <w:name w:val="Body Text First Indent 2"/>
    <w:basedOn w:val="9"/>
    <w:next w:val="1"/>
    <w:qFormat/>
    <w:uiPriority w:val="0"/>
    <w:pPr>
      <w:spacing w:after="120" w:line="240" w:lineRule="auto"/>
      <w:ind w:left="420" w:leftChars="200"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Hyperlink"/>
    <w:qFormat/>
    <w:uiPriority w:val="0"/>
    <w:rPr>
      <w:color w:val="0563C1"/>
      <w:u w:val="singl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8">
    <w:name w:val="标题 1 字符"/>
    <w:link w:val="2"/>
    <w:qFormat/>
    <w:uiPriority w:val="0"/>
    <w:rPr>
      <w:rFonts w:ascii="宋体"/>
    </w:rPr>
  </w:style>
  <w:style w:type="character" w:customStyle="1" w:styleId="29">
    <w:name w:val="标题 3 字符"/>
    <w:link w:val="4"/>
    <w:qFormat/>
    <w:uiPriority w:val="99"/>
    <w:rPr>
      <w:b/>
      <w:sz w:val="32"/>
    </w:rPr>
  </w:style>
  <w:style w:type="character" w:customStyle="1" w:styleId="30">
    <w:name w:val="批注框文本 字符"/>
    <w:link w:val="13"/>
    <w:qFormat/>
    <w:uiPriority w:val="0"/>
    <w:rPr>
      <w:kern w:val="2"/>
      <w:sz w:val="18"/>
      <w:szCs w:val="18"/>
    </w:rPr>
  </w:style>
  <w:style w:type="paragraph" w:customStyle="1" w:styleId="31">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customStyle="1" w:styleId="32">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33">
    <w:name w:val="图例"/>
    <w:basedOn w:val="1"/>
    <w:qFormat/>
    <w:uiPriority w:val="99"/>
    <w:pPr>
      <w:spacing w:before="120" w:after="120" w:line="360" w:lineRule="auto"/>
      <w:jc w:val="center"/>
    </w:pPr>
    <w:rPr>
      <w:rFonts w:eastAsia="仿宋_GB2312"/>
      <w:b/>
      <w:sz w:val="24"/>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Chars="200"/>
    </w:pPr>
    <w:rPr>
      <w:rFonts w:ascii="Times New Roman" w:hAnsi="Times New Roman" w:eastAsia="宋体" w:cs="Times New Roman"/>
      <w:lang w:val="en-US" w:eastAsia="zh-CN" w:bidi="ar-SA"/>
    </w:rPr>
  </w:style>
  <w:style w:type="character" w:customStyle="1" w:styleId="36">
    <w:name w:val="NormalCharacter"/>
    <w:qFormat/>
    <w:uiPriority w:val="0"/>
    <w:rPr>
      <w:rFonts w:ascii="Tahoma" w:hAnsi="Tahoma"/>
      <w:sz w:val="24"/>
    </w:rPr>
  </w:style>
  <w:style w:type="paragraph" w:customStyle="1" w:styleId="37">
    <w:name w:val="首行缩进"/>
    <w:basedOn w:val="1"/>
    <w:qFormat/>
    <w:uiPriority w:val="0"/>
    <w:pPr>
      <w:numPr>
        <w:ilvl w:val="0"/>
        <w:numId w:val="1"/>
      </w:numPr>
      <w:spacing w:line="360" w:lineRule="auto"/>
    </w:pPr>
    <w:rPr>
      <w:rFonts w:eastAsia="仿宋_GB2312"/>
    </w:rPr>
  </w:style>
  <w:style w:type="paragraph" w:customStyle="1" w:styleId="38">
    <w:name w:val="无间隔1"/>
    <w:qFormat/>
    <w:uiPriority w:val="1"/>
    <w:pPr>
      <w:jc w:val="both"/>
    </w:pPr>
    <w:rPr>
      <w:rFonts w:ascii="Calibri" w:hAnsi="Calibri" w:eastAsia="Times New Roman" w:cs="Times New Roman"/>
      <w:lang w:val="en-US" w:eastAsia="zh-CN" w:bidi="ar-SA"/>
    </w:rPr>
  </w:style>
  <w:style w:type="paragraph" w:customStyle="1" w:styleId="39">
    <w:name w:val="1"/>
    <w:basedOn w:val="1"/>
    <w:next w:val="11"/>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6015</Words>
  <Characters>6316</Characters>
  <Lines>1</Lines>
  <Paragraphs>1</Paragraphs>
  <TotalTime>52</TotalTime>
  <ScaleCrop>false</ScaleCrop>
  <LinksUpToDate>false</LinksUpToDate>
  <CharactersWithSpaces>6381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2023-09-11T05:57:00Z</dcterms:created>
  <dc:creator>小摩托</dc:creator>
  <cp:lastModifiedBy>夏有乔木</cp:lastModifiedBy>
  <cp:lastPrinted>2025-09-22T07:07:00Z</cp:lastPrinted>
  <dcterms:modified xsi:type="dcterms:W3CDTF">2025-10-28T08:40:36Z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C5585F1C3C9749F3BCDD0DC16C905EDB_13</vt:lpwstr>
  </property>
  <property fmtid="{D5CDD505-2E9C-101B-9397-08002B2CF9AE}" pid="4" name="KSOTemplateDocerSaveRecord">
    <vt:lpwstr>eyJoZGlkIjoiODgyZjFkYjlmMjFiZjUzN2FmOWUxYjQ3MTQwNjdlZTgiLCJ1c2VySWQiOiIyOTU5Mzg4MjkifQ==</vt:lpwstr>
  </property>
</Properties>
</file>